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0C84" w:rsidRPr="00B62AE5" w:rsidP="00D9544B" w14:paraId="7A1042B2" w14:textId="745722A7">
      <w:pPr>
        <w:suppressAutoHyphens/>
        <w:spacing w:after="240" w:line="240" w:lineRule="auto"/>
        <w:jc w:val="center"/>
        <w:rPr>
          <w:rFonts w:ascii="Times New Roman" w:eastAsia="Times New Roman" w:hAnsi="Times New Roman" w:cs="Times New Roman"/>
          <w:b/>
          <w:sz w:val="24"/>
          <w:szCs w:val="20"/>
        </w:rPr>
      </w:pPr>
      <w:r w:rsidRPr="00B62AE5">
        <w:rPr>
          <w:rFonts w:ascii="Times New Roman" w:eastAsia="Times New Roman" w:hAnsi="Times New Roman" w:cs="Times New Roman"/>
          <w:b/>
          <w:sz w:val="24"/>
          <w:szCs w:val="20"/>
        </w:rPr>
        <w:t>SUPPORTING STATEMENT FOR INFORMATION COLLECTION</w:t>
      </w:r>
    </w:p>
    <w:p w:rsidR="00F861C0" w:rsidP="00AF57AE" w14:paraId="61B978A8" w14:textId="77777777">
      <w:pPr>
        <w:tabs>
          <w:tab w:val="center" w:pos="4680"/>
        </w:tabs>
        <w:suppressAutoHyphens/>
        <w:spacing w:after="240" w:line="240" w:lineRule="auto"/>
        <w:jc w:val="center"/>
        <w:rPr>
          <w:rFonts w:ascii="Times New Roman" w:eastAsia="Times New Roman" w:hAnsi="Times New Roman" w:cs="Times New Roman"/>
          <w:b/>
          <w:sz w:val="24"/>
          <w:szCs w:val="20"/>
        </w:rPr>
      </w:pPr>
      <w:r w:rsidRPr="00B62AE5">
        <w:rPr>
          <w:rFonts w:ascii="Times New Roman" w:eastAsia="Times New Roman" w:hAnsi="Times New Roman" w:cs="Times New Roman"/>
          <w:b/>
          <w:sz w:val="24"/>
          <w:szCs w:val="20"/>
        </w:rPr>
        <w:t>OMB CONTROL NUMBER</w:t>
      </w:r>
      <w:r>
        <w:rPr>
          <w:rFonts w:ascii="Times New Roman" w:eastAsia="Times New Roman" w:hAnsi="Times New Roman" w:cs="Times New Roman"/>
          <w:b/>
          <w:sz w:val="24"/>
          <w:szCs w:val="20"/>
        </w:rPr>
        <w:t xml:space="preserve"> </w:t>
      </w:r>
      <w:r w:rsidR="00BB7015">
        <w:rPr>
          <w:rFonts w:ascii="Times New Roman" w:eastAsia="Times New Roman" w:hAnsi="Times New Roman" w:cs="Times New Roman"/>
          <w:b/>
          <w:sz w:val="24"/>
          <w:szCs w:val="20"/>
        </w:rPr>
        <w:t>3038-0070</w:t>
      </w:r>
    </w:p>
    <w:p w:rsidR="00B62AE5" w:rsidRPr="00B62AE5" w:rsidP="00AF57AE" w14:paraId="6E04945D" w14:textId="3B8CF714">
      <w:pPr>
        <w:tabs>
          <w:tab w:val="center" w:pos="4680"/>
        </w:tabs>
        <w:suppressAutoHyphens/>
        <w:spacing w:after="240" w:line="240" w:lineRule="auto"/>
        <w:jc w:val="center"/>
        <w:rPr>
          <w:rFonts w:ascii="Times New Roman" w:eastAsia="Times New Roman" w:hAnsi="Times New Roman" w:cs="Times New Roman"/>
          <w:b/>
          <w:sz w:val="24"/>
          <w:szCs w:val="20"/>
        </w:rPr>
      </w:pPr>
      <w:r w:rsidRPr="00B62AE5">
        <w:rPr>
          <w:rFonts w:ascii="Times New Roman" w:eastAsia="Times New Roman" w:hAnsi="Times New Roman" w:cs="Times New Roman"/>
          <w:b/>
          <w:sz w:val="24"/>
          <w:szCs w:val="20"/>
        </w:rPr>
        <w:t>Real-Time Public Reporting</w:t>
      </w:r>
    </w:p>
    <w:p w:rsidR="00D50C84" w:rsidRPr="00E21E52" w:rsidP="00AF57AE" w14:paraId="2E5C683A" w14:textId="3C51D2EF">
      <w:pPr>
        <w:tabs>
          <w:tab w:val="left" w:pos="-720"/>
          <w:tab w:val="left" w:pos="0"/>
        </w:tabs>
        <w:suppressAutoHyphens/>
        <w:spacing w:after="240" w:line="240" w:lineRule="auto"/>
        <w:ind w:left="720" w:hanging="720"/>
        <w:rPr>
          <w:rFonts w:ascii="Times New Roman" w:eastAsia="Times New Roman" w:hAnsi="Times New Roman" w:cs="Times New Roman"/>
          <w:sz w:val="24"/>
          <w:szCs w:val="20"/>
          <w:highlight w:val="yellow"/>
        </w:rPr>
      </w:pPr>
      <w:r w:rsidRPr="00E21E52">
        <w:rPr>
          <w:rFonts w:ascii="Times New Roman" w:eastAsia="Times New Roman" w:hAnsi="Times New Roman" w:cs="Times New Roman"/>
          <w:sz w:val="24"/>
          <w:szCs w:val="20"/>
        </w:rPr>
        <w:t>1.</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E21E52">
        <w:rPr>
          <w:rFonts w:ascii="Times New Roman" w:eastAsia="Times New Roman" w:hAnsi="Times New Roman" w:cs="Times New Roman"/>
          <w:sz w:val="24"/>
          <w:szCs w:val="20"/>
        </w:rPr>
        <w:t>.</w:t>
      </w:r>
    </w:p>
    <w:p w:rsidR="00B97300" w:rsidP="00AF57AE" w14:paraId="6577D285" w14:textId="05EF7FAC">
      <w:pPr>
        <w:widowControl w:val="0"/>
        <w:autoSpaceDE w:val="0"/>
        <w:autoSpaceDN w:val="0"/>
        <w:adjustRightInd w:val="0"/>
        <w:spacing w:after="240" w:line="240" w:lineRule="auto"/>
        <w:ind w:firstLine="720"/>
        <w:rPr>
          <w:rFonts w:ascii="Times New Roman" w:eastAsia="Times New Roman" w:hAnsi="Times New Roman" w:cs="Times New Roman"/>
          <w:color w:val="000000"/>
          <w:sz w:val="24"/>
          <w:szCs w:val="24"/>
        </w:rPr>
      </w:pPr>
      <w:r w:rsidRPr="00E21E52">
        <w:rPr>
          <w:rFonts w:ascii="Times New Roman" w:eastAsia="Times New Roman" w:hAnsi="Times New Roman" w:cs="Times New Roman"/>
          <w:color w:val="000000"/>
          <w:sz w:val="24"/>
          <w:szCs w:val="24"/>
        </w:rPr>
        <w:t>On July 21, 2010, the Dodd-Frank Wall Street Reform and Consumer Protection Act (“Dodd-Frank Act”) went into effect.</w:t>
      </w:r>
      <w:r>
        <w:rPr>
          <w:rFonts w:ascii="Times New Roman" w:eastAsia="Times New Roman" w:hAnsi="Times New Roman" w:cs="Times New Roman"/>
          <w:color w:val="000000"/>
          <w:sz w:val="24"/>
          <w:szCs w:val="24"/>
          <w:vertAlign w:val="superscript"/>
        </w:rPr>
        <w:footnoteReference w:id="3"/>
      </w:r>
      <w:r w:rsidRPr="00E21E52">
        <w:rPr>
          <w:rFonts w:ascii="Times New Roman" w:eastAsia="Times New Roman" w:hAnsi="Times New Roman" w:cs="Times New Roman"/>
          <w:color w:val="000000"/>
          <w:sz w:val="24"/>
          <w:szCs w:val="24"/>
        </w:rPr>
        <w:t xml:space="preserve"> Title VII of the Dodd-Frank Act amended the Commodity Exchange Act (“CEA”) to create a regulatory framework for swaps.</w:t>
      </w:r>
      <w:r w:rsidR="00FD2E7D">
        <w:rPr>
          <w:rFonts w:ascii="Times New Roman" w:eastAsia="Times New Roman" w:hAnsi="Times New Roman" w:cs="Times New Roman"/>
          <w:color w:val="000000"/>
          <w:sz w:val="24"/>
          <w:szCs w:val="24"/>
        </w:rPr>
        <w:t xml:space="preserve"> </w:t>
      </w:r>
      <w:r w:rsidRPr="00B97300">
        <w:rPr>
          <w:rFonts w:ascii="Times New Roman" w:eastAsia="Times New Roman" w:hAnsi="Times New Roman" w:cs="Times New Roman"/>
          <w:color w:val="000000"/>
          <w:sz w:val="24"/>
          <w:szCs w:val="24"/>
        </w:rPr>
        <w:t>Section 2(a)(13) of the CEA directs the Commission to establish certain standards for the real-time public reporting of swap transaction and pricing data. The Commission established these regulations in Part 43 of the Commission’s regulations. The regulations govern topics including reporting, public dissemination, and timestamping requirements for swap execution facilities (“SEFs”), designated contract markets (“DCMs”), swap data repositories (“SDRs”), derivatives clearing organizations (“DCOs”), swap dealers (“SDs”), major swap participants (“MSPs”), and non-SD/MSP/DCO counterparties.</w:t>
      </w:r>
    </w:p>
    <w:p w:rsidR="006C67BA" w:rsidP="0036378E" w14:paraId="5B0459CB" w14:textId="59B6280F">
      <w:pPr>
        <w:widowControl w:val="0"/>
        <w:autoSpaceDE w:val="0"/>
        <w:autoSpaceDN w:val="0"/>
        <w:adjustRightInd w:val="0"/>
        <w:spacing w:after="24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November 25, 2020, the Commission published </w:t>
      </w:r>
      <w:r w:rsidR="00E23E3F">
        <w:rPr>
          <w:rFonts w:ascii="Times New Roman" w:eastAsia="Times New Roman" w:hAnsi="Times New Roman" w:cs="Times New Roman"/>
          <w:color w:val="000000"/>
          <w:sz w:val="24"/>
          <w:szCs w:val="24"/>
        </w:rPr>
        <w:t>final rules amending regulations in Part</w:t>
      </w:r>
      <w:r w:rsidR="00902CB9">
        <w:rPr>
          <w:rFonts w:ascii="Times New Roman" w:eastAsia="Times New Roman" w:hAnsi="Times New Roman" w:cs="Times New Roman"/>
          <w:color w:val="000000"/>
          <w:sz w:val="24"/>
          <w:szCs w:val="24"/>
        </w:rPr>
        <w:t>s</w:t>
      </w:r>
      <w:r w:rsidR="00E23E3F">
        <w:rPr>
          <w:rFonts w:ascii="Times New Roman" w:eastAsia="Times New Roman" w:hAnsi="Times New Roman" w:cs="Times New Roman"/>
          <w:color w:val="000000"/>
          <w:sz w:val="24"/>
          <w:szCs w:val="24"/>
        </w:rPr>
        <w:t xml:space="preserve"> 43, 45, and 49 concerning </w:t>
      </w:r>
      <w:r w:rsidR="0052186F">
        <w:rPr>
          <w:rFonts w:ascii="Times New Roman" w:eastAsia="Times New Roman" w:hAnsi="Times New Roman" w:cs="Times New Roman"/>
          <w:color w:val="000000"/>
          <w:sz w:val="24"/>
          <w:szCs w:val="24"/>
        </w:rPr>
        <w:t>real-time reporting and public dissemination</w:t>
      </w:r>
      <w:r w:rsidR="00D84170">
        <w:rPr>
          <w:rFonts w:ascii="Times New Roman" w:eastAsia="Times New Roman" w:hAnsi="Times New Roman" w:cs="Times New Roman"/>
          <w:color w:val="000000"/>
          <w:sz w:val="24"/>
          <w:szCs w:val="24"/>
        </w:rPr>
        <w:t xml:space="preserve"> </w:t>
      </w:r>
      <w:r w:rsidR="003857C4">
        <w:rPr>
          <w:rFonts w:ascii="Times New Roman" w:eastAsia="Times New Roman" w:hAnsi="Times New Roman" w:cs="Times New Roman"/>
          <w:color w:val="000000"/>
          <w:sz w:val="24"/>
          <w:szCs w:val="24"/>
        </w:rPr>
        <w:t>(“2020 RTR Final Rule”)</w:t>
      </w:r>
      <w:r>
        <w:rPr>
          <w:rStyle w:val="FootnoteReference"/>
          <w:rFonts w:ascii="Times New Roman" w:eastAsia="Times New Roman" w:hAnsi="Times New Roman" w:cs="Times New Roman"/>
          <w:color w:val="000000"/>
          <w:sz w:val="24"/>
          <w:szCs w:val="24"/>
        </w:rPr>
        <w:footnoteReference w:id="4"/>
      </w:r>
      <w:r w:rsidR="00B0685C">
        <w:rPr>
          <w:rFonts w:ascii="Times New Roman" w:eastAsia="Times New Roman" w:hAnsi="Times New Roman" w:cs="Times New Roman"/>
          <w:color w:val="000000"/>
          <w:sz w:val="24"/>
          <w:szCs w:val="24"/>
        </w:rPr>
        <w:t>, swap data recordkeeping and reporting requirements (“Swap Data Reporting Rule”)</w:t>
      </w:r>
      <w:r>
        <w:rPr>
          <w:rStyle w:val="FootnoteReference"/>
          <w:rFonts w:ascii="Times New Roman" w:eastAsia="Times New Roman" w:hAnsi="Times New Roman" w:cs="Times New Roman"/>
          <w:color w:val="000000"/>
          <w:sz w:val="24"/>
          <w:szCs w:val="24"/>
        </w:rPr>
        <w:footnoteReference w:id="5"/>
      </w:r>
      <w:r w:rsidR="00293806">
        <w:rPr>
          <w:rFonts w:ascii="Times New Roman" w:eastAsia="Times New Roman" w:hAnsi="Times New Roman" w:cs="Times New Roman"/>
          <w:color w:val="000000"/>
          <w:sz w:val="24"/>
          <w:szCs w:val="24"/>
        </w:rPr>
        <w:t xml:space="preserve">, and </w:t>
      </w:r>
      <w:r w:rsidRPr="00E235BC" w:rsidR="00E235BC">
        <w:rPr>
          <w:rFonts w:ascii="Times New Roman" w:eastAsia="Times New Roman" w:hAnsi="Times New Roman" w:cs="Times New Roman"/>
          <w:color w:val="000000"/>
          <w:sz w:val="24"/>
          <w:szCs w:val="24"/>
        </w:rPr>
        <w:t xml:space="preserve">certain swap data </w:t>
      </w:r>
      <w:r w:rsidRPr="00E235BC" w:rsidR="00E95528">
        <w:rPr>
          <w:rFonts w:ascii="Times New Roman" w:eastAsia="Times New Roman" w:hAnsi="Times New Roman" w:cs="Times New Roman"/>
          <w:color w:val="000000"/>
          <w:sz w:val="24"/>
          <w:szCs w:val="24"/>
        </w:rPr>
        <w:t>repository</w:t>
      </w:r>
      <w:r w:rsidRPr="00E235BC" w:rsidR="00E235BC">
        <w:rPr>
          <w:rFonts w:ascii="Times New Roman" w:eastAsia="Times New Roman" w:hAnsi="Times New Roman" w:cs="Times New Roman"/>
          <w:color w:val="000000"/>
          <w:sz w:val="24"/>
          <w:szCs w:val="24"/>
        </w:rPr>
        <w:t xml:space="preserve"> and data reporting </w:t>
      </w:r>
      <w:r w:rsidRPr="00E235BC" w:rsidR="00E95528">
        <w:rPr>
          <w:rFonts w:ascii="Times New Roman" w:eastAsia="Times New Roman" w:hAnsi="Times New Roman" w:cs="Times New Roman"/>
          <w:color w:val="000000"/>
          <w:sz w:val="24"/>
          <w:szCs w:val="24"/>
        </w:rPr>
        <w:t>requirements</w:t>
      </w:r>
      <w:r w:rsidRPr="00E235BC" w:rsidR="00E235BC">
        <w:rPr>
          <w:rFonts w:ascii="Times New Roman" w:eastAsia="Times New Roman" w:hAnsi="Times New Roman" w:cs="Times New Roman"/>
          <w:color w:val="000000"/>
          <w:sz w:val="24"/>
          <w:szCs w:val="24"/>
        </w:rPr>
        <w:t xml:space="preserve"> (“SDR Reporting Rule”)</w:t>
      </w:r>
      <w:r>
        <w:rPr>
          <w:rFonts w:ascii="Times New Roman" w:eastAsia="Times New Roman" w:hAnsi="Times New Roman" w:cs="Times New Roman"/>
          <w:color w:val="000000"/>
          <w:sz w:val="24"/>
          <w:szCs w:val="24"/>
          <w:vertAlign w:val="superscript"/>
        </w:rPr>
        <w:footnoteReference w:id="6"/>
      </w:r>
      <w:r w:rsidRPr="00E235BC" w:rsidR="00E235BC">
        <w:rPr>
          <w:rFonts w:ascii="Times New Roman" w:eastAsia="Times New Roman" w:hAnsi="Times New Roman" w:cs="Times New Roman"/>
          <w:color w:val="000000"/>
          <w:sz w:val="24"/>
          <w:szCs w:val="24"/>
        </w:rPr>
        <w:t xml:space="preserve">, respectively. </w:t>
      </w:r>
      <w:r w:rsidR="00D84170">
        <w:rPr>
          <w:rFonts w:ascii="Times New Roman" w:eastAsia="Times New Roman" w:hAnsi="Times New Roman" w:cs="Times New Roman"/>
          <w:color w:val="000000"/>
          <w:sz w:val="24"/>
          <w:szCs w:val="24"/>
        </w:rPr>
        <w:t>The amendments to Part 43</w:t>
      </w:r>
      <w:r w:rsidR="00A15276">
        <w:rPr>
          <w:rFonts w:ascii="Times New Roman" w:eastAsia="Times New Roman" w:hAnsi="Times New Roman" w:cs="Times New Roman"/>
          <w:color w:val="000000"/>
          <w:sz w:val="24"/>
          <w:szCs w:val="24"/>
        </w:rPr>
        <w:t xml:space="preserve"> revised the method and timing of  real-time reporting and public dissemination, generally and for specific types of swaps; the delay and anonymization of the public dissemination of block trades and large notional trades; the standardization and validation of real-time reporting fields; the delegation of specific authority to Commission staff; and the clarification of specific real-time reporting questions and common issues. </w:t>
      </w:r>
      <w:r w:rsidRPr="0036378E" w:rsidR="0036378E">
        <w:rPr>
          <w:rFonts w:ascii="Times New Roman" w:eastAsia="Times New Roman" w:hAnsi="Times New Roman" w:cs="Times New Roman"/>
          <w:color w:val="000000"/>
          <w:sz w:val="24"/>
          <w:szCs w:val="24"/>
        </w:rPr>
        <w:t>The amendments to Part 45 streamlined reporting requirements and clarified certain provisions. The Commission also amended Part 45’s requirements for SDRs within the SDR Reporting Rule to establish policies and procedures to confirm the accuracy of swap data with both counterparties to a swap and require reporting counterparties to verify the accuracy of swap data pursuant to those SDR procedures.</w:t>
      </w:r>
      <w:r>
        <w:rPr>
          <w:rFonts w:ascii="Times New Roman" w:eastAsia="Times New Roman" w:hAnsi="Times New Roman" w:cs="Times New Roman"/>
          <w:color w:val="000000"/>
          <w:sz w:val="24"/>
          <w:szCs w:val="24"/>
          <w:vertAlign w:val="superscript"/>
        </w:rPr>
        <w:footnoteReference w:id="7"/>
      </w:r>
      <w:r w:rsidRPr="0036378E" w:rsidR="0036378E">
        <w:rPr>
          <w:rFonts w:ascii="Times New Roman" w:eastAsia="Times New Roman" w:hAnsi="Times New Roman" w:cs="Times New Roman"/>
          <w:color w:val="000000"/>
          <w:sz w:val="24"/>
          <w:szCs w:val="24"/>
        </w:rPr>
        <w:t xml:space="preserve"> Those amendments also updated the CFTC’s requirements related to corrections for data errors.</w:t>
      </w:r>
      <w:r>
        <w:rPr>
          <w:rFonts w:ascii="Times New Roman" w:eastAsia="Times New Roman" w:hAnsi="Times New Roman" w:cs="Times New Roman"/>
          <w:color w:val="000000"/>
          <w:sz w:val="24"/>
          <w:szCs w:val="24"/>
          <w:vertAlign w:val="superscript"/>
        </w:rPr>
        <w:footnoteReference w:id="8"/>
      </w:r>
    </w:p>
    <w:p w:rsidR="00E235BC" w:rsidP="00E235BC" w14:paraId="2AB546DF" w14:textId="1612AA76">
      <w:pPr>
        <w:widowControl w:val="0"/>
        <w:autoSpaceDE w:val="0"/>
        <w:autoSpaceDN w:val="0"/>
        <w:adjustRightInd w:val="0"/>
        <w:spacing w:after="24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Among </w:t>
      </w:r>
      <w:r w:rsidR="00D72BE5">
        <w:rPr>
          <w:rFonts w:ascii="Times New Roman" w:eastAsia="Times New Roman" w:hAnsi="Times New Roman" w:cs="Times New Roman"/>
          <w:color w:val="000000"/>
          <w:sz w:val="24"/>
          <w:szCs w:val="24"/>
        </w:rPr>
        <w:t xml:space="preserve">other </w:t>
      </w:r>
      <w:r w:rsidR="00E91666">
        <w:rPr>
          <w:rFonts w:ascii="Times New Roman" w:eastAsia="Times New Roman" w:hAnsi="Times New Roman" w:cs="Times New Roman"/>
          <w:color w:val="000000"/>
          <w:sz w:val="24"/>
          <w:szCs w:val="24"/>
        </w:rPr>
        <w:t>items</w:t>
      </w:r>
      <w:r w:rsidR="00D72BE5">
        <w:rPr>
          <w:rFonts w:ascii="Times New Roman" w:eastAsia="Times New Roman" w:hAnsi="Times New Roman" w:cs="Times New Roman"/>
          <w:color w:val="000000"/>
          <w:sz w:val="24"/>
          <w:szCs w:val="24"/>
        </w:rPr>
        <w:t>, regulation</w:t>
      </w:r>
      <w:r w:rsidR="00902CB9">
        <w:rPr>
          <w:rFonts w:ascii="Times New Roman" w:eastAsia="Times New Roman" w:hAnsi="Times New Roman" w:cs="Times New Roman"/>
          <w:color w:val="000000"/>
          <w:sz w:val="24"/>
          <w:szCs w:val="24"/>
        </w:rPr>
        <w:t>s 43.3(e) and</w:t>
      </w:r>
      <w:r w:rsidRPr="00E44993" w:rsidR="00D72BE5">
        <w:rPr>
          <w:rFonts w:ascii="Times New Roman" w:eastAsia="Times New Roman" w:hAnsi="Times New Roman" w:cs="Times New Roman"/>
          <w:color w:val="000000"/>
          <w:sz w:val="24"/>
          <w:szCs w:val="24"/>
        </w:rPr>
        <w:t xml:space="preserve"> 45.14</w:t>
      </w:r>
      <w:r w:rsidR="00D72BE5">
        <w:rPr>
          <w:rFonts w:ascii="Times New Roman" w:eastAsia="Times New Roman" w:hAnsi="Times New Roman" w:cs="Times New Roman"/>
          <w:color w:val="000000"/>
          <w:sz w:val="24"/>
          <w:szCs w:val="24"/>
        </w:rPr>
        <w:t xml:space="preserve"> requires</w:t>
      </w:r>
      <w:r w:rsidR="00502942">
        <w:rPr>
          <w:rFonts w:ascii="Times New Roman" w:eastAsia="Times New Roman" w:hAnsi="Times New Roman" w:cs="Times New Roman"/>
          <w:color w:val="000000"/>
          <w:sz w:val="24"/>
          <w:szCs w:val="24"/>
        </w:rPr>
        <w:t xml:space="preserve"> </w:t>
      </w:r>
      <w:r w:rsidR="00D72BE5">
        <w:rPr>
          <w:rFonts w:ascii="Times New Roman" w:eastAsia="Times New Roman" w:hAnsi="Times New Roman" w:cs="Times New Roman"/>
          <w:color w:val="000000"/>
          <w:sz w:val="24"/>
          <w:szCs w:val="24"/>
        </w:rPr>
        <w:t>SEF</w:t>
      </w:r>
      <w:r w:rsidR="00502942">
        <w:rPr>
          <w:rFonts w:ascii="Times New Roman" w:eastAsia="Times New Roman" w:hAnsi="Times New Roman" w:cs="Times New Roman"/>
          <w:color w:val="000000"/>
          <w:sz w:val="24"/>
          <w:szCs w:val="24"/>
        </w:rPr>
        <w:t>s</w:t>
      </w:r>
      <w:r w:rsidR="00D72BE5">
        <w:rPr>
          <w:rFonts w:ascii="Times New Roman" w:eastAsia="Times New Roman" w:hAnsi="Times New Roman" w:cs="Times New Roman"/>
          <w:color w:val="000000"/>
          <w:sz w:val="24"/>
          <w:szCs w:val="24"/>
        </w:rPr>
        <w:t>, DCM</w:t>
      </w:r>
      <w:r w:rsidR="00502942">
        <w:rPr>
          <w:rFonts w:ascii="Times New Roman" w:eastAsia="Times New Roman" w:hAnsi="Times New Roman" w:cs="Times New Roman"/>
          <w:color w:val="000000"/>
          <w:sz w:val="24"/>
          <w:szCs w:val="24"/>
        </w:rPr>
        <w:t>s</w:t>
      </w:r>
      <w:r w:rsidR="00D72BE5">
        <w:rPr>
          <w:rFonts w:ascii="Times New Roman" w:eastAsia="Times New Roman" w:hAnsi="Times New Roman" w:cs="Times New Roman"/>
          <w:color w:val="000000"/>
          <w:sz w:val="24"/>
          <w:szCs w:val="24"/>
        </w:rPr>
        <w:t xml:space="preserve">, and reporting counterparties </w:t>
      </w:r>
      <w:r w:rsidRPr="00E44993" w:rsidR="00D72BE5">
        <w:rPr>
          <w:rFonts w:ascii="Times New Roman" w:eastAsia="Times New Roman" w:hAnsi="Times New Roman" w:cs="Times New Roman"/>
          <w:color w:val="000000"/>
          <w:sz w:val="24"/>
          <w:szCs w:val="24"/>
        </w:rPr>
        <w:t>to notify the director of the Commission’s Division of Market Oversight when data errors or omissions</w:t>
      </w:r>
      <w:r w:rsidR="00D72BE5">
        <w:rPr>
          <w:rFonts w:ascii="Times New Roman" w:eastAsia="Times New Roman" w:hAnsi="Times New Roman" w:cs="Times New Roman"/>
          <w:color w:val="000000"/>
          <w:sz w:val="24"/>
          <w:szCs w:val="24"/>
        </w:rPr>
        <w:t xml:space="preserve"> in Part </w:t>
      </w:r>
      <w:r w:rsidR="00DB227E">
        <w:rPr>
          <w:rFonts w:ascii="Times New Roman" w:eastAsia="Times New Roman" w:hAnsi="Times New Roman" w:cs="Times New Roman"/>
          <w:color w:val="000000"/>
          <w:sz w:val="24"/>
          <w:szCs w:val="24"/>
        </w:rPr>
        <w:t xml:space="preserve">43 and </w:t>
      </w:r>
      <w:r w:rsidR="00D72BE5">
        <w:rPr>
          <w:rFonts w:ascii="Times New Roman" w:eastAsia="Times New Roman" w:hAnsi="Times New Roman" w:cs="Times New Roman"/>
          <w:color w:val="000000"/>
          <w:sz w:val="24"/>
          <w:szCs w:val="24"/>
        </w:rPr>
        <w:t>45</w:t>
      </w:r>
      <w:r w:rsidRPr="00E44993" w:rsidR="00D72BE5">
        <w:rPr>
          <w:rFonts w:ascii="Times New Roman" w:eastAsia="Times New Roman" w:hAnsi="Times New Roman" w:cs="Times New Roman"/>
          <w:color w:val="000000"/>
          <w:sz w:val="24"/>
          <w:szCs w:val="24"/>
        </w:rPr>
        <w:t xml:space="preserve"> cannot be corrected within </w:t>
      </w:r>
      <w:r w:rsidR="00D72BE5">
        <w:rPr>
          <w:rFonts w:ascii="Times New Roman" w:eastAsia="Times New Roman" w:hAnsi="Times New Roman" w:cs="Times New Roman"/>
          <w:color w:val="000000"/>
          <w:sz w:val="24"/>
          <w:szCs w:val="24"/>
        </w:rPr>
        <w:t>seven</w:t>
      </w:r>
      <w:r w:rsidRPr="00E44993" w:rsidR="00D72BE5">
        <w:rPr>
          <w:rFonts w:ascii="Times New Roman" w:eastAsia="Times New Roman" w:hAnsi="Times New Roman" w:cs="Times New Roman"/>
          <w:color w:val="000000"/>
          <w:sz w:val="24"/>
          <w:szCs w:val="24"/>
        </w:rPr>
        <w:t xml:space="preserve"> business days of </w:t>
      </w:r>
      <w:r w:rsidRPr="00E44993" w:rsidR="00D72BE5">
        <w:rPr>
          <w:rFonts w:ascii="Times New Roman" w:eastAsia="Times New Roman" w:hAnsi="Times New Roman" w:cs="Times New Roman"/>
          <w:color w:val="000000"/>
          <w:sz w:val="24"/>
          <w:szCs w:val="24"/>
        </w:rPr>
        <w:t xml:space="preserve">discovery. </w:t>
      </w:r>
      <w:r w:rsidR="00D72BE5">
        <w:rPr>
          <w:rFonts w:ascii="Times New Roman" w:eastAsia="Times New Roman" w:hAnsi="Times New Roman" w:cs="Times New Roman"/>
          <w:color w:val="000000"/>
          <w:sz w:val="24"/>
          <w:szCs w:val="24"/>
        </w:rPr>
        <w:t xml:space="preserve"> </w:t>
      </w:r>
      <w:r w:rsidRPr="00E44993" w:rsidR="00D72BE5">
        <w:rPr>
          <w:rFonts w:ascii="Times New Roman" w:eastAsia="Times New Roman" w:hAnsi="Times New Roman" w:cs="Times New Roman"/>
          <w:color w:val="000000"/>
          <w:sz w:val="24"/>
          <w:szCs w:val="24"/>
        </w:rPr>
        <w:t xml:space="preserve">In such case, </w:t>
      </w:r>
      <w:r w:rsidR="00D72BE5">
        <w:rPr>
          <w:rFonts w:ascii="Times New Roman" w:eastAsia="Times New Roman" w:hAnsi="Times New Roman" w:cs="Times New Roman"/>
          <w:color w:val="000000"/>
          <w:sz w:val="24"/>
          <w:szCs w:val="24"/>
        </w:rPr>
        <w:t>regulation</w:t>
      </w:r>
      <w:r w:rsidR="00DB227E">
        <w:rPr>
          <w:rFonts w:ascii="Times New Roman" w:eastAsia="Times New Roman" w:hAnsi="Times New Roman" w:cs="Times New Roman"/>
          <w:color w:val="000000"/>
          <w:sz w:val="24"/>
          <w:szCs w:val="24"/>
        </w:rPr>
        <w:t xml:space="preserve">s </w:t>
      </w:r>
      <w:r w:rsidRPr="00E44993" w:rsidR="00D72BE5">
        <w:rPr>
          <w:rFonts w:ascii="Times New Roman" w:eastAsia="Times New Roman" w:hAnsi="Times New Roman" w:cs="Times New Roman"/>
          <w:color w:val="000000"/>
          <w:sz w:val="24"/>
          <w:szCs w:val="24"/>
        </w:rPr>
        <w:t xml:space="preserve"> 45.14(b) would require the SEF, DCM, or reporting counterparty to </w:t>
      </w:r>
      <w:r w:rsidR="00D72BE5">
        <w:rPr>
          <w:rFonts w:ascii="Times New Roman" w:eastAsia="Times New Roman" w:hAnsi="Times New Roman" w:cs="Times New Roman"/>
          <w:color w:val="000000"/>
          <w:sz w:val="24"/>
          <w:szCs w:val="24"/>
        </w:rPr>
        <w:t>notify</w:t>
      </w:r>
      <w:r w:rsidRPr="00E44993" w:rsidR="00D72BE5">
        <w:rPr>
          <w:rFonts w:ascii="Times New Roman" w:eastAsia="Times New Roman" w:hAnsi="Times New Roman" w:cs="Times New Roman"/>
          <w:color w:val="000000"/>
          <w:sz w:val="24"/>
          <w:szCs w:val="24"/>
        </w:rPr>
        <w:t xml:space="preserve"> the director of the Division of Market Oversight</w:t>
      </w:r>
      <w:r w:rsidR="00D72BE5">
        <w:rPr>
          <w:rFonts w:ascii="Times New Roman" w:eastAsia="Times New Roman" w:hAnsi="Times New Roman" w:cs="Times New Roman"/>
          <w:color w:val="000000"/>
          <w:sz w:val="24"/>
          <w:szCs w:val="24"/>
        </w:rPr>
        <w:t xml:space="preserve"> within twelve hours of determining it will be unable to timely correct the error, and to provide</w:t>
      </w:r>
      <w:r w:rsidRPr="00E44993" w:rsidR="00D72BE5">
        <w:rPr>
          <w:rFonts w:ascii="Times New Roman" w:eastAsia="Times New Roman" w:hAnsi="Times New Roman" w:cs="Times New Roman"/>
          <w:color w:val="000000"/>
          <w:sz w:val="24"/>
          <w:szCs w:val="24"/>
        </w:rPr>
        <w:t xml:space="preserve"> an </w:t>
      </w:r>
      <w:r w:rsidR="00D72BE5">
        <w:rPr>
          <w:rFonts w:ascii="Times New Roman" w:eastAsia="Times New Roman" w:hAnsi="Times New Roman" w:cs="Times New Roman"/>
          <w:color w:val="000000"/>
          <w:sz w:val="24"/>
          <w:szCs w:val="24"/>
        </w:rPr>
        <w:t>“</w:t>
      </w:r>
      <w:r w:rsidRPr="00E44993" w:rsidR="00D72BE5">
        <w:rPr>
          <w:rFonts w:ascii="Times New Roman" w:eastAsia="Times New Roman" w:hAnsi="Times New Roman" w:cs="Times New Roman"/>
          <w:color w:val="000000"/>
          <w:sz w:val="24"/>
          <w:szCs w:val="24"/>
        </w:rPr>
        <w:t>initial assessment of the</w:t>
      </w:r>
      <w:r w:rsidR="00D72BE5">
        <w:rPr>
          <w:rFonts w:ascii="Times New Roman" w:eastAsia="Times New Roman" w:hAnsi="Times New Roman" w:cs="Times New Roman"/>
          <w:color w:val="000000"/>
          <w:sz w:val="24"/>
          <w:szCs w:val="24"/>
        </w:rPr>
        <w:t xml:space="preserve"> scope of the</w:t>
      </w:r>
      <w:r w:rsidRPr="00E44993" w:rsidR="00D72BE5">
        <w:rPr>
          <w:rFonts w:ascii="Times New Roman" w:eastAsia="Times New Roman" w:hAnsi="Times New Roman" w:cs="Times New Roman"/>
          <w:color w:val="000000"/>
          <w:sz w:val="24"/>
          <w:szCs w:val="24"/>
        </w:rPr>
        <w:t xml:space="preserve"> error</w:t>
      </w:r>
      <w:r w:rsidR="00D72BE5">
        <w:rPr>
          <w:rFonts w:ascii="Times New Roman" w:eastAsia="Times New Roman" w:hAnsi="Times New Roman" w:cs="Times New Roman"/>
          <w:color w:val="000000"/>
          <w:sz w:val="24"/>
          <w:szCs w:val="24"/>
        </w:rPr>
        <w:t>[</w:t>
      </w:r>
      <w:r w:rsidRPr="00E44993" w:rsidR="00D72BE5">
        <w:rPr>
          <w:rFonts w:ascii="Times New Roman" w:eastAsia="Times New Roman" w:hAnsi="Times New Roman" w:cs="Times New Roman"/>
          <w:color w:val="000000"/>
          <w:sz w:val="24"/>
          <w:szCs w:val="24"/>
        </w:rPr>
        <w:t>s</w:t>
      </w:r>
      <w:r w:rsidR="00D72BE5">
        <w:rPr>
          <w:rFonts w:ascii="Times New Roman" w:eastAsia="Times New Roman" w:hAnsi="Times New Roman" w:cs="Times New Roman"/>
          <w:color w:val="000000"/>
          <w:sz w:val="24"/>
          <w:szCs w:val="24"/>
        </w:rPr>
        <w:t>]”</w:t>
      </w:r>
      <w:r w:rsidRPr="00E44993" w:rsidR="00D72BE5">
        <w:rPr>
          <w:rFonts w:ascii="Times New Roman" w:eastAsia="Times New Roman" w:hAnsi="Times New Roman" w:cs="Times New Roman"/>
          <w:color w:val="000000"/>
          <w:sz w:val="24"/>
          <w:szCs w:val="24"/>
        </w:rPr>
        <w:t xml:space="preserve"> and an initial remediation plan.</w:t>
      </w:r>
      <w:r>
        <w:rPr>
          <w:rStyle w:val="FootnoteReference"/>
          <w:rFonts w:ascii="Times New Roman" w:eastAsia="Times New Roman" w:hAnsi="Times New Roman" w:cs="Times New Roman"/>
          <w:color w:val="000000"/>
          <w:sz w:val="24"/>
          <w:szCs w:val="24"/>
        </w:rPr>
        <w:footnoteReference w:id="9"/>
      </w:r>
      <w:r w:rsidR="00D72BE5">
        <w:rPr>
          <w:rFonts w:ascii="Times New Roman" w:eastAsia="Times New Roman" w:hAnsi="Times New Roman" w:cs="Times New Roman"/>
          <w:color w:val="000000"/>
          <w:sz w:val="24"/>
          <w:szCs w:val="24"/>
        </w:rPr>
        <w:t xml:space="preserve"> Similarly, regulation 43.3(e) requires notification when data errors or omissions in Part 43 data cannot be corrected within seven business days of discovery.</w:t>
      </w:r>
      <w:r>
        <w:rPr>
          <w:rStyle w:val="FootnoteReference"/>
          <w:rFonts w:ascii="Times New Roman" w:eastAsia="Times New Roman" w:hAnsi="Times New Roman" w:cs="Times New Roman"/>
          <w:color w:val="000000"/>
          <w:sz w:val="24"/>
          <w:szCs w:val="24"/>
        </w:rPr>
        <w:footnoteReference w:id="10"/>
      </w:r>
    </w:p>
    <w:p w:rsidR="007B1658" w:rsidP="000F4AE5" w14:paraId="31CF5066" w14:textId="0DABD35C">
      <w:pPr>
        <w:widowControl w:val="0"/>
        <w:autoSpaceDE w:val="0"/>
        <w:autoSpaceDN w:val="0"/>
        <w:adjustRightInd w:val="0"/>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June 10, 2022, the Commission staff issued a </w:t>
      </w:r>
      <w:r w:rsidR="003A164A">
        <w:rPr>
          <w:rFonts w:ascii="Times New Roman" w:eastAsia="Times New Roman" w:hAnsi="Times New Roman" w:cs="Times New Roman"/>
          <w:color w:val="000000"/>
          <w:sz w:val="24"/>
          <w:szCs w:val="24"/>
        </w:rPr>
        <w:t xml:space="preserve">Staff Advisory on Reporting of Errors and Omissions in Previously Reported Data (“Advisory”). </w:t>
      </w:r>
      <w:r>
        <w:rPr>
          <w:rFonts w:ascii="Times New Roman" w:eastAsia="Times New Roman" w:hAnsi="Times New Roman" w:cs="Times New Roman"/>
          <w:color w:val="000000"/>
          <w:sz w:val="24"/>
          <w:szCs w:val="24"/>
        </w:rPr>
        <w:t>In order to facilitate SEFs, DCMs, and reporting counterparties’ submission of error correction notifications pursuant to regulations 45.14 and 43.3(e), the Division of Data (“DOD”) p</w:t>
      </w:r>
      <w:r w:rsidR="00EC70E2">
        <w:rPr>
          <w:rFonts w:ascii="Times New Roman" w:eastAsia="Times New Roman" w:hAnsi="Times New Roman" w:cs="Times New Roman"/>
          <w:color w:val="000000"/>
          <w:sz w:val="24"/>
          <w:szCs w:val="24"/>
        </w:rPr>
        <w:t>ublished</w:t>
      </w:r>
      <w:r>
        <w:rPr>
          <w:rFonts w:ascii="Times New Roman" w:eastAsia="Times New Roman" w:hAnsi="Times New Roman" w:cs="Times New Roman"/>
          <w:color w:val="000000"/>
          <w:sz w:val="24"/>
          <w:szCs w:val="24"/>
        </w:rPr>
        <w:t xml:space="preserve"> a “Swap Data Error Correction Notification Form” (“Form”) on the Commission’s website, along with instructions for submitting that Form electronically by email.  That Form contains fourteen questions that solicit information </w:t>
      </w:r>
      <w:r w:rsidRPr="003022B1">
        <w:rPr>
          <w:rFonts w:ascii="Times New Roman" w:eastAsia="Times New Roman" w:hAnsi="Times New Roman" w:cs="Times New Roman"/>
          <w:color w:val="000000"/>
          <w:sz w:val="24"/>
          <w:szCs w:val="24"/>
        </w:rPr>
        <w:t>sufficient to provide an “initial assessment of the scope of the error” and provides a SEF, DCM, or reporting counterparty an opportunity to present an initial remediation plan</w:t>
      </w:r>
      <w:r>
        <w:rPr>
          <w:rFonts w:ascii="Times New Roman" w:eastAsia="Times New Roman" w:hAnsi="Times New Roman" w:cs="Times New Roman"/>
          <w:color w:val="000000"/>
          <w:sz w:val="24"/>
          <w:szCs w:val="24"/>
        </w:rPr>
        <w:t>.</w:t>
      </w:r>
    </w:p>
    <w:p w:rsidR="0093212F" w:rsidP="000F4AE5" w14:paraId="07DCEBDA" w14:textId="77777777">
      <w:pPr>
        <w:widowControl w:val="0"/>
        <w:autoSpaceDE w:val="0"/>
        <w:autoSpaceDN w:val="0"/>
        <w:adjustRightInd w:val="0"/>
        <w:spacing w:after="0" w:line="240" w:lineRule="auto"/>
        <w:ind w:firstLine="720"/>
        <w:rPr>
          <w:rFonts w:ascii="Times New Roman" w:eastAsia="Times New Roman" w:hAnsi="Times New Roman" w:cs="Times New Roman"/>
          <w:color w:val="000000"/>
          <w:sz w:val="24"/>
          <w:szCs w:val="24"/>
        </w:rPr>
      </w:pPr>
    </w:p>
    <w:p w:rsidR="000D7928" w:rsidP="00346C48" w14:paraId="3937CA8E" w14:textId="6DC9D46A">
      <w:pPr>
        <w:widowControl w:val="0"/>
        <w:autoSpaceDE w:val="0"/>
        <w:autoSpaceDN w:val="0"/>
        <w:adjustRightInd w:val="0"/>
        <w:spacing w:after="240" w:line="240" w:lineRule="auto"/>
        <w:ind w:firstLine="720"/>
        <w:rPr>
          <w:rFonts w:ascii="Times New Roman" w:eastAsia="Calibri" w:hAnsi="Times New Roman" w:cs="Times New Roman"/>
          <w:sz w:val="24"/>
        </w:rPr>
      </w:pPr>
      <w:r w:rsidRPr="000D7928">
        <w:rPr>
          <w:rFonts w:ascii="Times New Roman" w:eastAsia="Calibri" w:hAnsi="Times New Roman" w:cs="Times New Roman"/>
          <w:sz w:val="24"/>
        </w:rPr>
        <w:t>Th</w:t>
      </w:r>
      <w:r w:rsidR="00F05995">
        <w:rPr>
          <w:rFonts w:ascii="Times New Roman" w:eastAsia="Calibri" w:hAnsi="Times New Roman" w:cs="Times New Roman"/>
          <w:sz w:val="24"/>
        </w:rPr>
        <w:t xml:space="preserve">ese Information Collection </w:t>
      </w:r>
      <w:r w:rsidRPr="000D7928">
        <w:rPr>
          <w:rFonts w:ascii="Times New Roman" w:eastAsia="Calibri" w:hAnsi="Times New Roman" w:cs="Times New Roman"/>
          <w:sz w:val="24"/>
        </w:rPr>
        <w:t>requirements</w:t>
      </w:r>
      <w:r>
        <w:rPr>
          <w:rFonts w:ascii="Times New Roman" w:eastAsia="Calibri" w:hAnsi="Times New Roman" w:cs="Times New Roman"/>
          <w:sz w:val="24"/>
          <w:vertAlign w:val="superscript"/>
        </w:rPr>
        <w:footnoteReference w:id="11"/>
      </w:r>
      <w:r w:rsidRPr="000D7928">
        <w:rPr>
          <w:rFonts w:ascii="Times New Roman" w:eastAsia="Calibri" w:hAnsi="Times New Roman" w:cs="Times New Roman"/>
          <w:sz w:val="24"/>
        </w:rPr>
        <w:t xml:space="preserve"> impact SDRs, SEFs, DCMs, and reporting counterparties that report swap data for the Commission to perform its regulatory duties of risk monitoring and ensuring compliance with its rules, among other things. As part of this renewal, the Commission is updating burden estimates pertaining to information collections for the following regulations:</w:t>
      </w:r>
    </w:p>
    <w:p w:rsidR="002D576C" w:rsidP="002D576C" w14:paraId="55D0E7D8" w14:textId="77777777">
      <w:pPr>
        <w:numPr>
          <w:ilvl w:val="0"/>
          <w:numId w:val="1"/>
        </w:numPr>
        <w:autoSpaceDE w:val="0"/>
        <w:autoSpaceDN w:val="0"/>
        <w:adjustRightInd w:val="0"/>
        <w:spacing w:after="240" w:line="240" w:lineRule="auto"/>
        <w:rPr>
          <w:rFonts w:ascii="Times New Roman" w:eastAsia="Calibri" w:hAnsi="Times New Roman" w:cs="Times New Roman"/>
          <w:sz w:val="24"/>
        </w:rPr>
      </w:pPr>
      <w:r>
        <w:rPr>
          <w:rFonts w:ascii="Times New Roman" w:eastAsia="Times New Roman" w:hAnsi="Times New Roman" w:cs="Times New Roman"/>
          <w:sz w:val="24"/>
          <w:szCs w:val="24"/>
        </w:rPr>
        <w:t>Regulation 43.3 requires reporting counterparties, SEFs, and DCMs to send swap transaction and pricing data as described in appendix A of part 43 to SDRs as soon as technologically practicable after execution.</w:t>
      </w:r>
    </w:p>
    <w:p w:rsidR="00B97300" w:rsidP="005F7F42" w14:paraId="480133B5" w14:textId="0B0A7094">
      <w:pPr>
        <w:numPr>
          <w:ilvl w:val="0"/>
          <w:numId w:val="1"/>
        </w:numPr>
        <w:autoSpaceDE w:val="0"/>
        <w:autoSpaceDN w:val="0"/>
        <w:adjustRightInd w:val="0"/>
        <w:spacing w:after="240" w:line="240" w:lineRule="auto"/>
        <w:rPr>
          <w:rFonts w:ascii="Times New Roman" w:eastAsia="Calibri" w:hAnsi="Times New Roman" w:cs="Times New Roman"/>
          <w:sz w:val="24"/>
        </w:rPr>
      </w:pPr>
      <w:r>
        <w:rPr>
          <w:rFonts w:ascii="Times New Roman" w:eastAsia="Times New Roman" w:hAnsi="Times New Roman" w:cs="Times New Roman"/>
          <w:sz w:val="24"/>
          <w:szCs w:val="24"/>
        </w:rPr>
        <w:t>Regulation 43.4 requires SDRs to publicly disseminate the swap transaction and pricing data described in appendix A of part 43</w:t>
      </w:r>
      <w:r>
        <w:rPr>
          <w:rFonts w:ascii="Times New Roman" w:eastAsia="Calibri" w:hAnsi="Times New Roman" w:cs="Times New Roman"/>
          <w:sz w:val="24"/>
        </w:rPr>
        <w:t>.</w:t>
      </w:r>
    </w:p>
    <w:p w:rsidR="000D6AE4" w:rsidP="005F7F42" w14:paraId="592E2934" w14:textId="242CD95F">
      <w:pPr>
        <w:numPr>
          <w:ilvl w:val="0"/>
          <w:numId w:val="1"/>
        </w:numPr>
        <w:autoSpaceDE w:val="0"/>
        <w:autoSpaceDN w:val="0"/>
        <w:adjustRightInd w:val="0"/>
        <w:spacing w:after="240" w:line="240" w:lineRule="auto"/>
        <w:rPr>
          <w:rFonts w:ascii="Times New Roman" w:eastAsia="Calibri" w:hAnsi="Times New Roman" w:cs="Times New Roman"/>
          <w:sz w:val="24"/>
        </w:rPr>
      </w:pPr>
      <w:r>
        <w:rPr>
          <w:rFonts w:ascii="Times New Roman" w:eastAsia="Calibri" w:hAnsi="Times New Roman" w:cs="Times New Roman"/>
          <w:sz w:val="24"/>
        </w:rPr>
        <w:t xml:space="preserve">Regulation 43.6 </w:t>
      </w:r>
      <w:r w:rsidR="00966E70">
        <w:rPr>
          <w:rFonts w:ascii="Times New Roman" w:eastAsia="Calibri" w:hAnsi="Times New Roman" w:cs="Times New Roman"/>
          <w:sz w:val="24"/>
        </w:rPr>
        <w:t xml:space="preserve">establishes the appropriate minimum block size </w:t>
      </w:r>
      <w:r w:rsidR="00A64DB8">
        <w:rPr>
          <w:rFonts w:ascii="Times New Roman" w:eastAsia="Calibri" w:hAnsi="Times New Roman" w:cs="Times New Roman"/>
          <w:sz w:val="24"/>
        </w:rPr>
        <w:t>for publicly</w:t>
      </w:r>
      <w:r w:rsidR="00966E70">
        <w:rPr>
          <w:rFonts w:ascii="Times New Roman" w:eastAsia="Calibri" w:hAnsi="Times New Roman" w:cs="Times New Roman"/>
          <w:sz w:val="24"/>
        </w:rPr>
        <w:t xml:space="preserve"> reportable swap </w:t>
      </w:r>
      <w:r w:rsidR="00A64DB8">
        <w:rPr>
          <w:rFonts w:ascii="Times New Roman" w:eastAsia="Calibri" w:hAnsi="Times New Roman" w:cs="Times New Roman"/>
          <w:sz w:val="24"/>
        </w:rPr>
        <w:t>transitions</w:t>
      </w:r>
      <w:r w:rsidR="00966E70">
        <w:rPr>
          <w:rFonts w:ascii="Times New Roman" w:eastAsia="Calibri" w:hAnsi="Times New Roman" w:cs="Times New Roman"/>
          <w:sz w:val="24"/>
        </w:rPr>
        <w:t xml:space="preserve"> based on the swap categories set forth</w:t>
      </w:r>
      <w:r w:rsidR="0052534E">
        <w:rPr>
          <w:rFonts w:ascii="Times New Roman" w:eastAsia="Calibri" w:hAnsi="Times New Roman" w:cs="Times New Roman"/>
          <w:sz w:val="24"/>
        </w:rPr>
        <w:t xml:space="preserve"> within the 43.6 subparagraphs.</w:t>
      </w:r>
    </w:p>
    <w:p w:rsidR="00F764CC" w:rsidRPr="00D96282" w:rsidP="00E57059" w14:paraId="29C6D3BF" w14:textId="43C46DE8">
      <w:pPr>
        <w:numPr>
          <w:ilvl w:val="0"/>
          <w:numId w:val="1"/>
        </w:numPr>
        <w:autoSpaceDE w:val="0"/>
        <w:autoSpaceDN w:val="0"/>
        <w:adjustRightInd w:val="0"/>
        <w:spacing w:after="240" w:line="240" w:lineRule="auto"/>
        <w:rPr>
          <w:rFonts w:ascii="Times New Roman" w:eastAsia="Calibri" w:hAnsi="Times New Roman" w:cs="Times New Roman"/>
          <w:sz w:val="24"/>
        </w:rPr>
      </w:pPr>
      <w:r w:rsidRPr="00D96282">
        <w:rPr>
          <w:rFonts w:ascii="Times New Roman" w:eastAsia="Calibri" w:hAnsi="Times New Roman" w:cs="Times New Roman"/>
          <w:sz w:val="24"/>
        </w:rPr>
        <w:t xml:space="preserve">Regulation 43.3(e) </w:t>
      </w:r>
      <w:r w:rsidRPr="00D96282" w:rsidR="00F05995">
        <w:rPr>
          <w:rFonts w:ascii="Times New Roman" w:eastAsia="Times New Roman" w:hAnsi="Times New Roman" w:cs="Times New Roman"/>
          <w:color w:val="000000"/>
          <w:sz w:val="24"/>
          <w:szCs w:val="24"/>
        </w:rPr>
        <w:t xml:space="preserve">requires </w:t>
      </w:r>
      <w:r w:rsidRPr="00D96282" w:rsidR="003F023F">
        <w:rPr>
          <w:rFonts w:ascii="Times New Roman" w:eastAsia="Times New Roman" w:hAnsi="Times New Roman" w:cs="Times New Roman"/>
          <w:color w:val="000000"/>
          <w:sz w:val="24"/>
          <w:szCs w:val="24"/>
        </w:rPr>
        <w:t>SEFs. DCMs, and reporting counterparties to notify the director of the Commission’s Division of Market Oversight when data errors or omissions in Part 43 cannot be corrected within seven business days of d</w:t>
      </w:r>
      <w:r w:rsidRPr="00D96282" w:rsidR="004C0096">
        <w:rPr>
          <w:rFonts w:ascii="Times New Roman" w:eastAsia="Times New Roman" w:hAnsi="Times New Roman" w:cs="Times New Roman"/>
          <w:color w:val="000000"/>
          <w:sz w:val="24"/>
          <w:szCs w:val="24"/>
        </w:rPr>
        <w:t xml:space="preserve">iscovery. In such case, 43.3(e) requires the SEF, DCM, or reporting counterparty to notify the director of the Division of </w:t>
      </w:r>
      <w:r w:rsidRPr="00D96282" w:rsidR="006A7631">
        <w:rPr>
          <w:rFonts w:ascii="Times New Roman" w:eastAsia="Times New Roman" w:hAnsi="Times New Roman" w:cs="Times New Roman"/>
          <w:color w:val="000000"/>
          <w:sz w:val="24"/>
          <w:szCs w:val="24"/>
        </w:rPr>
        <w:t xml:space="preserve">Market </w:t>
      </w:r>
      <w:r w:rsidRPr="00D96282" w:rsidR="004C0096">
        <w:rPr>
          <w:rFonts w:ascii="Times New Roman" w:eastAsia="Times New Roman" w:hAnsi="Times New Roman" w:cs="Times New Roman"/>
          <w:color w:val="000000"/>
          <w:sz w:val="24"/>
          <w:szCs w:val="24"/>
        </w:rPr>
        <w:t xml:space="preserve">Oversight within twelve hours </w:t>
      </w:r>
      <w:r w:rsidRPr="00D96282" w:rsidR="00D55801">
        <w:rPr>
          <w:rFonts w:ascii="Times New Roman" w:eastAsia="Times New Roman" w:hAnsi="Times New Roman" w:cs="Times New Roman"/>
          <w:color w:val="000000"/>
          <w:sz w:val="24"/>
          <w:szCs w:val="24"/>
        </w:rPr>
        <w:t xml:space="preserve">of determining it will be unable to </w:t>
      </w:r>
      <w:r w:rsidRPr="00D96282" w:rsidR="00D55801">
        <w:rPr>
          <w:rFonts w:ascii="Times New Roman" w:eastAsia="Times New Roman" w:hAnsi="Times New Roman" w:cs="Times New Roman"/>
          <w:color w:val="000000"/>
          <w:sz w:val="24"/>
          <w:szCs w:val="24"/>
        </w:rPr>
        <w:t>timely correct the error, and to provide an “initial assessment of the scope of the error[s]” and an initial remediation plan.</w:t>
      </w:r>
      <w:r>
        <w:rPr>
          <w:rStyle w:val="FootnoteReference"/>
          <w:rFonts w:ascii="Times New Roman" w:eastAsia="Times New Roman" w:hAnsi="Times New Roman" w:cs="Times New Roman"/>
          <w:color w:val="000000"/>
          <w:sz w:val="24"/>
          <w:szCs w:val="24"/>
        </w:rPr>
        <w:footnoteReference w:id="12"/>
      </w:r>
    </w:p>
    <w:p w:rsidR="00D50C84" w:rsidRPr="00E21E52" w:rsidP="005F7F42" w14:paraId="6FA01920" w14:textId="163E5741">
      <w:pPr>
        <w:tabs>
          <w:tab w:val="left" w:pos="-720"/>
        </w:tabs>
        <w:suppressAutoHyphens/>
        <w:spacing w:after="24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2.</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Indicate how, by whom, and for what purpose the data would be used.  Except for a new collection, indicate the actual use the agency has made of the information received from the current collection</w:t>
      </w:r>
      <w:r w:rsidRPr="00E21E52">
        <w:rPr>
          <w:rFonts w:ascii="Times New Roman" w:eastAsia="Times New Roman" w:hAnsi="Times New Roman" w:cs="Times New Roman"/>
          <w:sz w:val="24"/>
          <w:szCs w:val="20"/>
        </w:rPr>
        <w:t>.</w:t>
      </w:r>
    </w:p>
    <w:p w:rsidR="009564A9" w:rsidP="009564A9" w14:paraId="5610182B" w14:textId="521A2445">
      <w:pPr>
        <w:widowControl w:val="0"/>
        <w:autoSpaceDE w:val="0"/>
        <w:autoSpaceDN w:val="0"/>
        <w:adjustRightInd w:val="0"/>
        <w:spacing w:after="24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color w:val="000000"/>
          <w:sz w:val="24"/>
          <w:szCs w:val="24"/>
        </w:rPr>
        <w:t>T</w:t>
      </w:r>
      <w:r w:rsidRPr="00411550" w:rsidR="00C6101A">
        <w:rPr>
          <w:rFonts w:ascii="Times New Roman" w:eastAsia="Times New Roman" w:hAnsi="Times New Roman" w:cs="Times New Roman"/>
          <w:color w:val="000000"/>
          <w:sz w:val="24"/>
          <w:szCs w:val="24"/>
        </w:rPr>
        <w:t>he Commission’s regulations in part 43 require SEFs, DCMs, and reporting counterparties to report swap transaction and pricing data to SDRs and require SDRs to disseminate the swap transaction and pricing data to the public. The Commission may</w:t>
      </w:r>
      <w:r w:rsidR="0014038E">
        <w:rPr>
          <w:rFonts w:ascii="Times New Roman" w:eastAsia="Times New Roman" w:hAnsi="Times New Roman" w:cs="Times New Roman"/>
          <w:color w:val="000000"/>
          <w:sz w:val="24"/>
          <w:szCs w:val="24"/>
        </w:rPr>
        <w:t xml:space="preserve"> </w:t>
      </w:r>
      <w:r w:rsidRPr="00411550" w:rsidR="00C6101A">
        <w:rPr>
          <w:rFonts w:ascii="Times New Roman" w:eastAsia="Times New Roman" w:hAnsi="Times New Roman" w:cs="Times New Roman"/>
          <w:color w:val="000000"/>
          <w:sz w:val="24"/>
          <w:szCs w:val="24"/>
        </w:rPr>
        <w:t>use the swap transaction and pricing data in connection with fulfilling any of its regulatory duties or for other purposes. This publicly-reported data is also available to all other regulators and to the public. The swap transaction and pricing data is made public in order to increase the transparency of the swaps market for regulators and market participants.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0"/>
        </w:rPr>
        <w:t>Additionally, t</w:t>
      </w:r>
      <w:r w:rsidRPr="009564A9">
        <w:rPr>
          <w:rFonts w:ascii="Times New Roman" w:eastAsia="Times New Roman" w:hAnsi="Times New Roman" w:cs="Times New Roman"/>
          <w:sz w:val="24"/>
          <w:szCs w:val="20"/>
        </w:rPr>
        <w:t>he Commission uses the information required by CFTC regulation 43.3(e) to ensure data quality, identify errors in data, and ensure compliance with Commission regulations.</w:t>
      </w:r>
    </w:p>
    <w:p w:rsidR="00D50C84" w:rsidRPr="00E21E52" w:rsidP="005F7F42" w14:paraId="7BA3B52F" w14:textId="22302B9B">
      <w:pPr>
        <w:tabs>
          <w:tab w:val="left" w:pos="-720"/>
          <w:tab w:val="left" w:pos="0"/>
        </w:tabs>
        <w:suppressAutoHyphens/>
        <w:spacing w:after="24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3.</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50C84" w:rsidRPr="00E21E52" w:rsidP="00A944A0" w14:paraId="676D830E" w14:textId="4D478995">
      <w:pPr>
        <w:widowControl w:val="0"/>
        <w:autoSpaceDE w:val="0"/>
        <w:autoSpaceDN w:val="0"/>
        <w:adjustRightInd w:val="0"/>
        <w:spacing w:after="240" w:line="240" w:lineRule="auto"/>
        <w:ind w:firstLine="720"/>
        <w:rPr>
          <w:rFonts w:ascii="Times New Roman" w:eastAsia="Times New Roman" w:hAnsi="Times New Roman" w:cs="Times New Roman"/>
          <w:sz w:val="24"/>
          <w:szCs w:val="20"/>
        </w:rPr>
      </w:pPr>
      <w:r w:rsidRPr="00411550">
        <w:rPr>
          <w:rFonts w:ascii="Times New Roman" w:eastAsia="Times New Roman" w:hAnsi="Times New Roman" w:cs="Times New Roman"/>
          <w:sz w:val="24"/>
          <w:szCs w:val="24"/>
        </w:rPr>
        <w:t>Information Collection</w:t>
      </w:r>
      <w:r>
        <w:rPr>
          <w:rFonts w:ascii="Times New Roman" w:eastAsia="Times New Roman" w:hAnsi="Times New Roman" w:cs="Times New Roman"/>
          <w:sz w:val="24"/>
          <w:szCs w:val="24"/>
        </w:rPr>
        <w:t>s</w:t>
      </w:r>
      <w:r w:rsidRPr="00411550">
        <w:rPr>
          <w:rFonts w:ascii="Times New Roman" w:eastAsia="Times New Roman" w:hAnsi="Times New Roman" w:cs="Times New Roman"/>
          <w:sz w:val="24"/>
          <w:szCs w:val="24"/>
        </w:rPr>
        <w:t xml:space="preserve"> 3038-0070</w:t>
      </w:r>
      <w:r w:rsidR="009564A9">
        <w:rPr>
          <w:rFonts w:ascii="Times New Roman" w:eastAsia="Times New Roman" w:hAnsi="Times New Roman" w:cs="Times New Roman"/>
          <w:sz w:val="24"/>
          <w:szCs w:val="24"/>
        </w:rPr>
        <w:t xml:space="preserve"> </w:t>
      </w:r>
      <w:r w:rsidRPr="00411550">
        <w:rPr>
          <w:rFonts w:ascii="Times New Roman" w:eastAsia="Times New Roman" w:hAnsi="Times New Roman" w:cs="Times New Roman"/>
          <w:sz w:val="24"/>
          <w:szCs w:val="24"/>
        </w:rPr>
        <w:t>involve</w:t>
      </w:r>
      <w:r w:rsidR="007674D2">
        <w:rPr>
          <w:rFonts w:ascii="Times New Roman" w:eastAsia="Times New Roman" w:hAnsi="Times New Roman" w:cs="Times New Roman"/>
          <w:sz w:val="24"/>
          <w:szCs w:val="24"/>
        </w:rPr>
        <w:t>s</w:t>
      </w:r>
      <w:r w:rsidRPr="00411550">
        <w:rPr>
          <w:rFonts w:ascii="Times New Roman" w:eastAsia="Times New Roman" w:hAnsi="Times New Roman" w:cs="Times New Roman"/>
          <w:sz w:val="24"/>
          <w:szCs w:val="24"/>
        </w:rPr>
        <w:t xml:space="preserve"> the use of electronic collection protocols. All required data submissions to the Commission </w:t>
      </w:r>
      <w:r w:rsidRPr="00411550">
        <w:rPr>
          <w:rFonts w:ascii="Times New Roman" w:eastAsia="Calibri" w:hAnsi="Times New Roman" w:cs="Times New Roman"/>
          <w:sz w:val="24"/>
        </w:rPr>
        <w:t>may be submitted in electronic format</w:t>
      </w:r>
      <w:r>
        <w:rPr>
          <w:rFonts w:ascii="Times New Roman" w:eastAsia="Calibri" w:hAnsi="Times New Roman" w:cs="Times New Roman"/>
          <w:sz w:val="24"/>
        </w:rPr>
        <w:t>.</w:t>
      </w:r>
    </w:p>
    <w:p w:rsidR="00D50C84" w:rsidRPr="00E21E52" w:rsidP="005F7F42" w14:paraId="74093196" w14:textId="52050729">
      <w:pPr>
        <w:tabs>
          <w:tab w:val="left" w:pos="-720"/>
          <w:tab w:val="left" w:pos="0"/>
        </w:tabs>
        <w:suppressAutoHyphens/>
        <w:spacing w:after="24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4.</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Describe efforts to identify duplication.  Show specifically why any similar information already available cannot be used or modified for use for the purposes described in Item 2 above</w:t>
      </w:r>
      <w:r w:rsidRPr="00E21E52">
        <w:rPr>
          <w:rFonts w:ascii="Times New Roman" w:eastAsia="Times New Roman" w:hAnsi="Times New Roman" w:cs="Times New Roman"/>
          <w:sz w:val="24"/>
          <w:szCs w:val="20"/>
        </w:rPr>
        <w:t>.</w:t>
      </w:r>
    </w:p>
    <w:p w:rsidR="00D50C84" w:rsidRPr="00E21E52" w:rsidP="00A944A0" w14:paraId="1FC02F45" w14:textId="68422AAA">
      <w:pPr>
        <w:widowControl w:val="0"/>
        <w:autoSpaceDE w:val="0"/>
        <w:autoSpaceDN w:val="0"/>
        <w:adjustRightInd w:val="0"/>
        <w:spacing w:after="240" w:line="240" w:lineRule="auto"/>
        <w:ind w:firstLine="720"/>
        <w:rPr>
          <w:rFonts w:ascii="Times New Roman" w:eastAsia="Times New Roman" w:hAnsi="Times New Roman" w:cs="Times New Roman"/>
          <w:sz w:val="24"/>
          <w:szCs w:val="20"/>
        </w:rPr>
      </w:pPr>
      <w:r w:rsidRPr="00411550">
        <w:rPr>
          <w:rFonts w:ascii="Times New Roman" w:eastAsia="Calibri" w:hAnsi="Times New Roman" w:cs="Times New Roman"/>
          <w:sz w:val="24"/>
        </w:rPr>
        <w:t xml:space="preserve">The information collected pursuant to </w:t>
      </w:r>
      <w:r w:rsidR="00FF7177">
        <w:rPr>
          <w:rFonts w:ascii="Times New Roman" w:eastAsia="Calibri" w:hAnsi="Times New Roman" w:cs="Times New Roman"/>
          <w:sz w:val="24"/>
        </w:rPr>
        <w:t xml:space="preserve">part 43 </w:t>
      </w:r>
      <w:r w:rsidRPr="00411550">
        <w:rPr>
          <w:rFonts w:ascii="Times New Roman" w:eastAsia="Calibri" w:hAnsi="Times New Roman" w:cs="Times New Roman"/>
          <w:sz w:val="24"/>
        </w:rPr>
        <w:t xml:space="preserve">of the Commission’s regulations is not already collected by the Commission or other </w:t>
      </w:r>
      <w:r w:rsidR="00FF7177">
        <w:rPr>
          <w:rFonts w:ascii="Times New Roman" w:eastAsia="Calibri" w:hAnsi="Times New Roman" w:cs="Times New Roman"/>
          <w:sz w:val="24"/>
        </w:rPr>
        <w:t xml:space="preserve">U.S. </w:t>
      </w:r>
      <w:r w:rsidRPr="00411550">
        <w:rPr>
          <w:rFonts w:ascii="Times New Roman" w:eastAsia="Calibri" w:hAnsi="Times New Roman" w:cs="Times New Roman"/>
          <w:sz w:val="24"/>
        </w:rPr>
        <w:t>regulators for any other purpose and is not publicly available through another source. The swap data is unique and no other similar transaction-level information is available. There are no other existing regulations that could be modified to serve a similar purpose in any practical way.</w:t>
      </w:r>
    </w:p>
    <w:p w:rsidR="00D50C84" w:rsidRPr="00E21E52" w:rsidP="005F7F42" w14:paraId="42E14925" w14:textId="14DE62A3">
      <w:pPr>
        <w:keepNext/>
        <w:tabs>
          <w:tab w:val="left" w:pos="-720"/>
          <w:tab w:val="left" w:pos="0"/>
        </w:tabs>
        <w:suppressAutoHyphens/>
        <w:spacing w:after="24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5.</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If the collection of information involves small business or other small entities (Item 5 of OMB Fo</w:t>
      </w:r>
      <w:r w:rsidR="00E6296E">
        <w:rPr>
          <w:rFonts w:ascii="Times New Roman" w:eastAsia="Times New Roman" w:hAnsi="Times New Roman" w:cs="Times New Roman"/>
          <w:sz w:val="24"/>
          <w:szCs w:val="20"/>
          <w:u w:val="single"/>
        </w:rPr>
        <w:t>r</w:t>
      </w:r>
      <w:r w:rsidRPr="00E21E52">
        <w:rPr>
          <w:rFonts w:ascii="Times New Roman" w:eastAsia="Times New Roman" w:hAnsi="Times New Roman" w:cs="Times New Roman"/>
          <w:sz w:val="24"/>
          <w:szCs w:val="20"/>
          <w:u w:val="single"/>
        </w:rPr>
        <w:t>m 83-I), describe the methods used to minimize burden</w:t>
      </w:r>
      <w:r w:rsidRPr="00E21E52">
        <w:rPr>
          <w:rFonts w:ascii="Times New Roman" w:eastAsia="Times New Roman" w:hAnsi="Times New Roman" w:cs="Times New Roman"/>
          <w:sz w:val="24"/>
          <w:szCs w:val="20"/>
        </w:rPr>
        <w:t>.</w:t>
      </w:r>
    </w:p>
    <w:p w:rsidR="00D50C84" w:rsidRPr="00E21E52" w:rsidP="00A944A0" w14:paraId="7AE182ED" w14:textId="42843AE4">
      <w:pPr>
        <w:widowControl w:val="0"/>
        <w:autoSpaceDE w:val="0"/>
        <w:autoSpaceDN w:val="0"/>
        <w:adjustRightInd w:val="0"/>
        <w:spacing w:after="240" w:line="240" w:lineRule="auto"/>
        <w:ind w:firstLine="720"/>
        <w:rPr>
          <w:rFonts w:ascii="Times New Roman" w:eastAsia="Times New Roman" w:hAnsi="Times New Roman" w:cs="Times New Roman"/>
          <w:sz w:val="24"/>
          <w:szCs w:val="20"/>
        </w:rPr>
      </w:pPr>
      <w:r w:rsidRPr="00FF7177">
        <w:rPr>
          <w:rFonts w:ascii="Times New Roman" w:eastAsia="Calibri" w:hAnsi="Times New Roman" w:cs="Times New Roman"/>
          <w:sz w:val="24"/>
        </w:rPr>
        <w:t>The Commission has previously established that DCMs, DCOs, MSPs, SDs, SDRs, and SEFs are not small entities.</w:t>
      </w:r>
      <w:r>
        <w:rPr>
          <w:rFonts w:ascii="Times New Roman" w:eastAsia="Calibri" w:hAnsi="Times New Roman" w:cs="Times New Roman"/>
          <w:sz w:val="24"/>
          <w:vertAlign w:val="superscript"/>
        </w:rPr>
        <w:footnoteReference w:id="13"/>
      </w:r>
      <w:r w:rsidRPr="00FF7177">
        <w:rPr>
          <w:rFonts w:ascii="Times New Roman" w:eastAsia="Calibri" w:hAnsi="Times New Roman" w:cs="Times New Roman"/>
          <w:sz w:val="24"/>
        </w:rPr>
        <w:t xml:space="preserve"> In addition, based on its review of publicly available data, the Commission believes that the overwhelming majority of non-SD/MSP/DCO reporting counterparties affected by this rulemaking are eligible contract participants (“ECPs”) that the </w:t>
      </w:r>
      <w:r w:rsidRPr="00FF7177">
        <w:rPr>
          <w:rFonts w:ascii="Times New Roman" w:eastAsia="Calibri" w:hAnsi="Times New Roman" w:cs="Times New Roman"/>
          <w:sz w:val="24"/>
        </w:rPr>
        <w:t>Commission has previously determined are not small entities or do not otherwise meet the definition of “small entity.” Accordingly, the Commission does not believe that this collection of information will affect a substantial number of small entities.</w:t>
      </w:r>
    </w:p>
    <w:p w:rsidR="00D50C84" w:rsidRPr="00E21E52" w:rsidP="00A944A0" w14:paraId="234E3942" w14:textId="1425D1F5">
      <w:pPr>
        <w:keepNext/>
        <w:tabs>
          <w:tab w:val="left" w:pos="-720"/>
          <w:tab w:val="left" w:pos="0"/>
        </w:tabs>
        <w:suppressAutoHyphens/>
        <w:spacing w:after="24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6.</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 xml:space="preserve">Describe the consequence to the Federal Program or policy </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activities if the collection were conducted less frequently as well as any technical or legal obstacles to reducing burden</w:t>
      </w:r>
      <w:r w:rsidRPr="00E21E52">
        <w:rPr>
          <w:rFonts w:ascii="Times New Roman" w:eastAsia="Times New Roman" w:hAnsi="Times New Roman" w:cs="Times New Roman"/>
          <w:sz w:val="24"/>
          <w:szCs w:val="20"/>
        </w:rPr>
        <w:t>.</w:t>
      </w:r>
    </w:p>
    <w:p w:rsidR="00FF7177" w:rsidP="00A944A0" w14:paraId="38A927AA" w14:textId="6478BD0A">
      <w:pPr>
        <w:keepNext/>
        <w:widowControl w:val="0"/>
        <w:autoSpaceDE w:val="0"/>
        <w:autoSpaceDN w:val="0"/>
        <w:adjustRightInd w:val="0"/>
        <w:spacing w:after="24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FF7177" w:rsidR="00C6101A">
        <w:rPr>
          <w:rFonts w:ascii="Times New Roman" w:eastAsia="Times New Roman" w:hAnsi="Times New Roman" w:cs="Times New Roman"/>
          <w:color w:val="000000"/>
          <w:sz w:val="24"/>
          <w:szCs w:val="24"/>
        </w:rPr>
        <w:t xml:space="preserve">he public reporting requirements </w:t>
      </w:r>
      <w:r w:rsidR="00C6101A">
        <w:rPr>
          <w:rFonts w:ascii="Times New Roman" w:eastAsia="Times New Roman" w:hAnsi="Times New Roman" w:cs="Times New Roman"/>
          <w:color w:val="000000"/>
          <w:sz w:val="24"/>
          <w:szCs w:val="24"/>
        </w:rPr>
        <w:t xml:space="preserve">under part 43 </w:t>
      </w:r>
      <w:r w:rsidRPr="00FF7177" w:rsidR="00C6101A">
        <w:rPr>
          <w:rFonts w:ascii="Times New Roman" w:eastAsia="Times New Roman" w:hAnsi="Times New Roman" w:cs="Times New Roman"/>
          <w:color w:val="000000"/>
          <w:sz w:val="24"/>
          <w:szCs w:val="24"/>
        </w:rPr>
        <w:t>make swap transaction and pricing data available to the public in order to enhance price discovery and market transparency. Without the required frequency of reporting set forth in the Commission’s regulations, the general public would not receive swap transaction and pricing data in a timely manner that would allow for meaningful price discovery, which would frustrate the purpose of the statute.</w:t>
      </w:r>
    </w:p>
    <w:p w:rsidR="00167EBB" w:rsidP="00A944A0" w14:paraId="02B49D20" w14:textId="226DBC80">
      <w:pPr>
        <w:keepNext/>
        <w:widowControl w:val="0"/>
        <w:autoSpaceDE w:val="0"/>
        <w:autoSpaceDN w:val="0"/>
        <w:adjustRightInd w:val="0"/>
        <w:spacing w:after="24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Concerning </w:t>
      </w:r>
      <w:r w:rsidR="0057478F">
        <w:rPr>
          <w:rFonts w:ascii="Times New Roman" w:eastAsia="Times New Roman" w:hAnsi="Times New Roman" w:cs="Times New Roman"/>
          <w:color w:val="000000"/>
          <w:sz w:val="24"/>
          <w:szCs w:val="24"/>
        </w:rPr>
        <w:t xml:space="preserve">43.3(e), </w:t>
      </w:r>
      <w:r w:rsidR="00173D2F">
        <w:rPr>
          <w:rFonts w:ascii="Times New Roman" w:eastAsia="Times New Roman" w:hAnsi="Times New Roman" w:cs="Times New Roman"/>
          <w:color w:val="000000"/>
          <w:sz w:val="24"/>
          <w:szCs w:val="24"/>
        </w:rPr>
        <w:t>i</w:t>
      </w:r>
      <w:r w:rsidRPr="00E026B5" w:rsidR="00E026B5">
        <w:rPr>
          <w:rFonts w:ascii="Times New Roman" w:eastAsia="Times New Roman" w:hAnsi="Times New Roman" w:cs="Times New Roman"/>
          <w:color w:val="000000"/>
          <w:sz w:val="24"/>
          <w:szCs w:val="24"/>
        </w:rPr>
        <w:t>f the information required under this collection of information were not collected or were collected less frequently, enforcement of the CEA and the Commission’s regulations would be hindered. The Commission would have less insight into the cause and scope of swap data errors.</w:t>
      </w:r>
    </w:p>
    <w:p w:rsidR="00D50C84" w:rsidRPr="00E21E52" w:rsidP="005F7F42" w14:paraId="7557F4AF" w14:textId="02DC52D3">
      <w:pPr>
        <w:tabs>
          <w:tab w:val="left" w:pos="-720"/>
        </w:tabs>
        <w:suppressAutoHyphens/>
        <w:spacing w:after="240" w:line="240" w:lineRule="auto"/>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7.</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 xml:space="preserve">Explain any special circumstances that require the collection to be conducted in a </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manner</w:t>
      </w:r>
      <w:r w:rsidRPr="00E21E52">
        <w:rPr>
          <w:rFonts w:ascii="Times New Roman" w:eastAsia="Times New Roman" w:hAnsi="Times New Roman" w:cs="Times New Roman"/>
          <w:sz w:val="24"/>
          <w:szCs w:val="20"/>
        </w:rPr>
        <w:t>:</w:t>
      </w:r>
    </w:p>
    <w:p w:rsidR="00D50C84" w:rsidRPr="00E21E52" w:rsidP="005F7F42" w14:paraId="66B15CDF" w14:textId="6500A9DC">
      <w:pPr>
        <w:tabs>
          <w:tab w:val="left" w:pos="-720"/>
          <w:tab w:val="left" w:pos="0"/>
          <w:tab w:val="left" w:pos="720"/>
        </w:tabs>
        <w:suppressAutoHyphens/>
        <w:spacing w:after="240" w:line="240" w:lineRule="auto"/>
        <w:ind w:left="1440" w:hanging="144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requiring respondents to report information to the agency more often than quarterly;</w:t>
      </w:r>
    </w:p>
    <w:p w:rsidR="00D50C84" w:rsidRPr="00E21E52" w:rsidP="005F7F42" w14:paraId="10697F8D" w14:textId="5D76CC79">
      <w:pPr>
        <w:widowControl w:val="0"/>
        <w:autoSpaceDE w:val="0"/>
        <w:autoSpaceDN w:val="0"/>
        <w:adjustRightInd w:val="0"/>
        <w:spacing w:after="240" w:line="240" w:lineRule="auto"/>
        <w:ind w:firstLine="720"/>
        <w:rPr>
          <w:rFonts w:ascii="Times New Roman" w:eastAsia="Times New Roman" w:hAnsi="Times New Roman" w:cs="Times New Roman"/>
          <w:sz w:val="24"/>
          <w:szCs w:val="20"/>
        </w:rPr>
      </w:pPr>
      <w:r w:rsidRPr="00DD1A20">
        <w:rPr>
          <w:rFonts w:ascii="Times New Roman" w:eastAsia="Times New Roman" w:hAnsi="Times New Roman" w:cs="Times New Roman"/>
          <w:sz w:val="24"/>
          <w:szCs w:val="24"/>
        </w:rPr>
        <w:t>Staff note that in adopting the 2020 Final Rules the Commission reviewed the swap transaction and pricing data (</w:t>
      </w:r>
      <w:r w:rsidR="00D630E8">
        <w:rPr>
          <w:rFonts w:ascii="Times New Roman" w:eastAsia="Times New Roman" w:hAnsi="Times New Roman" w:cs="Times New Roman"/>
          <w:sz w:val="24"/>
          <w:szCs w:val="24"/>
        </w:rPr>
        <w:t>“</w:t>
      </w:r>
      <w:r w:rsidRPr="00DD1A20">
        <w:rPr>
          <w:rFonts w:ascii="Times New Roman" w:eastAsia="Times New Roman" w:hAnsi="Times New Roman" w:cs="Times New Roman"/>
          <w:sz w:val="24"/>
          <w:szCs w:val="24"/>
        </w:rPr>
        <w:t>STAPD”) data fields in appendix A to part 43 and the swap data elements in appendix 1 to part 45 and determined that the STAPD data fields in appendix A to part 43 would be a subset of the part 45 swap data elements in appendix 1 to part 45.</w:t>
      </w:r>
      <w:r>
        <w:rPr>
          <w:rStyle w:val="FootnoteReference"/>
          <w:rFonts w:ascii="Times New Roman" w:eastAsia="Times New Roman" w:hAnsi="Times New Roman" w:cs="Times New Roman"/>
          <w:sz w:val="24"/>
          <w:szCs w:val="24"/>
        </w:rPr>
        <w:footnoteReference w:id="14"/>
      </w:r>
      <w:r w:rsidRPr="00DD1A20">
        <w:rPr>
          <w:rFonts w:ascii="Times New Roman" w:eastAsia="Times New Roman" w:hAnsi="Times New Roman" w:cs="Times New Roman"/>
          <w:sz w:val="24"/>
          <w:szCs w:val="24"/>
        </w:rPr>
        <w:t xml:space="preserve"> CFTC regulation 45 requires reporting directly to the Commission only in the exceptional case of a swap in an asset class for which no SDR accepts swap data.</w:t>
      </w:r>
      <w:r w:rsidR="00F130FA">
        <w:rPr>
          <w:rFonts w:ascii="Times New Roman" w:eastAsia="Times New Roman" w:hAnsi="Times New Roman" w:cs="Times New Roman"/>
          <w:sz w:val="24"/>
          <w:szCs w:val="24"/>
        </w:rPr>
        <w:t xml:space="preserve"> </w:t>
      </w:r>
      <w:r w:rsidR="00597F15">
        <w:rPr>
          <w:rFonts w:ascii="Times New Roman" w:eastAsia="Times New Roman" w:hAnsi="Times New Roman" w:cs="Times New Roman"/>
          <w:sz w:val="24"/>
          <w:szCs w:val="24"/>
        </w:rPr>
        <w:t xml:space="preserve">Regulation 43.3(e) does not specifically require the collection of information more than quarterly because the </w:t>
      </w:r>
      <w:r w:rsidR="003F7DBE">
        <w:rPr>
          <w:rFonts w:ascii="Times New Roman" w:eastAsia="Times New Roman" w:hAnsi="Times New Roman" w:cs="Times New Roman"/>
          <w:sz w:val="24"/>
          <w:szCs w:val="24"/>
        </w:rPr>
        <w:t>collection is event-specific</w:t>
      </w:r>
      <w:r w:rsidR="006D3BB5">
        <w:rPr>
          <w:rFonts w:ascii="Times New Roman" w:eastAsia="Times New Roman" w:hAnsi="Times New Roman" w:cs="Times New Roman"/>
          <w:sz w:val="24"/>
          <w:szCs w:val="24"/>
        </w:rPr>
        <w:t>.</w:t>
      </w:r>
    </w:p>
    <w:p w:rsidR="00D50C84" w:rsidRPr="00E21E52" w:rsidP="005F7F42" w14:paraId="021144BF" w14:textId="7B0B0C2F">
      <w:pPr>
        <w:tabs>
          <w:tab w:val="left" w:pos="-720"/>
          <w:tab w:val="left" w:pos="0"/>
          <w:tab w:val="left" w:pos="720"/>
        </w:tabs>
        <w:suppressAutoHyphens/>
        <w:spacing w:after="240" w:line="240" w:lineRule="auto"/>
        <w:ind w:left="1440" w:hanging="1440"/>
        <w:rPr>
          <w:rFonts w:ascii="Times New Roman" w:eastAsia="Times New Roman" w:hAnsi="Times New Roman" w:cs="Times New Roman"/>
          <w:sz w:val="24"/>
          <w:szCs w:val="20"/>
          <w:u w:val="single"/>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requiring respondents to prepare a written response to a collection of information in fewer than 30 days after receipt of it:</w:t>
      </w:r>
    </w:p>
    <w:p w:rsidR="00D25761" w:rsidP="005F7F42" w14:paraId="3724B231" w14:textId="375C98F6">
      <w:pPr>
        <w:widowControl w:val="0"/>
        <w:autoSpaceDE w:val="0"/>
        <w:autoSpaceDN w:val="0"/>
        <w:adjustRightInd w:val="0"/>
        <w:spacing w:after="24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This does not apply</w:t>
      </w:r>
      <w:r w:rsidR="003C7437">
        <w:rPr>
          <w:rFonts w:ascii="Times New Roman" w:eastAsia="Times New Roman" w:hAnsi="Times New Roman" w:cs="Times New Roman"/>
          <w:sz w:val="24"/>
          <w:szCs w:val="20"/>
        </w:rPr>
        <w:t xml:space="preserve"> to Part 43 generally</w:t>
      </w:r>
      <w:r>
        <w:rPr>
          <w:rFonts w:ascii="Times New Roman" w:eastAsia="Times New Roman" w:hAnsi="Times New Roman" w:cs="Times New Roman"/>
          <w:sz w:val="24"/>
          <w:szCs w:val="20"/>
        </w:rPr>
        <w:t>.</w:t>
      </w:r>
    </w:p>
    <w:p w:rsidR="003C7437" w:rsidRPr="00E21E52" w:rsidP="005F7F42" w14:paraId="773467B5" w14:textId="1BC8DD75">
      <w:pPr>
        <w:widowControl w:val="0"/>
        <w:autoSpaceDE w:val="0"/>
        <w:autoSpaceDN w:val="0"/>
        <w:adjustRightInd w:val="0"/>
        <w:spacing w:after="24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With regards to 43.3(e), </w:t>
      </w:r>
      <w:r w:rsidR="006140F8">
        <w:rPr>
          <w:rFonts w:ascii="Times New Roman" w:eastAsia="Times New Roman" w:hAnsi="Times New Roman" w:cs="Times New Roman"/>
          <w:sz w:val="24"/>
          <w:szCs w:val="20"/>
        </w:rPr>
        <w:t xml:space="preserve">this regulation </w:t>
      </w:r>
      <w:r w:rsidRPr="006140F8" w:rsidR="006140F8">
        <w:rPr>
          <w:rFonts w:ascii="Times New Roman" w:eastAsia="Times New Roman" w:hAnsi="Times New Roman" w:cs="Times New Roman"/>
          <w:sz w:val="24"/>
          <w:szCs w:val="20"/>
        </w:rPr>
        <w:t>require</w:t>
      </w:r>
      <w:r w:rsidR="006140F8">
        <w:rPr>
          <w:rFonts w:ascii="Times New Roman" w:eastAsia="Times New Roman" w:hAnsi="Times New Roman" w:cs="Times New Roman"/>
          <w:sz w:val="24"/>
          <w:szCs w:val="20"/>
        </w:rPr>
        <w:t>s</w:t>
      </w:r>
      <w:r w:rsidRPr="006140F8" w:rsidR="006140F8">
        <w:rPr>
          <w:rFonts w:ascii="Times New Roman" w:eastAsia="Times New Roman" w:hAnsi="Times New Roman" w:cs="Times New Roman"/>
          <w:sz w:val="24"/>
          <w:szCs w:val="20"/>
        </w:rPr>
        <w:t xml:space="preserve"> information to be provided fewer than 30 days after the triggering event for the collection. This requirement is necessary to ensure that the Commission is aware of potentially large amounts of incorrect or omitted data in order to adjust its regulatory initiatives to compensate and to more efficiently work with SEFs, DCMs, SDRs, and reporting counterparties to have the data corrected as soon as possible.</w:t>
      </w:r>
    </w:p>
    <w:p w:rsidR="00D50C84" w:rsidRPr="00E21E52" w:rsidP="005F7F42" w14:paraId="20E700AB" w14:textId="5E683894">
      <w:pPr>
        <w:tabs>
          <w:tab w:val="left" w:pos="-720"/>
          <w:tab w:val="left" w:pos="0"/>
          <w:tab w:val="left" w:pos="720"/>
        </w:tabs>
        <w:suppressAutoHyphens/>
        <w:spacing w:after="240" w:line="240" w:lineRule="auto"/>
        <w:ind w:left="1440" w:hanging="144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requiring respondents to submit more that an original and two copies of any document</w:t>
      </w:r>
      <w:r w:rsidRPr="00E21E52">
        <w:rPr>
          <w:rFonts w:ascii="Times New Roman" w:eastAsia="Times New Roman" w:hAnsi="Times New Roman" w:cs="Times New Roman"/>
          <w:sz w:val="24"/>
          <w:szCs w:val="20"/>
        </w:rPr>
        <w:t>;</w:t>
      </w:r>
    </w:p>
    <w:p w:rsidR="00D50C84" w:rsidRPr="00E21E52" w:rsidP="005F7F42" w14:paraId="59115F22" w14:textId="12945BB4">
      <w:pPr>
        <w:widowControl w:val="0"/>
        <w:autoSpaceDE w:val="0"/>
        <w:autoSpaceDN w:val="0"/>
        <w:adjustRightInd w:val="0"/>
        <w:spacing w:after="24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This does not apply.</w:t>
      </w:r>
    </w:p>
    <w:p w:rsidR="00D50C84" w:rsidRPr="00E21E52" w:rsidP="005F7F42" w14:paraId="41A9D82A" w14:textId="3EDF4C0D">
      <w:pPr>
        <w:tabs>
          <w:tab w:val="left" w:pos="-720"/>
          <w:tab w:val="left" w:pos="0"/>
          <w:tab w:val="left" w:pos="720"/>
        </w:tabs>
        <w:suppressAutoHyphens/>
        <w:spacing w:after="240" w:line="240" w:lineRule="auto"/>
        <w:ind w:left="1440" w:hanging="144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requiring respondents to retain records other than health, medical, government contract, grant-in-aid, or tax records, for more than three years</w:t>
      </w:r>
      <w:r w:rsidRPr="00E21E52">
        <w:rPr>
          <w:rFonts w:ascii="Times New Roman" w:eastAsia="Times New Roman" w:hAnsi="Times New Roman" w:cs="Times New Roman"/>
          <w:sz w:val="24"/>
          <w:szCs w:val="20"/>
        </w:rPr>
        <w:t>;</w:t>
      </w:r>
    </w:p>
    <w:p w:rsidR="002E2020" w:rsidP="007F1E6B" w14:paraId="28155569" w14:textId="4E69FD96">
      <w:pPr>
        <w:tabs>
          <w:tab w:val="left" w:pos="-720"/>
          <w:tab w:val="left" w:pos="0"/>
          <w:tab w:val="left" w:pos="720"/>
        </w:tabs>
        <w:suppressAutoHyphens/>
        <w:spacing w:after="240" w:line="240" w:lineRule="auto"/>
        <w:ind w:firstLine="720"/>
        <w:rPr>
          <w:rFonts w:ascii="Times New Roman" w:eastAsia="Times New Roman" w:hAnsi="Times New Roman" w:cs="Times New Roman"/>
          <w:sz w:val="24"/>
          <w:szCs w:val="20"/>
        </w:rPr>
      </w:pPr>
      <w:r w:rsidRPr="00CC1DAD">
        <w:rPr>
          <w:rFonts w:ascii="Times New Roman" w:eastAsia="Times New Roman" w:hAnsi="Times New Roman" w:cs="Times New Roman"/>
          <w:sz w:val="24"/>
          <w:szCs w:val="20"/>
        </w:rPr>
        <w:t>The proposed revision of Information Collection</w:t>
      </w:r>
      <w:r>
        <w:rPr>
          <w:rFonts w:ascii="Times New Roman" w:eastAsia="Times New Roman" w:hAnsi="Times New Roman" w:cs="Times New Roman"/>
          <w:sz w:val="24"/>
          <w:szCs w:val="20"/>
        </w:rPr>
        <w:t xml:space="preserve"> </w:t>
      </w:r>
      <w:r w:rsidRPr="00CC1DAD">
        <w:rPr>
          <w:rFonts w:ascii="Times New Roman" w:eastAsia="Times New Roman" w:hAnsi="Times New Roman" w:cs="Times New Roman"/>
          <w:sz w:val="24"/>
          <w:szCs w:val="20"/>
        </w:rPr>
        <w:t>3038-0070 do</w:t>
      </w:r>
      <w:r w:rsidR="00832319">
        <w:rPr>
          <w:rFonts w:ascii="Times New Roman" w:eastAsia="Times New Roman" w:hAnsi="Times New Roman" w:cs="Times New Roman"/>
          <w:sz w:val="24"/>
          <w:szCs w:val="20"/>
        </w:rPr>
        <w:t>es</w:t>
      </w:r>
      <w:r w:rsidRPr="00CC1DAD">
        <w:rPr>
          <w:rFonts w:ascii="Times New Roman" w:eastAsia="Times New Roman" w:hAnsi="Times New Roman" w:cs="Times New Roman"/>
          <w:sz w:val="24"/>
          <w:szCs w:val="20"/>
        </w:rPr>
        <w:t xml:space="preserve"> not modify any recordkeeping requirements associated with th</w:t>
      </w:r>
      <w:r w:rsidR="00832319">
        <w:rPr>
          <w:rFonts w:ascii="Times New Roman" w:eastAsia="Times New Roman" w:hAnsi="Times New Roman" w:cs="Times New Roman"/>
          <w:sz w:val="24"/>
          <w:szCs w:val="20"/>
        </w:rPr>
        <w:t>is</w:t>
      </w:r>
      <w:r w:rsidRPr="00CC1DAD">
        <w:rPr>
          <w:rFonts w:ascii="Times New Roman" w:eastAsia="Times New Roman" w:hAnsi="Times New Roman" w:cs="Times New Roman"/>
          <w:sz w:val="24"/>
          <w:szCs w:val="20"/>
        </w:rPr>
        <w:t xml:space="preserve"> collections.</w:t>
      </w:r>
    </w:p>
    <w:p w:rsidR="00D50C84" w:rsidRPr="00E21E52" w:rsidP="005F7F42" w14:paraId="444CF53E" w14:textId="52A2444E">
      <w:pPr>
        <w:tabs>
          <w:tab w:val="left" w:pos="-720"/>
          <w:tab w:val="left" w:pos="0"/>
          <w:tab w:val="left" w:pos="720"/>
        </w:tabs>
        <w:suppressAutoHyphens/>
        <w:spacing w:after="240" w:line="240" w:lineRule="auto"/>
        <w:ind w:left="1440" w:hanging="1440"/>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E21E52" w:rsidR="00C6101A">
        <w:rPr>
          <w:rFonts w:ascii="Times New Roman" w:eastAsia="Times New Roman" w:hAnsi="Times New Roman" w:cs="Times New Roman"/>
          <w:sz w:val="24"/>
          <w:szCs w:val="20"/>
        </w:rPr>
        <w:t>-</w:t>
      </w:r>
      <w:r w:rsidRPr="00E21E52" w:rsidR="00C6101A">
        <w:rPr>
          <w:rFonts w:ascii="Times New Roman" w:eastAsia="Times New Roman" w:hAnsi="Times New Roman" w:cs="Times New Roman"/>
          <w:sz w:val="24"/>
          <w:szCs w:val="20"/>
        </w:rPr>
        <w:tab/>
      </w:r>
      <w:r w:rsidRPr="00E21E52" w:rsidR="00C6101A">
        <w:rPr>
          <w:rFonts w:ascii="Times New Roman" w:eastAsia="Times New Roman" w:hAnsi="Times New Roman" w:cs="Times New Roman"/>
          <w:sz w:val="24"/>
          <w:szCs w:val="20"/>
          <w:u w:val="single"/>
        </w:rPr>
        <w:t>in connection with a statistical survey, that is not designed to produce valid and reliable results that can be generalized to the universe of study</w:t>
      </w:r>
      <w:r w:rsidRPr="00E21E52" w:rsidR="00C6101A">
        <w:rPr>
          <w:rFonts w:ascii="Times New Roman" w:eastAsia="Times New Roman" w:hAnsi="Times New Roman" w:cs="Times New Roman"/>
          <w:sz w:val="24"/>
          <w:szCs w:val="20"/>
        </w:rPr>
        <w:t>;</w:t>
      </w:r>
    </w:p>
    <w:p w:rsidR="00D50C84" w:rsidRPr="00E21E52" w:rsidP="005F7F42" w14:paraId="576919F9" w14:textId="0C133166">
      <w:pPr>
        <w:widowControl w:val="0"/>
        <w:autoSpaceDE w:val="0"/>
        <w:autoSpaceDN w:val="0"/>
        <w:adjustRightInd w:val="0"/>
        <w:spacing w:after="240" w:line="240" w:lineRule="auto"/>
        <w:ind w:firstLine="720"/>
        <w:rPr>
          <w:rFonts w:ascii="Times New Roman" w:eastAsia="Times New Roman" w:hAnsi="Times New Roman" w:cs="Times New Roman"/>
          <w:sz w:val="24"/>
          <w:szCs w:val="20"/>
        </w:rPr>
      </w:pPr>
      <w:r w:rsidRPr="00D25761">
        <w:rPr>
          <w:rFonts w:ascii="Times New Roman" w:eastAsia="Times New Roman" w:hAnsi="Times New Roman" w:cs="Times New Roman"/>
          <w:sz w:val="24"/>
          <w:szCs w:val="20"/>
        </w:rPr>
        <w:t>Not applicable, the proposed collection does not involve the use of any statistical data classification.</w:t>
      </w:r>
    </w:p>
    <w:p w:rsidR="00D50C84" w:rsidRPr="00E21E52" w:rsidP="005F7F42" w14:paraId="4F8CAC83" w14:textId="2A46B79A">
      <w:pPr>
        <w:tabs>
          <w:tab w:val="left" w:pos="-720"/>
          <w:tab w:val="left" w:pos="0"/>
          <w:tab w:val="left" w:pos="720"/>
        </w:tabs>
        <w:suppressAutoHyphens/>
        <w:spacing w:after="240" w:line="240" w:lineRule="auto"/>
        <w:ind w:left="1440" w:hanging="144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requiring the use of a statistical data classification that has not been reviewed and approved by OMB</w:t>
      </w:r>
      <w:r w:rsidRPr="00E21E52">
        <w:rPr>
          <w:rFonts w:ascii="Times New Roman" w:eastAsia="Times New Roman" w:hAnsi="Times New Roman" w:cs="Times New Roman"/>
          <w:sz w:val="24"/>
          <w:szCs w:val="20"/>
        </w:rPr>
        <w:t>;</w:t>
      </w:r>
    </w:p>
    <w:p w:rsidR="00D50C84" w:rsidRPr="00E21E52" w:rsidP="005F7F42" w14:paraId="62C2FFAB" w14:textId="09292D65">
      <w:pPr>
        <w:widowControl w:val="0"/>
        <w:autoSpaceDE w:val="0"/>
        <w:autoSpaceDN w:val="0"/>
        <w:adjustRightInd w:val="0"/>
        <w:spacing w:after="240" w:line="240" w:lineRule="auto"/>
        <w:ind w:firstLine="720"/>
        <w:rPr>
          <w:rFonts w:ascii="Times New Roman" w:eastAsia="Times New Roman" w:hAnsi="Times New Roman" w:cs="Times New Roman"/>
          <w:sz w:val="24"/>
          <w:szCs w:val="20"/>
        </w:rPr>
      </w:pPr>
      <w:r w:rsidRPr="00D25761">
        <w:rPr>
          <w:rFonts w:ascii="Times New Roman" w:eastAsia="Times New Roman" w:hAnsi="Times New Roman" w:cs="Times New Roman"/>
          <w:sz w:val="24"/>
          <w:szCs w:val="20"/>
        </w:rPr>
        <w:t>Not applicable, the proposed collection does not involve the use of any statistical data classification.</w:t>
      </w:r>
    </w:p>
    <w:p w:rsidR="00D50C84" w:rsidRPr="00E21E52" w:rsidP="0033029E" w14:paraId="74E88836" w14:textId="6730D0D4">
      <w:pPr>
        <w:tabs>
          <w:tab w:val="left" w:pos="-720"/>
          <w:tab w:val="left" w:pos="0"/>
          <w:tab w:val="left" w:pos="720"/>
        </w:tabs>
        <w:suppressAutoHyphens/>
        <w:spacing w:after="240" w:line="240" w:lineRule="auto"/>
        <w:ind w:left="1440" w:hanging="144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D50C84" w:rsidRPr="00E21E52" w:rsidP="0033029E" w14:paraId="17BE7721" w14:textId="69F3BA54">
      <w:pPr>
        <w:widowControl w:val="0"/>
        <w:autoSpaceDE w:val="0"/>
        <w:autoSpaceDN w:val="0"/>
        <w:adjustRightInd w:val="0"/>
        <w:spacing w:after="240" w:line="240" w:lineRule="auto"/>
        <w:ind w:firstLine="720"/>
        <w:rPr>
          <w:rFonts w:ascii="Times New Roman" w:eastAsia="Times New Roman" w:hAnsi="Times New Roman" w:cs="Times New Roman"/>
          <w:sz w:val="24"/>
          <w:szCs w:val="20"/>
        </w:rPr>
      </w:pPr>
      <w:r w:rsidRPr="00D25761">
        <w:rPr>
          <w:rFonts w:ascii="Times New Roman" w:eastAsia="Times New Roman" w:hAnsi="Times New Roman" w:cs="Times New Roman"/>
          <w:sz w:val="24"/>
          <w:szCs w:val="20"/>
        </w:rPr>
        <w:t>Not applicable, the proposed collection does not include any pledges of confidentiality that are not supported by authority established in statute or regulation.</w:t>
      </w:r>
    </w:p>
    <w:p w:rsidR="00D50C84" w:rsidRPr="00E21E52" w:rsidP="005F7F42" w14:paraId="1E8DD750" w14:textId="36761AAE">
      <w:pPr>
        <w:tabs>
          <w:tab w:val="left" w:pos="-720"/>
          <w:tab w:val="left" w:pos="0"/>
          <w:tab w:val="left" w:pos="720"/>
        </w:tabs>
        <w:suppressAutoHyphens/>
        <w:spacing w:after="240" w:line="240" w:lineRule="auto"/>
        <w:ind w:left="1440" w:hanging="144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requiring respondents to submit proprietary trade secrets, or other confidential information unless the agency can demonstrate that it has instituted procedures to protect the information's confidentiality to the extent permitted by law</w:t>
      </w:r>
      <w:r w:rsidRPr="00E21E52">
        <w:rPr>
          <w:rFonts w:ascii="Times New Roman" w:eastAsia="Times New Roman" w:hAnsi="Times New Roman" w:cs="Times New Roman"/>
          <w:sz w:val="24"/>
          <w:szCs w:val="20"/>
        </w:rPr>
        <w:t>.</w:t>
      </w:r>
    </w:p>
    <w:p w:rsidR="00D50C84" w:rsidRPr="00E21E52" w:rsidP="0033029E" w14:paraId="4289DD13" w14:textId="00510CD0">
      <w:pPr>
        <w:widowControl w:val="0"/>
        <w:autoSpaceDE w:val="0"/>
        <w:autoSpaceDN w:val="0"/>
        <w:adjustRightInd w:val="0"/>
        <w:spacing w:after="240" w:line="240" w:lineRule="auto"/>
        <w:ind w:firstLine="720"/>
        <w:rPr>
          <w:rFonts w:ascii="Times New Roman" w:eastAsia="Times New Roman" w:hAnsi="Times New Roman" w:cs="Times New Roman"/>
          <w:sz w:val="24"/>
          <w:szCs w:val="20"/>
        </w:rPr>
      </w:pPr>
      <w:r w:rsidRPr="00D6108B">
        <w:rPr>
          <w:rFonts w:ascii="Times New Roman" w:eastAsia="Times New Roman" w:hAnsi="Times New Roman" w:cs="Times New Roman"/>
          <w:sz w:val="24"/>
          <w:szCs w:val="20"/>
        </w:rPr>
        <w:t xml:space="preserve">All current and proposed requirements to submit proprietary or other confidential information are subject to the Commission’s existing statutory, regulatory, and procedural requirements to protect the confidentiality of such information. This includes the requirements of sections 8(a) and 21(c)(6) of the Act as well as in </w:t>
      </w:r>
      <w:r>
        <w:rPr>
          <w:rFonts w:ascii="Times New Roman" w:eastAsia="Times New Roman" w:hAnsi="Times New Roman" w:cs="Times New Roman"/>
          <w:sz w:val="24"/>
          <w:szCs w:val="20"/>
        </w:rPr>
        <w:t>regulations</w:t>
      </w:r>
      <w:r w:rsidRPr="00D6108B">
        <w:rPr>
          <w:rFonts w:ascii="Times New Roman" w:eastAsia="Times New Roman" w:hAnsi="Times New Roman" w:cs="Times New Roman"/>
          <w:sz w:val="24"/>
          <w:szCs w:val="20"/>
        </w:rPr>
        <w:t xml:space="preserve"> </w:t>
      </w:r>
      <w:r w:rsidR="00FF7177">
        <w:rPr>
          <w:rFonts w:ascii="Times New Roman" w:eastAsia="Times New Roman" w:hAnsi="Times New Roman" w:cs="Times New Roman"/>
          <w:sz w:val="24"/>
          <w:szCs w:val="20"/>
        </w:rPr>
        <w:t xml:space="preserve">43.4, </w:t>
      </w:r>
      <w:r w:rsidRPr="00D6108B">
        <w:rPr>
          <w:rFonts w:ascii="Times New Roman" w:eastAsia="Times New Roman" w:hAnsi="Times New Roman" w:cs="Times New Roman"/>
          <w:sz w:val="24"/>
          <w:szCs w:val="20"/>
        </w:rPr>
        <w:t>49.16, 49.17, and 49.18, and parts 145 and 147 of the Commission’s regulations</w:t>
      </w:r>
      <w:r w:rsidR="00FF7177">
        <w:rPr>
          <w:rFonts w:ascii="Times New Roman" w:eastAsia="Times New Roman" w:hAnsi="Times New Roman" w:cs="Times New Roman"/>
          <w:sz w:val="24"/>
          <w:szCs w:val="20"/>
        </w:rPr>
        <w:t>.</w:t>
      </w:r>
      <w:r w:rsidRPr="00E21E52">
        <w:rPr>
          <w:rFonts w:ascii="Times New Roman" w:eastAsia="Times New Roman" w:hAnsi="Times New Roman" w:cs="Times New Roman"/>
          <w:sz w:val="24"/>
          <w:szCs w:val="20"/>
        </w:rPr>
        <w:t xml:space="preserve"> </w:t>
      </w:r>
      <w:r w:rsidR="0038460D">
        <w:rPr>
          <w:rFonts w:ascii="Times New Roman" w:eastAsia="Times New Roman" w:hAnsi="Times New Roman" w:cs="Times New Roman"/>
          <w:sz w:val="24"/>
          <w:szCs w:val="20"/>
        </w:rPr>
        <w:t xml:space="preserve">Additionally, </w:t>
      </w:r>
      <w:r w:rsidR="009C5858">
        <w:rPr>
          <w:rFonts w:ascii="Times New Roman" w:eastAsia="Times New Roman" w:hAnsi="Times New Roman" w:cs="Times New Roman"/>
          <w:sz w:val="24"/>
          <w:szCs w:val="20"/>
        </w:rPr>
        <w:t>in regards to 43.3(e), the i</w:t>
      </w:r>
      <w:r w:rsidRPr="009C5858" w:rsidR="009C5858">
        <w:rPr>
          <w:rFonts w:ascii="Times New Roman" w:eastAsia="Times New Roman" w:hAnsi="Times New Roman" w:cs="Times New Roman"/>
          <w:sz w:val="24"/>
          <w:szCs w:val="20"/>
        </w:rPr>
        <w:t xml:space="preserve">nformation required to be collected or reported </w:t>
      </w:r>
      <w:r w:rsidR="009C5858">
        <w:rPr>
          <w:rFonts w:ascii="Times New Roman" w:eastAsia="Times New Roman" w:hAnsi="Times New Roman" w:cs="Times New Roman"/>
          <w:sz w:val="24"/>
          <w:szCs w:val="20"/>
        </w:rPr>
        <w:t xml:space="preserve">is </w:t>
      </w:r>
      <w:r w:rsidRPr="009C5858" w:rsidR="009C5858">
        <w:rPr>
          <w:rFonts w:ascii="Times New Roman" w:eastAsia="Times New Roman" w:hAnsi="Times New Roman" w:cs="Times New Roman"/>
          <w:sz w:val="24"/>
          <w:szCs w:val="20"/>
        </w:rPr>
        <w:t>generally not made public, though it may be shared with other regulators pursuant to Part 49 of the Commission’s regulations.</w:t>
      </w:r>
    </w:p>
    <w:p w:rsidR="00D50C84" w:rsidRPr="00E21E52" w:rsidP="005F7F42" w14:paraId="2B5644C1" w14:textId="122A21BF">
      <w:pPr>
        <w:tabs>
          <w:tab w:val="left" w:pos="-720"/>
          <w:tab w:val="left" w:pos="0"/>
        </w:tabs>
        <w:suppressAutoHyphens/>
        <w:spacing w:after="24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8.</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w:t>
      </w:r>
      <w:r w:rsidRPr="00E21E52">
        <w:rPr>
          <w:rFonts w:ascii="Times New Roman" w:eastAsia="Times New Roman" w:hAnsi="Times New Roman" w:cs="Times New Roman"/>
          <w:sz w:val="24"/>
          <w:szCs w:val="20"/>
          <w:u w:val="single"/>
        </w:rPr>
        <w:t>response to these comments.  Specifically address comments received on cost and hour burden.</w:t>
      </w:r>
    </w:p>
    <w:p w:rsidR="00D50C84" w:rsidP="005F7F42" w14:paraId="4CB5D244" w14:textId="77777777">
      <w:pPr>
        <w:tabs>
          <w:tab w:val="left" w:pos="-720"/>
          <w:tab w:val="left" w:pos="0"/>
        </w:tabs>
        <w:suppressAutoHyphens/>
        <w:spacing w:after="240" w:line="240" w:lineRule="auto"/>
        <w:ind w:left="720" w:hanging="720"/>
        <w:rPr>
          <w:rFonts w:ascii="Times New Roman" w:eastAsia="Times New Roman" w:hAnsi="Times New Roman" w:cs="Times New Roman"/>
          <w:sz w:val="24"/>
          <w:szCs w:val="20"/>
          <w:u w:val="single"/>
        </w:rPr>
      </w:pP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D7957" w:rsidP="00AB0E46" w14:paraId="47A3705F" w14:textId="388006BF">
      <w:pPr>
        <w:tabs>
          <w:tab w:val="left" w:pos="0"/>
        </w:tabs>
        <w:suppressAutoHyphens/>
        <w:spacing w:after="240" w:line="240" w:lineRule="auto"/>
        <w:ind w:firstLine="720"/>
        <w:contextualSpacing/>
        <w:rPr>
          <w:rFonts w:ascii="Times New Roman" w:eastAsia="Times New Roman" w:hAnsi="Times New Roman" w:cs="Times New Roman"/>
          <w:sz w:val="24"/>
          <w:szCs w:val="20"/>
        </w:rPr>
      </w:pPr>
      <w:r w:rsidRPr="005D7957">
        <w:rPr>
          <w:rFonts w:ascii="Times New Roman" w:eastAsia="Times New Roman" w:hAnsi="Times New Roman" w:cs="Times New Roman"/>
          <w:sz w:val="24"/>
          <w:szCs w:val="20"/>
        </w:rPr>
        <w:t>The Commission affirmatively sought comment</w:t>
      </w:r>
      <w:r w:rsidR="0086193C">
        <w:rPr>
          <w:rFonts w:ascii="Times New Roman" w:eastAsia="Times New Roman" w:hAnsi="Times New Roman" w:cs="Times New Roman"/>
          <w:sz w:val="24"/>
          <w:szCs w:val="20"/>
        </w:rPr>
        <w:t>s</w:t>
      </w:r>
      <w:r w:rsidRPr="005D7957">
        <w:rPr>
          <w:rFonts w:ascii="Times New Roman" w:eastAsia="Times New Roman" w:hAnsi="Times New Roman" w:cs="Times New Roman"/>
          <w:sz w:val="24"/>
          <w:szCs w:val="20"/>
        </w:rPr>
        <w:t xml:space="preserve"> from the public concerning the renewal of existing collections of information required by CFTC regulation 4</w:t>
      </w:r>
      <w:r>
        <w:rPr>
          <w:rFonts w:ascii="Times New Roman" w:eastAsia="Times New Roman" w:hAnsi="Times New Roman" w:cs="Times New Roman"/>
          <w:sz w:val="24"/>
          <w:szCs w:val="20"/>
        </w:rPr>
        <w:t>3</w:t>
      </w:r>
      <w:r w:rsidRPr="005D7957">
        <w:rPr>
          <w:rFonts w:ascii="Times New Roman" w:eastAsia="Times New Roman" w:hAnsi="Times New Roman" w:cs="Times New Roman"/>
          <w:sz w:val="24"/>
          <w:szCs w:val="20"/>
        </w:rPr>
        <w:t xml:space="preserve">. A copy of the </w:t>
      </w:r>
      <w:r w:rsidR="0086193C">
        <w:rPr>
          <w:rFonts w:ascii="Times New Roman" w:eastAsia="Times New Roman" w:hAnsi="Times New Roman" w:cs="Times New Roman"/>
          <w:sz w:val="24"/>
          <w:szCs w:val="20"/>
        </w:rPr>
        <w:t xml:space="preserve">60-Day Notice soliciting </w:t>
      </w:r>
      <w:r w:rsidRPr="005D7957">
        <w:rPr>
          <w:rFonts w:ascii="Times New Roman" w:eastAsia="Times New Roman" w:hAnsi="Times New Roman" w:cs="Times New Roman"/>
          <w:sz w:val="24"/>
          <w:szCs w:val="20"/>
        </w:rPr>
        <w:t>public comment</w:t>
      </w:r>
      <w:r w:rsidR="0086193C">
        <w:rPr>
          <w:rFonts w:ascii="Times New Roman" w:eastAsia="Times New Roman" w:hAnsi="Times New Roman" w:cs="Times New Roman"/>
          <w:sz w:val="24"/>
          <w:szCs w:val="20"/>
        </w:rPr>
        <w:t>s</w:t>
      </w:r>
      <w:r w:rsidRPr="005D7957">
        <w:rPr>
          <w:rFonts w:ascii="Times New Roman" w:eastAsia="Times New Roman" w:hAnsi="Times New Roman" w:cs="Times New Roman"/>
          <w:sz w:val="24"/>
          <w:szCs w:val="20"/>
        </w:rPr>
        <w:t xml:space="preserve"> appeared in the Federal Register at </w:t>
      </w:r>
      <w:r w:rsidRPr="00F60BE3" w:rsidR="00A85105">
        <w:rPr>
          <w:rFonts w:ascii="Times New Roman" w:eastAsia="Times New Roman" w:hAnsi="Times New Roman" w:cs="Times New Roman"/>
          <w:sz w:val="24"/>
          <w:szCs w:val="20"/>
        </w:rPr>
        <w:t>90</w:t>
      </w:r>
      <w:r w:rsidRPr="001A3FA1" w:rsidR="00A85105">
        <w:rPr>
          <w:rFonts w:ascii="Times New Roman" w:eastAsia="Times New Roman" w:hAnsi="Times New Roman" w:cs="Times New Roman"/>
          <w:sz w:val="24"/>
          <w:szCs w:val="20"/>
        </w:rPr>
        <w:t xml:space="preserve"> </w:t>
      </w:r>
      <w:r w:rsidRPr="001A3FA1">
        <w:rPr>
          <w:rFonts w:ascii="Times New Roman" w:eastAsia="Times New Roman" w:hAnsi="Times New Roman" w:cs="Times New Roman"/>
          <w:sz w:val="24"/>
          <w:szCs w:val="20"/>
        </w:rPr>
        <w:t xml:space="preserve">FR </w:t>
      </w:r>
      <w:r w:rsidRPr="001A3FA1" w:rsidR="0046134A">
        <w:rPr>
          <w:rFonts w:ascii="Times New Roman" w:eastAsia="Times New Roman" w:hAnsi="Times New Roman" w:cs="Times New Roman"/>
          <w:sz w:val="24"/>
          <w:szCs w:val="20"/>
        </w:rPr>
        <w:t>19685 (</w:t>
      </w:r>
      <w:r w:rsidRPr="001A3FA1" w:rsidR="00F60BE3">
        <w:rPr>
          <w:rFonts w:ascii="Times New Roman" w:eastAsia="Times New Roman" w:hAnsi="Times New Roman" w:cs="Times New Roman"/>
          <w:sz w:val="24"/>
          <w:szCs w:val="20"/>
        </w:rPr>
        <w:t>May 9,</w:t>
      </w:r>
      <w:r w:rsidRPr="001A3FA1">
        <w:rPr>
          <w:rFonts w:ascii="Times New Roman" w:eastAsia="Times New Roman" w:hAnsi="Times New Roman" w:cs="Times New Roman"/>
          <w:sz w:val="24"/>
          <w:szCs w:val="20"/>
        </w:rPr>
        <w:t xml:space="preserve"> 202</w:t>
      </w:r>
      <w:r w:rsidRPr="001A3FA1" w:rsidR="00C107D2">
        <w:rPr>
          <w:rFonts w:ascii="Times New Roman" w:eastAsia="Times New Roman" w:hAnsi="Times New Roman" w:cs="Times New Roman"/>
          <w:sz w:val="24"/>
          <w:szCs w:val="20"/>
        </w:rPr>
        <w:t>5</w:t>
      </w:r>
      <w:r w:rsidRPr="001A3FA1">
        <w:rPr>
          <w:rFonts w:ascii="Times New Roman" w:eastAsia="Times New Roman" w:hAnsi="Times New Roman" w:cs="Times New Roman"/>
          <w:sz w:val="24"/>
          <w:szCs w:val="20"/>
        </w:rPr>
        <w:t>).</w:t>
      </w:r>
      <w:r w:rsidR="001A3FA1">
        <w:rPr>
          <w:rFonts w:ascii="Times New Roman" w:eastAsia="Times New Roman" w:hAnsi="Times New Roman" w:cs="Times New Roman"/>
          <w:sz w:val="24"/>
          <w:szCs w:val="20"/>
        </w:rPr>
        <w:t xml:space="preserve"> </w:t>
      </w:r>
      <w:r w:rsidRPr="008B6EE8">
        <w:rPr>
          <w:rFonts w:ascii="Times New Roman" w:eastAsia="Times New Roman" w:hAnsi="Times New Roman" w:cs="Times New Roman"/>
          <w:sz w:val="24"/>
          <w:szCs w:val="20"/>
        </w:rPr>
        <w:t>The Commission received no relevant comments</w:t>
      </w:r>
      <w:r w:rsidRPr="008B6EE8" w:rsidR="001A3FA1">
        <w:rPr>
          <w:rFonts w:ascii="Times New Roman" w:eastAsia="Times New Roman" w:hAnsi="Times New Roman" w:cs="Times New Roman"/>
          <w:sz w:val="24"/>
          <w:szCs w:val="20"/>
        </w:rPr>
        <w:t>.</w:t>
      </w:r>
    </w:p>
    <w:p w:rsidR="00F87018" w:rsidRPr="005D7957" w:rsidP="00AB0E46" w14:paraId="1054ADC0" w14:textId="77777777">
      <w:pPr>
        <w:suppressAutoHyphens/>
        <w:spacing w:after="240" w:line="240" w:lineRule="auto"/>
        <w:ind w:left="720" w:firstLine="720"/>
        <w:contextualSpacing/>
        <w:rPr>
          <w:rFonts w:ascii="Times New Roman" w:eastAsia="Times New Roman" w:hAnsi="Times New Roman" w:cs="Times New Roman"/>
          <w:sz w:val="24"/>
          <w:szCs w:val="20"/>
        </w:rPr>
      </w:pPr>
    </w:p>
    <w:p w:rsidR="00D50C84" w:rsidRPr="00E21E52" w:rsidP="0033029E" w14:paraId="2F67A1DE" w14:textId="0105F21E">
      <w:pPr>
        <w:tabs>
          <w:tab w:val="left" w:pos="-720"/>
          <w:tab w:val="left" w:pos="0"/>
        </w:tabs>
        <w:suppressAutoHyphens/>
        <w:spacing w:after="24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r w:rsidRPr="00E21E52">
        <w:rPr>
          <w:rFonts w:ascii="Times New Roman" w:eastAsia="Times New Roman" w:hAnsi="Times New Roman" w:cs="Times New Roman"/>
          <w:sz w:val="24"/>
          <w:szCs w:val="20"/>
        </w:rPr>
        <w:t>.</w:t>
      </w:r>
    </w:p>
    <w:p w:rsidR="00EF1247" w:rsidRPr="00EF1247" w:rsidP="0033029E" w14:paraId="1CF032D0" w14:textId="0A2BE853">
      <w:pPr>
        <w:widowControl w:val="0"/>
        <w:autoSpaceDE w:val="0"/>
        <w:autoSpaceDN w:val="0"/>
        <w:adjustRightInd w:val="0"/>
        <w:spacing w:after="24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Not applicable</w:t>
      </w:r>
      <w:r w:rsidR="00784C1C">
        <w:rPr>
          <w:rFonts w:ascii="Times New Roman" w:eastAsia="Times New Roman" w:hAnsi="Times New Roman" w:cs="Times New Roman"/>
          <w:sz w:val="24"/>
          <w:szCs w:val="20"/>
        </w:rPr>
        <w:t xml:space="preserve">. </w:t>
      </w:r>
    </w:p>
    <w:p w:rsidR="00D50C84" w:rsidRPr="00E21E52" w:rsidP="005F7F42" w14:paraId="176984A5" w14:textId="74628D2A">
      <w:pPr>
        <w:tabs>
          <w:tab w:val="left" w:pos="-720"/>
          <w:tab w:val="left" w:pos="0"/>
        </w:tabs>
        <w:suppressAutoHyphens/>
        <w:spacing w:after="24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9.</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Explain any decision to provide any payment or gift to respondents, other than remuneration of contractors or grantees</w:t>
      </w:r>
      <w:r w:rsidRPr="00E21E52">
        <w:rPr>
          <w:rFonts w:ascii="Times New Roman" w:eastAsia="Times New Roman" w:hAnsi="Times New Roman" w:cs="Times New Roman"/>
          <w:sz w:val="24"/>
          <w:szCs w:val="20"/>
        </w:rPr>
        <w:t>.</w:t>
      </w:r>
    </w:p>
    <w:p w:rsidR="00D50C84" w:rsidRPr="00E21E52" w:rsidP="0033029E" w14:paraId="46125B33" w14:textId="2D712839">
      <w:pPr>
        <w:widowControl w:val="0"/>
        <w:autoSpaceDE w:val="0"/>
        <w:autoSpaceDN w:val="0"/>
        <w:adjustRightInd w:val="0"/>
        <w:spacing w:after="24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Not applicable</w:t>
      </w:r>
      <w:r w:rsidRPr="00E21E52">
        <w:rPr>
          <w:rFonts w:ascii="Times New Roman" w:eastAsia="Times New Roman" w:hAnsi="Times New Roman" w:cs="Times New Roman"/>
          <w:sz w:val="24"/>
          <w:szCs w:val="20"/>
        </w:rPr>
        <w:t xml:space="preserve">.  This </w:t>
      </w:r>
      <w:r w:rsidR="005321D9">
        <w:rPr>
          <w:rFonts w:ascii="Times New Roman" w:eastAsia="Times New Roman" w:hAnsi="Times New Roman" w:cs="Times New Roman"/>
          <w:sz w:val="24"/>
          <w:szCs w:val="20"/>
        </w:rPr>
        <w:t>I</w:t>
      </w:r>
      <w:r w:rsidRPr="00E21E52">
        <w:rPr>
          <w:rFonts w:ascii="Times New Roman" w:eastAsia="Times New Roman" w:hAnsi="Times New Roman" w:cs="Times New Roman"/>
          <w:sz w:val="24"/>
          <w:szCs w:val="20"/>
        </w:rPr>
        <w:t xml:space="preserve">nformation </w:t>
      </w:r>
      <w:r w:rsidR="005321D9">
        <w:rPr>
          <w:rFonts w:ascii="Times New Roman" w:eastAsia="Times New Roman" w:hAnsi="Times New Roman" w:cs="Times New Roman"/>
          <w:sz w:val="24"/>
          <w:szCs w:val="20"/>
        </w:rPr>
        <w:t>C</w:t>
      </w:r>
      <w:r w:rsidRPr="00E21E52">
        <w:rPr>
          <w:rFonts w:ascii="Times New Roman" w:eastAsia="Times New Roman" w:hAnsi="Times New Roman" w:cs="Times New Roman"/>
          <w:sz w:val="24"/>
          <w:szCs w:val="20"/>
        </w:rPr>
        <w:t>ollection does not involve the provision of any payment or gift to respondents.</w:t>
      </w:r>
    </w:p>
    <w:p w:rsidR="00D50C84" w:rsidRPr="00E21E52" w:rsidP="005F7F42" w14:paraId="712FB3F5" w14:textId="775B792A">
      <w:pPr>
        <w:tabs>
          <w:tab w:val="left" w:pos="-720"/>
          <w:tab w:val="left" w:pos="0"/>
        </w:tabs>
        <w:suppressAutoHyphens/>
        <w:spacing w:after="24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10.</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Describe any assurance of confidentiality provided to respondents and the basis for the assurance in statute, regulations, or agency policy</w:t>
      </w:r>
      <w:r w:rsidRPr="00E21E52">
        <w:rPr>
          <w:rFonts w:ascii="Times New Roman" w:eastAsia="Times New Roman" w:hAnsi="Times New Roman" w:cs="Times New Roman"/>
          <w:sz w:val="24"/>
          <w:szCs w:val="20"/>
        </w:rPr>
        <w:t>.</w:t>
      </w:r>
    </w:p>
    <w:p w:rsidR="00D50C84" w:rsidRPr="00E21E52" w:rsidP="0033029E" w14:paraId="4E17B9DC" w14:textId="3415E8CA">
      <w:pPr>
        <w:widowControl w:val="0"/>
        <w:autoSpaceDE w:val="0"/>
        <w:autoSpaceDN w:val="0"/>
        <w:adjustRightInd w:val="0"/>
        <w:spacing w:after="240" w:line="240" w:lineRule="auto"/>
        <w:ind w:firstLine="720"/>
        <w:rPr>
          <w:rFonts w:ascii="Times New Roman" w:eastAsia="Times New Roman" w:hAnsi="Times New Roman" w:cs="Times New Roman"/>
          <w:sz w:val="24"/>
          <w:szCs w:val="20"/>
        </w:rPr>
      </w:pPr>
      <w:r w:rsidRPr="006009B3">
        <w:rPr>
          <w:rFonts w:ascii="Times New Roman" w:eastAsia="Times New Roman" w:hAnsi="Times New Roman" w:cs="Times New Roman"/>
          <w:sz w:val="24"/>
          <w:szCs w:val="20"/>
        </w:rPr>
        <w:t xml:space="preserve">All current and proposed requirements to submit proprietary or other confidential information are subject to the Commission’s existing statutory, regulatory, and procedural requirements to protect the confidentiality of such information. This includes the requirements of sections 8(a) and 21(c)(6) of the Act as well as in </w:t>
      </w:r>
      <w:r w:rsidR="00210C72">
        <w:rPr>
          <w:rFonts w:ascii="Times New Roman" w:eastAsia="Times New Roman" w:hAnsi="Times New Roman" w:cs="Times New Roman"/>
          <w:sz w:val="24"/>
          <w:szCs w:val="20"/>
        </w:rPr>
        <w:t>regulations</w:t>
      </w:r>
      <w:r w:rsidRPr="006009B3">
        <w:rPr>
          <w:rFonts w:ascii="Times New Roman" w:eastAsia="Times New Roman" w:hAnsi="Times New Roman" w:cs="Times New Roman"/>
          <w:sz w:val="24"/>
          <w:szCs w:val="20"/>
        </w:rPr>
        <w:t xml:space="preserve"> 43.4, 49.16, 49.17, and 49.18, and </w:t>
      </w:r>
      <w:r w:rsidR="00210C72">
        <w:rPr>
          <w:rFonts w:ascii="Times New Roman" w:eastAsia="Times New Roman" w:hAnsi="Times New Roman" w:cs="Times New Roman"/>
          <w:sz w:val="24"/>
          <w:szCs w:val="20"/>
        </w:rPr>
        <w:t>P</w:t>
      </w:r>
      <w:r w:rsidRPr="006009B3">
        <w:rPr>
          <w:rFonts w:ascii="Times New Roman" w:eastAsia="Times New Roman" w:hAnsi="Times New Roman" w:cs="Times New Roman"/>
          <w:sz w:val="24"/>
          <w:szCs w:val="20"/>
        </w:rPr>
        <w:t>arts 145 and 147 of the Commission’s regulations.</w:t>
      </w:r>
    </w:p>
    <w:p w:rsidR="00D50C84" w:rsidRPr="00E21E52" w:rsidP="005F7F42" w14:paraId="247FE7B4" w14:textId="1453633E">
      <w:pPr>
        <w:tabs>
          <w:tab w:val="left" w:pos="-720"/>
        </w:tabs>
        <w:suppressAutoHyphens/>
        <w:spacing w:after="24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11.</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E21E52">
        <w:rPr>
          <w:rFonts w:ascii="Times New Roman" w:eastAsia="Times New Roman" w:hAnsi="Times New Roman" w:cs="Times New Roman"/>
          <w:sz w:val="24"/>
          <w:szCs w:val="20"/>
        </w:rPr>
        <w:t>.</w:t>
      </w:r>
    </w:p>
    <w:p w:rsidR="00D50C84" w:rsidRPr="00E21E52" w:rsidP="0033029E" w14:paraId="59E898C4" w14:textId="022D78F6">
      <w:pPr>
        <w:widowControl w:val="0"/>
        <w:autoSpaceDE w:val="0"/>
        <w:autoSpaceDN w:val="0"/>
        <w:adjustRightInd w:val="0"/>
        <w:spacing w:after="240" w:line="240" w:lineRule="auto"/>
        <w:ind w:firstLine="720"/>
        <w:rPr>
          <w:rFonts w:ascii="Times New Roman" w:eastAsia="Times New Roman" w:hAnsi="Times New Roman" w:cs="Times New Roman"/>
          <w:sz w:val="24"/>
          <w:szCs w:val="20"/>
        </w:rPr>
      </w:pPr>
      <w:r w:rsidRPr="00FD016B">
        <w:rPr>
          <w:rFonts w:ascii="Times New Roman" w:eastAsia="Times New Roman" w:hAnsi="Times New Roman" w:cs="Times New Roman"/>
          <w:sz w:val="24"/>
          <w:szCs w:val="20"/>
        </w:rPr>
        <w:t>Not applicable, the collection does not involve any questions of a sensitive nature, as the term is used in this question.</w:t>
      </w:r>
    </w:p>
    <w:p w:rsidR="00D50C84" w:rsidRPr="00E21E52" w:rsidP="00E615A7" w14:paraId="7581A6DD" w14:textId="2458770C">
      <w:pPr>
        <w:tabs>
          <w:tab w:val="left" w:pos="-720"/>
          <w:tab w:val="left" w:pos="0"/>
        </w:tabs>
        <w:suppressAutoHyphens/>
        <w:spacing w:after="24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12.</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Provide estimates of the hour burden of the collection of information.  The Statement should</w:t>
      </w:r>
      <w:r w:rsidRPr="00E21E52">
        <w:rPr>
          <w:rFonts w:ascii="Times New Roman" w:eastAsia="Times New Roman" w:hAnsi="Times New Roman" w:cs="Times New Roman"/>
          <w:sz w:val="24"/>
          <w:szCs w:val="20"/>
        </w:rPr>
        <w:t>:</w:t>
      </w:r>
    </w:p>
    <w:p w:rsidR="00D50C84" w:rsidRPr="00E21E52" w:rsidP="0033029E" w14:paraId="269CB55F" w14:textId="53F013D2">
      <w:pPr>
        <w:tabs>
          <w:tab w:val="left" w:pos="-720"/>
          <w:tab w:val="left" w:pos="0"/>
          <w:tab w:val="left" w:pos="720"/>
        </w:tabs>
        <w:suppressAutoHyphens/>
        <w:spacing w:after="240" w:line="240" w:lineRule="auto"/>
        <w:ind w:left="1440" w:hanging="144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8453B3">
        <w:rPr>
          <w:rFonts w:ascii="Times New Roman" w:eastAsia="Times New Roman" w:hAnsi="Times New Roman" w:cs="Times New Roman"/>
          <w:sz w:val="24"/>
          <w:szCs w:val="20"/>
          <w:u w:val="single"/>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50C84" w:rsidRPr="00E21E52" w:rsidP="0033029E" w14:paraId="023D3EC8" w14:textId="2EFA52B3">
      <w:pPr>
        <w:tabs>
          <w:tab w:val="left" w:pos="-720"/>
          <w:tab w:val="left" w:pos="0"/>
          <w:tab w:val="left" w:pos="720"/>
        </w:tabs>
        <w:suppressAutoHyphens/>
        <w:spacing w:after="240" w:line="240" w:lineRule="auto"/>
        <w:ind w:left="1440" w:hanging="144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8453B3">
        <w:rPr>
          <w:rFonts w:ascii="Times New Roman" w:eastAsia="Times New Roman" w:hAnsi="Times New Roman" w:cs="Times New Roman"/>
          <w:sz w:val="24"/>
          <w:szCs w:val="20"/>
          <w:u w:val="single"/>
        </w:rPr>
        <w:t>If the request for approval covers more than one form, provide separate hour burden estimates for each form and aggregate the hour burdens in Item 13 of OMB Form 83-I.</w:t>
      </w:r>
    </w:p>
    <w:p w:rsidR="00732516" w:rsidP="007645A7" w14:paraId="0BFE5C9F" w14:textId="751EC7BD">
      <w:pPr>
        <w:tabs>
          <w:tab w:val="left" w:pos="-720"/>
          <w:tab w:val="left" w:pos="0"/>
          <w:tab w:val="left" w:pos="720"/>
        </w:tabs>
        <w:suppressAutoHyphens/>
        <w:spacing w:after="240" w:line="240" w:lineRule="auto"/>
        <w:ind w:left="1440" w:hanging="144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8453B3">
        <w:rPr>
          <w:rFonts w:ascii="Times New Roman" w:eastAsia="Times New Roman" w:hAnsi="Times New Roman" w:cs="Times New Roman"/>
          <w:sz w:val="24"/>
          <w:szCs w:val="20"/>
          <w:u w:val="single"/>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D6796C" w:rsidP="007645A7" w14:paraId="71E1E97A" w14:textId="147111F3">
      <w:pPr>
        <w:widowControl w:val="0"/>
        <w:autoSpaceDE w:val="0"/>
        <w:autoSpaceDN w:val="0"/>
        <w:adjustRightInd w:val="0"/>
        <w:spacing w:after="24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Please see attachment A for the estimated hour burden for the </w:t>
      </w:r>
      <w:r w:rsidR="00C8298D">
        <w:rPr>
          <w:rFonts w:ascii="Times New Roman" w:eastAsia="Times New Roman" w:hAnsi="Times New Roman" w:cs="Times New Roman"/>
          <w:sz w:val="24"/>
          <w:szCs w:val="20"/>
        </w:rPr>
        <w:t>collections</w:t>
      </w:r>
      <w:r>
        <w:rPr>
          <w:rFonts w:ascii="Times New Roman" w:eastAsia="Times New Roman" w:hAnsi="Times New Roman" w:cs="Times New Roman"/>
          <w:sz w:val="24"/>
          <w:szCs w:val="20"/>
        </w:rPr>
        <w:t xml:space="preserve"> of information discussing in this supporting statement.</w:t>
      </w:r>
    </w:p>
    <w:p w:rsidR="00EE6C11" w:rsidRPr="00210C72" w:rsidP="003441B8" w14:paraId="313263F3" w14:textId="20742310">
      <w:pPr>
        <w:widowControl w:val="0"/>
        <w:autoSpaceDE w:val="0"/>
        <w:autoSpaceDN w:val="0"/>
        <w:adjustRightInd w:val="0"/>
        <w:spacing w:after="240" w:line="240" w:lineRule="auto"/>
        <w:ind w:firstLine="720"/>
        <w:rPr>
          <w:rFonts w:ascii="Times New Roman" w:eastAsia="Times New Roman" w:hAnsi="Times New Roman" w:cs="Times New Roman"/>
          <w:sz w:val="24"/>
          <w:szCs w:val="20"/>
        </w:rPr>
      </w:pPr>
      <w:r w:rsidRPr="00142199">
        <w:rPr>
          <w:rFonts w:ascii="Times New Roman" w:eastAsia="Times New Roman" w:hAnsi="Times New Roman" w:cs="Times New Roman"/>
          <w:sz w:val="24"/>
          <w:szCs w:val="20"/>
        </w:rPr>
        <w:t xml:space="preserve">Regulation 43.3 requires reporting counterparties, SEFs, and DCMs to send swap transaction and pricing data as described in appendix A of part 43 to SDRs as soon as technologically practicable after execution. Regulation 43.4 requires SDRs to publicly disseminate the swap transaction and pricing data described in appendix A of part 43. </w:t>
      </w:r>
      <w:r w:rsidR="00C51685">
        <w:rPr>
          <w:rFonts w:ascii="Times New Roman" w:eastAsia="Times New Roman" w:hAnsi="Times New Roman" w:cs="Times New Roman"/>
          <w:sz w:val="24"/>
          <w:szCs w:val="24"/>
        </w:rPr>
        <w:t>Under 43.6</w:t>
      </w:r>
      <w:r w:rsidR="00C10640">
        <w:rPr>
          <w:rFonts w:ascii="Times New Roman" w:eastAsia="Times New Roman" w:hAnsi="Times New Roman" w:cs="Times New Roman"/>
          <w:sz w:val="24"/>
          <w:szCs w:val="24"/>
        </w:rPr>
        <w:t xml:space="preserve">, the </w:t>
      </w:r>
      <w:r w:rsidR="00373CAB">
        <w:rPr>
          <w:rFonts w:ascii="Times New Roman" w:eastAsia="Times New Roman" w:hAnsi="Times New Roman" w:cs="Times New Roman"/>
          <w:sz w:val="24"/>
          <w:szCs w:val="24"/>
        </w:rPr>
        <w:t>Commission</w:t>
      </w:r>
      <w:r w:rsidR="00C10640">
        <w:rPr>
          <w:rFonts w:ascii="Times New Roman" w:eastAsia="Times New Roman" w:hAnsi="Times New Roman" w:cs="Times New Roman"/>
          <w:sz w:val="24"/>
          <w:szCs w:val="24"/>
        </w:rPr>
        <w:t xml:space="preserve"> established the minimum block size for publicly reportable swap </w:t>
      </w:r>
      <w:r w:rsidR="00373CAB">
        <w:rPr>
          <w:rFonts w:ascii="Times New Roman" w:eastAsia="Times New Roman" w:hAnsi="Times New Roman" w:cs="Times New Roman"/>
          <w:sz w:val="24"/>
          <w:szCs w:val="24"/>
        </w:rPr>
        <w:t>transactions</w:t>
      </w:r>
      <w:r w:rsidR="00C10640">
        <w:rPr>
          <w:rFonts w:ascii="Times New Roman" w:eastAsia="Times New Roman" w:hAnsi="Times New Roman" w:cs="Times New Roman"/>
          <w:sz w:val="24"/>
          <w:szCs w:val="24"/>
        </w:rPr>
        <w:t xml:space="preserve"> </w:t>
      </w:r>
      <w:r w:rsidR="00373CAB">
        <w:rPr>
          <w:rFonts w:ascii="Times New Roman" w:eastAsia="Times New Roman" w:hAnsi="Times New Roman" w:cs="Times New Roman"/>
          <w:sz w:val="24"/>
          <w:szCs w:val="24"/>
        </w:rPr>
        <w:t xml:space="preserve">based on the swap categories. </w:t>
      </w:r>
      <w:r w:rsidR="00936DB4">
        <w:rPr>
          <w:rFonts w:ascii="Times New Roman" w:eastAsia="Times New Roman" w:hAnsi="Times New Roman" w:cs="Times New Roman"/>
          <w:sz w:val="24"/>
          <w:szCs w:val="20"/>
        </w:rPr>
        <w:t xml:space="preserve"> </w:t>
      </w:r>
      <w:r w:rsidR="00FE6CD2">
        <w:rPr>
          <w:rFonts w:ascii="Times New Roman" w:eastAsia="Times New Roman" w:hAnsi="Times New Roman" w:cs="Times New Roman"/>
          <w:sz w:val="24"/>
          <w:szCs w:val="20"/>
        </w:rPr>
        <w:t>Regulation 43.3(e)</w:t>
      </w:r>
      <w:r w:rsidR="00DD1BA0">
        <w:rPr>
          <w:rFonts w:ascii="Times New Roman" w:eastAsia="Times New Roman" w:hAnsi="Times New Roman" w:cs="Times New Roman"/>
          <w:sz w:val="24"/>
          <w:szCs w:val="20"/>
        </w:rPr>
        <w:t xml:space="preserve"> </w:t>
      </w:r>
      <w:r w:rsidRPr="00FE6CD2" w:rsidR="00FE6CD2">
        <w:rPr>
          <w:rFonts w:ascii="Times New Roman" w:eastAsia="Times New Roman" w:hAnsi="Times New Roman" w:cs="Times New Roman"/>
          <w:sz w:val="24"/>
          <w:szCs w:val="20"/>
        </w:rPr>
        <w:t>requires SEF</w:t>
      </w:r>
      <w:r w:rsidR="00FE6CD2">
        <w:rPr>
          <w:rFonts w:ascii="Times New Roman" w:eastAsia="Times New Roman" w:hAnsi="Times New Roman" w:cs="Times New Roman"/>
          <w:sz w:val="24"/>
          <w:szCs w:val="20"/>
        </w:rPr>
        <w:t>s</w:t>
      </w:r>
      <w:r w:rsidRPr="00FE6CD2" w:rsidR="00FE6CD2">
        <w:rPr>
          <w:rFonts w:ascii="Times New Roman" w:eastAsia="Times New Roman" w:hAnsi="Times New Roman" w:cs="Times New Roman"/>
          <w:sz w:val="24"/>
          <w:szCs w:val="20"/>
        </w:rPr>
        <w:t>,</w:t>
      </w:r>
      <w:r w:rsidR="008B6EE8">
        <w:rPr>
          <w:rFonts w:ascii="Times New Roman" w:eastAsia="Times New Roman" w:hAnsi="Times New Roman" w:cs="Times New Roman"/>
          <w:sz w:val="24"/>
          <w:szCs w:val="20"/>
        </w:rPr>
        <w:t xml:space="preserve"> </w:t>
      </w:r>
      <w:r w:rsidRPr="00FE6CD2" w:rsidR="00FE6CD2">
        <w:rPr>
          <w:rFonts w:ascii="Times New Roman" w:eastAsia="Times New Roman" w:hAnsi="Times New Roman" w:cs="Times New Roman"/>
          <w:sz w:val="24"/>
          <w:szCs w:val="20"/>
        </w:rPr>
        <w:t>DCMs, and reporting counterparties to notify the director of the Commission’s Division of Market Oversight when data errors or omissions in Part 4</w:t>
      </w:r>
      <w:r w:rsidR="00FE6CD2">
        <w:rPr>
          <w:rFonts w:ascii="Times New Roman" w:eastAsia="Times New Roman" w:hAnsi="Times New Roman" w:cs="Times New Roman"/>
          <w:sz w:val="24"/>
          <w:szCs w:val="20"/>
        </w:rPr>
        <w:t>3</w:t>
      </w:r>
      <w:r w:rsidRPr="00FE6CD2" w:rsidR="00FE6CD2">
        <w:rPr>
          <w:rFonts w:ascii="Times New Roman" w:eastAsia="Times New Roman" w:hAnsi="Times New Roman" w:cs="Times New Roman"/>
          <w:sz w:val="24"/>
          <w:szCs w:val="20"/>
        </w:rPr>
        <w:t xml:space="preserve"> cannot be corrected within seven business days of discovery. In such case, regulation 4</w:t>
      </w:r>
      <w:r w:rsidR="00FE6CD2">
        <w:rPr>
          <w:rFonts w:ascii="Times New Roman" w:eastAsia="Times New Roman" w:hAnsi="Times New Roman" w:cs="Times New Roman"/>
          <w:sz w:val="24"/>
          <w:szCs w:val="20"/>
        </w:rPr>
        <w:t>3.3(e)</w:t>
      </w:r>
      <w:r w:rsidRPr="00FE6CD2" w:rsidR="00FE6CD2">
        <w:rPr>
          <w:rFonts w:ascii="Times New Roman" w:eastAsia="Times New Roman" w:hAnsi="Times New Roman" w:cs="Times New Roman"/>
          <w:sz w:val="24"/>
          <w:szCs w:val="20"/>
        </w:rPr>
        <w:t xml:space="preserve"> would require the SEF, DCM, or reporting counterparty to notify the director of the Division of Market Oversight within twelve hours of determining it will be unable to timely correct the error, and to provide an “initial assessment of the scope of the error[s]” and an initial remediation plan</w:t>
      </w:r>
      <w:r w:rsidR="00FE6CD2">
        <w:rPr>
          <w:rFonts w:ascii="Times New Roman" w:eastAsia="Times New Roman" w:hAnsi="Times New Roman" w:cs="Times New Roman"/>
          <w:sz w:val="24"/>
          <w:szCs w:val="20"/>
        </w:rPr>
        <w:t>.</w:t>
      </w:r>
    </w:p>
    <w:p w:rsidR="00EE6C11" w:rsidP="00424AC3" w14:paraId="5C1FE286" w14:textId="1FC0F9B3">
      <w:pPr>
        <w:tabs>
          <w:tab w:val="left" w:pos="720"/>
        </w:tabs>
        <w:spacing w:after="24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Please note, </w:t>
      </w:r>
      <w:r w:rsidR="00A0058C">
        <w:rPr>
          <w:rFonts w:ascii="Times New Roman" w:eastAsia="Times New Roman" w:hAnsi="Times New Roman" w:cs="Times New Roman"/>
          <w:sz w:val="24"/>
          <w:szCs w:val="20"/>
        </w:rPr>
        <w:t>c</w:t>
      </w:r>
      <w:r w:rsidRPr="00210C72">
        <w:rPr>
          <w:rFonts w:ascii="Times New Roman" w:eastAsia="Times New Roman" w:hAnsi="Times New Roman" w:cs="Times New Roman"/>
          <w:sz w:val="24"/>
          <w:szCs w:val="20"/>
        </w:rPr>
        <w:t>ollections required by CFTC regulation 4</w:t>
      </w:r>
      <w:r w:rsidR="003476B4">
        <w:rPr>
          <w:rFonts w:ascii="Times New Roman" w:eastAsia="Times New Roman" w:hAnsi="Times New Roman" w:cs="Times New Roman"/>
          <w:sz w:val="24"/>
          <w:szCs w:val="20"/>
        </w:rPr>
        <w:t>3.3(e)</w:t>
      </w:r>
      <w:r w:rsidRPr="00210C72">
        <w:rPr>
          <w:rFonts w:ascii="Times New Roman" w:eastAsia="Times New Roman" w:hAnsi="Times New Roman" w:cs="Times New Roman"/>
          <w:sz w:val="24"/>
          <w:szCs w:val="20"/>
        </w:rPr>
        <w:t xml:space="preserve"> are event</w:t>
      </w:r>
      <w:r>
        <w:rPr>
          <w:rFonts w:ascii="Times New Roman" w:eastAsia="Times New Roman" w:hAnsi="Times New Roman" w:cs="Times New Roman"/>
          <w:sz w:val="24"/>
          <w:szCs w:val="20"/>
        </w:rPr>
        <w:t>-</w:t>
      </w:r>
      <w:r w:rsidRPr="00210C72">
        <w:rPr>
          <w:rFonts w:ascii="Times New Roman" w:eastAsia="Times New Roman" w:hAnsi="Times New Roman" w:cs="Times New Roman"/>
          <w:sz w:val="24"/>
          <w:szCs w:val="20"/>
        </w:rPr>
        <w:t>specific. In previously estimating the hour burden of the information collection, the Commission considered the burden associated with notifying the Director of the Division of Market Oversight of swap data errors, providing an initial assessment of those errors, and providing an initial remediation plan if one exists.</w:t>
      </w:r>
      <w:r>
        <w:rPr>
          <w:rStyle w:val="FootnoteReference"/>
          <w:rFonts w:ascii="Times New Roman" w:eastAsia="Times New Roman" w:hAnsi="Times New Roman" w:cs="Times New Roman"/>
          <w:sz w:val="24"/>
          <w:szCs w:val="20"/>
        </w:rPr>
        <w:footnoteReference w:id="15"/>
      </w:r>
    </w:p>
    <w:p w:rsidR="008768F4" w:rsidRPr="00C80069" w:rsidP="008768F4" w14:paraId="1AB5F5C4" w14:textId="77777777">
      <w:pPr>
        <w:rPr>
          <w:rFonts w:ascii="Times New Roman" w:hAnsi="Times New Roman" w:cs="Times New Roman"/>
          <w:sz w:val="24"/>
          <w:szCs w:val="24"/>
          <w:u w:val="single"/>
        </w:rPr>
      </w:pPr>
      <w:r w:rsidRPr="00C80069">
        <w:rPr>
          <w:rFonts w:ascii="Times New Roman" w:hAnsi="Times New Roman" w:cs="Times New Roman"/>
          <w:sz w:val="24"/>
          <w:szCs w:val="24"/>
          <w:u w:val="single"/>
        </w:rPr>
        <w:t>Regulation 43.3:</w:t>
      </w:r>
    </w:p>
    <w:p w:rsidR="00424AC3" w:rsidP="00C2123C" w14:paraId="68B59D0F" w14:textId="77777777">
      <w:pPr>
        <w:spacing w:after="0" w:line="240" w:lineRule="auto"/>
        <w:rPr>
          <w:rFonts w:ascii="Times New Roman" w:hAnsi="Times New Roman" w:cs="Times New Roman"/>
          <w:sz w:val="24"/>
          <w:szCs w:val="24"/>
        </w:rPr>
      </w:pPr>
      <w:r w:rsidRPr="00C80069">
        <w:rPr>
          <w:rFonts w:ascii="Times New Roman" w:hAnsi="Times New Roman" w:cs="Times New Roman"/>
          <w:sz w:val="24"/>
          <w:szCs w:val="24"/>
        </w:rPr>
        <w:t>Respondents:</w:t>
      </w:r>
      <w:r w:rsidRPr="00C80069" w:rsidR="00A0058C">
        <w:rPr>
          <w:rFonts w:ascii="Times New Roman" w:hAnsi="Times New Roman" w:cs="Times New Roman"/>
          <w:sz w:val="24"/>
          <w:szCs w:val="24"/>
        </w:rPr>
        <w:t xml:space="preserve"> </w:t>
      </w:r>
      <w:r w:rsidRPr="00C80069">
        <w:rPr>
          <w:rFonts w:ascii="Times New Roman" w:hAnsi="Times New Roman" w:cs="Times New Roman"/>
          <w:sz w:val="24"/>
          <w:szCs w:val="24"/>
        </w:rPr>
        <w:t>1</w:t>
      </w:r>
      <w:r w:rsidRPr="00C80069" w:rsidR="00A0058C">
        <w:rPr>
          <w:rFonts w:ascii="Times New Roman" w:hAnsi="Times New Roman" w:cs="Times New Roman"/>
          <w:sz w:val="24"/>
          <w:szCs w:val="24"/>
        </w:rPr>
        <w:t>,</w:t>
      </w:r>
      <w:r w:rsidRPr="00C80069">
        <w:rPr>
          <w:rFonts w:ascii="Times New Roman" w:hAnsi="Times New Roman" w:cs="Times New Roman"/>
          <w:sz w:val="24"/>
          <w:szCs w:val="24"/>
        </w:rPr>
        <w:t>742</w:t>
      </w:r>
      <w:r w:rsidRPr="00C80069" w:rsidR="009932CE">
        <w:rPr>
          <w:rFonts w:ascii="Times New Roman" w:hAnsi="Times New Roman" w:cs="Times New Roman"/>
          <w:sz w:val="24"/>
          <w:szCs w:val="24"/>
        </w:rPr>
        <w:t xml:space="preserve"> SEFs, DCMs, Reporting Counterparties</w:t>
      </w:r>
      <w:r w:rsidRPr="00C80069" w:rsidR="00A0058C">
        <w:rPr>
          <w:rFonts w:ascii="Times New Roman" w:hAnsi="Times New Roman" w:cs="Times New Roman"/>
          <w:sz w:val="24"/>
          <w:szCs w:val="24"/>
        </w:rPr>
        <w:t>, and SDRs</w:t>
      </w:r>
    </w:p>
    <w:p w:rsidR="008768F4" w:rsidRPr="00C80069" w:rsidP="00C2123C" w14:paraId="51A22A28" w14:textId="2B474883">
      <w:pPr>
        <w:spacing w:after="0" w:line="240" w:lineRule="auto"/>
        <w:rPr>
          <w:rFonts w:ascii="Times New Roman" w:hAnsi="Times New Roman" w:cs="Times New Roman"/>
          <w:sz w:val="24"/>
          <w:szCs w:val="24"/>
        </w:rPr>
      </w:pPr>
      <w:r w:rsidRPr="00C80069">
        <w:rPr>
          <w:rFonts w:ascii="Times New Roman" w:hAnsi="Times New Roman" w:cs="Times New Roman"/>
          <w:sz w:val="24"/>
          <w:szCs w:val="24"/>
        </w:rPr>
        <w:t xml:space="preserve">Number of </w:t>
      </w:r>
      <w:r w:rsidRPr="00C80069" w:rsidR="00FF26D2">
        <w:rPr>
          <w:rFonts w:ascii="Times New Roman" w:hAnsi="Times New Roman" w:cs="Times New Roman"/>
          <w:sz w:val="24"/>
          <w:szCs w:val="24"/>
        </w:rPr>
        <w:t>R</w:t>
      </w:r>
      <w:r w:rsidRPr="00C80069">
        <w:rPr>
          <w:rFonts w:ascii="Times New Roman" w:hAnsi="Times New Roman" w:cs="Times New Roman"/>
          <w:sz w:val="24"/>
          <w:szCs w:val="24"/>
        </w:rPr>
        <w:t xml:space="preserve">esponses </w:t>
      </w:r>
      <w:r w:rsidRPr="00C80069" w:rsidR="00FF26D2">
        <w:rPr>
          <w:rFonts w:ascii="Times New Roman" w:hAnsi="Times New Roman" w:cs="Times New Roman"/>
          <w:sz w:val="24"/>
          <w:szCs w:val="24"/>
        </w:rPr>
        <w:t>P</w:t>
      </w:r>
      <w:r w:rsidRPr="00C80069">
        <w:rPr>
          <w:rFonts w:ascii="Times New Roman" w:hAnsi="Times New Roman" w:cs="Times New Roman"/>
          <w:sz w:val="24"/>
          <w:szCs w:val="24"/>
        </w:rPr>
        <w:t>er Respondent: 2</w:t>
      </w:r>
      <w:r w:rsidRPr="00C80069" w:rsidR="00A0058C">
        <w:rPr>
          <w:rFonts w:ascii="Times New Roman" w:hAnsi="Times New Roman" w:cs="Times New Roman"/>
          <w:sz w:val="24"/>
          <w:szCs w:val="24"/>
        </w:rPr>
        <w:t>,</w:t>
      </w:r>
      <w:r w:rsidRPr="00C80069">
        <w:rPr>
          <w:rFonts w:ascii="Times New Roman" w:hAnsi="Times New Roman" w:cs="Times New Roman"/>
          <w:sz w:val="24"/>
          <w:szCs w:val="24"/>
        </w:rPr>
        <w:t>998</w:t>
      </w:r>
    </w:p>
    <w:p w:rsidR="008768F4" w:rsidRPr="00C80069" w:rsidP="00C2123C" w14:paraId="55382516" w14:textId="6EBDAD35">
      <w:pPr>
        <w:spacing w:after="0" w:line="240" w:lineRule="auto"/>
        <w:rPr>
          <w:rFonts w:ascii="Times New Roman" w:hAnsi="Times New Roman" w:cs="Times New Roman"/>
          <w:sz w:val="24"/>
          <w:szCs w:val="24"/>
        </w:rPr>
      </w:pPr>
      <w:r w:rsidRPr="00C80069">
        <w:rPr>
          <w:rFonts w:ascii="Times New Roman" w:hAnsi="Times New Roman" w:cs="Times New Roman"/>
          <w:sz w:val="24"/>
          <w:szCs w:val="24"/>
        </w:rPr>
        <w:t xml:space="preserve">Burden </w:t>
      </w:r>
      <w:r w:rsidRPr="00C80069" w:rsidR="00FF26D2">
        <w:rPr>
          <w:rFonts w:ascii="Times New Roman" w:hAnsi="Times New Roman" w:cs="Times New Roman"/>
          <w:sz w:val="24"/>
          <w:szCs w:val="24"/>
        </w:rPr>
        <w:t>Hours</w:t>
      </w:r>
      <w:r w:rsidRPr="00C80069">
        <w:rPr>
          <w:rFonts w:ascii="Times New Roman" w:hAnsi="Times New Roman" w:cs="Times New Roman"/>
          <w:sz w:val="24"/>
          <w:szCs w:val="24"/>
        </w:rPr>
        <w:t xml:space="preserve"> </w:t>
      </w:r>
      <w:r w:rsidRPr="00C80069" w:rsidR="00FF26D2">
        <w:rPr>
          <w:rFonts w:ascii="Times New Roman" w:hAnsi="Times New Roman" w:cs="Times New Roman"/>
          <w:sz w:val="24"/>
          <w:szCs w:val="24"/>
        </w:rPr>
        <w:t>P</w:t>
      </w:r>
      <w:r w:rsidRPr="00C80069">
        <w:rPr>
          <w:rFonts w:ascii="Times New Roman" w:hAnsi="Times New Roman" w:cs="Times New Roman"/>
          <w:sz w:val="24"/>
          <w:szCs w:val="24"/>
        </w:rPr>
        <w:t xml:space="preserve">er </w:t>
      </w:r>
      <w:r w:rsidRPr="00C80069" w:rsidR="00FF26D2">
        <w:rPr>
          <w:rFonts w:ascii="Times New Roman" w:hAnsi="Times New Roman" w:cs="Times New Roman"/>
          <w:sz w:val="24"/>
          <w:szCs w:val="24"/>
        </w:rPr>
        <w:t>R</w:t>
      </w:r>
      <w:r w:rsidRPr="00C80069">
        <w:rPr>
          <w:rFonts w:ascii="Times New Roman" w:hAnsi="Times New Roman" w:cs="Times New Roman"/>
          <w:sz w:val="24"/>
          <w:szCs w:val="24"/>
        </w:rPr>
        <w:t>esponse: .14</w:t>
      </w:r>
    </w:p>
    <w:p w:rsidR="008768F4" w:rsidRPr="00C80069" w:rsidP="00C2123C" w14:paraId="65F38DB0" w14:textId="60E36E34">
      <w:pPr>
        <w:spacing w:after="0" w:line="240" w:lineRule="auto"/>
        <w:rPr>
          <w:rFonts w:ascii="Times New Roman" w:hAnsi="Times New Roman" w:cs="Times New Roman"/>
          <w:sz w:val="24"/>
          <w:szCs w:val="24"/>
        </w:rPr>
      </w:pPr>
      <w:r w:rsidRPr="00C80069">
        <w:rPr>
          <w:rFonts w:ascii="Times New Roman" w:hAnsi="Times New Roman" w:cs="Times New Roman"/>
          <w:sz w:val="24"/>
          <w:szCs w:val="24"/>
        </w:rPr>
        <w:t xml:space="preserve">Annual </w:t>
      </w:r>
      <w:r w:rsidRPr="00C80069" w:rsidR="00FF26D2">
        <w:rPr>
          <w:rFonts w:ascii="Times New Roman" w:hAnsi="Times New Roman" w:cs="Times New Roman"/>
          <w:sz w:val="24"/>
          <w:szCs w:val="24"/>
        </w:rPr>
        <w:t>B</w:t>
      </w:r>
      <w:r w:rsidRPr="00C80069">
        <w:rPr>
          <w:rFonts w:ascii="Times New Roman" w:hAnsi="Times New Roman" w:cs="Times New Roman"/>
          <w:sz w:val="24"/>
          <w:szCs w:val="24"/>
        </w:rPr>
        <w:t xml:space="preserve">urden </w:t>
      </w:r>
      <w:r w:rsidRPr="00C80069" w:rsidR="00FF26D2">
        <w:rPr>
          <w:rFonts w:ascii="Times New Roman" w:hAnsi="Times New Roman" w:cs="Times New Roman"/>
          <w:sz w:val="24"/>
          <w:szCs w:val="24"/>
        </w:rPr>
        <w:t>Hours</w:t>
      </w:r>
      <w:r w:rsidRPr="00C80069">
        <w:rPr>
          <w:rFonts w:ascii="Times New Roman" w:hAnsi="Times New Roman" w:cs="Times New Roman"/>
          <w:sz w:val="24"/>
          <w:szCs w:val="24"/>
        </w:rPr>
        <w:t xml:space="preserve"> </w:t>
      </w:r>
      <w:r w:rsidRPr="00C80069" w:rsidR="00FF26D2">
        <w:rPr>
          <w:rFonts w:ascii="Times New Roman" w:hAnsi="Times New Roman" w:cs="Times New Roman"/>
          <w:sz w:val="24"/>
          <w:szCs w:val="24"/>
        </w:rPr>
        <w:t>P</w:t>
      </w:r>
      <w:r w:rsidRPr="00C80069">
        <w:rPr>
          <w:rFonts w:ascii="Times New Roman" w:hAnsi="Times New Roman" w:cs="Times New Roman"/>
          <w:sz w:val="24"/>
          <w:szCs w:val="24"/>
        </w:rPr>
        <w:t xml:space="preserve">er </w:t>
      </w:r>
      <w:r w:rsidRPr="00C80069" w:rsidR="00FF26D2">
        <w:rPr>
          <w:rFonts w:ascii="Times New Roman" w:hAnsi="Times New Roman" w:cs="Times New Roman"/>
          <w:sz w:val="24"/>
          <w:szCs w:val="24"/>
        </w:rPr>
        <w:t>R</w:t>
      </w:r>
      <w:r w:rsidRPr="00C80069">
        <w:rPr>
          <w:rFonts w:ascii="Times New Roman" w:hAnsi="Times New Roman" w:cs="Times New Roman"/>
          <w:sz w:val="24"/>
          <w:szCs w:val="24"/>
        </w:rPr>
        <w:t>espondent: 4</w:t>
      </w:r>
      <w:r w:rsidRPr="00C80069" w:rsidR="00A0058C">
        <w:rPr>
          <w:rFonts w:ascii="Times New Roman" w:hAnsi="Times New Roman" w:cs="Times New Roman"/>
          <w:sz w:val="24"/>
          <w:szCs w:val="24"/>
        </w:rPr>
        <w:t>20</w:t>
      </w:r>
      <w:r w:rsidRPr="00C80069">
        <w:rPr>
          <w:rFonts w:ascii="Times New Roman" w:hAnsi="Times New Roman" w:cs="Times New Roman"/>
          <w:sz w:val="24"/>
          <w:szCs w:val="24"/>
        </w:rPr>
        <w:t xml:space="preserve"> </w:t>
      </w:r>
      <w:r w:rsidRPr="00C80069" w:rsidR="00DB0131">
        <w:rPr>
          <w:rFonts w:ascii="Times New Roman" w:hAnsi="Times New Roman" w:cs="Times New Roman"/>
          <w:sz w:val="24"/>
          <w:szCs w:val="24"/>
        </w:rPr>
        <w:t>(2,</w:t>
      </w:r>
      <w:r w:rsidRPr="00C80069" w:rsidR="00276615">
        <w:rPr>
          <w:rFonts w:ascii="Times New Roman" w:hAnsi="Times New Roman" w:cs="Times New Roman"/>
          <w:sz w:val="24"/>
          <w:szCs w:val="24"/>
        </w:rPr>
        <w:t xml:space="preserve">998 </w:t>
      </w:r>
      <w:r w:rsidR="008E2C8F">
        <w:rPr>
          <w:rFonts w:ascii="Times New Roman" w:hAnsi="Times New Roman" w:cs="Times New Roman"/>
          <w:sz w:val="24"/>
          <w:szCs w:val="24"/>
        </w:rPr>
        <w:t>×</w:t>
      </w:r>
      <w:r w:rsidRPr="00C80069" w:rsidR="00276615">
        <w:rPr>
          <w:rFonts w:ascii="Times New Roman" w:hAnsi="Times New Roman" w:cs="Times New Roman"/>
          <w:sz w:val="24"/>
          <w:szCs w:val="24"/>
        </w:rPr>
        <w:t xml:space="preserve"> .14 hours</w:t>
      </w:r>
      <w:r w:rsidRPr="00C80069" w:rsidR="007C0CF8">
        <w:rPr>
          <w:rFonts w:ascii="Times New Roman" w:hAnsi="Times New Roman" w:cs="Times New Roman"/>
          <w:sz w:val="24"/>
          <w:szCs w:val="24"/>
        </w:rPr>
        <w:t xml:space="preserve"> = 419.72 – rounding off to 420</w:t>
      </w:r>
      <w:r w:rsidRPr="00C80069" w:rsidR="00276615">
        <w:rPr>
          <w:rFonts w:ascii="Times New Roman" w:hAnsi="Times New Roman" w:cs="Times New Roman"/>
          <w:sz w:val="24"/>
          <w:szCs w:val="24"/>
        </w:rPr>
        <w:t>)</w:t>
      </w:r>
    </w:p>
    <w:p w:rsidR="008768F4" w:rsidRPr="00C80069" w:rsidP="00424AC3" w14:paraId="4B8F8AD4" w14:textId="51A67C42">
      <w:pPr>
        <w:spacing w:after="240" w:line="240" w:lineRule="auto"/>
        <w:rPr>
          <w:rFonts w:ascii="Times New Roman" w:hAnsi="Times New Roman" w:cs="Times New Roman"/>
          <w:sz w:val="24"/>
          <w:szCs w:val="24"/>
        </w:rPr>
      </w:pPr>
      <w:r w:rsidRPr="00C80069">
        <w:rPr>
          <w:rFonts w:ascii="Times New Roman" w:hAnsi="Times New Roman" w:cs="Times New Roman"/>
          <w:sz w:val="24"/>
          <w:szCs w:val="24"/>
        </w:rPr>
        <w:t xml:space="preserve">Total </w:t>
      </w:r>
      <w:r w:rsidRPr="00C80069" w:rsidR="00FF26D2">
        <w:rPr>
          <w:rFonts w:ascii="Times New Roman" w:hAnsi="Times New Roman" w:cs="Times New Roman"/>
          <w:sz w:val="24"/>
          <w:szCs w:val="24"/>
        </w:rPr>
        <w:t>R</w:t>
      </w:r>
      <w:r w:rsidRPr="00C80069">
        <w:rPr>
          <w:rFonts w:ascii="Times New Roman" w:hAnsi="Times New Roman" w:cs="Times New Roman"/>
          <w:sz w:val="24"/>
          <w:szCs w:val="24"/>
        </w:rPr>
        <w:t xml:space="preserve">espondent </w:t>
      </w:r>
      <w:r w:rsidRPr="00C80069" w:rsidR="00FF26D2">
        <w:rPr>
          <w:rFonts w:ascii="Times New Roman" w:hAnsi="Times New Roman" w:cs="Times New Roman"/>
          <w:sz w:val="24"/>
          <w:szCs w:val="24"/>
        </w:rPr>
        <w:t>B</w:t>
      </w:r>
      <w:r w:rsidRPr="00C80069">
        <w:rPr>
          <w:rFonts w:ascii="Times New Roman" w:hAnsi="Times New Roman" w:cs="Times New Roman"/>
          <w:sz w:val="24"/>
          <w:szCs w:val="24"/>
        </w:rPr>
        <w:t xml:space="preserve">urden </w:t>
      </w:r>
      <w:r w:rsidRPr="00C80069" w:rsidR="00FF26D2">
        <w:rPr>
          <w:rFonts w:ascii="Times New Roman" w:hAnsi="Times New Roman" w:cs="Times New Roman"/>
          <w:sz w:val="24"/>
          <w:szCs w:val="24"/>
        </w:rPr>
        <w:t>H</w:t>
      </w:r>
      <w:r w:rsidRPr="00C80069">
        <w:rPr>
          <w:rFonts w:ascii="Times New Roman" w:hAnsi="Times New Roman" w:cs="Times New Roman"/>
          <w:sz w:val="24"/>
          <w:szCs w:val="24"/>
        </w:rPr>
        <w:t xml:space="preserve">ours </w:t>
      </w:r>
      <w:r w:rsidRPr="00C80069" w:rsidR="00FF26D2">
        <w:rPr>
          <w:rFonts w:ascii="Times New Roman" w:hAnsi="Times New Roman" w:cs="Times New Roman"/>
          <w:sz w:val="24"/>
          <w:szCs w:val="24"/>
        </w:rPr>
        <w:t>U</w:t>
      </w:r>
      <w:r w:rsidRPr="00C80069">
        <w:rPr>
          <w:rFonts w:ascii="Times New Roman" w:hAnsi="Times New Roman" w:cs="Times New Roman"/>
          <w:sz w:val="24"/>
          <w:szCs w:val="24"/>
        </w:rPr>
        <w:t>nder Reg</w:t>
      </w:r>
      <w:r w:rsidRPr="00C80069" w:rsidR="00FF26D2">
        <w:rPr>
          <w:rFonts w:ascii="Times New Roman" w:hAnsi="Times New Roman" w:cs="Times New Roman"/>
          <w:sz w:val="24"/>
          <w:szCs w:val="24"/>
        </w:rPr>
        <w:t>ulation</w:t>
      </w:r>
      <w:r w:rsidRPr="00C80069">
        <w:rPr>
          <w:rFonts w:ascii="Times New Roman" w:hAnsi="Times New Roman" w:cs="Times New Roman"/>
          <w:sz w:val="24"/>
          <w:szCs w:val="24"/>
        </w:rPr>
        <w:t xml:space="preserve"> 43.3</w:t>
      </w:r>
      <w:r w:rsidRPr="00C80069" w:rsidR="00FF26D2">
        <w:rPr>
          <w:rFonts w:ascii="Times New Roman" w:hAnsi="Times New Roman" w:cs="Times New Roman"/>
          <w:sz w:val="24"/>
          <w:szCs w:val="24"/>
        </w:rPr>
        <w:t>:</w:t>
      </w:r>
      <w:r w:rsidRPr="00C80069">
        <w:rPr>
          <w:rFonts w:ascii="Times New Roman" w:hAnsi="Times New Roman" w:cs="Times New Roman"/>
          <w:sz w:val="24"/>
          <w:szCs w:val="24"/>
        </w:rPr>
        <w:t xml:space="preserve"> 731,</w:t>
      </w:r>
      <w:r w:rsidRPr="00482C70" w:rsidR="00DB0131">
        <w:rPr>
          <w:rFonts w:ascii="Times New Roman" w:hAnsi="Times New Roman" w:cs="Times New Roman"/>
          <w:sz w:val="24"/>
          <w:szCs w:val="24"/>
        </w:rPr>
        <w:t>640</w:t>
      </w:r>
      <w:r w:rsidRPr="00C80069">
        <w:rPr>
          <w:rFonts w:ascii="Times New Roman" w:hAnsi="Times New Roman" w:cs="Times New Roman"/>
          <w:sz w:val="24"/>
          <w:szCs w:val="24"/>
        </w:rPr>
        <w:t xml:space="preserve"> h</w:t>
      </w:r>
      <w:r w:rsidRPr="00482C70" w:rsidR="00FF26D2">
        <w:rPr>
          <w:rFonts w:ascii="Times New Roman" w:hAnsi="Times New Roman" w:cs="Times New Roman"/>
          <w:sz w:val="24"/>
          <w:szCs w:val="24"/>
        </w:rPr>
        <w:t>ours</w:t>
      </w:r>
      <w:r w:rsidRPr="00482C70" w:rsidR="007C0CF8">
        <w:rPr>
          <w:rFonts w:ascii="Times New Roman" w:hAnsi="Times New Roman" w:cs="Times New Roman"/>
          <w:sz w:val="24"/>
          <w:szCs w:val="24"/>
        </w:rPr>
        <w:t xml:space="preserve"> (420 </w:t>
      </w:r>
      <w:r w:rsidR="00563272">
        <w:rPr>
          <w:rFonts w:ascii="Times New Roman" w:hAnsi="Times New Roman" w:cs="Times New Roman"/>
          <w:sz w:val="24"/>
          <w:szCs w:val="24"/>
        </w:rPr>
        <w:t>×</w:t>
      </w:r>
      <w:r w:rsidRPr="00482C70" w:rsidR="007C0CF8">
        <w:rPr>
          <w:rFonts w:ascii="Times New Roman" w:hAnsi="Times New Roman" w:cs="Times New Roman"/>
          <w:sz w:val="24"/>
          <w:szCs w:val="24"/>
        </w:rPr>
        <w:t xml:space="preserve"> 1</w:t>
      </w:r>
      <w:r w:rsidR="00137D0B">
        <w:rPr>
          <w:rFonts w:ascii="Times New Roman" w:hAnsi="Times New Roman" w:cs="Times New Roman"/>
          <w:sz w:val="24"/>
          <w:szCs w:val="24"/>
        </w:rPr>
        <w:t>,</w:t>
      </w:r>
      <w:r w:rsidRPr="00482C70" w:rsidR="007C0CF8">
        <w:rPr>
          <w:rFonts w:ascii="Times New Roman" w:hAnsi="Times New Roman" w:cs="Times New Roman"/>
          <w:sz w:val="24"/>
          <w:szCs w:val="24"/>
        </w:rPr>
        <w:t>742)</w:t>
      </w:r>
    </w:p>
    <w:p w:rsidR="008768F4" w:rsidRPr="00C80069" w:rsidP="00424AC3" w14:paraId="5CF65D05" w14:textId="77777777">
      <w:pPr>
        <w:spacing w:after="240" w:line="240" w:lineRule="auto"/>
        <w:rPr>
          <w:rFonts w:ascii="Times New Roman" w:hAnsi="Times New Roman" w:cs="Times New Roman"/>
          <w:sz w:val="24"/>
          <w:szCs w:val="24"/>
        </w:rPr>
      </w:pPr>
      <w:r w:rsidRPr="00C80069">
        <w:rPr>
          <w:rFonts w:ascii="Times New Roman" w:hAnsi="Times New Roman" w:cs="Times New Roman"/>
          <w:sz w:val="24"/>
          <w:szCs w:val="24"/>
          <w:u w:val="single"/>
        </w:rPr>
        <w:t>Regulation 43.3 (e)</w:t>
      </w:r>
      <w:r w:rsidRPr="00C80069">
        <w:rPr>
          <w:rFonts w:ascii="Times New Roman" w:hAnsi="Times New Roman" w:cs="Times New Roman"/>
          <w:sz w:val="24"/>
          <w:szCs w:val="24"/>
        </w:rPr>
        <w:t>:</w:t>
      </w:r>
    </w:p>
    <w:p w:rsidR="008768F4" w:rsidRPr="00C80069" w:rsidP="00C2123C" w14:paraId="725B8292" w14:textId="374211D0">
      <w:pPr>
        <w:spacing w:after="0" w:line="240" w:lineRule="auto"/>
        <w:rPr>
          <w:rFonts w:ascii="Times New Roman" w:hAnsi="Times New Roman" w:cs="Times New Roman"/>
          <w:sz w:val="24"/>
          <w:szCs w:val="24"/>
        </w:rPr>
      </w:pPr>
      <w:r w:rsidRPr="00C80069">
        <w:rPr>
          <w:rFonts w:ascii="Times New Roman" w:hAnsi="Times New Roman" w:cs="Times New Roman"/>
          <w:sz w:val="24"/>
          <w:szCs w:val="24"/>
        </w:rPr>
        <w:t>Respondents:  86 SEF</w:t>
      </w:r>
      <w:r w:rsidRPr="00C80069" w:rsidR="00DA58AA">
        <w:rPr>
          <w:rFonts w:ascii="Times New Roman" w:hAnsi="Times New Roman" w:cs="Times New Roman"/>
          <w:sz w:val="24"/>
          <w:szCs w:val="24"/>
        </w:rPr>
        <w:t xml:space="preserve">s, </w:t>
      </w:r>
      <w:r w:rsidRPr="00C80069">
        <w:rPr>
          <w:rFonts w:ascii="Times New Roman" w:hAnsi="Times New Roman" w:cs="Times New Roman"/>
          <w:sz w:val="24"/>
          <w:szCs w:val="24"/>
        </w:rPr>
        <w:t>DCM</w:t>
      </w:r>
      <w:r w:rsidRPr="00C80069" w:rsidR="00DA58AA">
        <w:rPr>
          <w:rFonts w:ascii="Times New Roman" w:hAnsi="Times New Roman" w:cs="Times New Roman"/>
          <w:sz w:val="24"/>
          <w:szCs w:val="24"/>
        </w:rPr>
        <w:t>s, and R</w:t>
      </w:r>
      <w:r w:rsidRPr="00C80069">
        <w:rPr>
          <w:rFonts w:ascii="Times New Roman" w:hAnsi="Times New Roman" w:cs="Times New Roman"/>
          <w:sz w:val="24"/>
          <w:szCs w:val="24"/>
        </w:rPr>
        <w:t xml:space="preserve">eporting </w:t>
      </w:r>
      <w:r w:rsidRPr="00C80069" w:rsidR="00DA58AA">
        <w:rPr>
          <w:rFonts w:ascii="Times New Roman" w:hAnsi="Times New Roman" w:cs="Times New Roman"/>
          <w:sz w:val="24"/>
          <w:szCs w:val="24"/>
        </w:rPr>
        <w:t>C</w:t>
      </w:r>
      <w:r w:rsidRPr="00C80069">
        <w:rPr>
          <w:rFonts w:ascii="Times New Roman" w:hAnsi="Times New Roman" w:cs="Times New Roman"/>
          <w:sz w:val="24"/>
          <w:szCs w:val="24"/>
        </w:rPr>
        <w:t>ounterparties</w:t>
      </w:r>
    </w:p>
    <w:p w:rsidR="008768F4" w:rsidRPr="00C80069" w:rsidP="00C2123C" w14:paraId="3BAD219C" w14:textId="213974E6">
      <w:pPr>
        <w:spacing w:after="0" w:line="240" w:lineRule="auto"/>
        <w:rPr>
          <w:rFonts w:ascii="Times New Roman" w:hAnsi="Times New Roman" w:cs="Times New Roman"/>
          <w:sz w:val="24"/>
          <w:szCs w:val="24"/>
        </w:rPr>
      </w:pPr>
      <w:r w:rsidRPr="00C80069">
        <w:rPr>
          <w:rFonts w:ascii="Times New Roman" w:hAnsi="Times New Roman" w:cs="Times New Roman"/>
          <w:sz w:val="24"/>
          <w:szCs w:val="24"/>
        </w:rPr>
        <w:t>Number</w:t>
      </w:r>
      <w:r w:rsidRPr="00C80069">
        <w:rPr>
          <w:rFonts w:ascii="Times New Roman" w:hAnsi="Times New Roman" w:cs="Times New Roman"/>
          <w:sz w:val="24"/>
          <w:szCs w:val="24"/>
        </w:rPr>
        <w:t xml:space="preserve"> of responses per respondent: </w:t>
      </w:r>
      <w:r w:rsidRPr="00C80069" w:rsidR="00DA58AA">
        <w:rPr>
          <w:rFonts w:ascii="Times New Roman" w:hAnsi="Times New Roman" w:cs="Times New Roman"/>
          <w:sz w:val="24"/>
          <w:szCs w:val="24"/>
        </w:rPr>
        <w:t xml:space="preserve"> </w:t>
      </w:r>
      <w:r w:rsidRPr="00C80069">
        <w:rPr>
          <w:rFonts w:ascii="Times New Roman" w:hAnsi="Times New Roman" w:cs="Times New Roman"/>
          <w:sz w:val="24"/>
          <w:szCs w:val="24"/>
        </w:rPr>
        <w:t>23</w:t>
      </w:r>
    </w:p>
    <w:p w:rsidR="008768F4" w:rsidRPr="00C80069" w:rsidP="00C2123C" w14:paraId="7BEF4033" w14:textId="24486DBC">
      <w:pPr>
        <w:spacing w:after="0" w:line="240" w:lineRule="auto"/>
        <w:rPr>
          <w:rFonts w:ascii="Times New Roman" w:hAnsi="Times New Roman" w:cs="Times New Roman"/>
          <w:sz w:val="24"/>
          <w:szCs w:val="24"/>
        </w:rPr>
      </w:pPr>
      <w:r w:rsidRPr="00C80069">
        <w:rPr>
          <w:rFonts w:ascii="Times New Roman" w:hAnsi="Times New Roman" w:cs="Times New Roman"/>
          <w:sz w:val="24"/>
          <w:szCs w:val="24"/>
        </w:rPr>
        <w:t>Burden</w:t>
      </w:r>
      <w:r w:rsidRPr="00482C70" w:rsidR="007C0CF8">
        <w:rPr>
          <w:rFonts w:ascii="Times New Roman" w:hAnsi="Times New Roman" w:cs="Times New Roman"/>
          <w:sz w:val="24"/>
          <w:szCs w:val="24"/>
        </w:rPr>
        <w:t xml:space="preserve"> Hour P</w:t>
      </w:r>
      <w:r w:rsidRPr="00C80069">
        <w:rPr>
          <w:rFonts w:ascii="Times New Roman" w:hAnsi="Times New Roman" w:cs="Times New Roman"/>
          <w:sz w:val="24"/>
          <w:szCs w:val="24"/>
        </w:rPr>
        <w:t xml:space="preserve">er </w:t>
      </w:r>
      <w:r w:rsidRPr="00482C70" w:rsidR="007C0CF8">
        <w:rPr>
          <w:rFonts w:ascii="Times New Roman" w:hAnsi="Times New Roman" w:cs="Times New Roman"/>
          <w:sz w:val="24"/>
          <w:szCs w:val="24"/>
        </w:rPr>
        <w:t>R</w:t>
      </w:r>
      <w:r w:rsidRPr="00C80069">
        <w:rPr>
          <w:rFonts w:ascii="Times New Roman" w:hAnsi="Times New Roman" w:cs="Times New Roman"/>
          <w:sz w:val="24"/>
          <w:szCs w:val="24"/>
        </w:rPr>
        <w:t>esponse: 6</w:t>
      </w:r>
    </w:p>
    <w:p w:rsidR="008768F4" w:rsidRPr="00C80069" w:rsidP="00C2123C" w14:paraId="247EDF43" w14:textId="2FFE3B89">
      <w:pPr>
        <w:spacing w:after="0" w:line="240" w:lineRule="auto"/>
        <w:rPr>
          <w:rFonts w:ascii="Times New Roman" w:hAnsi="Times New Roman" w:cs="Times New Roman"/>
          <w:sz w:val="24"/>
          <w:szCs w:val="24"/>
        </w:rPr>
      </w:pPr>
      <w:r w:rsidRPr="00C80069">
        <w:rPr>
          <w:rFonts w:ascii="Times New Roman" w:hAnsi="Times New Roman" w:cs="Times New Roman"/>
          <w:sz w:val="24"/>
          <w:szCs w:val="24"/>
        </w:rPr>
        <w:t xml:space="preserve">Annual </w:t>
      </w:r>
      <w:r w:rsidRPr="00482C70" w:rsidR="007C0CF8">
        <w:rPr>
          <w:rFonts w:ascii="Times New Roman" w:hAnsi="Times New Roman" w:cs="Times New Roman"/>
          <w:sz w:val="24"/>
          <w:szCs w:val="24"/>
        </w:rPr>
        <w:t>B</w:t>
      </w:r>
      <w:r w:rsidRPr="00C80069">
        <w:rPr>
          <w:rFonts w:ascii="Times New Roman" w:hAnsi="Times New Roman" w:cs="Times New Roman"/>
          <w:sz w:val="24"/>
          <w:szCs w:val="24"/>
        </w:rPr>
        <w:t>urden</w:t>
      </w:r>
      <w:r w:rsidRPr="00482C70" w:rsidR="007C0CF8">
        <w:rPr>
          <w:rFonts w:ascii="Times New Roman" w:hAnsi="Times New Roman" w:cs="Times New Roman"/>
          <w:sz w:val="24"/>
          <w:szCs w:val="24"/>
        </w:rPr>
        <w:t xml:space="preserve"> Hours P</w:t>
      </w:r>
      <w:r w:rsidRPr="00C80069">
        <w:rPr>
          <w:rFonts w:ascii="Times New Roman" w:hAnsi="Times New Roman" w:cs="Times New Roman"/>
          <w:sz w:val="24"/>
          <w:szCs w:val="24"/>
        </w:rPr>
        <w:t xml:space="preserve">er </w:t>
      </w:r>
      <w:r w:rsidRPr="00482C70" w:rsidR="007C0CF8">
        <w:rPr>
          <w:rFonts w:ascii="Times New Roman" w:hAnsi="Times New Roman" w:cs="Times New Roman"/>
          <w:sz w:val="24"/>
          <w:szCs w:val="24"/>
        </w:rPr>
        <w:t>R</w:t>
      </w:r>
      <w:r w:rsidRPr="00C80069">
        <w:rPr>
          <w:rFonts w:ascii="Times New Roman" w:hAnsi="Times New Roman" w:cs="Times New Roman"/>
          <w:sz w:val="24"/>
          <w:szCs w:val="24"/>
        </w:rPr>
        <w:t xml:space="preserve">espondent:  138 (23 </w:t>
      </w:r>
      <w:r w:rsidR="00563272">
        <w:rPr>
          <w:rFonts w:ascii="Times New Roman" w:hAnsi="Times New Roman" w:cs="Times New Roman"/>
          <w:sz w:val="24"/>
          <w:szCs w:val="24"/>
        </w:rPr>
        <w:t>×</w:t>
      </w:r>
      <w:r w:rsidRPr="00C80069">
        <w:rPr>
          <w:rFonts w:ascii="Times New Roman" w:hAnsi="Times New Roman" w:cs="Times New Roman"/>
          <w:sz w:val="24"/>
          <w:szCs w:val="24"/>
        </w:rPr>
        <w:t xml:space="preserve"> 6)</w:t>
      </w:r>
    </w:p>
    <w:p w:rsidR="00DA58AA" w:rsidRPr="00C80069" w:rsidP="00424AC3" w14:paraId="5A6BF8F5" w14:textId="6D5A25B5">
      <w:pPr>
        <w:spacing w:after="240" w:line="240" w:lineRule="auto"/>
        <w:rPr>
          <w:rFonts w:ascii="Times New Roman" w:hAnsi="Times New Roman" w:cs="Times New Roman"/>
          <w:sz w:val="24"/>
          <w:szCs w:val="24"/>
        </w:rPr>
      </w:pPr>
      <w:r w:rsidRPr="00C80069">
        <w:rPr>
          <w:rFonts w:ascii="Times New Roman" w:hAnsi="Times New Roman" w:cs="Times New Roman"/>
          <w:sz w:val="24"/>
          <w:szCs w:val="24"/>
        </w:rPr>
        <w:t xml:space="preserve">Total </w:t>
      </w:r>
      <w:r w:rsidRPr="00C80069">
        <w:rPr>
          <w:rFonts w:ascii="Times New Roman" w:hAnsi="Times New Roman" w:cs="Times New Roman"/>
          <w:sz w:val="24"/>
          <w:szCs w:val="24"/>
        </w:rPr>
        <w:t>R</w:t>
      </w:r>
      <w:r w:rsidRPr="00C80069">
        <w:rPr>
          <w:rFonts w:ascii="Times New Roman" w:hAnsi="Times New Roman" w:cs="Times New Roman"/>
          <w:sz w:val="24"/>
          <w:szCs w:val="24"/>
        </w:rPr>
        <w:t xml:space="preserve">espondent </w:t>
      </w:r>
      <w:r w:rsidRPr="00C80069">
        <w:rPr>
          <w:rFonts w:ascii="Times New Roman" w:hAnsi="Times New Roman" w:cs="Times New Roman"/>
          <w:sz w:val="24"/>
          <w:szCs w:val="24"/>
        </w:rPr>
        <w:t>B</w:t>
      </w:r>
      <w:r w:rsidRPr="00C80069">
        <w:rPr>
          <w:rFonts w:ascii="Times New Roman" w:hAnsi="Times New Roman" w:cs="Times New Roman"/>
          <w:sz w:val="24"/>
          <w:szCs w:val="24"/>
        </w:rPr>
        <w:t xml:space="preserve">urden </w:t>
      </w:r>
      <w:r w:rsidRPr="00C80069">
        <w:rPr>
          <w:rFonts w:ascii="Times New Roman" w:hAnsi="Times New Roman" w:cs="Times New Roman"/>
          <w:sz w:val="24"/>
          <w:szCs w:val="24"/>
        </w:rPr>
        <w:t>Hours</w:t>
      </w:r>
      <w:r w:rsidRPr="00C80069">
        <w:rPr>
          <w:rFonts w:ascii="Times New Roman" w:hAnsi="Times New Roman" w:cs="Times New Roman"/>
          <w:sz w:val="24"/>
          <w:szCs w:val="24"/>
        </w:rPr>
        <w:t xml:space="preserve"> </w:t>
      </w:r>
      <w:r w:rsidRPr="00C80069">
        <w:rPr>
          <w:rFonts w:ascii="Times New Roman" w:hAnsi="Times New Roman" w:cs="Times New Roman"/>
          <w:sz w:val="24"/>
          <w:szCs w:val="24"/>
        </w:rPr>
        <w:t>U</w:t>
      </w:r>
      <w:r w:rsidRPr="00C80069">
        <w:rPr>
          <w:rFonts w:ascii="Times New Roman" w:hAnsi="Times New Roman" w:cs="Times New Roman"/>
          <w:sz w:val="24"/>
          <w:szCs w:val="24"/>
        </w:rPr>
        <w:t>nder Reg</w:t>
      </w:r>
      <w:r w:rsidRPr="00C80069">
        <w:rPr>
          <w:rFonts w:ascii="Times New Roman" w:hAnsi="Times New Roman" w:cs="Times New Roman"/>
          <w:sz w:val="24"/>
          <w:szCs w:val="24"/>
        </w:rPr>
        <w:t>ulation</w:t>
      </w:r>
      <w:r w:rsidRPr="00C80069">
        <w:rPr>
          <w:rFonts w:ascii="Times New Roman" w:hAnsi="Times New Roman" w:cs="Times New Roman"/>
          <w:sz w:val="24"/>
          <w:szCs w:val="24"/>
        </w:rPr>
        <w:t xml:space="preserve"> 43.3 (e)</w:t>
      </w:r>
      <w:r w:rsidRPr="00C80069">
        <w:rPr>
          <w:rFonts w:ascii="Times New Roman" w:hAnsi="Times New Roman" w:cs="Times New Roman"/>
          <w:sz w:val="24"/>
          <w:szCs w:val="24"/>
        </w:rPr>
        <w:t xml:space="preserve">: </w:t>
      </w:r>
      <w:r w:rsidRPr="00C80069">
        <w:rPr>
          <w:rFonts w:ascii="Times New Roman" w:hAnsi="Times New Roman" w:cs="Times New Roman"/>
          <w:sz w:val="24"/>
          <w:szCs w:val="24"/>
        </w:rPr>
        <w:t xml:space="preserve">11,868 </w:t>
      </w:r>
      <w:r w:rsidRPr="00C80069" w:rsidR="00AE6D5F">
        <w:rPr>
          <w:rFonts w:ascii="Times New Roman" w:hAnsi="Times New Roman" w:cs="Times New Roman"/>
          <w:sz w:val="24"/>
          <w:szCs w:val="24"/>
        </w:rPr>
        <w:t>hours</w:t>
      </w:r>
      <w:r w:rsidRPr="00C80069" w:rsidR="007C0CF8">
        <w:rPr>
          <w:rFonts w:ascii="Times New Roman" w:hAnsi="Times New Roman" w:cs="Times New Roman"/>
          <w:sz w:val="24"/>
          <w:szCs w:val="24"/>
        </w:rPr>
        <w:t xml:space="preserve"> (138 </w:t>
      </w:r>
      <w:r w:rsidR="00610294">
        <w:rPr>
          <w:rFonts w:ascii="Times New Roman" w:hAnsi="Times New Roman" w:cs="Times New Roman"/>
          <w:sz w:val="24"/>
          <w:szCs w:val="24"/>
        </w:rPr>
        <w:t>×</w:t>
      </w:r>
      <w:r w:rsidRPr="00C80069" w:rsidR="007C0CF8">
        <w:rPr>
          <w:rFonts w:ascii="Times New Roman" w:hAnsi="Times New Roman" w:cs="Times New Roman"/>
          <w:sz w:val="24"/>
          <w:szCs w:val="24"/>
        </w:rPr>
        <w:t xml:space="preserve"> 86)</w:t>
      </w:r>
    </w:p>
    <w:p w:rsidR="008768F4" w:rsidRPr="00C80069" w:rsidP="00424AC3" w14:paraId="6544C03B" w14:textId="1DF256A5">
      <w:pPr>
        <w:spacing w:after="240" w:line="240" w:lineRule="auto"/>
        <w:rPr>
          <w:rFonts w:ascii="Times New Roman" w:hAnsi="Times New Roman" w:cs="Times New Roman"/>
          <w:sz w:val="24"/>
          <w:szCs w:val="24"/>
        </w:rPr>
      </w:pPr>
      <w:r w:rsidRPr="00C80069">
        <w:rPr>
          <w:rFonts w:ascii="Times New Roman" w:hAnsi="Times New Roman" w:cs="Times New Roman"/>
          <w:sz w:val="24"/>
          <w:szCs w:val="24"/>
          <w:u w:val="single"/>
        </w:rPr>
        <w:t>Regulation 43.4</w:t>
      </w:r>
      <w:r w:rsidRPr="00C80069">
        <w:rPr>
          <w:rFonts w:ascii="Times New Roman" w:hAnsi="Times New Roman" w:cs="Times New Roman"/>
          <w:sz w:val="24"/>
          <w:szCs w:val="24"/>
        </w:rPr>
        <w:t xml:space="preserve">: </w:t>
      </w:r>
    </w:p>
    <w:p w:rsidR="008768F4" w:rsidRPr="00C80069" w:rsidP="00C2123C" w14:paraId="198F7ED6" w14:textId="4BA863AD">
      <w:pPr>
        <w:spacing w:after="0" w:line="240" w:lineRule="auto"/>
        <w:rPr>
          <w:rFonts w:ascii="Times New Roman" w:hAnsi="Times New Roman" w:cs="Times New Roman"/>
          <w:sz w:val="24"/>
          <w:szCs w:val="24"/>
        </w:rPr>
      </w:pPr>
      <w:r w:rsidRPr="00C80069">
        <w:rPr>
          <w:rFonts w:ascii="Times New Roman" w:hAnsi="Times New Roman" w:cs="Times New Roman"/>
          <w:sz w:val="24"/>
          <w:szCs w:val="24"/>
        </w:rPr>
        <w:t>Respondents:  4 SDRs</w:t>
      </w:r>
    </w:p>
    <w:p w:rsidR="008768F4" w:rsidRPr="00C80069" w:rsidP="00C2123C" w14:paraId="3101A4B2" w14:textId="274C29BA">
      <w:pPr>
        <w:spacing w:after="0" w:line="240" w:lineRule="auto"/>
        <w:rPr>
          <w:rFonts w:ascii="Times New Roman" w:hAnsi="Times New Roman" w:cs="Times New Roman"/>
          <w:sz w:val="24"/>
          <w:szCs w:val="24"/>
        </w:rPr>
      </w:pPr>
      <w:r w:rsidRPr="00C80069">
        <w:rPr>
          <w:rFonts w:ascii="Times New Roman" w:hAnsi="Times New Roman" w:cs="Times New Roman"/>
          <w:sz w:val="24"/>
          <w:szCs w:val="24"/>
        </w:rPr>
        <w:t>Number</w:t>
      </w:r>
      <w:r w:rsidRPr="00C80069">
        <w:rPr>
          <w:rFonts w:ascii="Times New Roman" w:hAnsi="Times New Roman" w:cs="Times New Roman"/>
          <w:sz w:val="24"/>
          <w:szCs w:val="24"/>
        </w:rPr>
        <w:t xml:space="preserve"> of </w:t>
      </w:r>
      <w:r w:rsidRPr="00C80069" w:rsidR="009662E4">
        <w:rPr>
          <w:rFonts w:ascii="Times New Roman" w:hAnsi="Times New Roman" w:cs="Times New Roman"/>
          <w:sz w:val="24"/>
          <w:szCs w:val="24"/>
        </w:rPr>
        <w:t>R</w:t>
      </w:r>
      <w:r w:rsidRPr="00C80069">
        <w:rPr>
          <w:rFonts w:ascii="Times New Roman" w:hAnsi="Times New Roman" w:cs="Times New Roman"/>
          <w:sz w:val="24"/>
          <w:szCs w:val="24"/>
        </w:rPr>
        <w:t xml:space="preserve">esponses </w:t>
      </w:r>
      <w:r w:rsidRPr="00C80069" w:rsidR="009662E4">
        <w:rPr>
          <w:rFonts w:ascii="Times New Roman" w:hAnsi="Times New Roman" w:cs="Times New Roman"/>
          <w:sz w:val="24"/>
          <w:szCs w:val="24"/>
        </w:rPr>
        <w:t>P</w:t>
      </w:r>
      <w:r w:rsidRPr="00C80069">
        <w:rPr>
          <w:rFonts w:ascii="Times New Roman" w:hAnsi="Times New Roman" w:cs="Times New Roman"/>
          <w:sz w:val="24"/>
          <w:szCs w:val="24"/>
        </w:rPr>
        <w:t xml:space="preserve">er </w:t>
      </w:r>
      <w:r w:rsidRPr="00C80069" w:rsidR="009662E4">
        <w:rPr>
          <w:rFonts w:ascii="Times New Roman" w:hAnsi="Times New Roman" w:cs="Times New Roman"/>
          <w:sz w:val="24"/>
          <w:szCs w:val="24"/>
        </w:rPr>
        <w:t>R</w:t>
      </w:r>
      <w:r w:rsidRPr="00C80069">
        <w:rPr>
          <w:rFonts w:ascii="Times New Roman" w:hAnsi="Times New Roman" w:cs="Times New Roman"/>
          <w:sz w:val="24"/>
          <w:szCs w:val="24"/>
        </w:rPr>
        <w:t>espondent:  1,499,900</w:t>
      </w:r>
    </w:p>
    <w:p w:rsidR="008768F4" w:rsidRPr="00C80069" w:rsidP="00C2123C" w14:paraId="2718090C" w14:textId="44AB64A7">
      <w:pPr>
        <w:spacing w:after="0" w:line="240" w:lineRule="auto"/>
        <w:rPr>
          <w:rFonts w:ascii="Times New Roman" w:hAnsi="Times New Roman" w:cs="Times New Roman"/>
          <w:sz w:val="24"/>
          <w:szCs w:val="24"/>
        </w:rPr>
      </w:pPr>
      <w:r w:rsidRPr="00C80069">
        <w:rPr>
          <w:rFonts w:ascii="Times New Roman" w:hAnsi="Times New Roman" w:cs="Times New Roman"/>
          <w:sz w:val="24"/>
          <w:szCs w:val="24"/>
        </w:rPr>
        <w:t xml:space="preserve">Burden </w:t>
      </w:r>
      <w:r w:rsidRPr="00C80069" w:rsidR="009662E4">
        <w:rPr>
          <w:rFonts w:ascii="Times New Roman" w:hAnsi="Times New Roman" w:cs="Times New Roman"/>
          <w:sz w:val="24"/>
          <w:szCs w:val="24"/>
        </w:rPr>
        <w:t>Hour</w:t>
      </w:r>
      <w:r w:rsidRPr="00C80069">
        <w:rPr>
          <w:rFonts w:ascii="Times New Roman" w:hAnsi="Times New Roman" w:cs="Times New Roman"/>
          <w:sz w:val="24"/>
          <w:szCs w:val="24"/>
        </w:rPr>
        <w:t xml:space="preserve"> </w:t>
      </w:r>
      <w:r w:rsidRPr="00C80069" w:rsidR="009662E4">
        <w:rPr>
          <w:rFonts w:ascii="Times New Roman" w:hAnsi="Times New Roman" w:cs="Times New Roman"/>
          <w:sz w:val="24"/>
          <w:szCs w:val="24"/>
        </w:rPr>
        <w:t>P</w:t>
      </w:r>
      <w:r w:rsidRPr="00C80069">
        <w:rPr>
          <w:rFonts w:ascii="Times New Roman" w:hAnsi="Times New Roman" w:cs="Times New Roman"/>
          <w:sz w:val="24"/>
          <w:szCs w:val="24"/>
        </w:rPr>
        <w:t xml:space="preserve">er </w:t>
      </w:r>
      <w:r w:rsidRPr="00C80069" w:rsidR="009662E4">
        <w:rPr>
          <w:rFonts w:ascii="Times New Roman" w:hAnsi="Times New Roman" w:cs="Times New Roman"/>
          <w:sz w:val="24"/>
          <w:szCs w:val="24"/>
        </w:rPr>
        <w:t>R</w:t>
      </w:r>
      <w:r w:rsidRPr="00C80069">
        <w:rPr>
          <w:rFonts w:ascii="Times New Roman" w:hAnsi="Times New Roman" w:cs="Times New Roman"/>
          <w:sz w:val="24"/>
          <w:szCs w:val="24"/>
        </w:rPr>
        <w:t>esponse: .009</w:t>
      </w:r>
    </w:p>
    <w:p w:rsidR="008768F4" w:rsidRPr="00C80069" w:rsidP="00C2123C" w14:paraId="601FD6AB" w14:textId="62DFA6BF">
      <w:pPr>
        <w:spacing w:after="0" w:line="240" w:lineRule="auto"/>
        <w:rPr>
          <w:rFonts w:ascii="Times New Roman" w:hAnsi="Times New Roman" w:cs="Times New Roman"/>
          <w:sz w:val="24"/>
          <w:szCs w:val="24"/>
        </w:rPr>
      </w:pPr>
      <w:r w:rsidRPr="00C80069">
        <w:rPr>
          <w:rFonts w:ascii="Times New Roman" w:hAnsi="Times New Roman" w:cs="Times New Roman"/>
          <w:sz w:val="24"/>
          <w:szCs w:val="24"/>
        </w:rPr>
        <w:t xml:space="preserve">Annual </w:t>
      </w:r>
      <w:r w:rsidRPr="00C80069" w:rsidR="009662E4">
        <w:rPr>
          <w:rFonts w:ascii="Times New Roman" w:hAnsi="Times New Roman" w:cs="Times New Roman"/>
          <w:sz w:val="24"/>
          <w:szCs w:val="24"/>
        </w:rPr>
        <w:t>B</w:t>
      </w:r>
      <w:r w:rsidRPr="00C80069">
        <w:rPr>
          <w:rFonts w:ascii="Times New Roman" w:hAnsi="Times New Roman" w:cs="Times New Roman"/>
          <w:sz w:val="24"/>
          <w:szCs w:val="24"/>
        </w:rPr>
        <w:t xml:space="preserve">urden </w:t>
      </w:r>
      <w:r w:rsidRPr="00C80069" w:rsidR="009662E4">
        <w:rPr>
          <w:rFonts w:ascii="Times New Roman" w:hAnsi="Times New Roman" w:cs="Times New Roman"/>
          <w:sz w:val="24"/>
          <w:szCs w:val="24"/>
        </w:rPr>
        <w:t>Hours</w:t>
      </w:r>
      <w:r w:rsidRPr="00C80069">
        <w:rPr>
          <w:rFonts w:ascii="Times New Roman" w:hAnsi="Times New Roman" w:cs="Times New Roman"/>
          <w:sz w:val="24"/>
          <w:szCs w:val="24"/>
        </w:rPr>
        <w:t xml:space="preserve"> </w:t>
      </w:r>
      <w:r w:rsidRPr="00C80069" w:rsidR="009662E4">
        <w:rPr>
          <w:rFonts w:ascii="Times New Roman" w:hAnsi="Times New Roman" w:cs="Times New Roman"/>
          <w:sz w:val="24"/>
          <w:szCs w:val="24"/>
        </w:rPr>
        <w:t>P</w:t>
      </w:r>
      <w:r w:rsidRPr="00C80069">
        <w:rPr>
          <w:rFonts w:ascii="Times New Roman" w:hAnsi="Times New Roman" w:cs="Times New Roman"/>
          <w:sz w:val="24"/>
          <w:szCs w:val="24"/>
        </w:rPr>
        <w:t xml:space="preserve">er </w:t>
      </w:r>
      <w:r w:rsidRPr="00C80069" w:rsidR="009662E4">
        <w:rPr>
          <w:rFonts w:ascii="Times New Roman" w:hAnsi="Times New Roman" w:cs="Times New Roman"/>
          <w:sz w:val="24"/>
          <w:szCs w:val="24"/>
        </w:rPr>
        <w:t>R</w:t>
      </w:r>
      <w:r w:rsidRPr="00C80069">
        <w:rPr>
          <w:rFonts w:ascii="Times New Roman" w:hAnsi="Times New Roman" w:cs="Times New Roman"/>
          <w:sz w:val="24"/>
          <w:szCs w:val="24"/>
        </w:rPr>
        <w:t xml:space="preserve">espondent: 13,499 (1,499,900 </w:t>
      </w:r>
      <w:r w:rsidR="00610294">
        <w:rPr>
          <w:rFonts w:ascii="Times New Roman" w:hAnsi="Times New Roman" w:cs="Times New Roman"/>
          <w:sz w:val="24"/>
          <w:szCs w:val="24"/>
        </w:rPr>
        <w:t>×</w:t>
      </w:r>
      <w:r w:rsidRPr="00C80069">
        <w:rPr>
          <w:rFonts w:ascii="Times New Roman" w:hAnsi="Times New Roman" w:cs="Times New Roman"/>
          <w:sz w:val="24"/>
          <w:szCs w:val="24"/>
        </w:rPr>
        <w:t xml:space="preserve"> .009)</w:t>
      </w:r>
    </w:p>
    <w:p w:rsidR="008768F4" w:rsidRPr="00C80069" w:rsidP="00424AC3" w14:paraId="407B38A3" w14:textId="35180334">
      <w:pPr>
        <w:spacing w:after="240" w:line="240" w:lineRule="auto"/>
        <w:rPr>
          <w:rFonts w:ascii="Times New Roman" w:hAnsi="Times New Roman" w:cs="Times New Roman"/>
          <w:sz w:val="24"/>
          <w:szCs w:val="24"/>
        </w:rPr>
      </w:pPr>
      <w:r w:rsidRPr="00C80069">
        <w:rPr>
          <w:rFonts w:ascii="Times New Roman" w:hAnsi="Times New Roman" w:cs="Times New Roman"/>
          <w:sz w:val="24"/>
          <w:szCs w:val="24"/>
        </w:rPr>
        <w:t xml:space="preserve">Total </w:t>
      </w:r>
      <w:r w:rsidRPr="00C80069" w:rsidR="009662E4">
        <w:rPr>
          <w:rFonts w:ascii="Times New Roman" w:hAnsi="Times New Roman" w:cs="Times New Roman"/>
          <w:sz w:val="24"/>
          <w:szCs w:val="24"/>
        </w:rPr>
        <w:t>R</w:t>
      </w:r>
      <w:r w:rsidRPr="00C80069">
        <w:rPr>
          <w:rFonts w:ascii="Times New Roman" w:hAnsi="Times New Roman" w:cs="Times New Roman"/>
          <w:sz w:val="24"/>
          <w:szCs w:val="24"/>
        </w:rPr>
        <w:t xml:space="preserve">espondent </w:t>
      </w:r>
      <w:r w:rsidRPr="00C80069" w:rsidR="009662E4">
        <w:rPr>
          <w:rFonts w:ascii="Times New Roman" w:hAnsi="Times New Roman" w:cs="Times New Roman"/>
          <w:sz w:val="24"/>
          <w:szCs w:val="24"/>
        </w:rPr>
        <w:t>B</w:t>
      </w:r>
      <w:r w:rsidRPr="00C80069">
        <w:rPr>
          <w:rFonts w:ascii="Times New Roman" w:hAnsi="Times New Roman" w:cs="Times New Roman"/>
          <w:sz w:val="24"/>
          <w:szCs w:val="24"/>
        </w:rPr>
        <w:t xml:space="preserve">urden </w:t>
      </w:r>
      <w:r w:rsidRPr="00C80069" w:rsidR="009662E4">
        <w:rPr>
          <w:rFonts w:ascii="Times New Roman" w:hAnsi="Times New Roman" w:cs="Times New Roman"/>
          <w:sz w:val="24"/>
          <w:szCs w:val="24"/>
        </w:rPr>
        <w:t>Hours</w:t>
      </w:r>
      <w:r w:rsidRPr="00C80069">
        <w:rPr>
          <w:rFonts w:ascii="Times New Roman" w:hAnsi="Times New Roman" w:cs="Times New Roman"/>
          <w:sz w:val="24"/>
          <w:szCs w:val="24"/>
        </w:rPr>
        <w:t xml:space="preserve"> </w:t>
      </w:r>
      <w:r w:rsidRPr="00C80069" w:rsidR="009662E4">
        <w:rPr>
          <w:rFonts w:ascii="Times New Roman" w:hAnsi="Times New Roman" w:cs="Times New Roman"/>
          <w:sz w:val="24"/>
          <w:szCs w:val="24"/>
        </w:rPr>
        <w:t>U</w:t>
      </w:r>
      <w:r w:rsidRPr="00C80069">
        <w:rPr>
          <w:rFonts w:ascii="Times New Roman" w:hAnsi="Times New Roman" w:cs="Times New Roman"/>
          <w:sz w:val="24"/>
          <w:szCs w:val="24"/>
        </w:rPr>
        <w:t>nder Reg</w:t>
      </w:r>
      <w:r w:rsidRPr="00C80069" w:rsidR="009662E4">
        <w:rPr>
          <w:rFonts w:ascii="Times New Roman" w:hAnsi="Times New Roman" w:cs="Times New Roman"/>
          <w:sz w:val="24"/>
          <w:szCs w:val="24"/>
        </w:rPr>
        <w:t>ulation</w:t>
      </w:r>
      <w:r w:rsidRPr="00C80069">
        <w:rPr>
          <w:rFonts w:ascii="Times New Roman" w:hAnsi="Times New Roman" w:cs="Times New Roman"/>
          <w:sz w:val="24"/>
          <w:szCs w:val="24"/>
        </w:rPr>
        <w:t xml:space="preserve"> 43.4</w:t>
      </w:r>
      <w:r w:rsidRPr="00C80069" w:rsidR="009662E4">
        <w:rPr>
          <w:rFonts w:ascii="Times New Roman" w:hAnsi="Times New Roman" w:cs="Times New Roman"/>
          <w:sz w:val="24"/>
          <w:szCs w:val="24"/>
        </w:rPr>
        <w:t xml:space="preserve">: </w:t>
      </w:r>
      <w:r w:rsidRPr="00C80069">
        <w:rPr>
          <w:rFonts w:ascii="Times New Roman" w:hAnsi="Times New Roman" w:cs="Times New Roman"/>
          <w:sz w:val="24"/>
          <w:szCs w:val="24"/>
        </w:rPr>
        <w:t>53,996</w:t>
      </w:r>
      <w:r w:rsidRPr="00482C70" w:rsidR="007C0CF8">
        <w:rPr>
          <w:rFonts w:ascii="Times New Roman" w:hAnsi="Times New Roman" w:cs="Times New Roman"/>
          <w:sz w:val="24"/>
          <w:szCs w:val="24"/>
        </w:rPr>
        <w:t xml:space="preserve"> hours (13,499 </w:t>
      </w:r>
      <w:r w:rsidR="00610294">
        <w:rPr>
          <w:rFonts w:ascii="Times New Roman" w:hAnsi="Times New Roman" w:cs="Times New Roman"/>
          <w:sz w:val="24"/>
          <w:szCs w:val="24"/>
        </w:rPr>
        <w:t>×</w:t>
      </w:r>
      <w:r w:rsidRPr="00482C70" w:rsidR="007C0CF8">
        <w:rPr>
          <w:rFonts w:ascii="Times New Roman" w:hAnsi="Times New Roman" w:cs="Times New Roman"/>
          <w:sz w:val="24"/>
          <w:szCs w:val="24"/>
        </w:rPr>
        <w:t xml:space="preserve"> 4)</w:t>
      </w:r>
    </w:p>
    <w:p w:rsidR="008768F4" w:rsidRPr="00C80069" w:rsidP="007D1429" w14:paraId="5DE7D409" w14:textId="77777777">
      <w:pPr>
        <w:keepNext/>
        <w:spacing w:after="240" w:line="240" w:lineRule="auto"/>
        <w:rPr>
          <w:rFonts w:ascii="Times New Roman" w:hAnsi="Times New Roman" w:cs="Times New Roman"/>
          <w:sz w:val="24"/>
          <w:szCs w:val="24"/>
        </w:rPr>
      </w:pPr>
      <w:r w:rsidRPr="00C80069">
        <w:rPr>
          <w:rFonts w:ascii="Times New Roman" w:hAnsi="Times New Roman" w:cs="Times New Roman"/>
          <w:sz w:val="24"/>
          <w:szCs w:val="24"/>
          <w:u w:val="single"/>
        </w:rPr>
        <w:t>Regulation 43.6</w:t>
      </w:r>
      <w:r w:rsidRPr="00C80069">
        <w:rPr>
          <w:rFonts w:ascii="Times New Roman" w:hAnsi="Times New Roman" w:cs="Times New Roman"/>
          <w:sz w:val="24"/>
          <w:szCs w:val="24"/>
        </w:rPr>
        <w:t>:</w:t>
      </w:r>
    </w:p>
    <w:p w:rsidR="008768F4" w:rsidRPr="00C80069" w:rsidP="00C2123C" w14:paraId="21BE553B" w14:textId="4C4AD0C5">
      <w:pPr>
        <w:keepNext/>
        <w:spacing w:after="0" w:line="240" w:lineRule="auto"/>
        <w:rPr>
          <w:rFonts w:ascii="Times New Roman" w:hAnsi="Times New Roman" w:cs="Times New Roman"/>
          <w:sz w:val="24"/>
          <w:szCs w:val="24"/>
        </w:rPr>
      </w:pPr>
      <w:r w:rsidRPr="00C80069">
        <w:rPr>
          <w:rFonts w:ascii="Times New Roman" w:hAnsi="Times New Roman" w:cs="Times New Roman"/>
          <w:sz w:val="24"/>
          <w:szCs w:val="24"/>
        </w:rPr>
        <w:t>Respondents: 1</w:t>
      </w:r>
      <w:r w:rsidRPr="00C80069" w:rsidR="00B47AB4">
        <w:rPr>
          <w:rFonts w:ascii="Times New Roman" w:hAnsi="Times New Roman" w:cs="Times New Roman"/>
          <w:sz w:val="24"/>
          <w:szCs w:val="24"/>
        </w:rPr>
        <w:t>,</w:t>
      </w:r>
      <w:r w:rsidRPr="00C80069">
        <w:rPr>
          <w:rFonts w:ascii="Times New Roman" w:hAnsi="Times New Roman" w:cs="Times New Roman"/>
          <w:sz w:val="24"/>
          <w:szCs w:val="24"/>
        </w:rPr>
        <w:t>688 SDRs, SEFs, DCMs</w:t>
      </w:r>
      <w:r w:rsidRPr="00C80069" w:rsidR="00B47AB4">
        <w:rPr>
          <w:rFonts w:ascii="Times New Roman" w:hAnsi="Times New Roman" w:cs="Times New Roman"/>
          <w:sz w:val="24"/>
          <w:szCs w:val="24"/>
        </w:rPr>
        <w:t xml:space="preserve">, and Financial Entity Reporting Counterparties </w:t>
      </w:r>
      <w:r w:rsidRPr="00C80069">
        <w:rPr>
          <w:rFonts w:ascii="Times New Roman" w:hAnsi="Times New Roman" w:cs="Times New Roman"/>
          <w:sz w:val="24"/>
          <w:szCs w:val="24"/>
        </w:rPr>
        <w:t xml:space="preserve"> </w:t>
      </w:r>
    </w:p>
    <w:p w:rsidR="008768F4" w:rsidRPr="00C80069" w:rsidP="00C2123C" w14:paraId="1DD88ADB" w14:textId="2423215C">
      <w:pPr>
        <w:keepNext/>
        <w:spacing w:after="0" w:line="240" w:lineRule="auto"/>
        <w:rPr>
          <w:rFonts w:ascii="Times New Roman" w:hAnsi="Times New Roman" w:cs="Times New Roman"/>
          <w:sz w:val="24"/>
          <w:szCs w:val="24"/>
        </w:rPr>
      </w:pPr>
      <w:r w:rsidRPr="00C80069">
        <w:rPr>
          <w:rFonts w:ascii="Times New Roman" w:hAnsi="Times New Roman" w:cs="Times New Roman"/>
          <w:sz w:val="24"/>
          <w:szCs w:val="24"/>
        </w:rPr>
        <w:t>Number</w:t>
      </w:r>
      <w:r w:rsidRPr="00C80069">
        <w:rPr>
          <w:rFonts w:ascii="Times New Roman" w:hAnsi="Times New Roman" w:cs="Times New Roman"/>
          <w:sz w:val="24"/>
          <w:szCs w:val="24"/>
        </w:rPr>
        <w:t xml:space="preserve"> of </w:t>
      </w:r>
      <w:r w:rsidRPr="00C80069">
        <w:rPr>
          <w:rFonts w:ascii="Times New Roman" w:hAnsi="Times New Roman" w:cs="Times New Roman"/>
          <w:sz w:val="24"/>
          <w:szCs w:val="24"/>
        </w:rPr>
        <w:t>R</w:t>
      </w:r>
      <w:r w:rsidRPr="00C80069">
        <w:rPr>
          <w:rFonts w:ascii="Times New Roman" w:hAnsi="Times New Roman" w:cs="Times New Roman"/>
          <w:sz w:val="24"/>
          <w:szCs w:val="24"/>
        </w:rPr>
        <w:t xml:space="preserve">esponses </w:t>
      </w:r>
      <w:r w:rsidRPr="00C80069">
        <w:rPr>
          <w:rFonts w:ascii="Times New Roman" w:hAnsi="Times New Roman" w:cs="Times New Roman"/>
          <w:sz w:val="24"/>
          <w:szCs w:val="24"/>
        </w:rPr>
        <w:t>P</w:t>
      </w:r>
      <w:r w:rsidRPr="00C80069">
        <w:rPr>
          <w:rFonts w:ascii="Times New Roman" w:hAnsi="Times New Roman" w:cs="Times New Roman"/>
          <w:sz w:val="24"/>
          <w:szCs w:val="24"/>
        </w:rPr>
        <w:t xml:space="preserve">er </w:t>
      </w:r>
      <w:r w:rsidRPr="00C80069">
        <w:rPr>
          <w:rFonts w:ascii="Times New Roman" w:hAnsi="Times New Roman" w:cs="Times New Roman"/>
          <w:sz w:val="24"/>
          <w:szCs w:val="24"/>
        </w:rPr>
        <w:t>R</w:t>
      </w:r>
      <w:r w:rsidRPr="00C80069">
        <w:rPr>
          <w:rFonts w:ascii="Times New Roman" w:hAnsi="Times New Roman" w:cs="Times New Roman"/>
          <w:sz w:val="24"/>
          <w:szCs w:val="24"/>
        </w:rPr>
        <w:t>espondent:</w:t>
      </w:r>
      <w:r w:rsidRPr="00C80069">
        <w:rPr>
          <w:rFonts w:ascii="Times New Roman" w:hAnsi="Times New Roman" w:cs="Times New Roman"/>
          <w:sz w:val="24"/>
          <w:szCs w:val="24"/>
        </w:rPr>
        <w:t xml:space="preserve"> </w:t>
      </w:r>
      <w:r w:rsidRPr="00C80069">
        <w:rPr>
          <w:rFonts w:ascii="Times New Roman" w:hAnsi="Times New Roman" w:cs="Times New Roman"/>
          <w:sz w:val="24"/>
          <w:szCs w:val="24"/>
        </w:rPr>
        <w:t>200</w:t>
      </w:r>
    </w:p>
    <w:p w:rsidR="008768F4" w:rsidRPr="00C80069" w:rsidP="00C2123C" w14:paraId="1753C5E8" w14:textId="58D69B86">
      <w:pPr>
        <w:spacing w:after="0" w:line="240" w:lineRule="auto"/>
        <w:rPr>
          <w:rFonts w:ascii="Times New Roman" w:hAnsi="Times New Roman" w:cs="Times New Roman"/>
          <w:sz w:val="24"/>
          <w:szCs w:val="24"/>
        </w:rPr>
      </w:pPr>
      <w:r w:rsidRPr="00C80069">
        <w:rPr>
          <w:rFonts w:ascii="Times New Roman" w:hAnsi="Times New Roman" w:cs="Times New Roman"/>
          <w:sz w:val="24"/>
          <w:szCs w:val="24"/>
        </w:rPr>
        <w:t xml:space="preserve">Burden </w:t>
      </w:r>
      <w:r w:rsidRPr="00C80069" w:rsidR="00B47AB4">
        <w:rPr>
          <w:rFonts w:ascii="Times New Roman" w:hAnsi="Times New Roman" w:cs="Times New Roman"/>
          <w:sz w:val="24"/>
          <w:szCs w:val="24"/>
        </w:rPr>
        <w:t>Hour</w:t>
      </w:r>
      <w:r w:rsidRPr="00C80069">
        <w:rPr>
          <w:rFonts w:ascii="Times New Roman" w:hAnsi="Times New Roman" w:cs="Times New Roman"/>
          <w:sz w:val="24"/>
          <w:szCs w:val="24"/>
        </w:rPr>
        <w:t xml:space="preserve"> </w:t>
      </w:r>
      <w:r w:rsidRPr="00C80069" w:rsidR="00B47AB4">
        <w:rPr>
          <w:rFonts w:ascii="Times New Roman" w:hAnsi="Times New Roman" w:cs="Times New Roman"/>
          <w:sz w:val="24"/>
          <w:szCs w:val="24"/>
        </w:rPr>
        <w:t>P</w:t>
      </w:r>
      <w:r w:rsidRPr="00C80069">
        <w:rPr>
          <w:rFonts w:ascii="Times New Roman" w:hAnsi="Times New Roman" w:cs="Times New Roman"/>
          <w:sz w:val="24"/>
          <w:szCs w:val="24"/>
        </w:rPr>
        <w:t xml:space="preserve">er </w:t>
      </w:r>
      <w:r w:rsidRPr="00C80069" w:rsidR="00B47AB4">
        <w:rPr>
          <w:rFonts w:ascii="Times New Roman" w:hAnsi="Times New Roman" w:cs="Times New Roman"/>
          <w:sz w:val="24"/>
          <w:szCs w:val="24"/>
        </w:rPr>
        <w:t>R</w:t>
      </w:r>
      <w:r w:rsidRPr="00C80069">
        <w:rPr>
          <w:rFonts w:ascii="Times New Roman" w:hAnsi="Times New Roman" w:cs="Times New Roman"/>
          <w:sz w:val="24"/>
          <w:szCs w:val="24"/>
        </w:rPr>
        <w:t>esponse: .0167</w:t>
      </w:r>
    </w:p>
    <w:p w:rsidR="008768F4" w:rsidRPr="00C80069" w:rsidP="00C2123C" w14:paraId="03DC20AA" w14:textId="1495DD43">
      <w:pPr>
        <w:spacing w:after="0" w:line="240" w:lineRule="auto"/>
        <w:rPr>
          <w:rFonts w:ascii="Times New Roman" w:hAnsi="Times New Roman" w:cs="Times New Roman"/>
          <w:sz w:val="24"/>
          <w:szCs w:val="24"/>
        </w:rPr>
      </w:pPr>
      <w:r w:rsidRPr="00C80069">
        <w:rPr>
          <w:rFonts w:ascii="Times New Roman" w:hAnsi="Times New Roman" w:cs="Times New Roman"/>
          <w:sz w:val="24"/>
          <w:szCs w:val="24"/>
        </w:rPr>
        <w:t xml:space="preserve">Annual </w:t>
      </w:r>
      <w:r w:rsidRPr="00C80069" w:rsidR="00B47AB4">
        <w:rPr>
          <w:rFonts w:ascii="Times New Roman" w:hAnsi="Times New Roman" w:cs="Times New Roman"/>
          <w:sz w:val="24"/>
          <w:szCs w:val="24"/>
        </w:rPr>
        <w:t>B</w:t>
      </w:r>
      <w:r w:rsidRPr="00C80069">
        <w:rPr>
          <w:rFonts w:ascii="Times New Roman" w:hAnsi="Times New Roman" w:cs="Times New Roman"/>
          <w:sz w:val="24"/>
          <w:szCs w:val="24"/>
        </w:rPr>
        <w:t xml:space="preserve">urden </w:t>
      </w:r>
      <w:r w:rsidRPr="00C80069" w:rsidR="00B47AB4">
        <w:rPr>
          <w:rFonts w:ascii="Times New Roman" w:hAnsi="Times New Roman" w:cs="Times New Roman"/>
          <w:sz w:val="24"/>
          <w:szCs w:val="24"/>
        </w:rPr>
        <w:t>Hours</w:t>
      </w:r>
      <w:r w:rsidRPr="00C80069">
        <w:rPr>
          <w:rFonts w:ascii="Times New Roman" w:hAnsi="Times New Roman" w:cs="Times New Roman"/>
          <w:sz w:val="24"/>
          <w:szCs w:val="24"/>
        </w:rPr>
        <w:t xml:space="preserve"> </w:t>
      </w:r>
      <w:r w:rsidRPr="00C80069" w:rsidR="00B47AB4">
        <w:rPr>
          <w:rFonts w:ascii="Times New Roman" w:hAnsi="Times New Roman" w:cs="Times New Roman"/>
          <w:sz w:val="24"/>
          <w:szCs w:val="24"/>
        </w:rPr>
        <w:t>P</w:t>
      </w:r>
      <w:r w:rsidRPr="00C80069">
        <w:rPr>
          <w:rFonts w:ascii="Times New Roman" w:hAnsi="Times New Roman" w:cs="Times New Roman"/>
          <w:sz w:val="24"/>
          <w:szCs w:val="24"/>
        </w:rPr>
        <w:t xml:space="preserve">er </w:t>
      </w:r>
      <w:r w:rsidRPr="00C80069" w:rsidR="00B47AB4">
        <w:rPr>
          <w:rFonts w:ascii="Times New Roman" w:hAnsi="Times New Roman" w:cs="Times New Roman"/>
          <w:sz w:val="24"/>
          <w:szCs w:val="24"/>
        </w:rPr>
        <w:t>R</w:t>
      </w:r>
      <w:r w:rsidRPr="00C80069">
        <w:rPr>
          <w:rFonts w:ascii="Times New Roman" w:hAnsi="Times New Roman" w:cs="Times New Roman"/>
          <w:sz w:val="24"/>
          <w:szCs w:val="24"/>
        </w:rPr>
        <w:t>espondent:</w:t>
      </w:r>
      <w:r w:rsidRPr="00C80069" w:rsidR="00B47AB4">
        <w:rPr>
          <w:rFonts w:ascii="Times New Roman" w:hAnsi="Times New Roman" w:cs="Times New Roman"/>
          <w:sz w:val="24"/>
          <w:szCs w:val="24"/>
        </w:rPr>
        <w:t xml:space="preserve"> </w:t>
      </w:r>
      <w:r w:rsidRPr="00C80069">
        <w:rPr>
          <w:rFonts w:ascii="Times New Roman" w:hAnsi="Times New Roman" w:cs="Times New Roman"/>
          <w:sz w:val="24"/>
          <w:szCs w:val="24"/>
        </w:rPr>
        <w:t xml:space="preserve">3.34 (200 </w:t>
      </w:r>
      <w:r w:rsidR="00380150">
        <w:rPr>
          <w:rFonts w:ascii="Times New Roman" w:hAnsi="Times New Roman" w:cs="Times New Roman"/>
          <w:sz w:val="24"/>
          <w:szCs w:val="24"/>
        </w:rPr>
        <w:t xml:space="preserve">× </w:t>
      </w:r>
      <w:r w:rsidRPr="00C80069">
        <w:rPr>
          <w:rFonts w:ascii="Times New Roman" w:hAnsi="Times New Roman" w:cs="Times New Roman"/>
          <w:sz w:val="24"/>
          <w:szCs w:val="24"/>
        </w:rPr>
        <w:t>.0167)</w:t>
      </w:r>
    </w:p>
    <w:p w:rsidR="008768F4" w:rsidRPr="00B02289" w:rsidP="00424AC3" w14:paraId="2EDDC2E5" w14:textId="322984E2">
      <w:pPr>
        <w:spacing w:after="240" w:line="240" w:lineRule="auto"/>
        <w:rPr>
          <w:rFonts w:ascii="Times New Roman" w:hAnsi="Times New Roman" w:cs="Times New Roman"/>
          <w:sz w:val="24"/>
          <w:szCs w:val="24"/>
        </w:rPr>
      </w:pPr>
      <w:r w:rsidRPr="00C80069">
        <w:rPr>
          <w:rFonts w:ascii="Times New Roman" w:hAnsi="Times New Roman" w:cs="Times New Roman"/>
          <w:sz w:val="24"/>
          <w:szCs w:val="24"/>
        </w:rPr>
        <w:t xml:space="preserve">Total </w:t>
      </w:r>
      <w:r w:rsidRPr="00C80069" w:rsidR="00B47AB4">
        <w:rPr>
          <w:rFonts w:ascii="Times New Roman" w:hAnsi="Times New Roman" w:cs="Times New Roman"/>
          <w:sz w:val="24"/>
          <w:szCs w:val="24"/>
        </w:rPr>
        <w:t>R</w:t>
      </w:r>
      <w:r w:rsidRPr="00C80069">
        <w:rPr>
          <w:rFonts w:ascii="Times New Roman" w:hAnsi="Times New Roman" w:cs="Times New Roman"/>
          <w:sz w:val="24"/>
          <w:szCs w:val="24"/>
        </w:rPr>
        <w:t xml:space="preserve">espondent </w:t>
      </w:r>
      <w:r w:rsidRPr="00C80069" w:rsidR="00B47AB4">
        <w:rPr>
          <w:rFonts w:ascii="Times New Roman" w:hAnsi="Times New Roman" w:cs="Times New Roman"/>
          <w:sz w:val="24"/>
          <w:szCs w:val="24"/>
        </w:rPr>
        <w:t>B</w:t>
      </w:r>
      <w:r w:rsidRPr="00C80069">
        <w:rPr>
          <w:rFonts w:ascii="Times New Roman" w:hAnsi="Times New Roman" w:cs="Times New Roman"/>
          <w:sz w:val="24"/>
          <w:szCs w:val="24"/>
        </w:rPr>
        <w:t xml:space="preserve">urden </w:t>
      </w:r>
      <w:r w:rsidRPr="00C80069" w:rsidR="00B47AB4">
        <w:rPr>
          <w:rFonts w:ascii="Times New Roman" w:hAnsi="Times New Roman" w:cs="Times New Roman"/>
          <w:sz w:val="24"/>
          <w:szCs w:val="24"/>
        </w:rPr>
        <w:t>Hours</w:t>
      </w:r>
      <w:r w:rsidRPr="00C80069">
        <w:rPr>
          <w:rFonts w:ascii="Times New Roman" w:hAnsi="Times New Roman" w:cs="Times New Roman"/>
          <w:sz w:val="24"/>
          <w:szCs w:val="24"/>
        </w:rPr>
        <w:t xml:space="preserve"> </w:t>
      </w:r>
      <w:r w:rsidRPr="00C80069" w:rsidR="00B47AB4">
        <w:rPr>
          <w:rFonts w:ascii="Times New Roman" w:hAnsi="Times New Roman" w:cs="Times New Roman"/>
          <w:sz w:val="24"/>
          <w:szCs w:val="24"/>
        </w:rPr>
        <w:t>U</w:t>
      </w:r>
      <w:r w:rsidRPr="00C80069">
        <w:rPr>
          <w:rFonts w:ascii="Times New Roman" w:hAnsi="Times New Roman" w:cs="Times New Roman"/>
          <w:sz w:val="24"/>
          <w:szCs w:val="24"/>
        </w:rPr>
        <w:t>nder Reg</w:t>
      </w:r>
      <w:r w:rsidRPr="00C80069" w:rsidR="00B47AB4">
        <w:rPr>
          <w:rFonts w:ascii="Times New Roman" w:hAnsi="Times New Roman" w:cs="Times New Roman"/>
          <w:sz w:val="24"/>
          <w:szCs w:val="24"/>
        </w:rPr>
        <w:t>ulation</w:t>
      </w:r>
      <w:r w:rsidRPr="00C80069">
        <w:rPr>
          <w:rFonts w:ascii="Times New Roman" w:hAnsi="Times New Roman" w:cs="Times New Roman"/>
          <w:sz w:val="24"/>
          <w:szCs w:val="24"/>
        </w:rPr>
        <w:t xml:space="preserve"> 43.6</w:t>
      </w:r>
      <w:r w:rsidRPr="00C80069" w:rsidR="00B47AB4">
        <w:rPr>
          <w:rFonts w:ascii="Times New Roman" w:hAnsi="Times New Roman" w:cs="Times New Roman"/>
          <w:sz w:val="24"/>
          <w:szCs w:val="24"/>
        </w:rPr>
        <w:t>:</w:t>
      </w:r>
      <w:r w:rsidRPr="00C80069">
        <w:rPr>
          <w:rFonts w:ascii="Times New Roman" w:hAnsi="Times New Roman" w:cs="Times New Roman"/>
          <w:sz w:val="24"/>
          <w:szCs w:val="24"/>
        </w:rPr>
        <w:t xml:space="preserve"> </w:t>
      </w:r>
      <w:r w:rsidRPr="00F212A9">
        <w:rPr>
          <w:rFonts w:ascii="Times New Roman" w:hAnsi="Times New Roman" w:cs="Times New Roman"/>
          <w:sz w:val="24"/>
          <w:szCs w:val="24"/>
        </w:rPr>
        <w:t>5,</w:t>
      </w:r>
      <w:r w:rsidRPr="00B02289" w:rsidR="007C0CF8">
        <w:rPr>
          <w:rFonts w:ascii="Times New Roman" w:hAnsi="Times New Roman" w:cs="Times New Roman"/>
          <w:sz w:val="24"/>
          <w:szCs w:val="24"/>
        </w:rPr>
        <w:t>638</w:t>
      </w:r>
      <w:r w:rsidRPr="00F212A9">
        <w:rPr>
          <w:rFonts w:ascii="Times New Roman" w:hAnsi="Times New Roman" w:cs="Times New Roman"/>
          <w:sz w:val="24"/>
          <w:szCs w:val="24"/>
        </w:rPr>
        <w:t xml:space="preserve"> </w:t>
      </w:r>
      <w:r w:rsidRPr="00B02289" w:rsidR="007C0CF8">
        <w:rPr>
          <w:rFonts w:ascii="Times New Roman" w:hAnsi="Times New Roman" w:cs="Times New Roman"/>
          <w:sz w:val="24"/>
          <w:szCs w:val="24"/>
        </w:rPr>
        <w:t>hours</w:t>
      </w:r>
      <w:r w:rsidRPr="00F212A9">
        <w:rPr>
          <w:rFonts w:ascii="Times New Roman" w:hAnsi="Times New Roman" w:cs="Times New Roman"/>
          <w:sz w:val="24"/>
          <w:szCs w:val="24"/>
        </w:rPr>
        <w:t xml:space="preserve"> </w:t>
      </w:r>
      <w:r w:rsidRPr="00B02289" w:rsidR="007C0CF8">
        <w:rPr>
          <w:rFonts w:ascii="Times New Roman" w:hAnsi="Times New Roman" w:cs="Times New Roman"/>
          <w:sz w:val="24"/>
          <w:szCs w:val="24"/>
        </w:rPr>
        <w:t xml:space="preserve">(3.34 </w:t>
      </w:r>
      <w:r w:rsidR="00610294">
        <w:rPr>
          <w:rFonts w:ascii="Times New Roman" w:hAnsi="Times New Roman" w:cs="Times New Roman"/>
          <w:sz w:val="24"/>
          <w:szCs w:val="24"/>
        </w:rPr>
        <w:t>×</w:t>
      </w:r>
      <w:r w:rsidRPr="00B02289" w:rsidR="007C0CF8">
        <w:rPr>
          <w:rFonts w:ascii="Times New Roman" w:hAnsi="Times New Roman" w:cs="Times New Roman"/>
          <w:sz w:val="24"/>
          <w:szCs w:val="24"/>
        </w:rPr>
        <w:t xml:space="preserve"> 1</w:t>
      </w:r>
      <w:r w:rsidR="00B02289">
        <w:rPr>
          <w:rFonts w:ascii="Times New Roman" w:hAnsi="Times New Roman" w:cs="Times New Roman"/>
          <w:sz w:val="24"/>
          <w:szCs w:val="24"/>
        </w:rPr>
        <w:t>,</w:t>
      </w:r>
      <w:r w:rsidRPr="00B02289" w:rsidR="007C0CF8">
        <w:rPr>
          <w:rFonts w:ascii="Times New Roman" w:hAnsi="Times New Roman" w:cs="Times New Roman"/>
          <w:sz w:val="24"/>
          <w:szCs w:val="24"/>
        </w:rPr>
        <w:t xml:space="preserve">688 =5637.92 </w:t>
      </w:r>
      <w:r w:rsidR="00610294">
        <w:rPr>
          <w:rFonts w:ascii="Times New Roman" w:hAnsi="Times New Roman" w:cs="Times New Roman"/>
          <w:sz w:val="24"/>
          <w:szCs w:val="24"/>
        </w:rPr>
        <w:t>(</w:t>
      </w:r>
      <w:r w:rsidRPr="00B02289" w:rsidR="007C0CF8">
        <w:rPr>
          <w:rFonts w:ascii="Times New Roman" w:hAnsi="Times New Roman" w:cs="Times New Roman"/>
          <w:sz w:val="24"/>
          <w:szCs w:val="24"/>
        </w:rPr>
        <w:t>round</w:t>
      </w:r>
      <w:r w:rsidR="00610294">
        <w:rPr>
          <w:rFonts w:ascii="Times New Roman" w:hAnsi="Times New Roman" w:cs="Times New Roman"/>
          <w:sz w:val="24"/>
          <w:szCs w:val="24"/>
        </w:rPr>
        <w:t>ed</w:t>
      </w:r>
      <w:r w:rsidRPr="00B02289" w:rsidR="007C0CF8">
        <w:rPr>
          <w:rFonts w:ascii="Times New Roman" w:hAnsi="Times New Roman" w:cs="Times New Roman"/>
          <w:sz w:val="24"/>
          <w:szCs w:val="24"/>
        </w:rPr>
        <w:t xml:space="preserve"> to 5,638</w:t>
      </w:r>
      <w:r w:rsidR="00610294">
        <w:rPr>
          <w:rFonts w:ascii="Times New Roman" w:hAnsi="Times New Roman" w:cs="Times New Roman"/>
          <w:sz w:val="24"/>
          <w:szCs w:val="24"/>
        </w:rPr>
        <w:t>)</w:t>
      </w:r>
      <w:r w:rsidRPr="00B02289" w:rsidR="007C0CF8">
        <w:rPr>
          <w:rFonts w:ascii="Times New Roman" w:hAnsi="Times New Roman" w:cs="Times New Roman"/>
          <w:sz w:val="24"/>
          <w:szCs w:val="24"/>
        </w:rPr>
        <w:t>)</w:t>
      </w:r>
    </w:p>
    <w:p w:rsidR="00175BB5" w:rsidRPr="00B02289" w:rsidP="00424AC3" w14:paraId="47F02022" w14:textId="58F968D1">
      <w:pPr>
        <w:spacing w:after="240" w:line="240" w:lineRule="auto"/>
        <w:rPr>
          <w:rFonts w:ascii="Times New Roman" w:hAnsi="Times New Roman" w:cs="Times New Roman"/>
          <w:sz w:val="24"/>
          <w:szCs w:val="24"/>
        </w:rPr>
      </w:pPr>
      <w:r w:rsidRPr="00B02289">
        <w:rPr>
          <w:rFonts w:ascii="Times New Roman" w:hAnsi="Times New Roman" w:cs="Times New Roman"/>
          <w:sz w:val="24"/>
          <w:szCs w:val="24"/>
        </w:rPr>
        <w:t>____________________</w:t>
      </w:r>
    </w:p>
    <w:p w:rsidR="00175BB5" w:rsidRPr="00B02289" w:rsidP="00424AC3" w14:paraId="5231061C" w14:textId="2DF66769">
      <w:pPr>
        <w:spacing w:after="240" w:line="240" w:lineRule="auto"/>
        <w:rPr>
          <w:rFonts w:ascii="Times New Roman" w:hAnsi="Times New Roman" w:cs="Times New Roman"/>
          <w:sz w:val="24"/>
          <w:szCs w:val="24"/>
        </w:rPr>
      </w:pPr>
      <w:r w:rsidRPr="00B02289">
        <w:rPr>
          <w:rFonts w:ascii="Times New Roman" w:hAnsi="Times New Roman" w:cs="Times New Roman"/>
          <w:sz w:val="24"/>
          <w:szCs w:val="24"/>
          <w:u w:val="single"/>
        </w:rPr>
        <w:t>Aggregation</w:t>
      </w:r>
      <w:r w:rsidRPr="00B02289">
        <w:rPr>
          <w:rFonts w:ascii="Times New Roman" w:hAnsi="Times New Roman" w:cs="Times New Roman"/>
          <w:sz w:val="24"/>
          <w:szCs w:val="24"/>
        </w:rPr>
        <w:t xml:space="preserve">: </w:t>
      </w:r>
    </w:p>
    <w:p w:rsidR="008768F4" w:rsidRPr="004B7E02" w:rsidP="00424AC3" w14:paraId="3C4EE812" w14:textId="14AB9A52">
      <w:pPr>
        <w:spacing w:after="240" w:line="240" w:lineRule="auto"/>
        <w:rPr>
          <w:rFonts w:ascii="Times New Roman" w:hAnsi="Times New Roman" w:cs="Times New Roman"/>
          <w:sz w:val="24"/>
          <w:szCs w:val="24"/>
        </w:rPr>
      </w:pPr>
      <w:r w:rsidRPr="00B02289">
        <w:rPr>
          <w:rFonts w:ascii="Times New Roman" w:hAnsi="Times New Roman" w:cs="Times New Roman"/>
          <w:sz w:val="24"/>
          <w:szCs w:val="24"/>
        </w:rPr>
        <w:t xml:space="preserve">Total </w:t>
      </w:r>
      <w:r w:rsidRPr="00B02289" w:rsidR="00B47AB4">
        <w:rPr>
          <w:rFonts w:ascii="Times New Roman" w:hAnsi="Times New Roman" w:cs="Times New Roman"/>
          <w:sz w:val="24"/>
          <w:szCs w:val="24"/>
        </w:rPr>
        <w:t>A</w:t>
      </w:r>
      <w:r w:rsidRPr="00B02289">
        <w:rPr>
          <w:rFonts w:ascii="Times New Roman" w:hAnsi="Times New Roman" w:cs="Times New Roman"/>
          <w:sz w:val="24"/>
          <w:szCs w:val="24"/>
        </w:rPr>
        <w:t xml:space="preserve">nnual </w:t>
      </w:r>
      <w:r w:rsidRPr="00B02289" w:rsidR="00B47AB4">
        <w:rPr>
          <w:rFonts w:ascii="Times New Roman" w:hAnsi="Times New Roman" w:cs="Times New Roman"/>
          <w:sz w:val="24"/>
          <w:szCs w:val="24"/>
        </w:rPr>
        <w:t>R</w:t>
      </w:r>
      <w:r w:rsidRPr="00B02289">
        <w:rPr>
          <w:rFonts w:ascii="Times New Roman" w:hAnsi="Times New Roman" w:cs="Times New Roman"/>
          <w:sz w:val="24"/>
          <w:szCs w:val="24"/>
        </w:rPr>
        <w:t xml:space="preserve">espondent </w:t>
      </w:r>
      <w:r w:rsidRPr="00B02289" w:rsidR="00B47AB4">
        <w:rPr>
          <w:rFonts w:ascii="Times New Roman" w:hAnsi="Times New Roman" w:cs="Times New Roman"/>
          <w:sz w:val="24"/>
          <w:szCs w:val="24"/>
        </w:rPr>
        <w:t>B</w:t>
      </w:r>
      <w:r w:rsidRPr="00B02289">
        <w:rPr>
          <w:rFonts w:ascii="Times New Roman" w:hAnsi="Times New Roman" w:cs="Times New Roman"/>
          <w:sz w:val="24"/>
          <w:szCs w:val="24"/>
        </w:rPr>
        <w:t xml:space="preserve">urden </w:t>
      </w:r>
      <w:r w:rsidRPr="00B02289" w:rsidR="00B47AB4">
        <w:rPr>
          <w:rFonts w:ascii="Times New Roman" w:hAnsi="Times New Roman" w:cs="Times New Roman"/>
          <w:sz w:val="24"/>
          <w:szCs w:val="24"/>
        </w:rPr>
        <w:t>H</w:t>
      </w:r>
      <w:r w:rsidRPr="00B02289">
        <w:rPr>
          <w:rFonts w:ascii="Times New Roman" w:hAnsi="Times New Roman" w:cs="Times New Roman"/>
          <w:sz w:val="24"/>
          <w:szCs w:val="24"/>
        </w:rPr>
        <w:t xml:space="preserve">ours:  </w:t>
      </w:r>
      <w:r w:rsidRPr="00B02289" w:rsidR="00E475DC">
        <w:rPr>
          <w:rFonts w:ascii="Times New Roman" w:hAnsi="Times New Roman" w:cs="Times New Roman"/>
          <w:sz w:val="24"/>
          <w:szCs w:val="24"/>
        </w:rPr>
        <w:t xml:space="preserve">731,640 + 11,868 + </w:t>
      </w:r>
      <w:r w:rsidRPr="00B02289" w:rsidR="008952D1">
        <w:rPr>
          <w:rFonts w:ascii="Times New Roman" w:hAnsi="Times New Roman" w:cs="Times New Roman"/>
          <w:sz w:val="24"/>
          <w:szCs w:val="24"/>
        </w:rPr>
        <w:t>53,996 +5,</w:t>
      </w:r>
      <w:r w:rsidRPr="00B02289" w:rsidR="007C0CF8">
        <w:rPr>
          <w:rFonts w:ascii="Times New Roman" w:hAnsi="Times New Roman" w:cs="Times New Roman"/>
          <w:sz w:val="24"/>
          <w:szCs w:val="24"/>
        </w:rPr>
        <w:t xml:space="preserve"> </w:t>
      </w:r>
      <w:r w:rsidRPr="00B02289" w:rsidR="007C0CF8">
        <w:rPr>
          <w:rFonts w:ascii="Times New Roman" w:hAnsi="Times New Roman" w:cs="Times New Roman"/>
          <w:sz w:val="24"/>
          <w:szCs w:val="24"/>
        </w:rPr>
        <w:t>638</w:t>
      </w:r>
      <w:r w:rsidRPr="00B02289" w:rsidR="008952D1">
        <w:rPr>
          <w:rFonts w:ascii="Times New Roman" w:hAnsi="Times New Roman" w:cs="Times New Roman"/>
          <w:sz w:val="24"/>
          <w:szCs w:val="24"/>
        </w:rPr>
        <w:t xml:space="preserve"> = 80</w:t>
      </w:r>
      <w:r w:rsidRPr="00B02289" w:rsidR="007C0CF8">
        <w:rPr>
          <w:rFonts w:ascii="Times New Roman" w:hAnsi="Times New Roman" w:cs="Times New Roman"/>
          <w:sz w:val="24"/>
          <w:szCs w:val="24"/>
        </w:rPr>
        <w:t>3</w:t>
      </w:r>
      <w:r w:rsidRPr="00B02289" w:rsidR="008952D1">
        <w:rPr>
          <w:rFonts w:ascii="Times New Roman" w:hAnsi="Times New Roman" w:cs="Times New Roman"/>
          <w:sz w:val="24"/>
          <w:szCs w:val="24"/>
        </w:rPr>
        <w:t>,</w:t>
      </w:r>
      <w:r w:rsidRPr="00B02289" w:rsidR="007C0CF8">
        <w:rPr>
          <w:rFonts w:ascii="Times New Roman" w:hAnsi="Times New Roman" w:cs="Times New Roman"/>
          <w:sz w:val="24"/>
          <w:szCs w:val="24"/>
        </w:rPr>
        <w:t>142 hours</w:t>
      </w:r>
      <w:r w:rsidRPr="00B02289" w:rsidR="006C25F7">
        <w:rPr>
          <w:rFonts w:ascii="Times New Roman" w:hAnsi="Times New Roman" w:cs="Times New Roman"/>
          <w:sz w:val="24"/>
          <w:szCs w:val="24"/>
        </w:rPr>
        <w:t xml:space="preserve">. </w:t>
      </w:r>
    </w:p>
    <w:p w:rsidR="008768F4" w:rsidP="00424AC3" w14:paraId="73C7E7C2" w14:textId="29956C06">
      <w:pPr>
        <w:spacing w:after="240" w:line="240" w:lineRule="auto"/>
        <w:rPr>
          <w:rFonts w:ascii="Times New Roman" w:hAnsi="Times New Roman" w:cs="Times New Roman"/>
          <w:sz w:val="24"/>
          <w:szCs w:val="24"/>
        </w:rPr>
      </w:pPr>
      <w:r w:rsidRPr="004B7E02">
        <w:rPr>
          <w:rFonts w:ascii="Times New Roman" w:hAnsi="Times New Roman" w:cs="Times New Roman"/>
          <w:sz w:val="24"/>
          <w:szCs w:val="24"/>
        </w:rPr>
        <w:t>Since there are 1</w:t>
      </w:r>
      <w:r w:rsidRPr="004B7E02" w:rsidR="00B47AB4">
        <w:rPr>
          <w:rFonts w:ascii="Times New Roman" w:hAnsi="Times New Roman" w:cs="Times New Roman"/>
          <w:sz w:val="24"/>
          <w:szCs w:val="24"/>
        </w:rPr>
        <w:t>,</w:t>
      </w:r>
      <w:r w:rsidRPr="004B7E02">
        <w:rPr>
          <w:rFonts w:ascii="Times New Roman" w:hAnsi="Times New Roman" w:cs="Times New Roman"/>
          <w:sz w:val="24"/>
          <w:szCs w:val="24"/>
        </w:rPr>
        <w:t>742 total respondents, the average burden hours per respondent (80</w:t>
      </w:r>
      <w:r w:rsidRPr="00482C70" w:rsidR="007C0CF8">
        <w:rPr>
          <w:rFonts w:ascii="Times New Roman" w:hAnsi="Times New Roman" w:cs="Times New Roman"/>
          <w:sz w:val="24"/>
          <w:szCs w:val="24"/>
        </w:rPr>
        <w:t>3</w:t>
      </w:r>
      <w:r w:rsidRPr="004B7E02">
        <w:rPr>
          <w:rFonts w:ascii="Times New Roman" w:hAnsi="Times New Roman" w:cs="Times New Roman"/>
          <w:sz w:val="24"/>
          <w:szCs w:val="24"/>
        </w:rPr>
        <w:t>,</w:t>
      </w:r>
      <w:r w:rsidRPr="004B7E02" w:rsidR="007C0CF8">
        <w:rPr>
          <w:rFonts w:ascii="Times New Roman" w:hAnsi="Times New Roman" w:cs="Times New Roman"/>
          <w:sz w:val="24"/>
          <w:szCs w:val="24"/>
        </w:rPr>
        <w:t>142</w:t>
      </w:r>
      <w:r w:rsidRPr="004B7E02">
        <w:rPr>
          <w:rFonts w:ascii="Times New Roman" w:hAnsi="Times New Roman" w:cs="Times New Roman"/>
          <w:sz w:val="24"/>
          <w:szCs w:val="24"/>
        </w:rPr>
        <w:t xml:space="preserve"> </w:t>
      </w:r>
      <w:r w:rsidR="00AC3A5D">
        <w:rPr>
          <w:rFonts w:ascii="Times New Roman" w:hAnsi="Times New Roman" w:cs="Times New Roman"/>
          <w:sz w:val="24"/>
          <w:szCs w:val="24"/>
        </w:rPr>
        <w:t>/</w:t>
      </w:r>
      <w:r w:rsidRPr="004B7E02">
        <w:rPr>
          <w:rFonts w:ascii="Times New Roman" w:hAnsi="Times New Roman" w:cs="Times New Roman"/>
          <w:sz w:val="24"/>
          <w:szCs w:val="24"/>
        </w:rPr>
        <w:t xml:space="preserve"> 1</w:t>
      </w:r>
      <w:r w:rsidR="002E0BBB">
        <w:rPr>
          <w:rFonts w:ascii="Times New Roman" w:hAnsi="Times New Roman" w:cs="Times New Roman"/>
          <w:sz w:val="24"/>
          <w:szCs w:val="24"/>
        </w:rPr>
        <w:t>,</w:t>
      </w:r>
      <w:r w:rsidRPr="004B7E02">
        <w:rPr>
          <w:rFonts w:ascii="Times New Roman" w:hAnsi="Times New Roman" w:cs="Times New Roman"/>
          <w:sz w:val="24"/>
          <w:szCs w:val="24"/>
        </w:rPr>
        <w:t>742</w:t>
      </w:r>
      <w:r w:rsidR="00AC3A5D">
        <w:rPr>
          <w:rFonts w:ascii="Times New Roman" w:hAnsi="Times New Roman" w:cs="Times New Roman"/>
          <w:sz w:val="24"/>
          <w:szCs w:val="24"/>
        </w:rPr>
        <w:t xml:space="preserve"> = </w:t>
      </w:r>
      <w:r w:rsidRPr="004B7E02">
        <w:rPr>
          <w:rFonts w:ascii="Times New Roman" w:hAnsi="Times New Roman" w:cs="Times New Roman"/>
          <w:sz w:val="24"/>
          <w:szCs w:val="24"/>
        </w:rPr>
        <w:t>46</w:t>
      </w:r>
      <w:r w:rsidRPr="004B7E02" w:rsidR="00A67BE8">
        <w:rPr>
          <w:rFonts w:ascii="Times New Roman" w:hAnsi="Times New Roman" w:cs="Times New Roman"/>
          <w:sz w:val="24"/>
          <w:szCs w:val="24"/>
        </w:rPr>
        <w:t>1</w:t>
      </w:r>
      <w:r w:rsidR="00AC3A5D">
        <w:rPr>
          <w:rFonts w:ascii="Times New Roman" w:hAnsi="Times New Roman" w:cs="Times New Roman"/>
          <w:sz w:val="24"/>
          <w:szCs w:val="24"/>
        </w:rPr>
        <w:t>)</w:t>
      </w:r>
      <w:r w:rsidRPr="004B7E02" w:rsidR="007C0CF8">
        <w:rPr>
          <w:rFonts w:ascii="Times New Roman" w:hAnsi="Times New Roman" w:cs="Times New Roman"/>
          <w:sz w:val="24"/>
          <w:szCs w:val="24"/>
        </w:rPr>
        <w:t>.</w:t>
      </w:r>
    </w:p>
    <w:p w:rsidR="008768F4" w:rsidP="001D2ED9" w14:paraId="666062AA" w14:textId="72E4ED96">
      <w:pPr>
        <w:widowControl w:val="0"/>
        <w:autoSpaceDE w:val="0"/>
        <w:autoSpaceDN w:val="0"/>
        <w:adjustRightInd w:val="0"/>
        <w:spacing w:after="240" w:line="240" w:lineRule="auto"/>
        <w:ind w:firstLine="720"/>
        <w:rPr>
          <w:rFonts w:ascii="Times New Roman" w:eastAsia="Times New Roman" w:hAnsi="Times New Roman" w:cs="Times New Roman"/>
          <w:sz w:val="24"/>
          <w:szCs w:val="20"/>
        </w:rPr>
      </w:pPr>
      <w:r w:rsidRPr="00210C72">
        <w:rPr>
          <w:rFonts w:ascii="Times New Roman" w:eastAsia="Times New Roman" w:hAnsi="Times New Roman" w:cs="Times New Roman"/>
          <w:sz w:val="24"/>
          <w:szCs w:val="20"/>
        </w:rPr>
        <w:t xml:space="preserve">In calculating the </w:t>
      </w:r>
      <w:r w:rsidR="001D2ED9">
        <w:rPr>
          <w:rFonts w:ascii="Times New Roman" w:eastAsia="Times New Roman" w:hAnsi="Times New Roman" w:cs="Times New Roman"/>
          <w:sz w:val="24"/>
          <w:szCs w:val="20"/>
        </w:rPr>
        <w:t>associated labor cost estimates</w:t>
      </w:r>
      <w:r w:rsidRPr="00210C72">
        <w:rPr>
          <w:rFonts w:ascii="Times New Roman" w:eastAsia="Times New Roman" w:hAnsi="Times New Roman" w:cs="Times New Roman"/>
          <w:sz w:val="24"/>
          <w:szCs w:val="20"/>
        </w:rPr>
        <w:t xml:space="preserve">, the Commission estimated the appropriate wage rate based on salary information for the securities industry compiled by the Department of Labor’s Bureau of Labor Statistics (“BLS”). Commission staff arrived at an hourly rate of </w:t>
      </w:r>
      <w:r w:rsidRPr="001F4D74">
        <w:rPr>
          <w:rFonts w:ascii="Times New Roman" w:eastAsia="Times New Roman" w:hAnsi="Times New Roman" w:cs="Times New Roman"/>
          <w:sz w:val="24"/>
          <w:szCs w:val="20"/>
        </w:rPr>
        <w:t>$102</w:t>
      </w:r>
      <w:r>
        <w:rPr>
          <w:rFonts w:ascii="Times New Roman" w:eastAsia="Times New Roman" w:hAnsi="Times New Roman" w:cs="Times New Roman"/>
          <w:sz w:val="24"/>
          <w:szCs w:val="20"/>
        </w:rPr>
        <w:t xml:space="preserve">.62 </w:t>
      </w:r>
      <w:r w:rsidRPr="00210C72">
        <w:rPr>
          <w:rFonts w:ascii="Times New Roman" w:eastAsia="Times New Roman" w:hAnsi="Times New Roman" w:cs="Times New Roman"/>
          <w:sz w:val="24"/>
          <w:szCs w:val="20"/>
        </w:rPr>
        <w:t xml:space="preserve">using figures from a weighted average of salaries and bonuses across different professions contained in the most recent BLS Occupational Employment and Wages </w:t>
      </w:r>
      <w:r w:rsidRPr="00210C72">
        <w:rPr>
          <w:rFonts w:ascii="Times New Roman" w:eastAsia="Times New Roman" w:hAnsi="Times New Roman" w:cs="Times New Roman"/>
          <w:sz w:val="24"/>
          <w:szCs w:val="20"/>
        </w:rPr>
        <w:t>Report (May 202</w:t>
      </w:r>
      <w:r>
        <w:rPr>
          <w:rFonts w:ascii="Times New Roman" w:eastAsia="Times New Roman" w:hAnsi="Times New Roman" w:cs="Times New Roman"/>
          <w:sz w:val="24"/>
          <w:szCs w:val="20"/>
        </w:rPr>
        <w:t>4 and May 2023</w:t>
      </w:r>
      <w:r w:rsidRPr="00A22363">
        <w:rPr>
          <w:rFonts w:ascii="Times New Roman" w:eastAsia="Times New Roman" w:hAnsi="Times New Roman" w:cs="Times New Roman"/>
          <w:sz w:val="24"/>
          <w:szCs w:val="20"/>
        </w:rPr>
        <w:t>)</w:t>
      </w:r>
      <w:r>
        <w:rPr>
          <w:rStyle w:val="FootnoteReference"/>
          <w:rFonts w:ascii="Times New Roman" w:eastAsia="Times New Roman" w:hAnsi="Times New Roman" w:cs="Times New Roman"/>
          <w:sz w:val="24"/>
          <w:szCs w:val="20"/>
        </w:rPr>
        <w:footnoteReference w:id="16"/>
      </w:r>
      <w:r w:rsidRPr="00210C72">
        <w:rPr>
          <w:rFonts w:ascii="Times New Roman" w:eastAsia="Times New Roman" w:hAnsi="Times New Roman" w:cs="Times New Roman"/>
          <w:sz w:val="24"/>
          <w:szCs w:val="20"/>
        </w:rPr>
        <w:t xml:space="preserve"> multiplied by 1.3 to account for overhead and other benefits.</w:t>
      </w:r>
      <w:r>
        <w:rPr>
          <w:rStyle w:val="FootnoteReference"/>
          <w:rFonts w:ascii="Times New Roman" w:eastAsia="Times New Roman" w:hAnsi="Times New Roman" w:cs="Times New Roman"/>
          <w:sz w:val="24"/>
          <w:szCs w:val="20"/>
        </w:rPr>
        <w:footnoteReference w:id="17"/>
      </w:r>
      <w:r w:rsidRPr="00210C72">
        <w:rPr>
          <w:rFonts w:ascii="Times New Roman" w:eastAsia="Times New Roman" w:hAnsi="Times New Roman" w:cs="Times New Roman"/>
          <w:sz w:val="24"/>
          <w:szCs w:val="20"/>
        </w:rPr>
        <w:t xml:space="preserve"> The Commission estimated appropriate wage rate is a weighted national average of mean hourly wages for the following occupations (and their relative weight): “computer programmer – industry: securities, commodity contracts, and other financial investment and related activities ” (50% weight); “compliance officer – industry: securities, commodity contracts, and other financial investment and related activities” (25%); and “lawyer – legal services” (25%).</w:t>
      </w:r>
      <w:r>
        <w:rPr>
          <w:rFonts w:ascii="Times New Roman" w:eastAsia="Times New Roman" w:hAnsi="Times New Roman" w:cs="Times New Roman"/>
          <w:sz w:val="24"/>
          <w:szCs w:val="20"/>
        </w:rPr>
        <w:t xml:space="preserve"> </w:t>
      </w:r>
      <w:r w:rsidRPr="00210C72">
        <w:rPr>
          <w:rFonts w:ascii="Times New Roman" w:eastAsia="Times New Roman" w:hAnsi="Times New Roman" w:cs="Times New Roman"/>
          <w:sz w:val="24"/>
          <w:szCs w:val="20"/>
        </w:rPr>
        <w:t>Commission staff chose this methodology to account for the variance in skill sets that may be used to accomplish the collection of information.</w:t>
      </w:r>
    </w:p>
    <w:p w:rsidR="00D50C84" w:rsidRPr="00E21E52" w:rsidP="005F7F42" w14:paraId="25AA2669" w14:textId="77777777">
      <w:pPr>
        <w:tabs>
          <w:tab w:val="left" w:pos="-720"/>
          <w:tab w:val="left" w:pos="0"/>
        </w:tabs>
        <w:suppressAutoHyphens/>
        <w:spacing w:after="24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13.</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Provide an estimate of the total annual cost burden to respondents or recordkeepers resulting from the collection of information.  (Do not include the cost of any hour burden shown in Items 12 and 14)</w:t>
      </w:r>
      <w:r w:rsidRPr="00E21E52">
        <w:rPr>
          <w:rFonts w:ascii="Times New Roman" w:eastAsia="Times New Roman" w:hAnsi="Times New Roman" w:cs="Times New Roman"/>
          <w:sz w:val="24"/>
          <w:szCs w:val="20"/>
        </w:rPr>
        <w:t>.</w:t>
      </w:r>
    </w:p>
    <w:p w:rsidR="00D50C84" w:rsidRPr="00E21E52" w:rsidP="00B749D0" w14:paraId="2AB37EFF" w14:textId="095457AB">
      <w:pPr>
        <w:tabs>
          <w:tab w:val="left" w:pos="-720"/>
          <w:tab w:val="left" w:pos="0"/>
          <w:tab w:val="left" w:pos="720"/>
        </w:tabs>
        <w:suppressAutoHyphens/>
        <w:spacing w:after="240" w:line="240" w:lineRule="auto"/>
        <w:ind w:left="1440" w:hanging="144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8453B3">
        <w:rPr>
          <w:rFonts w:ascii="Times New Roman" w:eastAsia="Times New Roman" w:hAnsi="Times New Roman" w:cs="Times New Roman"/>
          <w:sz w:val="24"/>
          <w:szCs w:val="20"/>
          <w:u w:val="single"/>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D50C84" w:rsidRPr="00E21E52" w:rsidP="00B749D0" w14:paraId="1C39AC6E" w14:textId="081FB2B4">
      <w:pPr>
        <w:tabs>
          <w:tab w:val="left" w:pos="-720"/>
          <w:tab w:val="left" w:pos="0"/>
          <w:tab w:val="left" w:pos="720"/>
        </w:tabs>
        <w:suppressAutoHyphens/>
        <w:spacing w:after="240" w:line="240" w:lineRule="auto"/>
        <w:ind w:left="1440" w:hanging="144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8453B3">
        <w:rPr>
          <w:rFonts w:ascii="Times New Roman" w:eastAsia="Times New Roman" w:hAnsi="Times New Roman" w:cs="Times New Roman"/>
          <w:sz w:val="24"/>
          <w:szCs w:val="20"/>
          <w:u w:val="single"/>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142199" w:rsidP="00B749D0" w14:paraId="5ABC3BF2" w14:textId="7577CEBA">
      <w:pPr>
        <w:tabs>
          <w:tab w:val="left" w:pos="-720"/>
          <w:tab w:val="left" w:pos="0"/>
          <w:tab w:val="left" w:pos="720"/>
        </w:tabs>
        <w:suppressAutoHyphens/>
        <w:spacing w:after="240" w:line="240" w:lineRule="auto"/>
        <w:ind w:left="1440" w:hanging="1440"/>
        <w:rPr>
          <w:rFonts w:ascii="Times New Roman" w:eastAsia="Times New Roman" w:hAnsi="Times New Roman" w:cs="Times New Roman"/>
          <w:sz w:val="24"/>
          <w:szCs w:val="20"/>
          <w:u w:val="single"/>
        </w:rPr>
      </w:pPr>
      <w:r w:rsidRPr="00E21E52">
        <w:rPr>
          <w:rFonts w:ascii="Times New Roman" w:eastAsia="Times New Roman" w:hAnsi="Times New Roman" w:cs="Times New Roman"/>
          <w:sz w:val="24"/>
          <w:szCs w:val="20"/>
        </w:rPr>
        <w:tab/>
        <w:t>-</w:t>
      </w:r>
      <w:r w:rsidRPr="00E21E52">
        <w:rPr>
          <w:rFonts w:ascii="Times New Roman" w:eastAsia="Times New Roman" w:hAnsi="Times New Roman" w:cs="Times New Roman"/>
          <w:sz w:val="24"/>
          <w:szCs w:val="20"/>
        </w:rPr>
        <w:tab/>
      </w:r>
      <w:r w:rsidRPr="008453B3">
        <w:rPr>
          <w:rFonts w:ascii="Times New Roman" w:eastAsia="Times New Roman" w:hAnsi="Times New Roman" w:cs="Times New Roman"/>
          <w:sz w:val="24"/>
          <w:szCs w:val="20"/>
          <w:u w:val="single"/>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437DC" w:rsidP="00193D18" w14:paraId="30EFBC1F" w14:textId="2F61EC89">
      <w:pPr>
        <w:spacing w:after="240"/>
        <w:ind w:firstLine="720"/>
        <w:rPr>
          <w:rFonts w:ascii="Times New Roman" w:eastAsia="Times New Roman" w:hAnsi="Times New Roman" w:cs="Times New Roman"/>
          <w:sz w:val="24"/>
          <w:szCs w:val="20"/>
        </w:rPr>
      </w:pPr>
      <w:r w:rsidRPr="009433D7">
        <w:rPr>
          <w:rFonts w:ascii="Times New Roman" w:hAnsi="Times New Roman"/>
          <w:sz w:val="24"/>
          <w:szCs w:val="24"/>
        </w:rPr>
        <w:t>The</w:t>
      </w:r>
      <w:r w:rsidR="00193D18">
        <w:rPr>
          <w:rFonts w:ascii="Times New Roman" w:hAnsi="Times New Roman"/>
          <w:sz w:val="24"/>
          <w:szCs w:val="24"/>
        </w:rPr>
        <w:t xml:space="preserve"> Commission estimates that the</w:t>
      </w:r>
      <w:r w:rsidRPr="009433D7">
        <w:rPr>
          <w:rFonts w:ascii="Times New Roman" w:hAnsi="Times New Roman"/>
          <w:sz w:val="24"/>
          <w:szCs w:val="24"/>
        </w:rPr>
        <w:t xml:space="preserve"> information collections </w:t>
      </w:r>
      <w:r w:rsidR="00883B1B">
        <w:rPr>
          <w:rFonts w:ascii="Times New Roman" w:hAnsi="Times New Roman"/>
          <w:sz w:val="24"/>
          <w:szCs w:val="24"/>
        </w:rPr>
        <w:t xml:space="preserve">associated with the Commission’s rules </w:t>
      </w:r>
      <w:r w:rsidR="00193D18">
        <w:rPr>
          <w:rFonts w:ascii="Times New Roman" w:hAnsi="Times New Roman"/>
          <w:sz w:val="24"/>
          <w:szCs w:val="24"/>
        </w:rPr>
        <w:t xml:space="preserve">associated with Real-Time Public Reporting do </w:t>
      </w:r>
      <w:r w:rsidRPr="009433D7">
        <w:rPr>
          <w:rFonts w:ascii="Times New Roman" w:hAnsi="Times New Roman"/>
          <w:sz w:val="24"/>
          <w:szCs w:val="24"/>
        </w:rPr>
        <w:t>not involve any capital or start-up capital</w:t>
      </w:r>
      <w:r w:rsidR="00193D18">
        <w:rPr>
          <w:rFonts w:ascii="Times New Roman" w:hAnsi="Times New Roman"/>
          <w:sz w:val="24"/>
          <w:szCs w:val="24"/>
        </w:rPr>
        <w:t xml:space="preserve"> or</w:t>
      </w:r>
      <w:r w:rsidRPr="009433D7">
        <w:rPr>
          <w:rFonts w:ascii="Times New Roman" w:hAnsi="Times New Roman"/>
          <w:sz w:val="24"/>
          <w:szCs w:val="24"/>
        </w:rPr>
        <w:t xml:space="preserve"> operations or maintenance costs as the Commission anticipates that these costs have already been incurred by </w:t>
      </w:r>
      <w:r w:rsidR="00193D18">
        <w:rPr>
          <w:rFonts w:ascii="Times New Roman" w:hAnsi="Times New Roman"/>
          <w:sz w:val="24"/>
          <w:szCs w:val="24"/>
        </w:rPr>
        <w:t>respondents</w:t>
      </w:r>
      <w:r w:rsidRPr="009433D7">
        <w:rPr>
          <w:rFonts w:ascii="Times New Roman" w:hAnsi="Times New Roman"/>
          <w:sz w:val="24"/>
          <w:szCs w:val="24"/>
        </w:rPr>
        <w:t>.</w:t>
      </w:r>
    </w:p>
    <w:p w:rsidR="00D50C84" w:rsidRPr="00E21E52" w:rsidP="0051557B" w14:paraId="6C5468F7" w14:textId="0E104A2B">
      <w:pPr>
        <w:tabs>
          <w:tab w:val="left" w:pos="-720"/>
        </w:tabs>
        <w:suppressAutoHyphens/>
        <w:spacing w:after="240" w:line="240" w:lineRule="auto"/>
        <w:ind w:left="720" w:hanging="720"/>
        <w:rPr>
          <w:rFonts w:ascii="Times New Roman" w:eastAsia="Times New Roman" w:hAnsi="Times New Roman" w:cs="Times New Roman"/>
          <w:sz w:val="24"/>
          <w:szCs w:val="20"/>
          <w:highlight w:val="red"/>
        </w:rPr>
      </w:pPr>
      <w:r w:rsidRPr="00E21E52">
        <w:rPr>
          <w:rFonts w:ascii="Times New Roman" w:eastAsia="Times New Roman" w:hAnsi="Times New Roman" w:cs="Times New Roman"/>
          <w:sz w:val="24"/>
          <w:szCs w:val="20"/>
        </w:rPr>
        <w:t>14.</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D50C84" w:rsidP="0051557B" w14:paraId="7D4BB0A8" w14:textId="15FAEC9C">
      <w:pPr>
        <w:widowControl w:val="0"/>
        <w:autoSpaceDE w:val="0"/>
        <w:autoSpaceDN w:val="0"/>
        <w:adjustRightInd w:val="0"/>
        <w:spacing w:after="240" w:line="240" w:lineRule="auto"/>
        <w:ind w:firstLine="720"/>
        <w:rPr>
          <w:rFonts w:ascii="Times New Roman" w:eastAsia="Times New Roman" w:hAnsi="Times New Roman" w:cs="Times New Roman"/>
          <w:sz w:val="24"/>
          <w:szCs w:val="20"/>
        </w:rPr>
      </w:pPr>
      <w:r w:rsidRPr="00665298">
        <w:rPr>
          <w:rFonts w:ascii="Times New Roman" w:eastAsia="Times New Roman" w:hAnsi="Times New Roman" w:cs="Times New Roman"/>
          <w:sz w:val="24"/>
          <w:szCs w:val="20"/>
        </w:rPr>
        <w:t xml:space="preserve">The Commission does not anticipate that the </w:t>
      </w:r>
      <w:r w:rsidR="00E52DC0">
        <w:rPr>
          <w:rFonts w:ascii="Times New Roman" w:eastAsia="Times New Roman" w:hAnsi="Times New Roman" w:cs="Times New Roman"/>
          <w:sz w:val="24"/>
          <w:szCs w:val="20"/>
        </w:rPr>
        <w:t>renewal</w:t>
      </w:r>
      <w:r w:rsidRPr="00665298">
        <w:rPr>
          <w:rFonts w:ascii="Times New Roman" w:eastAsia="Times New Roman" w:hAnsi="Times New Roman" w:cs="Times New Roman"/>
          <w:sz w:val="24"/>
          <w:szCs w:val="20"/>
        </w:rPr>
        <w:t xml:space="preserve"> will require additional staff time or technology resources beyond what is already dedicated to this collection, as discussed in previous filings related to Information Collection 3038-</w:t>
      </w:r>
      <w:r w:rsidR="0051557B">
        <w:rPr>
          <w:rFonts w:ascii="Times New Roman" w:eastAsia="Times New Roman" w:hAnsi="Times New Roman" w:cs="Times New Roman"/>
          <w:sz w:val="24"/>
          <w:szCs w:val="20"/>
        </w:rPr>
        <w:t>0070</w:t>
      </w:r>
      <w:r w:rsidR="00E52DC0">
        <w:rPr>
          <w:rFonts w:ascii="Times New Roman" w:eastAsia="Times New Roman" w:hAnsi="Times New Roman" w:cs="Times New Roman"/>
          <w:sz w:val="24"/>
          <w:szCs w:val="20"/>
        </w:rPr>
        <w:t>.</w:t>
      </w:r>
    </w:p>
    <w:p w:rsidR="00D50C84" w:rsidRPr="00E21E52" w:rsidP="005F7F42" w14:paraId="07BF2F3A" w14:textId="2C55D699">
      <w:pPr>
        <w:tabs>
          <w:tab w:val="left" w:pos="-720"/>
          <w:tab w:val="left" w:pos="0"/>
        </w:tabs>
        <w:suppressAutoHyphens/>
        <w:spacing w:after="24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15.</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Explain the reasons for any program changes or adjustments reported in Items 13 or 14 of the OMB Form 83-I</w:t>
      </w:r>
      <w:r w:rsidRPr="00E21E52">
        <w:rPr>
          <w:rFonts w:ascii="Times New Roman" w:eastAsia="Times New Roman" w:hAnsi="Times New Roman" w:cs="Times New Roman"/>
          <w:sz w:val="24"/>
          <w:szCs w:val="20"/>
        </w:rPr>
        <w:t>.</w:t>
      </w:r>
    </w:p>
    <w:p w:rsidR="00026DAD" w:rsidP="00267225" w14:paraId="28A226EC" w14:textId="13EB14F5">
      <w:pPr>
        <w:widowControl w:val="0"/>
        <w:autoSpaceDE w:val="0"/>
        <w:autoSpaceDN w:val="0"/>
        <w:adjustRightInd w:val="0"/>
        <w:spacing w:after="24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T</w:t>
      </w:r>
      <w:r w:rsidRPr="00946450">
        <w:rPr>
          <w:rFonts w:ascii="Times New Roman" w:eastAsia="Times New Roman" w:hAnsi="Times New Roman" w:cs="Times New Roman"/>
          <w:sz w:val="24"/>
          <w:szCs w:val="20"/>
        </w:rPr>
        <w:t>he Commission</w:t>
      </w: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is </w:t>
      </w:r>
      <w:r>
        <w:rPr>
          <w:rFonts w:ascii="Times New Roman" w:eastAsia="Times New Roman" w:hAnsi="Times New Roman" w:cs="Times New Roman"/>
          <w:sz w:val="24"/>
          <w:szCs w:val="20"/>
        </w:rPr>
        <w:t>consolidat</w:t>
      </w:r>
      <w:r>
        <w:rPr>
          <w:rFonts w:ascii="Times New Roman" w:eastAsia="Times New Roman" w:hAnsi="Times New Roman" w:cs="Times New Roman"/>
          <w:sz w:val="24"/>
          <w:szCs w:val="20"/>
        </w:rPr>
        <w:t>ing</w:t>
      </w:r>
      <w:r>
        <w:rPr>
          <w:rFonts w:ascii="Times New Roman" w:eastAsia="Times New Roman" w:hAnsi="Times New Roman" w:cs="Times New Roman"/>
          <w:sz w:val="24"/>
          <w:szCs w:val="20"/>
        </w:rPr>
        <w:t xml:space="preserve"> </w:t>
      </w:r>
      <w:r w:rsidRPr="00946450">
        <w:rPr>
          <w:rFonts w:ascii="Times New Roman" w:eastAsia="Times New Roman" w:hAnsi="Times New Roman" w:cs="Times New Roman"/>
          <w:sz w:val="24"/>
          <w:szCs w:val="20"/>
        </w:rPr>
        <w:t>the two underlying Information Collections into a single collection</w:t>
      </w:r>
      <w:r>
        <w:rPr>
          <w:rFonts w:ascii="Times New Roman" w:eastAsia="Times New Roman" w:hAnsi="Times New Roman" w:cs="Times New Roman"/>
          <w:sz w:val="24"/>
          <w:szCs w:val="20"/>
        </w:rPr>
        <w:t xml:space="preserve"> since they are closely related</w:t>
      </w:r>
      <w:r w:rsidRPr="00946450">
        <w:rPr>
          <w:rFonts w:ascii="Times New Roman" w:eastAsia="Times New Roman" w:hAnsi="Times New Roman" w:cs="Times New Roman"/>
          <w:sz w:val="24"/>
          <w:szCs w:val="20"/>
        </w:rPr>
        <w:t xml:space="preserve">. Accordingly, </w:t>
      </w:r>
      <w:r>
        <w:rPr>
          <w:rFonts w:ascii="Times New Roman" w:eastAsia="Times New Roman" w:hAnsi="Times New Roman" w:cs="Times New Roman"/>
          <w:sz w:val="24"/>
          <w:szCs w:val="20"/>
        </w:rPr>
        <w:t xml:space="preserve">the burden hours from </w:t>
      </w:r>
      <w:r w:rsidRPr="00946450">
        <w:rPr>
          <w:rFonts w:ascii="Times New Roman" w:eastAsia="Times New Roman" w:hAnsi="Times New Roman" w:cs="Times New Roman"/>
          <w:sz w:val="24"/>
          <w:szCs w:val="20"/>
        </w:rPr>
        <w:t xml:space="preserve">the Second IC titled </w:t>
      </w:r>
      <w:r w:rsidR="000C531C">
        <w:rPr>
          <w:rFonts w:ascii="Times New Roman" w:eastAsia="Times New Roman" w:hAnsi="Times New Roman" w:cs="Times New Roman"/>
          <w:sz w:val="24"/>
          <w:szCs w:val="20"/>
        </w:rPr>
        <w:t>“</w:t>
      </w:r>
      <w:r w:rsidRPr="00717540">
        <w:rPr>
          <w:rFonts w:ascii="Times New Roman" w:eastAsia="Times New Roman" w:hAnsi="Times New Roman" w:cs="Times New Roman"/>
          <w:sz w:val="24"/>
          <w:szCs w:val="20"/>
        </w:rPr>
        <w:t>Method and timing for real-time public reporting (17 CFR 43.3)</w:t>
      </w:r>
      <w:r w:rsidR="00026F26">
        <w:rPr>
          <w:rFonts w:ascii="Times New Roman" w:eastAsia="Times New Roman" w:hAnsi="Times New Roman" w:cs="Times New Roman"/>
          <w:sz w:val="24"/>
          <w:szCs w:val="20"/>
        </w:rPr>
        <w:t>”</w:t>
      </w:r>
      <w:r w:rsidRPr="0094645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have been incorporated </w:t>
      </w:r>
      <w:r w:rsidRPr="00946450">
        <w:rPr>
          <w:rFonts w:ascii="Times New Roman" w:eastAsia="Times New Roman" w:hAnsi="Times New Roman" w:cs="Times New Roman"/>
          <w:sz w:val="24"/>
          <w:szCs w:val="20"/>
        </w:rPr>
        <w:t xml:space="preserve">into the </w:t>
      </w:r>
      <w:r w:rsidR="00026F26">
        <w:rPr>
          <w:rFonts w:ascii="Times New Roman" w:eastAsia="Times New Roman" w:hAnsi="Times New Roman" w:cs="Times New Roman"/>
          <w:sz w:val="24"/>
          <w:szCs w:val="20"/>
        </w:rPr>
        <w:t>F</w:t>
      </w:r>
      <w:r w:rsidRPr="00946450" w:rsidR="00026F26">
        <w:rPr>
          <w:rFonts w:ascii="Times New Roman" w:eastAsia="Times New Roman" w:hAnsi="Times New Roman" w:cs="Times New Roman"/>
          <w:sz w:val="24"/>
          <w:szCs w:val="20"/>
        </w:rPr>
        <w:t xml:space="preserve">irst </w:t>
      </w:r>
      <w:r w:rsidRPr="00946450">
        <w:rPr>
          <w:rFonts w:ascii="Times New Roman" w:eastAsia="Times New Roman" w:hAnsi="Times New Roman" w:cs="Times New Roman"/>
          <w:sz w:val="24"/>
          <w:szCs w:val="20"/>
        </w:rPr>
        <w:t xml:space="preserve">IC titled </w:t>
      </w:r>
      <w:r w:rsidR="00026F26">
        <w:rPr>
          <w:rFonts w:ascii="Times New Roman" w:eastAsia="Times New Roman" w:hAnsi="Times New Roman" w:cs="Times New Roman"/>
          <w:sz w:val="24"/>
          <w:szCs w:val="20"/>
        </w:rPr>
        <w:t>“</w:t>
      </w:r>
      <w:r w:rsidRPr="00946450">
        <w:rPr>
          <w:rFonts w:ascii="Times New Roman" w:eastAsia="Times New Roman" w:hAnsi="Times New Roman" w:cs="Times New Roman"/>
          <w:sz w:val="24"/>
          <w:szCs w:val="20"/>
        </w:rPr>
        <w:t>Real-Time Public Reporting.</w:t>
      </w:r>
      <w:r w:rsidR="00026F26">
        <w:rPr>
          <w:rFonts w:ascii="Times New Roman" w:eastAsia="Times New Roman" w:hAnsi="Times New Roman" w:cs="Times New Roman"/>
          <w:sz w:val="24"/>
          <w:szCs w:val="20"/>
        </w:rPr>
        <w:t>”</w:t>
      </w:r>
    </w:p>
    <w:p w:rsidR="00431F7D" w:rsidP="004C779A" w14:paraId="7FFA362A" w14:textId="31862AC2">
      <w:pPr>
        <w:widowControl w:val="0"/>
        <w:autoSpaceDE w:val="0"/>
        <w:autoSpaceDN w:val="0"/>
        <w:adjustRightInd w:val="0"/>
        <w:spacing w:after="240" w:line="240" w:lineRule="auto"/>
        <w:ind w:firstLine="720"/>
        <w:rPr>
          <w:rFonts w:ascii="Times New Roman" w:hAnsi="Times New Roman" w:cs="Times New Roman"/>
          <w:sz w:val="24"/>
          <w:szCs w:val="24"/>
        </w:rPr>
      </w:pPr>
      <w:r w:rsidRPr="009763DA">
        <w:rPr>
          <w:rFonts w:ascii="Times New Roman" w:hAnsi="Times New Roman" w:cs="Times New Roman"/>
          <w:sz w:val="24"/>
          <w:szCs w:val="24"/>
        </w:rPr>
        <w:t xml:space="preserve">The Commission previously estimated the total respondent burden of the information collection as 782,283 hours. </w:t>
      </w:r>
      <w:r w:rsidR="00BF5D5E">
        <w:rPr>
          <w:rFonts w:ascii="Times New Roman" w:hAnsi="Times New Roman" w:cs="Times New Roman"/>
          <w:sz w:val="24"/>
          <w:szCs w:val="24"/>
        </w:rPr>
        <w:t>There were 1</w:t>
      </w:r>
      <w:r w:rsidR="00851776">
        <w:rPr>
          <w:rFonts w:ascii="Times New Roman" w:hAnsi="Times New Roman" w:cs="Times New Roman"/>
          <w:sz w:val="24"/>
          <w:szCs w:val="24"/>
        </w:rPr>
        <w:t>,</w:t>
      </w:r>
      <w:r w:rsidR="00BF5D5E">
        <w:rPr>
          <w:rFonts w:ascii="Times New Roman" w:hAnsi="Times New Roman" w:cs="Times New Roman"/>
          <w:sz w:val="24"/>
          <w:szCs w:val="24"/>
        </w:rPr>
        <w:t xml:space="preserve">732 respondents </w:t>
      </w:r>
      <w:r w:rsidR="00BB5385">
        <w:rPr>
          <w:rFonts w:ascii="Times New Roman" w:hAnsi="Times New Roman" w:cs="Times New Roman"/>
          <w:sz w:val="24"/>
          <w:szCs w:val="24"/>
        </w:rPr>
        <w:t>in 2022, but the total number of respondents is now 1</w:t>
      </w:r>
      <w:r w:rsidR="00851776">
        <w:rPr>
          <w:rFonts w:ascii="Times New Roman" w:hAnsi="Times New Roman" w:cs="Times New Roman"/>
          <w:sz w:val="24"/>
          <w:szCs w:val="24"/>
        </w:rPr>
        <w:t>,</w:t>
      </w:r>
      <w:r w:rsidR="00BB5385">
        <w:rPr>
          <w:rFonts w:ascii="Times New Roman" w:hAnsi="Times New Roman" w:cs="Times New Roman"/>
          <w:sz w:val="24"/>
          <w:szCs w:val="24"/>
        </w:rPr>
        <w:t>742</w:t>
      </w:r>
      <w:r w:rsidR="0053424B">
        <w:rPr>
          <w:rFonts w:ascii="Times New Roman" w:hAnsi="Times New Roman" w:cs="Times New Roman"/>
          <w:sz w:val="24"/>
          <w:szCs w:val="24"/>
        </w:rPr>
        <w:t>.</w:t>
      </w:r>
      <w:r w:rsidR="00BB5385">
        <w:rPr>
          <w:rFonts w:ascii="Times New Roman" w:hAnsi="Times New Roman" w:cs="Times New Roman"/>
          <w:sz w:val="24"/>
          <w:szCs w:val="24"/>
        </w:rPr>
        <w:t xml:space="preserve"> </w:t>
      </w:r>
      <w:r w:rsidR="00851776">
        <w:rPr>
          <w:rFonts w:ascii="Times New Roman" w:hAnsi="Times New Roman" w:cs="Times New Roman"/>
          <w:sz w:val="24"/>
          <w:szCs w:val="24"/>
        </w:rPr>
        <w:t>Accordingly, t</w:t>
      </w:r>
      <w:r w:rsidRPr="009763DA">
        <w:rPr>
          <w:rFonts w:ascii="Times New Roman" w:hAnsi="Times New Roman" w:cs="Times New Roman"/>
          <w:sz w:val="24"/>
          <w:szCs w:val="24"/>
        </w:rPr>
        <w:t xml:space="preserve">he total respondent burden estimate for the </w:t>
      </w:r>
      <w:r w:rsidR="00851776">
        <w:rPr>
          <w:rFonts w:ascii="Times New Roman" w:hAnsi="Times New Roman" w:cs="Times New Roman"/>
          <w:sz w:val="24"/>
          <w:szCs w:val="24"/>
        </w:rPr>
        <w:t xml:space="preserve">collection has increased to </w:t>
      </w:r>
      <w:r w:rsidRPr="009763DA">
        <w:rPr>
          <w:rFonts w:ascii="Times New Roman" w:hAnsi="Times New Roman" w:cs="Times New Roman"/>
          <w:sz w:val="24"/>
          <w:szCs w:val="24"/>
        </w:rPr>
        <w:t xml:space="preserve">803,142 hours, reflecting an </w:t>
      </w:r>
      <w:r w:rsidR="00731631">
        <w:rPr>
          <w:rFonts w:ascii="Times New Roman" w:hAnsi="Times New Roman" w:cs="Times New Roman"/>
          <w:sz w:val="24"/>
          <w:szCs w:val="24"/>
        </w:rPr>
        <w:t xml:space="preserve">aggregate </w:t>
      </w:r>
      <w:r w:rsidRPr="009763DA">
        <w:rPr>
          <w:rFonts w:ascii="Times New Roman" w:hAnsi="Times New Roman" w:cs="Times New Roman"/>
          <w:sz w:val="24"/>
          <w:szCs w:val="24"/>
        </w:rPr>
        <w:t>increase of 20,859 burden hours</w:t>
      </w:r>
      <w:r>
        <w:rPr>
          <w:rFonts w:ascii="Times New Roman" w:hAnsi="Times New Roman" w:cs="Times New Roman"/>
          <w:sz w:val="24"/>
          <w:szCs w:val="24"/>
        </w:rPr>
        <w:t>.</w:t>
      </w:r>
    </w:p>
    <w:p w:rsidR="00D50C84" w:rsidRPr="004C779A" w:rsidP="0091105A" w14:paraId="4CC7CC10" w14:textId="419F88DD">
      <w:pPr>
        <w:widowControl w:val="0"/>
        <w:autoSpaceDE w:val="0"/>
        <w:autoSpaceDN w:val="0"/>
        <w:adjustRightInd w:val="0"/>
        <w:spacing w:after="240" w:line="240" w:lineRule="auto"/>
        <w:ind w:left="720" w:hanging="720"/>
        <w:rPr>
          <w:rFonts w:ascii="Times New Roman" w:eastAsia="Times New Roman" w:hAnsi="Times New Roman" w:cs="Times New Roman"/>
          <w:sz w:val="24"/>
          <w:szCs w:val="24"/>
        </w:rPr>
      </w:pPr>
      <w:r w:rsidRPr="004C779A">
        <w:rPr>
          <w:rFonts w:ascii="Times New Roman" w:eastAsia="Times New Roman" w:hAnsi="Times New Roman" w:cs="Times New Roman"/>
          <w:sz w:val="24"/>
          <w:szCs w:val="24"/>
        </w:rPr>
        <w:t xml:space="preserve">16. </w:t>
      </w:r>
      <w:r w:rsidRPr="004C779A" w:rsidR="00E55D9B">
        <w:rPr>
          <w:rFonts w:ascii="Times New Roman" w:eastAsia="Times New Roman" w:hAnsi="Times New Roman" w:cs="Times New Roman"/>
          <w:sz w:val="24"/>
          <w:szCs w:val="24"/>
        </w:rPr>
        <w:tab/>
      </w:r>
      <w:r w:rsidRPr="004C779A" w:rsidR="00C6101A">
        <w:rPr>
          <w:rFonts w:ascii="Times New Roman" w:eastAsia="Times New Roman" w:hAnsi="Times New Roman" w:cs="Times New Roman"/>
          <w:sz w:val="24"/>
          <w:szCs w:val="24"/>
          <w:u w:val="single"/>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sidRPr="004C779A" w:rsidR="00C6101A">
        <w:rPr>
          <w:rFonts w:ascii="Times New Roman" w:eastAsia="Times New Roman" w:hAnsi="Times New Roman" w:cs="Times New Roman"/>
          <w:sz w:val="24"/>
          <w:szCs w:val="24"/>
        </w:rPr>
        <w:t>.</w:t>
      </w:r>
    </w:p>
    <w:p w:rsidR="00D50C84" w:rsidRPr="00E21E52" w:rsidP="0051557B" w14:paraId="31A1A60C" w14:textId="778F44E5">
      <w:pPr>
        <w:widowControl w:val="0"/>
        <w:autoSpaceDE w:val="0"/>
        <w:autoSpaceDN w:val="0"/>
        <w:adjustRightInd w:val="0"/>
        <w:spacing w:after="240" w:line="240" w:lineRule="auto"/>
        <w:ind w:firstLine="720"/>
        <w:rPr>
          <w:rFonts w:ascii="Times New Roman" w:eastAsia="Times New Roman" w:hAnsi="Times New Roman" w:cs="Times New Roman"/>
          <w:sz w:val="24"/>
          <w:szCs w:val="20"/>
        </w:rPr>
      </w:pPr>
      <w:r w:rsidRPr="00665298">
        <w:rPr>
          <w:rFonts w:ascii="Times New Roman" w:eastAsia="Times New Roman" w:hAnsi="Times New Roman" w:cs="Times New Roman"/>
          <w:sz w:val="24"/>
          <w:szCs w:val="20"/>
        </w:rPr>
        <w:t>Not applicable, the results of this collection of information are not planned to be published for statistical use.</w:t>
      </w:r>
    </w:p>
    <w:p w:rsidR="00D50C84" w:rsidRPr="00E21E52" w:rsidP="005F7F42" w14:paraId="45059FE4" w14:textId="418233DD">
      <w:pPr>
        <w:tabs>
          <w:tab w:val="left" w:pos="-720"/>
          <w:tab w:val="left" w:pos="0"/>
        </w:tabs>
        <w:suppressAutoHyphens/>
        <w:spacing w:after="24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17.</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If seeking approval to not display the expiration date for OMB approval of the information collection, explain the reasons that display would be inappropriate</w:t>
      </w:r>
      <w:r w:rsidRPr="00E21E52">
        <w:rPr>
          <w:rFonts w:ascii="Times New Roman" w:eastAsia="Times New Roman" w:hAnsi="Times New Roman" w:cs="Times New Roman"/>
          <w:sz w:val="24"/>
          <w:szCs w:val="20"/>
        </w:rPr>
        <w:t>.</w:t>
      </w:r>
    </w:p>
    <w:p w:rsidR="00D50C84" w:rsidRPr="00E21E52" w:rsidP="0051557B" w14:paraId="6CFC0FAC" w14:textId="64F07F90">
      <w:pPr>
        <w:widowControl w:val="0"/>
        <w:autoSpaceDE w:val="0"/>
        <w:autoSpaceDN w:val="0"/>
        <w:adjustRightInd w:val="0"/>
        <w:spacing w:after="240" w:line="240" w:lineRule="auto"/>
        <w:ind w:firstLine="720"/>
        <w:rPr>
          <w:rFonts w:ascii="Times New Roman" w:eastAsia="Times New Roman" w:hAnsi="Times New Roman" w:cs="Times New Roman"/>
          <w:sz w:val="24"/>
          <w:szCs w:val="20"/>
        </w:rPr>
      </w:pPr>
      <w:r w:rsidRPr="00665298">
        <w:rPr>
          <w:rFonts w:ascii="Times New Roman" w:eastAsia="Times New Roman" w:hAnsi="Times New Roman" w:cs="Times New Roman"/>
          <w:sz w:val="24"/>
          <w:szCs w:val="20"/>
        </w:rPr>
        <w:t>Not applicable, the Commission is not seeking such approval.</w:t>
      </w:r>
    </w:p>
    <w:p w:rsidR="00D50C84" w:rsidRPr="00E21E52" w:rsidP="0051557B" w14:paraId="11B8FC6A" w14:textId="1485BA12">
      <w:pPr>
        <w:tabs>
          <w:tab w:val="left" w:pos="-720"/>
          <w:tab w:val="left" w:pos="0"/>
        </w:tabs>
        <w:suppressAutoHyphens/>
        <w:spacing w:after="240" w:line="240" w:lineRule="auto"/>
        <w:ind w:left="720" w:hanging="720"/>
        <w:rPr>
          <w:rFonts w:ascii="Times New Roman" w:eastAsia="Times New Roman" w:hAnsi="Times New Roman" w:cs="Times New Roman"/>
          <w:sz w:val="24"/>
          <w:szCs w:val="20"/>
        </w:rPr>
      </w:pPr>
      <w:r w:rsidRPr="00E21E52">
        <w:rPr>
          <w:rFonts w:ascii="Times New Roman" w:eastAsia="Times New Roman" w:hAnsi="Times New Roman" w:cs="Times New Roman"/>
          <w:sz w:val="24"/>
          <w:szCs w:val="20"/>
        </w:rPr>
        <w:t>18.</w:t>
      </w:r>
      <w:r w:rsidRPr="00E21E52">
        <w:rPr>
          <w:rFonts w:ascii="Times New Roman" w:eastAsia="Times New Roman" w:hAnsi="Times New Roman" w:cs="Times New Roman"/>
          <w:sz w:val="24"/>
          <w:szCs w:val="20"/>
        </w:rPr>
        <w:tab/>
      </w:r>
      <w:r w:rsidRPr="00E21E52">
        <w:rPr>
          <w:rFonts w:ascii="Times New Roman" w:eastAsia="Times New Roman" w:hAnsi="Times New Roman" w:cs="Times New Roman"/>
          <w:sz w:val="24"/>
          <w:szCs w:val="20"/>
          <w:u w:val="single"/>
        </w:rPr>
        <w:t xml:space="preserve">Explain each exception to the certification statement identified in Item 19, </w:t>
      </w:r>
      <w:r w:rsidR="0051557B">
        <w:rPr>
          <w:rFonts w:ascii="Times New Roman" w:eastAsia="Times New Roman" w:hAnsi="Times New Roman" w:cs="Times New Roman"/>
          <w:sz w:val="24"/>
          <w:szCs w:val="20"/>
          <w:u w:val="single"/>
        </w:rPr>
        <w:t>“</w:t>
      </w:r>
      <w:r w:rsidRPr="00E21E52">
        <w:rPr>
          <w:rFonts w:ascii="Times New Roman" w:eastAsia="Times New Roman" w:hAnsi="Times New Roman" w:cs="Times New Roman"/>
          <w:sz w:val="24"/>
          <w:szCs w:val="20"/>
          <w:u w:val="single"/>
        </w:rPr>
        <w:t>Certification for Paperwork Reduction Act Submissions,</w:t>
      </w:r>
      <w:r w:rsidR="0051557B">
        <w:rPr>
          <w:rFonts w:ascii="Times New Roman" w:eastAsia="Times New Roman" w:hAnsi="Times New Roman" w:cs="Times New Roman"/>
          <w:sz w:val="24"/>
          <w:szCs w:val="20"/>
          <w:u w:val="single"/>
        </w:rPr>
        <w:t>”</w:t>
      </w:r>
      <w:r w:rsidRPr="00E21E52">
        <w:rPr>
          <w:rFonts w:ascii="Times New Roman" w:eastAsia="Times New Roman" w:hAnsi="Times New Roman" w:cs="Times New Roman"/>
          <w:sz w:val="24"/>
          <w:szCs w:val="20"/>
          <w:u w:val="single"/>
        </w:rPr>
        <w:t xml:space="preserve"> of OMB Form 83-I</w:t>
      </w:r>
      <w:r w:rsidRPr="00E21E52">
        <w:rPr>
          <w:rFonts w:ascii="Times New Roman" w:eastAsia="Times New Roman" w:hAnsi="Times New Roman" w:cs="Times New Roman"/>
          <w:sz w:val="24"/>
          <w:szCs w:val="20"/>
        </w:rPr>
        <w:t>.</w:t>
      </w:r>
    </w:p>
    <w:p w:rsidR="00D50C84" w:rsidRPr="00E21E52" w:rsidP="0051557B" w14:paraId="343BA3DD" w14:textId="424A2394">
      <w:pPr>
        <w:widowControl w:val="0"/>
        <w:autoSpaceDE w:val="0"/>
        <w:autoSpaceDN w:val="0"/>
        <w:adjustRightInd w:val="0"/>
        <w:spacing w:after="240" w:line="240" w:lineRule="auto"/>
        <w:ind w:firstLine="720"/>
        <w:rPr>
          <w:rFonts w:ascii="Times New Roman" w:eastAsia="Times New Roman" w:hAnsi="Times New Roman" w:cs="Times New Roman"/>
          <w:sz w:val="24"/>
          <w:szCs w:val="20"/>
        </w:rPr>
      </w:pPr>
      <w:r w:rsidRPr="00665298">
        <w:rPr>
          <w:rFonts w:ascii="Times New Roman" w:eastAsia="Times New Roman" w:hAnsi="Times New Roman" w:cs="Times New Roman"/>
          <w:sz w:val="24"/>
          <w:szCs w:val="20"/>
        </w:rPr>
        <w:t>Not applicable, there are no exceptions.</w:t>
      </w:r>
    </w:p>
    <w:p w:rsidR="006A01DA" w14:paraId="31F4C804" w14:textId="3E8182CE">
      <w:pPr>
        <w:spacing w:after="160" w:line="259" w:lineRule="auto"/>
        <w:rPr>
          <w:rFonts w:ascii="Times New Roman" w:hAnsi="Times New Roman" w:cs="Times New Roman"/>
          <w:b/>
          <w:sz w:val="24"/>
          <w:szCs w:val="24"/>
          <w:u w:val="single"/>
        </w:rPr>
        <w:sectPr w:rsidSect="00674D0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665298" w14:paraId="0BE5A993" w14:textId="77777777">
      <w:pPr>
        <w:spacing w:after="160" w:line="259" w:lineRule="auto"/>
        <w:rPr>
          <w:rFonts w:ascii="Times New Roman" w:hAnsi="Times New Roman" w:cs="Times New Roman"/>
          <w:b/>
          <w:sz w:val="24"/>
          <w:szCs w:val="24"/>
          <w:u w:val="single"/>
        </w:rPr>
      </w:pPr>
    </w:p>
    <w:p w:rsidR="009A310B" w:rsidRPr="00DF789D" w:rsidP="009A310B" w14:paraId="12ADF9A0" w14:textId="6FB3BD7C">
      <w:pPr>
        <w:spacing w:after="0" w:line="240" w:lineRule="auto"/>
        <w:jc w:val="center"/>
        <w:rPr>
          <w:rFonts w:ascii="Times New Roman" w:hAnsi="Times New Roman" w:cs="Times New Roman"/>
          <w:sz w:val="24"/>
          <w:szCs w:val="24"/>
        </w:rPr>
      </w:pPr>
      <w:r w:rsidRPr="00DF789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A</w:t>
      </w:r>
      <w:r w:rsidRPr="00DF789D">
        <w:rPr>
          <w:rFonts w:ascii="Times New Roman" w:hAnsi="Times New Roman" w:cs="Times New Roman"/>
          <w:b/>
          <w:sz w:val="24"/>
          <w:szCs w:val="24"/>
          <w:u w:val="single"/>
        </w:rPr>
        <w:t xml:space="preserve">: Estimated </w:t>
      </w:r>
      <w:r>
        <w:rPr>
          <w:rFonts w:ascii="Times New Roman" w:hAnsi="Times New Roman" w:cs="Times New Roman"/>
          <w:b/>
          <w:sz w:val="24"/>
          <w:szCs w:val="24"/>
          <w:u w:val="single"/>
        </w:rPr>
        <w:t>B</w:t>
      </w:r>
      <w:r w:rsidRPr="00DF789D">
        <w:rPr>
          <w:rFonts w:ascii="Times New Roman" w:hAnsi="Times New Roman" w:cs="Times New Roman"/>
          <w:b/>
          <w:sz w:val="24"/>
          <w:szCs w:val="24"/>
          <w:u w:val="single"/>
        </w:rPr>
        <w:t xml:space="preserve">urden </w:t>
      </w:r>
      <w:r>
        <w:rPr>
          <w:rFonts w:ascii="Times New Roman" w:hAnsi="Times New Roman" w:cs="Times New Roman"/>
          <w:b/>
          <w:sz w:val="24"/>
          <w:szCs w:val="24"/>
          <w:u w:val="single"/>
        </w:rPr>
        <w:t>C</w:t>
      </w:r>
      <w:r w:rsidRPr="00DF789D">
        <w:rPr>
          <w:rFonts w:ascii="Times New Roman" w:hAnsi="Times New Roman" w:cs="Times New Roman"/>
          <w:b/>
          <w:sz w:val="24"/>
          <w:szCs w:val="24"/>
          <w:u w:val="single"/>
        </w:rPr>
        <w:t>ost</w:t>
      </w:r>
      <w:r w:rsidR="00CD6626">
        <w:rPr>
          <w:rFonts w:ascii="Times New Roman" w:hAnsi="Times New Roman" w:cs="Times New Roman"/>
          <w:b/>
          <w:sz w:val="24"/>
          <w:szCs w:val="24"/>
          <w:u w:val="single"/>
        </w:rPr>
        <w:t xml:space="preserve"> – Information Collection </w:t>
      </w:r>
      <w:r w:rsidRPr="00DF789D">
        <w:rPr>
          <w:rFonts w:ascii="Times New Roman" w:hAnsi="Times New Roman" w:cs="Times New Roman"/>
          <w:b/>
          <w:sz w:val="24"/>
          <w:szCs w:val="24"/>
          <w:u w:val="single"/>
        </w:rPr>
        <w:t>(</w:t>
      </w:r>
      <w:r w:rsidR="00393E6A">
        <w:rPr>
          <w:rFonts w:ascii="Times New Roman" w:hAnsi="Times New Roman" w:cs="Times New Roman"/>
          <w:b/>
          <w:sz w:val="24"/>
          <w:szCs w:val="24"/>
          <w:u w:val="single"/>
        </w:rPr>
        <w:t>3038-</w:t>
      </w:r>
      <w:r>
        <w:rPr>
          <w:rFonts w:ascii="Times New Roman" w:hAnsi="Times New Roman" w:cs="Times New Roman"/>
          <w:b/>
          <w:sz w:val="24"/>
          <w:szCs w:val="24"/>
          <w:u w:val="single"/>
        </w:rPr>
        <w:t>0070</w:t>
      </w:r>
      <w:r w:rsidRPr="00DF789D">
        <w:rPr>
          <w:rFonts w:ascii="Times New Roman" w:hAnsi="Times New Roman" w:cs="Times New Roman"/>
          <w:b/>
          <w:sz w:val="24"/>
          <w:szCs w:val="24"/>
          <w:u w:val="single"/>
        </w:rPr>
        <w:t>)</w:t>
      </w:r>
      <w:r>
        <w:rPr>
          <w:rStyle w:val="FootnoteReference"/>
          <w:rFonts w:ascii="Times New Roman" w:hAnsi="Times New Roman" w:cs="Times New Roman"/>
          <w:sz w:val="24"/>
          <w:szCs w:val="24"/>
        </w:rPr>
        <w:footnoteReference w:id="18"/>
      </w:r>
    </w:p>
    <w:p w:rsidR="0005408D" w:rsidRPr="00DF789D" w:rsidP="0005408D" w14:paraId="22FA6819" w14:textId="77777777">
      <w:pPr>
        <w:spacing w:after="0" w:line="240" w:lineRule="auto"/>
        <w:ind w:left="1440"/>
        <w:rPr>
          <w:rFonts w:ascii="Times New Roman" w:hAnsi="Times New Roman" w:cs="Times New Roman"/>
          <w:sz w:val="24"/>
          <w:szCs w:val="24"/>
        </w:rPr>
      </w:pPr>
    </w:p>
    <w:p w:rsidR="00DE042A" w:rsidP="0005408D" w14:paraId="7B78590D" w14:textId="6F8E2F58">
      <w:pPr>
        <w:jc w:val="center"/>
        <w:rPr>
          <w:rFonts w:ascii="Times New Roman" w:hAnsi="Times New Roman" w:cs="Times New Roman"/>
          <w:sz w:val="24"/>
          <w:szCs w:val="24"/>
        </w:rPr>
      </w:pPr>
      <w:r>
        <w:rPr>
          <w:rFonts w:ascii="Times New Roman" w:hAnsi="Times New Roman" w:cs="Times New Roman"/>
          <w:sz w:val="24"/>
          <w:szCs w:val="24"/>
        </w:rPr>
        <w:t>Reporting Burden</w:t>
      </w: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8"/>
        <w:gridCol w:w="1812"/>
        <w:gridCol w:w="1286"/>
        <w:gridCol w:w="1434"/>
        <w:gridCol w:w="1486"/>
        <w:gridCol w:w="1192"/>
        <w:gridCol w:w="1440"/>
        <w:gridCol w:w="982"/>
        <w:gridCol w:w="992"/>
        <w:gridCol w:w="1483"/>
      </w:tblGrid>
      <w:tr w14:paraId="26AE85DC" w14:textId="77777777" w:rsidTr="00C7589B">
        <w:tblPrEx>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529"/>
        </w:trPr>
        <w:tc>
          <w:tcPr>
            <w:tcW w:w="0" w:type="auto"/>
          </w:tcPr>
          <w:p w:rsidR="0005408D" w:rsidRPr="00665298" w:rsidP="000D0D76" w14:paraId="52FD3CFC" w14:textId="77777777">
            <w:pPr>
              <w:tabs>
                <w:tab w:val="left" w:pos="-720"/>
              </w:tabs>
              <w:suppressAutoHyphens/>
              <w:spacing w:after="0" w:line="240" w:lineRule="auto"/>
              <w:ind w:left="-45" w:right="-105"/>
              <w:jc w:val="center"/>
              <w:rPr>
                <w:rFonts w:ascii="Arial" w:eastAsia="Times New Roman" w:hAnsi="Arial" w:cs="Times New Roman"/>
                <w:b/>
                <w:sz w:val="16"/>
                <w:szCs w:val="16"/>
              </w:rPr>
            </w:pPr>
            <w:r w:rsidRPr="00665298">
              <w:rPr>
                <w:rFonts w:ascii="Arial" w:eastAsia="Times New Roman" w:hAnsi="Arial" w:cs="Times New Roman"/>
                <w:b/>
                <w:sz w:val="16"/>
                <w:szCs w:val="16"/>
              </w:rPr>
              <w:t>1.</w:t>
            </w:r>
          </w:p>
          <w:p w:rsidR="0005408D" w:rsidRPr="00665298" w:rsidP="000D0D76" w14:paraId="581973BA" w14:textId="77777777">
            <w:pPr>
              <w:tabs>
                <w:tab w:val="left" w:pos="-720"/>
              </w:tabs>
              <w:suppressAutoHyphens/>
              <w:spacing w:after="0" w:line="240" w:lineRule="auto"/>
              <w:ind w:left="-45" w:right="-105"/>
              <w:jc w:val="center"/>
              <w:rPr>
                <w:rFonts w:ascii="Arial" w:eastAsia="Times New Roman" w:hAnsi="Arial" w:cs="Times New Roman"/>
                <w:b/>
                <w:sz w:val="16"/>
                <w:szCs w:val="16"/>
              </w:rPr>
            </w:pPr>
            <w:r w:rsidRPr="00665298">
              <w:rPr>
                <w:rFonts w:ascii="Arial" w:eastAsia="Times New Roman" w:hAnsi="Arial" w:cs="Times New Roman"/>
                <w:b/>
                <w:sz w:val="16"/>
                <w:szCs w:val="16"/>
              </w:rPr>
              <w:t>Regulation(s)</w:t>
            </w:r>
          </w:p>
        </w:tc>
        <w:tc>
          <w:tcPr>
            <w:tcW w:w="0" w:type="auto"/>
          </w:tcPr>
          <w:p w:rsidR="0005408D" w:rsidRPr="00665298" w:rsidP="000D0D76" w14:paraId="63797ACA" w14:textId="77777777">
            <w:pPr>
              <w:suppressAutoHyphens/>
              <w:spacing w:after="0" w:line="240" w:lineRule="auto"/>
              <w:ind w:left="-104" w:right="-135"/>
              <w:jc w:val="center"/>
              <w:rPr>
                <w:rFonts w:ascii="Arial" w:eastAsia="Times New Roman" w:hAnsi="Arial" w:cs="Times New Roman"/>
                <w:b/>
                <w:sz w:val="16"/>
                <w:szCs w:val="16"/>
              </w:rPr>
            </w:pPr>
            <w:r w:rsidRPr="00665298">
              <w:rPr>
                <w:rFonts w:ascii="Arial" w:eastAsia="Times New Roman" w:hAnsi="Arial" w:cs="Times New Roman"/>
                <w:b/>
                <w:sz w:val="16"/>
                <w:szCs w:val="16"/>
              </w:rPr>
              <w:t>2.</w:t>
            </w:r>
          </w:p>
          <w:p w:rsidR="0005408D" w:rsidRPr="00665298" w:rsidP="000D0D76" w14:paraId="46687784" w14:textId="77777777">
            <w:pPr>
              <w:suppressAutoHyphens/>
              <w:spacing w:after="0" w:line="240" w:lineRule="auto"/>
              <w:ind w:left="-104" w:right="-135"/>
              <w:jc w:val="center"/>
              <w:rPr>
                <w:rFonts w:ascii="Arial" w:eastAsia="Times New Roman" w:hAnsi="Arial" w:cs="Times New Roman"/>
                <w:b/>
                <w:sz w:val="16"/>
                <w:szCs w:val="16"/>
              </w:rPr>
            </w:pPr>
            <w:r w:rsidRPr="00665298">
              <w:rPr>
                <w:rFonts w:ascii="Arial" w:eastAsia="Times New Roman" w:hAnsi="Arial" w:cs="Times New Roman"/>
                <w:b/>
                <w:sz w:val="16"/>
                <w:szCs w:val="16"/>
              </w:rPr>
              <w:t xml:space="preserve">Estimated Number of Respondents </w:t>
            </w:r>
          </w:p>
          <w:p w:rsidR="0005408D" w:rsidRPr="00665298" w:rsidP="000D0D76" w14:paraId="30BDDE84" w14:textId="77777777">
            <w:pPr>
              <w:suppressAutoHyphens/>
              <w:spacing w:after="0" w:line="240" w:lineRule="auto"/>
              <w:ind w:left="-104" w:right="-135"/>
              <w:jc w:val="center"/>
              <w:rPr>
                <w:rFonts w:ascii="Arial" w:eastAsia="Times New Roman" w:hAnsi="Arial" w:cs="Times New Roman"/>
                <w:b/>
                <w:sz w:val="16"/>
                <w:szCs w:val="16"/>
              </w:rPr>
            </w:pPr>
          </w:p>
        </w:tc>
        <w:tc>
          <w:tcPr>
            <w:tcW w:w="0" w:type="auto"/>
          </w:tcPr>
          <w:p w:rsidR="0005408D" w:rsidRPr="00665298" w:rsidP="000D0D76" w14:paraId="7F0E4671" w14:textId="77777777">
            <w:pPr>
              <w:suppressAutoHyphens/>
              <w:spacing w:after="0" w:line="240" w:lineRule="auto"/>
              <w:ind w:left="-74" w:right="-75"/>
              <w:jc w:val="center"/>
              <w:rPr>
                <w:rFonts w:ascii="Arial" w:eastAsia="Times New Roman" w:hAnsi="Arial" w:cs="Times New Roman"/>
                <w:b/>
                <w:sz w:val="16"/>
                <w:szCs w:val="16"/>
              </w:rPr>
            </w:pPr>
            <w:r w:rsidRPr="00665298">
              <w:rPr>
                <w:rFonts w:ascii="Arial" w:eastAsia="Times New Roman" w:hAnsi="Arial" w:cs="Times New Roman"/>
                <w:b/>
                <w:sz w:val="16"/>
                <w:szCs w:val="16"/>
              </w:rPr>
              <w:t>3.</w:t>
            </w:r>
          </w:p>
          <w:p w:rsidR="0005408D" w:rsidRPr="00665298" w:rsidP="000D0D76" w14:paraId="61B14ABE" w14:textId="77777777">
            <w:pPr>
              <w:suppressAutoHyphens/>
              <w:spacing w:after="0" w:line="240" w:lineRule="auto"/>
              <w:ind w:left="-74" w:right="-75"/>
              <w:jc w:val="center"/>
              <w:rPr>
                <w:rFonts w:ascii="Arial" w:eastAsia="Times New Roman" w:hAnsi="Arial" w:cs="Times New Roman"/>
                <w:b/>
                <w:sz w:val="16"/>
                <w:szCs w:val="16"/>
              </w:rPr>
            </w:pPr>
            <w:r w:rsidRPr="00665298">
              <w:rPr>
                <w:rFonts w:ascii="Arial" w:eastAsia="Times New Roman" w:hAnsi="Arial" w:cs="Times New Roman"/>
                <w:b/>
                <w:sz w:val="16"/>
                <w:szCs w:val="16"/>
              </w:rPr>
              <w:t>Estimated Number of Reports</w:t>
            </w:r>
          </w:p>
          <w:p w:rsidR="0005408D" w:rsidRPr="00665298" w:rsidP="000D0D76" w14:paraId="698D583A" w14:textId="77777777">
            <w:pPr>
              <w:suppressAutoHyphens/>
              <w:spacing w:after="0" w:line="240" w:lineRule="auto"/>
              <w:ind w:left="-74" w:right="-75"/>
              <w:jc w:val="center"/>
              <w:rPr>
                <w:rFonts w:ascii="Arial" w:eastAsia="Times New Roman" w:hAnsi="Arial" w:cs="Times New Roman"/>
                <w:b/>
                <w:sz w:val="16"/>
                <w:szCs w:val="16"/>
              </w:rPr>
            </w:pPr>
            <w:r w:rsidRPr="00665298">
              <w:rPr>
                <w:rFonts w:ascii="Arial" w:eastAsia="Times New Roman" w:hAnsi="Arial" w:cs="Times New Roman"/>
                <w:b/>
                <w:sz w:val="16"/>
                <w:szCs w:val="16"/>
              </w:rPr>
              <w:t>by Each Respondent</w:t>
            </w:r>
          </w:p>
        </w:tc>
        <w:tc>
          <w:tcPr>
            <w:tcW w:w="0" w:type="auto"/>
          </w:tcPr>
          <w:p w:rsidR="0005408D" w:rsidRPr="00665298" w:rsidP="000D0D76" w14:paraId="6E7E96EA" w14:textId="77777777">
            <w:pPr>
              <w:suppressAutoHyphens/>
              <w:spacing w:after="0" w:line="240" w:lineRule="auto"/>
              <w:ind w:left="-134" w:right="-105"/>
              <w:jc w:val="center"/>
              <w:rPr>
                <w:rFonts w:ascii="Arial" w:eastAsia="Times New Roman" w:hAnsi="Arial" w:cs="Times New Roman"/>
                <w:b/>
                <w:sz w:val="16"/>
                <w:szCs w:val="16"/>
              </w:rPr>
            </w:pPr>
            <w:r w:rsidRPr="00665298">
              <w:rPr>
                <w:rFonts w:ascii="Arial" w:eastAsia="Times New Roman" w:hAnsi="Arial" w:cs="Times New Roman"/>
                <w:b/>
                <w:sz w:val="16"/>
                <w:szCs w:val="16"/>
              </w:rPr>
              <w:t>4.</w:t>
            </w:r>
          </w:p>
          <w:p w:rsidR="0005408D" w:rsidRPr="00665298" w:rsidP="000D0D76" w14:paraId="097073CA" w14:textId="77777777">
            <w:pPr>
              <w:suppressAutoHyphens/>
              <w:spacing w:after="0" w:line="240" w:lineRule="auto"/>
              <w:ind w:left="-134" w:right="-105"/>
              <w:jc w:val="center"/>
              <w:rPr>
                <w:rFonts w:ascii="Arial" w:eastAsia="Times New Roman" w:hAnsi="Arial" w:cs="Times New Roman"/>
                <w:b/>
                <w:sz w:val="16"/>
                <w:szCs w:val="16"/>
              </w:rPr>
            </w:pPr>
            <w:r w:rsidRPr="00665298">
              <w:rPr>
                <w:rFonts w:ascii="Arial" w:eastAsia="Times New Roman" w:hAnsi="Arial" w:cs="Times New Roman"/>
                <w:b/>
                <w:sz w:val="16"/>
                <w:szCs w:val="16"/>
              </w:rPr>
              <w:t>Estimated Average Number of Burden Hours per Response</w:t>
            </w:r>
          </w:p>
        </w:tc>
        <w:tc>
          <w:tcPr>
            <w:tcW w:w="0" w:type="auto"/>
          </w:tcPr>
          <w:p w:rsidR="0005408D" w:rsidRPr="00665298" w:rsidP="000D0D76" w14:paraId="3A16CBB3" w14:textId="77777777">
            <w:pPr>
              <w:suppressAutoHyphens/>
              <w:spacing w:after="0" w:line="240" w:lineRule="auto"/>
              <w:ind w:left="-104" w:right="-135"/>
              <w:jc w:val="center"/>
              <w:rPr>
                <w:rFonts w:ascii="Arial" w:eastAsia="Times New Roman" w:hAnsi="Arial" w:cs="Times New Roman"/>
                <w:b/>
                <w:sz w:val="16"/>
                <w:szCs w:val="16"/>
              </w:rPr>
            </w:pPr>
            <w:r w:rsidRPr="00665298">
              <w:rPr>
                <w:rFonts w:ascii="Arial" w:eastAsia="Times New Roman" w:hAnsi="Arial" w:cs="Times New Roman"/>
                <w:b/>
                <w:sz w:val="16"/>
                <w:szCs w:val="16"/>
              </w:rPr>
              <w:t>5.</w:t>
            </w:r>
          </w:p>
          <w:p w:rsidR="0005408D" w:rsidRPr="00665298" w:rsidP="000D0D76" w14:paraId="1791582A" w14:textId="77777777">
            <w:pPr>
              <w:suppressAutoHyphens/>
              <w:spacing w:after="0" w:line="240" w:lineRule="auto"/>
              <w:ind w:left="-104" w:right="-135"/>
              <w:jc w:val="center"/>
              <w:rPr>
                <w:rFonts w:ascii="Arial" w:eastAsia="Times New Roman" w:hAnsi="Arial" w:cs="Times New Roman"/>
                <w:b/>
                <w:sz w:val="16"/>
                <w:szCs w:val="16"/>
              </w:rPr>
            </w:pPr>
            <w:r w:rsidRPr="00665298">
              <w:rPr>
                <w:rFonts w:ascii="Arial" w:eastAsia="Times New Roman" w:hAnsi="Arial" w:cs="Times New Roman"/>
                <w:b/>
                <w:sz w:val="16"/>
                <w:szCs w:val="16"/>
              </w:rPr>
              <w:t>Annual Number of Burden Hours per Respondent</w:t>
            </w:r>
          </w:p>
          <w:p w:rsidR="0005408D" w:rsidRPr="00665298" w:rsidP="000D0D76" w14:paraId="3DEFF755" w14:textId="77777777">
            <w:pPr>
              <w:suppressAutoHyphens/>
              <w:spacing w:after="0" w:line="240" w:lineRule="auto"/>
              <w:ind w:left="-104" w:right="-135"/>
              <w:jc w:val="center"/>
              <w:rPr>
                <w:rFonts w:ascii="Arial" w:eastAsia="Times New Roman" w:hAnsi="Arial" w:cs="Times New Roman"/>
                <w:b/>
                <w:sz w:val="16"/>
                <w:szCs w:val="16"/>
              </w:rPr>
            </w:pPr>
            <w:r w:rsidRPr="00665298">
              <w:rPr>
                <w:rFonts w:ascii="Arial" w:eastAsia="Times New Roman" w:hAnsi="Arial" w:cs="Times New Roman"/>
                <w:b/>
                <w:sz w:val="16"/>
                <w:szCs w:val="16"/>
              </w:rPr>
              <w:t>(3 x 4)</w:t>
            </w:r>
          </w:p>
        </w:tc>
        <w:tc>
          <w:tcPr>
            <w:tcW w:w="0" w:type="auto"/>
          </w:tcPr>
          <w:p w:rsidR="0005408D" w:rsidRPr="00665298" w:rsidP="000D0D76" w14:paraId="39F05AEF" w14:textId="77777777">
            <w:pPr>
              <w:suppressAutoHyphens/>
              <w:spacing w:after="0" w:line="240" w:lineRule="auto"/>
              <w:ind w:left="-74" w:right="-75"/>
              <w:jc w:val="center"/>
              <w:rPr>
                <w:rFonts w:ascii="Arial" w:eastAsia="Times New Roman" w:hAnsi="Arial" w:cs="Times New Roman"/>
                <w:b/>
                <w:sz w:val="16"/>
                <w:szCs w:val="16"/>
              </w:rPr>
            </w:pPr>
            <w:r w:rsidRPr="00665298">
              <w:rPr>
                <w:rFonts w:ascii="Arial" w:eastAsia="Times New Roman" w:hAnsi="Arial" w:cs="Times New Roman"/>
                <w:b/>
                <w:sz w:val="16"/>
                <w:szCs w:val="16"/>
              </w:rPr>
              <w:t xml:space="preserve">6. </w:t>
            </w:r>
          </w:p>
          <w:p w:rsidR="0005408D" w:rsidRPr="00665298" w:rsidP="000D0D76" w14:paraId="54DD619C" w14:textId="77777777">
            <w:pPr>
              <w:suppressAutoHyphens/>
              <w:spacing w:after="0" w:line="240" w:lineRule="auto"/>
              <w:ind w:left="-74" w:right="-75"/>
              <w:jc w:val="center"/>
              <w:rPr>
                <w:rFonts w:ascii="Arial" w:eastAsia="Times New Roman" w:hAnsi="Arial" w:cs="Times New Roman"/>
                <w:b/>
                <w:sz w:val="16"/>
                <w:szCs w:val="16"/>
              </w:rPr>
            </w:pPr>
            <w:r w:rsidRPr="00665298">
              <w:rPr>
                <w:rFonts w:ascii="Arial" w:eastAsia="Times New Roman" w:hAnsi="Arial" w:cs="Times New Roman"/>
                <w:b/>
                <w:sz w:val="16"/>
                <w:szCs w:val="16"/>
              </w:rPr>
              <w:t>Estimate of Average Burden Hour Cost</w:t>
            </w:r>
            <w:r>
              <w:rPr>
                <w:rFonts w:ascii="Arial" w:eastAsia="Times New Roman" w:hAnsi="Arial" w:cs="Times New Roman"/>
                <w:b/>
                <w:sz w:val="16"/>
                <w:szCs w:val="16"/>
                <w:vertAlign w:val="superscript"/>
              </w:rPr>
              <w:footnoteReference w:id="19"/>
            </w:r>
          </w:p>
          <w:p w:rsidR="0005408D" w:rsidRPr="00665298" w:rsidP="000D0D76" w14:paraId="4BF66EE5" w14:textId="77777777">
            <w:pPr>
              <w:suppressAutoHyphens/>
              <w:spacing w:after="0" w:line="240" w:lineRule="auto"/>
              <w:ind w:left="-74" w:right="-75"/>
              <w:jc w:val="center"/>
              <w:rPr>
                <w:rFonts w:ascii="Arial" w:eastAsia="Times New Roman" w:hAnsi="Arial" w:cs="Times New Roman"/>
                <w:b/>
                <w:sz w:val="16"/>
                <w:szCs w:val="16"/>
              </w:rPr>
            </w:pPr>
          </w:p>
        </w:tc>
        <w:tc>
          <w:tcPr>
            <w:tcW w:w="0" w:type="auto"/>
          </w:tcPr>
          <w:p w:rsidR="0005408D" w:rsidRPr="00665298" w:rsidP="000D0D76" w14:paraId="48091D22" w14:textId="77777777">
            <w:pPr>
              <w:spacing w:after="0" w:line="240" w:lineRule="auto"/>
              <w:ind w:left="-149" w:right="-105"/>
              <w:jc w:val="center"/>
              <w:rPr>
                <w:rFonts w:ascii="Arial" w:eastAsia="Calibri" w:hAnsi="Arial" w:cs="Arial"/>
                <w:b/>
                <w:sz w:val="16"/>
                <w:szCs w:val="16"/>
              </w:rPr>
            </w:pPr>
            <w:r w:rsidRPr="00665298">
              <w:rPr>
                <w:rFonts w:ascii="Arial" w:eastAsia="Calibri" w:hAnsi="Arial" w:cs="Arial"/>
                <w:b/>
                <w:sz w:val="16"/>
                <w:szCs w:val="16"/>
              </w:rPr>
              <w:t>7.</w:t>
            </w:r>
          </w:p>
          <w:p w:rsidR="0005408D" w:rsidRPr="00665298" w:rsidP="000D0D76" w14:paraId="20AF884E" w14:textId="77777777">
            <w:pPr>
              <w:spacing w:after="0" w:line="240" w:lineRule="auto"/>
              <w:ind w:left="-149" w:right="-105"/>
              <w:jc w:val="center"/>
              <w:rPr>
                <w:rFonts w:ascii="Arial" w:eastAsia="Calibri" w:hAnsi="Arial" w:cs="Arial"/>
                <w:b/>
                <w:sz w:val="16"/>
                <w:szCs w:val="16"/>
              </w:rPr>
            </w:pPr>
            <w:r w:rsidRPr="00665298">
              <w:rPr>
                <w:rFonts w:ascii="Arial" w:eastAsia="Calibri" w:hAnsi="Arial" w:cs="Arial"/>
                <w:b/>
                <w:sz w:val="16"/>
                <w:szCs w:val="16"/>
              </w:rPr>
              <w:t>Total Average Hour Burden Cost Per Respondent</w:t>
            </w:r>
          </w:p>
          <w:p w:rsidR="0005408D" w:rsidRPr="00665298" w:rsidP="000D0D76" w14:paraId="090CE1D8" w14:textId="77777777">
            <w:pPr>
              <w:spacing w:after="0" w:line="240" w:lineRule="auto"/>
              <w:ind w:left="-149" w:right="-105"/>
              <w:jc w:val="center"/>
              <w:rPr>
                <w:rFonts w:ascii="Arial" w:eastAsia="Calibri" w:hAnsi="Arial" w:cs="Arial"/>
                <w:b/>
                <w:sz w:val="16"/>
                <w:szCs w:val="16"/>
              </w:rPr>
            </w:pPr>
            <w:r w:rsidRPr="00665298">
              <w:rPr>
                <w:rFonts w:ascii="Arial" w:eastAsia="Calibri" w:hAnsi="Arial" w:cs="Arial"/>
                <w:b/>
                <w:sz w:val="16"/>
                <w:szCs w:val="16"/>
              </w:rPr>
              <w:t>(5 x 6)</w:t>
            </w:r>
          </w:p>
        </w:tc>
        <w:tc>
          <w:tcPr>
            <w:tcW w:w="0" w:type="auto"/>
          </w:tcPr>
          <w:p w:rsidR="0005408D" w:rsidRPr="00665298" w:rsidP="000D0D76" w14:paraId="4E40D636" w14:textId="77777777">
            <w:pPr>
              <w:tabs>
                <w:tab w:val="left" w:pos="-720"/>
              </w:tabs>
              <w:suppressAutoHyphens/>
              <w:spacing w:after="0" w:line="240" w:lineRule="auto"/>
              <w:ind w:left="-119" w:right="-120"/>
              <w:jc w:val="center"/>
              <w:rPr>
                <w:rFonts w:ascii="Arial" w:eastAsia="Times New Roman" w:hAnsi="Arial" w:cs="Times New Roman"/>
                <w:b/>
                <w:sz w:val="16"/>
                <w:szCs w:val="16"/>
              </w:rPr>
            </w:pPr>
            <w:r w:rsidRPr="00665298">
              <w:rPr>
                <w:rFonts w:ascii="Arial" w:eastAsia="Times New Roman" w:hAnsi="Arial" w:cs="Times New Roman"/>
                <w:b/>
                <w:sz w:val="16"/>
                <w:szCs w:val="16"/>
              </w:rPr>
              <w:t>8.</w:t>
            </w:r>
          </w:p>
          <w:p w:rsidR="0005408D" w:rsidRPr="00665298" w:rsidP="000D0D76" w14:paraId="2866BF0B" w14:textId="77777777">
            <w:pPr>
              <w:suppressAutoHyphens/>
              <w:spacing w:after="0" w:line="240" w:lineRule="auto"/>
              <w:ind w:left="-119" w:right="-120"/>
              <w:jc w:val="center"/>
              <w:rPr>
                <w:rFonts w:ascii="Arial" w:eastAsia="Times New Roman" w:hAnsi="Arial" w:cs="Times New Roman"/>
                <w:b/>
                <w:sz w:val="16"/>
                <w:szCs w:val="16"/>
              </w:rPr>
            </w:pPr>
            <w:r w:rsidRPr="00665298">
              <w:rPr>
                <w:rFonts w:ascii="Arial" w:eastAsia="Times New Roman" w:hAnsi="Arial" w:cs="Times New Roman"/>
                <w:b/>
                <w:sz w:val="16"/>
                <w:szCs w:val="16"/>
              </w:rPr>
              <w:t>Total Annual</w:t>
            </w:r>
          </w:p>
          <w:p w:rsidR="0005408D" w:rsidRPr="00665298" w:rsidP="000D0D76" w14:paraId="08BBD248" w14:textId="77777777">
            <w:pPr>
              <w:tabs>
                <w:tab w:val="left" w:pos="-720"/>
              </w:tabs>
              <w:suppressAutoHyphens/>
              <w:spacing w:after="0" w:line="240" w:lineRule="auto"/>
              <w:ind w:left="-119" w:right="-120"/>
              <w:jc w:val="center"/>
              <w:rPr>
                <w:rFonts w:ascii="Arial" w:eastAsia="Times New Roman" w:hAnsi="Arial" w:cs="Times New Roman"/>
                <w:b/>
                <w:sz w:val="16"/>
                <w:szCs w:val="16"/>
              </w:rPr>
            </w:pPr>
            <w:r w:rsidRPr="00665298">
              <w:rPr>
                <w:rFonts w:ascii="Arial" w:eastAsia="Times New Roman" w:hAnsi="Arial" w:cs="Times New Roman"/>
                <w:b/>
                <w:sz w:val="16"/>
                <w:szCs w:val="16"/>
              </w:rPr>
              <w:t>Responses</w:t>
            </w:r>
          </w:p>
          <w:p w:rsidR="0005408D" w:rsidRPr="00665298" w:rsidP="000D0D76" w14:paraId="287EB9FF" w14:textId="77777777">
            <w:pPr>
              <w:tabs>
                <w:tab w:val="left" w:pos="-720"/>
              </w:tabs>
              <w:suppressAutoHyphens/>
              <w:spacing w:after="0" w:line="240" w:lineRule="auto"/>
              <w:ind w:left="-119" w:right="-120"/>
              <w:jc w:val="center"/>
              <w:rPr>
                <w:rFonts w:ascii="Arial" w:eastAsia="Times New Roman" w:hAnsi="Arial" w:cs="Times New Roman"/>
                <w:b/>
                <w:sz w:val="16"/>
                <w:szCs w:val="16"/>
              </w:rPr>
            </w:pPr>
            <w:r w:rsidRPr="00665298">
              <w:rPr>
                <w:rFonts w:ascii="Arial" w:eastAsia="Times New Roman" w:hAnsi="Arial" w:cs="Times New Roman"/>
                <w:b/>
                <w:sz w:val="16"/>
                <w:szCs w:val="16"/>
              </w:rPr>
              <w:t>(2 x 3)</w:t>
            </w:r>
          </w:p>
        </w:tc>
        <w:tc>
          <w:tcPr>
            <w:tcW w:w="0" w:type="auto"/>
          </w:tcPr>
          <w:p w:rsidR="0005408D" w:rsidRPr="00665298" w:rsidP="000D0D76" w14:paraId="20B23B10" w14:textId="77777777">
            <w:pPr>
              <w:tabs>
                <w:tab w:val="left" w:pos="-720"/>
              </w:tabs>
              <w:suppressAutoHyphens/>
              <w:spacing w:after="0" w:line="240" w:lineRule="auto"/>
              <w:ind w:left="-89" w:right="-60"/>
              <w:jc w:val="center"/>
              <w:rPr>
                <w:rFonts w:ascii="Arial" w:eastAsia="Times New Roman" w:hAnsi="Arial" w:cs="Times New Roman"/>
                <w:b/>
                <w:sz w:val="16"/>
                <w:szCs w:val="16"/>
              </w:rPr>
            </w:pPr>
            <w:r w:rsidRPr="00665298">
              <w:rPr>
                <w:rFonts w:ascii="Arial" w:eastAsia="Times New Roman" w:hAnsi="Arial" w:cs="Times New Roman"/>
                <w:b/>
                <w:sz w:val="16"/>
                <w:szCs w:val="16"/>
              </w:rPr>
              <w:t>9.</w:t>
            </w:r>
          </w:p>
          <w:p w:rsidR="007409DD" w:rsidP="000D0D76" w14:paraId="1796B993" w14:textId="77777777">
            <w:pPr>
              <w:suppressAutoHyphens/>
              <w:spacing w:after="0" w:line="240" w:lineRule="auto"/>
              <w:ind w:left="-89" w:right="-60"/>
              <w:jc w:val="center"/>
              <w:rPr>
                <w:rFonts w:ascii="Arial" w:eastAsia="Times New Roman" w:hAnsi="Arial" w:cs="Times New Roman"/>
                <w:b/>
                <w:sz w:val="16"/>
                <w:szCs w:val="16"/>
              </w:rPr>
            </w:pPr>
            <w:r w:rsidRPr="00665298">
              <w:rPr>
                <w:rFonts w:ascii="Arial" w:eastAsia="Times New Roman" w:hAnsi="Arial" w:cs="Times New Roman"/>
                <w:b/>
                <w:sz w:val="16"/>
                <w:szCs w:val="16"/>
              </w:rPr>
              <w:t xml:space="preserve">Total Annual Number of </w:t>
            </w:r>
          </w:p>
          <w:p w:rsidR="0005408D" w:rsidRPr="00665298" w:rsidP="000D0D76" w14:paraId="70909CF7" w14:textId="2E3DE569">
            <w:pPr>
              <w:suppressAutoHyphens/>
              <w:spacing w:after="0" w:line="240" w:lineRule="auto"/>
              <w:ind w:left="-89" w:right="-60"/>
              <w:jc w:val="center"/>
              <w:rPr>
                <w:rFonts w:ascii="Arial" w:eastAsia="Times New Roman" w:hAnsi="Arial" w:cs="Times New Roman"/>
                <w:b/>
                <w:sz w:val="16"/>
                <w:szCs w:val="16"/>
              </w:rPr>
            </w:pPr>
            <w:r w:rsidRPr="00665298">
              <w:rPr>
                <w:rFonts w:ascii="Arial" w:eastAsia="Times New Roman" w:hAnsi="Arial" w:cs="Times New Roman"/>
                <w:b/>
                <w:sz w:val="16"/>
                <w:szCs w:val="16"/>
              </w:rPr>
              <w:t>Burden Hours</w:t>
            </w:r>
          </w:p>
          <w:p w:rsidR="0005408D" w:rsidRPr="00665298" w:rsidP="000D0D76" w14:paraId="76E2ACDC" w14:textId="77777777">
            <w:pPr>
              <w:tabs>
                <w:tab w:val="left" w:pos="-720"/>
              </w:tabs>
              <w:suppressAutoHyphens/>
              <w:spacing w:after="0" w:line="240" w:lineRule="auto"/>
              <w:ind w:left="-89" w:right="-60"/>
              <w:jc w:val="center"/>
              <w:rPr>
                <w:rFonts w:ascii="Arial" w:eastAsia="Times New Roman" w:hAnsi="Arial" w:cs="Times New Roman"/>
                <w:b/>
                <w:sz w:val="16"/>
                <w:szCs w:val="16"/>
              </w:rPr>
            </w:pPr>
            <w:r w:rsidRPr="00665298">
              <w:rPr>
                <w:rFonts w:ascii="Arial" w:eastAsia="Times New Roman" w:hAnsi="Arial" w:cs="Times New Roman"/>
                <w:b/>
                <w:sz w:val="16"/>
                <w:szCs w:val="16"/>
              </w:rPr>
              <w:t>(2 x 5)</w:t>
            </w:r>
          </w:p>
        </w:tc>
        <w:tc>
          <w:tcPr>
            <w:tcW w:w="0" w:type="auto"/>
          </w:tcPr>
          <w:p w:rsidR="0005408D" w:rsidRPr="00665298" w:rsidP="000D0D76" w14:paraId="710E5AF2" w14:textId="77777777">
            <w:pPr>
              <w:tabs>
                <w:tab w:val="left" w:pos="-720"/>
              </w:tabs>
              <w:suppressAutoHyphens/>
              <w:spacing w:after="0" w:line="240" w:lineRule="auto"/>
              <w:ind w:left="-74"/>
              <w:jc w:val="center"/>
              <w:rPr>
                <w:rFonts w:ascii="Arial" w:eastAsia="Times New Roman" w:hAnsi="Arial" w:cs="Times New Roman"/>
                <w:b/>
                <w:sz w:val="16"/>
                <w:szCs w:val="16"/>
              </w:rPr>
            </w:pPr>
            <w:r w:rsidRPr="00665298">
              <w:rPr>
                <w:rFonts w:ascii="Arial" w:eastAsia="Times New Roman" w:hAnsi="Arial" w:cs="Times New Roman"/>
                <w:b/>
                <w:sz w:val="16"/>
                <w:szCs w:val="16"/>
              </w:rPr>
              <w:t>10.</w:t>
            </w:r>
          </w:p>
          <w:p w:rsidR="0005408D" w:rsidRPr="00665298" w:rsidP="000D0D76" w14:paraId="4EC3ECD3" w14:textId="77777777">
            <w:pPr>
              <w:suppressAutoHyphens/>
              <w:spacing w:after="0" w:line="240" w:lineRule="auto"/>
              <w:ind w:left="-74"/>
              <w:jc w:val="center"/>
              <w:rPr>
                <w:rFonts w:ascii="Arial" w:eastAsia="Times New Roman" w:hAnsi="Arial" w:cs="Times New Roman"/>
                <w:b/>
                <w:sz w:val="16"/>
                <w:szCs w:val="16"/>
              </w:rPr>
            </w:pPr>
            <w:r w:rsidRPr="00665298">
              <w:rPr>
                <w:rFonts w:ascii="Arial" w:eastAsia="Times New Roman" w:hAnsi="Arial" w:cs="Times New Roman"/>
                <w:b/>
                <w:sz w:val="16"/>
                <w:szCs w:val="16"/>
              </w:rPr>
              <w:t>Total Annual Burden Hour Cost of All Responses</w:t>
            </w:r>
          </w:p>
          <w:p w:rsidR="0005408D" w:rsidRPr="00665298" w:rsidP="000D0D76" w14:paraId="4D613EAE" w14:textId="77777777">
            <w:pPr>
              <w:tabs>
                <w:tab w:val="left" w:pos="-720"/>
              </w:tabs>
              <w:suppressAutoHyphens/>
              <w:spacing w:after="0" w:line="240" w:lineRule="auto"/>
              <w:ind w:left="-74"/>
              <w:jc w:val="center"/>
              <w:rPr>
                <w:rFonts w:ascii="Arial" w:eastAsia="Times New Roman" w:hAnsi="Arial" w:cs="Times New Roman"/>
                <w:b/>
                <w:sz w:val="16"/>
                <w:szCs w:val="16"/>
              </w:rPr>
            </w:pPr>
            <w:r w:rsidRPr="00665298">
              <w:rPr>
                <w:rFonts w:ascii="Arial" w:eastAsia="Times New Roman" w:hAnsi="Arial" w:cs="Times New Roman"/>
                <w:b/>
                <w:sz w:val="16"/>
                <w:szCs w:val="16"/>
              </w:rPr>
              <w:t>(2 x 7)</w:t>
            </w:r>
          </w:p>
        </w:tc>
      </w:tr>
      <w:tr w14:paraId="5F9E6624" w14:textId="77777777" w:rsidTr="00C7589B">
        <w:tblPrEx>
          <w:tblW w:w="0" w:type="auto"/>
          <w:tblInd w:w="-365" w:type="dxa"/>
          <w:tblLook w:val="04A0"/>
        </w:tblPrEx>
        <w:trPr>
          <w:trHeight w:val="692"/>
        </w:trPr>
        <w:tc>
          <w:tcPr>
            <w:tcW w:w="0" w:type="auto"/>
          </w:tcPr>
          <w:p w:rsidR="00310878" w:rsidRPr="00665298" w:rsidP="00310878" w14:paraId="10520AF0" w14:textId="1627953D">
            <w:pPr>
              <w:tabs>
                <w:tab w:val="left" w:pos="-720"/>
              </w:tabs>
              <w:suppressAutoHyphens/>
              <w:spacing w:after="0" w:line="240" w:lineRule="auto"/>
              <w:ind w:left="-45" w:right="-105"/>
              <w:jc w:val="center"/>
              <w:rPr>
                <w:rFonts w:ascii="Arial" w:eastAsia="Times New Roman" w:hAnsi="Arial" w:cs="Times New Roman"/>
                <w:sz w:val="16"/>
                <w:szCs w:val="16"/>
              </w:rPr>
            </w:pPr>
            <w:r w:rsidRPr="00665298">
              <w:rPr>
                <w:rFonts w:ascii="Arial" w:eastAsia="Times New Roman" w:hAnsi="Arial" w:cs="Times New Roman"/>
                <w:sz w:val="16"/>
                <w:szCs w:val="16"/>
              </w:rPr>
              <w:t>4</w:t>
            </w:r>
            <w:r>
              <w:rPr>
                <w:rFonts w:ascii="Arial" w:eastAsia="Times New Roman" w:hAnsi="Arial" w:cs="Times New Roman"/>
                <w:sz w:val="16"/>
                <w:szCs w:val="16"/>
              </w:rPr>
              <w:t>3.3</w:t>
            </w:r>
          </w:p>
        </w:tc>
        <w:tc>
          <w:tcPr>
            <w:tcW w:w="0" w:type="auto"/>
          </w:tcPr>
          <w:p w:rsidR="00310878" w:rsidRPr="00665298" w:rsidP="00310878" w14:paraId="367A4DA3" w14:textId="77777777">
            <w:pPr>
              <w:suppressAutoHyphens/>
              <w:spacing w:after="0" w:line="240" w:lineRule="auto"/>
              <w:ind w:left="-104" w:right="-135"/>
              <w:jc w:val="center"/>
              <w:rPr>
                <w:rFonts w:ascii="Arial" w:eastAsia="Times New Roman" w:hAnsi="Arial" w:cs="Times New Roman"/>
                <w:sz w:val="16"/>
                <w:szCs w:val="16"/>
              </w:rPr>
            </w:pPr>
            <w:r>
              <w:rPr>
                <w:rFonts w:ascii="Arial" w:eastAsia="Times New Roman" w:hAnsi="Arial" w:cs="Times New Roman"/>
                <w:sz w:val="16"/>
                <w:szCs w:val="16"/>
              </w:rPr>
              <w:t>1,742</w:t>
            </w:r>
            <w:r w:rsidRPr="00665298">
              <w:rPr>
                <w:rFonts w:ascii="Arial" w:eastAsia="Times New Roman" w:hAnsi="Arial" w:cs="Times New Roman"/>
                <w:sz w:val="16"/>
                <w:szCs w:val="16"/>
              </w:rPr>
              <w:t xml:space="preserve"> SEF/DCM/ Reporting counterparty</w:t>
            </w:r>
          </w:p>
        </w:tc>
        <w:tc>
          <w:tcPr>
            <w:tcW w:w="0" w:type="auto"/>
          </w:tcPr>
          <w:p w:rsidR="00310878" w:rsidRPr="00665298" w:rsidP="00310878" w14:paraId="0D0145C0" w14:textId="2FE8FA64">
            <w:pPr>
              <w:suppressAutoHyphens/>
              <w:spacing w:after="0" w:line="240" w:lineRule="auto"/>
              <w:ind w:left="-74" w:right="-75"/>
              <w:jc w:val="center"/>
              <w:rPr>
                <w:rFonts w:ascii="Arial" w:eastAsia="Times New Roman" w:hAnsi="Arial" w:cs="Times New Roman"/>
                <w:sz w:val="16"/>
                <w:szCs w:val="16"/>
              </w:rPr>
            </w:pPr>
            <w:r>
              <w:rPr>
                <w:rFonts w:ascii="Arial" w:eastAsia="Times New Roman" w:hAnsi="Arial" w:cs="Times New Roman"/>
                <w:sz w:val="16"/>
                <w:szCs w:val="16"/>
              </w:rPr>
              <w:t>2,998</w:t>
            </w:r>
          </w:p>
        </w:tc>
        <w:tc>
          <w:tcPr>
            <w:tcW w:w="0" w:type="auto"/>
          </w:tcPr>
          <w:p w:rsidR="00310878" w:rsidRPr="00665298" w:rsidP="00310878" w14:paraId="04DDA0EF" w14:textId="4FE97E20">
            <w:pPr>
              <w:suppressAutoHyphens/>
              <w:spacing w:after="0" w:line="240" w:lineRule="auto"/>
              <w:ind w:left="-134" w:right="-105"/>
              <w:jc w:val="center"/>
              <w:rPr>
                <w:rFonts w:ascii="Arial" w:eastAsia="Times New Roman" w:hAnsi="Arial" w:cs="Times New Roman"/>
                <w:sz w:val="16"/>
                <w:szCs w:val="16"/>
              </w:rPr>
            </w:pPr>
            <w:r>
              <w:rPr>
                <w:rFonts w:ascii="Arial" w:eastAsia="Times New Roman" w:hAnsi="Arial" w:cs="Times New Roman"/>
                <w:sz w:val="16"/>
                <w:szCs w:val="16"/>
              </w:rPr>
              <w:t>.14</w:t>
            </w:r>
          </w:p>
        </w:tc>
        <w:tc>
          <w:tcPr>
            <w:tcW w:w="0" w:type="auto"/>
          </w:tcPr>
          <w:p w:rsidR="00310878" w:rsidRPr="00665298" w:rsidP="00310878" w14:paraId="45739D8E" w14:textId="326BF43F">
            <w:pPr>
              <w:suppressAutoHyphens/>
              <w:spacing w:after="0" w:line="240" w:lineRule="auto"/>
              <w:ind w:left="-104" w:right="-135"/>
              <w:jc w:val="center"/>
              <w:rPr>
                <w:rFonts w:ascii="Arial" w:eastAsia="Times New Roman" w:hAnsi="Arial" w:cs="Times New Roman"/>
                <w:sz w:val="16"/>
                <w:szCs w:val="16"/>
              </w:rPr>
            </w:pPr>
            <w:r>
              <w:rPr>
                <w:rFonts w:ascii="Arial" w:eastAsia="Times New Roman" w:hAnsi="Arial" w:cs="Times New Roman"/>
                <w:sz w:val="16"/>
                <w:szCs w:val="16"/>
              </w:rPr>
              <w:t>4</w:t>
            </w:r>
            <w:r w:rsidR="006B15B8">
              <w:rPr>
                <w:rFonts w:ascii="Arial" w:eastAsia="Times New Roman" w:hAnsi="Arial" w:cs="Times New Roman"/>
                <w:sz w:val="16"/>
                <w:szCs w:val="16"/>
              </w:rPr>
              <w:t>20</w:t>
            </w:r>
          </w:p>
        </w:tc>
        <w:tc>
          <w:tcPr>
            <w:tcW w:w="0" w:type="auto"/>
          </w:tcPr>
          <w:p w:rsidR="00310878" w:rsidRPr="00665298" w:rsidP="00310878" w14:paraId="7F703B48" w14:textId="1D3F501F">
            <w:pPr>
              <w:suppressAutoHyphens/>
              <w:spacing w:after="0" w:line="240" w:lineRule="auto"/>
              <w:ind w:left="-74" w:right="-75"/>
              <w:jc w:val="center"/>
              <w:rPr>
                <w:rFonts w:ascii="Arial" w:eastAsia="Times New Roman" w:hAnsi="Arial" w:cs="Times New Roman"/>
                <w:sz w:val="16"/>
                <w:szCs w:val="16"/>
              </w:rPr>
            </w:pPr>
            <w:r w:rsidRPr="00665298">
              <w:rPr>
                <w:rFonts w:ascii="Arial" w:eastAsia="Times New Roman" w:hAnsi="Arial" w:cs="Times New Roman"/>
                <w:sz w:val="16"/>
                <w:szCs w:val="16"/>
              </w:rPr>
              <w:t>$</w:t>
            </w:r>
            <w:r>
              <w:rPr>
                <w:rFonts w:ascii="Arial" w:eastAsia="Times New Roman" w:hAnsi="Arial" w:cs="Times New Roman"/>
                <w:sz w:val="16"/>
                <w:szCs w:val="16"/>
              </w:rPr>
              <w:t>102.62</w:t>
            </w:r>
          </w:p>
        </w:tc>
        <w:tc>
          <w:tcPr>
            <w:tcW w:w="0" w:type="auto"/>
          </w:tcPr>
          <w:p w:rsidR="00310878" w:rsidRPr="00310878" w:rsidP="00310878" w14:paraId="0F9F2C2D" w14:textId="17E3DD9F">
            <w:pPr>
              <w:suppressAutoHyphens/>
              <w:spacing w:after="0" w:line="240" w:lineRule="auto"/>
              <w:ind w:left="-74" w:right="-75"/>
              <w:jc w:val="center"/>
              <w:rPr>
                <w:rFonts w:ascii="Arial" w:eastAsia="Times New Roman" w:hAnsi="Arial" w:cs="Times New Roman"/>
                <w:sz w:val="16"/>
                <w:szCs w:val="16"/>
              </w:rPr>
            </w:pPr>
            <w:r w:rsidRPr="00310878">
              <w:rPr>
                <w:rFonts w:ascii="Arial" w:eastAsia="Times New Roman" w:hAnsi="Arial" w:cs="Times New Roman"/>
                <w:sz w:val="16"/>
                <w:szCs w:val="16"/>
              </w:rPr>
              <w:t>$43,0</w:t>
            </w:r>
            <w:r>
              <w:rPr>
                <w:rFonts w:ascii="Arial" w:eastAsia="Times New Roman" w:hAnsi="Arial" w:cs="Times New Roman"/>
                <w:sz w:val="16"/>
                <w:szCs w:val="16"/>
              </w:rPr>
              <w:t>70</w:t>
            </w:r>
            <w:r w:rsidRPr="00310878">
              <w:rPr>
                <w:rFonts w:ascii="Arial" w:eastAsia="Times New Roman" w:hAnsi="Arial" w:cs="Times New Roman"/>
                <w:sz w:val="16"/>
                <w:szCs w:val="16"/>
              </w:rPr>
              <w:t>.</w:t>
            </w:r>
          </w:p>
        </w:tc>
        <w:tc>
          <w:tcPr>
            <w:tcW w:w="0" w:type="auto"/>
          </w:tcPr>
          <w:p w:rsidR="00310878" w:rsidRPr="00665298" w:rsidP="00310878" w14:paraId="686E66EE" w14:textId="50260B97">
            <w:pPr>
              <w:suppressAutoHyphens/>
              <w:spacing w:after="0" w:line="240" w:lineRule="auto"/>
              <w:ind w:left="-104" w:right="-135"/>
              <w:jc w:val="center"/>
              <w:rPr>
                <w:rFonts w:ascii="Arial" w:eastAsia="Times New Roman" w:hAnsi="Arial" w:cs="Times New Roman"/>
                <w:sz w:val="16"/>
                <w:szCs w:val="16"/>
              </w:rPr>
            </w:pPr>
            <w:r w:rsidRPr="00310878">
              <w:rPr>
                <w:rFonts w:ascii="Arial" w:eastAsia="Times New Roman" w:hAnsi="Arial" w:cs="Times New Roman"/>
                <w:sz w:val="16"/>
                <w:szCs w:val="16"/>
              </w:rPr>
              <w:t>5,</w:t>
            </w:r>
            <w:r w:rsidR="009E198F">
              <w:rPr>
                <w:rFonts w:ascii="Arial" w:eastAsia="Times New Roman" w:hAnsi="Arial" w:cs="Times New Roman"/>
                <w:sz w:val="16"/>
                <w:szCs w:val="16"/>
              </w:rPr>
              <w:t>222,516</w:t>
            </w:r>
            <w:r w:rsidRPr="00310878">
              <w:rPr>
                <w:rFonts w:ascii="Arial" w:eastAsia="Times New Roman" w:hAnsi="Arial" w:cs="Times New Roman"/>
                <w:sz w:val="16"/>
                <w:szCs w:val="16"/>
              </w:rPr>
              <w:t xml:space="preserve"> </w:t>
            </w:r>
          </w:p>
        </w:tc>
        <w:tc>
          <w:tcPr>
            <w:tcW w:w="0" w:type="auto"/>
          </w:tcPr>
          <w:p w:rsidR="00AE685B" w:rsidP="00310878" w14:paraId="6E39E105" w14:textId="56B6E5F6">
            <w:pPr>
              <w:suppressAutoHyphens/>
              <w:spacing w:after="0" w:line="240" w:lineRule="auto"/>
              <w:ind w:left="-104" w:right="-135"/>
              <w:jc w:val="center"/>
              <w:rPr>
                <w:rFonts w:ascii="Arial" w:eastAsia="Times New Roman" w:hAnsi="Arial" w:cs="Times New Roman"/>
                <w:sz w:val="16"/>
                <w:szCs w:val="16"/>
              </w:rPr>
            </w:pPr>
            <w:r>
              <w:rPr>
                <w:rFonts w:ascii="Arial" w:eastAsia="Times New Roman" w:hAnsi="Arial" w:cs="Times New Roman"/>
                <w:sz w:val="16"/>
                <w:szCs w:val="16"/>
              </w:rPr>
              <w:t>731,640</w:t>
            </w:r>
          </w:p>
          <w:p w:rsidR="00310878" w:rsidRPr="00665298" w:rsidP="00310878" w14:paraId="6E6F9538" w14:textId="759F0416">
            <w:pPr>
              <w:suppressAutoHyphens/>
              <w:spacing w:after="0" w:line="240" w:lineRule="auto"/>
              <w:ind w:left="-104" w:right="-135"/>
              <w:jc w:val="center"/>
              <w:rPr>
                <w:rFonts w:ascii="Arial" w:eastAsia="Times New Roman" w:hAnsi="Arial" w:cs="Times New Roman"/>
                <w:sz w:val="16"/>
                <w:szCs w:val="16"/>
              </w:rPr>
            </w:pPr>
            <w:r>
              <w:rPr>
                <w:rFonts w:ascii="Arial" w:eastAsia="Times New Roman" w:hAnsi="Arial" w:cs="Times New Roman"/>
                <w:sz w:val="16"/>
                <w:szCs w:val="16"/>
              </w:rPr>
              <w:t xml:space="preserve"> </w:t>
            </w:r>
            <w:r w:rsidRPr="00310878">
              <w:rPr>
                <w:rFonts w:ascii="Arial" w:eastAsia="Times New Roman" w:hAnsi="Arial" w:cs="Times New Roman"/>
                <w:sz w:val="16"/>
                <w:szCs w:val="16"/>
              </w:rPr>
              <w:t xml:space="preserve"> </w:t>
            </w:r>
          </w:p>
        </w:tc>
        <w:tc>
          <w:tcPr>
            <w:tcW w:w="0" w:type="auto"/>
          </w:tcPr>
          <w:p w:rsidR="00AE685B" w:rsidP="00310878" w14:paraId="77A2A934" w14:textId="1741867D">
            <w:pPr>
              <w:suppressAutoHyphens/>
              <w:spacing w:after="0" w:line="240" w:lineRule="auto"/>
              <w:ind w:left="-74" w:right="-75"/>
              <w:jc w:val="center"/>
              <w:rPr>
                <w:rFonts w:ascii="Arial" w:eastAsia="Times New Roman" w:hAnsi="Arial" w:cs="Times New Roman"/>
                <w:sz w:val="16"/>
                <w:szCs w:val="16"/>
              </w:rPr>
            </w:pPr>
            <w:r w:rsidRPr="00310878">
              <w:rPr>
                <w:rFonts w:ascii="Arial" w:eastAsia="Times New Roman" w:hAnsi="Arial" w:cs="Times New Roman"/>
                <w:sz w:val="16"/>
                <w:szCs w:val="16"/>
              </w:rPr>
              <w:t>$</w:t>
            </w:r>
            <w:r>
              <w:rPr>
                <w:rFonts w:ascii="Arial" w:eastAsia="Times New Roman" w:hAnsi="Arial" w:cs="Times New Roman"/>
                <w:sz w:val="16"/>
                <w:szCs w:val="16"/>
              </w:rPr>
              <w:t xml:space="preserve">75,027,940 </w:t>
            </w:r>
          </w:p>
          <w:p w:rsidR="00310878" w:rsidRPr="00665298" w:rsidP="00310878" w14:paraId="49BC809A" w14:textId="7E687E33">
            <w:pPr>
              <w:suppressAutoHyphens/>
              <w:spacing w:after="0" w:line="240" w:lineRule="auto"/>
              <w:ind w:left="-74" w:right="-75"/>
              <w:jc w:val="center"/>
              <w:rPr>
                <w:rFonts w:ascii="Arial" w:eastAsia="Times New Roman" w:hAnsi="Arial" w:cs="Times New Roman"/>
                <w:sz w:val="16"/>
                <w:szCs w:val="16"/>
              </w:rPr>
            </w:pPr>
            <w:r w:rsidRPr="00310878">
              <w:rPr>
                <w:rFonts w:ascii="Arial" w:eastAsia="Times New Roman" w:hAnsi="Arial" w:cs="Times New Roman"/>
                <w:sz w:val="16"/>
                <w:szCs w:val="16"/>
              </w:rPr>
              <w:t xml:space="preserve"> </w:t>
            </w:r>
          </w:p>
        </w:tc>
      </w:tr>
      <w:tr w14:paraId="60DCA236" w14:textId="77777777" w:rsidTr="00776DD0">
        <w:tblPrEx>
          <w:tblW w:w="0" w:type="auto"/>
          <w:tblInd w:w="-365" w:type="dxa"/>
          <w:tblLook w:val="04A0"/>
        </w:tblPrEx>
        <w:trPr>
          <w:trHeight w:val="728"/>
        </w:trPr>
        <w:tc>
          <w:tcPr>
            <w:tcW w:w="0" w:type="auto"/>
            <w:tcBorders>
              <w:top w:val="single" w:sz="4" w:space="0" w:color="000000"/>
              <w:left w:val="single" w:sz="4" w:space="0" w:color="000000"/>
              <w:bottom w:val="single" w:sz="4" w:space="0" w:color="000000"/>
              <w:right w:val="single" w:sz="4" w:space="0" w:color="000000"/>
            </w:tcBorders>
          </w:tcPr>
          <w:p w:rsidR="00301F11" w:rsidP="00310878" w14:paraId="12379D04" w14:textId="78389B6E">
            <w:pPr>
              <w:tabs>
                <w:tab w:val="left" w:pos="-720"/>
              </w:tabs>
              <w:suppressAutoHyphens/>
              <w:spacing w:after="0" w:line="240" w:lineRule="auto"/>
              <w:ind w:left="-45" w:right="-105"/>
              <w:jc w:val="center"/>
              <w:rPr>
                <w:rFonts w:ascii="Arial" w:eastAsia="Times New Roman" w:hAnsi="Arial" w:cs="Times New Roman"/>
                <w:sz w:val="16"/>
                <w:szCs w:val="16"/>
              </w:rPr>
            </w:pPr>
            <w:r>
              <w:rPr>
                <w:rFonts w:ascii="Arial" w:eastAsia="Times New Roman" w:hAnsi="Arial" w:cs="Times New Roman"/>
                <w:sz w:val="16"/>
                <w:szCs w:val="16"/>
              </w:rPr>
              <w:t>43.3(e)</w:t>
            </w:r>
          </w:p>
        </w:tc>
        <w:tc>
          <w:tcPr>
            <w:tcW w:w="0" w:type="auto"/>
            <w:tcBorders>
              <w:top w:val="single" w:sz="4" w:space="0" w:color="000000"/>
              <w:left w:val="single" w:sz="4" w:space="0" w:color="000000"/>
              <w:bottom w:val="single" w:sz="4" w:space="0" w:color="000000"/>
              <w:right w:val="single" w:sz="4" w:space="0" w:color="000000"/>
            </w:tcBorders>
          </w:tcPr>
          <w:p w:rsidR="00301F11" w:rsidP="00310878" w14:paraId="7A8F68F5" w14:textId="690F63F3">
            <w:pPr>
              <w:suppressAutoHyphens/>
              <w:spacing w:after="0" w:line="240" w:lineRule="auto"/>
              <w:ind w:left="-104" w:right="-135"/>
              <w:jc w:val="center"/>
              <w:rPr>
                <w:rFonts w:ascii="Arial" w:eastAsia="Times New Roman" w:hAnsi="Arial" w:cs="Times New Roman"/>
                <w:sz w:val="16"/>
                <w:szCs w:val="16"/>
              </w:rPr>
            </w:pPr>
            <w:r>
              <w:rPr>
                <w:rFonts w:ascii="Arial" w:eastAsia="Times New Roman" w:hAnsi="Arial" w:cs="Times New Roman"/>
                <w:sz w:val="16"/>
                <w:szCs w:val="16"/>
              </w:rPr>
              <w:t xml:space="preserve">86 </w:t>
            </w:r>
            <w:r w:rsidRPr="00665298">
              <w:rPr>
                <w:rFonts w:ascii="Arial" w:eastAsia="Times New Roman" w:hAnsi="Arial" w:cs="Times New Roman"/>
                <w:sz w:val="16"/>
                <w:szCs w:val="16"/>
              </w:rPr>
              <w:t>SEF/DCM/ Reporting counterparty</w:t>
            </w:r>
            <w:r>
              <w:rPr>
                <w:rStyle w:val="FootnoteReference"/>
                <w:rFonts w:ascii="Arial" w:eastAsia="Times New Roman" w:hAnsi="Arial" w:cs="Times New Roman"/>
                <w:sz w:val="16"/>
                <w:szCs w:val="16"/>
              </w:rPr>
              <w:footnoteReference w:id="20"/>
            </w:r>
          </w:p>
        </w:tc>
        <w:tc>
          <w:tcPr>
            <w:tcW w:w="0" w:type="auto"/>
            <w:tcBorders>
              <w:top w:val="single" w:sz="4" w:space="0" w:color="000000"/>
              <w:left w:val="single" w:sz="4" w:space="0" w:color="000000"/>
              <w:bottom w:val="single" w:sz="4" w:space="0" w:color="000000"/>
              <w:right w:val="single" w:sz="4" w:space="0" w:color="000000"/>
            </w:tcBorders>
          </w:tcPr>
          <w:p w:rsidR="00301F11" w:rsidP="00310878" w14:paraId="6ABA7C48" w14:textId="41078792">
            <w:pPr>
              <w:suppressAutoHyphens/>
              <w:spacing w:after="0" w:line="240" w:lineRule="auto"/>
              <w:ind w:left="-74" w:right="-75"/>
              <w:jc w:val="center"/>
              <w:rPr>
                <w:rFonts w:ascii="Arial" w:eastAsia="Times New Roman" w:hAnsi="Arial" w:cs="Times New Roman"/>
                <w:sz w:val="16"/>
                <w:szCs w:val="16"/>
              </w:rPr>
            </w:pPr>
            <w:r>
              <w:rPr>
                <w:rFonts w:ascii="Arial" w:eastAsia="Times New Roman" w:hAnsi="Arial" w:cs="Times New Roman"/>
                <w:sz w:val="16"/>
                <w:szCs w:val="16"/>
              </w:rPr>
              <w:t>2</w:t>
            </w:r>
            <w:r w:rsidR="00CB5464">
              <w:rPr>
                <w:rFonts w:ascii="Arial" w:eastAsia="Times New Roman" w:hAnsi="Arial" w:cs="Times New Roman"/>
                <w:sz w:val="16"/>
                <w:szCs w:val="16"/>
              </w:rPr>
              <w:t>3</w:t>
            </w:r>
          </w:p>
        </w:tc>
        <w:tc>
          <w:tcPr>
            <w:tcW w:w="0" w:type="auto"/>
            <w:tcBorders>
              <w:top w:val="single" w:sz="4" w:space="0" w:color="000000"/>
              <w:left w:val="single" w:sz="4" w:space="0" w:color="000000"/>
              <w:bottom w:val="single" w:sz="4" w:space="0" w:color="000000"/>
              <w:right w:val="single" w:sz="4" w:space="0" w:color="000000"/>
            </w:tcBorders>
          </w:tcPr>
          <w:p w:rsidR="00301F11" w:rsidP="00310878" w14:paraId="0F3ECAF9" w14:textId="6498AE2B">
            <w:pPr>
              <w:suppressAutoHyphens/>
              <w:spacing w:after="0" w:line="240" w:lineRule="auto"/>
              <w:ind w:left="-134" w:right="-105"/>
              <w:jc w:val="center"/>
              <w:rPr>
                <w:rFonts w:ascii="Arial" w:eastAsia="Times New Roman" w:hAnsi="Arial" w:cs="Times New Roman"/>
                <w:sz w:val="16"/>
                <w:szCs w:val="16"/>
              </w:rPr>
            </w:pPr>
            <w:r>
              <w:rPr>
                <w:rFonts w:ascii="Arial" w:eastAsia="Times New Roman" w:hAnsi="Arial" w:cs="Times New Roman"/>
                <w:sz w:val="16"/>
                <w:szCs w:val="16"/>
              </w:rPr>
              <w:t>6</w:t>
            </w:r>
          </w:p>
        </w:tc>
        <w:tc>
          <w:tcPr>
            <w:tcW w:w="0" w:type="auto"/>
            <w:tcBorders>
              <w:top w:val="single" w:sz="4" w:space="0" w:color="000000"/>
              <w:left w:val="single" w:sz="4" w:space="0" w:color="000000"/>
              <w:bottom w:val="single" w:sz="4" w:space="0" w:color="000000"/>
              <w:right w:val="single" w:sz="4" w:space="0" w:color="000000"/>
            </w:tcBorders>
          </w:tcPr>
          <w:p w:rsidR="00301F11" w:rsidP="00310878" w14:paraId="76FD6CC0" w14:textId="5999051E">
            <w:pPr>
              <w:suppressAutoHyphens/>
              <w:spacing w:after="0" w:line="240" w:lineRule="auto"/>
              <w:ind w:left="-104" w:right="-135"/>
              <w:jc w:val="center"/>
              <w:rPr>
                <w:rFonts w:ascii="Arial" w:eastAsia="Times New Roman" w:hAnsi="Arial" w:cs="Times New Roman"/>
                <w:sz w:val="16"/>
                <w:szCs w:val="16"/>
              </w:rPr>
            </w:pPr>
            <w:r>
              <w:rPr>
                <w:rFonts w:ascii="Arial" w:eastAsia="Times New Roman" w:hAnsi="Arial" w:cs="Times New Roman"/>
                <w:sz w:val="16"/>
                <w:szCs w:val="16"/>
              </w:rPr>
              <w:t>138</w:t>
            </w:r>
          </w:p>
        </w:tc>
        <w:tc>
          <w:tcPr>
            <w:tcW w:w="0" w:type="auto"/>
            <w:tcBorders>
              <w:top w:val="single" w:sz="4" w:space="0" w:color="000000"/>
              <w:left w:val="single" w:sz="4" w:space="0" w:color="000000"/>
              <w:bottom w:val="single" w:sz="4" w:space="0" w:color="000000"/>
              <w:right w:val="single" w:sz="4" w:space="0" w:color="000000"/>
            </w:tcBorders>
          </w:tcPr>
          <w:p w:rsidR="00301F11" w:rsidP="00310878" w14:paraId="7341E7B9" w14:textId="70CC8BAE">
            <w:pPr>
              <w:suppressAutoHyphens/>
              <w:spacing w:after="0" w:line="240" w:lineRule="auto"/>
              <w:ind w:left="-74" w:right="-75"/>
              <w:jc w:val="center"/>
              <w:rPr>
                <w:rFonts w:ascii="Arial" w:eastAsia="Times New Roman" w:hAnsi="Arial" w:cs="Times New Roman"/>
                <w:sz w:val="16"/>
                <w:szCs w:val="16"/>
              </w:rPr>
            </w:pPr>
            <w:r>
              <w:rPr>
                <w:rFonts w:ascii="Arial" w:eastAsia="Times New Roman" w:hAnsi="Arial" w:cs="Times New Roman"/>
                <w:sz w:val="16"/>
                <w:szCs w:val="16"/>
              </w:rPr>
              <w:t>$</w:t>
            </w:r>
            <w:r w:rsidR="000F5677">
              <w:rPr>
                <w:rFonts w:ascii="Arial" w:eastAsia="Times New Roman" w:hAnsi="Arial" w:cs="Times New Roman"/>
                <w:sz w:val="16"/>
                <w:szCs w:val="16"/>
              </w:rPr>
              <w:t>102.62</w:t>
            </w:r>
          </w:p>
        </w:tc>
        <w:tc>
          <w:tcPr>
            <w:tcW w:w="0" w:type="auto"/>
            <w:tcBorders>
              <w:top w:val="single" w:sz="4" w:space="0" w:color="000000"/>
              <w:left w:val="single" w:sz="4" w:space="0" w:color="000000"/>
              <w:bottom w:val="single" w:sz="4" w:space="0" w:color="000000"/>
              <w:right w:val="single" w:sz="4" w:space="0" w:color="000000"/>
            </w:tcBorders>
          </w:tcPr>
          <w:p w:rsidR="003E5B7D" w:rsidP="00310878" w14:paraId="3B15E7BC" w14:textId="77777777">
            <w:pPr>
              <w:suppressAutoHyphens/>
              <w:spacing w:after="0" w:line="240" w:lineRule="auto"/>
              <w:ind w:left="-74" w:right="-75"/>
              <w:jc w:val="center"/>
              <w:rPr>
                <w:rFonts w:ascii="Arial" w:eastAsia="Times New Roman" w:hAnsi="Arial" w:cs="Times New Roman"/>
                <w:sz w:val="16"/>
                <w:szCs w:val="16"/>
              </w:rPr>
            </w:pPr>
            <w:r>
              <w:rPr>
                <w:rFonts w:ascii="Arial" w:eastAsia="Times New Roman" w:hAnsi="Arial" w:cs="Times New Roman"/>
                <w:sz w:val="16"/>
                <w:szCs w:val="16"/>
              </w:rPr>
              <w:t>$</w:t>
            </w:r>
            <w:r w:rsidR="00842DD9">
              <w:rPr>
                <w:rFonts w:ascii="Arial" w:eastAsia="Times New Roman" w:hAnsi="Arial" w:cs="Times New Roman"/>
                <w:sz w:val="16"/>
                <w:szCs w:val="16"/>
              </w:rPr>
              <w:t>14,162</w:t>
            </w:r>
          </w:p>
          <w:p w:rsidR="00301F11" w:rsidRPr="00310878" w:rsidP="00310878" w14:paraId="4263ACA7" w14:textId="6CE5A914">
            <w:pPr>
              <w:suppressAutoHyphens/>
              <w:spacing w:after="0" w:line="240" w:lineRule="auto"/>
              <w:ind w:left="-74" w:right="-75"/>
              <w:jc w:val="center"/>
              <w:rPr>
                <w:rFonts w:ascii="Arial" w:eastAsia="Times New Roman" w:hAnsi="Arial" w:cs="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D151AE" w:rsidP="00310878" w14:paraId="507B345B" w14:textId="77777777">
            <w:pPr>
              <w:suppressAutoHyphens/>
              <w:spacing w:after="0" w:line="240" w:lineRule="auto"/>
              <w:ind w:left="-104" w:right="-135"/>
              <w:jc w:val="center"/>
              <w:rPr>
                <w:rFonts w:ascii="Arial" w:eastAsia="Times New Roman" w:hAnsi="Arial" w:cs="Times New Roman"/>
                <w:sz w:val="16"/>
                <w:szCs w:val="16"/>
              </w:rPr>
            </w:pPr>
            <w:r>
              <w:rPr>
                <w:rFonts w:ascii="Arial" w:eastAsia="Times New Roman" w:hAnsi="Arial" w:cs="Times New Roman"/>
                <w:sz w:val="16"/>
                <w:szCs w:val="16"/>
              </w:rPr>
              <w:t>1,97</w:t>
            </w:r>
            <w:r>
              <w:rPr>
                <w:rFonts w:ascii="Arial" w:eastAsia="Times New Roman" w:hAnsi="Arial" w:cs="Times New Roman"/>
                <w:sz w:val="16"/>
                <w:szCs w:val="16"/>
              </w:rPr>
              <w:t>8</w:t>
            </w:r>
          </w:p>
          <w:p w:rsidR="00301F11" w:rsidRPr="00310878" w:rsidP="00310878" w14:paraId="04E353AB" w14:textId="61DD27BD">
            <w:pPr>
              <w:suppressAutoHyphens/>
              <w:spacing w:after="0" w:line="240" w:lineRule="auto"/>
              <w:ind w:left="-104" w:right="-135"/>
              <w:jc w:val="center"/>
              <w:rPr>
                <w:rFonts w:ascii="Arial" w:eastAsia="Times New Roman" w:hAnsi="Arial" w:cs="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301F11" w:rsidRPr="00310878" w:rsidP="00310878" w14:paraId="200D8829" w14:textId="1E6F3CC9">
            <w:pPr>
              <w:suppressAutoHyphens/>
              <w:spacing w:after="0" w:line="240" w:lineRule="auto"/>
              <w:ind w:left="-104" w:right="-135"/>
              <w:jc w:val="center"/>
              <w:rPr>
                <w:rFonts w:ascii="Arial" w:eastAsia="Times New Roman" w:hAnsi="Arial" w:cs="Times New Roman"/>
                <w:sz w:val="16"/>
                <w:szCs w:val="16"/>
              </w:rPr>
            </w:pPr>
            <w:r>
              <w:rPr>
                <w:rFonts w:ascii="Arial" w:eastAsia="Times New Roman" w:hAnsi="Arial" w:cs="Times New Roman"/>
                <w:sz w:val="16"/>
                <w:szCs w:val="16"/>
              </w:rPr>
              <w:t>11,</w:t>
            </w:r>
            <w:r w:rsidR="00B34AAC">
              <w:rPr>
                <w:rFonts w:ascii="Arial" w:eastAsia="Times New Roman" w:hAnsi="Arial" w:cs="Times New Roman"/>
                <w:sz w:val="16"/>
                <w:szCs w:val="16"/>
              </w:rPr>
              <w:t xml:space="preserve">868 </w:t>
            </w:r>
          </w:p>
        </w:tc>
        <w:tc>
          <w:tcPr>
            <w:tcW w:w="0" w:type="auto"/>
            <w:tcBorders>
              <w:top w:val="single" w:sz="4" w:space="0" w:color="000000"/>
              <w:left w:val="single" w:sz="4" w:space="0" w:color="000000"/>
              <w:bottom w:val="single" w:sz="4" w:space="0" w:color="000000"/>
              <w:right w:val="single" w:sz="4" w:space="0" w:color="000000"/>
            </w:tcBorders>
          </w:tcPr>
          <w:p w:rsidR="00896BFE" w:rsidP="00310878" w14:paraId="0B7A90A5" w14:textId="77777777">
            <w:pPr>
              <w:suppressAutoHyphens/>
              <w:spacing w:after="0" w:line="240" w:lineRule="auto"/>
              <w:ind w:left="-74" w:right="-75"/>
              <w:jc w:val="center"/>
              <w:rPr>
                <w:rFonts w:ascii="Arial" w:eastAsia="Times New Roman" w:hAnsi="Arial" w:cs="Times New Roman"/>
                <w:sz w:val="16"/>
                <w:szCs w:val="16"/>
              </w:rPr>
            </w:pPr>
            <w:r>
              <w:rPr>
                <w:rFonts w:ascii="Arial" w:eastAsia="Times New Roman" w:hAnsi="Arial" w:cs="Times New Roman"/>
                <w:sz w:val="16"/>
                <w:szCs w:val="16"/>
              </w:rPr>
              <w:t>$1,217,</w:t>
            </w:r>
            <w:r>
              <w:rPr>
                <w:rFonts w:ascii="Arial" w:eastAsia="Times New Roman" w:hAnsi="Arial" w:cs="Times New Roman"/>
                <w:sz w:val="16"/>
                <w:szCs w:val="16"/>
              </w:rPr>
              <w:t>932</w:t>
            </w:r>
          </w:p>
          <w:p w:rsidR="00301F11" w:rsidRPr="00310878" w:rsidP="00310878" w14:paraId="422D59D9" w14:textId="5E8E9761">
            <w:pPr>
              <w:suppressAutoHyphens/>
              <w:spacing w:after="0" w:line="240" w:lineRule="auto"/>
              <w:ind w:left="-74" w:right="-75"/>
              <w:jc w:val="center"/>
              <w:rPr>
                <w:rFonts w:ascii="Arial" w:eastAsia="Times New Roman" w:hAnsi="Arial" w:cs="Times New Roman"/>
                <w:sz w:val="16"/>
                <w:szCs w:val="16"/>
              </w:rPr>
            </w:pPr>
          </w:p>
        </w:tc>
      </w:tr>
      <w:tr w14:paraId="1824261E" w14:textId="77777777" w:rsidTr="00776DD0">
        <w:tblPrEx>
          <w:tblW w:w="0" w:type="auto"/>
          <w:tblInd w:w="-365" w:type="dxa"/>
          <w:tblLook w:val="04A0"/>
        </w:tblPrEx>
        <w:trPr>
          <w:trHeight w:val="512"/>
        </w:trPr>
        <w:tc>
          <w:tcPr>
            <w:tcW w:w="0" w:type="auto"/>
            <w:tcBorders>
              <w:top w:val="single" w:sz="4" w:space="0" w:color="000000"/>
              <w:left w:val="single" w:sz="4" w:space="0" w:color="000000"/>
              <w:bottom w:val="single" w:sz="4" w:space="0" w:color="000000"/>
              <w:right w:val="single" w:sz="4" w:space="0" w:color="000000"/>
            </w:tcBorders>
          </w:tcPr>
          <w:p w:rsidR="00310878" w:rsidRPr="00665298" w:rsidP="00310878" w14:paraId="5AC156E2" w14:textId="66F75537">
            <w:pPr>
              <w:tabs>
                <w:tab w:val="left" w:pos="-720"/>
              </w:tabs>
              <w:suppressAutoHyphens/>
              <w:spacing w:after="0" w:line="240" w:lineRule="auto"/>
              <w:ind w:left="-45" w:right="-105"/>
              <w:jc w:val="center"/>
              <w:rPr>
                <w:rFonts w:ascii="Arial" w:eastAsia="Times New Roman" w:hAnsi="Arial" w:cs="Times New Roman"/>
                <w:sz w:val="16"/>
                <w:szCs w:val="16"/>
              </w:rPr>
            </w:pPr>
            <w:r>
              <w:rPr>
                <w:rFonts w:ascii="Arial" w:eastAsia="Times New Roman" w:hAnsi="Arial" w:cs="Times New Roman"/>
                <w:sz w:val="16"/>
                <w:szCs w:val="16"/>
              </w:rPr>
              <w:t>43.4</w:t>
            </w:r>
          </w:p>
        </w:tc>
        <w:tc>
          <w:tcPr>
            <w:tcW w:w="0" w:type="auto"/>
            <w:tcBorders>
              <w:top w:val="single" w:sz="4" w:space="0" w:color="000000"/>
              <w:left w:val="single" w:sz="4" w:space="0" w:color="000000"/>
              <w:bottom w:val="single" w:sz="4" w:space="0" w:color="000000"/>
              <w:right w:val="single" w:sz="4" w:space="0" w:color="000000"/>
            </w:tcBorders>
          </w:tcPr>
          <w:p w:rsidR="00310878" w:rsidRPr="00665298" w:rsidP="00310878" w14:paraId="462EF3D8" w14:textId="5A28BCF6">
            <w:pPr>
              <w:suppressAutoHyphens/>
              <w:spacing w:after="0" w:line="240" w:lineRule="auto"/>
              <w:ind w:left="-104" w:right="-135"/>
              <w:jc w:val="center"/>
              <w:rPr>
                <w:rFonts w:ascii="Arial" w:eastAsia="Times New Roman" w:hAnsi="Arial" w:cs="Times New Roman"/>
                <w:sz w:val="16"/>
                <w:szCs w:val="16"/>
              </w:rPr>
            </w:pPr>
            <w:r>
              <w:rPr>
                <w:rFonts w:ascii="Arial" w:eastAsia="Times New Roman" w:hAnsi="Arial" w:cs="Times New Roman"/>
                <w:sz w:val="16"/>
                <w:szCs w:val="16"/>
              </w:rPr>
              <w:t>4 SDRs</w:t>
            </w:r>
          </w:p>
        </w:tc>
        <w:tc>
          <w:tcPr>
            <w:tcW w:w="0" w:type="auto"/>
            <w:tcBorders>
              <w:top w:val="single" w:sz="4" w:space="0" w:color="000000"/>
              <w:left w:val="single" w:sz="4" w:space="0" w:color="000000"/>
              <w:bottom w:val="single" w:sz="4" w:space="0" w:color="000000"/>
              <w:right w:val="single" w:sz="4" w:space="0" w:color="000000"/>
            </w:tcBorders>
          </w:tcPr>
          <w:p w:rsidR="00310878" w:rsidRPr="00665298" w:rsidP="00310878" w14:paraId="124D73D9" w14:textId="164856C2">
            <w:pPr>
              <w:suppressAutoHyphens/>
              <w:spacing w:after="0" w:line="240" w:lineRule="auto"/>
              <w:ind w:left="-74" w:right="-75"/>
              <w:jc w:val="center"/>
              <w:rPr>
                <w:rFonts w:ascii="Arial" w:eastAsia="Times New Roman" w:hAnsi="Arial" w:cs="Times New Roman"/>
                <w:sz w:val="16"/>
                <w:szCs w:val="16"/>
              </w:rPr>
            </w:pPr>
            <w:r>
              <w:rPr>
                <w:rFonts w:ascii="Arial" w:eastAsia="Times New Roman" w:hAnsi="Arial" w:cs="Times New Roman"/>
                <w:sz w:val="16"/>
                <w:szCs w:val="16"/>
              </w:rPr>
              <w:t>1,499,900</w:t>
            </w:r>
          </w:p>
        </w:tc>
        <w:tc>
          <w:tcPr>
            <w:tcW w:w="0" w:type="auto"/>
            <w:tcBorders>
              <w:top w:val="single" w:sz="4" w:space="0" w:color="000000"/>
              <w:left w:val="single" w:sz="4" w:space="0" w:color="000000"/>
              <w:bottom w:val="single" w:sz="4" w:space="0" w:color="000000"/>
              <w:right w:val="single" w:sz="4" w:space="0" w:color="000000"/>
            </w:tcBorders>
          </w:tcPr>
          <w:p w:rsidR="00310878" w:rsidRPr="00665298" w:rsidP="00310878" w14:paraId="4061FF29" w14:textId="5EE24F5A">
            <w:pPr>
              <w:suppressAutoHyphens/>
              <w:spacing w:after="0" w:line="240" w:lineRule="auto"/>
              <w:ind w:left="-134" w:right="-105"/>
              <w:jc w:val="center"/>
              <w:rPr>
                <w:rFonts w:ascii="Arial" w:eastAsia="Times New Roman" w:hAnsi="Arial" w:cs="Times New Roman"/>
                <w:sz w:val="16"/>
                <w:szCs w:val="16"/>
              </w:rPr>
            </w:pPr>
            <w:r>
              <w:rPr>
                <w:rFonts w:ascii="Arial" w:eastAsia="Times New Roman" w:hAnsi="Arial" w:cs="Times New Roman"/>
                <w:sz w:val="16"/>
                <w:szCs w:val="16"/>
              </w:rPr>
              <w:t>.009</w:t>
            </w:r>
          </w:p>
        </w:tc>
        <w:tc>
          <w:tcPr>
            <w:tcW w:w="0" w:type="auto"/>
            <w:tcBorders>
              <w:top w:val="single" w:sz="4" w:space="0" w:color="000000"/>
              <w:left w:val="single" w:sz="4" w:space="0" w:color="000000"/>
              <w:bottom w:val="single" w:sz="4" w:space="0" w:color="000000"/>
              <w:right w:val="single" w:sz="4" w:space="0" w:color="000000"/>
            </w:tcBorders>
          </w:tcPr>
          <w:p w:rsidR="00310878" w:rsidRPr="00665298" w:rsidP="00310878" w14:paraId="0A868BA2" w14:textId="3E8A067E">
            <w:pPr>
              <w:suppressAutoHyphens/>
              <w:spacing w:after="0" w:line="240" w:lineRule="auto"/>
              <w:ind w:left="-104" w:right="-135"/>
              <w:jc w:val="center"/>
              <w:rPr>
                <w:rFonts w:ascii="Arial" w:eastAsia="Times New Roman" w:hAnsi="Arial" w:cs="Times New Roman"/>
                <w:sz w:val="16"/>
                <w:szCs w:val="16"/>
              </w:rPr>
            </w:pPr>
            <w:r>
              <w:rPr>
                <w:rFonts w:ascii="Arial" w:eastAsia="Times New Roman" w:hAnsi="Arial" w:cs="Times New Roman"/>
                <w:sz w:val="16"/>
                <w:szCs w:val="16"/>
              </w:rPr>
              <w:t>13,499</w:t>
            </w:r>
          </w:p>
        </w:tc>
        <w:tc>
          <w:tcPr>
            <w:tcW w:w="0" w:type="auto"/>
            <w:tcBorders>
              <w:top w:val="single" w:sz="4" w:space="0" w:color="000000"/>
              <w:left w:val="single" w:sz="4" w:space="0" w:color="000000"/>
              <w:bottom w:val="single" w:sz="4" w:space="0" w:color="000000"/>
              <w:right w:val="single" w:sz="4" w:space="0" w:color="000000"/>
            </w:tcBorders>
          </w:tcPr>
          <w:p w:rsidR="00310878" w:rsidRPr="00665298" w:rsidP="00310878" w14:paraId="66A7811E" w14:textId="3DAFC51D">
            <w:pPr>
              <w:suppressAutoHyphens/>
              <w:spacing w:after="0" w:line="240" w:lineRule="auto"/>
              <w:ind w:left="-74" w:right="-75"/>
              <w:jc w:val="center"/>
              <w:rPr>
                <w:rFonts w:ascii="Arial" w:eastAsia="Times New Roman" w:hAnsi="Arial" w:cs="Times New Roman"/>
                <w:sz w:val="16"/>
                <w:szCs w:val="16"/>
              </w:rPr>
            </w:pPr>
            <w:r>
              <w:rPr>
                <w:rFonts w:ascii="Arial" w:eastAsia="Times New Roman" w:hAnsi="Arial" w:cs="Times New Roman"/>
                <w:sz w:val="16"/>
                <w:szCs w:val="16"/>
              </w:rPr>
              <w:t>$102.62</w:t>
            </w:r>
          </w:p>
        </w:tc>
        <w:tc>
          <w:tcPr>
            <w:tcW w:w="0" w:type="auto"/>
            <w:tcBorders>
              <w:top w:val="single" w:sz="4" w:space="0" w:color="000000"/>
              <w:left w:val="single" w:sz="4" w:space="0" w:color="000000"/>
              <w:bottom w:val="single" w:sz="4" w:space="0" w:color="000000"/>
              <w:right w:val="single" w:sz="4" w:space="0" w:color="000000"/>
            </w:tcBorders>
          </w:tcPr>
          <w:p w:rsidR="00751146" w:rsidP="00310878" w14:paraId="781C86CA" w14:textId="738E5263">
            <w:pPr>
              <w:suppressAutoHyphens/>
              <w:spacing w:after="0" w:line="240" w:lineRule="auto"/>
              <w:ind w:left="-74" w:right="-75"/>
              <w:jc w:val="center"/>
              <w:rPr>
                <w:rFonts w:ascii="Arial" w:eastAsia="Times New Roman" w:hAnsi="Arial" w:cs="Times New Roman"/>
                <w:sz w:val="16"/>
                <w:szCs w:val="16"/>
              </w:rPr>
            </w:pPr>
            <w:r w:rsidRPr="00310878">
              <w:rPr>
                <w:rFonts w:ascii="Arial" w:eastAsia="Times New Roman" w:hAnsi="Arial" w:cs="Times New Roman"/>
                <w:sz w:val="16"/>
                <w:szCs w:val="16"/>
              </w:rPr>
              <w:t>$1,385,</w:t>
            </w:r>
            <w:r>
              <w:rPr>
                <w:rFonts w:ascii="Arial" w:eastAsia="Times New Roman" w:hAnsi="Arial" w:cs="Times New Roman"/>
                <w:sz w:val="16"/>
                <w:szCs w:val="16"/>
              </w:rPr>
              <w:t>267</w:t>
            </w:r>
          </w:p>
          <w:p w:rsidR="00310878" w:rsidRPr="00310878" w:rsidP="00310878" w14:paraId="43114FBD" w14:textId="47445A34">
            <w:pPr>
              <w:suppressAutoHyphens/>
              <w:spacing w:after="0" w:line="240" w:lineRule="auto"/>
              <w:ind w:left="-74" w:right="-75"/>
              <w:jc w:val="center"/>
              <w:rPr>
                <w:rFonts w:ascii="Arial" w:eastAsia="Times New Roman" w:hAnsi="Arial" w:cs="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310878" w:rsidRPr="00665298" w:rsidP="00310878" w14:paraId="0A2CD876" w14:textId="1D75F0F3">
            <w:pPr>
              <w:suppressAutoHyphens/>
              <w:spacing w:after="0" w:line="240" w:lineRule="auto"/>
              <w:ind w:left="-104" w:right="-135"/>
              <w:jc w:val="center"/>
              <w:rPr>
                <w:rFonts w:ascii="Arial" w:eastAsia="Times New Roman" w:hAnsi="Arial" w:cs="Times New Roman"/>
                <w:sz w:val="16"/>
                <w:szCs w:val="16"/>
              </w:rPr>
            </w:pPr>
            <w:r w:rsidRPr="00310878">
              <w:rPr>
                <w:rFonts w:ascii="Arial" w:eastAsia="Times New Roman" w:hAnsi="Arial" w:cs="Times New Roman"/>
                <w:sz w:val="16"/>
                <w:szCs w:val="16"/>
              </w:rPr>
              <w:t xml:space="preserve">5,999,600 </w:t>
            </w:r>
          </w:p>
        </w:tc>
        <w:tc>
          <w:tcPr>
            <w:tcW w:w="0" w:type="auto"/>
            <w:tcBorders>
              <w:top w:val="single" w:sz="4" w:space="0" w:color="000000"/>
              <w:left w:val="single" w:sz="4" w:space="0" w:color="000000"/>
              <w:bottom w:val="single" w:sz="4" w:space="0" w:color="000000"/>
              <w:right w:val="single" w:sz="4" w:space="0" w:color="000000"/>
            </w:tcBorders>
          </w:tcPr>
          <w:p w:rsidR="00310878" w:rsidRPr="00665298" w:rsidP="00310878" w14:paraId="7578CF53" w14:textId="6B140733">
            <w:pPr>
              <w:suppressAutoHyphens/>
              <w:spacing w:after="0" w:line="240" w:lineRule="auto"/>
              <w:ind w:left="-104" w:right="-135"/>
              <w:jc w:val="center"/>
              <w:rPr>
                <w:rFonts w:ascii="Arial" w:eastAsia="Times New Roman" w:hAnsi="Arial" w:cs="Times New Roman"/>
                <w:sz w:val="16"/>
                <w:szCs w:val="16"/>
              </w:rPr>
            </w:pPr>
            <w:r w:rsidRPr="00310878">
              <w:rPr>
                <w:rFonts w:ascii="Arial" w:eastAsia="Times New Roman" w:hAnsi="Arial" w:cs="Times New Roman"/>
                <w:sz w:val="16"/>
                <w:szCs w:val="16"/>
              </w:rPr>
              <w:t xml:space="preserve">53,996 </w:t>
            </w:r>
          </w:p>
        </w:tc>
        <w:tc>
          <w:tcPr>
            <w:tcW w:w="0" w:type="auto"/>
            <w:tcBorders>
              <w:top w:val="single" w:sz="4" w:space="0" w:color="000000"/>
              <w:left w:val="single" w:sz="4" w:space="0" w:color="000000"/>
              <w:bottom w:val="single" w:sz="4" w:space="0" w:color="000000"/>
              <w:right w:val="single" w:sz="4" w:space="0" w:color="000000"/>
            </w:tcBorders>
          </w:tcPr>
          <w:p w:rsidR="00863DBE" w:rsidP="00310878" w14:paraId="75248376" w14:textId="066CCDEB">
            <w:pPr>
              <w:suppressAutoHyphens/>
              <w:spacing w:after="0" w:line="240" w:lineRule="auto"/>
              <w:ind w:left="-74" w:right="-75"/>
              <w:jc w:val="center"/>
              <w:rPr>
                <w:rFonts w:ascii="Arial" w:eastAsia="Times New Roman" w:hAnsi="Arial" w:cs="Times New Roman"/>
                <w:sz w:val="16"/>
                <w:szCs w:val="16"/>
              </w:rPr>
            </w:pPr>
            <w:r w:rsidRPr="00310878">
              <w:rPr>
                <w:rFonts w:ascii="Arial" w:eastAsia="Times New Roman" w:hAnsi="Arial" w:cs="Times New Roman"/>
                <w:sz w:val="16"/>
                <w:szCs w:val="16"/>
              </w:rPr>
              <w:t>$</w:t>
            </w:r>
            <w:r>
              <w:rPr>
                <w:rFonts w:ascii="Arial" w:eastAsia="Times New Roman" w:hAnsi="Arial" w:cs="Times New Roman"/>
                <w:sz w:val="16"/>
                <w:szCs w:val="16"/>
              </w:rPr>
              <w:t>5,541,068</w:t>
            </w:r>
          </w:p>
          <w:p w:rsidR="00310878" w:rsidRPr="00665298" w:rsidP="00310878" w14:paraId="36B6A6A7" w14:textId="21E725ED">
            <w:pPr>
              <w:suppressAutoHyphens/>
              <w:spacing w:after="0" w:line="240" w:lineRule="auto"/>
              <w:ind w:left="-74" w:right="-75"/>
              <w:jc w:val="center"/>
              <w:rPr>
                <w:rFonts w:ascii="Arial" w:eastAsia="Times New Roman" w:hAnsi="Arial" w:cs="Times New Roman"/>
                <w:sz w:val="16"/>
                <w:szCs w:val="16"/>
              </w:rPr>
            </w:pPr>
          </w:p>
        </w:tc>
      </w:tr>
      <w:tr w14:paraId="622DB015" w14:textId="77777777" w:rsidTr="00776DD0">
        <w:tblPrEx>
          <w:tblW w:w="0" w:type="auto"/>
          <w:tblInd w:w="-365" w:type="dxa"/>
          <w:tblLook w:val="04A0"/>
        </w:tblPrEx>
        <w:trPr>
          <w:trHeight w:val="818"/>
        </w:trPr>
        <w:tc>
          <w:tcPr>
            <w:tcW w:w="0" w:type="auto"/>
            <w:tcBorders>
              <w:top w:val="single" w:sz="4" w:space="0" w:color="000000"/>
              <w:left w:val="single" w:sz="4" w:space="0" w:color="000000"/>
              <w:bottom w:val="single" w:sz="4" w:space="0" w:color="000000"/>
              <w:right w:val="single" w:sz="4" w:space="0" w:color="000000"/>
            </w:tcBorders>
          </w:tcPr>
          <w:p w:rsidR="00310878" w:rsidP="00310878" w14:paraId="01188B42" w14:textId="44264825">
            <w:pPr>
              <w:tabs>
                <w:tab w:val="left" w:pos="-720"/>
              </w:tabs>
              <w:suppressAutoHyphens/>
              <w:spacing w:after="0" w:line="240" w:lineRule="auto"/>
              <w:ind w:left="-45" w:right="-105"/>
              <w:jc w:val="center"/>
              <w:rPr>
                <w:rFonts w:ascii="Arial" w:eastAsia="Times New Roman" w:hAnsi="Arial" w:cs="Times New Roman"/>
                <w:sz w:val="16"/>
                <w:szCs w:val="16"/>
              </w:rPr>
            </w:pPr>
            <w:r>
              <w:rPr>
                <w:rFonts w:ascii="Arial" w:eastAsia="Times New Roman" w:hAnsi="Arial" w:cs="Times New Roman"/>
                <w:sz w:val="16"/>
                <w:szCs w:val="16"/>
              </w:rPr>
              <w:t>43.6</w:t>
            </w:r>
          </w:p>
        </w:tc>
        <w:tc>
          <w:tcPr>
            <w:tcW w:w="0" w:type="auto"/>
            <w:tcBorders>
              <w:top w:val="single" w:sz="4" w:space="0" w:color="000000"/>
              <w:left w:val="single" w:sz="4" w:space="0" w:color="000000"/>
              <w:bottom w:val="single" w:sz="4" w:space="0" w:color="000000"/>
              <w:right w:val="single" w:sz="4" w:space="0" w:color="000000"/>
            </w:tcBorders>
          </w:tcPr>
          <w:p w:rsidR="00310878" w:rsidP="00310878" w14:paraId="25A30EA9" w14:textId="7201A143">
            <w:pPr>
              <w:suppressAutoHyphens/>
              <w:spacing w:after="0" w:line="240" w:lineRule="auto"/>
              <w:ind w:left="-104" w:right="-135"/>
              <w:jc w:val="center"/>
              <w:rPr>
                <w:rFonts w:ascii="Arial" w:eastAsia="Times New Roman" w:hAnsi="Arial" w:cs="Times New Roman"/>
                <w:sz w:val="16"/>
                <w:szCs w:val="16"/>
              </w:rPr>
            </w:pPr>
            <w:r>
              <w:rPr>
                <w:rFonts w:ascii="Arial" w:eastAsia="Times New Roman" w:hAnsi="Arial" w:cs="Times New Roman"/>
                <w:sz w:val="16"/>
                <w:szCs w:val="16"/>
              </w:rPr>
              <w:t>1,688 SDRs, SEFs, DCMs, and Financial Entity Reporting Counterparties</w:t>
            </w:r>
          </w:p>
        </w:tc>
        <w:tc>
          <w:tcPr>
            <w:tcW w:w="0" w:type="auto"/>
            <w:tcBorders>
              <w:top w:val="single" w:sz="4" w:space="0" w:color="000000"/>
              <w:left w:val="single" w:sz="4" w:space="0" w:color="000000"/>
              <w:bottom w:val="single" w:sz="4" w:space="0" w:color="000000"/>
              <w:right w:val="single" w:sz="4" w:space="0" w:color="000000"/>
            </w:tcBorders>
          </w:tcPr>
          <w:p w:rsidR="00310878" w:rsidRPr="00665298" w:rsidP="00310878" w14:paraId="7B763F43" w14:textId="692C3CFC">
            <w:pPr>
              <w:suppressAutoHyphens/>
              <w:spacing w:after="0" w:line="240" w:lineRule="auto"/>
              <w:ind w:left="-74" w:right="-75"/>
              <w:jc w:val="center"/>
              <w:rPr>
                <w:rFonts w:ascii="Arial" w:eastAsia="Times New Roman" w:hAnsi="Arial" w:cs="Times New Roman"/>
                <w:sz w:val="16"/>
                <w:szCs w:val="16"/>
              </w:rPr>
            </w:pPr>
            <w:r>
              <w:rPr>
                <w:rFonts w:ascii="Arial" w:eastAsia="Times New Roman" w:hAnsi="Arial" w:cs="Times New Roman"/>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310878" w:rsidP="00310878" w14:paraId="0265D8D4" w14:textId="470A82A8">
            <w:pPr>
              <w:suppressAutoHyphens/>
              <w:spacing w:after="0" w:line="240" w:lineRule="auto"/>
              <w:ind w:left="-134" w:right="-105"/>
              <w:jc w:val="center"/>
              <w:rPr>
                <w:rFonts w:ascii="Arial" w:eastAsia="Times New Roman" w:hAnsi="Arial" w:cs="Times New Roman"/>
                <w:sz w:val="16"/>
                <w:szCs w:val="16"/>
              </w:rPr>
            </w:pPr>
            <w:r>
              <w:rPr>
                <w:rFonts w:ascii="Arial" w:eastAsia="Times New Roman" w:hAnsi="Arial" w:cs="Times New Roman"/>
                <w:sz w:val="16"/>
                <w:szCs w:val="16"/>
              </w:rPr>
              <w:t>.0167</w:t>
            </w:r>
          </w:p>
        </w:tc>
        <w:tc>
          <w:tcPr>
            <w:tcW w:w="0" w:type="auto"/>
            <w:tcBorders>
              <w:top w:val="single" w:sz="4" w:space="0" w:color="000000"/>
              <w:left w:val="single" w:sz="4" w:space="0" w:color="000000"/>
              <w:bottom w:val="single" w:sz="4" w:space="0" w:color="000000"/>
              <w:right w:val="single" w:sz="4" w:space="0" w:color="000000"/>
            </w:tcBorders>
          </w:tcPr>
          <w:p w:rsidR="00310878" w:rsidP="00310878" w14:paraId="183BF30B" w14:textId="68280321">
            <w:pPr>
              <w:suppressAutoHyphens/>
              <w:spacing w:after="0" w:line="240" w:lineRule="auto"/>
              <w:ind w:left="-104" w:right="-135"/>
              <w:jc w:val="center"/>
              <w:rPr>
                <w:rFonts w:ascii="Arial" w:eastAsia="Times New Roman" w:hAnsi="Arial" w:cs="Times New Roman"/>
                <w:sz w:val="16"/>
                <w:szCs w:val="16"/>
              </w:rPr>
            </w:pPr>
            <w:r>
              <w:rPr>
                <w:rFonts w:ascii="Arial" w:eastAsia="Times New Roman" w:hAnsi="Arial" w:cs="Times New Roman"/>
                <w:sz w:val="16"/>
                <w:szCs w:val="16"/>
              </w:rPr>
              <w:t>3.34</w:t>
            </w:r>
          </w:p>
        </w:tc>
        <w:tc>
          <w:tcPr>
            <w:tcW w:w="0" w:type="auto"/>
            <w:tcBorders>
              <w:top w:val="single" w:sz="4" w:space="0" w:color="000000"/>
              <w:left w:val="single" w:sz="4" w:space="0" w:color="000000"/>
              <w:bottom w:val="single" w:sz="4" w:space="0" w:color="000000"/>
              <w:right w:val="single" w:sz="4" w:space="0" w:color="000000"/>
            </w:tcBorders>
          </w:tcPr>
          <w:p w:rsidR="00310878" w:rsidP="00310878" w14:paraId="4EE79F0D" w14:textId="4433C3AD">
            <w:pPr>
              <w:suppressAutoHyphens/>
              <w:spacing w:after="0" w:line="240" w:lineRule="auto"/>
              <w:ind w:left="-74" w:right="-75"/>
              <w:jc w:val="center"/>
              <w:rPr>
                <w:rFonts w:ascii="Arial" w:eastAsia="Times New Roman" w:hAnsi="Arial" w:cs="Times New Roman"/>
                <w:sz w:val="16"/>
                <w:szCs w:val="16"/>
              </w:rPr>
            </w:pPr>
            <w:r>
              <w:rPr>
                <w:rFonts w:ascii="Arial" w:eastAsia="Times New Roman" w:hAnsi="Arial" w:cs="Times New Roman"/>
                <w:sz w:val="16"/>
                <w:szCs w:val="16"/>
              </w:rPr>
              <w:t>$102.62</w:t>
            </w:r>
          </w:p>
        </w:tc>
        <w:tc>
          <w:tcPr>
            <w:tcW w:w="0" w:type="auto"/>
            <w:tcBorders>
              <w:top w:val="single" w:sz="4" w:space="0" w:color="000000"/>
              <w:left w:val="single" w:sz="4" w:space="0" w:color="000000"/>
              <w:bottom w:val="single" w:sz="4" w:space="0" w:color="000000"/>
              <w:right w:val="single" w:sz="4" w:space="0" w:color="000000"/>
            </w:tcBorders>
          </w:tcPr>
          <w:p w:rsidR="00310878" w:rsidRPr="00310878" w:rsidP="00310878" w14:paraId="26CD8D17" w14:textId="2D3B7A70">
            <w:pPr>
              <w:suppressAutoHyphens/>
              <w:spacing w:after="0" w:line="240" w:lineRule="auto"/>
              <w:ind w:left="-74" w:right="-75"/>
              <w:jc w:val="center"/>
              <w:rPr>
                <w:rFonts w:ascii="Arial" w:eastAsia="Times New Roman" w:hAnsi="Arial" w:cs="Times New Roman"/>
                <w:sz w:val="16"/>
                <w:szCs w:val="16"/>
              </w:rPr>
            </w:pPr>
            <w:r w:rsidRPr="00310878">
              <w:rPr>
                <w:rFonts w:ascii="Arial" w:eastAsia="Times New Roman" w:hAnsi="Arial" w:cs="Times New Roman"/>
                <w:sz w:val="16"/>
                <w:szCs w:val="16"/>
              </w:rPr>
              <w:t>$</w:t>
            </w:r>
            <w:r w:rsidR="00272755">
              <w:rPr>
                <w:rFonts w:ascii="Arial" w:eastAsia="Times New Roman" w:hAnsi="Arial" w:cs="Times New Roman"/>
                <w:sz w:val="16"/>
                <w:szCs w:val="16"/>
              </w:rPr>
              <w:t>308</w:t>
            </w:r>
          </w:p>
        </w:tc>
        <w:tc>
          <w:tcPr>
            <w:tcW w:w="0" w:type="auto"/>
            <w:tcBorders>
              <w:top w:val="single" w:sz="4" w:space="0" w:color="000000"/>
              <w:left w:val="single" w:sz="4" w:space="0" w:color="000000"/>
              <w:bottom w:val="single" w:sz="4" w:space="0" w:color="000000"/>
              <w:right w:val="single" w:sz="4" w:space="0" w:color="000000"/>
            </w:tcBorders>
          </w:tcPr>
          <w:p w:rsidR="00310878" w:rsidP="00310878" w14:paraId="36AA7D41" w14:textId="44C783C1">
            <w:pPr>
              <w:suppressAutoHyphens/>
              <w:spacing w:after="0" w:line="240" w:lineRule="auto"/>
              <w:ind w:left="-104" w:right="-135"/>
              <w:jc w:val="center"/>
              <w:rPr>
                <w:rFonts w:ascii="Arial" w:eastAsia="Times New Roman" w:hAnsi="Arial" w:cs="Times New Roman"/>
                <w:sz w:val="16"/>
                <w:szCs w:val="16"/>
              </w:rPr>
            </w:pPr>
            <w:r w:rsidRPr="00310878">
              <w:rPr>
                <w:rFonts w:ascii="Arial" w:eastAsia="Times New Roman" w:hAnsi="Arial" w:cs="Times New Roman"/>
                <w:sz w:val="16"/>
                <w:szCs w:val="16"/>
              </w:rPr>
              <w:t xml:space="preserve">337,600 </w:t>
            </w:r>
          </w:p>
        </w:tc>
        <w:tc>
          <w:tcPr>
            <w:tcW w:w="0" w:type="auto"/>
            <w:tcBorders>
              <w:top w:val="single" w:sz="4" w:space="0" w:color="000000"/>
              <w:left w:val="single" w:sz="4" w:space="0" w:color="000000"/>
              <w:bottom w:val="single" w:sz="4" w:space="0" w:color="000000"/>
              <w:right w:val="single" w:sz="4" w:space="0" w:color="000000"/>
            </w:tcBorders>
          </w:tcPr>
          <w:p w:rsidR="00CE6082" w:rsidP="00310878" w14:paraId="263240C5" w14:textId="3EC2AD1E">
            <w:pPr>
              <w:suppressAutoHyphens/>
              <w:spacing w:after="0" w:line="240" w:lineRule="auto"/>
              <w:ind w:left="-104" w:right="-135"/>
              <w:jc w:val="center"/>
              <w:rPr>
                <w:rFonts w:ascii="Arial" w:eastAsia="Times New Roman" w:hAnsi="Arial" w:cs="Times New Roman"/>
                <w:sz w:val="16"/>
                <w:szCs w:val="16"/>
              </w:rPr>
            </w:pPr>
            <w:r w:rsidRPr="00310878">
              <w:rPr>
                <w:rFonts w:ascii="Arial" w:eastAsia="Times New Roman" w:hAnsi="Arial" w:cs="Times New Roman"/>
                <w:sz w:val="16"/>
                <w:szCs w:val="16"/>
              </w:rPr>
              <w:t>5,</w:t>
            </w:r>
            <w:r w:rsidR="00C21D0B">
              <w:rPr>
                <w:rFonts w:ascii="Arial" w:eastAsia="Times New Roman" w:hAnsi="Arial" w:cs="Times New Roman"/>
                <w:sz w:val="16"/>
                <w:szCs w:val="16"/>
              </w:rPr>
              <w:t xml:space="preserve"> </w:t>
            </w:r>
            <w:r w:rsidR="00C21D0B">
              <w:rPr>
                <w:rFonts w:ascii="Arial" w:eastAsia="Times New Roman" w:hAnsi="Arial" w:cs="Times New Roman"/>
                <w:sz w:val="16"/>
                <w:szCs w:val="16"/>
              </w:rPr>
              <w:t>638</w:t>
            </w:r>
          </w:p>
          <w:p w:rsidR="00310878" w:rsidP="00310878" w14:paraId="4593EE8B" w14:textId="1F1D0254">
            <w:pPr>
              <w:suppressAutoHyphens/>
              <w:spacing w:after="0" w:line="240" w:lineRule="auto"/>
              <w:ind w:left="-104" w:right="-135"/>
              <w:jc w:val="center"/>
              <w:rPr>
                <w:rFonts w:ascii="Arial" w:eastAsia="Times New Roman" w:hAnsi="Arial" w:cs="Times New Roman"/>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597CC2" w:rsidP="00310878" w14:paraId="031CE5D2" w14:textId="13C05C30">
            <w:pPr>
              <w:suppressAutoHyphens/>
              <w:spacing w:after="0" w:line="240" w:lineRule="auto"/>
              <w:ind w:left="-74" w:right="-75"/>
              <w:jc w:val="center"/>
              <w:rPr>
                <w:rFonts w:ascii="Arial" w:eastAsia="Times New Roman" w:hAnsi="Arial" w:cs="Times New Roman"/>
                <w:sz w:val="16"/>
                <w:szCs w:val="16"/>
              </w:rPr>
            </w:pPr>
            <w:r w:rsidRPr="00310878">
              <w:rPr>
                <w:rFonts w:ascii="Arial" w:eastAsia="Times New Roman" w:hAnsi="Arial" w:cs="Times New Roman"/>
                <w:sz w:val="16"/>
                <w:szCs w:val="16"/>
              </w:rPr>
              <w:t>$</w:t>
            </w:r>
            <w:r>
              <w:rPr>
                <w:rFonts w:ascii="Arial" w:eastAsia="Times New Roman" w:hAnsi="Arial" w:cs="Times New Roman"/>
                <w:sz w:val="16"/>
                <w:szCs w:val="16"/>
              </w:rPr>
              <w:t>519,904</w:t>
            </w:r>
          </w:p>
          <w:p w:rsidR="00310878" w:rsidP="00310878" w14:paraId="573332B8" w14:textId="2FA53074">
            <w:pPr>
              <w:suppressAutoHyphens/>
              <w:spacing w:after="0" w:line="240" w:lineRule="auto"/>
              <w:ind w:left="-74" w:right="-75"/>
              <w:jc w:val="center"/>
              <w:rPr>
                <w:rFonts w:ascii="Arial" w:eastAsia="Times New Roman" w:hAnsi="Arial" w:cs="Times New Roman"/>
                <w:sz w:val="16"/>
                <w:szCs w:val="16"/>
              </w:rPr>
            </w:pPr>
            <w:r w:rsidRPr="00310878">
              <w:rPr>
                <w:rFonts w:ascii="Arial" w:eastAsia="Times New Roman" w:hAnsi="Arial" w:cs="Times New Roman"/>
                <w:sz w:val="16"/>
                <w:szCs w:val="16"/>
              </w:rPr>
              <w:t xml:space="preserve"> </w:t>
            </w:r>
          </w:p>
        </w:tc>
      </w:tr>
      <w:tr w14:paraId="6AB57E9A" w14:textId="77777777" w:rsidTr="00426C74">
        <w:tblPrEx>
          <w:tblW w:w="0" w:type="auto"/>
          <w:tblInd w:w="-365" w:type="dxa"/>
          <w:tblLook w:val="04A0"/>
        </w:tblPrEx>
        <w:trPr>
          <w:trHeight w:val="977"/>
        </w:trPr>
        <w:tc>
          <w:tcPr>
            <w:tcW w:w="0" w:type="auto"/>
            <w:tcBorders>
              <w:top w:val="single" w:sz="4" w:space="0" w:color="000000"/>
              <w:left w:val="single" w:sz="4" w:space="0" w:color="000000"/>
              <w:bottom w:val="single" w:sz="4" w:space="0" w:color="000000"/>
              <w:right w:val="single" w:sz="4" w:space="0" w:color="000000"/>
            </w:tcBorders>
          </w:tcPr>
          <w:p w:rsidR="0005408D" w:rsidRPr="00DE042A" w:rsidP="000D0D76" w14:paraId="3DD71162" w14:textId="77777777">
            <w:pPr>
              <w:tabs>
                <w:tab w:val="left" w:pos="-720"/>
              </w:tabs>
              <w:suppressAutoHyphens/>
              <w:spacing w:after="0" w:line="240" w:lineRule="auto"/>
              <w:ind w:left="-45" w:right="-105"/>
              <w:jc w:val="center"/>
              <w:rPr>
                <w:rFonts w:ascii="Arial" w:eastAsia="Times New Roman" w:hAnsi="Arial" w:cs="Times New Roman"/>
                <w:b/>
                <w:bCs/>
                <w:sz w:val="16"/>
                <w:szCs w:val="16"/>
              </w:rPr>
            </w:pPr>
            <w:r w:rsidRPr="00DE042A">
              <w:rPr>
                <w:rFonts w:ascii="Arial" w:eastAsia="Times New Roman" w:hAnsi="Arial" w:cs="Times New Roman"/>
                <w:b/>
                <w:bCs/>
                <w:sz w:val="16"/>
                <w:szCs w:val="16"/>
              </w:rPr>
              <w:t>Total</w:t>
            </w:r>
          </w:p>
        </w:tc>
        <w:tc>
          <w:tcPr>
            <w:tcW w:w="0" w:type="auto"/>
            <w:tcBorders>
              <w:top w:val="single" w:sz="4" w:space="0" w:color="000000"/>
              <w:left w:val="single" w:sz="4" w:space="0" w:color="000000"/>
              <w:bottom w:val="single" w:sz="4" w:space="0" w:color="000000"/>
              <w:right w:val="single" w:sz="4" w:space="0" w:color="000000"/>
            </w:tcBorders>
          </w:tcPr>
          <w:p w:rsidR="0005408D" w:rsidRPr="00DE042A" w:rsidP="000D0D76" w14:paraId="7EC2B730" w14:textId="11E164EF">
            <w:pPr>
              <w:suppressAutoHyphens/>
              <w:spacing w:after="0" w:line="240" w:lineRule="auto"/>
              <w:ind w:left="-104" w:right="-135"/>
              <w:jc w:val="center"/>
              <w:rPr>
                <w:rFonts w:ascii="Arial" w:eastAsia="Times New Roman" w:hAnsi="Arial" w:cs="Times New Roman"/>
                <w:b/>
                <w:bCs/>
                <w:sz w:val="16"/>
                <w:szCs w:val="16"/>
              </w:rPr>
            </w:pPr>
            <w:r w:rsidRPr="00DE042A">
              <w:rPr>
                <w:rFonts w:ascii="Arial" w:eastAsia="Times New Roman" w:hAnsi="Arial" w:cs="Times New Roman"/>
                <w:b/>
                <w:bCs/>
                <w:sz w:val="16"/>
                <w:szCs w:val="16"/>
              </w:rPr>
              <w:t>1,742</w:t>
            </w:r>
            <w:r>
              <w:rPr>
                <w:rStyle w:val="FootnoteReference"/>
                <w:rFonts w:ascii="Arial" w:eastAsia="Times New Roman" w:hAnsi="Arial" w:cs="Times New Roman"/>
                <w:b/>
                <w:bCs/>
                <w:sz w:val="16"/>
                <w:szCs w:val="16"/>
              </w:rPr>
              <w:footnoteReference w:id="21"/>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5408D" w:rsidRPr="00DE042A" w:rsidP="000D0D76" w14:paraId="0EFA9D6F" w14:textId="3430179C">
            <w:pPr>
              <w:suppressAutoHyphens/>
              <w:spacing w:after="0" w:line="240" w:lineRule="auto"/>
              <w:ind w:left="-74" w:right="-75"/>
              <w:jc w:val="center"/>
              <w:rPr>
                <w:rFonts w:ascii="Arial" w:eastAsia="Times New Roman" w:hAnsi="Arial" w:cs="Times New Roman"/>
                <w:b/>
                <w:bCs/>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5408D" w:rsidRPr="00DE042A" w:rsidP="000D0D76" w14:paraId="3F765B81" w14:textId="527A2D7E">
            <w:pPr>
              <w:suppressAutoHyphens/>
              <w:spacing w:after="0" w:line="240" w:lineRule="auto"/>
              <w:ind w:left="-134" w:right="-105"/>
              <w:jc w:val="center"/>
              <w:rPr>
                <w:rFonts w:ascii="Arial" w:eastAsia="Times New Roman" w:hAnsi="Arial" w:cs="Times New Roman"/>
                <w:b/>
                <w:bCs/>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5408D" w:rsidRPr="00DE042A" w:rsidP="000D0D76" w14:paraId="3AA135D6" w14:textId="6BDE83FB">
            <w:pPr>
              <w:suppressAutoHyphens/>
              <w:spacing w:after="0" w:line="240" w:lineRule="auto"/>
              <w:ind w:left="-104" w:right="-135"/>
              <w:jc w:val="center"/>
              <w:rPr>
                <w:rFonts w:ascii="Arial" w:eastAsia="Times New Roman" w:hAnsi="Arial" w:cs="Times New Roman"/>
                <w:b/>
                <w:bCs/>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5408D" w:rsidRPr="00776DD0" w:rsidP="00776DD0" w14:paraId="559B21A4" w14:textId="2C3FFF71">
            <w:pPr>
              <w:suppressAutoHyphens/>
              <w:spacing w:after="0" w:line="240" w:lineRule="auto"/>
              <w:ind w:left="-29" w:right="-75"/>
              <w:jc w:val="center"/>
              <w:rPr>
                <w:rFonts w:ascii="Arial" w:eastAsia="Times New Roman" w:hAnsi="Arial" w:cs="Times New Roman"/>
                <w:b/>
                <w:bCs/>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5408D" w:rsidRPr="00DE042A" w:rsidP="000D0D76" w14:paraId="3B6674AF" w14:textId="7183E469">
            <w:pPr>
              <w:spacing w:after="0" w:line="240" w:lineRule="auto"/>
              <w:ind w:left="-149" w:right="-105"/>
              <w:jc w:val="center"/>
              <w:rPr>
                <w:rFonts w:ascii="Arial" w:eastAsia="Calibri" w:hAnsi="Arial" w:cs="Arial"/>
                <w:b/>
                <w:bCs/>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5408D" w:rsidRPr="00DE042A" w:rsidP="00776DD0" w14:paraId="64972AD3" w14:textId="70EBA3F3">
            <w:pPr>
              <w:suppressAutoHyphens/>
              <w:spacing w:after="0" w:line="240" w:lineRule="auto"/>
              <w:ind w:left="-134" w:right="-105"/>
              <w:jc w:val="center"/>
              <w:rPr>
                <w:rFonts w:ascii="Arial" w:eastAsia="Times New Roman" w:hAnsi="Arial" w:cs="Times New Roman"/>
                <w:b/>
                <w:bCs/>
                <w:sz w:val="16"/>
                <w:szCs w:val="16"/>
              </w:rPr>
            </w:pPr>
            <w:r>
              <w:rPr>
                <w:rFonts w:ascii="Arial" w:eastAsia="Times New Roman" w:hAnsi="Arial" w:cs="Times New Roman"/>
                <w:b/>
                <w:bCs/>
                <w:sz w:val="16"/>
                <w:szCs w:val="16"/>
              </w:rPr>
              <w:t>11,561,694</w:t>
            </w:r>
          </w:p>
        </w:tc>
        <w:tc>
          <w:tcPr>
            <w:tcW w:w="0" w:type="auto"/>
            <w:tcBorders>
              <w:top w:val="single" w:sz="4" w:space="0" w:color="000000"/>
              <w:left w:val="single" w:sz="4" w:space="0" w:color="000000"/>
              <w:bottom w:val="single" w:sz="4" w:space="0" w:color="000000"/>
              <w:right w:val="single" w:sz="4" w:space="0" w:color="000000"/>
            </w:tcBorders>
          </w:tcPr>
          <w:p w:rsidR="008768F4" w:rsidRPr="00DE042A" w:rsidP="00776DD0" w14:paraId="1652C4E9" w14:textId="3450915F">
            <w:pPr>
              <w:tabs>
                <w:tab w:val="left" w:pos="-720"/>
              </w:tabs>
              <w:suppressAutoHyphens/>
              <w:spacing w:after="0" w:line="240" w:lineRule="auto"/>
              <w:ind w:right="-60"/>
              <w:rPr>
                <w:rFonts w:ascii="Arial" w:eastAsia="Times New Roman" w:hAnsi="Arial" w:cs="Times New Roman"/>
                <w:b/>
                <w:bCs/>
                <w:sz w:val="16"/>
                <w:szCs w:val="16"/>
              </w:rPr>
            </w:pPr>
            <w:r>
              <w:rPr>
                <w:rFonts w:ascii="Arial" w:eastAsia="Times New Roman" w:hAnsi="Arial" w:cs="Times New Roman"/>
                <w:b/>
                <w:bCs/>
                <w:sz w:val="16"/>
                <w:szCs w:val="16"/>
              </w:rPr>
              <w:t>80</w:t>
            </w:r>
            <w:r w:rsidR="00C21D0B">
              <w:rPr>
                <w:rFonts w:ascii="Arial" w:eastAsia="Times New Roman" w:hAnsi="Arial" w:cs="Times New Roman"/>
                <w:b/>
                <w:bCs/>
                <w:sz w:val="16"/>
                <w:szCs w:val="16"/>
              </w:rPr>
              <w:t>3</w:t>
            </w:r>
            <w:r>
              <w:rPr>
                <w:rFonts w:ascii="Arial" w:eastAsia="Times New Roman" w:hAnsi="Arial" w:cs="Times New Roman"/>
                <w:b/>
                <w:bCs/>
                <w:sz w:val="16"/>
                <w:szCs w:val="16"/>
              </w:rPr>
              <w:t>,</w:t>
            </w:r>
            <w:r w:rsidR="00C21D0B">
              <w:rPr>
                <w:rFonts w:ascii="Arial" w:eastAsia="Times New Roman" w:hAnsi="Arial" w:cs="Times New Roman"/>
                <w:b/>
                <w:bCs/>
                <w:sz w:val="16"/>
                <w:szCs w:val="16"/>
              </w:rPr>
              <w:t>142</w:t>
            </w:r>
          </w:p>
        </w:tc>
        <w:tc>
          <w:tcPr>
            <w:tcW w:w="0" w:type="auto"/>
            <w:tcBorders>
              <w:top w:val="single" w:sz="4" w:space="0" w:color="000000"/>
              <w:left w:val="single" w:sz="4" w:space="0" w:color="000000"/>
              <w:bottom w:val="single" w:sz="4" w:space="0" w:color="000000"/>
              <w:right w:val="single" w:sz="4" w:space="0" w:color="000000"/>
            </w:tcBorders>
          </w:tcPr>
          <w:p w:rsidR="00D91CC5" w:rsidP="00310878" w14:paraId="3EDCF393" w14:textId="59836237">
            <w:pPr>
              <w:suppressAutoHyphens/>
              <w:spacing w:after="0" w:line="240" w:lineRule="auto"/>
              <w:ind w:left="-74" w:right="-75"/>
              <w:jc w:val="center"/>
              <w:rPr>
                <w:rFonts w:ascii="Arial" w:eastAsia="Times New Roman" w:hAnsi="Arial" w:cs="Times New Roman"/>
                <w:b/>
                <w:bCs/>
                <w:sz w:val="16"/>
                <w:szCs w:val="16"/>
              </w:rPr>
            </w:pPr>
            <w:r w:rsidRPr="00DE042A">
              <w:rPr>
                <w:rFonts w:ascii="Arial" w:eastAsia="Times New Roman" w:hAnsi="Arial" w:cs="Times New Roman"/>
                <w:b/>
                <w:bCs/>
                <w:sz w:val="16"/>
                <w:szCs w:val="16"/>
              </w:rPr>
              <w:t>$</w:t>
            </w:r>
            <w:r w:rsidR="00721EDC">
              <w:rPr>
                <w:rFonts w:ascii="Arial" w:eastAsia="Times New Roman" w:hAnsi="Arial" w:cs="Times New Roman"/>
                <w:b/>
                <w:bCs/>
                <w:sz w:val="16"/>
                <w:szCs w:val="16"/>
              </w:rPr>
              <w:t>82,306,844</w:t>
            </w:r>
          </w:p>
          <w:p w:rsidR="0005408D" w:rsidRPr="00DE042A" w:rsidP="00310878" w14:paraId="0058D379" w14:textId="5B6476D5">
            <w:pPr>
              <w:suppressAutoHyphens/>
              <w:spacing w:after="0" w:line="240" w:lineRule="auto"/>
              <w:ind w:left="-74" w:right="-75"/>
              <w:jc w:val="center"/>
              <w:rPr>
                <w:rFonts w:ascii="Arial" w:eastAsia="Times New Roman" w:hAnsi="Arial" w:cs="Times New Roman"/>
                <w:b/>
                <w:bCs/>
                <w:sz w:val="16"/>
                <w:szCs w:val="16"/>
              </w:rPr>
            </w:pPr>
          </w:p>
        </w:tc>
      </w:tr>
    </w:tbl>
    <w:p w:rsidR="00CD6626" w:rsidP="00401B5D" w14:paraId="51D47699" w14:textId="77777777">
      <w:pPr>
        <w:rPr>
          <w:rFonts w:ascii="Times New Roman" w:hAnsi="Times New Roman" w:cs="Times New Roman"/>
          <w:sz w:val="24"/>
          <w:szCs w:val="24"/>
        </w:rPr>
      </w:pPr>
    </w:p>
    <w:sectPr w:rsidSect="006A01DA">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513F" w14:paraId="0317B09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4"/>
        <w:szCs w:val="24"/>
      </w:rPr>
      <w:id w:val="-1594226085"/>
      <w:docPartObj>
        <w:docPartGallery w:val="Page Numbers (Bottom of Page)"/>
        <w:docPartUnique/>
      </w:docPartObj>
    </w:sdtPr>
    <w:sdtEndPr>
      <w:rPr>
        <w:noProof/>
      </w:rPr>
    </w:sdtEndPr>
    <w:sdtContent>
      <w:p w:rsidR="006D513F" w:rsidRPr="00210C72" w14:paraId="780E850C" w14:textId="77777777">
        <w:pPr>
          <w:pStyle w:val="Footer"/>
          <w:jc w:val="center"/>
          <w:rPr>
            <w:rFonts w:ascii="Times New Roman" w:hAnsi="Times New Roman" w:cs="Times New Roman"/>
            <w:sz w:val="24"/>
            <w:szCs w:val="24"/>
          </w:rPr>
        </w:pPr>
        <w:r w:rsidRPr="00210C72">
          <w:rPr>
            <w:rFonts w:ascii="Times New Roman" w:hAnsi="Times New Roman" w:cs="Times New Roman"/>
            <w:sz w:val="24"/>
            <w:szCs w:val="24"/>
          </w:rPr>
          <w:fldChar w:fldCharType="begin"/>
        </w:r>
        <w:r w:rsidRPr="00210C72">
          <w:rPr>
            <w:rFonts w:ascii="Times New Roman" w:hAnsi="Times New Roman" w:cs="Times New Roman"/>
            <w:sz w:val="24"/>
            <w:szCs w:val="24"/>
          </w:rPr>
          <w:instrText xml:space="preserve"> PAGE   \* MERGEFORMAT </w:instrText>
        </w:r>
        <w:r w:rsidRPr="00210C72">
          <w:rPr>
            <w:rFonts w:ascii="Times New Roman" w:hAnsi="Times New Roman" w:cs="Times New Roman"/>
            <w:sz w:val="24"/>
            <w:szCs w:val="24"/>
          </w:rPr>
          <w:fldChar w:fldCharType="separate"/>
        </w:r>
        <w:r w:rsidRPr="00210C72">
          <w:rPr>
            <w:rFonts w:ascii="Times New Roman" w:hAnsi="Times New Roman" w:cs="Times New Roman"/>
            <w:noProof/>
            <w:sz w:val="24"/>
            <w:szCs w:val="24"/>
          </w:rPr>
          <w:t>2</w:t>
        </w:r>
        <w:r w:rsidRPr="00210C72">
          <w:rPr>
            <w:rFonts w:ascii="Times New Roman" w:hAnsi="Times New Roman" w:cs="Times New Roman"/>
            <w:noProof/>
            <w:sz w:val="24"/>
            <w:szCs w:val="24"/>
          </w:rPr>
          <w:fldChar w:fldCharType="end"/>
        </w:r>
      </w:p>
    </w:sdtContent>
  </w:sdt>
  <w:p w:rsidR="006D513F" w14:paraId="60131A9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8718410"/>
      <w:docPartObj>
        <w:docPartGallery w:val="Page Numbers (Bottom of Page)"/>
        <w:docPartUnique/>
      </w:docPartObj>
    </w:sdtPr>
    <w:sdtEndPr>
      <w:rPr>
        <w:noProof/>
      </w:rPr>
    </w:sdtEndPr>
    <w:sdtContent>
      <w:p w:rsidR="00E161C5" w14:paraId="59928296" w14:textId="1D1BCB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D513F" w14:paraId="34FF0AB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82597" w:rsidP="00D50C84" w14:paraId="38B9B4A0" w14:textId="77777777">
      <w:pPr>
        <w:spacing w:after="0" w:line="240" w:lineRule="auto"/>
      </w:pPr>
      <w:r>
        <w:separator/>
      </w:r>
    </w:p>
  </w:footnote>
  <w:footnote w:type="continuationSeparator" w:id="1">
    <w:p w:rsidR="00C82597" w:rsidP="00D50C84" w14:paraId="60265E6D" w14:textId="77777777">
      <w:pPr>
        <w:spacing w:after="0" w:line="240" w:lineRule="auto"/>
      </w:pPr>
      <w:r>
        <w:continuationSeparator/>
      </w:r>
    </w:p>
  </w:footnote>
  <w:footnote w:type="continuationNotice" w:id="2">
    <w:p w:rsidR="00C82597" w14:paraId="3D8AD79C" w14:textId="77777777">
      <w:pPr>
        <w:spacing w:after="0" w:line="240" w:lineRule="auto"/>
      </w:pPr>
    </w:p>
  </w:footnote>
  <w:footnote w:id="3">
    <w:p w:rsidR="006D513F" w:rsidRPr="00171D60" w:rsidP="00D50C84" w14:paraId="3A42C573" w14:textId="77777777">
      <w:pPr>
        <w:pStyle w:val="FootnoteText"/>
        <w:contextualSpacing/>
        <w:rPr>
          <w:rFonts w:ascii="Times New Roman" w:hAnsi="Times New Roman" w:cs="Times New Roman"/>
        </w:rPr>
      </w:pPr>
      <w:r w:rsidRPr="00171D60">
        <w:rPr>
          <w:rStyle w:val="FootnoteReference"/>
          <w:rFonts w:ascii="Times New Roman" w:hAnsi="Times New Roman" w:cs="Times New Roman"/>
        </w:rPr>
        <w:footnoteRef/>
      </w:r>
      <w:r w:rsidRPr="00171D60">
        <w:rPr>
          <w:rFonts w:ascii="Times New Roman" w:hAnsi="Times New Roman" w:cs="Times New Roman"/>
        </w:rPr>
        <w:t xml:space="preserve"> Dodd-Frank Act, Pub L. No. 111-203, 124 Stat. 1376 (2010)</w:t>
      </w:r>
    </w:p>
  </w:footnote>
  <w:footnote w:id="4">
    <w:p w:rsidR="003857C4" w:rsidRPr="00171D60" w14:paraId="3193180C" w14:textId="365247B7">
      <w:pPr>
        <w:pStyle w:val="FootnoteText"/>
        <w:contextualSpacing/>
        <w:rPr>
          <w:rFonts w:ascii="Times New Roman" w:hAnsi="Times New Roman" w:cs="Times New Roman"/>
        </w:rPr>
      </w:pPr>
      <w:r w:rsidRPr="00171D60">
        <w:rPr>
          <w:rStyle w:val="FootnoteReference"/>
          <w:rFonts w:ascii="Times New Roman" w:hAnsi="Times New Roman" w:cs="Times New Roman"/>
        </w:rPr>
        <w:footnoteRef/>
      </w:r>
      <w:r w:rsidRPr="00171D60">
        <w:rPr>
          <w:rFonts w:ascii="Times New Roman" w:hAnsi="Times New Roman" w:cs="Times New Roman"/>
        </w:rPr>
        <w:t xml:space="preserve"> </w:t>
      </w:r>
      <w:r w:rsidRPr="00171D60" w:rsidR="00293806">
        <w:rPr>
          <w:rFonts w:ascii="Times New Roman" w:hAnsi="Times New Roman" w:cs="Times New Roman"/>
        </w:rPr>
        <w:t xml:space="preserve">Real-Time Public </w:t>
      </w:r>
      <w:r w:rsidRPr="00171D60" w:rsidR="00686990">
        <w:rPr>
          <w:rFonts w:ascii="Times New Roman" w:hAnsi="Times New Roman" w:cs="Times New Roman"/>
        </w:rPr>
        <w:t>Reporting</w:t>
      </w:r>
      <w:r w:rsidRPr="00171D60" w:rsidR="00293806">
        <w:rPr>
          <w:rFonts w:ascii="Times New Roman" w:hAnsi="Times New Roman" w:cs="Times New Roman"/>
        </w:rPr>
        <w:t xml:space="preserve"> Requirements, 85 FR 75422 (November 25, 2020). </w:t>
      </w:r>
    </w:p>
  </w:footnote>
  <w:footnote w:id="5">
    <w:p w:rsidR="00B0685C" w:rsidRPr="00171D60" w14:paraId="774BC638" w14:textId="26BDCDE6">
      <w:pPr>
        <w:pStyle w:val="FootnoteText"/>
        <w:contextualSpacing/>
        <w:rPr>
          <w:rFonts w:ascii="Times New Roman" w:hAnsi="Times New Roman" w:cs="Times New Roman"/>
        </w:rPr>
      </w:pPr>
      <w:r w:rsidRPr="00171D60">
        <w:rPr>
          <w:rStyle w:val="FootnoteReference"/>
          <w:rFonts w:ascii="Times New Roman" w:hAnsi="Times New Roman" w:cs="Times New Roman"/>
        </w:rPr>
        <w:footnoteRef/>
      </w:r>
      <w:r w:rsidRPr="00171D60">
        <w:rPr>
          <w:rFonts w:ascii="Times New Roman" w:hAnsi="Times New Roman" w:cs="Times New Roman"/>
        </w:rPr>
        <w:t xml:space="preserve"> </w:t>
      </w:r>
      <w:r w:rsidRPr="00171D60" w:rsidR="00DC6E68">
        <w:rPr>
          <w:rFonts w:ascii="Times New Roman" w:hAnsi="Times New Roman" w:cs="Times New Roman"/>
          <w:i/>
        </w:rPr>
        <w:t xml:space="preserve">Swap Data Recordkeeping and Reporting Requirements, </w:t>
      </w:r>
      <w:r w:rsidRPr="00171D60" w:rsidR="00DC6E68">
        <w:rPr>
          <w:rFonts w:ascii="Times New Roman" w:hAnsi="Times New Roman" w:cs="Times New Roman"/>
        </w:rPr>
        <w:t xml:space="preserve">85 FR 75503 (November 25, 2020). </w:t>
      </w:r>
    </w:p>
  </w:footnote>
  <w:footnote w:id="6">
    <w:p w:rsidR="00E235BC" w:rsidRPr="00171D60" w:rsidP="00E235BC" w14:paraId="6CF70AD1" w14:textId="171CF660">
      <w:pPr>
        <w:pStyle w:val="FootnoteText"/>
        <w:spacing w:after="120"/>
        <w:contextualSpacing/>
        <w:rPr>
          <w:rFonts w:ascii="Times New Roman" w:hAnsi="Times New Roman" w:cs="Times New Roman"/>
        </w:rPr>
      </w:pPr>
      <w:r w:rsidRPr="00171D60">
        <w:rPr>
          <w:rStyle w:val="FootnoteReference"/>
          <w:rFonts w:ascii="Times New Roman" w:hAnsi="Times New Roman" w:cs="Times New Roman"/>
        </w:rPr>
        <w:footnoteRef/>
      </w:r>
      <w:r w:rsidRPr="00171D60">
        <w:rPr>
          <w:rFonts w:ascii="Times New Roman" w:hAnsi="Times New Roman" w:cs="Times New Roman"/>
        </w:rPr>
        <w:t xml:space="preserve"> </w:t>
      </w:r>
      <w:r w:rsidRPr="00171D60">
        <w:rPr>
          <w:rFonts w:ascii="Times New Roman" w:hAnsi="Times New Roman" w:cs="Times New Roman"/>
          <w:i/>
        </w:rPr>
        <w:t>Certain Swap Data Repository and Data Reporting Requirements</w:t>
      </w:r>
      <w:r w:rsidRPr="00171D60">
        <w:rPr>
          <w:rFonts w:ascii="Times New Roman" w:hAnsi="Times New Roman" w:cs="Times New Roman"/>
        </w:rPr>
        <w:t>, 85 Fed. Reg. 75601 (Nov. 25, 2020).</w:t>
      </w:r>
    </w:p>
  </w:footnote>
  <w:footnote w:id="7">
    <w:p w:rsidR="0036378E" w:rsidRPr="00171D60" w:rsidP="0036378E" w14:paraId="7264D724" w14:textId="00A5012C">
      <w:pPr>
        <w:pStyle w:val="FootnoteText"/>
        <w:spacing w:after="120"/>
        <w:contextualSpacing/>
        <w:rPr>
          <w:rFonts w:ascii="Times New Roman" w:hAnsi="Times New Roman" w:cs="Times New Roman"/>
        </w:rPr>
      </w:pPr>
      <w:r w:rsidRPr="00171D60">
        <w:rPr>
          <w:rStyle w:val="FootnoteReference"/>
          <w:rFonts w:ascii="Times New Roman" w:hAnsi="Times New Roman" w:cs="Times New Roman"/>
        </w:rPr>
        <w:footnoteRef/>
      </w:r>
      <w:r w:rsidRPr="00171D60">
        <w:rPr>
          <w:rFonts w:ascii="Times New Roman" w:hAnsi="Times New Roman" w:cs="Times New Roman"/>
        </w:rPr>
        <w:t xml:space="preserve"> </w:t>
      </w:r>
      <w:r w:rsidRPr="00171D60" w:rsidR="00E41E8E">
        <w:rPr>
          <w:rFonts w:ascii="Times New Roman" w:eastAsia="Times New Roman" w:hAnsi="Times New Roman" w:cs="Times New Roman"/>
          <w:color w:val="000000"/>
        </w:rPr>
        <w:t>SDR Reporting Rule</w:t>
      </w:r>
      <w:r w:rsidRPr="00171D60">
        <w:rPr>
          <w:rFonts w:ascii="Times New Roman" w:hAnsi="Times New Roman" w:cs="Times New Roman"/>
          <w:i/>
        </w:rPr>
        <w:t xml:space="preserve"> </w:t>
      </w:r>
      <w:r w:rsidRPr="00171D60">
        <w:rPr>
          <w:rFonts w:ascii="Times New Roman" w:hAnsi="Times New Roman" w:cs="Times New Roman"/>
        </w:rPr>
        <w:t>at</w:t>
      </w:r>
      <w:r w:rsidRPr="00171D60">
        <w:rPr>
          <w:rFonts w:ascii="Times New Roman" w:hAnsi="Times New Roman" w:cs="Times New Roman"/>
          <w:i/>
        </w:rPr>
        <w:t xml:space="preserve"> </w:t>
      </w:r>
      <w:r w:rsidRPr="00171D60">
        <w:rPr>
          <w:rFonts w:ascii="Times New Roman" w:hAnsi="Times New Roman" w:cs="Times New Roman"/>
        </w:rPr>
        <w:t>75626.</w:t>
      </w:r>
    </w:p>
  </w:footnote>
  <w:footnote w:id="8">
    <w:p w:rsidR="0036378E" w:rsidP="0036378E" w14:paraId="219E7BB6" w14:textId="683C6DD2">
      <w:pPr>
        <w:pStyle w:val="FootnoteText"/>
        <w:spacing w:after="120"/>
        <w:contextualSpacing/>
      </w:pPr>
      <w:r w:rsidRPr="00171D60">
        <w:rPr>
          <w:rStyle w:val="FootnoteReference"/>
          <w:rFonts w:ascii="Times New Roman" w:hAnsi="Times New Roman" w:cs="Times New Roman"/>
        </w:rPr>
        <w:footnoteRef/>
      </w:r>
      <w:r w:rsidRPr="00171D60">
        <w:rPr>
          <w:rFonts w:ascii="Times New Roman" w:hAnsi="Times New Roman" w:cs="Times New Roman"/>
        </w:rPr>
        <w:t xml:space="preserve"> </w:t>
      </w:r>
      <w:r w:rsidRPr="00171D60" w:rsidR="00E41E8E">
        <w:rPr>
          <w:rFonts w:ascii="Times New Roman" w:eastAsia="Times New Roman" w:hAnsi="Times New Roman" w:cs="Times New Roman"/>
          <w:color w:val="000000"/>
        </w:rPr>
        <w:t>SDR Reporting Rule</w:t>
      </w:r>
      <w:r w:rsidRPr="00171D60">
        <w:rPr>
          <w:rFonts w:ascii="Times New Roman" w:hAnsi="Times New Roman" w:cs="Times New Roman"/>
          <w:i/>
        </w:rPr>
        <w:t xml:space="preserve"> </w:t>
      </w:r>
      <w:r w:rsidRPr="00171D60">
        <w:rPr>
          <w:rFonts w:ascii="Times New Roman" w:hAnsi="Times New Roman" w:cs="Times New Roman"/>
        </w:rPr>
        <w:t>at 75610</w:t>
      </w:r>
      <w:r w:rsidRPr="00171D60">
        <w:rPr>
          <w:rFonts w:ascii="Times New Roman" w:hAnsi="Times New Roman" w:cs="Times New Roman"/>
          <w:i/>
        </w:rPr>
        <w:t>.</w:t>
      </w:r>
      <w:r>
        <w:rPr>
          <w:i/>
        </w:rPr>
        <w:t xml:space="preserve"> </w:t>
      </w:r>
    </w:p>
  </w:footnote>
  <w:footnote w:id="9">
    <w:p w:rsidR="00D72BE5" w:rsidRPr="00160E89" w:rsidP="00D72BE5" w14:paraId="1A7CBC27" w14:textId="77777777">
      <w:pPr>
        <w:pStyle w:val="FootnoteText"/>
        <w:contextualSpacing/>
        <w:rPr>
          <w:rFonts w:ascii="Times New Roman" w:hAnsi="Times New Roman" w:cs="Times New Roman"/>
        </w:rPr>
      </w:pPr>
      <w:r w:rsidRPr="00171D60">
        <w:rPr>
          <w:rStyle w:val="FootnoteReference"/>
          <w:rFonts w:ascii="Times New Roman" w:hAnsi="Times New Roman" w:cs="Times New Roman"/>
        </w:rPr>
        <w:footnoteRef/>
      </w:r>
      <w:r w:rsidRPr="00171D60">
        <w:rPr>
          <w:rFonts w:ascii="Times New Roman" w:hAnsi="Times New Roman" w:cs="Times New Roman"/>
        </w:rPr>
        <w:t xml:space="preserve"> </w:t>
      </w:r>
      <w:r w:rsidRPr="00160E89">
        <w:rPr>
          <w:rFonts w:ascii="Times New Roman" w:hAnsi="Times New Roman" w:cs="Times New Roman"/>
        </w:rPr>
        <w:t>17 C.F.R. § 45.14(a)(1)(ii).</w:t>
      </w:r>
    </w:p>
  </w:footnote>
  <w:footnote w:id="10">
    <w:p w:rsidR="00D72BE5" w:rsidRPr="00160E89" w:rsidP="00D72BE5" w14:paraId="3E4AECC6" w14:textId="77777777">
      <w:pPr>
        <w:pStyle w:val="FootnoteText"/>
        <w:contextualSpacing/>
        <w:rPr>
          <w:rFonts w:ascii="Times New Roman" w:hAnsi="Times New Roman" w:cs="Times New Roman"/>
        </w:rPr>
      </w:pPr>
      <w:r w:rsidRPr="00160E89">
        <w:rPr>
          <w:rStyle w:val="FootnoteReference"/>
          <w:rFonts w:ascii="Times New Roman" w:hAnsi="Times New Roman" w:cs="Times New Roman"/>
        </w:rPr>
        <w:footnoteRef/>
      </w:r>
      <w:r w:rsidRPr="00160E89">
        <w:rPr>
          <w:rFonts w:ascii="Times New Roman" w:hAnsi="Times New Roman" w:cs="Times New Roman"/>
        </w:rPr>
        <w:t xml:space="preserve"> 17 C.F.R. § 43.3(e)(1)(ii).</w:t>
      </w:r>
    </w:p>
  </w:footnote>
  <w:footnote w:id="11">
    <w:p w:rsidR="000D7928" w:rsidRPr="00171D60" w:rsidP="000D7928" w14:paraId="55053682" w14:textId="3D07D8EA">
      <w:pPr>
        <w:pStyle w:val="FootnoteText"/>
        <w:spacing w:after="120"/>
        <w:contextualSpacing/>
        <w:rPr>
          <w:i/>
          <w:iCs/>
          <w:sz w:val="19"/>
          <w:szCs w:val="19"/>
        </w:rPr>
      </w:pPr>
      <w:r w:rsidRPr="00160E89">
        <w:rPr>
          <w:rStyle w:val="FootnoteReference"/>
          <w:rFonts w:ascii="Times New Roman" w:hAnsi="Times New Roman" w:cs="Times New Roman"/>
        </w:rPr>
        <w:footnoteRef/>
      </w:r>
      <w:r w:rsidRPr="00160E89">
        <w:rPr>
          <w:rFonts w:ascii="Times New Roman" w:hAnsi="Times New Roman" w:cs="Times New Roman"/>
        </w:rPr>
        <w:t xml:space="preserve"> Since the publication of the original collection in 2012, the Commission has finalized </w:t>
      </w:r>
      <w:r w:rsidRPr="00160E89" w:rsidR="00572C98">
        <w:rPr>
          <w:rFonts w:ascii="Times New Roman" w:hAnsi="Times New Roman" w:cs="Times New Roman"/>
        </w:rPr>
        <w:t>two</w:t>
      </w:r>
      <w:r w:rsidRPr="00160E89">
        <w:rPr>
          <w:rFonts w:ascii="Times New Roman" w:hAnsi="Times New Roman" w:cs="Times New Roman"/>
        </w:rPr>
        <w:t xml:space="preserve"> rules that affected this Information Collection, and as a result, </w:t>
      </w:r>
      <w:r w:rsidR="00D96282">
        <w:rPr>
          <w:rFonts w:ascii="Times New Roman" w:hAnsi="Times New Roman" w:cs="Times New Roman"/>
        </w:rPr>
        <w:t>are included</w:t>
      </w:r>
      <w:r w:rsidRPr="00160E89">
        <w:rPr>
          <w:rFonts w:ascii="Times New Roman" w:hAnsi="Times New Roman" w:cs="Times New Roman"/>
        </w:rPr>
        <w:t xml:space="preserve"> under this Information Collection. In </w:t>
      </w:r>
      <w:r w:rsidRPr="00160E89" w:rsidR="00572C98">
        <w:rPr>
          <w:rFonts w:ascii="Times New Roman" w:hAnsi="Times New Roman" w:cs="Times New Roman"/>
        </w:rPr>
        <w:t>2013</w:t>
      </w:r>
      <w:r w:rsidRPr="00160E89" w:rsidR="00B947C1">
        <w:rPr>
          <w:rFonts w:ascii="Times New Roman" w:hAnsi="Times New Roman" w:cs="Times New Roman"/>
        </w:rPr>
        <w:t xml:space="preserve">, the Commission published amendments related to the </w:t>
      </w:r>
      <w:r w:rsidRPr="00160E89" w:rsidR="00AB1861">
        <w:rPr>
          <w:rFonts w:ascii="Times New Roman" w:hAnsi="Times New Roman" w:cs="Times New Roman"/>
        </w:rPr>
        <w:t xml:space="preserve">block sizes and large notional off-facility swap trades. </w:t>
      </w:r>
      <w:r w:rsidRPr="00160E89" w:rsidR="00AB1861">
        <w:rPr>
          <w:rFonts w:ascii="Times New Roman" w:hAnsi="Times New Roman" w:cs="Times New Roman"/>
          <w:i/>
        </w:rPr>
        <w:t xml:space="preserve">See </w:t>
      </w:r>
      <w:r w:rsidRPr="00160E89" w:rsidR="00AB1861">
        <w:rPr>
          <w:rFonts w:ascii="Times New Roman" w:hAnsi="Times New Roman" w:cs="Times New Roman"/>
        </w:rPr>
        <w:t xml:space="preserve">Final Rule, Procedures to </w:t>
      </w:r>
      <w:r w:rsidRPr="00160E89" w:rsidR="00171D60">
        <w:rPr>
          <w:rFonts w:ascii="Times New Roman" w:hAnsi="Times New Roman" w:cs="Times New Roman"/>
        </w:rPr>
        <w:t>Establish</w:t>
      </w:r>
      <w:r w:rsidRPr="00160E89" w:rsidR="00AB1861">
        <w:rPr>
          <w:rFonts w:ascii="Times New Roman" w:hAnsi="Times New Roman" w:cs="Times New Roman"/>
        </w:rPr>
        <w:t xml:space="preserve"> Appropriate Minimum Block Sizes for Large Notional Off-Facility Swaps and Block Trades</w:t>
      </w:r>
      <w:r w:rsidRPr="00160E89" w:rsidR="00526D94">
        <w:rPr>
          <w:rFonts w:ascii="Times New Roman" w:hAnsi="Times New Roman" w:cs="Times New Roman"/>
        </w:rPr>
        <w:t xml:space="preserve"> (May 31, 2013)</w:t>
      </w:r>
      <w:r w:rsidRPr="00160E89" w:rsidR="00BC0C62">
        <w:rPr>
          <w:rFonts w:ascii="Times New Roman" w:hAnsi="Times New Roman" w:cs="Times New Roman"/>
        </w:rPr>
        <w:t xml:space="preserve">. </w:t>
      </w:r>
      <w:r w:rsidRPr="00160E89">
        <w:rPr>
          <w:rFonts w:ascii="Times New Roman" w:eastAsia="Times New Roman" w:hAnsi="Times New Roman" w:cs="Times New Roman"/>
          <w:color w:val="000000"/>
        </w:rPr>
        <w:t>In 2020, the Commission published amendments to Part 4</w:t>
      </w:r>
      <w:r w:rsidRPr="00160E89" w:rsidR="00CC70F4">
        <w:rPr>
          <w:rFonts w:ascii="Times New Roman" w:eastAsia="Times New Roman" w:hAnsi="Times New Roman" w:cs="Times New Roman"/>
          <w:color w:val="000000"/>
        </w:rPr>
        <w:t>3</w:t>
      </w:r>
      <w:r w:rsidRPr="00160E89">
        <w:rPr>
          <w:rFonts w:ascii="Times New Roman" w:eastAsia="Times New Roman" w:hAnsi="Times New Roman" w:cs="Times New Roman"/>
          <w:color w:val="000000"/>
        </w:rPr>
        <w:t xml:space="preserve"> to streamline </w:t>
      </w:r>
      <w:r w:rsidRPr="00160E89" w:rsidR="00BC0C62">
        <w:rPr>
          <w:rFonts w:ascii="Times New Roman" w:eastAsia="Times New Roman" w:hAnsi="Times New Roman" w:cs="Times New Roman"/>
          <w:color w:val="000000"/>
        </w:rPr>
        <w:t xml:space="preserve">real-time </w:t>
      </w:r>
      <w:r w:rsidRPr="00160E89">
        <w:rPr>
          <w:rFonts w:ascii="Times New Roman" w:eastAsia="Times New Roman" w:hAnsi="Times New Roman" w:cs="Times New Roman"/>
          <w:color w:val="000000"/>
        </w:rPr>
        <w:t xml:space="preserve">reporting requirements and clarified </w:t>
      </w:r>
      <w:r w:rsidRPr="00751A56">
        <w:rPr>
          <w:rFonts w:ascii="Times New Roman" w:eastAsia="Times New Roman" w:hAnsi="Times New Roman" w:cs="Times New Roman"/>
          <w:color w:val="000000"/>
        </w:rPr>
        <w:t xml:space="preserve">certain provisions. </w:t>
      </w:r>
      <w:r w:rsidRPr="00751A56">
        <w:rPr>
          <w:rFonts w:ascii="Times New Roman" w:eastAsia="Times New Roman" w:hAnsi="Times New Roman" w:cs="Times New Roman"/>
          <w:i/>
          <w:color w:val="000000"/>
        </w:rPr>
        <w:t>See</w:t>
      </w:r>
      <w:r w:rsidRPr="00751A56">
        <w:rPr>
          <w:rFonts w:ascii="Times New Roman" w:eastAsia="Times New Roman" w:hAnsi="Times New Roman" w:cs="Times New Roman"/>
          <w:color w:val="000000"/>
        </w:rPr>
        <w:t xml:space="preserve">. </w:t>
      </w:r>
      <w:r w:rsidRPr="00751A56">
        <w:rPr>
          <w:rFonts w:ascii="Times New Roman" w:hAnsi="Times New Roman" w:cs="Times New Roman"/>
        </w:rPr>
        <w:t xml:space="preserve">Final Rule, </w:t>
      </w:r>
      <w:r w:rsidRPr="00751A56" w:rsidR="00E1429D">
        <w:rPr>
          <w:rFonts w:ascii="Times New Roman" w:hAnsi="Times New Roman" w:cs="Times New Roman"/>
        </w:rPr>
        <w:t>Real-Time Public Reporting Requirements, 85 FR 75422 (Nov. 25, 2020).</w:t>
      </w:r>
    </w:p>
  </w:footnote>
  <w:footnote w:id="12">
    <w:p w:rsidR="00D55801" w:rsidRPr="00512BBE" w:rsidP="00D55801" w14:paraId="48E33393" w14:textId="232470CD">
      <w:pPr>
        <w:pStyle w:val="FootnoteText"/>
        <w:rPr>
          <w:rFonts w:ascii="Times New Roman" w:hAnsi="Times New Roman" w:cs="Times New Roman"/>
        </w:rPr>
      </w:pPr>
      <w:r w:rsidRPr="00F94425">
        <w:rPr>
          <w:rStyle w:val="FootnoteReference"/>
          <w:rFonts w:ascii="Times New Roman" w:hAnsi="Times New Roman" w:cs="Times New Roman"/>
        </w:rPr>
        <w:footnoteRef/>
      </w:r>
      <w:r w:rsidRPr="00F94425">
        <w:rPr>
          <w:rFonts w:ascii="Times New Roman" w:hAnsi="Times New Roman" w:cs="Times New Roman"/>
        </w:rPr>
        <w:t xml:space="preserve"> </w:t>
      </w:r>
      <w:r>
        <w:rPr>
          <w:rFonts w:ascii="Times New Roman" w:hAnsi="Times New Roman" w:cs="Times New Roman"/>
        </w:rPr>
        <w:t>17 C.F.R. § 4</w:t>
      </w:r>
      <w:r w:rsidR="001C297E">
        <w:rPr>
          <w:rFonts w:ascii="Times New Roman" w:hAnsi="Times New Roman" w:cs="Times New Roman"/>
        </w:rPr>
        <w:t>3.3(e)</w:t>
      </w:r>
      <w:r w:rsidR="006952FB">
        <w:rPr>
          <w:rFonts w:ascii="Times New Roman" w:hAnsi="Times New Roman" w:cs="Times New Roman"/>
        </w:rPr>
        <w:t>(1)(ii)</w:t>
      </w:r>
    </w:p>
  </w:footnote>
  <w:footnote w:id="13">
    <w:p w:rsidR="006D513F" w:rsidRPr="002A4268" w:rsidP="00FF7177" w14:paraId="0F8F1814" w14:textId="77777777">
      <w:pPr>
        <w:autoSpaceDE w:val="0"/>
        <w:autoSpaceDN w:val="0"/>
        <w:adjustRightInd w:val="0"/>
        <w:spacing w:after="120"/>
        <w:rPr>
          <w:rFonts w:ascii="Times New Roman" w:hAnsi="Times New Roman" w:cs="Times New Roman"/>
          <w:sz w:val="14"/>
          <w:szCs w:val="14"/>
        </w:rPr>
      </w:pPr>
      <w:r w:rsidRPr="002A4268">
        <w:rPr>
          <w:rStyle w:val="FootnoteReference"/>
          <w:rFonts w:ascii="Times New Roman" w:hAnsi="Times New Roman" w:cs="Times New Roman"/>
        </w:rPr>
        <w:footnoteRef/>
      </w:r>
      <w:r w:rsidRPr="002A4268">
        <w:rPr>
          <w:rFonts w:ascii="Times New Roman" w:hAnsi="Times New Roman" w:cs="Times New Roman"/>
        </w:rPr>
        <w:t xml:space="preserve"> </w:t>
      </w:r>
      <w:r w:rsidRPr="002A4268">
        <w:rPr>
          <w:rFonts w:ascii="Times New Roman" w:eastAsia="Calibri" w:hAnsi="Times New Roman" w:cs="Times New Roman"/>
          <w:i/>
          <w:sz w:val="20"/>
          <w:szCs w:val="24"/>
        </w:rPr>
        <w:t>Policy Statement and Establishment of “Small Entities” for purposes of the Regulatory Flexibility Act</w:t>
      </w:r>
      <w:r w:rsidRPr="002A4268">
        <w:rPr>
          <w:rFonts w:ascii="Times New Roman" w:eastAsia="Calibri" w:hAnsi="Times New Roman" w:cs="Times New Roman"/>
          <w:sz w:val="20"/>
          <w:szCs w:val="24"/>
        </w:rPr>
        <w:t>, 47 FR 18618 (Apr. 30, 1982).</w:t>
      </w:r>
    </w:p>
  </w:footnote>
  <w:footnote w:id="14">
    <w:p w:rsidR="00A512D9" w14:paraId="0096002B" w14:textId="48B7B3C7">
      <w:pPr>
        <w:pStyle w:val="FootnoteText"/>
      </w:pPr>
      <w:r>
        <w:rPr>
          <w:rStyle w:val="FootnoteReference"/>
        </w:rPr>
        <w:footnoteRef/>
      </w:r>
      <w:r>
        <w:t xml:space="preserve"> </w:t>
      </w:r>
      <w:r w:rsidRPr="00DD1AFC">
        <w:rPr>
          <w:rFonts w:ascii="Times New Roman" w:eastAsia="Times New Roman" w:hAnsi="Times New Roman" w:cs="Times New Roman"/>
        </w:rPr>
        <w:t>2020 RTR Final Rule, 85 FR at 75457.</w:t>
      </w:r>
      <w:r w:rsidRPr="00DD1A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footnote>
  <w:footnote w:id="15">
    <w:p w:rsidR="00EE6C11" w:rsidRPr="00F94425" w:rsidP="00EE6C11" w14:paraId="48EC9009" w14:textId="77777777">
      <w:pPr>
        <w:pStyle w:val="FootnoteText"/>
        <w:rPr>
          <w:rFonts w:ascii="Times New Roman" w:hAnsi="Times New Roman" w:cs="Times New Roman"/>
        </w:rPr>
      </w:pPr>
      <w:r w:rsidRPr="00F94425">
        <w:rPr>
          <w:rStyle w:val="FootnoteReference"/>
          <w:rFonts w:ascii="Times New Roman" w:hAnsi="Times New Roman" w:cs="Times New Roman"/>
        </w:rPr>
        <w:footnoteRef/>
      </w:r>
      <w:r w:rsidRPr="00F94425">
        <w:rPr>
          <w:rFonts w:ascii="Times New Roman" w:hAnsi="Times New Roman" w:cs="Times New Roman"/>
        </w:rPr>
        <w:t xml:space="preserve"> Final Rule, Certain Swap Data Repository and Data Reporting Requirements, 85 Fed. Reg. 75601, 75633 (Nov. 25, 2020).</w:t>
      </w:r>
    </w:p>
  </w:footnote>
  <w:footnote w:id="16">
    <w:p w:rsidR="009437DC" w:rsidP="009437DC" w14:paraId="61EB9AD9" w14:textId="77777777">
      <w:pPr>
        <w:pStyle w:val="FootnoteText"/>
      </w:pPr>
      <w:r>
        <w:rPr>
          <w:rStyle w:val="FootnoteReference"/>
        </w:rPr>
        <w:footnoteRef/>
      </w:r>
      <w:r>
        <w:t xml:space="preserve"> </w:t>
      </w:r>
      <w:r w:rsidRPr="008B3A12">
        <w:rPr>
          <w:rFonts w:ascii="Times New Roman" w:hAnsi="Times New Roman" w:cs="Times New Roman"/>
        </w:rPr>
        <w:t xml:space="preserve">Staff note that the </w:t>
      </w:r>
      <w:r>
        <w:rPr>
          <w:rFonts w:ascii="Times New Roman" w:hAnsi="Times New Roman" w:cs="Times New Roman"/>
        </w:rPr>
        <w:t xml:space="preserve">salary </w:t>
      </w:r>
      <w:r w:rsidRPr="008B3A12">
        <w:rPr>
          <w:rFonts w:ascii="Times New Roman" w:hAnsi="Times New Roman" w:cs="Times New Roman"/>
        </w:rPr>
        <w:t xml:space="preserve">estimates for Computer Programmers (15-1251) </w:t>
      </w:r>
      <w:r>
        <w:rPr>
          <w:rFonts w:ascii="Times New Roman" w:hAnsi="Times New Roman" w:cs="Times New Roman"/>
        </w:rPr>
        <w:t xml:space="preserve">have not been </w:t>
      </w:r>
      <w:r w:rsidRPr="008B3A12">
        <w:rPr>
          <w:rFonts w:ascii="Times New Roman" w:hAnsi="Times New Roman" w:cs="Times New Roman"/>
        </w:rPr>
        <w:t xml:space="preserve">released in the </w:t>
      </w:r>
      <w:r>
        <w:rPr>
          <w:rFonts w:ascii="Times New Roman" w:hAnsi="Times New Roman" w:cs="Times New Roman"/>
        </w:rPr>
        <w:t xml:space="preserve">current </w:t>
      </w:r>
      <w:r w:rsidRPr="008B3A12">
        <w:rPr>
          <w:rFonts w:ascii="Times New Roman" w:hAnsi="Times New Roman" w:cs="Times New Roman"/>
        </w:rPr>
        <w:t xml:space="preserve">May 2024 </w:t>
      </w:r>
      <w:r>
        <w:rPr>
          <w:rFonts w:ascii="Times New Roman" w:hAnsi="Times New Roman" w:cs="Times New Roman"/>
        </w:rPr>
        <w:t>BLS</w:t>
      </w:r>
      <w:r w:rsidRPr="008B3A12">
        <w:rPr>
          <w:rFonts w:ascii="Times New Roman" w:hAnsi="Times New Roman" w:cs="Times New Roman"/>
        </w:rPr>
        <w:t>. As such, staff use</w:t>
      </w:r>
      <w:r>
        <w:rPr>
          <w:rFonts w:ascii="Times New Roman" w:hAnsi="Times New Roman" w:cs="Times New Roman"/>
        </w:rPr>
        <w:t xml:space="preserve"> </w:t>
      </w:r>
      <w:r w:rsidRPr="008B3A12">
        <w:rPr>
          <w:rFonts w:ascii="Times New Roman" w:hAnsi="Times New Roman" w:cs="Times New Roman"/>
        </w:rPr>
        <w:t xml:space="preserve">the estimates </w:t>
      </w:r>
      <w:r>
        <w:rPr>
          <w:rFonts w:ascii="Times New Roman" w:hAnsi="Times New Roman" w:cs="Times New Roman"/>
        </w:rPr>
        <w:t xml:space="preserve">for Computer Programmers </w:t>
      </w:r>
      <w:r w:rsidRPr="008B3A12">
        <w:rPr>
          <w:rFonts w:ascii="Times New Roman" w:hAnsi="Times New Roman" w:cs="Times New Roman"/>
        </w:rPr>
        <w:t xml:space="preserve">from the </w:t>
      </w:r>
      <w:r>
        <w:rPr>
          <w:rFonts w:ascii="Times New Roman" w:hAnsi="Times New Roman" w:cs="Times New Roman"/>
        </w:rPr>
        <w:t>May 2023 BLS, but salary estimates for the other professions are drawn from the May 2024 BLS</w:t>
      </w:r>
      <w:r>
        <w:t xml:space="preserve">. </w:t>
      </w:r>
    </w:p>
  </w:footnote>
  <w:footnote w:id="17">
    <w:p w:rsidR="009437DC" w:rsidRPr="000407CF" w:rsidP="009437DC" w14:paraId="26A06E0B" w14:textId="77777777">
      <w:pPr>
        <w:pStyle w:val="FootnoteText"/>
        <w:rPr>
          <w:rFonts w:ascii="Times New Roman" w:hAnsi="Times New Roman" w:cs="Times New Roman"/>
        </w:rPr>
      </w:pPr>
      <w:r w:rsidRPr="00F94425">
        <w:rPr>
          <w:rStyle w:val="FootnoteReference"/>
          <w:rFonts w:ascii="Times New Roman" w:hAnsi="Times New Roman" w:cs="Times New Roman"/>
        </w:rPr>
        <w:footnoteRef/>
      </w:r>
      <w:r w:rsidRPr="00F94425">
        <w:rPr>
          <w:rFonts w:ascii="Times New Roman" w:hAnsi="Times New Roman" w:cs="Times New Roman"/>
        </w:rPr>
        <w:t xml:space="preserve"> BLS Occupational Employment and Wages Report</w:t>
      </w:r>
      <w:r>
        <w:rPr>
          <w:rFonts w:ascii="Times New Roman" w:hAnsi="Times New Roman" w:cs="Times New Roman"/>
        </w:rPr>
        <w:t xml:space="preserve"> - </w:t>
      </w:r>
    </w:p>
    <w:p w:rsidR="009437DC" w:rsidRPr="000407CF" w:rsidP="009437DC" w14:paraId="73AA7575" w14:textId="77777777">
      <w:pPr>
        <w:pStyle w:val="FootnoteText"/>
        <w:rPr>
          <w:rFonts w:ascii="Times New Roman" w:hAnsi="Times New Roman" w:cs="Times New Roman"/>
        </w:rPr>
      </w:pPr>
      <w:r w:rsidRPr="000407CF">
        <w:rPr>
          <w:rFonts w:ascii="Times New Roman" w:hAnsi="Times New Roman" w:cs="Times New Roman"/>
        </w:rPr>
        <w:t>Industry: Securities, Commodity Contracts, and Other Financial Investments and Related Activities</w:t>
      </w:r>
    </w:p>
    <w:p w:rsidR="009437DC" w:rsidP="009437DC" w14:paraId="6D69050F" w14:textId="77777777">
      <w:pPr>
        <w:pStyle w:val="FootnoteText"/>
      </w:pPr>
      <w:r w:rsidRPr="000407CF">
        <w:rPr>
          <w:rFonts w:ascii="Times New Roman" w:hAnsi="Times New Roman" w:cs="Times New Roman"/>
        </w:rPr>
        <w:t>Period: May 2024</w:t>
      </w:r>
      <w:r>
        <w:rPr>
          <w:rFonts w:ascii="Times New Roman" w:hAnsi="Times New Roman" w:cs="Times New Roman"/>
        </w:rPr>
        <w:t xml:space="preserve">, </w:t>
      </w:r>
      <w:hyperlink r:id="rId1" w:anchor="/indOcc/Multiple%20occupations%20for%20one%20industry" w:history="1">
        <w:r w:rsidRPr="00C80CA8">
          <w:rPr>
            <w:rStyle w:val="Hyperlink"/>
            <w:rFonts w:ascii="Times New Roman" w:hAnsi="Times New Roman" w:cs="Times New Roman"/>
          </w:rPr>
          <w:t>https://data.bls.gov/oes/#/indOcc/Multiple%20occupations%20for%20one%20industry</w:t>
        </w:r>
      </w:hyperlink>
      <w:r>
        <w:rPr>
          <w:rFonts w:ascii="Times New Roman" w:hAnsi="Times New Roman" w:cs="Times New Roman"/>
        </w:rPr>
        <w:t xml:space="preserve"> (last visited April 7, 2025)</w:t>
      </w:r>
      <w:r w:rsidRPr="00F94425">
        <w:rPr>
          <w:rFonts w:ascii="Times New Roman" w:hAnsi="Times New Roman" w:cs="Times New Roman"/>
        </w:rPr>
        <w:t>.</w:t>
      </w:r>
    </w:p>
  </w:footnote>
  <w:footnote w:id="18">
    <w:p w:rsidR="009A310B" w:rsidRPr="00F94425" w:rsidP="009A310B" w14:paraId="4C5896B1" w14:textId="77777777">
      <w:pPr>
        <w:pStyle w:val="FootnoteText"/>
        <w:rPr>
          <w:rFonts w:ascii="Times New Roman" w:hAnsi="Times New Roman" w:cs="Times New Roman"/>
        </w:rPr>
      </w:pPr>
      <w:r w:rsidRPr="00F94425">
        <w:rPr>
          <w:rStyle w:val="FootnoteReference"/>
          <w:rFonts w:ascii="Times New Roman" w:hAnsi="Times New Roman" w:cs="Times New Roman"/>
        </w:rPr>
        <w:footnoteRef/>
      </w:r>
      <w:r w:rsidRPr="00F94425">
        <w:rPr>
          <w:rFonts w:ascii="Times New Roman" w:hAnsi="Times New Roman" w:cs="Times New Roman"/>
        </w:rPr>
        <w:t xml:space="preserve"> Numbers in the table are subject to rounding.</w:t>
      </w:r>
    </w:p>
  </w:footnote>
  <w:footnote w:id="19">
    <w:p w:rsidR="0005408D" w:rsidRPr="00FE503D" w:rsidP="0005408D" w14:paraId="5A395ED1" w14:textId="05E438D2">
      <w:pPr>
        <w:pStyle w:val="FootnoteText"/>
        <w:rPr>
          <w:sz w:val="16"/>
          <w:szCs w:val="16"/>
        </w:rPr>
      </w:pPr>
      <w:r w:rsidRPr="00F94425">
        <w:rPr>
          <w:rStyle w:val="FootnoteReference"/>
          <w:rFonts w:ascii="Times New Roman" w:hAnsi="Times New Roman" w:cs="Times New Roman"/>
        </w:rPr>
        <w:footnoteRef/>
      </w:r>
      <w:r w:rsidRPr="00F94425">
        <w:rPr>
          <w:rFonts w:ascii="Times New Roman" w:hAnsi="Times New Roman" w:cs="Times New Roman"/>
        </w:rPr>
        <w:t xml:space="preserve"> As described above in the answer to question 1</w:t>
      </w:r>
      <w:r w:rsidR="00DB2A87">
        <w:rPr>
          <w:rFonts w:ascii="Times New Roman" w:hAnsi="Times New Roman" w:cs="Times New Roman"/>
        </w:rPr>
        <w:t>2</w:t>
      </w:r>
      <w:r w:rsidRPr="00F94425">
        <w:rPr>
          <w:rFonts w:ascii="Times New Roman" w:hAnsi="Times New Roman" w:cs="Times New Roman"/>
        </w:rPr>
        <w:t xml:space="preserve">, the Commission calculated the average wage rate </w:t>
      </w:r>
      <w:r>
        <w:rPr>
          <w:rFonts w:ascii="Times New Roman" w:hAnsi="Times New Roman" w:cs="Times New Roman"/>
        </w:rPr>
        <w:t>as $</w:t>
      </w:r>
      <w:r w:rsidR="002E7256">
        <w:rPr>
          <w:rFonts w:ascii="Times New Roman" w:hAnsi="Times New Roman" w:cs="Times New Roman"/>
        </w:rPr>
        <w:t>102.62</w:t>
      </w:r>
      <w:r w:rsidRPr="00F94425">
        <w:rPr>
          <w:rFonts w:ascii="Times New Roman" w:hAnsi="Times New Roman" w:cs="Times New Roman"/>
        </w:rPr>
        <w:t>.</w:t>
      </w:r>
    </w:p>
  </w:footnote>
  <w:footnote w:id="20">
    <w:p w:rsidR="009761D7" w:rsidRPr="00AB2469" w14:paraId="0E7A4F80" w14:textId="245F751A">
      <w:pPr>
        <w:pStyle w:val="FootnoteText"/>
        <w:rPr>
          <w:rFonts w:ascii="Times New Roman" w:hAnsi="Times New Roman" w:cs="Times New Roman"/>
        </w:rPr>
      </w:pPr>
      <w:r>
        <w:rPr>
          <w:rStyle w:val="FootnoteReference"/>
        </w:rPr>
        <w:footnoteRef/>
      </w:r>
      <w:r>
        <w:t xml:space="preserve"> </w:t>
      </w:r>
      <w:r w:rsidRPr="00AB2469" w:rsidR="00BC6369">
        <w:rPr>
          <w:rFonts w:ascii="Times New Roman" w:hAnsi="Times New Roman" w:cs="Times New Roman"/>
        </w:rPr>
        <w:t xml:space="preserve">This estimate represents the average number of firms that submit Forms associated with this regulation. </w:t>
      </w:r>
    </w:p>
  </w:footnote>
  <w:footnote w:id="21">
    <w:p w:rsidR="008924C8" w14:paraId="0EE9EC9C" w14:textId="5B98F67F">
      <w:pPr>
        <w:pStyle w:val="FootnoteText"/>
      </w:pPr>
      <w:r>
        <w:rPr>
          <w:rStyle w:val="FootnoteReference"/>
        </w:rPr>
        <w:footnoteRef/>
      </w:r>
      <w:r>
        <w:t xml:space="preserve"> </w:t>
      </w:r>
      <w:r w:rsidRPr="00A5607E" w:rsidR="00A5607E">
        <w:rPr>
          <w:rFonts w:ascii="Times New Roman" w:hAnsi="Times New Roman" w:cs="Times New Roman"/>
        </w:rPr>
        <w:t>This estimate represents the total number of respondents that span across various regulatory requirements under Part 43. To avoid duplication, staff did not combine the number of respondents from each regulation in this Information Collection</w:t>
      </w:r>
      <w:r w:rsidR="00BC0AE3">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513F" w14:paraId="76A9808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513F" w14:paraId="0992D48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513F" w14:paraId="051C672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556521"/>
    <w:multiLevelType w:val="hybridMultilevel"/>
    <w:tmpl w:val="D5C6C782"/>
    <w:lvl w:ilvl="0">
      <w:start w:val="102"/>
      <w:numFmt w:val="bullet"/>
      <w:lvlText w:val="-"/>
      <w:lvlJc w:val="left"/>
      <w:pPr>
        <w:ind w:left="331" w:hanging="360"/>
      </w:pPr>
      <w:rPr>
        <w:rFonts w:ascii="Arial" w:eastAsia="Times New Roman" w:hAnsi="Arial" w:cs="Arial" w:hint="default"/>
      </w:rPr>
    </w:lvl>
    <w:lvl w:ilvl="1" w:tentative="1">
      <w:start w:val="1"/>
      <w:numFmt w:val="bullet"/>
      <w:lvlText w:val="o"/>
      <w:lvlJc w:val="left"/>
      <w:pPr>
        <w:ind w:left="1051" w:hanging="360"/>
      </w:pPr>
      <w:rPr>
        <w:rFonts w:ascii="Courier New" w:hAnsi="Courier New" w:cs="Courier New" w:hint="default"/>
      </w:rPr>
    </w:lvl>
    <w:lvl w:ilvl="2" w:tentative="1">
      <w:start w:val="1"/>
      <w:numFmt w:val="bullet"/>
      <w:lvlText w:val=""/>
      <w:lvlJc w:val="left"/>
      <w:pPr>
        <w:ind w:left="1771" w:hanging="360"/>
      </w:pPr>
      <w:rPr>
        <w:rFonts w:ascii="Wingdings" w:hAnsi="Wingdings" w:hint="default"/>
      </w:rPr>
    </w:lvl>
    <w:lvl w:ilvl="3" w:tentative="1">
      <w:start w:val="1"/>
      <w:numFmt w:val="bullet"/>
      <w:lvlText w:val=""/>
      <w:lvlJc w:val="left"/>
      <w:pPr>
        <w:ind w:left="2491" w:hanging="360"/>
      </w:pPr>
      <w:rPr>
        <w:rFonts w:ascii="Symbol" w:hAnsi="Symbol" w:hint="default"/>
      </w:rPr>
    </w:lvl>
    <w:lvl w:ilvl="4" w:tentative="1">
      <w:start w:val="1"/>
      <w:numFmt w:val="bullet"/>
      <w:lvlText w:val="o"/>
      <w:lvlJc w:val="left"/>
      <w:pPr>
        <w:ind w:left="3211" w:hanging="360"/>
      </w:pPr>
      <w:rPr>
        <w:rFonts w:ascii="Courier New" w:hAnsi="Courier New" w:cs="Courier New" w:hint="default"/>
      </w:rPr>
    </w:lvl>
    <w:lvl w:ilvl="5" w:tentative="1">
      <w:start w:val="1"/>
      <w:numFmt w:val="bullet"/>
      <w:lvlText w:val=""/>
      <w:lvlJc w:val="left"/>
      <w:pPr>
        <w:ind w:left="3931" w:hanging="360"/>
      </w:pPr>
      <w:rPr>
        <w:rFonts w:ascii="Wingdings" w:hAnsi="Wingdings" w:hint="default"/>
      </w:rPr>
    </w:lvl>
    <w:lvl w:ilvl="6" w:tentative="1">
      <w:start w:val="1"/>
      <w:numFmt w:val="bullet"/>
      <w:lvlText w:val=""/>
      <w:lvlJc w:val="left"/>
      <w:pPr>
        <w:ind w:left="4651" w:hanging="360"/>
      </w:pPr>
      <w:rPr>
        <w:rFonts w:ascii="Symbol" w:hAnsi="Symbol" w:hint="default"/>
      </w:rPr>
    </w:lvl>
    <w:lvl w:ilvl="7" w:tentative="1">
      <w:start w:val="1"/>
      <w:numFmt w:val="bullet"/>
      <w:lvlText w:val="o"/>
      <w:lvlJc w:val="left"/>
      <w:pPr>
        <w:ind w:left="5371" w:hanging="360"/>
      </w:pPr>
      <w:rPr>
        <w:rFonts w:ascii="Courier New" w:hAnsi="Courier New" w:cs="Courier New" w:hint="default"/>
      </w:rPr>
    </w:lvl>
    <w:lvl w:ilvl="8" w:tentative="1">
      <w:start w:val="1"/>
      <w:numFmt w:val="bullet"/>
      <w:lvlText w:val=""/>
      <w:lvlJc w:val="left"/>
      <w:pPr>
        <w:ind w:left="6091" w:hanging="360"/>
      </w:pPr>
      <w:rPr>
        <w:rFonts w:ascii="Wingdings" w:hAnsi="Wingdings" w:hint="default"/>
      </w:rPr>
    </w:lvl>
  </w:abstractNum>
  <w:abstractNum w:abstractNumId="1">
    <w:nsid w:val="5F9774E3"/>
    <w:multiLevelType w:val="hybridMultilevel"/>
    <w:tmpl w:val="050CF0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4037122">
    <w:abstractNumId w:val="1"/>
  </w:num>
  <w:num w:numId="2" w16cid:durableId="38399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84"/>
    <w:rsid w:val="00001EC7"/>
    <w:rsid w:val="00005186"/>
    <w:rsid w:val="00006A2F"/>
    <w:rsid w:val="00012C24"/>
    <w:rsid w:val="000173B3"/>
    <w:rsid w:val="000209CD"/>
    <w:rsid w:val="00023F86"/>
    <w:rsid w:val="00026DAD"/>
    <w:rsid w:val="00026F26"/>
    <w:rsid w:val="00027073"/>
    <w:rsid w:val="00037374"/>
    <w:rsid w:val="00037D08"/>
    <w:rsid w:val="000407CF"/>
    <w:rsid w:val="00044355"/>
    <w:rsid w:val="0005408D"/>
    <w:rsid w:val="00054F7F"/>
    <w:rsid w:val="00056330"/>
    <w:rsid w:val="000614B2"/>
    <w:rsid w:val="00066C2E"/>
    <w:rsid w:val="00071E35"/>
    <w:rsid w:val="00071F8D"/>
    <w:rsid w:val="00074132"/>
    <w:rsid w:val="00084413"/>
    <w:rsid w:val="000866C7"/>
    <w:rsid w:val="00094664"/>
    <w:rsid w:val="000A4D94"/>
    <w:rsid w:val="000A55A3"/>
    <w:rsid w:val="000A76ED"/>
    <w:rsid w:val="000B251A"/>
    <w:rsid w:val="000B2A4C"/>
    <w:rsid w:val="000C0B25"/>
    <w:rsid w:val="000C1114"/>
    <w:rsid w:val="000C25AE"/>
    <w:rsid w:val="000C2E69"/>
    <w:rsid w:val="000C531C"/>
    <w:rsid w:val="000C7186"/>
    <w:rsid w:val="000C79FF"/>
    <w:rsid w:val="000D0D76"/>
    <w:rsid w:val="000D6AE4"/>
    <w:rsid w:val="000D7928"/>
    <w:rsid w:val="000F0D16"/>
    <w:rsid w:val="000F4AE5"/>
    <w:rsid w:val="000F4F1B"/>
    <w:rsid w:val="000F5677"/>
    <w:rsid w:val="00100BE4"/>
    <w:rsid w:val="00103250"/>
    <w:rsid w:val="00115C94"/>
    <w:rsid w:val="001212FA"/>
    <w:rsid w:val="00122047"/>
    <w:rsid w:val="0012551A"/>
    <w:rsid w:val="00133891"/>
    <w:rsid w:val="00136150"/>
    <w:rsid w:val="00137D0B"/>
    <w:rsid w:val="0014038E"/>
    <w:rsid w:val="00142199"/>
    <w:rsid w:val="00144F27"/>
    <w:rsid w:val="00145E57"/>
    <w:rsid w:val="00147A80"/>
    <w:rsid w:val="00152343"/>
    <w:rsid w:val="001579D6"/>
    <w:rsid w:val="001607D2"/>
    <w:rsid w:val="00160E89"/>
    <w:rsid w:val="001636D9"/>
    <w:rsid w:val="0016414B"/>
    <w:rsid w:val="00164F27"/>
    <w:rsid w:val="00167EBB"/>
    <w:rsid w:val="00171D60"/>
    <w:rsid w:val="00173D2F"/>
    <w:rsid w:val="001757D1"/>
    <w:rsid w:val="00175BB5"/>
    <w:rsid w:val="0017722D"/>
    <w:rsid w:val="00180314"/>
    <w:rsid w:val="00183549"/>
    <w:rsid w:val="00193D18"/>
    <w:rsid w:val="00193D27"/>
    <w:rsid w:val="0019483D"/>
    <w:rsid w:val="00194F04"/>
    <w:rsid w:val="001A0318"/>
    <w:rsid w:val="001A3FA1"/>
    <w:rsid w:val="001A7E71"/>
    <w:rsid w:val="001B1030"/>
    <w:rsid w:val="001B1CEE"/>
    <w:rsid w:val="001B413F"/>
    <w:rsid w:val="001B56BA"/>
    <w:rsid w:val="001B5DDD"/>
    <w:rsid w:val="001B69C4"/>
    <w:rsid w:val="001C297E"/>
    <w:rsid w:val="001C35D8"/>
    <w:rsid w:val="001C6569"/>
    <w:rsid w:val="001C6841"/>
    <w:rsid w:val="001C68C2"/>
    <w:rsid w:val="001C6999"/>
    <w:rsid w:val="001D005D"/>
    <w:rsid w:val="001D0CFB"/>
    <w:rsid w:val="001D1EF0"/>
    <w:rsid w:val="001D2ED9"/>
    <w:rsid w:val="001D4E1E"/>
    <w:rsid w:val="001E054A"/>
    <w:rsid w:val="001E23B3"/>
    <w:rsid w:val="001E47A1"/>
    <w:rsid w:val="001F0259"/>
    <w:rsid w:val="001F08DE"/>
    <w:rsid w:val="001F4D74"/>
    <w:rsid w:val="00201D44"/>
    <w:rsid w:val="002028A7"/>
    <w:rsid w:val="00203D3D"/>
    <w:rsid w:val="00206CAF"/>
    <w:rsid w:val="00210C72"/>
    <w:rsid w:val="002150C3"/>
    <w:rsid w:val="00215E38"/>
    <w:rsid w:val="002160B7"/>
    <w:rsid w:val="00230997"/>
    <w:rsid w:val="00230D47"/>
    <w:rsid w:val="0023754B"/>
    <w:rsid w:val="00245ABD"/>
    <w:rsid w:val="00251864"/>
    <w:rsid w:val="00265027"/>
    <w:rsid w:val="00267225"/>
    <w:rsid w:val="00271E65"/>
    <w:rsid w:val="00272755"/>
    <w:rsid w:val="002740D4"/>
    <w:rsid w:val="00276615"/>
    <w:rsid w:val="00280151"/>
    <w:rsid w:val="00281B63"/>
    <w:rsid w:val="00282EBD"/>
    <w:rsid w:val="0028403C"/>
    <w:rsid w:val="00285C9E"/>
    <w:rsid w:val="00287933"/>
    <w:rsid w:val="00287B6B"/>
    <w:rsid w:val="002926DE"/>
    <w:rsid w:val="00293806"/>
    <w:rsid w:val="002A4268"/>
    <w:rsid w:val="002B0DBD"/>
    <w:rsid w:val="002B1567"/>
    <w:rsid w:val="002B68C9"/>
    <w:rsid w:val="002B74A1"/>
    <w:rsid w:val="002C12AF"/>
    <w:rsid w:val="002C4925"/>
    <w:rsid w:val="002C4CCB"/>
    <w:rsid w:val="002C5B13"/>
    <w:rsid w:val="002D0D26"/>
    <w:rsid w:val="002D576C"/>
    <w:rsid w:val="002E0BBB"/>
    <w:rsid w:val="002E1A93"/>
    <w:rsid w:val="002E2020"/>
    <w:rsid w:val="002E7256"/>
    <w:rsid w:val="002F61EE"/>
    <w:rsid w:val="003008D3"/>
    <w:rsid w:val="00301F11"/>
    <w:rsid w:val="003022B1"/>
    <w:rsid w:val="003022DC"/>
    <w:rsid w:val="00310878"/>
    <w:rsid w:val="003119E0"/>
    <w:rsid w:val="003137FE"/>
    <w:rsid w:val="003220EF"/>
    <w:rsid w:val="0032748C"/>
    <w:rsid w:val="0033029E"/>
    <w:rsid w:val="00337664"/>
    <w:rsid w:val="003441B8"/>
    <w:rsid w:val="00344581"/>
    <w:rsid w:val="00346C48"/>
    <w:rsid w:val="003476B4"/>
    <w:rsid w:val="00352130"/>
    <w:rsid w:val="0035434C"/>
    <w:rsid w:val="00354873"/>
    <w:rsid w:val="00354F74"/>
    <w:rsid w:val="0036378E"/>
    <w:rsid w:val="003657A1"/>
    <w:rsid w:val="00370918"/>
    <w:rsid w:val="00373CAB"/>
    <w:rsid w:val="00374BF2"/>
    <w:rsid w:val="00377B25"/>
    <w:rsid w:val="00380150"/>
    <w:rsid w:val="003805BE"/>
    <w:rsid w:val="0038460D"/>
    <w:rsid w:val="003857C4"/>
    <w:rsid w:val="00393E6A"/>
    <w:rsid w:val="003A164A"/>
    <w:rsid w:val="003A2B39"/>
    <w:rsid w:val="003A5BA6"/>
    <w:rsid w:val="003A610F"/>
    <w:rsid w:val="003B73DF"/>
    <w:rsid w:val="003C0E1E"/>
    <w:rsid w:val="003C2810"/>
    <w:rsid w:val="003C5906"/>
    <w:rsid w:val="003C61D5"/>
    <w:rsid w:val="003C7437"/>
    <w:rsid w:val="003D2C0B"/>
    <w:rsid w:val="003E43D2"/>
    <w:rsid w:val="003E5B7D"/>
    <w:rsid w:val="003E68E7"/>
    <w:rsid w:val="003E70AF"/>
    <w:rsid w:val="003F023F"/>
    <w:rsid w:val="003F7DBE"/>
    <w:rsid w:val="00401B5D"/>
    <w:rsid w:val="00402C43"/>
    <w:rsid w:val="00404A56"/>
    <w:rsid w:val="00406298"/>
    <w:rsid w:val="00411550"/>
    <w:rsid w:val="00413C40"/>
    <w:rsid w:val="00422F15"/>
    <w:rsid w:val="00424557"/>
    <w:rsid w:val="00424AC3"/>
    <w:rsid w:val="00426B52"/>
    <w:rsid w:val="00426C74"/>
    <w:rsid w:val="00431F7D"/>
    <w:rsid w:val="00434DC9"/>
    <w:rsid w:val="00436187"/>
    <w:rsid w:val="00436384"/>
    <w:rsid w:val="00437DF6"/>
    <w:rsid w:val="004407FC"/>
    <w:rsid w:val="00441660"/>
    <w:rsid w:val="00446B13"/>
    <w:rsid w:val="00446B80"/>
    <w:rsid w:val="0045189D"/>
    <w:rsid w:val="0045377F"/>
    <w:rsid w:val="0046134A"/>
    <w:rsid w:val="004639DC"/>
    <w:rsid w:val="00471465"/>
    <w:rsid w:val="00471988"/>
    <w:rsid w:val="00472BE7"/>
    <w:rsid w:val="0047447D"/>
    <w:rsid w:val="0048092B"/>
    <w:rsid w:val="00482C70"/>
    <w:rsid w:val="00484B8B"/>
    <w:rsid w:val="0048614D"/>
    <w:rsid w:val="004863FF"/>
    <w:rsid w:val="00495B30"/>
    <w:rsid w:val="00496A3D"/>
    <w:rsid w:val="004A0F89"/>
    <w:rsid w:val="004B7E02"/>
    <w:rsid w:val="004C0096"/>
    <w:rsid w:val="004C20BB"/>
    <w:rsid w:val="004C3270"/>
    <w:rsid w:val="004C38AC"/>
    <w:rsid w:val="004C564A"/>
    <w:rsid w:val="004C779A"/>
    <w:rsid w:val="004D23AB"/>
    <w:rsid w:val="004D5F1F"/>
    <w:rsid w:val="004D6191"/>
    <w:rsid w:val="004D6756"/>
    <w:rsid w:val="004D723A"/>
    <w:rsid w:val="004E5EC5"/>
    <w:rsid w:val="004E6DB7"/>
    <w:rsid w:val="004F17FF"/>
    <w:rsid w:val="004F4F55"/>
    <w:rsid w:val="00500573"/>
    <w:rsid w:val="0050125A"/>
    <w:rsid w:val="00502942"/>
    <w:rsid w:val="00503199"/>
    <w:rsid w:val="005036C3"/>
    <w:rsid w:val="0051144B"/>
    <w:rsid w:val="00512BBE"/>
    <w:rsid w:val="0051324A"/>
    <w:rsid w:val="0051557B"/>
    <w:rsid w:val="005201A0"/>
    <w:rsid w:val="0052186F"/>
    <w:rsid w:val="0052534E"/>
    <w:rsid w:val="00525D05"/>
    <w:rsid w:val="00526D94"/>
    <w:rsid w:val="00530996"/>
    <w:rsid w:val="005321D9"/>
    <w:rsid w:val="0053424B"/>
    <w:rsid w:val="00536C12"/>
    <w:rsid w:val="0053722C"/>
    <w:rsid w:val="005431D2"/>
    <w:rsid w:val="005453A1"/>
    <w:rsid w:val="00554D3A"/>
    <w:rsid w:val="005576F6"/>
    <w:rsid w:val="005613C3"/>
    <w:rsid w:val="00563272"/>
    <w:rsid w:val="0057224C"/>
    <w:rsid w:val="00572488"/>
    <w:rsid w:val="00572C98"/>
    <w:rsid w:val="0057478F"/>
    <w:rsid w:val="00575EB1"/>
    <w:rsid w:val="00583A25"/>
    <w:rsid w:val="00583CFE"/>
    <w:rsid w:val="0058619C"/>
    <w:rsid w:val="00592649"/>
    <w:rsid w:val="00594D98"/>
    <w:rsid w:val="0059659C"/>
    <w:rsid w:val="00596753"/>
    <w:rsid w:val="0059775B"/>
    <w:rsid w:val="00597CC2"/>
    <w:rsid w:val="00597F15"/>
    <w:rsid w:val="005A4A8A"/>
    <w:rsid w:val="005C048A"/>
    <w:rsid w:val="005C310B"/>
    <w:rsid w:val="005C4639"/>
    <w:rsid w:val="005D1DEC"/>
    <w:rsid w:val="005D7957"/>
    <w:rsid w:val="005E6847"/>
    <w:rsid w:val="005F1691"/>
    <w:rsid w:val="005F28CE"/>
    <w:rsid w:val="005F7F42"/>
    <w:rsid w:val="006009B3"/>
    <w:rsid w:val="00610294"/>
    <w:rsid w:val="006140F8"/>
    <w:rsid w:val="00615294"/>
    <w:rsid w:val="00615686"/>
    <w:rsid w:val="006170F7"/>
    <w:rsid w:val="00627385"/>
    <w:rsid w:val="00636DB9"/>
    <w:rsid w:val="006371D0"/>
    <w:rsid w:val="006427D3"/>
    <w:rsid w:val="00643165"/>
    <w:rsid w:val="006464D4"/>
    <w:rsid w:val="006551E8"/>
    <w:rsid w:val="00655366"/>
    <w:rsid w:val="00661B7C"/>
    <w:rsid w:val="00662C3F"/>
    <w:rsid w:val="00665298"/>
    <w:rsid w:val="006663F9"/>
    <w:rsid w:val="00667CC0"/>
    <w:rsid w:val="00673347"/>
    <w:rsid w:val="00674D04"/>
    <w:rsid w:val="00676361"/>
    <w:rsid w:val="0068036C"/>
    <w:rsid w:val="006812BB"/>
    <w:rsid w:val="006850BF"/>
    <w:rsid w:val="00686990"/>
    <w:rsid w:val="00686A7A"/>
    <w:rsid w:val="00687F22"/>
    <w:rsid w:val="00691A03"/>
    <w:rsid w:val="00694638"/>
    <w:rsid w:val="00694A2F"/>
    <w:rsid w:val="00694E40"/>
    <w:rsid w:val="006952FB"/>
    <w:rsid w:val="006A01DA"/>
    <w:rsid w:val="006A02BE"/>
    <w:rsid w:val="006A03EE"/>
    <w:rsid w:val="006A0502"/>
    <w:rsid w:val="006A1CAE"/>
    <w:rsid w:val="006A757A"/>
    <w:rsid w:val="006A7631"/>
    <w:rsid w:val="006A79C4"/>
    <w:rsid w:val="006B097F"/>
    <w:rsid w:val="006B15B8"/>
    <w:rsid w:val="006B1766"/>
    <w:rsid w:val="006B3302"/>
    <w:rsid w:val="006C25F7"/>
    <w:rsid w:val="006C4A0C"/>
    <w:rsid w:val="006C67BA"/>
    <w:rsid w:val="006D07AA"/>
    <w:rsid w:val="006D3BB5"/>
    <w:rsid w:val="006D513F"/>
    <w:rsid w:val="006F0257"/>
    <w:rsid w:val="006F788D"/>
    <w:rsid w:val="007007BE"/>
    <w:rsid w:val="00700BB2"/>
    <w:rsid w:val="007134A5"/>
    <w:rsid w:val="00717540"/>
    <w:rsid w:val="00717CC5"/>
    <w:rsid w:val="007205F9"/>
    <w:rsid w:val="00720B92"/>
    <w:rsid w:val="00721EDC"/>
    <w:rsid w:val="007309D3"/>
    <w:rsid w:val="00731631"/>
    <w:rsid w:val="00732516"/>
    <w:rsid w:val="0073272E"/>
    <w:rsid w:val="0073309C"/>
    <w:rsid w:val="00733428"/>
    <w:rsid w:val="00736CE8"/>
    <w:rsid w:val="00737582"/>
    <w:rsid w:val="007409DD"/>
    <w:rsid w:val="00741560"/>
    <w:rsid w:val="00742C7D"/>
    <w:rsid w:val="00742CB4"/>
    <w:rsid w:val="00743C3B"/>
    <w:rsid w:val="007446EF"/>
    <w:rsid w:val="0074505B"/>
    <w:rsid w:val="00745DF5"/>
    <w:rsid w:val="007479A8"/>
    <w:rsid w:val="00747CD7"/>
    <w:rsid w:val="00751146"/>
    <w:rsid w:val="00751A56"/>
    <w:rsid w:val="00752545"/>
    <w:rsid w:val="007608D0"/>
    <w:rsid w:val="0076399D"/>
    <w:rsid w:val="00763AE7"/>
    <w:rsid w:val="007642B0"/>
    <w:rsid w:val="007645A7"/>
    <w:rsid w:val="00764DC0"/>
    <w:rsid w:val="007674D2"/>
    <w:rsid w:val="00776DD0"/>
    <w:rsid w:val="0077704E"/>
    <w:rsid w:val="00784634"/>
    <w:rsid w:val="00784C1C"/>
    <w:rsid w:val="0079439B"/>
    <w:rsid w:val="007963D1"/>
    <w:rsid w:val="007B1658"/>
    <w:rsid w:val="007B33BC"/>
    <w:rsid w:val="007C0CF8"/>
    <w:rsid w:val="007C417E"/>
    <w:rsid w:val="007C4286"/>
    <w:rsid w:val="007C4FCE"/>
    <w:rsid w:val="007C554A"/>
    <w:rsid w:val="007C560C"/>
    <w:rsid w:val="007D044F"/>
    <w:rsid w:val="007D1429"/>
    <w:rsid w:val="007D5AFD"/>
    <w:rsid w:val="007D73CA"/>
    <w:rsid w:val="007E37CB"/>
    <w:rsid w:val="007E6F6A"/>
    <w:rsid w:val="007F0B1D"/>
    <w:rsid w:val="007F150B"/>
    <w:rsid w:val="007F1E6B"/>
    <w:rsid w:val="007F2569"/>
    <w:rsid w:val="007F46C2"/>
    <w:rsid w:val="007F60CD"/>
    <w:rsid w:val="007F6A7B"/>
    <w:rsid w:val="00800B12"/>
    <w:rsid w:val="0080211E"/>
    <w:rsid w:val="00803A88"/>
    <w:rsid w:val="008061A2"/>
    <w:rsid w:val="0080679D"/>
    <w:rsid w:val="00814190"/>
    <w:rsid w:val="00815853"/>
    <w:rsid w:val="008219B4"/>
    <w:rsid w:val="00832319"/>
    <w:rsid w:val="00833C8F"/>
    <w:rsid w:val="00842D41"/>
    <w:rsid w:val="00842DD9"/>
    <w:rsid w:val="00843B34"/>
    <w:rsid w:val="008453B3"/>
    <w:rsid w:val="0084591A"/>
    <w:rsid w:val="00850B09"/>
    <w:rsid w:val="00851633"/>
    <w:rsid w:val="00851776"/>
    <w:rsid w:val="00851C67"/>
    <w:rsid w:val="00851EE5"/>
    <w:rsid w:val="00857BC9"/>
    <w:rsid w:val="00857BF3"/>
    <w:rsid w:val="0086136A"/>
    <w:rsid w:val="0086193C"/>
    <w:rsid w:val="00863343"/>
    <w:rsid w:val="00863DBE"/>
    <w:rsid w:val="0087330E"/>
    <w:rsid w:val="008768F4"/>
    <w:rsid w:val="0088176E"/>
    <w:rsid w:val="00883B1B"/>
    <w:rsid w:val="00886429"/>
    <w:rsid w:val="008924C8"/>
    <w:rsid w:val="00893C0C"/>
    <w:rsid w:val="00894E3B"/>
    <w:rsid w:val="008952D1"/>
    <w:rsid w:val="00896BFE"/>
    <w:rsid w:val="008B3A12"/>
    <w:rsid w:val="008B6EE8"/>
    <w:rsid w:val="008C60CE"/>
    <w:rsid w:val="008D5A78"/>
    <w:rsid w:val="008E0E92"/>
    <w:rsid w:val="008E264E"/>
    <w:rsid w:val="008E2C8F"/>
    <w:rsid w:val="008E6062"/>
    <w:rsid w:val="008E6AB9"/>
    <w:rsid w:val="008F2E1F"/>
    <w:rsid w:val="008F6D4A"/>
    <w:rsid w:val="00901242"/>
    <w:rsid w:val="00902CB9"/>
    <w:rsid w:val="009058C9"/>
    <w:rsid w:val="00906281"/>
    <w:rsid w:val="009102CB"/>
    <w:rsid w:val="00910F00"/>
    <w:rsid w:val="0091105A"/>
    <w:rsid w:val="00912D19"/>
    <w:rsid w:val="00914703"/>
    <w:rsid w:val="00916A63"/>
    <w:rsid w:val="00927871"/>
    <w:rsid w:val="00930095"/>
    <w:rsid w:val="00930DB5"/>
    <w:rsid w:val="0093212F"/>
    <w:rsid w:val="00932A7A"/>
    <w:rsid w:val="00936DB4"/>
    <w:rsid w:val="009415F1"/>
    <w:rsid w:val="009431B1"/>
    <w:rsid w:val="009433D7"/>
    <w:rsid w:val="009437DC"/>
    <w:rsid w:val="00943D27"/>
    <w:rsid w:val="00945576"/>
    <w:rsid w:val="00945973"/>
    <w:rsid w:val="00946450"/>
    <w:rsid w:val="00953647"/>
    <w:rsid w:val="009564A9"/>
    <w:rsid w:val="009600CA"/>
    <w:rsid w:val="00963DF2"/>
    <w:rsid w:val="009662E4"/>
    <w:rsid w:val="00966C26"/>
    <w:rsid w:val="00966E70"/>
    <w:rsid w:val="009711A4"/>
    <w:rsid w:val="0097140D"/>
    <w:rsid w:val="009761D7"/>
    <w:rsid w:val="009763DA"/>
    <w:rsid w:val="0097684F"/>
    <w:rsid w:val="00982D72"/>
    <w:rsid w:val="009858CC"/>
    <w:rsid w:val="009932CE"/>
    <w:rsid w:val="00993635"/>
    <w:rsid w:val="00996C3D"/>
    <w:rsid w:val="00997751"/>
    <w:rsid w:val="009A036D"/>
    <w:rsid w:val="009A2EAD"/>
    <w:rsid w:val="009A310B"/>
    <w:rsid w:val="009A4A5E"/>
    <w:rsid w:val="009B32D2"/>
    <w:rsid w:val="009C0E08"/>
    <w:rsid w:val="009C5858"/>
    <w:rsid w:val="009D1F7D"/>
    <w:rsid w:val="009E198F"/>
    <w:rsid w:val="009E4E68"/>
    <w:rsid w:val="009E54A7"/>
    <w:rsid w:val="009E7127"/>
    <w:rsid w:val="009F07F7"/>
    <w:rsid w:val="009F0955"/>
    <w:rsid w:val="009F1F04"/>
    <w:rsid w:val="009F5E0D"/>
    <w:rsid w:val="00A0058C"/>
    <w:rsid w:val="00A02328"/>
    <w:rsid w:val="00A10457"/>
    <w:rsid w:val="00A13B03"/>
    <w:rsid w:val="00A15276"/>
    <w:rsid w:val="00A16BAA"/>
    <w:rsid w:val="00A22026"/>
    <w:rsid w:val="00A22363"/>
    <w:rsid w:val="00A246F6"/>
    <w:rsid w:val="00A278ED"/>
    <w:rsid w:val="00A27E6D"/>
    <w:rsid w:val="00A3041D"/>
    <w:rsid w:val="00A36B76"/>
    <w:rsid w:val="00A3739F"/>
    <w:rsid w:val="00A403A8"/>
    <w:rsid w:val="00A44730"/>
    <w:rsid w:val="00A4734C"/>
    <w:rsid w:val="00A47E47"/>
    <w:rsid w:val="00A512D9"/>
    <w:rsid w:val="00A5208A"/>
    <w:rsid w:val="00A5607E"/>
    <w:rsid w:val="00A5674F"/>
    <w:rsid w:val="00A64DB8"/>
    <w:rsid w:val="00A6701C"/>
    <w:rsid w:val="00A67571"/>
    <w:rsid w:val="00A67BE8"/>
    <w:rsid w:val="00A83BCD"/>
    <w:rsid w:val="00A85105"/>
    <w:rsid w:val="00A944A0"/>
    <w:rsid w:val="00A9573B"/>
    <w:rsid w:val="00A96301"/>
    <w:rsid w:val="00AA0AD0"/>
    <w:rsid w:val="00AA19BE"/>
    <w:rsid w:val="00AA58E7"/>
    <w:rsid w:val="00AA701C"/>
    <w:rsid w:val="00AB0E46"/>
    <w:rsid w:val="00AB1861"/>
    <w:rsid w:val="00AB1C72"/>
    <w:rsid w:val="00AB2469"/>
    <w:rsid w:val="00AB4BAA"/>
    <w:rsid w:val="00AC3A5D"/>
    <w:rsid w:val="00AC4C2E"/>
    <w:rsid w:val="00AC5C9A"/>
    <w:rsid w:val="00AD7058"/>
    <w:rsid w:val="00AE0858"/>
    <w:rsid w:val="00AE1F99"/>
    <w:rsid w:val="00AE685B"/>
    <w:rsid w:val="00AE6D5F"/>
    <w:rsid w:val="00AF5160"/>
    <w:rsid w:val="00AF57AE"/>
    <w:rsid w:val="00AF6F04"/>
    <w:rsid w:val="00B01B42"/>
    <w:rsid w:val="00B02289"/>
    <w:rsid w:val="00B04AFB"/>
    <w:rsid w:val="00B0685C"/>
    <w:rsid w:val="00B07191"/>
    <w:rsid w:val="00B104CC"/>
    <w:rsid w:val="00B238B1"/>
    <w:rsid w:val="00B3077A"/>
    <w:rsid w:val="00B34AAC"/>
    <w:rsid w:val="00B42D4C"/>
    <w:rsid w:val="00B4433B"/>
    <w:rsid w:val="00B47AB4"/>
    <w:rsid w:val="00B511BF"/>
    <w:rsid w:val="00B54484"/>
    <w:rsid w:val="00B57F7C"/>
    <w:rsid w:val="00B60507"/>
    <w:rsid w:val="00B6113A"/>
    <w:rsid w:val="00B62AE5"/>
    <w:rsid w:val="00B62D4C"/>
    <w:rsid w:val="00B64E3B"/>
    <w:rsid w:val="00B72BB7"/>
    <w:rsid w:val="00B72BDC"/>
    <w:rsid w:val="00B72E39"/>
    <w:rsid w:val="00B73665"/>
    <w:rsid w:val="00B749D0"/>
    <w:rsid w:val="00B9257C"/>
    <w:rsid w:val="00B927A5"/>
    <w:rsid w:val="00B947C1"/>
    <w:rsid w:val="00B97300"/>
    <w:rsid w:val="00B97923"/>
    <w:rsid w:val="00B97D18"/>
    <w:rsid w:val="00BA156B"/>
    <w:rsid w:val="00BA3302"/>
    <w:rsid w:val="00BA75F4"/>
    <w:rsid w:val="00BB3508"/>
    <w:rsid w:val="00BB5385"/>
    <w:rsid w:val="00BB7015"/>
    <w:rsid w:val="00BC0AE3"/>
    <w:rsid w:val="00BC0C62"/>
    <w:rsid w:val="00BC47B0"/>
    <w:rsid w:val="00BC6369"/>
    <w:rsid w:val="00BD03BE"/>
    <w:rsid w:val="00BD371A"/>
    <w:rsid w:val="00BD38B4"/>
    <w:rsid w:val="00BF451A"/>
    <w:rsid w:val="00BF5B84"/>
    <w:rsid w:val="00BF5C8C"/>
    <w:rsid w:val="00BF5D5E"/>
    <w:rsid w:val="00C10640"/>
    <w:rsid w:val="00C107D2"/>
    <w:rsid w:val="00C136C9"/>
    <w:rsid w:val="00C2123C"/>
    <w:rsid w:val="00C21D0B"/>
    <w:rsid w:val="00C22B2F"/>
    <w:rsid w:val="00C24795"/>
    <w:rsid w:val="00C32D96"/>
    <w:rsid w:val="00C44571"/>
    <w:rsid w:val="00C51685"/>
    <w:rsid w:val="00C6101A"/>
    <w:rsid w:val="00C6107F"/>
    <w:rsid w:val="00C659FE"/>
    <w:rsid w:val="00C65B19"/>
    <w:rsid w:val="00C67E35"/>
    <w:rsid w:val="00C7257A"/>
    <w:rsid w:val="00C72A64"/>
    <w:rsid w:val="00C72C3C"/>
    <w:rsid w:val="00C7589B"/>
    <w:rsid w:val="00C80069"/>
    <w:rsid w:val="00C80CA8"/>
    <w:rsid w:val="00C8136A"/>
    <w:rsid w:val="00C82597"/>
    <w:rsid w:val="00C8298D"/>
    <w:rsid w:val="00C86BC9"/>
    <w:rsid w:val="00C93A30"/>
    <w:rsid w:val="00CA0584"/>
    <w:rsid w:val="00CA1A7C"/>
    <w:rsid w:val="00CA3018"/>
    <w:rsid w:val="00CA567C"/>
    <w:rsid w:val="00CA67D9"/>
    <w:rsid w:val="00CB4570"/>
    <w:rsid w:val="00CB5464"/>
    <w:rsid w:val="00CC0E90"/>
    <w:rsid w:val="00CC117E"/>
    <w:rsid w:val="00CC1DAD"/>
    <w:rsid w:val="00CC1DB5"/>
    <w:rsid w:val="00CC32C5"/>
    <w:rsid w:val="00CC39BE"/>
    <w:rsid w:val="00CC70F4"/>
    <w:rsid w:val="00CC7323"/>
    <w:rsid w:val="00CC7A79"/>
    <w:rsid w:val="00CD26A8"/>
    <w:rsid w:val="00CD48AE"/>
    <w:rsid w:val="00CD6626"/>
    <w:rsid w:val="00CD6AB2"/>
    <w:rsid w:val="00CE379D"/>
    <w:rsid w:val="00CE3860"/>
    <w:rsid w:val="00CE6082"/>
    <w:rsid w:val="00CE661C"/>
    <w:rsid w:val="00CE6DAA"/>
    <w:rsid w:val="00CE7CED"/>
    <w:rsid w:val="00CF1A8F"/>
    <w:rsid w:val="00D06AC1"/>
    <w:rsid w:val="00D07ED5"/>
    <w:rsid w:val="00D10439"/>
    <w:rsid w:val="00D11EF9"/>
    <w:rsid w:val="00D13444"/>
    <w:rsid w:val="00D151AE"/>
    <w:rsid w:val="00D165E6"/>
    <w:rsid w:val="00D25761"/>
    <w:rsid w:val="00D26B1B"/>
    <w:rsid w:val="00D275C2"/>
    <w:rsid w:val="00D27FC4"/>
    <w:rsid w:val="00D31219"/>
    <w:rsid w:val="00D44389"/>
    <w:rsid w:val="00D446C9"/>
    <w:rsid w:val="00D50551"/>
    <w:rsid w:val="00D50C84"/>
    <w:rsid w:val="00D55229"/>
    <w:rsid w:val="00D55801"/>
    <w:rsid w:val="00D6108B"/>
    <w:rsid w:val="00D6190F"/>
    <w:rsid w:val="00D630E8"/>
    <w:rsid w:val="00D6796C"/>
    <w:rsid w:val="00D72BE5"/>
    <w:rsid w:val="00D7577B"/>
    <w:rsid w:val="00D84170"/>
    <w:rsid w:val="00D852AF"/>
    <w:rsid w:val="00D86F0F"/>
    <w:rsid w:val="00D911E3"/>
    <w:rsid w:val="00D91CC5"/>
    <w:rsid w:val="00D9544B"/>
    <w:rsid w:val="00D95971"/>
    <w:rsid w:val="00D96282"/>
    <w:rsid w:val="00DA58AA"/>
    <w:rsid w:val="00DB0131"/>
    <w:rsid w:val="00DB227E"/>
    <w:rsid w:val="00DB2A87"/>
    <w:rsid w:val="00DB4897"/>
    <w:rsid w:val="00DB7A5D"/>
    <w:rsid w:val="00DC6E68"/>
    <w:rsid w:val="00DC73A9"/>
    <w:rsid w:val="00DD1A20"/>
    <w:rsid w:val="00DD1AFC"/>
    <w:rsid w:val="00DD1BA0"/>
    <w:rsid w:val="00DD27BB"/>
    <w:rsid w:val="00DD3E98"/>
    <w:rsid w:val="00DD5646"/>
    <w:rsid w:val="00DD70FB"/>
    <w:rsid w:val="00DE042A"/>
    <w:rsid w:val="00DE4171"/>
    <w:rsid w:val="00DE76DE"/>
    <w:rsid w:val="00DF56AE"/>
    <w:rsid w:val="00DF789D"/>
    <w:rsid w:val="00DF7E26"/>
    <w:rsid w:val="00E026B5"/>
    <w:rsid w:val="00E0304B"/>
    <w:rsid w:val="00E03FD1"/>
    <w:rsid w:val="00E07AEB"/>
    <w:rsid w:val="00E1429D"/>
    <w:rsid w:val="00E1576B"/>
    <w:rsid w:val="00E161C5"/>
    <w:rsid w:val="00E16390"/>
    <w:rsid w:val="00E1671D"/>
    <w:rsid w:val="00E17B2C"/>
    <w:rsid w:val="00E21E52"/>
    <w:rsid w:val="00E235BC"/>
    <w:rsid w:val="00E23E3F"/>
    <w:rsid w:val="00E2490A"/>
    <w:rsid w:val="00E31A9F"/>
    <w:rsid w:val="00E33872"/>
    <w:rsid w:val="00E37320"/>
    <w:rsid w:val="00E41E8E"/>
    <w:rsid w:val="00E44993"/>
    <w:rsid w:val="00E456DD"/>
    <w:rsid w:val="00E45DEF"/>
    <w:rsid w:val="00E475DC"/>
    <w:rsid w:val="00E51F59"/>
    <w:rsid w:val="00E5293E"/>
    <w:rsid w:val="00E52DC0"/>
    <w:rsid w:val="00E55A50"/>
    <w:rsid w:val="00E55D9B"/>
    <w:rsid w:val="00E57059"/>
    <w:rsid w:val="00E615A7"/>
    <w:rsid w:val="00E6296E"/>
    <w:rsid w:val="00E636BA"/>
    <w:rsid w:val="00E67325"/>
    <w:rsid w:val="00E708A3"/>
    <w:rsid w:val="00E74686"/>
    <w:rsid w:val="00E77DCE"/>
    <w:rsid w:val="00E816F4"/>
    <w:rsid w:val="00E86488"/>
    <w:rsid w:val="00E91666"/>
    <w:rsid w:val="00E940FE"/>
    <w:rsid w:val="00E95231"/>
    <w:rsid w:val="00E95528"/>
    <w:rsid w:val="00E96061"/>
    <w:rsid w:val="00E9675D"/>
    <w:rsid w:val="00EA6D28"/>
    <w:rsid w:val="00EB79E7"/>
    <w:rsid w:val="00EC3E04"/>
    <w:rsid w:val="00EC6C60"/>
    <w:rsid w:val="00EC70E2"/>
    <w:rsid w:val="00EC7150"/>
    <w:rsid w:val="00ED030C"/>
    <w:rsid w:val="00ED0933"/>
    <w:rsid w:val="00ED3177"/>
    <w:rsid w:val="00ED3473"/>
    <w:rsid w:val="00ED373F"/>
    <w:rsid w:val="00ED3FD0"/>
    <w:rsid w:val="00EE0C74"/>
    <w:rsid w:val="00EE39FF"/>
    <w:rsid w:val="00EE4AA0"/>
    <w:rsid w:val="00EE561C"/>
    <w:rsid w:val="00EE6C11"/>
    <w:rsid w:val="00EF1247"/>
    <w:rsid w:val="00EF5859"/>
    <w:rsid w:val="00F00ECC"/>
    <w:rsid w:val="00F05995"/>
    <w:rsid w:val="00F07F9F"/>
    <w:rsid w:val="00F1267D"/>
    <w:rsid w:val="00F130FA"/>
    <w:rsid w:val="00F212A9"/>
    <w:rsid w:val="00F23B82"/>
    <w:rsid w:val="00F40F33"/>
    <w:rsid w:val="00F422D3"/>
    <w:rsid w:val="00F4359E"/>
    <w:rsid w:val="00F45F5F"/>
    <w:rsid w:val="00F46E39"/>
    <w:rsid w:val="00F520D3"/>
    <w:rsid w:val="00F54BC5"/>
    <w:rsid w:val="00F57881"/>
    <w:rsid w:val="00F60BE3"/>
    <w:rsid w:val="00F64FF9"/>
    <w:rsid w:val="00F764CC"/>
    <w:rsid w:val="00F83804"/>
    <w:rsid w:val="00F839DB"/>
    <w:rsid w:val="00F861C0"/>
    <w:rsid w:val="00F87018"/>
    <w:rsid w:val="00F87353"/>
    <w:rsid w:val="00F9158E"/>
    <w:rsid w:val="00F92696"/>
    <w:rsid w:val="00F930B7"/>
    <w:rsid w:val="00F93D34"/>
    <w:rsid w:val="00F94425"/>
    <w:rsid w:val="00FA0330"/>
    <w:rsid w:val="00FA1BF1"/>
    <w:rsid w:val="00FA3F61"/>
    <w:rsid w:val="00FA47C6"/>
    <w:rsid w:val="00FB0C6E"/>
    <w:rsid w:val="00FB14F8"/>
    <w:rsid w:val="00FB4794"/>
    <w:rsid w:val="00FC0610"/>
    <w:rsid w:val="00FC2D3C"/>
    <w:rsid w:val="00FC4877"/>
    <w:rsid w:val="00FD016B"/>
    <w:rsid w:val="00FD02F9"/>
    <w:rsid w:val="00FD06B7"/>
    <w:rsid w:val="00FD12B7"/>
    <w:rsid w:val="00FD2E7D"/>
    <w:rsid w:val="00FD4E9C"/>
    <w:rsid w:val="00FE15A3"/>
    <w:rsid w:val="00FE503D"/>
    <w:rsid w:val="00FE5DC4"/>
    <w:rsid w:val="00FE6CD2"/>
    <w:rsid w:val="00FF1B95"/>
    <w:rsid w:val="00FF25BB"/>
    <w:rsid w:val="00FF26D2"/>
    <w:rsid w:val="00FF332A"/>
    <w:rsid w:val="00FF6C16"/>
    <w:rsid w:val="00FF6EC0"/>
    <w:rsid w:val="00FF7177"/>
    <w:rsid w:val="34FF728A"/>
    <w:rsid w:val="40301CD8"/>
    <w:rsid w:val="73EF9FA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FEFEDF7"/>
  <w15:chartTrackingRefBased/>
  <w15:docId w15:val="{A44EE18E-83D3-4BBC-B26A-6E6EFC1A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C84"/>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n,ft"/>
    <w:basedOn w:val="Normal"/>
    <w:link w:val="FootnoteTextChar"/>
    <w:uiPriority w:val="99"/>
    <w:semiHidden/>
    <w:unhideWhenUsed/>
    <w:qFormat/>
    <w:rsid w:val="00D50C84"/>
    <w:pPr>
      <w:spacing w:after="0" w:line="240" w:lineRule="auto"/>
    </w:pPr>
    <w:rPr>
      <w:sz w:val="20"/>
      <w:szCs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n Char"/>
    <w:basedOn w:val="DefaultParagraphFont"/>
    <w:link w:val="FootnoteText"/>
    <w:uiPriority w:val="99"/>
    <w:semiHidden/>
    <w:rsid w:val="00D50C84"/>
    <w:rPr>
      <w:rFonts w:asciiTheme="minorHAnsi" w:hAnsiTheme="minorHAnsi" w:cstheme="minorBidi"/>
      <w:sz w:val="20"/>
      <w:szCs w:val="20"/>
    </w:rPr>
  </w:style>
  <w:style w:type="character" w:styleId="FootnoteReference">
    <w:name w:val="footnote reference"/>
    <w:aliases w:val="12,16 Point,Footnote Reference Number,Footnote Reference_LVL6,Footnote Reference_LVL61,Footnote Reference_LVL62,Footnote Reference_LVL63,Footnote Reference_LVL64,Style 14,Style 16,Style 19,Style 35,Style 39,Superscript 6 Point,fr"/>
    <w:uiPriority w:val="99"/>
    <w:qFormat/>
    <w:rsid w:val="00D50C84"/>
    <w:rPr>
      <w:vertAlign w:val="superscript"/>
    </w:rPr>
  </w:style>
  <w:style w:type="table" w:styleId="TableGrid">
    <w:name w:val="Table Grid"/>
    <w:basedOn w:val="TableNormal"/>
    <w:uiPriority w:val="59"/>
    <w:rsid w:val="00D50C8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0858"/>
    <w:rPr>
      <w:color w:val="0563C1" w:themeColor="hyperlink"/>
      <w:u w:val="single"/>
    </w:rPr>
  </w:style>
  <w:style w:type="character" w:styleId="UnresolvedMention">
    <w:name w:val="Unresolved Mention"/>
    <w:basedOn w:val="DefaultParagraphFont"/>
    <w:uiPriority w:val="99"/>
    <w:semiHidden/>
    <w:unhideWhenUsed/>
    <w:rsid w:val="00AE0858"/>
    <w:rPr>
      <w:color w:val="605E5C"/>
      <w:shd w:val="clear" w:color="auto" w:fill="E1DFDD"/>
    </w:rPr>
  </w:style>
  <w:style w:type="paragraph" w:styleId="BalloonText">
    <w:name w:val="Balloon Text"/>
    <w:basedOn w:val="Normal"/>
    <w:link w:val="BalloonTextChar"/>
    <w:uiPriority w:val="99"/>
    <w:semiHidden/>
    <w:unhideWhenUsed/>
    <w:rsid w:val="00AE0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858"/>
    <w:rPr>
      <w:rFonts w:ascii="Segoe UI" w:hAnsi="Segoe UI" w:cs="Segoe UI"/>
      <w:sz w:val="18"/>
      <w:szCs w:val="18"/>
    </w:rPr>
  </w:style>
  <w:style w:type="character" w:styleId="FollowedHyperlink">
    <w:name w:val="FollowedHyperlink"/>
    <w:basedOn w:val="DefaultParagraphFont"/>
    <w:uiPriority w:val="99"/>
    <w:semiHidden/>
    <w:unhideWhenUsed/>
    <w:rsid w:val="00AE0858"/>
    <w:rPr>
      <w:color w:val="954F72" w:themeColor="followedHyperlink"/>
      <w:u w:val="single"/>
    </w:rPr>
  </w:style>
  <w:style w:type="paragraph" w:styleId="Header">
    <w:name w:val="header"/>
    <w:basedOn w:val="Normal"/>
    <w:link w:val="HeaderChar"/>
    <w:uiPriority w:val="99"/>
    <w:unhideWhenUsed/>
    <w:rsid w:val="00210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C72"/>
    <w:rPr>
      <w:rFonts w:asciiTheme="minorHAnsi" w:hAnsiTheme="minorHAnsi" w:cstheme="minorBidi"/>
      <w:sz w:val="22"/>
      <w:szCs w:val="22"/>
    </w:rPr>
  </w:style>
  <w:style w:type="paragraph" w:styleId="Footer">
    <w:name w:val="footer"/>
    <w:basedOn w:val="Normal"/>
    <w:link w:val="FooterChar"/>
    <w:uiPriority w:val="99"/>
    <w:unhideWhenUsed/>
    <w:rsid w:val="00210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C72"/>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3C0E1E"/>
    <w:rPr>
      <w:sz w:val="16"/>
      <w:szCs w:val="16"/>
    </w:rPr>
  </w:style>
  <w:style w:type="paragraph" w:styleId="CommentText">
    <w:name w:val="annotation text"/>
    <w:basedOn w:val="Normal"/>
    <w:link w:val="CommentTextChar"/>
    <w:uiPriority w:val="99"/>
    <w:unhideWhenUsed/>
    <w:rsid w:val="003C0E1E"/>
    <w:pPr>
      <w:spacing w:line="240" w:lineRule="auto"/>
    </w:pPr>
    <w:rPr>
      <w:sz w:val="20"/>
      <w:szCs w:val="20"/>
    </w:rPr>
  </w:style>
  <w:style w:type="character" w:customStyle="1" w:styleId="CommentTextChar">
    <w:name w:val="Comment Text Char"/>
    <w:basedOn w:val="DefaultParagraphFont"/>
    <w:link w:val="CommentText"/>
    <w:uiPriority w:val="99"/>
    <w:rsid w:val="003C0E1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3C0E1E"/>
    <w:rPr>
      <w:b/>
      <w:bCs/>
    </w:rPr>
  </w:style>
  <w:style w:type="character" w:customStyle="1" w:styleId="CommentSubjectChar">
    <w:name w:val="Comment Subject Char"/>
    <w:basedOn w:val="CommentTextChar"/>
    <w:link w:val="CommentSubject"/>
    <w:uiPriority w:val="99"/>
    <w:semiHidden/>
    <w:rsid w:val="003C0E1E"/>
    <w:rPr>
      <w:rFonts w:asciiTheme="minorHAnsi" w:hAnsiTheme="minorHAnsi" w:cstheme="minorBidi"/>
      <w:b/>
      <w:bCs/>
      <w:sz w:val="20"/>
      <w:szCs w:val="20"/>
    </w:rPr>
  </w:style>
  <w:style w:type="paragraph" w:styleId="EndnoteText">
    <w:name w:val="endnote text"/>
    <w:basedOn w:val="Normal"/>
    <w:link w:val="EndnoteTextChar"/>
    <w:uiPriority w:val="99"/>
    <w:semiHidden/>
    <w:unhideWhenUsed/>
    <w:rsid w:val="0084591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84591A"/>
    <w:rPr>
      <w:rFonts w:cstheme="minorBidi"/>
      <w:sz w:val="20"/>
      <w:szCs w:val="20"/>
    </w:rPr>
  </w:style>
  <w:style w:type="character" w:styleId="EndnoteReference">
    <w:name w:val="endnote reference"/>
    <w:basedOn w:val="DefaultParagraphFont"/>
    <w:uiPriority w:val="99"/>
    <w:semiHidden/>
    <w:unhideWhenUsed/>
    <w:rsid w:val="0084591A"/>
    <w:rPr>
      <w:vertAlign w:val="superscript"/>
    </w:rPr>
  </w:style>
  <w:style w:type="paragraph" w:customStyle="1" w:styleId="paragraph">
    <w:name w:val="paragraph"/>
    <w:basedOn w:val="Normal"/>
    <w:rsid w:val="000C2E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C2E69"/>
  </w:style>
  <w:style w:type="character" w:customStyle="1" w:styleId="eop">
    <w:name w:val="eop"/>
    <w:basedOn w:val="DefaultParagraphFont"/>
    <w:rsid w:val="000C2E69"/>
  </w:style>
  <w:style w:type="paragraph" w:styleId="ListParagraph">
    <w:name w:val="List Paragraph"/>
    <w:basedOn w:val="Normal"/>
    <w:uiPriority w:val="34"/>
    <w:qFormat/>
    <w:rsid w:val="007963D1"/>
    <w:pPr>
      <w:ind w:left="720"/>
      <w:contextualSpacing/>
    </w:pPr>
  </w:style>
  <w:style w:type="paragraph" w:styleId="Revision">
    <w:name w:val="Revision"/>
    <w:hidden/>
    <w:uiPriority w:val="99"/>
    <w:semiHidden/>
    <w:rsid w:val="007F6A7B"/>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data.bls.gov/o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2A2E5BC6E29446B814993D0E99D427" ma:contentTypeVersion="6" ma:contentTypeDescription="Create a new document." ma:contentTypeScope="" ma:versionID="9122341e5fc42c4506ad661a6cd24e94">
  <xsd:schema xmlns:xsd="http://www.w3.org/2001/XMLSchema" xmlns:xs="http://www.w3.org/2001/XMLSchema" xmlns:p="http://schemas.microsoft.com/office/2006/metadata/properties" xmlns:ns2="2511bf97-9b04-4989-9a0d-8a2f8dab4e40" targetNamespace="http://schemas.microsoft.com/office/2006/metadata/properties" ma:root="true" ma:fieldsID="304f9970500f8e20a8a3b69a4f845f4f" ns2:_="">
    <xsd:import namespace="2511bf97-9b04-4989-9a0d-8a2f8dab4e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1bf97-9b04-4989-9a0d-8a2f8dab4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D520D-2AF1-4043-BC8D-07DCFF40C0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F5C3EF-E4B3-4F55-B8E3-D506DED095F4}">
  <ds:schemaRefs>
    <ds:schemaRef ds:uri="http://schemas.microsoft.com/sharepoint/v3/contenttype/forms"/>
  </ds:schemaRefs>
</ds:datastoreItem>
</file>

<file path=customXml/itemProps3.xml><?xml version="1.0" encoding="utf-8"?>
<ds:datastoreItem xmlns:ds="http://schemas.openxmlformats.org/officeDocument/2006/customXml" ds:itemID="{5C4F8FAE-78C7-476A-A9E6-94DE6AC3A96A}">
  <ds:schemaRefs>
    <ds:schemaRef ds:uri="http://schemas.openxmlformats.org/officeDocument/2006/bibliography"/>
  </ds:schemaRefs>
</ds:datastoreItem>
</file>

<file path=customXml/itemProps4.xml><?xml version="1.0" encoding="utf-8"?>
<ds:datastoreItem xmlns:ds="http://schemas.openxmlformats.org/officeDocument/2006/customXml" ds:itemID="{C5CE7782-291A-4F4F-B52C-99F1D4EB1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1bf97-9b04-4989-9a0d-8a2f8dab4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f902a63-4837-4fa7-905b-52887c7f3cff}" enabled="0" method="" siteId="{ff902a63-4837-4fa7-905b-52887c7f3cff}" removed="1"/>
</clbl:labelList>
</file>

<file path=docProps/app.xml><?xml version="1.0" encoding="utf-8"?>
<Properties xmlns="http://schemas.openxmlformats.org/officeDocument/2006/extended-properties" xmlns:vt="http://schemas.openxmlformats.org/officeDocument/2006/docPropsVTypes">
  <Template>Normal</Template>
  <TotalTime>275</TotalTime>
  <Pages>11</Pages>
  <Words>4032</Words>
  <Characters>22987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26966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CFTC</dc:creator>
  <cp:lastModifiedBy>Kenny Wright</cp:lastModifiedBy>
  <cp:revision>12</cp:revision>
  <cp:lastPrinted>2025-04-16T14:43:00Z</cp:lastPrinted>
  <dcterms:created xsi:type="dcterms:W3CDTF">2025-04-17T17:22:00Z</dcterms:created>
  <dcterms:modified xsi:type="dcterms:W3CDTF">2025-07-10T14:08:00Z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0x010100252A2E5BC6E29446B814993D0E99D427</vt:lpwstr>
  </property>
</Properties>
</file>