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5BF0" w:rsidRPr="00244ED9" w14:paraId="71597324" w14:textId="77777777">
      <w:pPr>
        <w:widowControl/>
        <w:tabs>
          <w:tab w:val="center" w:pos="4500"/>
        </w:tabs>
        <w:jc w:val="center"/>
        <w:rPr>
          <w:rFonts w:ascii="Times New Roman" w:hAnsi="Times New Roman"/>
          <w:bCs/>
          <w:szCs w:val="24"/>
        </w:rPr>
      </w:pPr>
      <w:r w:rsidRPr="00244ED9">
        <w:rPr>
          <w:rFonts w:ascii="Times New Roman" w:hAnsi="Times New Roman"/>
          <w:bCs/>
          <w:szCs w:val="24"/>
        </w:rPr>
        <w:t>SUPPORTING STATEMENT</w:t>
      </w:r>
    </w:p>
    <w:p w:rsidR="00455BF0" w:rsidRPr="00244ED9" w14:paraId="0FA31A4D" w14:textId="77777777">
      <w:pPr>
        <w:widowControl/>
        <w:tabs>
          <w:tab w:val="center" w:pos="4500"/>
        </w:tabs>
        <w:jc w:val="center"/>
        <w:rPr>
          <w:rFonts w:ascii="Times New Roman" w:hAnsi="Times New Roman"/>
          <w:bCs/>
          <w:szCs w:val="24"/>
        </w:rPr>
      </w:pPr>
      <w:r w:rsidRPr="00244ED9">
        <w:rPr>
          <w:rFonts w:ascii="Times New Roman" w:hAnsi="Times New Roman"/>
          <w:bCs/>
          <w:szCs w:val="24"/>
        </w:rPr>
        <w:t>PROCEDURES FOR MONITORING BANK PROTECTION ACT COMPLIANCE</w:t>
      </w:r>
    </w:p>
    <w:p w:rsidR="00455BF0" w:rsidRPr="00244ED9" w14:paraId="7F34B6F0" w14:textId="77777777">
      <w:pPr>
        <w:widowControl/>
        <w:tabs>
          <w:tab w:val="center" w:pos="4500"/>
        </w:tabs>
        <w:jc w:val="center"/>
        <w:rPr>
          <w:rFonts w:ascii="Times New Roman" w:hAnsi="Times New Roman"/>
          <w:bCs/>
          <w:szCs w:val="24"/>
        </w:rPr>
      </w:pPr>
      <w:r w:rsidRPr="00244ED9">
        <w:rPr>
          <w:rFonts w:ascii="Times New Roman" w:hAnsi="Times New Roman"/>
          <w:bCs/>
          <w:szCs w:val="24"/>
        </w:rPr>
        <w:t>(OMB No. 3064</w:t>
      </w:r>
      <w:r w:rsidRPr="00244ED9">
        <w:rPr>
          <w:rFonts w:ascii="Times New Roman" w:hAnsi="Times New Roman"/>
          <w:bCs/>
          <w:szCs w:val="24"/>
        </w:rPr>
        <w:noBreakHyphen/>
        <w:t>0095)</w:t>
      </w:r>
    </w:p>
    <w:p w:rsidR="00455BF0" w14:paraId="245B1385" w14:textId="77777777">
      <w:pPr>
        <w:pStyle w:val="Footer"/>
        <w:widowControl/>
        <w:tabs>
          <w:tab w:val="left" w:pos="600"/>
          <w:tab w:val="left" w:pos="1200"/>
          <w:tab w:val="left" w:pos="1800"/>
          <w:tab w:val="left" w:pos="2280"/>
          <w:tab w:val="left" w:pos="4320"/>
          <w:tab w:val="clear" w:pos="8640"/>
        </w:tabs>
        <w:rPr>
          <w:rFonts w:ascii="Times New Roman" w:hAnsi="Times New Roman"/>
        </w:rPr>
      </w:pPr>
    </w:p>
    <w:p w:rsidR="00455BF0" w14:paraId="55089262" w14:textId="77777777">
      <w:pPr>
        <w:widowControl/>
        <w:tabs>
          <w:tab w:val="left" w:pos="600"/>
          <w:tab w:val="left" w:pos="1200"/>
          <w:tab w:val="left" w:pos="1800"/>
          <w:tab w:val="left" w:pos="2280"/>
          <w:tab w:val="left" w:pos="4320"/>
        </w:tabs>
        <w:rPr>
          <w:rFonts w:ascii="Times New Roman" w:hAnsi="Times New Roman"/>
        </w:rPr>
      </w:pPr>
    </w:p>
    <w:p w:rsidR="00455BF0" w14:paraId="44E494DD" w14:textId="77777777">
      <w:pPr>
        <w:widowControl/>
        <w:tabs>
          <w:tab w:val="left" w:pos="600"/>
          <w:tab w:val="left" w:pos="1200"/>
          <w:tab w:val="left" w:pos="1800"/>
          <w:tab w:val="left" w:pos="2280"/>
          <w:tab w:val="left" w:pos="4320"/>
        </w:tabs>
        <w:rPr>
          <w:rFonts w:ascii="Times New Roman" w:hAnsi="Times New Roman"/>
        </w:rPr>
      </w:pPr>
      <w:r>
        <w:rPr>
          <w:rFonts w:ascii="Times New Roman" w:hAnsi="Times New Roman"/>
          <w:u w:val="single"/>
        </w:rPr>
        <w:t>INTRODUCTION</w:t>
      </w:r>
    </w:p>
    <w:p w:rsidR="00455BF0" w14:paraId="102FC545" w14:textId="77777777">
      <w:pPr>
        <w:widowControl/>
        <w:tabs>
          <w:tab w:val="left" w:pos="600"/>
          <w:tab w:val="left" w:pos="1200"/>
          <w:tab w:val="left" w:pos="1800"/>
          <w:tab w:val="left" w:pos="2280"/>
          <w:tab w:val="left" w:pos="4320"/>
        </w:tabs>
        <w:rPr>
          <w:rFonts w:ascii="Times New Roman" w:hAnsi="Times New Roman"/>
        </w:rPr>
      </w:pPr>
    </w:p>
    <w:p w:rsidR="00B60A25" w14:paraId="45DA3E6A" w14:textId="7DE4D3EE">
      <w:pPr>
        <w:widowControl/>
        <w:tabs>
          <w:tab w:val="left" w:pos="600"/>
          <w:tab w:val="left" w:pos="1200"/>
          <w:tab w:val="left" w:pos="1800"/>
          <w:tab w:val="left" w:pos="2280"/>
          <w:tab w:val="left" w:pos="4320"/>
        </w:tabs>
        <w:ind w:right="-428"/>
        <w:rPr>
          <w:rFonts w:ascii="Times New Roman" w:hAnsi="Times New Roman"/>
        </w:rPr>
      </w:pPr>
      <w:r>
        <w:rPr>
          <w:rFonts w:ascii="Times New Roman" w:hAnsi="Times New Roman"/>
        </w:rPr>
        <w:t>The FDIC is requesting OMB approval of a three</w:t>
      </w:r>
      <w:r>
        <w:rPr>
          <w:rFonts w:ascii="Times New Roman" w:hAnsi="Times New Roman"/>
        </w:rPr>
        <w:noBreakHyphen/>
        <w:t xml:space="preserve">year </w:t>
      </w:r>
      <w:r>
        <w:rPr>
          <w:rFonts w:ascii="Times New Roman" w:hAnsi="Times New Roman"/>
        </w:rPr>
        <w:t>revision</w:t>
      </w:r>
      <w:r>
        <w:rPr>
          <w:rFonts w:ascii="Times New Roman" w:hAnsi="Times New Roman"/>
        </w:rPr>
        <w:t xml:space="preserve"> of the collectio</w:t>
      </w:r>
      <w:r w:rsidR="007B6861">
        <w:rPr>
          <w:rFonts w:ascii="Times New Roman" w:hAnsi="Times New Roman"/>
        </w:rPr>
        <w:t>n of information entitled “Procedures for Monitoring Bank Protection Act Compliance</w:t>
      </w:r>
      <w:r w:rsidR="00F45D8A">
        <w:rPr>
          <w:rFonts w:ascii="Times New Roman" w:hAnsi="Times New Roman"/>
        </w:rPr>
        <w:t>” (OMB No. 3064-0095)</w:t>
      </w:r>
      <w:r>
        <w:rPr>
          <w:rFonts w:ascii="Times New Roman" w:hAnsi="Times New Roman"/>
        </w:rPr>
        <w:t>.</w:t>
      </w:r>
      <w:r>
        <w:rPr>
          <w:rFonts w:ascii="Times New Roman" w:hAnsi="Times New Roman"/>
        </w:rPr>
        <w:t xml:space="preserve">  </w:t>
      </w:r>
      <w:r>
        <w:rPr>
          <w:rFonts w:ascii="Times New Roman" w:hAnsi="Times New Roman"/>
        </w:rPr>
        <w:t xml:space="preserve">The FDIC intends to incorporate the </w:t>
      </w:r>
      <w:r w:rsidR="00F45D8A">
        <w:rPr>
          <w:rFonts w:ascii="Times New Roman" w:hAnsi="Times New Roman"/>
        </w:rPr>
        <w:t xml:space="preserve">Paperwork Reduction Act (PRA) burden estimate from the collection of information entitled “Procedures for Monitoring Bank Secrecy Act Compliance” (OMB No. 3064-0087). Upon approval of this revision, the FDIC will discontinue OMB No. 3064-0087. </w:t>
      </w:r>
    </w:p>
    <w:p w:rsidR="00B60A25" w14:paraId="6F7689CA" w14:textId="77777777">
      <w:pPr>
        <w:widowControl/>
        <w:tabs>
          <w:tab w:val="left" w:pos="600"/>
          <w:tab w:val="left" w:pos="1200"/>
          <w:tab w:val="left" w:pos="1800"/>
          <w:tab w:val="left" w:pos="2280"/>
          <w:tab w:val="left" w:pos="4320"/>
        </w:tabs>
        <w:ind w:right="-428"/>
        <w:rPr>
          <w:rFonts w:ascii="Times New Roman" w:hAnsi="Times New Roman"/>
        </w:rPr>
      </w:pPr>
    </w:p>
    <w:p w:rsidR="00B60A25" w:rsidRPr="00F45D8A" w14:paraId="7BB30EF7" w14:textId="15B18460">
      <w:pPr>
        <w:widowControl/>
        <w:tabs>
          <w:tab w:val="left" w:pos="600"/>
          <w:tab w:val="left" w:pos="1200"/>
          <w:tab w:val="left" w:pos="1800"/>
          <w:tab w:val="left" w:pos="2280"/>
          <w:tab w:val="left" w:pos="4320"/>
        </w:tabs>
        <w:ind w:right="-428"/>
        <w:rPr>
          <w:rFonts w:ascii="Times New Roman" w:hAnsi="Times New Roman"/>
          <w:szCs w:val="24"/>
        </w:rPr>
      </w:pPr>
      <w:r>
        <w:rPr>
          <w:rFonts w:ascii="Times New Roman" w:hAnsi="Times New Roman"/>
        </w:rPr>
        <w:t xml:space="preserve">This collection is imposed on insured </w:t>
      </w:r>
      <w:r w:rsidR="008224B7">
        <w:rPr>
          <w:rFonts w:ascii="Times New Roman" w:hAnsi="Times New Roman"/>
        </w:rPr>
        <w:t>non-member</w:t>
      </w:r>
      <w:r>
        <w:rPr>
          <w:rFonts w:ascii="Times New Roman" w:hAnsi="Times New Roman"/>
        </w:rPr>
        <w:t xml:space="preserve"> banks </w:t>
      </w:r>
      <w:r w:rsidR="00F45D8A">
        <w:rPr>
          <w:rFonts w:ascii="Times New Roman" w:hAnsi="Times New Roman"/>
        </w:rPr>
        <w:t xml:space="preserve">by </w:t>
      </w:r>
      <w:r>
        <w:rPr>
          <w:rFonts w:ascii="Times New Roman" w:hAnsi="Times New Roman"/>
        </w:rPr>
        <w:t>12 CFR Part 326, subpart A</w:t>
      </w:r>
      <w:r w:rsidR="00F45D8A">
        <w:rPr>
          <w:rFonts w:ascii="Times New Roman" w:hAnsi="Times New Roman"/>
        </w:rPr>
        <w:t xml:space="preserve"> and</w:t>
      </w:r>
      <w:r w:rsidRPr="00F45D8A" w:rsidR="00F45D8A">
        <w:rPr>
          <w:rFonts w:ascii="Times New Roman" w:hAnsi="Times New Roman"/>
        </w:rPr>
        <w:t xml:space="preserve"> 12 C.F.R. § 326.8</w:t>
      </w:r>
      <w:r w:rsidRPr="00EE6AFD">
        <w:rPr>
          <w:rFonts w:ascii="Times New Roman" w:hAnsi="Times New Roman"/>
        </w:rPr>
        <w:t>.</w:t>
      </w:r>
      <w:r>
        <w:rPr>
          <w:rFonts w:ascii="Times New Roman" w:hAnsi="Times New Roman"/>
        </w:rPr>
        <w:t xml:space="preserve">  </w:t>
      </w:r>
      <w:r w:rsidRPr="00864737" w:rsidR="00AD42ED">
        <w:rPr>
          <w:rFonts w:ascii="Times New Roman" w:hAnsi="Times New Roman"/>
          <w:bCs/>
          <w:szCs w:val="24"/>
        </w:rPr>
        <w:t>The current clearance for th</w:t>
      </w:r>
      <w:r w:rsidR="00F45D8A">
        <w:rPr>
          <w:rFonts w:ascii="Times New Roman" w:hAnsi="Times New Roman"/>
          <w:bCs/>
          <w:szCs w:val="24"/>
        </w:rPr>
        <w:t>is</w:t>
      </w:r>
      <w:r w:rsidRPr="00864737" w:rsidR="00AD42ED">
        <w:rPr>
          <w:rFonts w:ascii="Times New Roman" w:hAnsi="Times New Roman"/>
          <w:bCs/>
          <w:szCs w:val="24"/>
        </w:rPr>
        <w:t xml:space="preserve"> collection expires on </w:t>
      </w:r>
      <w:r w:rsidR="006D0119">
        <w:rPr>
          <w:rFonts w:ascii="Times New Roman" w:hAnsi="Times New Roman"/>
          <w:bCs/>
          <w:szCs w:val="24"/>
        </w:rPr>
        <w:t>May 31</w:t>
      </w:r>
      <w:r w:rsidR="00AD42ED">
        <w:rPr>
          <w:rFonts w:ascii="Times New Roman" w:hAnsi="Times New Roman"/>
          <w:bCs/>
          <w:szCs w:val="24"/>
        </w:rPr>
        <w:t>, 2025</w:t>
      </w:r>
      <w:r w:rsidR="00F45D8A">
        <w:rPr>
          <w:rFonts w:ascii="Times New Roman" w:hAnsi="Times New Roman"/>
          <w:bCs/>
          <w:szCs w:val="24"/>
        </w:rPr>
        <w:t>; the current clearance for</w:t>
      </w:r>
      <w:r w:rsidRPr="00F45D8A" w:rsidR="00F45D8A">
        <w:rPr>
          <w:rFonts w:ascii="Times New Roman" w:hAnsi="Times New Roman"/>
        </w:rPr>
        <w:t xml:space="preserve"> </w:t>
      </w:r>
      <w:r w:rsidR="00F45D8A">
        <w:rPr>
          <w:rFonts w:ascii="Times New Roman" w:hAnsi="Times New Roman"/>
        </w:rPr>
        <w:t>OMB No. 3064-0087 is October 31, 2026</w:t>
      </w:r>
      <w:r w:rsidRPr="00864737" w:rsidR="00AD42ED">
        <w:rPr>
          <w:rFonts w:ascii="Times New Roman" w:hAnsi="Times New Roman"/>
          <w:bCs/>
          <w:szCs w:val="24"/>
        </w:rPr>
        <w:t xml:space="preserve">.  </w:t>
      </w:r>
      <w:r>
        <w:rPr>
          <w:rFonts w:ascii="Times New Roman" w:hAnsi="Times New Roman"/>
          <w:szCs w:val="24"/>
        </w:rPr>
        <w:t xml:space="preserve"> </w:t>
      </w:r>
    </w:p>
    <w:p w:rsidR="00455BF0" w14:paraId="52A158A9" w14:textId="77777777">
      <w:pPr>
        <w:widowControl/>
        <w:tabs>
          <w:tab w:val="left" w:pos="600"/>
          <w:tab w:val="left" w:pos="1200"/>
          <w:tab w:val="left" w:pos="1800"/>
          <w:tab w:val="left" w:pos="2280"/>
          <w:tab w:val="left" w:pos="4320"/>
        </w:tabs>
        <w:ind w:right="-428"/>
        <w:rPr>
          <w:rFonts w:ascii="Times New Roman" w:hAnsi="Times New Roman"/>
        </w:rPr>
      </w:pPr>
    </w:p>
    <w:p w:rsidR="00455BF0" w14:paraId="12D320F7" w14:textId="77777777">
      <w:pPr>
        <w:widowControl/>
        <w:tabs>
          <w:tab w:val="left" w:pos="600"/>
          <w:tab w:val="left" w:pos="1200"/>
          <w:tab w:val="left" w:pos="1800"/>
          <w:tab w:val="left" w:pos="2280"/>
          <w:tab w:val="left" w:pos="4320"/>
        </w:tabs>
        <w:ind w:right="-428"/>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JUSTIFICATION</w:t>
      </w:r>
    </w:p>
    <w:p w:rsidR="00455BF0" w14:paraId="48A467D7" w14:textId="77777777">
      <w:pPr>
        <w:widowControl/>
        <w:tabs>
          <w:tab w:val="left" w:pos="600"/>
          <w:tab w:val="left" w:pos="1200"/>
          <w:tab w:val="left" w:pos="1800"/>
          <w:tab w:val="left" w:pos="2280"/>
          <w:tab w:val="left" w:pos="4320"/>
        </w:tabs>
        <w:ind w:right="-428"/>
        <w:rPr>
          <w:rFonts w:ascii="Times New Roman" w:hAnsi="Times New Roman"/>
        </w:rPr>
      </w:pPr>
    </w:p>
    <w:p w:rsidR="006F6515" w:rsidRPr="006F6515" w:rsidP="00EE74FD" w14:paraId="704A9D96" w14:textId="77777777">
      <w:pPr>
        <w:pStyle w:val="ListParagraph"/>
        <w:widowControl/>
        <w:numPr>
          <w:ilvl w:val="0"/>
          <w:numId w:val="3"/>
        </w:numPr>
        <w:ind w:left="1170" w:hanging="720"/>
        <w:rPr>
          <w:rFonts w:ascii="Times New Roman" w:hAnsi="Times New Roman"/>
        </w:rPr>
      </w:pPr>
      <w:r w:rsidRPr="006F6515">
        <w:rPr>
          <w:rFonts w:ascii="Times New Roman" w:hAnsi="Times New Roman"/>
          <w:bCs/>
          <w:iCs/>
          <w:u w:val="single"/>
        </w:rPr>
        <w:t>Circumstances that make the collection necessary:</w:t>
      </w:r>
    </w:p>
    <w:p w:rsidR="00455BF0" w:rsidP="006F6515" w14:paraId="6DD9FA36" w14:textId="77777777">
      <w:pPr>
        <w:widowControl/>
        <w:tabs>
          <w:tab w:val="left" w:pos="600"/>
          <w:tab w:val="left" w:pos="1200"/>
          <w:tab w:val="left" w:pos="1800"/>
          <w:tab w:val="left" w:pos="2280"/>
          <w:tab w:val="left" w:pos="4320"/>
        </w:tabs>
        <w:ind w:right="-428"/>
        <w:rPr>
          <w:rFonts w:ascii="Times New Roman" w:hAnsi="Times New Roman"/>
        </w:rPr>
      </w:pPr>
    </w:p>
    <w:p w:rsidR="00455BF0" w:rsidP="00C83300" w14:paraId="5E60E4A6" w14:textId="77777777">
      <w:pPr>
        <w:widowControl/>
        <w:tabs>
          <w:tab w:val="left" w:pos="480"/>
          <w:tab w:val="left" w:pos="1080"/>
          <w:tab w:val="left" w:pos="1680"/>
        </w:tabs>
        <w:ind w:left="1440"/>
        <w:rPr>
          <w:rFonts w:ascii="Times New Roman" w:hAnsi="Times New Roman"/>
        </w:rPr>
      </w:pPr>
      <w:r>
        <w:rPr>
          <w:rFonts w:ascii="Times New Roman" w:hAnsi="Times New Roman"/>
        </w:rPr>
        <w:t>The Bank Protection Act of 1968 (12 USC 1881</w:t>
      </w:r>
      <w:r>
        <w:rPr>
          <w:rFonts w:ascii="Times New Roman" w:hAnsi="Times New Roman"/>
        </w:rPr>
        <w:noBreakHyphen/>
        <w:t>1884) requires each Federal supervisory agency to promulgate rules establishing minimum standards for security devices and procedures to discourage financial crime and to assist in the identification of persons who commit such crimes.</w:t>
      </w:r>
    </w:p>
    <w:p w:rsidR="00455BF0" w:rsidP="00C83300" w14:paraId="46309809" w14:textId="77777777">
      <w:pPr>
        <w:widowControl/>
        <w:tabs>
          <w:tab w:val="left" w:pos="600"/>
          <w:tab w:val="left" w:pos="1200"/>
          <w:tab w:val="left" w:pos="1800"/>
          <w:tab w:val="left" w:pos="2280"/>
          <w:tab w:val="left" w:pos="4320"/>
        </w:tabs>
        <w:ind w:left="960" w:right="-428"/>
        <w:rPr>
          <w:rFonts w:ascii="Times New Roman" w:hAnsi="Times New Roman"/>
        </w:rPr>
      </w:pPr>
    </w:p>
    <w:p w:rsidR="00455BF0" w:rsidP="00C83300" w14:paraId="5145620B" w14:textId="48907FDF">
      <w:pPr>
        <w:widowControl/>
        <w:tabs>
          <w:tab w:val="left" w:pos="480"/>
          <w:tab w:val="left" w:pos="1080"/>
          <w:tab w:val="left" w:pos="1680"/>
        </w:tabs>
        <w:ind w:left="1440"/>
        <w:rPr>
          <w:rFonts w:ascii="Times New Roman" w:hAnsi="Times New Roman"/>
        </w:rPr>
      </w:pPr>
      <w:r>
        <w:rPr>
          <w:rFonts w:ascii="Times New Roman" w:hAnsi="Times New Roman"/>
        </w:rPr>
        <w:t>To avoid the necessity of constantly updating a technology</w:t>
      </w:r>
      <w:r>
        <w:rPr>
          <w:rFonts w:ascii="Times New Roman" w:hAnsi="Times New Roman"/>
        </w:rPr>
        <w:noBreakHyphen/>
        <w:t xml:space="preserve">based regulation, the FDIC takes a flexible approach to implementing this statute.  It requires each insured </w:t>
      </w:r>
      <w:r w:rsidR="00953D58">
        <w:rPr>
          <w:rFonts w:ascii="Times New Roman" w:hAnsi="Times New Roman"/>
        </w:rPr>
        <w:t>non-member</w:t>
      </w:r>
      <w:r>
        <w:rPr>
          <w:rFonts w:ascii="Times New Roman" w:hAnsi="Times New Roman"/>
        </w:rPr>
        <w:t xml:space="preserve"> bank to designate a security officer who will administer a written security program.  The security program shall: (1) establish procedures for opening and closing for business and for safekeeping valuables; (2) establish procedures that will assist in identifying persons committing crimes against the bank; (3) provide for initial and periodic training of employees in their responsibilities under the security program; and (4) provide for selecting, testing, operating and maintaining security devices as prescribed in the regulation.  In addition, the FDIC requires the security officer to </w:t>
      </w:r>
      <w:r>
        <w:rPr>
          <w:rFonts w:ascii="Times New Roman" w:hAnsi="Times New Roman"/>
        </w:rPr>
        <w:t>report at least</w:t>
      </w:r>
      <w:r>
        <w:rPr>
          <w:rFonts w:ascii="Times New Roman" w:hAnsi="Times New Roman"/>
        </w:rPr>
        <w:t xml:space="preserve"> annually to the bank's board of directors on the effectiveness of the security program.</w:t>
      </w:r>
    </w:p>
    <w:p w:rsidR="00F45D8A" w:rsidP="00C83300" w14:paraId="1C4A02AD" w14:textId="77777777">
      <w:pPr>
        <w:widowControl/>
        <w:tabs>
          <w:tab w:val="left" w:pos="480"/>
          <w:tab w:val="left" w:pos="1080"/>
          <w:tab w:val="left" w:pos="1680"/>
        </w:tabs>
        <w:ind w:left="1440"/>
        <w:rPr>
          <w:rFonts w:ascii="Times New Roman" w:hAnsi="Times New Roman"/>
        </w:rPr>
      </w:pPr>
    </w:p>
    <w:p w:rsidR="00F45D8A" w:rsidP="00C83300" w14:paraId="0CDB63CB" w14:textId="59A83408">
      <w:pPr>
        <w:widowControl/>
        <w:tabs>
          <w:tab w:val="left" w:pos="480"/>
          <w:tab w:val="left" w:pos="1080"/>
          <w:tab w:val="left" w:pos="1680"/>
        </w:tabs>
        <w:ind w:left="1440"/>
        <w:rPr>
          <w:rFonts w:ascii="Times New Roman" w:hAnsi="Times New Roman"/>
        </w:rPr>
      </w:pPr>
      <w:r w:rsidRPr="00F45D8A">
        <w:rPr>
          <w:rFonts w:ascii="Times New Roman" w:hAnsi="Times New Roman"/>
        </w:rPr>
        <w:t xml:space="preserve">Section 8(s) of the Federal Deposit Insurance Act (12 U.S.C. § 1818(s)), the FDIC’s 12 C.F.R. § 326.8(b) (1) and (c), require all insured nonmember banks to establish and maintain procedures designed to assure and monitor their compliance with the requirements of the Bank Secrecy Act (31 U.S.C. 5311 </w:t>
      </w:r>
      <w:r w:rsidRPr="00F45D8A">
        <w:rPr>
          <w:rFonts w:ascii="Times New Roman" w:hAnsi="Times New Roman"/>
          <w:u w:val="single"/>
        </w:rPr>
        <w:t>et</w:t>
      </w:r>
      <w:r w:rsidRPr="00F45D8A">
        <w:rPr>
          <w:rFonts w:ascii="Times New Roman" w:hAnsi="Times New Roman"/>
        </w:rPr>
        <w:t xml:space="preserve"> </w:t>
      </w:r>
      <w:r w:rsidRPr="00F45D8A">
        <w:rPr>
          <w:rFonts w:ascii="Times New Roman" w:hAnsi="Times New Roman"/>
          <w:u w:val="single"/>
        </w:rPr>
        <w:t>seq</w:t>
      </w:r>
      <w:r w:rsidRPr="00F45D8A">
        <w:rPr>
          <w:rFonts w:ascii="Times New Roman" w:hAnsi="Times New Roman"/>
        </w:rPr>
        <w:t>.) and the Treasury’s implementing regulations at 31 C.F.R. Chapter X.</w:t>
      </w:r>
    </w:p>
    <w:p w:rsidR="00F45D8A" w:rsidRPr="00F45D8A" w:rsidP="00F45D8A" w14:paraId="468566EA" w14:textId="77777777">
      <w:pPr>
        <w:widowControl/>
        <w:tabs>
          <w:tab w:val="left" w:pos="480"/>
          <w:tab w:val="left" w:pos="1080"/>
          <w:tab w:val="left" w:pos="1680"/>
        </w:tabs>
        <w:ind w:left="1440"/>
        <w:rPr>
          <w:rFonts w:ascii="Times New Roman" w:hAnsi="Times New Roman"/>
        </w:rPr>
      </w:pPr>
      <w:r w:rsidRPr="00F45D8A">
        <w:rPr>
          <w:rFonts w:ascii="Times New Roman" w:hAnsi="Times New Roman"/>
        </w:rPr>
        <w:t xml:space="preserve">An institution's compliance program must be reduced to writing, approved by the institution's board of directors and noted in the minutes of the board meeting. The compliance program must consist of a system of internal controls to assure </w:t>
      </w:r>
      <w:r w:rsidRPr="00F45D8A">
        <w:rPr>
          <w:rFonts w:ascii="Times New Roman" w:hAnsi="Times New Roman"/>
        </w:rPr>
        <w:t xml:space="preserve">ongoing compliance and provide for independent testing for compliance to be conducted by bank personnel or by an outside party.  The bank must also designate an individual or </w:t>
      </w:r>
      <w:r w:rsidRPr="00F45D8A">
        <w:rPr>
          <w:rFonts w:ascii="Times New Roman" w:hAnsi="Times New Roman"/>
        </w:rPr>
        <w:t>individuals</w:t>
      </w:r>
      <w:r w:rsidRPr="00F45D8A">
        <w:rPr>
          <w:rFonts w:ascii="Times New Roman" w:hAnsi="Times New Roman"/>
        </w:rPr>
        <w:t xml:space="preserve"> responsible for </w:t>
      </w:r>
      <w:r w:rsidRPr="00F45D8A">
        <w:rPr>
          <w:rFonts w:ascii="Times New Roman" w:hAnsi="Times New Roman"/>
        </w:rPr>
        <w:t>compliance, and</w:t>
      </w:r>
      <w:r w:rsidRPr="00F45D8A">
        <w:rPr>
          <w:rFonts w:ascii="Times New Roman" w:hAnsi="Times New Roman"/>
        </w:rPr>
        <w:t xml:space="preserve"> provide for the training of appropriate personnel.</w:t>
      </w:r>
    </w:p>
    <w:p w:rsidR="00F45D8A" w:rsidP="00F45D8A" w14:paraId="683AF61F" w14:textId="77777777">
      <w:pPr>
        <w:widowControl/>
        <w:tabs>
          <w:tab w:val="left" w:pos="480"/>
          <w:tab w:val="left" w:pos="1080"/>
          <w:tab w:val="left" w:pos="1680"/>
        </w:tabs>
        <w:rPr>
          <w:rFonts w:ascii="Times New Roman" w:hAnsi="Times New Roman"/>
        </w:rPr>
      </w:pPr>
    </w:p>
    <w:p w:rsidR="00455BF0" w14:paraId="6DCF127D" w14:textId="77777777">
      <w:pPr>
        <w:widowControl/>
        <w:tabs>
          <w:tab w:val="left" w:pos="600"/>
          <w:tab w:val="left" w:pos="1200"/>
          <w:tab w:val="left" w:pos="1800"/>
          <w:tab w:val="left" w:pos="2280"/>
          <w:tab w:val="left" w:pos="4320"/>
        </w:tabs>
        <w:ind w:right="-428"/>
        <w:rPr>
          <w:rFonts w:ascii="Times New Roman" w:hAnsi="Times New Roman"/>
        </w:rPr>
      </w:pPr>
    </w:p>
    <w:p w:rsidR="00455BF0" w14:paraId="3C054517" w14:textId="0DD2068E">
      <w:pPr>
        <w:widowControl/>
        <w:tabs>
          <w:tab w:val="left" w:pos="600"/>
          <w:tab w:val="left" w:pos="1200"/>
          <w:tab w:val="left" w:pos="1800"/>
          <w:tab w:val="left" w:pos="2280"/>
          <w:tab w:val="left" w:pos="4320"/>
        </w:tabs>
        <w:ind w:right="-428" w:firstLine="600"/>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Use of Information Collected</w:t>
      </w:r>
      <w:r w:rsidR="00E67B0C">
        <w:rPr>
          <w:rFonts w:ascii="Times New Roman" w:hAnsi="Times New Roman"/>
          <w:u w:val="single"/>
        </w:rPr>
        <w:t>:</w:t>
      </w:r>
    </w:p>
    <w:p w:rsidR="00455BF0" w14:paraId="31384A9D" w14:textId="77777777">
      <w:pPr>
        <w:widowControl/>
        <w:tabs>
          <w:tab w:val="left" w:pos="600"/>
          <w:tab w:val="left" w:pos="1200"/>
          <w:tab w:val="left" w:pos="1800"/>
          <w:tab w:val="left" w:pos="2280"/>
          <w:tab w:val="left" w:pos="4320"/>
        </w:tabs>
        <w:ind w:right="-428"/>
        <w:rPr>
          <w:rFonts w:ascii="Times New Roman" w:hAnsi="Times New Roman"/>
        </w:rPr>
      </w:pPr>
    </w:p>
    <w:p w:rsidR="00B44EED" w:rsidP="00C83300" w14:paraId="426E6378" w14:textId="2B1B621E">
      <w:pPr>
        <w:widowControl/>
        <w:tabs>
          <w:tab w:val="left" w:pos="480"/>
          <w:tab w:val="left" w:pos="1080"/>
          <w:tab w:val="left" w:pos="1680"/>
        </w:tabs>
        <w:ind w:left="1440"/>
        <w:rPr>
          <w:rFonts w:ascii="Times New Roman" w:hAnsi="Times New Roman"/>
        </w:rPr>
      </w:pPr>
      <w:r>
        <w:rPr>
          <w:rFonts w:ascii="Times New Roman" w:hAnsi="Times New Roman"/>
        </w:rPr>
        <w:t>The information is used by FDIC bank examiners to assure that insured nonmember banks comply with 12 CFR 326</w:t>
      </w:r>
      <w:r>
        <w:rPr>
          <w:rFonts w:ascii="Times New Roman" w:hAnsi="Times New Roman"/>
        </w:rPr>
        <w:t xml:space="preserve"> and 12 CFR 326.8</w:t>
      </w:r>
      <w:r>
        <w:rPr>
          <w:rFonts w:ascii="Times New Roman" w:hAnsi="Times New Roman"/>
        </w:rPr>
        <w:t>, which implements the Bank Protection Act of 1968</w:t>
      </w:r>
      <w:r w:rsidR="00B967B7">
        <w:rPr>
          <w:rFonts w:ascii="Times New Roman" w:hAnsi="Times New Roman"/>
        </w:rPr>
        <w:t xml:space="preserve"> (BPA)</w:t>
      </w:r>
      <w:r>
        <w:rPr>
          <w:rFonts w:ascii="Times New Roman" w:hAnsi="Times New Roman"/>
        </w:rPr>
        <w:t>, and</w:t>
      </w:r>
      <w:r>
        <w:rPr>
          <w:rFonts w:ascii="Times New Roman" w:hAnsi="Times New Roman"/>
        </w:rPr>
        <w:t xml:space="preserve"> </w:t>
      </w:r>
      <w:r w:rsidRPr="00B44EED">
        <w:rPr>
          <w:rFonts w:ascii="Times New Roman" w:hAnsi="Times New Roman"/>
        </w:rPr>
        <w:t xml:space="preserve">the </w:t>
      </w:r>
      <w:r>
        <w:rPr>
          <w:rFonts w:ascii="Times New Roman" w:hAnsi="Times New Roman"/>
        </w:rPr>
        <w:t>Bank Secrecy Act</w:t>
      </w:r>
      <w:r w:rsidR="00B967B7">
        <w:rPr>
          <w:rFonts w:ascii="Times New Roman" w:hAnsi="Times New Roman"/>
        </w:rPr>
        <w:t xml:space="preserve"> (BSA)</w:t>
      </w:r>
      <w:r>
        <w:rPr>
          <w:rFonts w:ascii="Times New Roman" w:hAnsi="Times New Roman"/>
        </w:rPr>
        <w:t xml:space="preserve">, respectively.  </w:t>
      </w:r>
    </w:p>
    <w:p w:rsidR="00455BF0" w14:paraId="45FB0E3F" w14:textId="77777777">
      <w:pPr>
        <w:widowControl/>
        <w:tabs>
          <w:tab w:val="left" w:pos="600"/>
          <w:tab w:val="left" w:pos="1200"/>
          <w:tab w:val="left" w:pos="1800"/>
          <w:tab w:val="left" w:pos="2280"/>
          <w:tab w:val="left" w:pos="4320"/>
        </w:tabs>
        <w:ind w:right="-428"/>
        <w:rPr>
          <w:rFonts w:ascii="Times New Roman" w:hAnsi="Times New Roman"/>
        </w:rPr>
      </w:pPr>
    </w:p>
    <w:p w:rsidR="00455BF0" w14:paraId="4B5E6B4A" w14:textId="2EDC7E2F">
      <w:pPr>
        <w:widowControl/>
        <w:tabs>
          <w:tab w:val="left" w:pos="600"/>
          <w:tab w:val="left" w:pos="1200"/>
          <w:tab w:val="left" w:pos="1800"/>
          <w:tab w:val="left" w:pos="2280"/>
          <w:tab w:val="left" w:pos="4320"/>
        </w:tabs>
        <w:ind w:left="600" w:right="-428"/>
        <w:rPr>
          <w:rFonts w:ascii="Times New Roman" w:hAnsi="Times New Roman"/>
        </w:rPr>
      </w:pPr>
      <w:r>
        <w:rPr>
          <w:rFonts w:ascii="Times New Roman" w:hAnsi="Times New Roman"/>
        </w:rPr>
        <w:t>3.</w:t>
      </w:r>
      <w:r>
        <w:rPr>
          <w:rFonts w:ascii="Times New Roman" w:hAnsi="Times New Roman"/>
        </w:rPr>
        <w:tab/>
      </w:r>
      <w:r w:rsidRPr="00366534" w:rsidR="00E67B0C">
        <w:rPr>
          <w:rFonts w:ascii="Times New Roman" w:hAnsi="Times New Roman"/>
          <w:u w:val="single"/>
        </w:rPr>
        <w:t>Consideration of the use of improved information technology:</w:t>
      </w:r>
    </w:p>
    <w:p w:rsidR="00455BF0" w14:paraId="0046DF03" w14:textId="77777777">
      <w:pPr>
        <w:widowControl/>
        <w:tabs>
          <w:tab w:val="left" w:pos="600"/>
          <w:tab w:val="left" w:pos="1200"/>
          <w:tab w:val="left" w:pos="1800"/>
          <w:tab w:val="left" w:pos="2280"/>
          <w:tab w:val="left" w:pos="4320"/>
        </w:tabs>
        <w:ind w:left="1200" w:right="-428"/>
        <w:rPr>
          <w:rFonts w:ascii="Times New Roman" w:hAnsi="Times New Roman"/>
        </w:rPr>
      </w:pPr>
    </w:p>
    <w:p w:rsidR="00455BF0" w:rsidP="00C83300" w14:paraId="39E6237F" w14:textId="77777777">
      <w:pPr>
        <w:widowControl/>
        <w:tabs>
          <w:tab w:val="left" w:pos="480"/>
          <w:tab w:val="left" w:pos="1080"/>
          <w:tab w:val="left" w:pos="1680"/>
        </w:tabs>
        <w:ind w:left="1440"/>
        <w:rPr>
          <w:rFonts w:ascii="Times New Roman" w:hAnsi="Times New Roman"/>
        </w:rPr>
      </w:pPr>
      <w:r>
        <w:rPr>
          <w:rFonts w:ascii="Times New Roman" w:hAnsi="Times New Roman"/>
        </w:rPr>
        <w:t xml:space="preserve">The FDIC has created an interactive Website, </w:t>
      </w:r>
      <w:r>
        <w:rPr>
          <w:rFonts w:ascii="Times New Roman" w:hAnsi="Times New Roman"/>
        </w:rPr>
        <w:t>FDICconnect</w:t>
      </w:r>
      <w:r>
        <w:rPr>
          <w:rFonts w:ascii="Times New Roman" w:hAnsi="Times New Roman"/>
        </w:rPr>
        <w:t xml:space="preserve">, between FDIC insured institutions and the FDIC.  All PRA collections are reviewed to determine if converting to electronic collection is cost beneficial.  In this case, however, updates to the written security program and training materials are not required to be submitted to the FDIC.  Institutions need only </w:t>
      </w:r>
      <w:r>
        <w:rPr>
          <w:rFonts w:ascii="Times New Roman" w:hAnsi="Times New Roman"/>
        </w:rPr>
        <w:t>maintain</w:t>
      </w:r>
      <w:r>
        <w:rPr>
          <w:rFonts w:ascii="Times New Roman" w:hAnsi="Times New Roman"/>
        </w:rPr>
        <w:t xml:space="preserve"> </w:t>
      </w:r>
      <w:r>
        <w:rPr>
          <w:rFonts w:ascii="Times New Roman" w:hAnsi="Times New Roman"/>
        </w:rPr>
        <w:t>the records</w:t>
      </w:r>
      <w:r>
        <w:rPr>
          <w:rFonts w:ascii="Times New Roman" w:hAnsi="Times New Roman"/>
        </w:rPr>
        <w:t xml:space="preserve"> for review during on-site examinations and, therefore, may use technology to the extent deemed feasible and appropriate to maintain and update the required documents.  </w:t>
      </w:r>
    </w:p>
    <w:p w:rsidR="00455BF0" w14:paraId="4CEC9BD3" w14:textId="77777777">
      <w:pPr>
        <w:widowControl/>
        <w:tabs>
          <w:tab w:val="left" w:pos="480"/>
          <w:tab w:val="left" w:pos="1080"/>
          <w:tab w:val="left" w:pos="1680"/>
        </w:tabs>
        <w:ind w:left="480"/>
        <w:rPr>
          <w:rFonts w:ascii="Times New Roman" w:hAnsi="Times New Roman"/>
        </w:rPr>
      </w:pPr>
    </w:p>
    <w:p w:rsidR="00455BF0" w14:paraId="2C22C9F7" w14:textId="5D9DE7CA">
      <w:pPr>
        <w:widowControl/>
        <w:tabs>
          <w:tab w:val="left" w:pos="480"/>
          <w:tab w:val="left" w:pos="1080"/>
          <w:tab w:val="left" w:pos="1680"/>
        </w:tabs>
        <w:ind w:left="480"/>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Efforts to Identify Duplication</w:t>
      </w:r>
      <w:r w:rsidR="00E67B0C">
        <w:rPr>
          <w:rFonts w:ascii="Times New Roman" w:hAnsi="Times New Roman"/>
          <w:u w:val="single"/>
        </w:rPr>
        <w:t>:</w:t>
      </w:r>
    </w:p>
    <w:p w:rsidR="00455BF0" w14:paraId="4DAADA2D" w14:textId="77777777">
      <w:pPr>
        <w:widowControl/>
        <w:tabs>
          <w:tab w:val="left" w:pos="480"/>
          <w:tab w:val="left" w:pos="1080"/>
          <w:tab w:val="left" w:pos="1680"/>
        </w:tabs>
        <w:rPr>
          <w:rFonts w:ascii="Times New Roman" w:hAnsi="Times New Roman"/>
        </w:rPr>
      </w:pPr>
    </w:p>
    <w:p w:rsidR="00455BF0" w:rsidP="00C83300" w14:paraId="2E80DB32" w14:textId="07B1DBB5">
      <w:pPr>
        <w:widowControl/>
        <w:tabs>
          <w:tab w:val="left" w:pos="480"/>
          <w:tab w:val="left" w:pos="1080"/>
          <w:tab w:val="left" w:pos="1680"/>
        </w:tabs>
        <w:ind w:left="1440"/>
        <w:rPr>
          <w:rFonts w:ascii="Times New Roman" w:hAnsi="Times New Roman"/>
        </w:rPr>
      </w:pPr>
      <w:r>
        <w:rPr>
          <w:rFonts w:ascii="Times New Roman" w:hAnsi="Times New Roman"/>
        </w:rPr>
        <w:t xml:space="preserve">The information is collected from insured </w:t>
      </w:r>
      <w:r w:rsidR="00953D58">
        <w:rPr>
          <w:rFonts w:ascii="Times New Roman" w:hAnsi="Times New Roman"/>
        </w:rPr>
        <w:t>non-member</w:t>
      </w:r>
      <w:r>
        <w:rPr>
          <w:rFonts w:ascii="Times New Roman" w:hAnsi="Times New Roman"/>
        </w:rPr>
        <w:t xml:space="preserve"> banks and does not duplicate information available within other government agencies nor in other FDIC collections.  </w:t>
      </w:r>
    </w:p>
    <w:p w:rsidR="00455BF0" w14:paraId="2065E7C1" w14:textId="77777777">
      <w:pPr>
        <w:widowControl/>
        <w:tabs>
          <w:tab w:val="left" w:pos="480"/>
          <w:tab w:val="left" w:pos="1080"/>
          <w:tab w:val="left" w:pos="1680"/>
        </w:tabs>
        <w:rPr>
          <w:rFonts w:ascii="Times New Roman" w:hAnsi="Times New Roman"/>
        </w:rPr>
      </w:pPr>
    </w:p>
    <w:p w:rsidR="00455BF0" w:rsidP="001178BF" w14:paraId="0078A1BF" w14:textId="384BFA3C">
      <w:pPr>
        <w:widowControl/>
        <w:tabs>
          <w:tab w:val="left" w:pos="480"/>
          <w:tab w:val="left" w:pos="1080"/>
          <w:tab w:val="left" w:pos="1680"/>
        </w:tabs>
        <w:ind w:left="1080" w:hanging="600"/>
        <w:rPr>
          <w:rFonts w:ascii="Times New Roman" w:hAnsi="Times New Roman"/>
        </w:rPr>
      </w:pPr>
      <w:r>
        <w:rPr>
          <w:rFonts w:ascii="Times New Roman" w:hAnsi="Times New Roman"/>
        </w:rPr>
        <w:t>5.</w:t>
      </w:r>
      <w:r>
        <w:rPr>
          <w:rFonts w:ascii="Times New Roman" w:hAnsi="Times New Roman"/>
        </w:rPr>
        <w:tab/>
      </w:r>
      <w:r w:rsidRPr="001178BF" w:rsidR="001178BF">
        <w:rPr>
          <w:rFonts w:ascii="Times New Roman" w:hAnsi="Times New Roman"/>
          <w:u w:val="single"/>
        </w:rPr>
        <w:t>Methods used to minimize burden if the collection has a significant impact on a substantial number of small entities:</w:t>
      </w:r>
    </w:p>
    <w:p w:rsidR="00455BF0" w14:paraId="2EE1CC91" w14:textId="6E902B4A">
      <w:pPr>
        <w:widowControl/>
        <w:tabs>
          <w:tab w:val="left" w:pos="480"/>
          <w:tab w:val="left" w:pos="1080"/>
          <w:tab w:val="left" w:pos="1680"/>
        </w:tabs>
        <w:rPr>
          <w:rFonts w:ascii="Times New Roman" w:hAnsi="Times New Roman"/>
        </w:rPr>
      </w:pPr>
      <w:r>
        <w:rPr>
          <w:rFonts w:ascii="Times New Roman" w:hAnsi="Times New Roman"/>
        </w:rPr>
        <w:tab/>
      </w:r>
      <w:r>
        <w:rPr>
          <w:rFonts w:ascii="Times New Roman" w:hAnsi="Times New Roman"/>
        </w:rPr>
        <w:tab/>
      </w:r>
    </w:p>
    <w:p w:rsidR="00455BF0" w:rsidP="00C83300" w14:paraId="2771A8A6" w14:textId="4FFB6DF5">
      <w:pPr>
        <w:widowControl/>
        <w:tabs>
          <w:tab w:val="left" w:pos="480"/>
          <w:tab w:val="left" w:pos="1080"/>
          <w:tab w:val="left" w:pos="1680"/>
        </w:tabs>
        <w:ind w:left="1440"/>
        <w:rPr>
          <w:rFonts w:ascii="Times New Roman" w:hAnsi="Times New Roman"/>
        </w:rPr>
      </w:pPr>
      <w:r>
        <w:rPr>
          <w:rFonts w:ascii="Times New Roman" w:hAnsi="Times New Roman"/>
        </w:rPr>
        <w:t>The establishment of a written security program and developing training materials are one</w:t>
      </w:r>
      <w:r>
        <w:rPr>
          <w:rFonts w:ascii="Times New Roman" w:hAnsi="Times New Roman"/>
        </w:rPr>
        <w:noBreakHyphen/>
        <w:t>time requirements.  Updating and maintaining the program and training materials should not involve more than a minimal burden.</w:t>
      </w:r>
      <w:r w:rsidR="00B44EED">
        <w:rPr>
          <w:rFonts w:ascii="Times New Roman" w:hAnsi="Times New Roman"/>
        </w:rPr>
        <w:t xml:space="preserve"> </w:t>
      </w:r>
      <w:r w:rsidR="00B60A25">
        <w:rPr>
          <w:rFonts w:ascii="Times New Roman" w:hAnsi="Times New Roman"/>
        </w:rPr>
        <w:t xml:space="preserve"> </w:t>
      </w:r>
      <w:r w:rsidR="00B44EED">
        <w:rPr>
          <w:rFonts w:ascii="Times New Roman" w:hAnsi="Times New Roman"/>
        </w:rPr>
        <w:t>Further, a</w:t>
      </w:r>
      <w:r w:rsidRPr="00B44EED" w:rsidR="00B44EED">
        <w:rPr>
          <w:rFonts w:ascii="Times New Roman" w:hAnsi="Times New Roman"/>
        </w:rPr>
        <w:t>ll banks are subject to the same requirement to prepare and maintain written procedures as part of this program to assure and monitor compliance with the Bank Secrecy Act</w:t>
      </w:r>
      <w:r w:rsidR="00B44EED">
        <w:rPr>
          <w:rFonts w:ascii="Times New Roman" w:hAnsi="Times New Roman"/>
        </w:rPr>
        <w:t xml:space="preserve"> </w:t>
      </w:r>
      <w:r w:rsidRPr="00B44EED" w:rsidR="00B44EED">
        <w:rPr>
          <w:rFonts w:ascii="Times New Roman" w:hAnsi="Times New Roman"/>
        </w:rPr>
        <w:t>and the Treasury’s implementing regulations at 31 C.F.R. Chapter X</w:t>
      </w:r>
      <w:r w:rsidR="00B44EED">
        <w:rPr>
          <w:rFonts w:ascii="Times New Roman" w:hAnsi="Times New Roman"/>
        </w:rPr>
        <w:t xml:space="preserve">.  </w:t>
      </w:r>
      <w:r w:rsidRPr="00B60A25" w:rsidR="00B60A25">
        <w:rPr>
          <w:rFonts w:ascii="Times New Roman" w:hAnsi="Times New Roman"/>
        </w:rPr>
        <w:t xml:space="preserve">The burden in preparing and maintaining </w:t>
      </w:r>
      <w:r w:rsidRPr="00B60A25" w:rsidR="00B60A25">
        <w:rPr>
          <w:rFonts w:ascii="Times New Roman" w:hAnsi="Times New Roman"/>
        </w:rPr>
        <w:t>written</w:t>
      </w:r>
      <w:r w:rsidRPr="00B60A25" w:rsidR="00B60A25">
        <w:rPr>
          <w:rFonts w:ascii="Times New Roman" w:hAnsi="Times New Roman"/>
        </w:rPr>
        <w:t xml:space="preserve"> </w:t>
      </w:r>
      <w:r w:rsidR="00B60A25">
        <w:rPr>
          <w:rFonts w:ascii="Times New Roman" w:hAnsi="Times New Roman"/>
        </w:rPr>
        <w:t>security program</w:t>
      </w:r>
      <w:r w:rsidRPr="00B60A25" w:rsidR="00B60A25">
        <w:rPr>
          <w:rFonts w:ascii="Times New Roman" w:hAnsi="Times New Roman"/>
        </w:rPr>
        <w:t xml:space="preserve"> is proportionate to the size and complexity of the bank’s operations.</w:t>
      </w:r>
    </w:p>
    <w:p w:rsidR="00455BF0" w14:paraId="4E5FC2B5" w14:textId="77777777">
      <w:pPr>
        <w:widowControl/>
        <w:tabs>
          <w:tab w:val="left" w:pos="480"/>
          <w:tab w:val="left" w:pos="1080"/>
          <w:tab w:val="left" w:pos="1680"/>
        </w:tabs>
        <w:rPr>
          <w:rFonts w:ascii="Times New Roman" w:hAnsi="Times New Roman"/>
        </w:rPr>
      </w:pPr>
    </w:p>
    <w:p w:rsidR="00455BF0" w14:paraId="4ABD6625" w14:textId="7300D02D">
      <w:pPr>
        <w:widowControl/>
        <w:tabs>
          <w:tab w:val="left" w:pos="480"/>
          <w:tab w:val="left" w:pos="1080"/>
          <w:tab w:val="left" w:pos="1680"/>
        </w:tabs>
        <w:ind w:firstLine="480"/>
        <w:rPr>
          <w:rFonts w:ascii="Times New Roman" w:hAnsi="Times New Roman"/>
        </w:rPr>
      </w:pPr>
      <w:r>
        <w:rPr>
          <w:rFonts w:ascii="Times New Roman" w:hAnsi="Times New Roman"/>
        </w:rPr>
        <w:t>6.</w:t>
      </w:r>
      <w:r>
        <w:rPr>
          <w:rFonts w:ascii="Times New Roman" w:hAnsi="Times New Roman"/>
        </w:rPr>
        <w:tab/>
      </w:r>
      <w:r>
        <w:rPr>
          <w:rFonts w:ascii="Times New Roman" w:hAnsi="Times New Roman"/>
          <w:u w:val="single"/>
        </w:rPr>
        <w:t>Consequences of Less Frequent Collection</w:t>
      </w:r>
      <w:r w:rsidR="00C83300">
        <w:rPr>
          <w:rFonts w:ascii="Times New Roman" w:hAnsi="Times New Roman"/>
          <w:u w:val="single"/>
        </w:rPr>
        <w:t>:</w:t>
      </w:r>
    </w:p>
    <w:p w:rsidR="00455BF0" w14:paraId="5F046711" w14:textId="77777777">
      <w:pPr>
        <w:widowControl/>
        <w:tabs>
          <w:tab w:val="left" w:pos="480"/>
          <w:tab w:val="left" w:pos="1080"/>
          <w:tab w:val="left" w:pos="1680"/>
        </w:tabs>
        <w:rPr>
          <w:rFonts w:ascii="Times New Roman" w:hAnsi="Times New Roman"/>
        </w:rPr>
      </w:pPr>
    </w:p>
    <w:p w:rsidR="00B44EED" w:rsidRPr="00B44EED" w:rsidP="00B44EED" w14:paraId="210F1367" w14:textId="2CBACC82">
      <w:pPr>
        <w:widowControl/>
        <w:tabs>
          <w:tab w:val="left" w:pos="480"/>
          <w:tab w:val="left" w:pos="1080"/>
          <w:tab w:val="left" w:pos="1680"/>
        </w:tabs>
        <w:ind w:left="1440"/>
        <w:rPr>
          <w:rFonts w:ascii="Times New Roman" w:hAnsi="Times New Roman"/>
        </w:rPr>
      </w:pPr>
      <w:r w:rsidRPr="00B44EED">
        <w:rPr>
          <w:rFonts w:ascii="Times New Roman" w:hAnsi="Times New Roman"/>
        </w:rPr>
        <w:t xml:space="preserve">Banks are expected to collect relevant information as frequently as is necessary to </w:t>
      </w:r>
      <w:r>
        <w:rPr>
          <w:rFonts w:ascii="Times New Roman" w:hAnsi="Times New Roman"/>
        </w:rPr>
        <w:t xml:space="preserve">comply with the Bank Protection Act and the Bank Secrecy Act.  </w:t>
      </w:r>
      <w:r w:rsidRPr="00B44EED">
        <w:rPr>
          <w:rFonts w:ascii="Times New Roman" w:hAnsi="Times New Roman"/>
        </w:rPr>
        <w:t>Non-compliance with</w:t>
      </w:r>
      <w:r>
        <w:rPr>
          <w:rFonts w:ascii="Times New Roman" w:hAnsi="Times New Roman"/>
        </w:rPr>
        <w:t xml:space="preserve"> these requirements exposes </w:t>
      </w:r>
      <w:r w:rsidRPr="00B44EED">
        <w:rPr>
          <w:rFonts w:ascii="Times New Roman" w:hAnsi="Times New Roman"/>
        </w:rPr>
        <w:t xml:space="preserve">banks to statutory penalties, fines and sanctions. </w:t>
      </w:r>
      <w:r w:rsidRPr="00B44EED">
        <w:rPr>
          <w:rFonts w:ascii="Times New Roman" w:hAnsi="Times New Roman"/>
        </w:rPr>
        <w:t>Less frequent collection of this information would</w:t>
      </w:r>
      <w:r>
        <w:rPr>
          <w:rFonts w:ascii="Times New Roman" w:hAnsi="Times New Roman"/>
        </w:rPr>
        <w:t xml:space="preserve"> create a risk of inadequate security systems in insured </w:t>
      </w:r>
      <w:r w:rsidR="00953D58">
        <w:rPr>
          <w:rFonts w:ascii="Times New Roman" w:hAnsi="Times New Roman"/>
        </w:rPr>
        <w:t>non-member</w:t>
      </w:r>
      <w:r>
        <w:rPr>
          <w:rFonts w:ascii="Times New Roman" w:hAnsi="Times New Roman"/>
        </w:rPr>
        <w:t xml:space="preserve"> banks and</w:t>
      </w:r>
      <w:r w:rsidRPr="00B44EED">
        <w:rPr>
          <w:rFonts w:ascii="Times New Roman" w:hAnsi="Times New Roman"/>
        </w:rPr>
        <w:t xml:space="preserve"> hinder the agency’s ability to assess the safety and soundness of FDIC-supervised institutions</w:t>
      </w:r>
      <w:r>
        <w:rPr>
          <w:rFonts w:ascii="Times New Roman" w:hAnsi="Times New Roman"/>
        </w:rPr>
        <w:t>.</w:t>
      </w:r>
    </w:p>
    <w:p w:rsidR="00455BF0" w14:paraId="6D51CC39" w14:textId="77777777">
      <w:pPr>
        <w:widowControl/>
        <w:tabs>
          <w:tab w:val="left" w:pos="480"/>
          <w:tab w:val="left" w:pos="1080"/>
          <w:tab w:val="left" w:pos="1680"/>
        </w:tabs>
        <w:rPr>
          <w:rFonts w:ascii="Times New Roman" w:hAnsi="Times New Roman"/>
        </w:rPr>
      </w:pPr>
    </w:p>
    <w:p w:rsidR="00035DE7" w:rsidP="00B01BA0" w14:paraId="4DC7148F" w14:textId="664A33C9">
      <w:pPr>
        <w:widowControl/>
        <w:ind w:left="1020" w:hanging="570"/>
        <w:rPr>
          <w:rFonts w:ascii="Times New Roman" w:hAnsi="Times New Roman"/>
        </w:rPr>
      </w:pPr>
      <w:r>
        <w:rPr>
          <w:rFonts w:ascii="Times New Roman" w:hAnsi="Times New Roman"/>
        </w:rPr>
        <w:t>7.</w:t>
      </w:r>
      <w:r>
        <w:rPr>
          <w:rFonts w:ascii="Times New Roman" w:hAnsi="Times New Roman"/>
        </w:rPr>
        <w:tab/>
      </w:r>
      <w:r w:rsidRPr="00366534">
        <w:rPr>
          <w:rFonts w:ascii="Times New Roman" w:hAnsi="Times New Roman"/>
          <w:u w:val="single"/>
        </w:rPr>
        <w:t>Special circumstances necessitating collection inconsistent with 5 CFR Part</w:t>
      </w:r>
      <w:r w:rsidR="00D74BEB">
        <w:rPr>
          <w:rFonts w:ascii="Times New Roman" w:hAnsi="Times New Roman"/>
          <w:u w:val="single"/>
        </w:rPr>
        <w:t xml:space="preserve"> </w:t>
      </w:r>
      <w:r w:rsidRPr="00366534">
        <w:rPr>
          <w:rFonts w:ascii="Times New Roman" w:hAnsi="Times New Roman"/>
          <w:u w:val="single"/>
        </w:rPr>
        <w:t>1320.5(d)(2):</w:t>
      </w:r>
    </w:p>
    <w:p w:rsidR="00455BF0" w14:paraId="11EF4369" w14:textId="77777777">
      <w:pPr>
        <w:widowControl/>
        <w:tabs>
          <w:tab w:val="left" w:pos="480"/>
          <w:tab w:val="left" w:pos="1080"/>
          <w:tab w:val="left" w:pos="1680"/>
        </w:tabs>
        <w:rPr>
          <w:rFonts w:ascii="Times New Roman" w:hAnsi="Times New Roman"/>
        </w:rPr>
      </w:pPr>
    </w:p>
    <w:p w:rsidR="00455BF0" w:rsidP="00D74BEB" w14:paraId="22F9D4DC" w14:textId="1B328606">
      <w:pPr>
        <w:widowControl/>
        <w:tabs>
          <w:tab w:val="left" w:pos="480"/>
          <w:tab w:val="left" w:pos="1080"/>
          <w:tab w:val="left" w:pos="1440"/>
        </w:tabs>
        <w:ind w:left="1440"/>
        <w:rPr>
          <w:rFonts w:ascii="Times New Roman" w:hAnsi="Times New Roman"/>
        </w:rPr>
      </w:pPr>
      <w:r>
        <w:rPr>
          <w:rFonts w:ascii="Times New Roman" w:hAnsi="Times New Roman"/>
        </w:rPr>
        <w:t>None</w:t>
      </w:r>
      <w:r>
        <w:rPr>
          <w:rFonts w:ascii="Times New Roman" w:hAnsi="Times New Roman"/>
        </w:rPr>
        <w:t>.</w:t>
      </w:r>
      <w:r w:rsidR="00B60A25">
        <w:rPr>
          <w:rFonts w:ascii="Times New Roman" w:hAnsi="Times New Roman"/>
        </w:rPr>
        <w:t xml:space="preserve">  </w:t>
      </w:r>
      <w:r w:rsidRPr="00B60A25" w:rsidR="00B60A25">
        <w:rPr>
          <w:rFonts w:ascii="Times New Roman" w:hAnsi="Times New Roman"/>
        </w:rPr>
        <w:t>The</w:t>
      </w:r>
      <w:r w:rsidRPr="00B60A25" w:rsidR="00B60A25">
        <w:rPr>
          <w:rFonts w:ascii="Times New Roman" w:hAnsi="Times New Roman"/>
          <w:bCs/>
          <w:iCs/>
        </w:rPr>
        <w:t xml:space="preserve"> information is collected in a manner consistent with 5 CFR 1320.5(d)(2)</w:t>
      </w:r>
    </w:p>
    <w:p w:rsidR="00455BF0" w14:paraId="6567BADC" w14:textId="77777777">
      <w:pPr>
        <w:widowControl/>
        <w:tabs>
          <w:tab w:val="left" w:pos="480"/>
          <w:tab w:val="left" w:pos="1080"/>
          <w:tab w:val="left" w:pos="1680"/>
        </w:tabs>
        <w:rPr>
          <w:rFonts w:ascii="Times New Roman" w:hAnsi="Times New Roman"/>
        </w:rPr>
      </w:pPr>
    </w:p>
    <w:p w:rsidR="00455BF0" w14:paraId="577879F0" w14:textId="58E0F814">
      <w:pPr>
        <w:widowControl/>
        <w:tabs>
          <w:tab w:val="left" w:pos="480"/>
          <w:tab w:val="left" w:pos="1080"/>
          <w:tab w:val="left" w:pos="1680"/>
        </w:tabs>
        <w:ind w:firstLine="480"/>
        <w:rPr>
          <w:rFonts w:ascii="Times New Roman" w:hAnsi="Times New Roman"/>
        </w:rPr>
      </w:pPr>
      <w:r>
        <w:rPr>
          <w:rFonts w:ascii="Times New Roman" w:hAnsi="Times New Roman"/>
        </w:rPr>
        <w:t>8.</w:t>
      </w:r>
      <w:r>
        <w:rPr>
          <w:rFonts w:ascii="Times New Roman" w:hAnsi="Times New Roman"/>
        </w:rPr>
        <w:tab/>
      </w:r>
      <w:r>
        <w:rPr>
          <w:rFonts w:ascii="Times New Roman" w:hAnsi="Times New Roman"/>
          <w:u w:val="single"/>
        </w:rPr>
        <w:t>Consultation with Persons Outside the FDIC</w:t>
      </w:r>
      <w:r w:rsidR="00D74BEB">
        <w:rPr>
          <w:rFonts w:ascii="Times New Roman" w:hAnsi="Times New Roman"/>
          <w:u w:val="single"/>
        </w:rPr>
        <w:t>:</w:t>
      </w:r>
    </w:p>
    <w:p w:rsidR="00455BF0" w14:paraId="43EADB3B" w14:textId="77777777">
      <w:pPr>
        <w:widowControl/>
        <w:tabs>
          <w:tab w:val="left" w:pos="480"/>
          <w:tab w:val="left" w:pos="1080"/>
          <w:tab w:val="left" w:pos="1680"/>
        </w:tabs>
        <w:rPr>
          <w:rFonts w:ascii="Times New Roman" w:hAnsi="Times New Roman"/>
        </w:rPr>
      </w:pPr>
    </w:p>
    <w:p w:rsidR="004D6FDC" w:rsidRPr="004D6FDC" w:rsidP="00D74BEB" w14:paraId="23E9479E" w14:textId="4D4EE3DF">
      <w:pPr>
        <w:widowControl/>
        <w:tabs>
          <w:tab w:val="left" w:pos="480"/>
          <w:tab w:val="left" w:pos="1080"/>
          <w:tab w:val="left" w:pos="1680"/>
        </w:tabs>
        <w:ind w:left="1440"/>
        <w:rPr>
          <w:rFonts w:ascii="Times New Roman" w:hAnsi="Times New Roman"/>
        </w:rPr>
      </w:pPr>
      <w:r w:rsidRPr="005E1A91">
        <w:rPr>
          <w:rFonts w:ascii="Times New Roman" w:hAnsi="Times New Roman"/>
        </w:rPr>
        <w:t xml:space="preserve">A 60-day notice seeking public comment on the </w:t>
      </w:r>
      <w:r>
        <w:rPr>
          <w:rFonts w:ascii="Times New Roman" w:hAnsi="Times New Roman"/>
        </w:rPr>
        <w:t>FDIC’s</w:t>
      </w:r>
      <w:r w:rsidRPr="005E1A91">
        <w:rPr>
          <w:rFonts w:ascii="Times New Roman" w:hAnsi="Times New Roman"/>
        </w:rPr>
        <w:t xml:space="preserve"> renewal of the information collection was published on </w:t>
      </w:r>
      <w:r>
        <w:rPr>
          <w:rFonts w:ascii="Times New Roman" w:hAnsi="Times New Roman"/>
        </w:rPr>
        <w:t xml:space="preserve">March </w:t>
      </w:r>
      <w:r w:rsidR="00AE3010">
        <w:rPr>
          <w:rFonts w:ascii="Times New Roman" w:hAnsi="Times New Roman"/>
        </w:rPr>
        <w:t>25</w:t>
      </w:r>
      <w:r>
        <w:rPr>
          <w:rFonts w:ascii="Times New Roman" w:hAnsi="Times New Roman"/>
        </w:rPr>
        <w:t>, 2025 (90 FR 1</w:t>
      </w:r>
      <w:r w:rsidR="00AE3010">
        <w:rPr>
          <w:rFonts w:ascii="Times New Roman" w:hAnsi="Times New Roman"/>
        </w:rPr>
        <w:t>3600</w:t>
      </w:r>
      <w:r>
        <w:rPr>
          <w:rFonts w:ascii="Times New Roman" w:hAnsi="Times New Roman"/>
        </w:rPr>
        <w:t>)</w:t>
      </w:r>
      <w:r w:rsidRPr="005E1A91">
        <w:rPr>
          <w:rFonts w:ascii="Times New Roman" w:hAnsi="Times New Roman"/>
        </w:rPr>
        <w:t>.  No comments were received</w:t>
      </w:r>
      <w:r w:rsidRPr="004D6FDC">
        <w:rPr>
          <w:rFonts w:ascii="Times New Roman" w:hAnsi="Times New Roman"/>
        </w:rPr>
        <w:t xml:space="preserve">. </w:t>
      </w:r>
    </w:p>
    <w:p w:rsidR="00455BF0" w14:paraId="476D426D" w14:textId="77777777">
      <w:pPr>
        <w:widowControl/>
        <w:tabs>
          <w:tab w:val="left" w:pos="480"/>
          <w:tab w:val="left" w:pos="1080"/>
          <w:tab w:val="left" w:pos="1680"/>
        </w:tabs>
        <w:rPr>
          <w:rFonts w:ascii="Times New Roman" w:hAnsi="Times New Roman"/>
        </w:rPr>
      </w:pPr>
    </w:p>
    <w:p w:rsidR="00455BF0" w14:paraId="459A3B1F" w14:textId="4D36CEE5">
      <w:pPr>
        <w:widowControl/>
        <w:tabs>
          <w:tab w:val="left" w:pos="480"/>
          <w:tab w:val="left" w:pos="1080"/>
          <w:tab w:val="left" w:pos="1680"/>
        </w:tabs>
        <w:ind w:left="480"/>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Payment or Gift to Respondents</w:t>
      </w:r>
      <w:r w:rsidR="00D74BEB">
        <w:rPr>
          <w:rFonts w:ascii="Times New Roman" w:hAnsi="Times New Roman"/>
          <w:u w:val="single"/>
        </w:rPr>
        <w:t>:</w:t>
      </w:r>
    </w:p>
    <w:p w:rsidR="00455BF0" w14:paraId="48DAE0D7" w14:textId="77777777">
      <w:pPr>
        <w:widowControl/>
        <w:tabs>
          <w:tab w:val="left" w:pos="480"/>
          <w:tab w:val="left" w:pos="1080"/>
          <w:tab w:val="left" w:pos="1680"/>
        </w:tabs>
        <w:rPr>
          <w:rFonts w:ascii="Times New Roman" w:hAnsi="Times New Roman"/>
        </w:rPr>
      </w:pPr>
    </w:p>
    <w:p w:rsidR="00455BF0" w:rsidP="00D74BEB" w14:paraId="0FF06403" w14:textId="67287575">
      <w:pPr>
        <w:widowControl/>
        <w:tabs>
          <w:tab w:val="left" w:pos="480"/>
          <w:tab w:val="left" w:pos="1440"/>
        </w:tabs>
        <w:ind w:left="480"/>
        <w:rPr>
          <w:rFonts w:ascii="Times New Roman" w:hAnsi="Times New Roman"/>
        </w:rPr>
      </w:pPr>
      <w:r>
        <w:rPr>
          <w:rFonts w:ascii="Times New Roman" w:hAnsi="Times New Roman"/>
        </w:rPr>
        <w:tab/>
      </w:r>
      <w:r w:rsidRPr="00712BA4" w:rsidR="00586D2A">
        <w:rPr>
          <w:rFonts w:ascii="Times New Roman" w:hAnsi="Times New Roman"/>
        </w:rPr>
        <w:t>Not applicable</w:t>
      </w:r>
      <w:r w:rsidR="00586D2A">
        <w:rPr>
          <w:rFonts w:ascii="Times New Roman" w:hAnsi="Times New Roman"/>
        </w:rPr>
        <w:t>.</w:t>
      </w:r>
    </w:p>
    <w:p w:rsidR="00455BF0" w14:paraId="14397AA5" w14:textId="77777777">
      <w:pPr>
        <w:widowControl/>
        <w:tabs>
          <w:tab w:val="left" w:pos="480"/>
          <w:tab w:val="left" w:pos="1080"/>
          <w:tab w:val="left" w:pos="1680"/>
        </w:tabs>
        <w:rPr>
          <w:rFonts w:ascii="Times New Roman" w:hAnsi="Times New Roman"/>
        </w:rPr>
      </w:pPr>
    </w:p>
    <w:p w:rsidR="00455BF0" w14:paraId="7C22BE37" w14:textId="2C4658F2">
      <w:pPr>
        <w:widowControl/>
        <w:numPr>
          <w:ilvl w:val="0"/>
          <w:numId w:val="1"/>
        </w:numPr>
        <w:tabs>
          <w:tab w:val="left" w:pos="480"/>
          <w:tab w:val="left" w:pos="1680"/>
        </w:tabs>
        <w:rPr>
          <w:rFonts w:ascii="Times New Roman" w:hAnsi="Times New Roman"/>
        </w:rPr>
      </w:pPr>
      <w:r w:rsidRPr="00366534">
        <w:rPr>
          <w:rFonts w:ascii="Times New Roman" w:hAnsi="Times New Roman"/>
          <w:u w:val="single"/>
        </w:rPr>
        <w:t xml:space="preserve">Any </w:t>
      </w:r>
      <w:r>
        <w:rPr>
          <w:rFonts w:ascii="Times New Roman" w:hAnsi="Times New Roman"/>
          <w:u w:val="single"/>
        </w:rPr>
        <w:t>A</w:t>
      </w:r>
      <w:r w:rsidRPr="00366534">
        <w:rPr>
          <w:rFonts w:ascii="Times New Roman" w:hAnsi="Times New Roman"/>
          <w:u w:val="single"/>
        </w:rPr>
        <w:t xml:space="preserve">ssurance of </w:t>
      </w:r>
      <w:r>
        <w:rPr>
          <w:rFonts w:ascii="Times New Roman" w:hAnsi="Times New Roman"/>
          <w:u w:val="single"/>
        </w:rPr>
        <w:t>C</w:t>
      </w:r>
      <w:r w:rsidRPr="00366534">
        <w:rPr>
          <w:rFonts w:ascii="Times New Roman" w:hAnsi="Times New Roman"/>
          <w:u w:val="single"/>
        </w:rPr>
        <w:t>onfidentiality</w:t>
      </w:r>
      <w:r>
        <w:rPr>
          <w:rFonts w:ascii="Times New Roman" w:hAnsi="Times New Roman"/>
          <w:u w:val="single"/>
        </w:rPr>
        <w:t>:</w:t>
      </w:r>
    </w:p>
    <w:p w:rsidR="00455BF0" w14:paraId="5BE83F9C" w14:textId="77777777">
      <w:pPr>
        <w:widowControl/>
        <w:tabs>
          <w:tab w:val="left" w:pos="480"/>
          <w:tab w:val="left" w:pos="1080"/>
          <w:tab w:val="left" w:pos="1680"/>
        </w:tabs>
        <w:ind w:left="480"/>
        <w:rPr>
          <w:rFonts w:ascii="Times New Roman" w:hAnsi="Times New Roman"/>
        </w:rPr>
      </w:pPr>
    </w:p>
    <w:p w:rsidR="00B60A25" w:rsidRPr="00B60A25" w:rsidP="00B60A25" w14:paraId="601F73E2" w14:textId="77777777">
      <w:pPr>
        <w:widowControl/>
        <w:tabs>
          <w:tab w:val="left" w:pos="1080"/>
          <w:tab w:val="left" w:pos="1680"/>
        </w:tabs>
        <w:ind w:left="1440"/>
        <w:rPr>
          <w:rFonts w:ascii="Times New Roman" w:hAnsi="Times New Roman"/>
        </w:rPr>
      </w:pPr>
      <w:r>
        <w:rPr>
          <w:rFonts w:ascii="Times New Roman" w:hAnsi="Times New Roman"/>
        </w:rPr>
        <w:t xml:space="preserve">All information required by this recordkeeping is retained by the bank for review by FDIC bank examiners.  </w:t>
      </w:r>
      <w:r w:rsidRPr="00B60A25">
        <w:rPr>
          <w:rFonts w:ascii="Times New Roman" w:hAnsi="Times New Roman"/>
        </w:rPr>
        <w:t xml:space="preserve">The information will be kept </w:t>
      </w:r>
      <w:r w:rsidRPr="00B60A25">
        <w:rPr>
          <w:rFonts w:ascii="Times New Roman" w:hAnsi="Times New Roman"/>
          <w:bCs/>
        </w:rPr>
        <w:t>private</w:t>
      </w:r>
      <w:r w:rsidRPr="00B60A25">
        <w:rPr>
          <w:rFonts w:ascii="Times New Roman" w:hAnsi="Times New Roman"/>
        </w:rPr>
        <w:t xml:space="preserve"> to the extent provided by law.</w:t>
      </w:r>
    </w:p>
    <w:p w:rsidR="00455BF0" w:rsidP="00E47268" w14:paraId="77DD38C8" w14:textId="31AD9F3C">
      <w:pPr>
        <w:widowControl/>
        <w:tabs>
          <w:tab w:val="left" w:pos="1080"/>
          <w:tab w:val="left" w:pos="1680"/>
        </w:tabs>
        <w:ind w:left="1440"/>
        <w:rPr>
          <w:rFonts w:ascii="Times New Roman" w:hAnsi="Times New Roman"/>
        </w:rPr>
      </w:pPr>
    </w:p>
    <w:p w:rsidR="00455BF0" w:rsidP="00B967B7" w14:paraId="7CD84D2F" w14:textId="2FCAC091">
      <w:pPr>
        <w:widowControl/>
        <w:tabs>
          <w:tab w:val="left" w:pos="480"/>
          <w:tab w:val="left" w:pos="1080"/>
          <w:tab w:val="left" w:pos="1680"/>
        </w:tabs>
        <w:rPr>
          <w:rFonts w:ascii="Times New Roman" w:hAnsi="Times New Roman"/>
        </w:rPr>
      </w:pPr>
      <w:r>
        <w:rPr>
          <w:rFonts w:ascii="Times New Roman" w:hAnsi="Times New Roman"/>
        </w:rPr>
        <w:tab/>
      </w:r>
      <w:r>
        <w:rPr>
          <w:rFonts w:ascii="Times New Roman" w:hAnsi="Times New Roman"/>
        </w:rPr>
        <w:t>11.</w:t>
      </w:r>
      <w:r>
        <w:rPr>
          <w:rFonts w:ascii="Times New Roman" w:hAnsi="Times New Roman"/>
        </w:rPr>
        <w:tab/>
      </w:r>
      <w:r w:rsidRPr="00366534" w:rsidR="00937703">
        <w:rPr>
          <w:rFonts w:ascii="Times New Roman" w:hAnsi="Times New Roman"/>
          <w:u w:val="single"/>
        </w:rPr>
        <w:t xml:space="preserve">Justification for </w:t>
      </w:r>
      <w:r w:rsidR="00937703">
        <w:rPr>
          <w:rFonts w:ascii="Times New Roman" w:hAnsi="Times New Roman"/>
          <w:u w:val="single"/>
        </w:rPr>
        <w:t>Q</w:t>
      </w:r>
      <w:r w:rsidRPr="00366534" w:rsidR="00937703">
        <w:rPr>
          <w:rFonts w:ascii="Times New Roman" w:hAnsi="Times New Roman"/>
          <w:u w:val="single"/>
        </w:rPr>
        <w:t xml:space="preserve">uestions of </w:t>
      </w:r>
      <w:r w:rsidRPr="00366534" w:rsidR="00937703">
        <w:rPr>
          <w:rFonts w:ascii="Times New Roman" w:hAnsi="Times New Roman"/>
          <w:u w:val="single"/>
        </w:rPr>
        <w:t xml:space="preserve">a </w:t>
      </w:r>
      <w:r w:rsidR="00937703">
        <w:rPr>
          <w:rFonts w:ascii="Times New Roman" w:hAnsi="Times New Roman"/>
          <w:u w:val="single"/>
        </w:rPr>
        <w:t>S</w:t>
      </w:r>
      <w:r w:rsidRPr="00366534" w:rsidR="00937703">
        <w:rPr>
          <w:rFonts w:ascii="Times New Roman" w:hAnsi="Times New Roman"/>
          <w:u w:val="single"/>
        </w:rPr>
        <w:t>ensitive</w:t>
      </w:r>
      <w:r w:rsidRPr="00366534" w:rsidR="00937703">
        <w:rPr>
          <w:rFonts w:ascii="Times New Roman" w:hAnsi="Times New Roman"/>
          <w:u w:val="single"/>
        </w:rPr>
        <w:t xml:space="preserve"> </w:t>
      </w:r>
      <w:r w:rsidR="00937703">
        <w:rPr>
          <w:rFonts w:ascii="Times New Roman" w:hAnsi="Times New Roman"/>
          <w:u w:val="single"/>
        </w:rPr>
        <w:t>N</w:t>
      </w:r>
      <w:r w:rsidRPr="00366534" w:rsidR="00937703">
        <w:rPr>
          <w:rFonts w:ascii="Times New Roman" w:hAnsi="Times New Roman"/>
          <w:u w:val="single"/>
        </w:rPr>
        <w:t>ature</w:t>
      </w:r>
      <w:r w:rsidR="00937703">
        <w:rPr>
          <w:rFonts w:ascii="Times New Roman" w:hAnsi="Times New Roman"/>
          <w:u w:val="single"/>
        </w:rPr>
        <w:t>:</w:t>
      </w:r>
    </w:p>
    <w:p w:rsidR="00455BF0" w14:paraId="11160015" w14:textId="77777777">
      <w:pPr>
        <w:widowControl/>
        <w:tabs>
          <w:tab w:val="left" w:pos="480"/>
          <w:tab w:val="left" w:pos="1080"/>
          <w:tab w:val="left" w:pos="1680"/>
        </w:tabs>
        <w:rPr>
          <w:rFonts w:ascii="Times New Roman" w:hAnsi="Times New Roman"/>
        </w:rPr>
      </w:pPr>
    </w:p>
    <w:p w:rsidR="00455BF0" w:rsidP="00937703" w14:paraId="140DF0C9" w14:textId="77777777">
      <w:pPr>
        <w:widowControl/>
        <w:tabs>
          <w:tab w:val="left" w:pos="480"/>
          <w:tab w:val="left" w:pos="1080"/>
          <w:tab w:val="left" w:pos="1680"/>
        </w:tabs>
        <w:ind w:left="480" w:firstLine="1050"/>
        <w:rPr>
          <w:rFonts w:ascii="Times New Roman" w:hAnsi="Times New Roman"/>
        </w:rPr>
      </w:pPr>
      <w:r>
        <w:rPr>
          <w:rFonts w:ascii="Times New Roman" w:hAnsi="Times New Roman"/>
        </w:rPr>
        <w:t>No information of a sensitive nature is collected.</w:t>
      </w:r>
    </w:p>
    <w:p w:rsidR="00455BF0" w14:paraId="75DB099C" w14:textId="77777777">
      <w:pPr>
        <w:widowControl/>
        <w:tabs>
          <w:tab w:val="left" w:pos="480"/>
          <w:tab w:val="left" w:pos="1080"/>
          <w:tab w:val="left" w:pos="1680"/>
        </w:tabs>
        <w:rPr>
          <w:rFonts w:ascii="Times New Roman" w:hAnsi="Times New Roman"/>
        </w:rPr>
      </w:pPr>
    </w:p>
    <w:p w:rsidR="00455BF0" w14:paraId="6F0CA785" w14:textId="2FA09D3E">
      <w:pPr>
        <w:widowControl/>
        <w:tabs>
          <w:tab w:val="left" w:pos="480"/>
          <w:tab w:val="left" w:pos="1080"/>
          <w:tab w:val="left" w:pos="1680"/>
        </w:tabs>
        <w:ind w:firstLine="480"/>
        <w:rPr>
          <w:rFonts w:ascii="Times New Roman" w:hAnsi="Times New Roman"/>
        </w:rPr>
      </w:pPr>
      <w:r>
        <w:rPr>
          <w:rFonts w:ascii="Times New Roman" w:hAnsi="Times New Roman"/>
        </w:rPr>
        <w:t>12.</w:t>
      </w:r>
      <w:r>
        <w:rPr>
          <w:rFonts w:ascii="Times New Roman" w:hAnsi="Times New Roman"/>
        </w:rPr>
        <w:tab/>
      </w:r>
      <w:r w:rsidRPr="009234BE" w:rsidR="00B73FB3">
        <w:rPr>
          <w:rFonts w:ascii="Times New Roman" w:hAnsi="Times New Roman"/>
          <w:u w:val="single"/>
        </w:rPr>
        <w:t xml:space="preserve">Estimate of </w:t>
      </w:r>
      <w:r w:rsidR="00B73FB3">
        <w:rPr>
          <w:rFonts w:ascii="Times New Roman" w:hAnsi="Times New Roman"/>
          <w:u w:val="single"/>
        </w:rPr>
        <w:t>H</w:t>
      </w:r>
      <w:r w:rsidRPr="009234BE" w:rsidR="00B73FB3">
        <w:rPr>
          <w:rFonts w:ascii="Times New Roman" w:hAnsi="Times New Roman"/>
          <w:u w:val="single"/>
        </w:rPr>
        <w:t xml:space="preserve">our </w:t>
      </w:r>
      <w:r w:rsidR="00B73FB3">
        <w:rPr>
          <w:rFonts w:ascii="Times New Roman" w:hAnsi="Times New Roman"/>
          <w:u w:val="single"/>
        </w:rPr>
        <w:t>B</w:t>
      </w:r>
      <w:r w:rsidRPr="009234BE" w:rsidR="00B73FB3">
        <w:rPr>
          <w:rFonts w:ascii="Times New Roman" w:hAnsi="Times New Roman"/>
          <w:u w:val="single"/>
        </w:rPr>
        <w:t xml:space="preserve">urden </w:t>
      </w:r>
      <w:r w:rsidR="00B73FB3">
        <w:rPr>
          <w:rFonts w:ascii="Times New Roman" w:hAnsi="Times New Roman"/>
          <w:u w:val="single"/>
        </w:rPr>
        <w:t>I</w:t>
      </w:r>
      <w:r w:rsidRPr="009234BE" w:rsidR="00B73FB3">
        <w:rPr>
          <w:rFonts w:ascii="Times New Roman" w:hAnsi="Times New Roman"/>
          <w:u w:val="single"/>
        </w:rPr>
        <w:t xml:space="preserve">ncluding </w:t>
      </w:r>
      <w:r w:rsidR="00B73FB3">
        <w:rPr>
          <w:rFonts w:ascii="Times New Roman" w:hAnsi="Times New Roman"/>
          <w:u w:val="single"/>
        </w:rPr>
        <w:t>A</w:t>
      </w:r>
      <w:r w:rsidRPr="009234BE" w:rsidR="00B73FB3">
        <w:rPr>
          <w:rFonts w:ascii="Times New Roman" w:hAnsi="Times New Roman"/>
          <w:u w:val="single"/>
        </w:rPr>
        <w:t xml:space="preserve">nnualized </w:t>
      </w:r>
      <w:r w:rsidR="00B73FB3">
        <w:rPr>
          <w:rFonts w:ascii="Times New Roman" w:hAnsi="Times New Roman"/>
          <w:u w:val="single"/>
        </w:rPr>
        <w:t>H</w:t>
      </w:r>
      <w:r w:rsidRPr="009234BE" w:rsidR="00B73FB3">
        <w:rPr>
          <w:rFonts w:ascii="Times New Roman" w:hAnsi="Times New Roman"/>
          <w:u w:val="single"/>
        </w:rPr>
        <w:t xml:space="preserve">ourly </w:t>
      </w:r>
      <w:r w:rsidR="00B73FB3">
        <w:rPr>
          <w:rFonts w:ascii="Times New Roman" w:hAnsi="Times New Roman"/>
          <w:u w:val="single"/>
        </w:rPr>
        <w:t>C</w:t>
      </w:r>
      <w:r w:rsidRPr="009234BE" w:rsidR="00B73FB3">
        <w:rPr>
          <w:rFonts w:ascii="Times New Roman" w:hAnsi="Times New Roman"/>
          <w:u w:val="single"/>
        </w:rPr>
        <w:t>osts</w:t>
      </w:r>
      <w:r w:rsidR="00883DD7">
        <w:rPr>
          <w:rFonts w:ascii="Times New Roman" w:hAnsi="Times New Roman"/>
          <w:u w:val="single"/>
        </w:rPr>
        <w:t>:</w:t>
      </w:r>
    </w:p>
    <w:p w:rsidR="00455BF0" w14:paraId="53839147" w14:textId="77777777">
      <w:pPr>
        <w:widowControl/>
        <w:tabs>
          <w:tab w:val="left" w:pos="480"/>
          <w:tab w:val="left" w:pos="1080"/>
          <w:tab w:val="left" w:pos="1680"/>
        </w:tabs>
        <w:ind w:left="480"/>
        <w:rPr>
          <w:rFonts w:ascii="Times New Roman" w:hAnsi="Times New Roman"/>
        </w:rPr>
      </w:pPr>
    </w:p>
    <w:tbl>
      <w:tblPr>
        <w:tblW w:w="10232" w:type="dxa"/>
        <w:tblCellMar>
          <w:top w:w="15" w:type="dxa"/>
        </w:tblCellMar>
        <w:tblLook w:val="04A0"/>
      </w:tblPr>
      <w:tblGrid>
        <w:gridCol w:w="2547"/>
        <w:gridCol w:w="1749"/>
        <w:gridCol w:w="1504"/>
        <w:gridCol w:w="1886"/>
        <w:gridCol w:w="1274"/>
        <w:gridCol w:w="1272"/>
      </w:tblGrid>
      <w:tr w14:paraId="35C31AA9" w14:textId="77777777" w:rsidTr="00A759AD">
        <w:tblPrEx>
          <w:tblW w:w="10232" w:type="dxa"/>
          <w:tblCellMar>
            <w:top w:w="15" w:type="dxa"/>
          </w:tblCellMar>
          <w:tblLook w:val="04A0"/>
        </w:tblPrEx>
        <w:trPr>
          <w:trHeight w:val="361"/>
        </w:trPr>
        <w:tc>
          <w:tcPr>
            <w:tcW w:w="1023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759AD" w:rsidRPr="00A759AD" w:rsidP="006D084F" w14:paraId="12828F60" w14:textId="208F3ED0">
            <w:pPr>
              <w:jc w:val="center"/>
              <w:rPr>
                <w:rFonts w:ascii="Times New Roman" w:hAnsi="Times New Roman"/>
                <w:color w:val="000000"/>
                <w:sz w:val="22"/>
                <w:szCs w:val="22"/>
              </w:rPr>
            </w:pPr>
            <w:r w:rsidRPr="00A759AD">
              <w:rPr>
                <w:rFonts w:ascii="Times New Roman" w:hAnsi="Times New Roman"/>
                <w:color w:val="000000"/>
                <w:sz w:val="22"/>
                <w:szCs w:val="22"/>
              </w:rPr>
              <w:t xml:space="preserve"> Summary of Estimated Annual Burden (OMB No. 3064-0095)</w:t>
            </w:r>
          </w:p>
        </w:tc>
      </w:tr>
      <w:tr w14:paraId="44F7C107" w14:textId="77777777" w:rsidTr="00A759AD">
        <w:tblPrEx>
          <w:tblW w:w="10232" w:type="dxa"/>
          <w:tblCellMar>
            <w:top w:w="15" w:type="dxa"/>
          </w:tblCellMar>
          <w:tblLook w:val="04A0"/>
        </w:tblPrEx>
        <w:trPr>
          <w:trHeight w:val="844"/>
        </w:trPr>
        <w:tc>
          <w:tcPr>
            <w:tcW w:w="2547" w:type="dxa"/>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18E2957F" w14:textId="77777777">
            <w:pPr>
              <w:rPr>
                <w:rFonts w:ascii="Times New Roman" w:hAnsi="Times New Roman"/>
                <w:color w:val="000000"/>
                <w:sz w:val="22"/>
                <w:szCs w:val="22"/>
              </w:rPr>
            </w:pPr>
            <w:r w:rsidRPr="00A759AD">
              <w:rPr>
                <w:rFonts w:ascii="Times New Roman" w:hAnsi="Times New Roman"/>
                <w:color w:val="000000"/>
                <w:sz w:val="22"/>
                <w:szCs w:val="22"/>
              </w:rPr>
              <w:t>Information Collection (IC) (Obligation to Respond)</w:t>
            </w:r>
          </w:p>
        </w:tc>
        <w:tc>
          <w:tcPr>
            <w:tcW w:w="1749" w:type="dxa"/>
            <w:tcBorders>
              <w:top w:val="nil"/>
              <w:left w:val="nil"/>
              <w:bottom w:val="single" w:sz="8" w:space="0" w:color="auto"/>
              <w:right w:val="single" w:sz="8" w:space="0" w:color="auto"/>
            </w:tcBorders>
            <w:shd w:val="clear" w:color="auto" w:fill="auto"/>
            <w:vAlign w:val="center"/>
            <w:hideMark/>
          </w:tcPr>
          <w:p w:rsidR="00A759AD" w:rsidRPr="00A759AD" w:rsidP="006D084F" w14:paraId="478DE348" w14:textId="77777777">
            <w:pPr>
              <w:jc w:val="center"/>
              <w:rPr>
                <w:rFonts w:ascii="Times New Roman" w:hAnsi="Times New Roman"/>
                <w:color w:val="000000"/>
                <w:sz w:val="22"/>
                <w:szCs w:val="22"/>
              </w:rPr>
            </w:pPr>
            <w:r w:rsidRPr="00A759AD">
              <w:rPr>
                <w:rFonts w:ascii="Times New Roman" w:hAnsi="Times New Roman"/>
                <w:color w:val="000000"/>
                <w:sz w:val="22"/>
                <w:szCs w:val="22"/>
              </w:rPr>
              <w:t>Type of Burden</w:t>
            </w:r>
            <w:r w:rsidRPr="00A759AD">
              <w:rPr>
                <w:rFonts w:ascii="Times New Roman" w:hAnsi="Times New Roman"/>
                <w:color w:val="000000"/>
                <w:sz w:val="22"/>
                <w:szCs w:val="22"/>
              </w:rPr>
              <w:br/>
              <w:t>(Frequency of Response)</w:t>
            </w:r>
          </w:p>
        </w:tc>
        <w:tc>
          <w:tcPr>
            <w:tcW w:w="1504" w:type="dxa"/>
            <w:tcBorders>
              <w:top w:val="nil"/>
              <w:left w:val="nil"/>
              <w:bottom w:val="single" w:sz="8" w:space="0" w:color="auto"/>
              <w:right w:val="single" w:sz="8" w:space="0" w:color="auto"/>
            </w:tcBorders>
            <w:shd w:val="clear" w:color="auto" w:fill="auto"/>
            <w:vAlign w:val="center"/>
            <w:hideMark/>
          </w:tcPr>
          <w:p w:rsidR="00A759AD" w:rsidRPr="00A759AD" w:rsidP="006D084F" w14:paraId="29551933" w14:textId="77777777">
            <w:pPr>
              <w:jc w:val="center"/>
              <w:rPr>
                <w:rFonts w:ascii="Times New Roman" w:hAnsi="Times New Roman"/>
                <w:color w:val="000000"/>
                <w:sz w:val="22"/>
                <w:szCs w:val="22"/>
              </w:rPr>
            </w:pPr>
            <w:r w:rsidRPr="00A759AD">
              <w:rPr>
                <w:rFonts w:ascii="Times New Roman" w:hAnsi="Times New Roman"/>
                <w:color w:val="000000"/>
                <w:sz w:val="22"/>
                <w:szCs w:val="22"/>
              </w:rPr>
              <w:t xml:space="preserve"> Number of Respondents</w:t>
            </w:r>
          </w:p>
        </w:tc>
        <w:tc>
          <w:tcPr>
            <w:tcW w:w="1886" w:type="dxa"/>
            <w:tcBorders>
              <w:top w:val="nil"/>
              <w:left w:val="nil"/>
              <w:bottom w:val="single" w:sz="8" w:space="0" w:color="auto"/>
              <w:right w:val="single" w:sz="8" w:space="0" w:color="auto"/>
            </w:tcBorders>
            <w:shd w:val="clear" w:color="auto" w:fill="auto"/>
            <w:vAlign w:val="center"/>
            <w:hideMark/>
          </w:tcPr>
          <w:p w:rsidR="00A759AD" w:rsidRPr="00A759AD" w:rsidP="006D084F" w14:paraId="40B47D6A" w14:textId="77777777">
            <w:pPr>
              <w:jc w:val="center"/>
              <w:rPr>
                <w:rFonts w:ascii="Times New Roman" w:hAnsi="Times New Roman"/>
                <w:color w:val="000000"/>
                <w:sz w:val="22"/>
                <w:szCs w:val="22"/>
              </w:rPr>
            </w:pPr>
            <w:r w:rsidRPr="00A759AD">
              <w:rPr>
                <w:rFonts w:ascii="Times New Roman" w:hAnsi="Times New Roman"/>
                <w:color w:val="000000"/>
                <w:sz w:val="22"/>
                <w:szCs w:val="22"/>
              </w:rPr>
              <w:t xml:space="preserve"> Number of Responses per Respondent</w:t>
            </w:r>
          </w:p>
        </w:tc>
        <w:tc>
          <w:tcPr>
            <w:tcW w:w="1271" w:type="dxa"/>
            <w:tcBorders>
              <w:top w:val="nil"/>
              <w:left w:val="nil"/>
              <w:bottom w:val="single" w:sz="8" w:space="0" w:color="auto"/>
              <w:right w:val="single" w:sz="8" w:space="0" w:color="auto"/>
            </w:tcBorders>
            <w:shd w:val="clear" w:color="auto" w:fill="auto"/>
            <w:vAlign w:val="center"/>
            <w:hideMark/>
          </w:tcPr>
          <w:p w:rsidR="00A759AD" w:rsidRPr="00A759AD" w:rsidP="006D084F" w14:paraId="673C14B6" w14:textId="77777777">
            <w:pPr>
              <w:jc w:val="center"/>
              <w:rPr>
                <w:rFonts w:ascii="Times New Roman" w:hAnsi="Times New Roman"/>
                <w:color w:val="000000"/>
                <w:sz w:val="22"/>
                <w:szCs w:val="22"/>
              </w:rPr>
            </w:pPr>
            <w:r w:rsidRPr="00A759AD">
              <w:rPr>
                <w:rFonts w:ascii="Times New Roman" w:hAnsi="Times New Roman"/>
                <w:color w:val="000000"/>
                <w:sz w:val="22"/>
                <w:szCs w:val="22"/>
              </w:rPr>
              <w:t>Average Time per Response (HH:MM)</w:t>
            </w:r>
          </w:p>
        </w:tc>
        <w:tc>
          <w:tcPr>
            <w:tcW w:w="1272" w:type="dxa"/>
            <w:tcBorders>
              <w:top w:val="nil"/>
              <w:left w:val="nil"/>
              <w:bottom w:val="single" w:sz="8" w:space="0" w:color="auto"/>
              <w:right w:val="single" w:sz="8" w:space="0" w:color="auto"/>
            </w:tcBorders>
            <w:shd w:val="clear" w:color="auto" w:fill="auto"/>
            <w:vAlign w:val="center"/>
            <w:hideMark/>
          </w:tcPr>
          <w:p w:rsidR="00A759AD" w:rsidRPr="00A759AD" w:rsidP="006D084F" w14:paraId="06F375B8" w14:textId="77777777">
            <w:pPr>
              <w:jc w:val="center"/>
              <w:rPr>
                <w:rFonts w:ascii="Times New Roman" w:hAnsi="Times New Roman"/>
                <w:color w:val="000000"/>
                <w:sz w:val="22"/>
                <w:szCs w:val="22"/>
              </w:rPr>
            </w:pPr>
            <w:r w:rsidRPr="00A759AD">
              <w:rPr>
                <w:rFonts w:ascii="Times New Roman" w:hAnsi="Times New Roman"/>
                <w:color w:val="000000"/>
                <w:sz w:val="22"/>
                <w:szCs w:val="22"/>
              </w:rPr>
              <w:t>Annual Burden (Hours)</w:t>
            </w:r>
          </w:p>
        </w:tc>
      </w:tr>
      <w:tr w14:paraId="2941EEF6" w14:textId="77777777" w:rsidTr="00A759AD">
        <w:tblPrEx>
          <w:tblW w:w="10232" w:type="dxa"/>
          <w:tblCellMar>
            <w:top w:w="15" w:type="dxa"/>
          </w:tblCellMar>
          <w:tblLook w:val="04A0"/>
        </w:tblPrEx>
        <w:trPr>
          <w:trHeight w:val="1398"/>
        </w:trPr>
        <w:tc>
          <w:tcPr>
            <w:tcW w:w="2547" w:type="dxa"/>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6FB4F152" w14:textId="77777777">
            <w:pPr>
              <w:rPr>
                <w:rFonts w:ascii="Times New Roman" w:hAnsi="Times New Roman"/>
                <w:color w:val="000000"/>
                <w:sz w:val="22"/>
                <w:szCs w:val="22"/>
              </w:rPr>
            </w:pPr>
            <w:r w:rsidRPr="00A759AD">
              <w:rPr>
                <w:rFonts w:ascii="Times New Roman" w:hAnsi="Times New Roman"/>
                <w:color w:val="000000"/>
                <w:sz w:val="22"/>
                <w:szCs w:val="22"/>
              </w:rPr>
              <w:t>1. Bank Protection Act Compliance Program – Implementation,</w:t>
            </w:r>
            <w:r w:rsidRPr="00A759AD">
              <w:rPr>
                <w:rFonts w:ascii="Times New Roman" w:hAnsi="Times New Roman"/>
                <w:color w:val="000000"/>
                <w:sz w:val="22"/>
                <w:szCs w:val="22"/>
              </w:rPr>
              <w:br/>
              <w:t>12 CFR 326 Subpart A (Mandatory)</w:t>
            </w:r>
          </w:p>
        </w:tc>
        <w:tc>
          <w:tcPr>
            <w:tcW w:w="1749" w:type="dxa"/>
            <w:tcBorders>
              <w:top w:val="nil"/>
              <w:left w:val="nil"/>
              <w:bottom w:val="single" w:sz="8" w:space="0" w:color="auto"/>
              <w:right w:val="single" w:sz="8" w:space="0" w:color="auto"/>
            </w:tcBorders>
            <w:shd w:val="clear" w:color="auto" w:fill="auto"/>
            <w:vAlign w:val="center"/>
            <w:hideMark/>
          </w:tcPr>
          <w:p w:rsidR="00A759AD" w:rsidRPr="00A759AD" w:rsidP="006D084F" w14:paraId="0B9AD772" w14:textId="77777777">
            <w:pPr>
              <w:jc w:val="center"/>
              <w:rPr>
                <w:rFonts w:ascii="Times New Roman" w:hAnsi="Times New Roman"/>
                <w:color w:val="000000"/>
                <w:sz w:val="22"/>
                <w:szCs w:val="22"/>
              </w:rPr>
            </w:pPr>
            <w:r w:rsidRPr="00A759AD">
              <w:rPr>
                <w:rFonts w:ascii="Times New Roman" w:hAnsi="Times New Roman"/>
                <w:color w:val="000000"/>
                <w:sz w:val="22"/>
                <w:szCs w:val="22"/>
              </w:rPr>
              <w:t>Recordkeeping</w:t>
            </w:r>
            <w:r w:rsidRPr="00A759AD">
              <w:rPr>
                <w:rFonts w:ascii="Times New Roman" w:hAnsi="Times New Roman"/>
                <w:color w:val="000000"/>
                <w:sz w:val="22"/>
                <w:szCs w:val="22"/>
              </w:rPr>
              <w:br/>
              <w:t>(Annual)</w:t>
            </w:r>
          </w:p>
        </w:tc>
        <w:tc>
          <w:tcPr>
            <w:tcW w:w="1504" w:type="dxa"/>
            <w:tcBorders>
              <w:top w:val="nil"/>
              <w:left w:val="nil"/>
              <w:bottom w:val="single" w:sz="8" w:space="0" w:color="auto"/>
              <w:right w:val="single" w:sz="8" w:space="0" w:color="auto"/>
            </w:tcBorders>
            <w:shd w:val="clear" w:color="auto" w:fill="auto"/>
            <w:noWrap/>
            <w:vAlign w:val="center"/>
            <w:hideMark/>
          </w:tcPr>
          <w:p w:rsidR="00A759AD" w:rsidRPr="00A759AD" w:rsidP="006D084F" w14:paraId="4E47DF3E" w14:textId="77777777">
            <w:pPr>
              <w:jc w:val="right"/>
              <w:rPr>
                <w:rFonts w:ascii="Times New Roman" w:hAnsi="Times New Roman"/>
                <w:color w:val="000000"/>
                <w:sz w:val="22"/>
                <w:szCs w:val="22"/>
              </w:rPr>
            </w:pPr>
            <w:r w:rsidRPr="00A759AD">
              <w:rPr>
                <w:rFonts w:ascii="Times New Roman" w:hAnsi="Times New Roman"/>
                <w:color w:val="000000"/>
                <w:sz w:val="22"/>
                <w:szCs w:val="22"/>
              </w:rPr>
              <w:t>9</w:t>
            </w:r>
          </w:p>
        </w:tc>
        <w:tc>
          <w:tcPr>
            <w:tcW w:w="1886" w:type="dxa"/>
            <w:tcBorders>
              <w:top w:val="nil"/>
              <w:left w:val="nil"/>
              <w:bottom w:val="single" w:sz="8" w:space="0" w:color="auto"/>
              <w:right w:val="single" w:sz="8" w:space="0" w:color="auto"/>
            </w:tcBorders>
            <w:shd w:val="clear" w:color="auto" w:fill="auto"/>
            <w:noWrap/>
            <w:vAlign w:val="center"/>
            <w:hideMark/>
          </w:tcPr>
          <w:p w:rsidR="00A759AD" w:rsidRPr="00A759AD" w:rsidP="006D084F" w14:paraId="364C3B85" w14:textId="77777777">
            <w:pPr>
              <w:jc w:val="right"/>
              <w:rPr>
                <w:rFonts w:ascii="Times New Roman" w:hAnsi="Times New Roman"/>
                <w:color w:val="000000"/>
                <w:sz w:val="22"/>
                <w:szCs w:val="22"/>
              </w:rPr>
            </w:pPr>
            <w:r w:rsidRPr="00A759AD">
              <w:rPr>
                <w:rFonts w:ascii="Times New Roman" w:hAnsi="Times New Roman"/>
                <w:color w:val="000000"/>
                <w:sz w:val="22"/>
                <w:szCs w:val="22"/>
              </w:rPr>
              <w:t>1</w:t>
            </w:r>
          </w:p>
        </w:tc>
        <w:tc>
          <w:tcPr>
            <w:tcW w:w="1271" w:type="dxa"/>
            <w:tcBorders>
              <w:top w:val="nil"/>
              <w:left w:val="nil"/>
              <w:bottom w:val="single" w:sz="8" w:space="0" w:color="auto"/>
              <w:right w:val="nil"/>
            </w:tcBorders>
            <w:shd w:val="clear" w:color="auto" w:fill="auto"/>
            <w:vAlign w:val="center"/>
            <w:hideMark/>
          </w:tcPr>
          <w:p w:rsidR="00A759AD" w:rsidRPr="00A759AD" w:rsidP="006D084F" w14:paraId="259429AC" w14:textId="77777777">
            <w:pPr>
              <w:jc w:val="right"/>
              <w:rPr>
                <w:rFonts w:ascii="Times New Roman" w:hAnsi="Times New Roman"/>
                <w:color w:val="000000"/>
                <w:sz w:val="22"/>
                <w:szCs w:val="22"/>
              </w:rPr>
            </w:pPr>
            <w:r w:rsidRPr="00A759AD">
              <w:rPr>
                <w:rFonts w:ascii="Times New Roman" w:hAnsi="Times New Roman"/>
                <w:color w:val="000000"/>
                <w:sz w:val="22"/>
                <w:szCs w:val="22"/>
              </w:rPr>
              <w:t>16:00</w:t>
            </w:r>
          </w:p>
        </w:tc>
        <w:tc>
          <w:tcPr>
            <w:tcW w:w="1272" w:type="dxa"/>
            <w:tcBorders>
              <w:top w:val="nil"/>
              <w:left w:val="single" w:sz="8" w:space="0" w:color="auto"/>
              <w:bottom w:val="single" w:sz="8" w:space="0" w:color="auto"/>
              <w:right w:val="single" w:sz="8" w:space="0" w:color="auto"/>
            </w:tcBorders>
            <w:shd w:val="clear" w:color="auto" w:fill="auto"/>
            <w:noWrap/>
            <w:vAlign w:val="center"/>
            <w:hideMark/>
          </w:tcPr>
          <w:p w:rsidR="00A759AD" w:rsidRPr="00A759AD" w:rsidP="006D084F" w14:paraId="400F627B" w14:textId="77777777">
            <w:pPr>
              <w:jc w:val="right"/>
              <w:rPr>
                <w:rFonts w:ascii="Times New Roman" w:hAnsi="Times New Roman"/>
                <w:color w:val="000000"/>
                <w:sz w:val="22"/>
                <w:szCs w:val="22"/>
              </w:rPr>
            </w:pPr>
            <w:r w:rsidRPr="00A759AD">
              <w:rPr>
                <w:rFonts w:ascii="Times New Roman" w:hAnsi="Times New Roman"/>
                <w:color w:val="000000"/>
                <w:sz w:val="22"/>
                <w:szCs w:val="22"/>
              </w:rPr>
              <w:t>144</w:t>
            </w:r>
          </w:p>
        </w:tc>
      </w:tr>
      <w:tr w14:paraId="5E7E86E7" w14:textId="77777777" w:rsidTr="00A759AD">
        <w:tblPrEx>
          <w:tblW w:w="10232" w:type="dxa"/>
          <w:tblCellMar>
            <w:top w:w="15" w:type="dxa"/>
          </w:tblCellMar>
          <w:tblLook w:val="04A0"/>
        </w:tblPrEx>
        <w:trPr>
          <w:trHeight w:val="1398"/>
        </w:trPr>
        <w:tc>
          <w:tcPr>
            <w:tcW w:w="2547" w:type="dxa"/>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61792AE2" w14:textId="77777777">
            <w:pPr>
              <w:rPr>
                <w:rFonts w:ascii="Times New Roman" w:hAnsi="Times New Roman"/>
                <w:color w:val="000000"/>
                <w:sz w:val="22"/>
                <w:szCs w:val="22"/>
              </w:rPr>
            </w:pPr>
            <w:r w:rsidRPr="00A759AD">
              <w:rPr>
                <w:rFonts w:ascii="Times New Roman" w:hAnsi="Times New Roman"/>
                <w:color w:val="000000"/>
                <w:sz w:val="22"/>
                <w:szCs w:val="22"/>
              </w:rPr>
              <w:t>2. Bank Protection Act Compliance Program – Ongoing,</w:t>
            </w:r>
            <w:r w:rsidRPr="00A759AD">
              <w:rPr>
                <w:rFonts w:ascii="Times New Roman" w:hAnsi="Times New Roman"/>
                <w:color w:val="000000"/>
                <w:sz w:val="22"/>
                <w:szCs w:val="22"/>
              </w:rPr>
              <w:br/>
              <w:t>12 CFR 326 Subpart A (Mandatory)</w:t>
            </w:r>
          </w:p>
        </w:tc>
        <w:tc>
          <w:tcPr>
            <w:tcW w:w="1749" w:type="dxa"/>
            <w:tcBorders>
              <w:top w:val="nil"/>
              <w:left w:val="nil"/>
              <w:bottom w:val="single" w:sz="8" w:space="0" w:color="auto"/>
              <w:right w:val="single" w:sz="8" w:space="0" w:color="auto"/>
            </w:tcBorders>
            <w:shd w:val="clear" w:color="auto" w:fill="auto"/>
            <w:vAlign w:val="center"/>
            <w:hideMark/>
          </w:tcPr>
          <w:p w:rsidR="00A759AD" w:rsidRPr="00A759AD" w:rsidP="006D084F" w14:paraId="006EFFF0" w14:textId="77777777">
            <w:pPr>
              <w:jc w:val="center"/>
              <w:rPr>
                <w:rFonts w:ascii="Times New Roman" w:hAnsi="Times New Roman"/>
                <w:color w:val="000000"/>
                <w:sz w:val="22"/>
                <w:szCs w:val="22"/>
              </w:rPr>
            </w:pPr>
            <w:r w:rsidRPr="00A759AD">
              <w:rPr>
                <w:rFonts w:ascii="Times New Roman" w:hAnsi="Times New Roman"/>
                <w:color w:val="000000"/>
                <w:sz w:val="22"/>
                <w:szCs w:val="22"/>
              </w:rPr>
              <w:t>Recordkeeping</w:t>
            </w:r>
            <w:r w:rsidRPr="00A759AD">
              <w:rPr>
                <w:rFonts w:ascii="Times New Roman" w:hAnsi="Times New Roman"/>
                <w:color w:val="000000"/>
                <w:sz w:val="22"/>
                <w:szCs w:val="22"/>
              </w:rPr>
              <w:br/>
              <w:t>(Annual)</w:t>
            </w:r>
          </w:p>
        </w:tc>
        <w:tc>
          <w:tcPr>
            <w:tcW w:w="1504" w:type="dxa"/>
            <w:tcBorders>
              <w:top w:val="nil"/>
              <w:left w:val="nil"/>
              <w:bottom w:val="single" w:sz="8" w:space="0" w:color="auto"/>
              <w:right w:val="single" w:sz="8" w:space="0" w:color="auto"/>
            </w:tcBorders>
            <w:shd w:val="clear" w:color="auto" w:fill="auto"/>
            <w:noWrap/>
            <w:vAlign w:val="center"/>
            <w:hideMark/>
          </w:tcPr>
          <w:p w:rsidR="00A759AD" w:rsidRPr="00A759AD" w:rsidP="006D084F" w14:paraId="3D5D59E1" w14:textId="77777777">
            <w:pPr>
              <w:jc w:val="right"/>
              <w:rPr>
                <w:rFonts w:ascii="Times New Roman" w:hAnsi="Times New Roman"/>
                <w:color w:val="000000"/>
                <w:sz w:val="22"/>
                <w:szCs w:val="22"/>
              </w:rPr>
            </w:pPr>
            <w:r w:rsidRPr="00A759AD">
              <w:rPr>
                <w:rFonts w:ascii="Times New Roman" w:hAnsi="Times New Roman"/>
                <w:color w:val="000000"/>
                <w:sz w:val="22"/>
                <w:szCs w:val="22"/>
              </w:rPr>
              <w:t>2882</w:t>
            </w:r>
          </w:p>
        </w:tc>
        <w:tc>
          <w:tcPr>
            <w:tcW w:w="1886" w:type="dxa"/>
            <w:tcBorders>
              <w:top w:val="nil"/>
              <w:left w:val="nil"/>
              <w:bottom w:val="single" w:sz="8" w:space="0" w:color="auto"/>
              <w:right w:val="single" w:sz="8" w:space="0" w:color="auto"/>
            </w:tcBorders>
            <w:shd w:val="clear" w:color="auto" w:fill="auto"/>
            <w:noWrap/>
            <w:vAlign w:val="center"/>
            <w:hideMark/>
          </w:tcPr>
          <w:p w:rsidR="00A759AD" w:rsidRPr="00A759AD" w:rsidP="006D084F" w14:paraId="414DCF5A" w14:textId="77777777">
            <w:pPr>
              <w:jc w:val="right"/>
              <w:rPr>
                <w:rFonts w:ascii="Times New Roman" w:hAnsi="Times New Roman"/>
                <w:color w:val="000000"/>
                <w:sz w:val="22"/>
                <w:szCs w:val="22"/>
              </w:rPr>
            </w:pPr>
            <w:r w:rsidRPr="00A759AD">
              <w:rPr>
                <w:rFonts w:ascii="Times New Roman" w:hAnsi="Times New Roman"/>
                <w:color w:val="000000"/>
                <w:sz w:val="22"/>
                <w:szCs w:val="22"/>
              </w:rPr>
              <w:t>1</w:t>
            </w:r>
          </w:p>
        </w:tc>
        <w:tc>
          <w:tcPr>
            <w:tcW w:w="1271" w:type="dxa"/>
            <w:tcBorders>
              <w:top w:val="nil"/>
              <w:left w:val="nil"/>
              <w:bottom w:val="single" w:sz="8" w:space="0" w:color="auto"/>
              <w:right w:val="nil"/>
            </w:tcBorders>
            <w:shd w:val="clear" w:color="auto" w:fill="auto"/>
            <w:vAlign w:val="center"/>
            <w:hideMark/>
          </w:tcPr>
          <w:p w:rsidR="00A759AD" w:rsidRPr="00A759AD" w:rsidP="006D084F" w14:paraId="611880FE" w14:textId="77777777">
            <w:pPr>
              <w:jc w:val="right"/>
              <w:rPr>
                <w:rFonts w:ascii="Times New Roman" w:hAnsi="Times New Roman"/>
                <w:color w:val="000000"/>
                <w:sz w:val="22"/>
                <w:szCs w:val="22"/>
              </w:rPr>
            </w:pPr>
            <w:r w:rsidRPr="00A759AD">
              <w:rPr>
                <w:rFonts w:ascii="Times New Roman" w:hAnsi="Times New Roman"/>
                <w:color w:val="000000"/>
                <w:sz w:val="22"/>
                <w:szCs w:val="22"/>
              </w:rPr>
              <w:t>6:00</w:t>
            </w:r>
          </w:p>
        </w:tc>
        <w:tc>
          <w:tcPr>
            <w:tcW w:w="1272" w:type="dxa"/>
            <w:tcBorders>
              <w:top w:val="nil"/>
              <w:left w:val="single" w:sz="8" w:space="0" w:color="auto"/>
              <w:bottom w:val="single" w:sz="8" w:space="0" w:color="auto"/>
              <w:right w:val="single" w:sz="8" w:space="0" w:color="auto"/>
            </w:tcBorders>
            <w:shd w:val="clear" w:color="auto" w:fill="auto"/>
            <w:noWrap/>
            <w:vAlign w:val="center"/>
            <w:hideMark/>
          </w:tcPr>
          <w:p w:rsidR="00A759AD" w:rsidRPr="00A759AD" w:rsidP="006D084F" w14:paraId="04196D30" w14:textId="77777777">
            <w:pPr>
              <w:jc w:val="right"/>
              <w:rPr>
                <w:rFonts w:ascii="Times New Roman" w:hAnsi="Times New Roman"/>
                <w:color w:val="000000"/>
                <w:sz w:val="22"/>
                <w:szCs w:val="22"/>
              </w:rPr>
            </w:pPr>
            <w:r w:rsidRPr="00A759AD">
              <w:rPr>
                <w:rFonts w:ascii="Times New Roman" w:hAnsi="Times New Roman"/>
                <w:color w:val="000000"/>
                <w:sz w:val="22"/>
                <w:szCs w:val="22"/>
              </w:rPr>
              <w:t>17,292</w:t>
            </w:r>
          </w:p>
        </w:tc>
      </w:tr>
      <w:tr w14:paraId="4184C660" w14:textId="77777777" w:rsidTr="00A759AD">
        <w:tblPrEx>
          <w:tblW w:w="10232" w:type="dxa"/>
          <w:tblCellMar>
            <w:top w:w="15" w:type="dxa"/>
          </w:tblCellMar>
          <w:tblLook w:val="04A0"/>
        </w:tblPrEx>
        <w:trPr>
          <w:trHeight w:val="1676"/>
        </w:trPr>
        <w:tc>
          <w:tcPr>
            <w:tcW w:w="2547" w:type="dxa"/>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370A3C29" w14:textId="77777777">
            <w:pPr>
              <w:rPr>
                <w:rFonts w:ascii="Times New Roman" w:hAnsi="Times New Roman"/>
                <w:color w:val="000000"/>
                <w:sz w:val="22"/>
                <w:szCs w:val="22"/>
              </w:rPr>
            </w:pPr>
            <w:r w:rsidRPr="00A759AD">
              <w:rPr>
                <w:rFonts w:ascii="Times New Roman" w:hAnsi="Times New Roman"/>
                <w:color w:val="000000"/>
                <w:sz w:val="22"/>
                <w:szCs w:val="22"/>
              </w:rPr>
              <w:t>3. Procedures for monitoring Bank Secrecy Act compliance – Implementation,</w:t>
            </w:r>
            <w:r w:rsidRPr="00A759AD">
              <w:rPr>
                <w:rFonts w:ascii="Times New Roman" w:hAnsi="Times New Roman"/>
                <w:color w:val="000000"/>
                <w:sz w:val="22"/>
                <w:szCs w:val="22"/>
              </w:rPr>
              <w:br/>
              <w:t>12 CFR 326.8(b)(1) &amp; (c) (Mandatory)</w:t>
            </w:r>
          </w:p>
        </w:tc>
        <w:tc>
          <w:tcPr>
            <w:tcW w:w="1749" w:type="dxa"/>
            <w:tcBorders>
              <w:top w:val="nil"/>
              <w:left w:val="nil"/>
              <w:bottom w:val="single" w:sz="8" w:space="0" w:color="auto"/>
              <w:right w:val="single" w:sz="8" w:space="0" w:color="auto"/>
            </w:tcBorders>
            <w:shd w:val="clear" w:color="auto" w:fill="auto"/>
            <w:vAlign w:val="center"/>
            <w:hideMark/>
          </w:tcPr>
          <w:p w:rsidR="00A759AD" w:rsidRPr="00A759AD" w:rsidP="006D084F" w14:paraId="1EB2CE7B" w14:textId="77777777">
            <w:pPr>
              <w:jc w:val="center"/>
              <w:rPr>
                <w:rFonts w:ascii="Times New Roman" w:hAnsi="Times New Roman"/>
                <w:color w:val="000000"/>
                <w:sz w:val="22"/>
                <w:szCs w:val="22"/>
              </w:rPr>
            </w:pPr>
            <w:r w:rsidRPr="00A759AD">
              <w:rPr>
                <w:rFonts w:ascii="Times New Roman" w:hAnsi="Times New Roman"/>
                <w:color w:val="000000"/>
                <w:sz w:val="22"/>
                <w:szCs w:val="22"/>
              </w:rPr>
              <w:t>Recordkeeping</w:t>
            </w:r>
            <w:r w:rsidRPr="00A759AD">
              <w:rPr>
                <w:rFonts w:ascii="Times New Roman" w:hAnsi="Times New Roman"/>
                <w:color w:val="000000"/>
                <w:sz w:val="22"/>
                <w:szCs w:val="22"/>
              </w:rPr>
              <w:br/>
              <w:t>(Annual)</w:t>
            </w:r>
          </w:p>
        </w:tc>
        <w:tc>
          <w:tcPr>
            <w:tcW w:w="1504" w:type="dxa"/>
            <w:tcBorders>
              <w:top w:val="nil"/>
              <w:left w:val="nil"/>
              <w:bottom w:val="single" w:sz="8" w:space="0" w:color="auto"/>
              <w:right w:val="single" w:sz="8" w:space="0" w:color="auto"/>
            </w:tcBorders>
            <w:shd w:val="clear" w:color="auto" w:fill="auto"/>
            <w:noWrap/>
            <w:vAlign w:val="center"/>
            <w:hideMark/>
          </w:tcPr>
          <w:p w:rsidR="00A759AD" w:rsidRPr="00A759AD" w:rsidP="006D084F" w14:paraId="4CA81981" w14:textId="77777777">
            <w:pPr>
              <w:jc w:val="right"/>
              <w:rPr>
                <w:rFonts w:ascii="Times New Roman" w:hAnsi="Times New Roman"/>
                <w:color w:val="000000"/>
                <w:sz w:val="22"/>
                <w:szCs w:val="22"/>
              </w:rPr>
            </w:pPr>
            <w:r w:rsidRPr="00A759AD">
              <w:rPr>
                <w:rFonts w:ascii="Times New Roman" w:hAnsi="Times New Roman"/>
                <w:color w:val="000000"/>
                <w:sz w:val="22"/>
                <w:szCs w:val="22"/>
              </w:rPr>
              <w:t>9</w:t>
            </w:r>
          </w:p>
        </w:tc>
        <w:tc>
          <w:tcPr>
            <w:tcW w:w="1886" w:type="dxa"/>
            <w:tcBorders>
              <w:top w:val="nil"/>
              <w:left w:val="nil"/>
              <w:bottom w:val="single" w:sz="8" w:space="0" w:color="auto"/>
              <w:right w:val="single" w:sz="8" w:space="0" w:color="auto"/>
            </w:tcBorders>
            <w:shd w:val="clear" w:color="auto" w:fill="auto"/>
            <w:noWrap/>
            <w:vAlign w:val="center"/>
            <w:hideMark/>
          </w:tcPr>
          <w:p w:rsidR="00A759AD" w:rsidRPr="00A759AD" w:rsidP="006D084F" w14:paraId="67E73504" w14:textId="77777777">
            <w:pPr>
              <w:jc w:val="right"/>
              <w:rPr>
                <w:rFonts w:ascii="Times New Roman" w:hAnsi="Times New Roman"/>
                <w:color w:val="000000"/>
                <w:sz w:val="22"/>
                <w:szCs w:val="22"/>
              </w:rPr>
            </w:pPr>
            <w:r w:rsidRPr="00A759AD">
              <w:rPr>
                <w:rFonts w:ascii="Times New Roman" w:hAnsi="Times New Roman"/>
                <w:color w:val="000000"/>
                <w:sz w:val="22"/>
                <w:szCs w:val="22"/>
              </w:rPr>
              <w:t>1</w:t>
            </w:r>
          </w:p>
        </w:tc>
        <w:tc>
          <w:tcPr>
            <w:tcW w:w="1271" w:type="dxa"/>
            <w:tcBorders>
              <w:top w:val="nil"/>
              <w:left w:val="nil"/>
              <w:bottom w:val="single" w:sz="8" w:space="0" w:color="auto"/>
              <w:right w:val="single" w:sz="8" w:space="0" w:color="auto"/>
            </w:tcBorders>
            <w:shd w:val="clear" w:color="auto" w:fill="auto"/>
            <w:vAlign w:val="center"/>
            <w:hideMark/>
          </w:tcPr>
          <w:p w:rsidR="00A759AD" w:rsidRPr="00A759AD" w:rsidP="006D084F" w14:paraId="2BE9BB69" w14:textId="77777777">
            <w:pPr>
              <w:jc w:val="right"/>
              <w:rPr>
                <w:rFonts w:ascii="Times New Roman" w:hAnsi="Times New Roman"/>
                <w:color w:val="000000"/>
                <w:sz w:val="22"/>
                <w:szCs w:val="22"/>
              </w:rPr>
            </w:pPr>
            <w:r w:rsidRPr="00A759AD">
              <w:rPr>
                <w:rFonts w:ascii="Times New Roman" w:hAnsi="Times New Roman"/>
                <w:color w:val="000000"/>
                <w:sz w:val="22"/>
                <w:szCs w:val="22"/>
              </w:rPr>
              <w:t>32:00</w:t>
            </w:r>
          </w:p>
        </w:tc>
        <w:tc>
          <w:tcPr>
            <w:tcW w:w="1272" w:type="dxa"/>
            <w:tcBorders>
              <w:top w:val="nil"/>
              <w:left w:val="nil"/>
              <w:bottom w:val="single" w:sz="8" w:space="0" w:color="auto"/>
              <w:right w:val="single" w:sz="8" w:space="0" w:color="auto"/>
            </w:tcBorders>
            <w:shd w:val="clear" w:color="auto" w:fill="auto"/>
            <w:noWrap/>
            <w:vAlign w:val="center"/>
            <w:hideMark/>
          </w:tcPr>
          <w:p w:rsidR="00A759AD" w:rsidRPr="00A759AD" w:rsidP="006D084F" w14:paraId="40C786A2" w14:textId="77777777">
            <w:pPr>
              <w:jc w:val="right"/>
              <w:rPr>
                <w:rFonts w:ascii="Times New Roman" w:hAnsi="Times New Roman"/>
                <w:color w:val="000000"/>
                <w:sz w:val="22"/>
                <w:szCs w:val="22"/>
              </w:rPr>
            </w:pPr>
            <w:r w:rsidRPr="00A759AD">
              <w:rPr>
                <w:rFonts w:ascii="Times New Roman" w:hAnsi="Times New Roman"/>
                <w:color w:val="000000"/>
                <w:sz w:val="22"/>
                <w:szCs w:val="22"/>
              </w:rPr>
              <w:t>288</w:t>
            </w:r>
          </w:p>
        </w:tc>
      </w:tr>
      <w:tr w14:paraId="5B54A655" w14:textId="77777777" w:rsidTr="00A759AD">
        <w:tblPrEx>
          <w:tblW w:w="10232" w:type="dxa"/>
          <w:tblCellMar>
            <w:top w:w="15" w:type="dxa"/>
          </w:tblCellMar>
          <w:tblLook w:val="04A0"/>
        </w:tblPrEx>
        <w:trPr>
          <w:trHeight w:val="1398"/>
        </w:trPr>
        <w:tc>
          <w:tcPr>
            <w:tcW w:w="2547" w:type="dxa"/>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1DBB1C55" w14:textId="77777777">
            <w:pPr>
              <w:rPr>
                <w:rFonts w:ascii="Times New Roman" w:hAnsi="Times New Roman"/>
                <w:color w:val="000000"/>
                <w:sz w:val="22"/>
                <w:szCs w:val="22"/>
              </w:rPr>
            </w:pPr>
            <w:r w:rsidRPr="00A759AD">
              <w:rPr>
                <w:rFonts w:ascii="Times New Roman" w:hAnsi="Times New Roman"/>
                <w:color w:val="000000"/>
                <w:sz w:val="22"/>
                <w:szCs w:val="22"/>
              </w:rPr>
              <w:t xml:space="preserve">4. Procedures for monitoring Bank Secrecy Act compliance – Ongoing, </w:t>
            </w:r>
            <w:r w:rsidRPr="00A759AD">
              <w:rPr>
                <w:rFonts w:ascii="Times New Roman" w:hAnsi="Times New Roman"/>
                <w:color w:val="000000"/>
                <w:sz w:val="22"/>
                <w:szCs w:val="22"/>
              </w:rPr>
              <w:br/>
              <w:t>12 CFR 326.8(b)(1) &amp; (c) (Mandatory)</w:t>
            </w:r>
          </w:p>
        </w:tc>
        <w:tc>
          <w:tcPr>
            <w:tcW w:w="1749" w:type="dxa"/>
            <w:tcBorders>
              <w:top w:val="nil"/>
              <w:left w:val="nil"/>
              <w:bottom w:val="single" w:sz="8" w:space="0" w:color="auto"/>
              <w:right w:val="single" w:sz="8" w:space="0" w:color="auto"/>
            </w:tcBorders>
            <w:shd w:val="clear" w:color="auto" w:fill="auto"/>
            <w:vAlign w:val="center"/>
            <w:hideMark/>
          </w:tcPr>
          <w:p w:rsidR="00A759AD" w:rsidRPr="00A759AD" w:rsidP="006D084F" w14:paraId="2E3A98FC" w14:textId="77777777">
            <w:pPr>
              <w:jc w:val="center"/>
              <w:rPr>
                <w:rFonts w:ascii="Times New Roman" w:hAnsi="Times New Roman"/>
                <w:color w:val="000000"/>
                <w:sz w:val="22"/>
                <w:szCs w:val="22"/>
              </w:rPr>
            </w:pPr>
            <w:r w:rsidRPr="00A759AD">
              <w:rPr>
                <w:rFonts w:ascii="Times New Roman" w:hAnsi="Times New Roman"/>
                <w:color w:val="000000"/>
                <w:sz w:val="22"/>
                <w:szCs w:val="22"/>
              </w:rPr>
              <w:t>Recordkeeping</w:t>
            </w:r>
            <w:r w:rsidRPr="00A759AD">
              <w:rPr>
                <w:rFonts w:ascii="Times New Roman" w:hAnsi="Times New Roman"/>
                <w:color w:val="000000"/>
                <w:sz w:val="22"/>
                <w:szCs w:val="22"/>
              </w:rPr>
              <w:br/>
              <w:t>(Annual)</w:t>
            </w:r>
          </w:p>
        </w:tc>
        <w:tc>
          <w:tcPr>
            <w:tcW w:w="1504" w:type="dxa"/>
            <w:tcBorders>
              <w:top w:val="nil"/>
              <w:left w:val="nil"/>
              <w:bottom w:val="single" w:sz="8" w:space="0" w:color="auto"/>
              <w:right w:val="single" w:sz="8" w:space="0" w:color="auto"/>
            </w:tcBorders>
            <w:shd w:val="clear" w:color="auto" w:fill="auto"/>
            <w:noWrap/>
            <w:vAlign w:val="center"/>
            <w:hideMark/>
          </w:tcPr>
          <w:p w:rsidR="00A759AD" w:rsidRPr="00A759AD" w:rsidP="006D084F" w14:paraId="190BC68E" w14:textId="77777777">
            <w:pPr>
              <w:jc w:val="right"/>
              <w:rPr>
                <w:rFonts w:ascii="Times New Roman" w:hAnsi="Times New Roman"/>
                <w:color w:val="000000"/>
                <w:sz w:val="22"/>
                <w:szCs w:val="22"/>
              </w:rPr>
            </w:pPr>
            <w:r w:rsidRPr="00A759AD">
              <w:rPr>
                <w:rFonts w:ascii="Times New Roman" w:hAnsi="Times New Roman"/>
                <w:color w:val="000000"/>
                <w:sz w:val="22"/>
                <w:szCs w:val="22"/>
              </w:rPr>
              <w:t>2882</w:t>
            </w:r>
          </w:p>
        </w:tc>
        <w:tc>
          <w:tcPr>
            <w:tcW w:w="1886" w:type="dxa"/>
            <w:tcBorders>
              <w:top w:val="nil"/>
              <w:left w:val="nil"/>
              <w:bottom w:val="single" w:sz="8" w:space="0" w:color="auto"/>
              <w:right w:val="single" w:sz="8" w:space="0" w:color="auto"/>
            </w:tcBorders>
            <w:shd w:val="clear" w:color="auto" w:fill="auto"/>
            <w:noWrap/>
            <w:vAlign w:val="center"/>
            <w:hideMark/>
          </w:tcPr>
          <w:p w:rsidR="00A759AD" w:rsidRPr="00A759AD" w:rsidP="006D084F" w14:paraId="73CCE23E" w14:textId="77777777">
            <w:pPr>
              <w:jc w:val="right"/>
              <w:rPr>
                <w:rFonts w:ascii="Times New Roman" w:hAnsi="Times New Roman"/>
                <w:color w:val="000000"/>
                <w:sz w:val="22"/>
                <w:szCs w:val="22"/>
              </w:rPr>
            </w:pPr>
            <w:r w:rsidRPr="00A759AD">
              <w:rPr>
                <w:rFonts w:ascii="Times New Roman" w:hAnsi="Times New Roman"/>
                <w:color w:val="000000"/>
                <w:sz w:val="22"/>
                <w:szCs w:val="22"/>
              </w:rPr>
              <w:t>1</w:t>
            </w:r>
          </w:p>
        </w:tc>
        <w:tc>
          <w:tcPr>
            <w:tcW w:w="1271" w:type="dxa"/>
            <w:tcBorders>
              <w:top w:val="nil"/>
              <w:left w:val="nil"/>
              <w:bottom w:val="single" w:sz="8" w:space="0" w:color="auto"/>
              <w:right w:val="single" w:sz="8" w:space="0" w:color="auto"/>
            </w:tcBorders>
            <w:shd w:val="clear" w:color="auto" w:fill="auto"/>
            <w:vAlign w:val="center"/>
            <w:hideMark/>
          </w:tcPr>
          <w:p w:rsidR="00A759AD" w:rsidRPr="00A759AD" w:rsidP="006D084F" w14:paraId="16104842" w14:textId="77777777">
            <w:pPr>
              <w:jc w:val="right"/>
              <w:rPr>
                <w:rFonts w:ascii="Times New Roman" w:hAnsi="Times New Roman"/>
                <w:color w:val="000000"/>
                <w:sz w:val="22"/>
                <w:szCs w:val="22"/>
              </w:rPr>
            </w:pPr>
            <w:r w:rsidRPr="00A759AD">
              <w:rPr>
                <w:rFonts w:ascii="Times New Roman" w:hAnsi="Times New Roman"/>
                <w:color w:val="000000"/>
                <w:sz w:val="22"/>
                <w:szCs w:val="22"/>
              </w:rPr>
              <w:t>8:00</w:t>
            </w:r>
          </w:p>
        </w:tc>
        <w:tc>
          <w:tcPr>
            <w:tcW w:w="1272" w:type="dxa"/>
            <w:tcBorders>
              <w:top w:val="nil"/>
              <w:left w:val="nil"/>
              <w:bottom w:val="single" w:sz="8" w:space="0" w:color="auto"/>
              <w:right w:val="single" w:sz="8" w:space="0" w:color="auto"/>
            </w:tcBorders>
            <w:shd w:val="clear" w:color="auto" w:fill="auto"/>
            <w:noWrap/>
            <w:vAlign w:val="center"/>
            <w:hideMark/>
          </w:tcPr>
          <w:p w:rsidR="00A759AD" w:rsidRPr="00A759AD" w:rsidP="006D084F" w14:paraId="09B0B677" w14:textId="77777777">
            <w:pPr>
              <w:jc w:val="right"/>
              <w:rPr>
                <w:rFonts w:ascii="Times New Roman" w:hAnsi="Times New Roman"/>
                <w:color w:val="000000"/>
                <w:sz w:val="22"/>
                <w:szCs w:val="22"/>
              </w:rPr>
            </w:pPr>
            <w:r w:rsidRPr="00A759AD">
              <w:rPr>
                <w:rFonts w:ascii="Times New Roman" w:hAnsi="Times New Roman"/>
                <w:color w:val="000000"/>
                <w:sz w:val="22"/>
                <w:szCs w:val="22"/>
              </w:rPr>
              <w:t>23,056</w:t>
            </w:r>
          </w:p>
        </w:tc>
      </w:tr>
      <w:tr w14:paraId="13C35420" w14:textId="77777777" w:rsidTr="00A759AD">
        <w:tblPrEx>
          <w:tblW w:w="10232" w:type="dxa"/>
          <w:tblCellMar>
            <w:top w:w="15" w:type="dxa"/>
          </w:tblCellMar>
          <w:tblLook w:val="04A0"/>
        </w:tblPrEx>
        <w:trPr>
          <w:trHeight w:val="301"/>
        </w:trPr>
        <w:tc>
          <w:tcPr>
            <w:tcW w:w="8960"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A759AD" w:rsidRPr="00A759AD" w:rsidP="006D084F" w14:paraId="597DE012" w14:textId="77777777">
            <w:pPr>
              <w:jc w:val="right"/>
              <w:rPr>
                <w:rFonts w:ascii="Times New Roman" w:hAnsi="Times New Roman"/>
                <w:b/>
                <w:bCs/>
                <w:i/>
                <w:iCs/>
                <w:color w:val="000000"/>
                <w:sz w:val="22"/>
                <w:szCs w:val="22"/>
              </w:rPr>
            </w:pPr>
            <w:r w:rsidRPr="00A759AD">
              <w:rPr>
                <w:rFonts w:ascii="Times New Roman" w:hAnsi="Times New Roman"/>
                <w:b/>
                <w:bCs/>
                <w:i/>
                <w:iCs/>
                <w:color w:val="000000"/>
                <w:sz w:val="22"/>
                <w:szCs w:val="22"/>
              </w:rPr>
              <w:t>Total Annual Burden (Hours):</w:t>
            </w:r>
          </w:p>
        </w:tc>
        <w:tc>
          <w:tcPr>
            <w:tcW w:w="1272" w:type="dxa"/>
            <w:tcBorders>
              <w:top w:val="nil"/>
              <w:left w:val="nil"/>
              <w:bottom w:val="single" w:sz="8" w:space="0" w:color="auto"/>
              <w:right w:val="single" w:sz="8" w:space="0" w:color="auto"/>
            </w:tcBorders>
            <w:shd w:val="clear" w:color="auto" w:fill="auto"/>
            <w:noWrap/>
            <w:vAlign w:val="bottom"/>
            <w:hideMark/>
          </w:tcPr>
          <w:p w:rsidR="00A759AD" w:rsidRPr="00A759AD" w:rsidP="006D084F" w14:paraId="4D0A0089" w14:textId="77777777">
            <w:pPr>
              <w:jc w:val="right"/>
              <w:rPr>
                <w:rFonts w:ascii="Times New Roman" w:hAnsi="Times New Roman"/>
                <w:b/>
                <w:bCs/>
                <w:i/>
                <w:iCs/>
                <w:color w:val="000000"/>
                <w:sz w:val="22"/>
                <w:szCs w:val="22"/>
              </w:rPr>
            </w:pPr>
            <w:r w:rsidRPr="00A759AD">
              <w:rPr>
                <w:rFonts w:ascii="Times New Roman" w:hAnsi="Times New Roman"/>
                <w:b/>
                <w:bCs/>
                <w:i/>
                <w:iCs/>
                <w:color w:val="000000"/>
                <w:sz w:val="22"/>
                <w:szCs w:val="22"/>
              </w:rPr>
              <w:t>40,780</w:t>
            </w:r>
          </w:p>
        </w:tc>
      </w:tr>
      <w:tr w14:paraId="6F2DE809" w14:textId="77777777" w:rsidTr="00A759AD">
        <w:tblPrEx>
          <w:tblW w:w="10232" w:type="dxa"/>
          <w:tblCellMar>
            <w:top w:w="15" w:type="dxa"/>
          </w:tblCellMar>
          <w:tblLook w:val="04A0"/>
        </w:tblPrEx>
        <w:trPr>
          <w:trHeight w:val="253"/>
        </w:trPr>
        <w:tc>
          <w:tcPr>
            <w:tcW w:w="10232" w:type="dxa"/>
            <w:gridSpan w:val="6"/>
            <w:tcBorders>
              <w:top w:val="single" w:sz="8" w:space="0" w:color="auto"/>
              <w:left w:val="single" w:sz="8" w:space="0" w:color="auto"/>
              <w:bottom w:val="single" w:sz="4" w:space="0" w:color="auto"/>
              <w:right w:val="single" w:sz="8" w:space="0" w:color="000000"/>
            </w:tcBorders>
            <w:shd w:val="clear" w:color="auto" w:fill="auto"/>
            <w:noWrap/>
            <w:hideMark/>
          </w:tcPr>
          <w:p w:rsidR="00A759AD" w:rsidRPr="00A759AD" w:rsidP="006D084F" w14:paraId="477F069F" w14:textId="77777777">
            <w:pPr>
              <w:rPr>
                <w:rFonts w:ascii="Times New Roman" w:hAnsi="Times New Roman"/>
                <w:color w:val="000000"/>
                <w:sz w:val="22"/>
                <w:szCs w:val="22"/>
              </w:rPr>
            </w:pPr>
            <w:r w:rsidRPr="00A759AD">
              <w:rPr>
                <w:rFonts w:ascii="Times New Roman" w:hAnsi="Times New Roman"/>
                <w:color w:val="000000"/>
                <w:sz w:val="22"/>
                <w:szCs w:val="22"/>
              </w:rPr>
              <w:t>Source: FDIC.</w:t>
            </w:r>
          </w:p>
        </w:tc>
      </w:tr>
    </w:tbl>
    <w:p w:rsidR="00455BF0" w14:paraId="7D32C870" w14:textId="77777777">
      <w:pPr>
        <w:widowControl/>
        <w:tabs>
          <w:tab w:val="left" w:pos="480"/>
          <w:tab w:val="left" w:pos="1080"/>
          <w:tab w:val="left" w:pos="1680"/>
        </w:tabs>
        <w:rPr>
          <w:rFonts w:ascii="Times New Roman" w:hAnsi="Times New Roman"/>
        </w:rPr>
      </w:pPr>
    </w:p>
    <w:tbl>
      <w:tblPr>
        <w:tblW w:w="10423" w:type="dxa"/>
        <w:tblCellMar>
          <w:top w:w="15" w:type="dxa"/>
        </w:tblCellMar>
        <w:tblLook w:val="04A0"/>
      </w:tblPr>
      <w:tblGrid>
        <w:gridCol w:w="1664"/>
        <w:gridCol w:w="864"/>
        <w:gridCol w:w="1078"/>
        <w:gridCol w:w="1078"/>
        <w:gridCol w:w="968"/>
        <w:gridCol w:w="1078"/>
        <w:gridCol w:w="1078"/>
        <w:gridCol w:w="968"/>
        <w:gridCol w:w="1488"/>
        <w:gridCol w:w="222"/>
      </w:tblGrid>
      <w:tr w14:paraId="2E482C1D" w14:textId="77777777" w:rsidTr="00A759AD">
        <w:tblPrEx>
          <w:tblW w:w="10423" w:type="dxa"/>
          <w:tblCellMar>
            <w:top w:w="15" w:type="dxa"/>
          </w:tblCellMar>
          <w:tblLook w:val="04A0"/>
        </w:tblPrEx>
        <w:trPr>
          <w:gridAfter w:val="1"/>
          <w:wAfter w:w="222" w:type="dxa"/>
          <w:trHeight w:val="360"/>
        </w:trPr>
        <w:tc>
          <w:tcPr>
            <w:tcW w:w="10201"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9AD" w:rsidRPr="00A759AD" w:rsidP="006D084F" w14:paraId="79A0F0F0" w14:textId="67452732">
            <w:pPr>
              <w:jc w:val="center"/>
              <w:rPr>
                <w:rFonts w:ascii="Times New Roman" w:hAnsi="Times New Roman"/>
                <w:color w:val="000000"/>
                <w:sz w:val="22"/>
                <w:szCs w:val="22"/>
              </w:rPr>
            </w:pPr>
            <w:r w:rsidRPr="00A759AD">
              <w:rPr>
                <w:rFonts w:ascii="Times New Roman" w:hAnsi="Times New Roman"/>
                <w:color w:val="000000"/>
                <w:sz w:val="22"/>
                <w:szCs w:val="22"/>
              </w:rPr>
              <w:t>Summary of Hourly Burden Cost Estimate (OMB No. 3064-0095)</w:t>
            </w:r>
          </w:p>
        </w:tc>
      </w:tr>
      <w:tr w14:paraId="3B7CE25F" w14:textId="77777777" w:rsidTr="00A759AD">
        <w:tblPrEx>
          <w:tblW w:w="10423" w:type="dxa"/>
          <w:tblCellMar>
            <w:top w:w="15" w:type="dxa"/>
          </w:tblCellMar>
          <w:tblLook w:val="04A0"/>
        </w:tblPrEx>
        <w:trPr>
          <w:gridAfter w:val="1"/>
          <w:wAfter w:w="222" w:type="dxa"/>
          <w:trHeight w:val="600"/>
        </w:trPr>
        <w:tc>
          <w:tcPr>
            <w:tcW w:w="2165" w:type="dxa"/>
            <w:vMerge w:val="restart"/>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21D11101" w14:textId="77777777">
            <w:pPr>
              <w:rPr>
                <w:rFonts w:ascii="Times New Roman" w:hAnsi="Times New Roman"/>
                <w:color w:val="000000"/>
                <w:sz w:val="22"/>
                <w:szCs w:val="22"/>
              </w:rPr>
            </w:pPr>
            <w:r w:rsidRPr="00A759AD">
              <w:rPr>
                <w:rFonts w:ascii="Times New Roman" w:hAnsi="Times New Roman"/>
                <w:color w:val="000000"/>
                <w:sz w:val="22"/>
                <w:szCs w:val="22"/>
              </w:rPr>
              <w:t xml:space="preserve">Information Collection (IC) (Obligation to Respond) </w:t>
            </w:r>
          </w:p>
        </w:tc>
        <w:tc>
          <w:tcPr>
            <w:tcW w:w="836" w:type="dxa"/>
            <w:vMerge w:val="restart"/>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6C861D3D" w14:textId="77777777">
            <w:pPr>
              <w:jc w:val="center"/>
              <w:rPr>
                <w:rFonts w:ascii="Times New Roman" w:hAnsi="Times New Roman"/>
                <w:color w:val="000000"/>
                <w:sz w:val="22"/>
                <w:szCs w:val="22"/>
              </w:rPr>
            </w:pPr>
            <w:r w:rsidRPr="00A759AD">
              <w:rPr>
                <w:rFonts w:ascii="Times New Roman" w:hAnsi="Times New Roman"/>
                <w:color w:val="000000"/>
                <w:sz w:val="22"/>
                <w:szCs w:val="22"/>
              </w:rPr>
              <w:t xml:space="preserve">Hourly Weight </w:t>
            </w:r>
            <w:r w:rsidRPr="00A759AD">
              <w:rPr>
                <w:rFonts w:ascii="Times New Roman" w:hAnsi="Times New Roman"/>
                <w:color w:val="000000"/>
                <w:sz w:val="22"/>
                <w:szCs w:val="22"/>
              </w:rPr>
              <w:br/>
              <w:t>(%)</w:t>
            </w:r>
          </w:p>
        </w:tc>
        <w:tc>
          <w:tcPr>
            <w:tcW w:w="5800"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759AD" w:rsidRPr="00A759AD" w:rsidP="006D084F" w14:paraId="701CB11B" w14:textId="77777777">
            <w:pPr>
              <w:jc w:val="center"/>
              <w:rPr>
                <w:rFonts w:ascii="Times New Roman" w:hAnsi="Times New Roman"/>
                <w:color w:val="000000"/>
                <w:sz w:val="22"/>
                <w:szCs w:val="22"/>
              </w:rPr>
            </w:pPr>
            <w:r w:rsidRPr="00A759AD">
              <w:rPr>
                <w:rFonts w:ascii="Times New Roman" w:hAnsi="Times New Roman"/>
                <w:color w:val="000000"/>
                <w:sz w:val="22"/>
                <w:szCs w:val="22"/>
              </w:rPr>
              <w:t xml:space="preserve">Percentage Shares of Hours Spent by and </w:t>
            </w:r>
            <w:r w:rsidRPr="00A759AD">
              <w:rPr>
                <w:rFonts w:ascii="Times New Roman" w:hAnsi="Times New Roman"/>
                <w:color w:val="000000"/>
                <w:sz w:val="22"/>
                <w:szCs w:val="22"/>
              </w:rPr>
              <w:br/>
              <w:t xml:space="preserve">Hourly Compensation Rates for each Occupation Group </w:t>
            </w:r>
            <w:r w:rsidRPr="00A759AD">
              <w:rPr>
                <w:rFonts w:ascii="Times New Roman" w:hAnsi="Times New Roman"/>
                <w:color w:val="000000"/>
                <w:sz w:val="22"/>
                <w:szCs w:val="22"/>
              </w:rPr>
              <w:br/>
              <w:t>(by Collection)</w:t>
            </w:r>
          </w:p>
        </w:tc>
        <w:tc>
          <w:tcPr>
            <w:tcW w:w="1400" w:type="dxa"/>
            <w:vMerge w:val="restart"/>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17C35412" w14:textId="77777777">
            <w:pPr>
              <w:jc w:val="center"/>
              <w:rPr>
                <w:rFonts w:ascii="Times New Roman" w:hAnsi="Times New Roman"/>
                <w:color w:val="000000"/>
                <w:sz w:val="22"/>
                <w:szCs w:val="22"/>
              </w:rPr>
            </w:pPr>
            <w:r w:rsidRPr="00A759AD">
              <w:rPr>
                <w:rFonts w:ascii="Times New Roman" w:hAnsi="Times New Roman"/>
                <w:color w:val="000000"/>
                <w:sz w:val="22"/>
                <w:szCs w:val="22"/>
              </w:rPr>
              <w:t>Estimated Hourly Compensation Rate</w:t>
            </w:r>
          </w:p>
        </w:tc>
      </w:tr>
      <w:tr w14:paraId="34B05F2C" w14:textId="77777777" w:rsidTr="00A759AD">
        <w:tblPrEx>
          <w:tblW w:w="10423" w:type="dxa"/>
          <w:tblCellMar>
            <w:top w:w="15" w:type="dxa"/>
          </w:tblCellMar>
          <w:tblLook w:val="04A0"/>
        </w:tblPrEx>
        <w:trPr>
          <w:trHeight w:val="864"/>
        </w:trPr>
        <w:tc>
          <w:tcPr>
            <w:tcW w:w="2165" w:type="dxa"/>
            <w:vMerge/>
            <w:tcBorders>
              <w:top w:val="nil"/>
              <w:left w:val="single" w:sz="8" w:space="0" w:color="auto"/>
              <w:bottom w:val="single" w:sz="8" w:space="0" w:color="auto"/>
              <w:right w:val="single" w:sz="8" w:space="0" w:color="auto"/>
            </w:tcBorders>
            <w:vAlign w:val="center"/>
            <w:hideMark/>
          </w:tcPr>
          <w:p w:rsidR="00A759AD" w:rsidRPr="00A759AD" w:rsidP="006D084F" w14:paraId="41053A51" w14:textId="77777777">
            <w:pPr>
              <w:rPr>
                <w:rFonts w:ascii="Times New Roman" w:hAnsi="Times New Roman"/>
                <w:color w:val="000000"/>
                <w:sz w:val="22"/>
                <w:szCs w:val="22"/>
              </w:rPr>
            </w:pPr>
          </w:p>
        </w:tc>
        <w:tc>
          <w:tcPr>
            <w:tcW w:w="836" w:type="dxa"/>
            <w:vMerge/>
            <w:tcBorders>
              <w:top w:val="nil"/>
              <w:left w:val="single" w:sz="8" w:space="0" w:color="auto"/>
              <w:bottom w:val="single" w:sz="8" w:space="0" w:color="auto"/>
              <w:right w:val="single" w:sz="8" w:space="0" w:color="auto"/>
            </w:tcBorders>
            <w:vAlign w:val="center"/>
            <w:hideMark/>
          </w:tcPr>
          <w:p w:rsidR="00A759AD" w:rsidRPr="00A759AD" w:rsidP="006D084F" w14:paraId="009B0D2C" w14:textId="77777777">
            <w:pPr>
              <w:rPr>
                <w:rFonts w:ascii="Times New Roman" w:hAnsi="Times New Roman"/>
                <w:color w:val="000000"/>
                <w:sz w:val="22"/>
                <w:szCs w:val="22"/>
              </w:rPr>
            </w:pPr>
          </w:p>
        </w:tc>
        <w:tc>
          <w:tcPr>
            <w:tcW w:w="5800" w:type="dxa"/>
            <w:gridSpan w:val="6"/>
            <w:vMerge/>
            <w:tcBorders>
              <w:top w:val="single" w:sz="8" w:space="0" w:color="auto"/>
              <w:left w:val="single" w:sz="8" w:space="0" w:color="auto"/>
              <w:bottom w:val="single" w:sz="8" w:space="0" w:color="auto"/>
              <w:right w:val="single" w:sz="8" w:space="0" w:color="auto"/>
            </w:tcBorders>
            <w:vAlign w:val="center"/>
            <w:hideMark/>
          </w:tcPr>
          <w:p w:rsidR="00A759AD" w:rsidRPr="00A759AD" w:rsidP="006D084F" w14:paraId="5754F8FF" w14:textId="77777777">
            <w:pPr>
              <w:rPr>
                <w:rFonts w:ascii="Times New Roman" w:hAnsi="Times New Roman"/>
                <w:color w:val="000000"/>
                <w:sz w:val="22"/>
                <w:szCs w:val="22"/>
              </w:rPr>
            </w:pPr>
          </w:p>
        </w:tc>
        <w:tc>
          <w:tcPr>
            <w:tcW w:w="1400" w:type="dxa"/>
            <w:vMerge/>
            <w:tcBorders>
              <w:top w:val="nil"/>
              <w:left w:val="single" w:sz="8" w:space="0" w:color="auto"/>
              <w:bottom w:val="single" w:sz="8" w:space="0" w:color="auto"/>
              <w:right w:val="single" w:sz="8" w:space="0" w:color="auto"/>
            </w:tcBorders>
            <w:vAlign w:val="center"/>
            <w:hideMark/>
          </w:tcPr>
          <w:p w:rsidR="00A759AD" w:rsidRPr="00A759AD" w:rsidP="006D084F" w14:paraId="71E12853" w14:textId="77777777">
            <w:pPr>
              <w:rPr>
                <w:rFonts w:ascii="Times New Roman" w:hAnsi="Times New Roman"/>
                <w:color w:val="000000"/>
                <w:sz w:val="22"/>
                <w:szCs w:val="22"/>
              </w:rPr>
            </w:pPr>
          </w:p>
        </w:tc>
        <w:tc>
          <w:tcPr>
            <w:tcW w:w="222" w:type="dxa"/>
            <w:tcBorders>
              <w:top w:val="nil"/>
              <w:left w:val="nil"/>
              <w:bottom w:val="nil"/>
              <w:right w:val="nil"/>
            </w:tcBorders>
            <w:shd w:val="clear" w:color="auto" w:fill="auto"/>
            <w:noWrap/>
            <w:vAlign w:val="bottom"/>
            <w:hideMark/>
          </w:tcPr>
          <w:p w:rsidR="00A759AD" w:rsidRPr="00A759AD" w:rsidP="006D084F" w14:paraId="65D4EDB6" w14:textId="77777777">
            <w:pPr>
              <w:jc w:val="center"/>
              <w:rPr>
                <w:rFonts w:ascii="Times New Roman" w:hAnsi="Times New Roman"/>
                <w:color w:val="000000"/>
                <w:sz w:val="22"/>
                <w:szCs w:val="22"/>
              </w:rPr>
            </w:pPr>
          </w:p>
        </w:tc>
      </w:tr>
      <w:tr w14:paraId="7FBC535D" w14:textId="77777777" w:rsidTr="00A759AD">
        <w:tblPrEx>
          <w:tblW w:w="10423" w:type="dxa"/>
          <w:tblCellMar>
            <w:top w:w="15" w:type="dxa"/>
          </w:tblCellMar>
          <w:tblLook w:val="04A0"/>
        </w:tblPrEx>
        <w:trPr>
          <w:trHeight w:val="360"/>
        </w:trPr>
        <w:tc>
          <w:tcPr>
            <w:tcW w:w="2165" w:type="dxa"/>
            <w:vMerge/>
            <w:tcBorders>
              <w:top w:val="nil"/>
              <w:left w:val="single" w:sz="8" w:space="0" w:color="auto"/>
              <w:bottom w:val="single" w:sz="8" w:space="0" w:color="auto"/>
              <w:right w:val="single" w:sz="8" w:space="0" w:color="auto"/>
            </w:tcBorders>
            <w:vAlign w:val="center"/>
            <w:hideMark/>
          </w:tcPr>
          <w:p w:rsidR="00A759AD" w:rsidRPr="00A759AD" w:rsidP="006D084F" w14:paraId="6D3FDEB8" w14:textId="77777777">
            <w:pPr>
              <w:rPr>
                <w:rFonts w:ascii="Times New Roman" w:hAnsi="Times New Roman"/>
                <w:color w:val="000000"/>
                <w:sz w:val="22"/>
                <w:szCs w:val="22"/>
              </w:rPr>
            </w:pPr>
          </w:p>
        </w:tc>
        <w:tc>
          <w:tcPr>
            <w:tcW w:w="836" w:type="dxa"/>
            <w:vMerge/>
            <w:tcBorders>
              <w:top w:val="nil"/>
              <w:left w:val="single" w:sz="8" w:space="0" w:color="auto"/>
              <w:bottom w:val="single" w:sz="8" w:space="0" w:color="auto"/>
              <w:right w:val="single" w:sz="8" w:space="0" w:color="auto"/>
            </w:tcBorders>
            <w:vAlign w:val="center"/>
            <w:hideMark/>
          </w:tcPr>
          <w:p w:rsidR="00A759AD" w:rsidRPr="00A759AD" w:rsidP="006D084F" w14:paraId="46501A7A" w14:textId="77777777">
            <w:pPr>
              <w:rPr>
                <w:rFonts w:ascii="Times New Roman" w:hAnsi="Times New Roman"/>
                <w:color w:val="000000"/>
                <w:sz w:val="22"/>
                <w:szCs w:val="22"/>
              </w:rPr>
            </w:pPr>
          </w:p>
        </w:tc>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0A1487E0" w14:textId="77777777">
            <w:pPr>
              <w:jc w:val="center"/>
              <w:rPr>
                <w:rFonts w:ascii="Times New Roman" w:hAnsi="Times New Roman"/>
                <w:color w:val="000000"/>
                <w:sz w:val="22"/>
                <w:szCs w:val="22"/>
              </w:rPr>
            </w:pPr>
            <w:r w:rsidRPr="00A759AD">
              <w:rPr>
                <w:rFonts w:ascii="Times New Roman" w:hAnsi="Times New Roman"/>
                <w:color w:val="000000"/>
                <w:sz w:val="22"/>
                <w:szCs w:val="22"/>
              </w:rPr>
              <w:t>Exec. &amp; Mgr.      ($146.13)</w:t>
            </w:r>
          </w:p>
        </w:tc>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50AD4FC6" w14:textId="77777777">
            <w:pPr>
              <w:jc w:val="center"/>
              <w:rPr>
                <w:rFonts w:ascii="Times New Roman" w:hAnsi="Times New Roman"/>
                <w:color w:val="000000"/>
                <w:sz w:val="22"/>
                <w:szCs w:val="22"/>
              </w:rPr>
            </w:pPr>
            <w:r w:rsidRPr="00A759AD">
              <w:rPr>
                <w:rFonts w:ascii="Times New Roman" w:hAnsi="Times New Roman"/>
                <w:color w:val="000000"/>
                <w:sz w:val="22"/>
                <w:szCs w:val="22"/>
              </w:rPr>
              <w:t>Lawyer</w:t>
            </w:r>
            <w:r w:rsidRPr="00A759AD">
              <w:rPr>
                <w:rFonts w:ascii="Times New Roman" w:hAnsi="Times New Roman"/>
                <w:color w:val="000000"/>
                <w:sz w:val="22"/>
                <w:szCs w:val="22"/>
              </w:rPr>
              <w:t xml:space="preserve">   (</w:t>
            </w:r>
            <w:r w:rsidRPr="00A759AD">
              <w:rPr>
                <w:rFonts w:ascii="Times New Roman" w:hAnsi="Times New Roman"/>
                <w:color w:val="000000"/>
                <w:sz w:val="22"/>
                <w:szCs w:val="22"/>
              </w:rPr>
              <w:t>$182.07)</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23DA5000" w14:textId="77777777">
            <w:pPr>
              <w:jc w:val="center"/>
              <w:rPr>
                <w:rFonts w:ascii="Times New Roman" w:hAnsi="Times New Roman"/>
                <w:color w:val="000000"/>
                <w:sz w:val="22"/>
                <w:szCs w:val="22"/>
              </w:rPr>
            </w:pPr>
            <w:r w:rsidRPr="00A759AD">
              <w:rPr>
                <w:rFonts w:ascii="Times New Roman" w:hAnsi="Times New Roman"/>
                <w:color w:val="000000"/>
                <w:sz w:val="22"/>
                <w:szCs w:val="22"/>
              </w:rPr>
              <w:t>Compl</w:t>
            </w:r>
            <w:r w:rsidRPr="00A759AD">
              <w:rPr>
                <w:rFonts w:ascii="Times New Roman" w:hAnsi="Times New Roman"/>
                <w:color w:val="000000"/>
                <w:sz w:val="22"/>
                <w:szCs w:val="22"/>
              </w:rPr>
              <w:t>. Ofc.   ($77.07)</w:t>
            </w:r>
          </w:p>
        </w:tc>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093BC727" w14:textId="77777777">
            <w:pPr>
              <w:jc w:val="center"/>
              <w:rPr>
                <w:rFonts w:ascii="Times New Roman" w:hAnsi="Times New Roman"/>
                <w:color w:val="000000"/>
                <w:sz w:val="22"/>
                <w:szCs w:val="22"/>
              </w:rPr>
            </w:pPr>
            <w:r w:rsidRPr="00A759AD">
              <w:rPr>
                <w:rFonts w:ascii="Times New Roman" w:hAnsi="Times New Roman"/>
                <w:color w:val="000000"/>
                <w:sz w:val="22"/>
                <w:szCs w:val="22"/>
              </w:rPr>
              <w:t xml:space="preserve">IT </w:t>
            </w:r>
            <w:r w:rsidRPr="00A759AD">
              <w:rPr>
                <w:rFonts w:ascii="Times New Roman" w:hAnsi="Times New Roman"/>
                <w:color w:val="000000"/>
                <w:sz w:val="22"/>
                <w:szCs w:val="22"/>
              </w:rPr>
              <w:t xml:space="preserve">   (</w:t>
            </w:r>
            <w:r w:rsidRPr="00A759AD">
              <w:rPr>
                <w:rFonts w:ascii="Times New Roman" w:hAnsi="Times New Roman"/>
                <w:color w:val="000000"/>
                <w:sz w:val="22"/>
                <w:szCs w:val="22"/>
              </w:rPr>
              <w:t>$110.91)</w:t>
            </w:r>
          </w:p>
        </w:tc>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5553CAA7" w14:textId="77777777">
            <w:pPr>
              <w:jc w:val="center"/>
              <w:rPr>
                <w:rFonts w:ascii="Times New Roman" w:hAnsi="Times New Roman"/>
                <w:color w:val="000000"/>
                <w:sz w:val="22"/>
                <w:szCs w:val="22"/>
              </w:rPr>
            </w:pPr>
            <w:r w:rsidRPr="00A759AD">
              <w:rPr>
                <w:rFonts w:ascii="Times New Roman" w:hAnsi="Times New Roman"/>
                <w:color w:val="000000"/>
                <w:sz w:val="22"/>
                <w:szCs w:val="22"/>
              </w:rPr>
              <w:t xml:space="preserve">Fin. </w:t>
            </w:r>
            <w:r w:rsidRPr="00A759AD">
              <w:rPr>
                <w:rFonts w:ascii="Times New Roman" w:hAnsi="Times New Roman"/>
                <w:color w:val="000000"/>
                <w:sz w:val="22"/>
                <w:szCs w:val="22"/>
              </w:rPr>
              <w:t>Anlst</w:t>
            </w:r>
            <w:r w:rsidRPr="00A759AD">
              <w:rPr>
                <w:rFonts w:ascii="Times New Roman" w:hAnsi="Times New Roman"/>
                <w:color w:val="000000"/>
                <w:sz w:val="22"/>
                <w:szCs w:val="22"/>
              </w:rPr>
              <w:t>.    ($100.28)</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0A925E4F" w14:textId="77777777">
            <w:pPr>
              <w:jc w:val="center"/>
              <w:rPr>
                <w:rFonts w:ascii="Times New Roman" w:hAnsi="Times New Roman"/>
                <w:color w:val="000000"/>
                <w:sz w:val="22"/>
                <w:szCs w:val="22"/>
              </w:rPr>
            </w:pPr>
            <w:r w:rsidRPr="00A759AD">
              <w:rPr>
                <w:rFonts w:ascii="Times New Roman" w:hAnsi="Times New Roman"/>
                <w:color w:val="000000"/>
                <w:sz w:val="22"/>
                <w:szCs w:val="22"/>
              </w:rPr>
              <w:t xml:space="preserve">Clerical </w:t>
            </w:r>
            <w:r w:rsidRPr="00A759AD">
              <w:rPr>
                <w:rFonts w:ascii="Times New Roman" w:hAnsi="Times New Roman"/>
                <w:color w:val="000000"/>
                <w:sz w:val="22"/>
                <w:szCs w:val="22"/>
              </w:rPr>
              <w:t xml:space="preserve">   (</w:t>
            </w:r>
            <w:r w:rsidRPr="00A759AD">
              <w:rPr>
                <w:rFonts w:ascii="Times New Roman" w:hAnsi="Times New Roman"/>
                <w:color w:val="000000"/>
                <w:sz w:val="22"/>
                <w:szCs w:val="22"/>
              </w:rPr>
              <w:t>$39.39)</w:t>
            </w:r>
          </w:p>
        </w:tc>
        <w:tc>
          <w:tcPr>
            <w:tcW w:w="1400" w:type="dxa"/>
            <w:vMerge/>
            <w:tcBorders>
              <w:top w:val="nil"/>
              <w:left w:val="single" w:sz="8" w:space="0" w:color="auto"/>
              <w:bottom w:val="single" w:sz="8" w:space="0" w:color="auto"/>
              <w:right w:val="single" w:sz="8" w:space="0" w:color="auto"/>
            </w:tcBorders>
            <w:vAlign w:val="center"/>
            <w:hideMark/>
          </w:tcPr>
          <w:p w:rsidR="00A759AD" w:rsidRPr="00A759AD" w:rsidP="006D084F" w14:paraId="2C38B6EC" w14:textId="77777777">
            <w:pPr>
              <w:rPr>
                <w:rFonts w:ascii="Times New Roman" w:hAnsi="Times New Roman"/>
                <w:color w:val="000000"/>
                <w:sz w:val="22"/>
                <w:szCs w:val="22"/>
              </w:rPr>
            </w:pPr>
          </w:p>
        </w:tc>
        <w:tc>
          <w:tcPr>
            <w:tcW w:w="222" w:type="dxa"/>
            <w:vAlign w:val="center"/>
            <w:hideMark/>
          </w:tcPr>
          <w:p w:rsidR="00A759AD" w:rsidRPr="00A759AD" w:rsidP="006D084F" w14:paraId="16CE3462" w14:textId="77777777">
            <w:pPr>
              <w:rPr>
                <w:rFonts w:ascii="Times New Roman" w:hAnsi="Times New Roman"/>
                <w:sz w:val="22"/>
                <w:szCs w:val="22"/>
              </w:rPr>
            </w:pPr>
          </w:p>
        </w:tc>
      </w:tr>
      <w:tr w14:paraId="6C73EC05" w14:textId="77777777" w:rsidTr="00A759AD">
        <w:tblPrEx>
          <w:tblW w:w="10423" w:type="dxa"/>
          <w:tblCellMar>
            <w:top w:w="15" w:type="dxa"/>
          </w:tblCellMar>
          <w:tblLook w:val="04A0"/>
        </w:tblPrEx>
        <w:trPr>
          <w:trHeight w:val="840"/>
        </w:trPr>
        <w:tc>
          <w:tcPr>
            <w:tcW w:w="2165" w:type="dxa"/>
            <w:vMerge/>
            <w:tcBorders>
              <w:top w:val="nil"/>
              <w:left w:val="single" w:sz="8" w:space="0" w:color="auto"/>
              <w:bottom w:val="single" w:sz="8" w:space="0" w:color="auto"/>
              <w:right w:val="single" w:sz="8" w:space="0" w:color="auto"/>
            </w:tcBorders>
            <w:vAlign w:val="center"/>
            <w:hideMark/>
          </w:tcPr>
          <w:p w:rsidR="00A759AD" w:rsidRPr="00A759AD" w:rsidP="006D084F" w14:paraId="76D706BA" w14:textId="77777777">
            <w:pPr>
              <w:rPr>
                <w:rFonts w:ascii="Times New Roman" w:hAnsi="Times New Roman"/>
                <w:color w:val="000000"/>
                <w:sz w:val="22"/>
                <w:szCs w:val="22"/>
              </w:rPr>
            </w:pPr>
          </w:p>
        </w:tc>
        <w:tc>
          <w:tcPr>
            <w:tcW w:w="836" w:type="dxa"/>
            <w:vMerge/>
            <w:tcBorders>
              <w:top w:val="nil"/>
              <w:left w:val="single" w:sz="8" w:space="0" w:color="auto"/>
              <w:bottom w:val="single" w:sz="8" w:space="0" w:color="auto"/>
              <w:right w:val="single" w:sz="8" w:space="0" w:color="auto"/>
            </w:tcBorders>
            <w:vAlign w:val="center"/>
            <w:hideMark/>
          </w:tcPr>
          <w:p w:rsidR="00A759AD" w:rsidRPr="00A759AD" w:rsidP="006D084F" w14:paraId="3229F5CC" w14:textId="77777777">
            <w:pPr>
              <w:rPr>
                <w:rFonts w:ascii="Times New Roman" w:hAnsi="Times New Roman"/>
                <w:color w:val="000000"/>
                <w:sz w:val="22"/>
                <w:szCs w:val="22"/>
              </w:rPr>
            </w:pPr>
          </w:p>
        </w:tc>
        <w:tc>
          <w:tcPr>
            <w:tcW w:w="1000" w:type="dxa"/>
            <w:vMerge/>
            <w:tcBorders>
              <w:top w:val="nil"/>
              <w:left w:val="single" w:sz="8" w:space="0" w:color="auto"/>
              <w:bottom w:val="single" w:sz="8" w:space="0" w:color="auto"/>
              <w:right w:val="single" w:sz="8" w:space="0" w:color="auto"/>
            </w:tcBorders>
            <w:vAlign w:val="center"/>
            <w:hideMark/>
          </w:tcPr>
          <w:p w:rsidR="00A759AD" w:rsidRPr="00A759AD" w:rsidP="006D084F" w14:paraId="0EC76010" w14:textId="77777777">
            <w:pPr>
              <w:rPr>
                <w:rFonts w:ascii="Times New Roman" w:hAnsi="Times New Roman"/>
                <w:color w:val="000000"/>
                <w:sz w:val="22"/>
                <w:szCs w:val="22"/>
              </w:rPr>
            </w:pPr>
          </w:p>
        </w:tc>
        <w:tc>
          <w:tcPr>
            <w:tcW w:w="1000" w:type="dxa"/>
            <w:vMerge/>
            <w:tcBorders>
              <w:top w:val="nil"/>
              <w:left w:val="single" w:sz="8" w:space="0" w:color="auto"/>
              <w:bottom w:val="single" w:sz="8" w:space="0" w:color="auto"/>
              <w:right w:val="single" w:sz="8" w:space="0" w:color="auto"/>
            </w:tcBorders>
            <w:vAlign w:val="center"/>
            <w:hideMark/>
          </w:tcPr>
          <w:p w:rsidR="00A759AD" w:rsidRPr="00A759AD" w:rsidP="006D084F" w14:paraId="11BD0E32" w14:textId="77777777">
            <w:pPr>
              <w:rPr>
                <w:rFonts w:ascii="Times New Roman" w:hAnsi="Times New Roman"/>
                <w:color w:val="000000"/>
                <w:sz w:val="22"/>
                <w:szCs w:val="22"/>
              </w:rPr>
            </w:pPr>
          </w:p>
        </w:tc>
        <w:tc>
          <w:tcPr>
            <w:tcW w:w="900" w:type="dxa"/>
            <w:vMerge/>
            <w:tcBorders>
              <w:top w:val="nil"/>
              <w:left w:val="single" w:sz="8" w:space="0" w:color="auto"/>
              <w:bottom w:val="single" w:sz="8" w:space="0" w:color="auto"/>
              <w:right w:val="single" w:sz="8" w:space="0" w:color="auto"/>
            </w:tcBorders>
            <w:vAlign w:val="center"/>
            <w:hideMark/>
          </w:tcPr>
          <w:p w:rsidR="00A759AD" w:rsidRPr="00A759AD" w:rsidP="006D084F" w14:paraId="1CD6597A" w14:textId="77777777">
            <w:pPr>
              <w:rPr>
                <w:rFonts w:ascii="Times New Roman" w:hAnsi="Times New Roman"/>
                <w:color w:val="000000"/>
                <w:sz w:val="22"/>
                <w:szCs w:val="22"/>
              </w:rPr>
            </w:pPr>
          </w:p>
        </w:tc>
        <w:tc>
          <w:tcPr>
            <w:tcW w:w="1000" w:type="dxa"/>
            <w:vMerge/>
            <w:tcBorders>
              <w:top w:val="nil"/>
              <w:left w:val="single" w:sz="8" w:space="0" w:color="auto"/>
              <w:bottom w:val="single" w:sz="8" w:space="0" w:color="auto"/>
              <w:right w:val="single" w:sz="8" w:space="0" w:color="auto"/>
            </w:tcBorders>
            <w:vAlign w:val="center"/>
            <w:hideMark/>
          </w:tcPr>
          <w:p w:rsidR="00A759AD" w:rsidRPr="00A759AD" w:rsidP="006D084F" w14:paraId="66335178" w14:textId="77777777">
            <w:pPr>
              <w:rPr>
                <w:rFonts w:ascii="Times New Roman" w:hAnsi="Times New Roman"/>
                <w:color w:val="000000"/>
                <w:sz w:val="22"/>
                <w:szCs w:val="22"/>
              </w:rPr>
            </w:pPr>
          </w:p>
        </w:tc>
        <w:tc>
          <w:tcPr>
            <w:tcW w:w="1000" w:type="dxa"/>
            <w:vMerge/>
            <w:tcBorders>
              <w:top w:val="nil"/>
              <w:left w:val="single" w:sz="8" w:space="0" w:color="auto"/>
              <w:bottom w:val="single" w:sz="8" w:space="0" w:color="auto"/>
              <w:right w:val="single" w:sz="8" w:space="0" w:color="auto"/>
            </w:tcBorders>
            <w:vAlign w:val="center"/>
            <w:hideMark/>
          </w:tcPr>
          <w:p w:rsidR="00A759AD" w:rsidRPr="00A759AD" w:rsidP="006D084F" w14:paraId="59C9529E" w14:textId="77777777">
            <w:pPr>
              <w:rPr>
                <w:rFonts w:ascii="Times New Roman" w:hAnsi="Times New Roman"/>
                <w:color w:val="000000"/>
                <w:sz w:val="22"/>
                <w:szCs w:val="22"/>
              </w:rPr>
            </w:pPr>
          </w:p>
        </w:tc>
        <w:tc>
          <w:tcPr>
            <w:tcW w:w="900" w:type="dxa"/>
            <w:vMerge/>
            <w:tcBorders>
              <w:top w:val="nil"/>
              <w:left w:val="single" w:sz="8" w:space="0" w:color="auto"/>
              <w:bottom w:val="single" w:sz="8" w:space="0" w:color="auto"/>
              <w:right w:val="single" w:sz="8" w:space="0" w:color="auto"/>
            </w:tcBorders>
            <w:vAlign w:val="center"/>
            <w:hideMark/>
          </w:tcPr>
          <w:p w:rsidR="00A759AD" w:rsidRPr="00A759AD" w:rsidP="006D084F" w14:paraId="1B735210" w14:textId="77777777">
            <w:pPr>
              <w:rPr>
                <w:rFonts w:ascii="Times New Roman" w:hAnsi="Times New Roman"/>
                <w:color w:val="000000"/>
                <w:sz w:val="22"/>
                <w:szCs w:val="22"/>
              </w:rPr>
            </w:pPr>
          </w:p>
        </w:tc>
        <w:tc>
          <w:tcPr>
            <w:tcW w:w="1400" w:type="dxa"/>
            <w:vMerge/>
            <w:tcBorders>
              <w:top w:val="nil"/>
              <w:left w:val="single" w:sz="8" w:space="0" w:color="auto"/>
              <w:bottom w:val="single" w:sz="8" w:space="0" w:color="auto"/>
              <w:right w:val="single" w:sz="8" w:space="0" w:color="auto"/>
            </w:tcBorders>
            <w:vAlign w:val="center"/>
            <w:hideMark/>
          </w:tcPr>
          <w:p w:rsidR="00A759AD" w:rsidRPr="00A759AD" w:rsidP="006D084F" w14:paraId="32200169" w14:textId="77777777">
            <w:pPr>
              <w:rPr>
                <w:rFonts w:ascii="Times New Roman" w:hAnsi="Times New Roman"/>
                <w:color w:val="000000"/>
                <w:sz w:val="22"/>
                <w:szCs w:val="22"/>
              </w:rPr>
            </w:pPr>
          </w:p>
        </w:tc>
        <w:tc>
          <w:tcPr>
            <w:tcW w:w="222" w:type="dxa"/>
            <w:tcBorders>
              <w:top w:val="nil"/>
              <w:left w:val="nil"/>
              <w:bottom w:val="nil"/>
              <w:right w:val="nil"/>
            </w:tcBorders>
            <w:shd w:val="clear" w:color="auto" w:fill="auto"/>
            <w:noWrap/>
            <w:vAlign w:val="bottom"/>
            <w:hideMark/>
          </w:tcPr>
          <w:p w:rsidR="00A759AD" w:rsidRPr="00A759AD" w:rsidP="006D084F" w14:paraId="10E2EB92" w14:textId="77777777">
            <w:pPr>
              <w:jc w:val="center"/>
              <w:rPr>
                <w:rFonts w:ascii="Times New Roman" w:hAnsi="Times New Roman"/>
                <w:color w:val="000000"/>
                <w:sz w:val="22"/>
                <w:szCs w:val="22"/>
              </w:rPr>
            </w:pPr>
          </w:p>
        </w:tc>
      </w:tr>
      <w:tr w14:paraId="730A66A6" w14:textId="77777777" w:rsidTr="00A759AD">
        <w:tblPrEx>
          <w:tblW w:w="10423" w:type="dxa"/>
          <w:tblCellMar>
            <w:top w:w="15" w:type="dxa"/>
          </w:tblCellMar>
          <w:tblLook w:val="04A0"/>
        </w:tblPrEx>
        <w:trPr>
          <w:trHeight w:val="1392"/>
        </w:trPr>
        <w:tc>
          <w:tcPr>
            <w:tcW w:w="2165" w:type="dxa"/>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36326D8F" w14:textId="77777777">
            <w:pPr>
              <w:rPr>
                <w:rFonts w:ascii="Times New Roman" w:hAnsi="Times New Roman"/>
                <w:color w:val="000000"/>
                <w:sz w:val="22"/>
                <w:szCs w:val="22"/>
              </w:rPr>
            </w:pPr>
            <w:r w:rsidRPr="00A759AD">
              <w:rPr>
                <w:rFonts w:ascii="Times New Roman" w:hAnsi="Times New Roman"/>
                <w:color w:val="000000"/>
                <w:sz w:val="22"/>
                <w:szCs w:val="22"/>
              </w:rPr>
              <w:t>1. Bank Protection Act Compliance Program – Implementation,</w:t>
            </w:r>
            <w:r w:rsidRPr="00A759AD">
              <w:rPr>
                <w:rFonts w:ascii="Times New Roman" w:hAnsi="Times New Roman"/>
                <w:color w:val="000000"/>
                <w:sz w:val="22"/>
                <w:szCs w:val="22"/>
              </w:rPr>
              <w:br/>
              <w:t>12 CFR 326 Subpart A (Mandatory)</w:t>
            </w:r>
          </w:p>
        </w:tc>
        <w:tc>
          <w:tcPr>
            <w:tcW w:w="836" w:type="dxa"/>
            <w:tcBorders>
              <w:top w:val="nil"/>
              <w:left w:val="nil"/>
              <w:bottom w:val="single" w:sz="8" w:space="0" w:color="auto"/>
              <w:right w:val="single" w:sz="8" w:space="0" w:color="auto"/>
            </w:tcBorders>
            <w:shd w:val="clear" w:color="auto" w:fill="auto"/>
            <w:vAlign w:val="center"/>
            <w:hideMark/>
          </w:tcPr>
          <w:p w:rsidR="00A759AD" w:rsidRPr="00A759AD" w:rsidP="006D084F" w14:paraId="47A1D699" w14:textId="77777777">
            <w:pPr>
              <w:jc w:val="center"/>
              <w:rPr>
                <w:rFonts w:ascii="Times New Roman" w:hAnsi="Times New Roman"/>
                <w:color w:val="000000"/>
                <w:sz w:val="22"/>
                <w:szCs w:val="22"/>
              </w:rPr>
            </w:pPr>
            <w:r w:rsidRPr="00A759AD">
              <w:rPr>
                <w:rFonts w:ascii="Times New Roman" w:hAnsi="Times New Roman"/>
                <w:color w:val="000000"/>
                <w:sz w:val="22"/>
                <w:szCs w:val="22"/>
              </w:rPr>
              <w:t>0.35</w:t>
            </w:r>
          </w:p>
        </w:tc>
        <w:tc>
          <w:tcPr>
            <w:tcW w:w="1000" w:type="dxa"/>
            <w:tcBorders>
              <w:top w:val="nil"/>
              <w:left w:val="nil"/>
              <w:bottom w:val="nil"/>
              <w:right w:val="single" w:sz="8" w:space="0" w:color="auto"/>
            </w:tcBorders>
            <w:shd w:val="clear" w:color="auto" w:fill="auto"/>
            <w:vAlign w:val="center"/>
            <w:hideMark/>
          </w:tcPr>
          <w:p w:rsidR="00A759AD" w:rsidRPr="00A759AD" w:rsidP="006D084F" w14:paraId="26B288A5" w14:textId="77777777">
            <w:pPr>
              <w:jc w:val="center"/>
              <w:rPr>
                <w:rFonts w:ascii="Times New Roman" w:hAnsi="Times New Roman"/>
                <w:color w:val="000000"/>
                <w:sz w:val="22"/>
                <w:szCs w:val="22"/>
              </w:rPr>
            </w:pPr>
            <w:r w:rsidRPr="00A759AD">
              <w:rPr>
                <w:rFonts w:ascii="Times New Roman" w:hAnsi="Times New Roman"/>
                <w:color w:val="000000"/>
                <w:sz w:val="22"/>
                <w:szCs w:val="22"/>
              </w:rPr>
              <w:t>1</w:t>
            </w:r>
          </w:p>
        </w:tc>
        <w:tc>
          <w:tcPr>
            <w:tcW w:w="1000" w:type="dxa"/>
            <w:tcBorders>
              <w:top w:val="nil"/>
              <w:left w:val="nil"/>
              <w:bottom w:val="nil"/>
              <w:right w:val="single" w:sz="8" w:space="0" w:color="auto"/>
            </w:tcBorders>
            <w:shd w:val="clear" w:color="auto" w:fill="auto"/>
            <w:vAlign w:val="center"/>
            <w:hideMark/>
          </w:tcPr>
          <w:p w:rsidR="00A759AD" w:rsidRPr="00A759AD" w:rsidP="006D084F" w14:paraId="2A30EC59" w14:textId="77777777">
            <w:pPr>
              <w:jc w:val="center"/>
              <w:rPr>
                <w:rFonts w:ascii="Times New Roman" w:hAnsi="Times New Roman"/>
                <w:color w:val="000000"/>
                <w:sz w:val="22"/>
                <w:szCs w:val="22"/>
              </w:rPr>
            </w:pPr>
            <w:r w:rsidRPr="00A759AD">
              <w:rPr>
                <w:rFonts w:ascii="Times New Roman" w:hAnsi="Times New Roman"/>
                <w:color w:val="000000"/>
                <w:sz w:val="22"/>
                <w:szCs w:val="22"/>
              </w:rPr>
              <w:t>2</w:t>
            </w:r>
          </w:p>
        </w:tc>
        <w:tc>
          <w:tcPr>
            <w:tcW w:w="900" w:type="dxa"/>
            <w:tcBorders>
              <w:top w:val="nil"/>
              <w:left w:val="nil"/>
              <w:bottom w:val="nil"/>
              <w:right w:val="single" w:sz="8" w:space="0" w:color="auto"/>
            </w:tcBorders>
            <w:shd w:val="clear" w:color="auto" w:fill="auto"/>
            <w:vAlign w:val="center"/>
            <w:hideMark/>
          </w:tcPr>
          <w:p w:rsidR="00A759AD" w:rsidRPr="00A759AD" w:rsidP="006D084F" w14:paraId="31E7D3F8" w14:textId="77777777">
            <w:pPr>
              <w:jc w:val="center"/>
              <w:rPr>
                <w:rFonts w:ascii="Times New Roman" w:hAnsi="Times New Roman"/>
                <w:color w:val="000000"/>
                <w:sz w:val="22"/>
                <w:szCs w:val="22"/>
              </w:rPr>
            </w:pPr>
            <w:r w:rsidRPr="00A759AD">
              <w:rPr>
                <w:rFonts w:ascii="Times New Roman" w:hAnsi="Times New Roman"/>
                <w:color w:val="000000"/>
                <w:sz w:val="22"/>
                <w:szCs w:val="22"/>
              </w:rPr>
              <w:t>2</w:t>
            </w:r>
          </w:p>
        </w:tc>
        <w:tc>
          <w:tcPr>
            <w:tcW w:w="1000" w:type="dxa"/>
            <w:tcBorders>
              <w:top w:val="nil"/>
              <w:left w:val="nil"/>
              <w:bottom w:val="nil"/>
              <w:right w:val="single" w:sz="8" w:space="0" w:color="auto"/>
            </w:tcBorders>
            <w:shd w:val="clear" w:color="auto" w:fill="auto"/>
            <w:vAlign w:val="center"/>
            <w:hideMark/>
          </w:tcPr>
          <w:p w:rsidR="00A759AD" w:rsidRPr="00A759AD" w:rsidP="006D084F" w14:paraId="25BBAF6E" w14:textId="77777777">
            <w:pPr>
              <w:jc w:val="center"/>
              <w:rPr>
                <w:rFonts w:ascii="Times New Roman" w:hAnsi="Times New Roman"/>
                <w:color w:val="000000"/>
                <w:sz w:val="22"/>
                <w:szCs w:val="22"/>
              </w:rPr>
            </w:pPr>
            <w:r w:rsidRPr="00A759AD">
              <w:rPr>
                <w:rFonts w:ascii="Times New Roman" w:hAnsi="Times New Roman"/>
                <w:color w:val="000000"/>
                <w:sz w:val="22"/>
                <w:szCs w:val="22"/>
              </w:rPr>
              <w:t>0</w:t>
            </w:r>
          </w:p>
        </w:tc>
        <w:tc>
          <w:tcPr>
            <w:tcW w:w="1000" w:type="dxa"/>
            <w:tcBorders>
              <w:top w:val="nil"/>
              <w:left w:val="nil"/>
              <w:bottom w:val="nil"/>
              <w:right w:val="single" w:sz="8" w:space="0" w:color="auto"/>
            </w:tcBorders>
            <w:shd w:val="clear" w:color="auto" w:fill="auto"/>
            <w:vAlign w:val="center"/>
            <w:hideMark/>
          </w:tcPr>
          <w:p w:rsidR="00A759AD" w:rsidRPr="00A759AD" w:rsidP="006D084F" w14:paraId="2C45DCBD" w14:textId="77777777">
            <w:pPr>
              <w:jc w:val="center"/>
              <w:rPr>
                <w:rFonts w:ascii="Times New Roman" w:hAnsi="Times New Roman"/>
                <w:color w:val="000000"/>
                <w:sz w:val="22"/>
                <w:szCs w:val="22"/>
              </w:rPr>
            </w:pPr>
            <w:r w:rsidRPr="00A759AD">
              <w:rPr>
                <w:rFonts w:ascii="Times New Roman" w:hAnsi="Times New Roman"/>
                <w:color w:val="000000"/>
                <w:sz w:val="22"/>
                <w:szCs w:val="22"/>
              </w:rPr>
              <w:t>0</w:t>
            </w:r>
          </w:p>
        </w:tc>
        <w:tc>
          <w:tcPr>
            <w:tcW w:w="900" w:type="dxa"/>
            <w:tcBorders>
              <w:top w:val="nil"/>
              <w:left w:val="nil"/>
              <w:bottom w:val="nil"/>
              <w:right w:val="single" w:sz="8" w:space="0" w:color="auto"/>
            </w:tcBorders>
            <w:shd w:val="clear" w:color="auto" w:fill="auto"/>
            <w:vAlign w:val="center"/>
            <w:hideMark/>
          </w:tcPr>
          <w:p w:rsidR="00A759AD" w:rsidRPr="00A759AD" w:rsidP="006D084F" w14:paraId="0F3206F8" w14:textId="77777777">
            <w:pPr>
              <w:jc w:val="center"/>
              <w:rPr>
                <w:rFonts w:ascii="Times New Roman" w:hAnsi="Times New Roman"/>
                <w:color w:val="000000"/>
                <w:sz w:val="22"/>
                <w:szCs w:val="22"/>
              </w:rPr>
            </w:pPr>
            <w:r w:rsidRPr="00A759AD">
              <w:rPr>
                <w:rFonts w:ascii="Times New Roman" w:hAnsi="Times New Roman"/>
                <w:color w:val="000000"/>
                <w:sz w:val="22"/>
                <w:szCs w:val="22"/>
              </w:rPr>
              <w:t>95</w:t>
            </w:r>
          </w:p>
        </w:tc>
        <w:tc>
          <w:tcPr>
            <w:tcW w:w="1400" w:type="dxa"/>
            <w:tcBorders>
              <w:top w:val="nil"/>
              <w:left w:val="nil"/>
              <w:bottom w:val="single" w:sz="8" w:space="0" w:color="auto"/>
              <w:right w:val="single" w:sz="8" w:space="0" w:color="auto"/>
            </w:tcBorders>
            <w:shd w:val="clear" w:color="auto" w:fill="auto"/>
            <w:vAlign w:val="center"/>
            <w:hideMark/>
          </w:tcPr>
          <w:p w:rsidR="00A759AD" w:rsidRPr="00A759AD" w:rsidP="006D084F" w14:paraId="0D421670" w14:textId="77777777">
            <w:pPr>
              <w:ind w:firstLine="220" w:firstLineChars="100"/>
              <w:jc w:val="right"/>
              <w:rPr>
                <w:rFonts w:ascii="Times New Roman" w:hAnsi="Times New Roman"/>
                <w:color w:val="000000"/>
                <w:sz w:val="22"/>
                <w:szCs w:val="22"/>
              </w:rPr>
            </w:pPr>
            <w:r w:rsidRPr="00A759AD">
              <w:rPr>
                <w:rFonts w:ascii="Times New Roman" w:hAnsi="Times New Roman"/>
                <w:color w:val="000000"/>
                <w:sz w:val="22"/>
                <w:szCs w:val="22"/>
              </w:rPr>
              <w:t xml:space="preserve">$44.06 </w:t>
            </w:r>
          </w:p>
        </w:tc>
        <w:tc>
          <w:tcPr>
            <w:tcW w:w="222" w:type="dxa"/>
            <w:vAlign w:val="center"/>
            <w:hideMark/>
          </w:tcPr>
          <w:p w:rsidR="00A759AD" w:rsidRPr="00A759AD" w:rsidP="006D084F" w14:paraId="3B637EF6" w14:textId="77777777">
            <w:pPr>
              <w:rPr>
                <w:rFonts w:ascii="Times New Roman" w:hAnsi="Times New Roman"/>
                <w:sz w:val="22"/>
                <w:szCs w:val="22"/>
              </w:rPr>
            </w:pPr>
          </w:p>
        </w:tc>
      </w:tr>
      <w:tr w14:paraId="05470F87" w14:textId="77777777" w:rsidTr="00A759AD">
        <w:tblPrEx>
          <w:tblW w:w="10423" w:type="dxa"/>
          <w:tblCellMar>
            <w:top w:w="15" w:type="dxa"/>
          </w:tblCellMar>
          <w:tblLook w:val="04A0"/>
        </w:tblPrEx>
        <w:trPr>
          <w:trHeight w:val="1392"/>
        </w:trPr>
        <w:tc>
          <w:tcPr>
            <w:tcW w:w="2165" w:type="dxa"/>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7110F2DA" w14:textId="77777777">
            <w:pPr>
              <w:rPr>
                <w:rFonts w:ascii="Times New Roman" w:hAnsi="Times New Roman"/>
                <w:color w:val="000000"/>
                <w:sz w:val="22"/>
                <w:szCs w:val="22"/>
              </w:rPr>
            </w:pPr>
            <w:r w:rsidRPr="00A759AD">
              <w:rPr>
                <w:rFonts w:ascii="Times New Roman" w:hAnsi="Times New Roman"/>
                <w:color w:val="000000"/>
                <w:sz w:val="22"/>
                <w:szCs w:val="22"/>
              </w:rPr>
              <w:t>2. Bank Protection Act Compliance Program – Ongoing,</w:t>
            </w:r>
            <w:r w:rsidRPr="00A759AD">
              <w:rPr>
                <w:rFonts w:ascii="Times New Roman" w:hAnsi="Times New Roman"/>
                <w:color w:val="000000"/>
                <w:sz w:val="22"/>
                <w:szCs w:val="22"/>
              </w:rPr>
              <w:br/>
              <w:t>12 CFR 326 Subpart A (Mandatory)</w:t>
            </w:r>
          </w:p>
        </w:tc>
        <w:tc>
          <w:tcPr>
            <w:tcW w:w="836" w:type="dxa"/>
            <w:tcBorders>
              <w:top w:val="nil"/>
              <w:left w:val="nil"/>
              <w:bottom w:val="single" w:sz="8" w:space="0" w:color="auto"/>
              <w:right w:val="single" w:sz="8" w:space="0" w:color="auto"/>
            </w:tcBorders>
            <w:shd w:val="clear" w:color="auto" w:fill="auto"/>
            <w:vAlign w:val="center"/>
            <w:hideMark/>
          </w:tcPr>
          <w:p w:rsidR="00A759AD" w:rsidRPr="00A759AD" w:rsidP="006D084F" w14:paraId="32417B79" w14:textId="77777777">
            <w:pPr>
              <w:jc w:val="center"/>
              <w:rPr>
                <w:rFonts w:ascii="Times New Roman" w:hAnsi="Times New Roman"/>
                <w:color w:val="000000"/>
                <w:sz w:val="22"/>
                <w:szCs w:val="22"/>
              </w:rPr>
            </w:pPr>
            <w:r w:rsidRPr="00A759AD">
              <w:rPr>
                <w:rFonts w:ascii="Times New Roman" w:hAnsi="Times New Roman"/>
                <w:color w:val="000000"/>
                <w:sz w:val="22"/>
                <w:szCs w:val="22"/>
              </w:rPr>
              <w:t>42.40</w:t>
            </w:r>
          </w:p>
        </w:tc>
        <w:tc>
          <w:tcPr>
            <w:tcW w:w="1000" w:type="dxa"/>
            <w:tcBorders>
              <w:top w:val="single" w:sz="8" w:space="0" w:color="auto"/>
              <w:left w:val="nil"/>
              <w:bottom w:val="nil"/>
              <w:right w:val="single" w:sz="8" w:space="0" w:color="auto"/>
            </w:tcBorders>
            <w:shd w:val="clear" w:color="auto" w:fill="auto"/>
            <w:vAlign w:val="center"/>
            <w:hideMark/>
          </w:tcPr>
          <w:p w:rsidR="00A759AD" w:rsidRPr="00A759AD" w:rsidP="006D084F" w14:paraId="152AA88D" w14:textId="77777777">
            <w:pPr>
              <w:jc w:val="center"/>
              <w:rPr>
                <w:rFonts w:ascii="Times New Roman" w:hAnsi="Times New Roman"/>
                <w:color w:val="000000"/>
                <w:sz w:val="22"/>
                <w:szCs w:val="22"/>
              </w:rPr>
            </w:pPr>
            <w:r w:rsidRPr="00A759AD">
              <w:rPr>
                <w:rFonts w:ascii="Times New Roman" w:hAnsi="Times New Roman"/>
                <w:color w:val="000000"/>
                <w:sz w:val="22"/>
                <w:szCs w:val="22"/>
              </w:rPr>
              <w:t>1</w:t>
            </w:r>
          </w:p>
        </w:tc>
        <w:tc>
          <w:tcPr>
            <w:tcW w:w="1000" w:type="dxa"/>
            <w:tcBorders>
              <w:top w:val="single" w:sz="8" w:space="0" w:color="auto"/>
              <w:left w:val="nil"/>
              <w:bottom w:val="nil"/>
              <w:right w:val="single" w:sz="8" w:space="0" w:color="auto"/>
            </w:tcBorders>
            <w:shd w:val="clear" w:color="auto" w:fill="auto"/>
            <w:vAlign w:val="center"/>
            <w:hideMark/>
          </w:tcPr>
          <w:p w:rsidR="00A759AD" w:rsidRPr="00A759AD" w:rsidP="006D084F" w14:paraId="2090E9AA" w14:textId="77777777">
            <w:pPr>
              <w:jc w:val="center"/>
              <w:rPr>
                <w:rFonts w:ascii="Times New Roman" w:hAnsi="Times New Roman"/>
                <w:color w:val="000000"/>
                <w:sz w:val="22"/>
                <w:szCs w:val="22"/>
              </w:rPr>
            </w:pPr>
            <w:r w:rsidRPr="00A759AD">
              <w:rPr>
                <w:rFonts w:ascii="Times New Roman" w:hAnsi="Times New Roman"/>
                <w:color w:val="000000"/>
                <w:sz w:val="22"/>
                <w:szCs w:val="22"/>
              </w:rPr>
              <w:t>2</w:t>
            </w:r>
          </w:p>
        </w:tc>
        <w:tc>
          <w:tcPr>
            <w:tcW w:w="900" w:type="dxa"/>
            <w:tcBorders>
              <w:top w:val="single" w:sz="8" w:space="0" w:color="auto"/>
              <w:left w:val="nil"/>
              <w:bottom w:val="nil"/>
              <w:right w:val="single" w:sz="8" w:space="0" w:color="auto"/>
            </w:tcBorders>
            <w:shd w:val="clear" w:color="auto" w:fill="auto"/>
            <w:vAlign w:val="center"/>
            <w:hideMark/>
          </w:tcPr>
          <w:p w:rsidR="00A759AD" w:rsidRPr="00A759AD" w:rsidP="006D084F" w14:paraId="7260DA53" w14:textId="77777777">
            <w:pPr>
              <w:jc w:val="center"/>
              <w:rPr>
                <w:rFonts w:ascii="Times New Roman" w:hAnsi="Times New Roman"/>
                <w:color w:val="000000"/>
                <w:sz w:val="22"/>
                <w:szCs w:val="22"/>
              </w:rPr>
            </w:pPr>
            <w:r w:rsidRPr="00A759AD">
              <w:rPr>
                <w:rFonts w:ascii="Times New Roman" w:hAnsi="Times New Roman"/>
                <w:color w:val="000000"/>
                <w:sz w:val="22"/>
                <w:szCs w:val="22"/>
              </w:rPr>
              <w:t>2</w:t>
            </w:r>
          </w:p>
        </w:tc>
        <w:tc>
          <w:tcPr>
            <w:tcW w:w="1000" w:type="dxa"/>
            <w:tcBorders>
              <w:top w:val="single" w:sz="8" w:space="0" w:color="auto"/>
              <w:left w:val="nil"/>
              <w:bottom w:val="nil"/>
              <w:right w:val="single" w:sz="8" w:space="0" w:color="auto"/>
            </w:tcBorders>
            <w:shd w:val="clear" w:color="auto" w:fill="auto"/>
            <w:vAlign w:val="center"/>
            <w:hideMark/>
          </w:tcPr>
          <w:p w:rsidR="00A759AD" w:rsidRPr="00A759AD" w:rsidP="006D084F" w14:paraId="08A48B81" w14:textId="77777777">
            <w:pPr>
              <w:jc w:val="center"/>
              <w:rPr>
                <w:rFonts w:ascii="Times New Roman" w:hAnsi="Times New Roman"/>
                <w:color w:val="000000"/>
                <w:sz w:val="22"/>
                <w:szCs w:val="22"/>
              </w:rPr>
            </w:pPr>
            <w:r w:rsidRPr="00A759AD">
              <w:rPr>
                <w:rFonts w:ascii="Times New Roman" w:hAnsi="Times New Roman"/>
                <w:color w:val="000000"/>
                <w:sz w:val="22"/>
                <w:szCs w:val="22"/>
              </w:rPr>
              <w:t>0</w:t>
            </w:r>
          </w:p>
        </w:tc>
        <w:tc>
          <w:tcPr>
            <w:tcW w:w="1000" w:type="dxa"/>
            <w:tcBorders>
              <w:top w:val="single" w:sz="8" w:space="0" w:color="auto"/>
              <w:left w:val="nil"/>
              <w:bottom w:val="nil"/>
              <w:right w:val="single" w:sz="8" w:space="0" w:color="auto"/>
            </w:tcBorders>
            <w:shd w:val="clear" w:color="auto" w:fill="auto"/>
            <w:vAlign w:val="center"/>
            <w:hideMark/>
          </w:tcPr>
          <w:p w:rsidR="00A759AD" w:rsidRPr="00A759AD" w:rsidP="006D084F" w14:paraId="2B889654" w14:textId="77777777">
            <w:pPr>
              <w:jc w:val="center"/>
              <w:rPr>
                <w:rFonts w:ascii="Times New Roman" w:hAnsi="Times New Roman"/>
                <w:color w:val="000000"/>
                <w:sz w:val="22"/>
                <w:szCs w:val="22"/>
              </w:rPr>
            </w:pPr>
            <w:r w:rsidRPr="00A759AD">
              <w:rPr>
                <w:rFonts w:ascii="Times New Roman" w:hAnsi="Times New Roman"/>
                <w:color w:val="000000"/>
                <w:sz w:val="22"/>
                <w:szCs w:val="22"/>
              </w:rPr>
              <w:t>0</w:t>
            </w:r>
          </w:p>
        </w:tc>
        <w:tc>
          <w:tcPr>
            <w:tcW w:w="900" w:type="dxa"/>
            <w:tcBorders>
              <w:top w:val="single" w:sz="8" w:space="0" w:color="auto"/>
              <w:left w:val="nil"/>
              <w:bottom w:val="nil"/>
              <w:right w:val="single" w:sz="8" w:space="0" w:color="auto"/>
            </w:tcBorders>
            <w:shd w:val="clear" w:color="auto" w:fill="auto"/>
            <w:vAlign w:val="center"/>
            <w:hideMark/>
          </w:tcPr>
          <w:p w:rsidR="00A759AD" w:rsidRPr="00A759AD" w:rsidP="006D084F" w14:paraId="31FBCC6A" w14:textId="77777777">
            <w:pPr>
              <w:jc w:val="center"/>
              <w:rPr>
                <w:rFonts w:ascii="Times New Roman" w:hAnsi="Times New Roman"/>
                <w:color w:val="000000"/>
                <w:sz w:val="22"/>
                <w:szCs w:val="22"/>
              </w:rPr>
            </w:pPr>
            <w:r w:rsidRPr="00A759AD">
              <w:rPr>
                <w:rFonts w:ascii="Times New Roman" w:hAnsi="Times New Roman"/>
                <w:color w:val="000000"/>
                <w:sz w:val="22"/>
                <w:szCs w:val="22"/>
              </w:rPr>
              <w:t>95</w:t>
            </w:r>
          </w:p>
        </w:tc>
        <w:tc>
          <w:tcPr>
            <w:tcW w:w="1400" w:type="dxa"/>
            <w:tcBorders>
              <w:top w:val="nil"/>
              <w:left w:val="nil"/>
              <w:bottom w:val="single" w:sz="8" w:space="0" w:color="auto"/>
              <w:right w:val="single" w:sz="8" w:space="0" w:color="auto"/>
            </w:tcBorders>
            <w:shd w:val="clear" w:color="auto" w:fill="auto"/>
            <w:vAlign w:val="center"/>
            <w:hideMark/>
          </w:tcPr>
          <w:p w:rsidR="00A759AD" w:rsidRPr="00A759AD" w:rsidP="006D084F" w14:paraId="23DDC551" w14:textId="77777777">
            <w:pPr>
              <w:ind w:firstLine="220" w:firstLineChars="100"/>
              <w:jc w:val="right"/>
              <w:rPr>
                <w:rFonts w:ascii="Times New Roman" w:hAnsi="Times New Roman"/>
                <w:color w:val="000000"/>
                <w:sz w:val="22"/>
                <w:szCs w:val="22"/>
              </w:rPr>
            </w:pPr>
            <w:r w:rsidRPr="00A759AD">
              <w:rPr>
                <w:rFonts w:ascii="Times New Roman" w:hAnsi="Times New Roman"/>
                <w:color w:val="000000"/>
                <w:sz w:val="22"/>
                <w:szCs w:val="22"/>
              </w:rPr>
              <w:t xml:space="preserve">$44.06 </w:t>
            </w:r>
          </w:p>
        </w:tc>
        <w:tc>
          <w:tcPr>
            <w:tcW w:w="222" w:type="dxa"/>
            <w:vAlign w:val="center"/>
            <w:hideMark/>
          </w:tcPr>
          <w:p w:rsidR="00A759AD" w:rsidRPr="00A759AD" w:rsidP="006D084F" w14:paraId="0DE780DB" w14:textId="77777777">
            <w:pPr>
              <w:rPr>
                <w:rFonts w:ascii="Times New Roman" w:hAnsi="Times New Roman"/>
                <w:sz w:val="22"/>
                <w:szCs w:val="22"/>
              </w:rPr>
            </w:pPr>
          </w:p>
        </w:tc>
      </w:tr>
      <w:tr w14:paraId="773B2111" w14:textId="77777777" w:rsidTr="00A759AD">
        <w:tblPrEx>
          <w:tblW w:w="10423" w:type="dxa"/>
          <w:tblCellMar>
            <w:top w:w="15" w:type="dxa"/>
          </w:tblCellMar>
          <w:tblLook w:val="04A0"/>
        </w:tblPrEx>
        <w:trPr>
          <w:trHeight w:val="1668"/>
        </w:trPr>
        <w:tc>
          <w:tcPr>
            <w:tcW w:w="2165" w:type="dxa"/>
            <w:tcBorders>
              <w:top w:val="nil"/>
              <w:left w:val="single" w:sz="8" w:space="0" w:color="auto"/>
              <w:bottom w:val="nil"/>
              <w:right w:val="single" w:sz="8" w:space="0" w:color="auto"/>
            </w:tcBorders>
            <w:shd w:val="clear" w:color="auto" w:fill="auto"/>
            <w:vAlign w:val="center"/>
            <w:hideMark/>
          </w:tcPr>
          <w:p w:rsidR="00A759AD" w:rsidRPr="00A759AD" w:rsidP="006D084F" w14:paraId="122B69D7" w14:textId="77777777">
            <w:pPr>
              <w:rPr>
                <w:rFonts w:ascii="Times New Roman" w:hAnsi="Times New Roman"/>
                <w:color w:val="000000"/>
                <w:sz w:val="22"/>
                <w:szCs w:val="22"/>
              </w:rPr>
            </w:pPr>
            <w:r w:rsidRPr="00A759AD">
              <w:rPr>
                <w:rFonts w:ascii="Times New Roman" w:hAnsi="Times New Roman"/>
                <w:color w:val="000000"/>
                <w:sz w:val="22"/>
                <w:szCs w:val="22"/>
              </w:rPr>
              <w:t>3. Procedures for monitoring Bank Secrecy Act compliance – Implementation,</w:t>
            </w:r>
            <w:r w:rsidRPr="00A759AD">
              <w:rPr>
                <w:rFonts w:ascii="Times New Roman" w:hAnsi="Times New Roman"/>
                <w:color w:val="000000"/>
                <w:sz w:val="22"/>
                <w:szCs w:val="22"/>
              </w:rPr>
              <w:br/>
              <w:t>12 CFR 326.8(b)(1) &amp; (c) (Mandatory)</w:t>
            </w:r>
          </w:p>
        </w:tc>
        <w:tc>
          <w:tcPr>
            <w:tcW w:w="836" w:type="dxa"/>
            <w:tcBorders>
              <w:top w:val="nil"/>
              <w:left w:val="nil"/>
              <w:bottom w:val="single" w:sz="8" w:space="0" w:color="auto"/>
              <w:right w:val="single" w:sz="8" w:space="0" w:color="auto"/>
            </w:tcBorders>
            <w:shd w:val="clear" w:color="auto" w:fill="auto"/>
            <w:vAlign w:val="center"/>
            <w:hideMark/>
          </w:tcPr>
          <w:p w:rsidR="00A759AD" w:rsidRPr="00A759AD" w:rsidP="006D084F" w14:paraId="26880EA3" w14:textId="77777777">
            <w:pPr>
              <w:jc w:val="center"/>
              <w:rPr>
                <w:rFonts w:ascii="Times New Roman" w:hAnsi="Times New Roman"/>
                <w:color w:val="000000"/>
                <w:sz w:val="22"/>
                <w:szCs w:val="22"/>
              </w:rPr>
            </w:pPr>
            <w:r w:rsidRPr="00A759AD">
              <w:rPr>
                <w:rFonts w:ascii="Times New Roman" w:hAnsi="Times New Roman"/>
                <w:color w:val="000000"/>
                <w:sz w:val="22"/>
                <w:szCs w:val="22"/>
              </w:rPr>
              <w:t>0.71</w:t>
            </w:r>
          </w:p>
        </w:tc>
        <w:tc>
          <w:tcPr>
            <w:tcW w:w="1000" w:type="dxa"/>
            <w:tcBorders>
              <w:top w:val="single" w:sz="8" w:space="0" w:color="auto"/>
              <w:left w:val="nil"/>
              <w:bottom w:val="nil"/>
              <w:right w:val="single" w:sz="8" w:space="0" w:color="auto"/>
            </w:tcBorders>
            <w:shd w:val="clear" w:color="auto" w:fill="auto"/>
            <w:vAlign w:val="center"/>
            <w:hideMark/>
          </w:tcPr>
          <w:p w:rsidR="00A759AD" w:rsidRPr="00A759AD" w:rsidP="006D084F" w14:paraId="4CA6392A" w14:textId="77777777">
            <w:pPr>
              <w:jc w:val="center"/>
              <w:rPr>
                <w:rFonts w:ascii="Times New Roman" w:hAnsi="Times New Roman"/>
                <w:color w:val="000000"/>
                <w:sz w:val="22"/>
                <w:szCs w:val="22"/>
              </w:rPr>
            </w:pPr>
            <w:r w:rsidRPr="00A759AD">
              <w:rPr>
                <w:rFonts w:ascii="Times New Roman" w:hAnsi="Times New Roman"/>
                <w:color w:val="000000"/>
                <w:sz w:val="22"/>
                <w:szCs w:val="22"/>
              </w:rPr>
              <w:t>1</w:t>
            </w:r>
          </w:p>
        </w:tc>
        <w:tc>
          <w:tcPr>
            <w:tcW w:w="1000" w:type="dxa"/>
            <w:tcBorders>
              <w:top w:val="single" w:sz="8" w:space="0" w:color="auto"/>
              <w:left w:val="nil"/>
              <w:bottom w:val="nil"/>
              <w:right w:val="single" w:sz="8" w:space="0" w:color="auto"/>
            </w:tcBorders>
            <w:shd w:val="clear" w:color="auto" w:fill="auto"/>
            <w:vAlign w:val="center"/>
            <w:hideMark/>
          </w:tcPr>
          <w:p w:rsidR="00A759AD" w:rsidRPr="00A759AD" w:rsidP="006D084F" w14:paraId="1FEBD1B5" w14:textId="77777777">
            <w:pPr>
              <w:jc w:val="center"/>
              <w:rPr>
                <w:rFonts w:ascii="Times New Roman" w:hAnsi="Times New Roman"/>
                <w:color w:val="000000"/>
                <w:sz w:val="22"/>
                <w:szCs w:val="22"/>
              </w:rPr>
            </w:pPr>
            <w:r w:rsidRPr="00A759AD">
              <w:rPr>
                <w:rFonts w:ascii="Times New Roman" w:hAnsi="Times New Roman"/>
                <w:color w:val="000000"/>
                <w:sz w:val="22"/>
                <w:szCs w:val="22"/>
              </w:rPr>
              <w:t>2</w:t>
            </w:r>
          </w:p>
        </w:tc>
        <w:tc>
          <w:tcPr>
            <w:tcW w:w="900" w:type="dxa"/>
            <w:tcBorders>
              <w:top w:val="single" w:sz="8" w:space="0" w:color="auto"/>
              <w:left w:val="nil"/>
              <w:bottom w:val="nil"/>
              <w:right w:val="single" w:sz="8" w:space="0" w:color="auto"/>
            </w:tcBorders>
            <w:shd w:val="clear" w:color="auto" w:fill="auto"/>
            <w:vAlign w:val="center"/>
            <w:hideMark/>
          </w:tcPr>
          <w:p w:rsidR="00A759AD" w:rsidRPr="00A759AD" w:rsidP="006D084F" w14:paraId="34D8D13D" w14:textId="77777777">
            <w:pPr>
              <w:jc w:val="center"/>
              <w:rPr>
                <w:rFonts w:ascii="Times New Roman" w:hAnsi="Times New Roman"/>
                <w:color w:val="000000"/>
                <w:sz w:val="22"/>
                <w:szCs w:val="22"/>
              </w:rPr>
            </w:pPr>
            <w:r w:rsidRPr="00A759AD">
              <w:rPr>
                <w:rFonts w:ascii="Times New Roman" w:hAnsi="Times New Roman"/>
                <w:color w:val="000000"/>
                <w:sz w:val="22"/>
                <w:szCs w:val="22"/>
              </w:rPr>
              <w:t>2</w:t>
            </w:r>
          </w:p>
        </w:tc>
        <w:tc>
          <w:tcPr>
            <w:tcW w:w="1000" w:type="dxa"/>
            <w:tcBorders>
              <w:top w:val="single" w:sz="8" w:space="0" w:color="auto"/>
              <w:left w:val="nil"/>
              <w:bottom w:val="nil"/>
              <w:right w:val="single" w:sz="8" w:space="0" w:color="auto"/>
            </w:tcBorders>
            <w:shd w:val="clear" w:color="auto" w:fill="auto"/>
            <w:vAlign w:val="center"/>
            <w:hideMark/>
          </w:tcPr>
          <w:p w:rsidR="00A759AD" w:rsidRPr="00A759AD" w:rsidP="006D084F" w14:paraId="7CDFEBBF" w14:textId="77777777">
            <w:pPr>
              <w:jc w:val="center"/>
              <w:rPr>
                <w:rFonts w:ascii="Times New Roman" w:hAnsi="Times New Roman"/>
                <w:color w:val="000000"/>
                <w:sz w:val="22"/>
                <w:szCs w:val="22"/>
              </w:rPr>
            </w:pPr>
            <w:r w:rsidRPr="00A759AD">
              <w:rPr>
                <w:rFonts w:ascii="Times New Roman" w:hAnsi="Times New Roman"/>
                <w:color w:val="000000"/>
                <w:sz w:val="22"/>
                <w:szCs w:val="22"/>
              </w:rPr>
              <w:t>0</w:t>
            </w:r>
          </w:p>
        </w:tc>
        <w:tc>
          <w:tcPr>
            <w:tcW w:w="1000" w:type="dxa"/>
            <w:tcBorders>
              <w:top w:val="single" w:sz="8" w:space="0" w:color="auto"/>
              <w:left w:val="nil"/>
              <w:bottom w:val="nil"/>
              <w:right w:val="single" w:sz="8" w:space="0" w:color="auto"/>
            </w:tcBorders>
            <w:shd w:val="clear" w:color="auto" w:fill="auto"/>
            <w:vAlign w:val="center"/>
            <w:hideMark/>
          </w:tcPr>
          <w:p w:rsidR="00A759AD" w:rsidRPr="00A759AD" w:rsidP="006D084F" w14:paraId="3563EF61" w14:textId="77777777">
            <w:pPr>
              <w:jc w:val="center"/>
              <w:rPr>
                <w:rFonts w:ascii="Times New Roman" w:hAnsi="Times New Roman"/>
                <w:color w:val="000000"/>
                <w:sz w:val="22"/>
                <w:szCs w:val="22"/>
              </w:rPr>
            </w:pPr>
            <w:r w:rsidRPr="00A759AD">
              <w:rPr>
                <w:rFonts w:ascii="Times New Roman" w:hAnsi="Times New Roman"/>
                <w:color w:val="000000"/>
                <w:sz w:val="22"/>
                <w:szCs w:val="22"/>
              </w:rPr>
              <w:t>0</w:t>
            </w:r>
          </w:p>
        </w:tc>
        <w:tc>
          <w:tcPr>
            <w:tcW w:w="900" w:type="dxa"/>
            <w:tcBorders>
              <w:top w:val="single" w:sz="8" w:space="0" w:color="auto"/>
              <w:left w:val="nil"/>
              <w:bottom w:val="nil"/>
              <w:right w:val="single" w:sz="8" w:space="0" w:color="auto"/>
            </w:tcBorders>
            <w:shd w:val="clear" w:color="auto" w:fill="auto"/>
            <w:vAlign w:val="center"/>
            <w:hideMark/>
          </w:tcPr>
          <w:p w:rsidR="00A759AD" w:rsidRPr="00A759AD" w:rsidP="006D084F" w14:paraId="55E332C8" w14:textId="77777777">
            <w:pPr>
              <w:jc w:val="center"/>
              <w:rPr>
                <w:rFonts w:ascii="Times New Roman" w:hAnsi="Times New Roman"/>
                <w:color w:val="000000"/>
                <w:sz w:val="22"/>
                <w:szCs w:val="22"/>
              </w:rPr>
            </w:pPr>
            <w:r w:rsidRPr="00A759AD">
              <w:rPr>
                <w:rFonts w:ascii="Times New Roman" w:hAnsi="Times New Roman"/>
                <w:color w:val="000000"/>
                <w:sz w:val="22"/>
                <w:szCs w:val="22"/>
              </w:rPr>
              <w:t>95</w:t>
            </w:r>
          </w:p>
        </w:tc>
        <w:tc>
          <w:tcPr>
            <w:tcW w:w="1400" w:type="dxa"/>
            <w:tcBorders>
              <w:top w:val="nil"/>
              <w:left w:val="nil"/>
              <w:bottom w:val="single" w:sz="8" w:space="0" w:color="auto"/>
              <w:right w:val="single" w:sz="8" w:space="0" w:color="auto"/>
            </w:tcBorders>
            <w:shd w:val="clear" w:color="auto" w:fill="auto"/>
            <w:vAlign w:val="center"/>
            <w:hideMark/>
          </w:tcPr>
          <w:p w:rsidR="00A759AD" w:rsidRPr="00A759AD" w:rsidP="006D084F" w14:paraId="081FF4A2" w14:textId="77777777">
            <w:pPr>
              <w:ind w:firstLine="220" w:firstLineChars="100"/>
              <w:jc w:val="right"/>
              <w:rPr>
                <w:rFonts w:ascii="Times New Roman" w:hAnsi="Times New Roman"/>
                <w:color w:val="000000"/>
                <w:sz w:val="22"/>
                <w:szCs w:val="22"/>
              </w:rPr>
            </w:pPr>
            <w:r w:rsidRPr="00A759AD">
              <w:rPr>
                <w:rFonts w:ascii="Times New Roman" w:hAnsi="Times New Roman"/>
                <w:color w:val="000000"/>
                <w:sz w:val="22"/>
                <w:szCs w:val="22"/>
              </w:rPr>
              <w:t xml:space="preserve">$44.06 </w:t>
            </w:r>
          </w:p>
        </w:tc>
        <w:tc>
          <w:tcPr>
            <w:tcW w:w="222" w:type="dxa"/>
            <w:vAlign w:val="center"/>
            <w:hideMark/>
          </w:tcPr>
          <w:p w:rsidR="00A759AD" w:rsidRPr="00A759AD" w:rsidP="006D084F" w14:paraId="4CF89363" w14:textId="77777777">
            <w:pPr>
              <w:rPr>
                <w:rFonts w:ascii="Times New Roman" w:hAnsi="Times New Roman"/>
                <w:sz w:val="22"/>
                <w:szCs w:val="22"/>
              </w:rPr>
            </w:pPr>
          </w:p>
        </w:tc>
      </w:tr>
      <w:tr w14:paraId="31F41A11" w14:textId="77777777" w:rsidTr="00A759AD">
        <w:tblPrEx>
          <w:tblW w:w="10423" w:type="dxa"/>
          <w:tblCellMar>
            <w:top w:w="15" w:type="dxa"/>
          </w:tblCellMar>
          <w:tblLook w:val="04A0"/>
        </w:tblPrEx>
        <w:trPr>
          <w:trHeight w:val="1392"/>
        </w:trPr>
        <w:tc>
          <w:tcPr>
            <w:tcW w:w="2165" w:type="dxa"/>
            <w:tcBorders>
              <w:top w:val="single" w:sz="8" w:space="0" w:color="auto"/>
              <w:left w:val="single" w:sz="8" w:space="0" w:color="auto"/>
              <w:bottom w:val="nil"/>
              <w:right w:val="single" w:sz="8" w:space="0" w:color="auto"/>
            </w:tcBorders>
            <w:shd w:val="clear" w:color="auto" w:fill="auto"/>
            <w:vAlign w:val="center"/>
            <w:hideMark/>
          </w:tcPr>
          <w:p w:rsidR="00A759AD" w:rsidRPr="00A759AD" w:rsidP="006D084F" w14:paraId="32707CCB" w14:textId="77777777">
            <w:pPr>
              <w:rPr>
                <w:rFonts w:ascii="Times New Roman" w:hAnsi="Times New Roman"/>
                <w:color w:val="000000"/>
                <w:sz w:val="22"/>
                <w:szCs w:val="22"/>
              </w:rPr>
            </w:pPr>
            <w:r w:rsidRPr="00A759AD">
              <w:rPr>
                <w:rFonts w:ascii="Times New Roman" w:hAnsi="Times New Roman"/>
                <w:color w:val="000000"/>
                <w:sz w:val="22"/>
                <w:szCs w:val="22"/>
              </w:rPr>
              <w:t xml:space="preserve">4. Procedures for monitoring Bank Secrecy Act compliance – Ongoing, </w:t>
            </w:r>
            <w:r w:rsidRPr="00A759AD">
              <w:rPr>
                <w:rFonts w:ascii="Times New Roman" w:hAnsi="Times New Roman"/>
                <w:color w:val="000000"/>
                <w:sz w:val="22"/>
                <w:szCs w:val="22"/>
              </w:rPr>
              <w:br/>
              <w:t>12 CFR 326.8(b)(1) &amp; (c) (Mandatory)</w:t>
            </w:r>
          </w:p>
        </w:tc>
        <w:tc>
          <w:tcPr>
            <w:tcW w:w="836" w:type="dxa"/>
            <w:tcBorders>
              <w:top w:val="nil"/>
              <w:left w:val="nil"/>
              <w:bottom w:val="single" w:sz="8" w:space="0" w:color="auto"/>
              <w:right w:val="single" w:sz="8" w:space="0" w:color="auto"/>
            </w:tcBorders>
            <w:shd w:val="clear" w:color="auto" w:fill="auto"/>
            <w:vAlign w:val="center"/>
            <w:hideMark/>
          </w:tcPr>
          <w:p w:rsidR="00A759AD" w:rsidRPr="00A759AD" w:rsidP="006D084F" w14:paraId="207035B7" w14:textId="77777777">
            <w:pPr>
              <w:jc w:val="center"/>
              <w:rPr>
                <w:rFonts w:ascii="Times New Roman" w:hAnsi="Times New Roman"/>
                <w:color w:val="000000"/>
                <w:sz w:val="22"/>
                <w:szCs w:val="22"/>
              </w:rPr>
            </w:pPr>
            <w:r w:rsidRPr="00A759AD">
              <w:rPr>
                <w:rFonts w:ascii="Times New Roman" w:hAnsi="Times New Roman"/>
                <w:color w:val="000000"/>
                <w:sz w:val="22"/>
                <w:szCs w:val="22"/>
              </w:rPr>
              <w:t>56.54</w:t>
            </w:r>
          </w:p>
        </w:tc>
        <w:tc>
          <w:tcPr>
            <w:tcW w:w="1000" w:type="dxa"/>
            <w:tcBorders>
              <w:top w:val="single" w:sz="8" w:space="0" w:color="auto"/>
              <w:left w:val="nil"/>
              <w:bottom w:val="nil"/>
              <w:right w:val="single" w:sz="8" w:space="0" w:color="auto"/>
            </w:tcBorders>
            <w:shd w:val="clear" w:color="auto" w:fill="auto"/>
            <w:vAlign w:val="center"/>
            <w:hideMark/>
          </w:tcPr>
          <w:p w:rsidR="00A759AD" w:rsidRPr="00A759AD" w:rsidP="006D084F" w14:paraId="0BC96947" w14:textId="77777777">
            <w:pPr>
              <w:jc w:val="center"/>
              <w:rPr>
                <w:rFonts w:ascii="Times New Roman" w:hAnsi="Times New Roman"/>
                <w:color w:val="000000"/>
                <w:sz w:val="22"/>
                <w:szCs w:val="22"/>
              </w:rPr>
            </w:pPr>
            <w:r w:rsidRPr="00A759AD">
              <w:rPr>
                <w:rFonts w:ascii="Times New Roman" w:hAnsi="Times New Roman"/>
                <w:color w:val="000000"/>
                <w:sz w:val="22"/>
                <w:szCs w:val="22"/>
              </w:rPr>
              <w:t>1</w:t>
            </w:r>
          </w:p>
        </w:tc>
        <w:tc>
          <w:tcPr>
            <w:tcW w:w="1000" w:type="dxa"/>
            <w:tcBorders>
              <w:top w:val="single" w:sz="8" w:space="0" w:color="auto"/>
              <w:left w:val="nil"/>
              <w:bottom w:val="nil"/>
              <w:right w:val="single" w:sz="8" w:space="0" w:color="auto"/>
            </w:tcBorders>
            <w:shd w:val="clear" w:color="auto" w:fill="auto"/>
            <w:vAlign w:val="center"/>
            <w:hideMark/>
          </w:tcPr>
          <w:p w:rsidR="00A759AD" w:rsidRPr="00A759AD" w:rsidP="006D084F" w14:paraId="48D87A52" w14:textId="77777777">
            <w:pPr>
              <w:jc w:val="center"/>
              <w:rPr>
                <w:rFonts w:ascii="Times New Roman" w:hAnsi="Times New Roman"/>
                <w:color w:val="000000"/>
                <w:sz w:val="22"/>
                <w:szCs w:val="22"/>
              </w:rPr>
            </w:pPr>
            <w:r w:rsidRPr="00A759AD">
              <w:rPr>
                <w:rFonts w:ascii="Times New Roman" w:hAnsi="Times New Roman"/>
                <w:color w:val="000000"/>
                <w:sz w:val="22"/>
                <w:szCs w:val="22"/>
              </w:rPr>
              <w:t>2</w:t>
            </w:r>
          </w:p>
        </w:tc>
        <w:tc>
          <w:tcPr>
            <w:tcW w:w="900" w:type="dxa"/>
            <w:tcBorders>
              <w:top w:val="single" w:sz="8" w:space="0" w:color="auto"/>
              <w:left w:val="nil"/>
              <w:bottom w:val="nil"/>
              <w:right w:val="single" w:sz="8" w:space="0" w:color="auto"/>
            </w:tcBorders>
            <w:shd w:val="clear" w:color="auto" w:fill="auto"/>
            <w:vAlign w:val="center"/>
            <w:hideMark/>
          </w:tcPr>
          <w:p w:rsidR="00A759AD" w:rsidRPr="00A759AD" w:rsidP="006D084F" w14:paraId="33D9781A" w14:textId="77777777">
            <w:pPr>
              <w:jc w:val="center"/>
              <w:rPr>
                <w:rFonts w:ascii="Times New Roman" w:hAnsi="Times New Roman"/>
                <w:color w:val="000000"/>
                <w:sz w:val="22"/>
                <w:szCs w:val="22"/>
              </w:rPr>
            </w:pPr>
            <w:r w:rsidRPr="00A759AD">
              <w:rPr>
                <w:rFonts w:ascii="Times New Roman" w:hAnsi="Times New Roman"/>
                <w:color w:val="000000"/>
                <w:sz w:val="22"/>
                <w:szCs w:val="22"/>
              </w:rPr>
              <w:t>2</w:t>
            </w:r>
          </w:p>
        </w:tc>
        <w:tc>
          <w:tcPr>
            <w:tcW w:w="1000" w:type="dxa"/>
            <w:tcBorders>
              <w:top w:val="single" w:sz="8" w:space="0" w:color="auto"/>
              <w:left w:val="nil"/>
              <w:bottom w:val="nil"/>
              <w:right w:val="single" w:sz="8" w:space="0" w:color="auto"/>
            </w:tcBorders>
            <w:shd w:val="clear" w:color="auto" w:fill="auto"/>
            <w:vAlign w:val="center"/>
            <w:hideMark/>
          </w:tcPr>
          <w:p w:rsidR="00A759AD" w:rsidRPr="00A759AD" w:rsidP="006D084F" w14:paraId="38E14EE5" w14:textId="77777777">
            <w:pPr>
              <w:jc w:val="center"/>
              <w:rPr>
                <w:rFonts w:ascii="Times New Roman" w:hAnsi="Times New Roman"/>
                <w:color w:val="000000"/>
                <w:sz w:val="22"/>
                <w:szCs w:val="22"/>
              </w:rPr>
            </w:pPr>
            <w:r w:rsidRPr="00A759AD">
              <w:rPr>
                <w:rFonts w:ascii="Times New Roman" w:hAnsi="Times New Roman"/>
                <w:color w:val="000000"/>
                <w:sz w:val="22"/>
                <w:szCs w:val="22"/>
              </w:rPr>
              <w:t>0</w:t>
            </w:r>
          </w:p>
        </w:tc>
        <w:tc>
          <w:tcPr>
            <w:tcW w:w="1000" w:type="dxa"/>
            <w:tcBorders>
              <w:top w:val="single" w:sz="8" w:space="0" w:color="auto"/>
              <w:left w:val="nil"/>
              <w:bottom w:val="nil"/>
              <w:right w:val="single" w:sz="8" w:space="0" w:color="auto"/>
            </w:tcBorders>
            <w:shd w:val="clear" w:color="auto" w:fill="auto"/>
            <w:vAlign w:val="center"/>
            <w:hideMark/>
          </w:tcPr>
          <w:p w:rsidR="00A759AD" w:rsidRPr="00A759AD" w:rsidP="006D084F" w14:paraId="369C6BAD" w14:textId="77777777">
            <w:pPr>
              <w:jc w:val="center"/>
              <w:rPr>
                <w:rFonts w:ascii="Times New Roman" w:hAnsi="Times New Roman"/>
                <w:color w:val="000000"/>
                <w:sz w:val="22"/>
                <w:szCs w:val="22"/>
              </w:rPr>
            </w:pPr>
            <w:r w:rsidRPr="00A759AD">
              <w:rPr>
                <w:rFonts w:ascii="Times New Roman" w:hAnsi="Times New Roman"/>
                <w:color w:val="000000"/>
                <w:sz w:val="22"/>
                <w:szCs w:val="22"/>
              </w:rPr>
              <w:t>0</w:t>
            </w:r>
          </w:p>
        </w:tc>
        <w:tc>
          <w:tcPr>
            <w:tcW w:w="900" w:type="dxa"/>
            <w:tcBorders>
              <w:top w:val="single" w:sz="8" w:space="0" w:color="auto"/>
              <w:left w:val="nil"/>
              <w:bottom w:val="nil"/>
              <w:right w:val="single" w:sz="8" w:space="0" w:color="auto"/>
            </w:tcBorders>
            <w:shd w:val="clear" w:color="auto" w:fill="auto"/>
            <w:vAlign w:val="center"/>
            <w:hideMark/>
          </w:tcPr>
          <w:p w:rsidR="00A759AD" w:rsidRPr="00A759AD" w:rsidP="006D084F" w14:paraId="29DBA670" w14:textId="77777777">
            <w:pPr>
              <w:jc w:val="center"/>
              <w:rPr>
                <w:rFonts w:ascii="Times New Roman" w:hAnsi="Times New Roman"/>
                <w:color w:val="000000"/>
                <w:sz w:val="22"/>
                <w:szCs w:val="22"/>
              </w:rPr>
            </w:pPr>
            <w:r w:rsidRPr="00A759AD">
              <w:rPr>
                <w:rFonts w:ascii="Times New Roman" w:hAnsi="Times New Roman"/>
                <w:color w:val="000000"/>
                <w:sz w:val="22"/>
                <w:szCs w:val="22"/>
              </w:rPr>
              <w:t>95</w:t>
            </w:r>
          </w:p>
        </w:tc>
        <w:tc>
          <w:tcPr>
            <w:tcW w:w="1400" w:type="dxa"/>
            <w:tcBorders>
              <w:top w:val="nil"/>
              <w:left w:val="nil"/>
              <w:bottom w:val="single" w:sz="8" w:space="0" w:color="auto"/>
              <w:right w:val="single" w:sz="8" w:space="0" w:color="auto"/>
            </w:tcBorders>
            <w:shd w:val="clear" w:color="auto" w:fill="auto"/>
            <w:vAlign w:val="center"/>
            <w:hideMark/>
          </w:tcPr>
          <w:p w:rsidR="00A759AD" w:rsidRPr="00A759AD" w:rsidP="006D084F" w14:paraId="6A8CE150" w14:textId="77777777">
            <w:pPr>
              <w:ind w:firstLine="220" w:firstLineChars="100"/>
              <w:jc w:val="right"/>
              <w:rPr>
                <w:rFonts w:ascii="Times New Roman" w:hAnsi="Times New Roman"/>
                <w:color w:val="000000"/>
                <w:sz w:val="22"/>
                <w:szCs w:val="22"/>
              </w:rPr>
            </w:pPr>
            <w:r w:rsidRPr="00A759AD">
              <w:rPr>
                <w:rFonts w:ascii="Times New Roman" w:hAnsi="Times New Roman"/>
                <w:color w:val="000000"/>
                <w:sz w:val="22"/>
                <w:szCs w:val="22"/>
              </w:rPr>
              <w:t xml:space="preserve">$44.06 </w:t>
            </w:r>
          </w:p>
        </w:tc>
        <w:tc>
          <w:tcPr>
            <w:tcW w:w="222" w:type="dxa"/>
            <w:vAlign w:val="center"/>
            <w:hideMark/>
          </w:tcPr>
          <w:p w:rsidR="00A759AD" w:rsidRPr="00A759AD" w:rsidP="006D084F" w14:paraId="39ACB6F8" w14:textId="77777777">
            <w:pPr>
              <w:rPr>
                <w:rFonts w:ascii="Times New Roman" w:hAnsi="Times New Roman"/>
                <w:sz w:val="22"/>
                <w:szCs w:val="22"/>
              </w:rPr>
            </w:pPr>
          </w:p>
        </w:tc>
      </w:tr>
      <w:tr w14:paraId="07B2D614" w14:textId="77777777" w:rsidTr="00A759AD">
        <w:tblPrEx>
          <w:tblW w:w="10423" w:type="dxa"/>
          <w:tblCellMar>
            <w:top w:w="15" w:type="dxa"/>
          </w:tblCellMar>
          <w:tblLook w:val="04A0"/>
        </w:tblPrEx>
        <w:trPr>
          <w:trHeight w:val="300"/>
        </w:trPr>
        <w:tc>
          <w:tcPr>
            <w:tcW w:w="8801"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A759AD" w:rsidRPr="00A759AD" w:rsidP="006D084F" w14:paraId="7C98CD12" w14:textId="77777777">
            <w:pPr>
              <w:jc w:val="right"/>
              <w:rPr>
                <w:rFonts w:ascii="Times New Roman" w:hAnsi="Times New Roman"/>
                <w:b/>
                <w:bCs/>
                <w:i/>
                <w:iCs/>
                <w:color w:val="000000"/>
                <w:sz w:val="22"/>
                <w:szCs w:val="22"/>
              </w:rPr>
            </w:pPr>
            <w:r w:rsidRPr="00A759AD">
              <w:rPr>
                <w:rFonts w:ascii="Times New Roman" w:hAnsi="Times New Roman"/>
                <w:b/>
                <w:bCs/>
                <w:i/>
                <w:iCs/>
                <w:color w:val="000000"/>
                <w:sz w:val="22"/>
                <w:szCs w:val="22"/>
              </w:rPr>
              <w:t>Weighted Average Hourly Compensation Rate:</w:t>
            </w:r>
          </w:p>
        </w:tc>
        <w:tc>
          <w:tcPr>
            <w:tcW w:w="1400" w:type="dxa"/>
            <w:tcBorders>
              <w:top w:val="nil"/>
              <w:left w:val="nil"/>
              <w:bottom w:val="single" w:sz="8" w:space="0" w:color="auto"/>
              <w:right w:val="single" w:sz="8" w:space="0" w:color="auto"/>
            </w:tcBorders>
            <w:shd w:val="clear" w:color="auto" w:fill="auto"/>
            <w:vAlign w:val="center"/>
            <w:hideMark/>
          </w:tcPr>
          <w:p w:rsidR="00A759AD" w:rsidRPr="00A759AD" w:rsidP="006D084F" w14:paraId="0D003603" w14:textId="77777777">
            <w:pPr>
              <w:ind w:firstLine="220" w:firstLineChars="100"/>
              <w:jc w:val="right"/>
              <w:rPr>
                <w:rFonts w:ascii="Times New Roman" w:hAnsi="Times New Roman"/>
                <w:b/>
                <w:bCs/>
                <w:i/>
                <w:iCs/>
                <w:color w:val="000000"/>
                <w:sz w:val="22"/>
                <w:szCs w:val="22"/>
              </w:rPr>
            </w:pPr>
            <w:r w:rsidRPr="00A759AD">
              <w:rPr>
                <w:rFonts w:ascii="Times New Roman" w:hAnsi="Times New Roman"/>
                <w:b/>
                <w:bCs/>
                <w:i/>
                <w:iCs/>
                <w:color w:val="000000"/>
                <w:sz w:val="22"/>
                <w:szCs w:val="22"/>
              </w:rPr>
              <w:t xml:space="preserve">$44.06 </w:t>
            </w:r>
          </w:p>
        </w:tc>
        <w:tc>
          <w:tcPr>
            <w:tcW w:w="222" w:type="dxa"/>
            <w:vAlign w:val="center"/>
            <w:hideMark/>
          </w:tcPr>
          <w:p w:rsidR="00A759AD" w:rsidRPr="00A759AD" w:rsidP="006D084F" w14:paraId="5C24B7FA" w14:textId="77777777">
            <w:pPr>
              <w:rPr>
                <w:rFonts w:ascii="Times New Roman" w:hAnsi="Times New Roman"/>
                <w:sz w:val="22"/>
                <w:szCs w:val="22"/>
              </w:rPr>
            </w:pPr>
          </w:p>
        </w:tc>
      </w:tr>
      <w:tr w14:paraId="3E81CA16" w14:textId="77777777" w:rsidTr="00A759AD">
        <w:tblPrEx>
          <w:tblW w:w="10423" w:type="dxa"/>
          <w:tblCellMar>
            <w:top w:w="15" w:type="dxa"/>
          </w:tblCellMar>
          <w:tblLook w:val="04A0"/>
        </w:tblPrEx>
        <w:trPr>
          <w:trHeight w:val="252"/>
        </w:trPr>
        <w:tc>
          <w:tcPr>
            <w:tcW w:w="10201" w:type="dxa"/>
            <w:gridSpan w:val="9"/>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A759AD" w:rsidRPr="00A759AD" w:rsidP="006D084F" w14:paraId="72CB7216" w14:textId="77777777">
            <w:pPr>
              <w:rPr>
                <w:rFonts w:ascii="Times New Roman" w:hAnsi="Times New Roman"/>
                <w:color w:val="000000"/>
                <w:sz w:val="22"/>
                <w:szCs w:val="22"/>
              </w:rPr>
            </w:pPr>
            <w:r w:rsidRPr="00A759AD">
              <w:rPr>
                <w:rFonts w:ascii="Times New Roman" w:hAnsi="Times New Roman"/>
                <w:color w:val="000000"/>
                <w:sz w:val="22"/>
                <w:szCs w:val="22"/>
              </w:rPr>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September 2024). Standard Occupational Classification (SOC) Codes: Exec. And </w:t>
            </w:r>
            <w:r w:rsidRPr="00A759AD">
              <w:rPr>
                <w:rFonts w:ascii="Times New Roman" w:hAnsi="Times New Roman"/>
                <w:color w:val="000000"/>
                <w:sz w:val="22"/>
                <w:szCs w:val="22"/>
              </w:rPr>
              <w:t>Mgr</w:t>
            </w:r>
            <w:r w:rsidRPr="00A759AD">
              <w:rPr>
                <w:rFonts w:ascii="Times New Roman" w:hAnsi="Times New Roman"/>
                <w:color w:val="000000"/>
                <w:sz w:val="22"/>
                <w:szCs w:val="22"/>
              </w:rPr>
              <w:t xml:space="preserve"> = 11-0000 Management Occupations; Lawyer = 23-0000 Legal Occupations; </w:t>
            </w:r>
            <w:r w:rsidRPr="00A759AD">
              <w:rPr>
                <w:rFonts w:ascii="Times New Roman" w:hAnsi="Times New Roman"/>
                <w:color w:val="000000"/>
                <w:sz w:val="22"/>
                <w:szCs w:val="22"/>
              </w:rPr>
              <w:t>Compl</w:t>
            </w:r>
            <w:r w:rsidRPr="00A759AD">
              <w:rPr>
                <w:rFonts w:ascii="Times New Roman" w:hAnsi="Times New Roman"/>
                <w:color w:val="000000"/>
                <w:sz w:val="22"/>
                <w:szCs w:val="22"/>
              </w:rPr>
              <w:t xml:space="preserve">. Ofc. = 13-1040 Compliance Officers; IT = 15-0000 Computer and Mathematical Occupations; Fin. </w:t>
            </w:r>
            <w:r w:rsidRPr="00A759AD">
              <w:rPr>
                <w:rFonts w:ascii="Times New Roman" w:hAnsi="Times New Roman"/>
                <w:color w:val="000000"/>
                <w:sz w:val="22"/>
                <w:szCs w:val="22"/>
              </w:rPr>
              <w:t>Anlst</w:t>
            </w:r>
            <w:r w:rsidRPr="00A759AD">
              <w:rPr>
                <w:rFonts w:ascii="Times New Roman" w:hAnsi="Times New Roman"/>
                <w:color w:val="000000"/>
                <w:sz w:val="22"/>
                <w:szCs w:val="22"/>
              </w:rPr>
              <w:t xml:space="preserve">. = 13-2051 Financial and Investment Analysts; Clerical = 43-0000 Office and Administrative Support Occupations. </w:t>
            </w:r>
          </w:p>
        </w:tc>
        <w:tc>
          <w:tcPr>
            <w:tcW w:w="222" w:type="dxa"/>
            <w:vAlign w:val="center"/>
            <w:hideMark/>
          </w:tcPr>
          <w:p w:rsidR="00A759AD" w:rsidRPr="00A759AD" w:rsidP="006D084F" w14:paraId="01E4B85F" w14:textId="77777777">
            <w:pPr>
              <w:rPr>
                <w:rFonts w:ascii="Times New Roman" w:hAnsi="Times New Roman"/>
                <w:sz w:val="22"/>
                <w:szCs w:val="22"/>
              </w:rPr>
            </w:pPr>
          </w:p>
        </w:tc>
      </w:tr>
      <w:tr w14:paraId="04460985" w14:textId="77777777" w:rsidTr="00A759AD">
        <w:tblPrEx>
          <w:tblW w:w="10423" w:type="dxa"/>
          <w:tblCellMar>
            <w:top w:w="15" w:type="dxa"/>
          </w:tblCellMar>
          <w:tblLook w:val="04A0"/>
        </w:tblPrEx>
        <w:trPr>
          <w:trHeight w:val="288"/>
        </w:trPr>
        <w:tc>
          <w:tcPr>
            <w:tcW w:w="10201" w:type="dxa"/>
            <w:gridSpan w:val="9"/>
            <w:vMerge/>
            <w:tcBorders>
              <w:top w:val="single" w:sz="8" w:space="0" w:color="auto"/>
              <w:left w:val="single" w:sz="8" w:space="0" w:color="auto"/>
              <w:bottom w:val="single" w:sz="4" w:space="0" w:color="auto"/>
              <w:right w:val="single" w:sz="8" w:space="0" w:color="000000"/>
            </w:tcBorders>
            <w:vAlign w:val="center"/>
            <w:hideMark/>
          </w:tcPr>
          <w:p w:rsidR="00A759AD" w:rsidRPr="00A759AD" w:rsidP="006D084F" w14:paraId="143282F7" w14:textId="77777777">
            <w:pPr>
              <w:rPr>
                <w:rFonts w:ascii="Times New Roman" w:hAnsi="Times New Roman"/>
                <w:color w:val="000000"/>
                <w:sz w:val="22"/>
                <w:szCs w:val="22"/>
              </w:rPr>
            </w:pPr>
          </w:p>
        </w:tc>
        <w:tc>
          <w:tcPr>
            <w:tcW w:w="222" w:type="dxa"/>
            <w:tcBorders>
              <w:top w:val="nil"/>
              <w:left w:val="nil"/>
              <w:bottom w:val="nil"/>
              <w:right w:val="nil"/>
            </w:tcBorders>
            <w:shd w:val="clear" w:color="auto" w:fill="auto"/>
            <w:noWrap/>
            <w:vAlign w:val="bottom"/>
            <w:hideMark/>
          </w:tcPr>
          <w:p w:rsidR="00A759AD" w:rsidRPr="00A759AD" w:rsidP="006D084F" w14:paraId="70D70775" w14:textId="77777777">
            <w:pPr>
              <w:rPr>
                <w:rFonts w:ascii="Times New Roman" w:hAnsi="Times New Roman"/>
                <w:color w:val="000000"/>
                <w:sz w:val="22"/>
                <w:szCs w:val="22"/>
              </w:rPr>
            </w:pPr>
          </w:p>
        </w:tc>
      </w:tr>
      <w:tr w14:paraId="12DBD474" w14:textId="77777777" w:rsidTr="00A759AD">
        <w:tblPrEx>
          <w:tblW w:w="10423" w:type="dxa"/>
          <w:tblCellMar>
            <w:top w:w="15" w:type="dxa"/>
          </w:tblCellMar>
          <w:tblLook w:val="04A0"/>
        </w:tblPrEx>
        <w:trPr>
          <w:trHeight w:val="288"/>
        </w:trPr>
        <w:tc>
          <w:tcPr>
            <w:tcW w:w="10201" w:type="dxa"/>
            <w:gridSpan w:val="9"/>
            <w:vMerge/>
            <w:tcBorders>
              <w:top w:val="single" w:sz="8" w:space="0" w:color="auto"/>
              <w:left w:val="single" w:sz="8" w:space="0" w:color="auto"/>
              <w:bottom w:val="single" w:sz="4" w:space="0" w:color="auto"/>
              <w:right w:val="single" w:sz="8" w:space="0" w:color="000000"/>
            </w:tcBorders>
            <w:vAlign w:val="center"/>
            <w:hideMark/>
          </w:tcPr>
          <w:p w:rsidR="00A759AD" w:rsidRPr="00A759AD" w:rsidP="006D084F" w14:paraId="0DE7EA18" w14:textId="77777777">
            <w:pPr>
              <w:rPr>
                <w:rFonts w:ascii="Times New Roman" w:hAnsi="Times New Roman"/>
                <w:color w:val="000000"/>
                <w:sz w:val="22"/>
                <w:szCs w:val="22"/>
              </w:rPr>
            </w:pPr>
          </w:p>
        </w:tc>
        <w:tc>
          <w:tcPr>
            <w:tcW w:w="222" w:type="dxa"/>
            <w:tcBorders>
              <w:top w:val="nil"/>
              <w:left w:val="nil"/>
              <w:bottom w:val="nil"/>
              <w:right w:val="nil"/>
            </w:tcBorders>
            <w:shd w:val="clear" w:color="auto" w:fill="auto"/>
            <w:noWrap/>
            <w:vAlign w:val="bottom"/>
            <w:hideMark/>
          </w:tcPr>
          <w:p w:rsidR="00A759AD" w:rsidRPr="00A759AD" w:rsidP="006D084F" w14:paraId="150C45BB" w14:textId="77777777">
            <w:pPr>
              <w:rPr>
                <w:rFonts w:ascii="Times New Roman" w:hAnsi="Times New Roman"/>
                <w:sz w:val="22"/>
                <w:szCs w:val="22"/>
              </w:rPr>
            </w:pPr>
          </w:p>
        </w:tc>
      </w:tr>
      <w:tr w14:paraId="651732D2" w14:textId="77777777" w:rsidTr="00A759AD">
        <w:tblPrEx>
          <w:tblW w:w="10423" w:type="dxa"/>
          <w:tblCellMar>
            <w:top w:w="15" w:type="dxa"/>
          </w:tblCellMar>
          <w:tblLook w:val="04A0"/>
        </w:tblPrEx>
        <w:trPr>
          <w:trHeight w:val="312"/>
        </w:trPr>
        <w:tc>
          <w:tcPr>
            <w:tcW w:w="10201" w:type="dxa"/>
            <w:gridSpan w:val="9"/>
            <w:vMerge/>
            <w:tcBorders>
              <w:top w:val="single" w:sz="8" w:space="0" w:color="auto"/>
              <w:left w:val="single" w:sz="8" w:space="0" w:color="auto"/>
              <w:bottom w:val="single" w:sz="4" w:space="0" w:color="auto"/>
              <w:right w:val="single" w:sz="8" w:space="0" w:color="000000"/>
            </w:tcBorders>
            <w:vAlign w:val="center"/>
            <w:hideMark/>
          </w:tcPr>
          <w:p w:rsidR="00A759AD" w:rsidRPr="00A759AD" w:rsidP="006D084F" w14:paraId="16721E7D" w14:textId="77777777">
            <w:pPr>
              <w:rPr>
                <w:rFonts w:ascii="Times New Roman" w:hAnsi="Times New Roman"/>
                <w:color w:val="000000"/>
                <w:sz w:val="22"/>
                <w:szCs w:val="22"/>
              </w:rPr>
            </w:pPr>
          </w:p>
        </w:tc>
        <w:tc>
          <w:tcPr>
            <w:tcW w:w="222" w:type="dxa"/>
            <w:tcBorders>
              <w:top w:val="nil"/>
              <w:left w:val="nil"/>
              <w:bottom w:val="nil"/>
              <w:right w:val="nil"/>
            </w:tcBorders>
            <w:shd w:val="clear" w:color="auto" w:fill="auto"/>
            <w:noWrap/>
            <w:vAlign w:val="bottom"/>
            <w:hideMark/>
          </w:tcPr>
          <w:p w:rsidR="00A759AD" w:rsidRPr="00A759AD" w:rsidP="006D084F" w14:paraId="33086BAA" w14:textId="77777777">
            <w:pPr>
              <w:rPr>
                <w:rFonts w:ascii="Times New Roman" w:hAnsi="Times New Roman"/>
                <w:sz w:val="22"/>
                <w:szCs w:val="22"/>
              </w:rPr>
            </w:pPr>
          </w:p>
        </w:tc>
      </w:tr>
    </w:tbl>
    <w:p w:rsidR="00A759AD" w14:paraId="38B0D142" w14:textId="1A522BE0">
      <w:pPr>
        <w:widowControl/>
        <w:tabs>
          <w:tab w:val="left" w:pos="480"/>
          <w:tab w:val="left" w:pos="1080"/>
          <w:tab w:val="left" w:pos="1680"/>
        </w:tabs>
        <w:rPr>
          <w:rFonts w:ascii="Times New Roman" w:hAnsi="Times New Roman"/>
        </w:rPr>
      </w:pPr>
    </w:p>
    <w:p w:rsidR="00A759AD" w14:paraId="5D6A01F8" w14:textId="77777777">
      <w:pPr>
        <w:widowControl/>
        <w:rPr>
          <w:rFonts w:ascii="Times New Roman" w:hAnsi="Times New Roman"/>
        </w:rPr>
      </w:pPr>
      <w:r>
        <w:rPr>
          <w:rFonts w:ascii="Times New Roman" w:hAnsi="Times New Roman"/>
        </w:rPr>
        <w:br w:type="page"/>
      </w:r>
    </w:p>
    <w:p w:rsidR="00D2537D" w14:paraId="06E856AF" w14:textId="77777777">
      <w:pPr>
        <w:widowControl/>
        <w:tabs>
          <w:tab w:val="left" w:pos="480"/>
          <w:tab w:val="left" w:pos="1080"/>
          <w:tab w:val="left" w:pos="1680"/>
        </w:tabs>
        <w:rPr>
          <w:rFonts w:ascii="Times New Roman" w:hAnsi="Times New Roman"/>
        </w:rPr>
      </w:pPr>
    </w:p>
    <w:p w:rsidR="00A759AD" w14:paraId="746071DE" w14:textId="77777777">
      <w:pPr>
        <w:widowControl/>
        <w:tabs>
          <w:tab w:val="left" w:pos="480"/>
          <w:tab w:val="left" w:pos="1080"/>
          <w:tab w:val="left" w:pos="1680"/>
        </w:tabs>
        <w:rPr>
          <w:rFonts w:ascii="Times New Roman" w:hAnsi="Times New Roman"/>
        </w:rPr>
      </w:pPr>
    </w:p>
    <w:tbl>
      <w:tblPr>
        <w:tblW w:w="10160" w:type="dxa"/>
        <w:tblLook w:val="04A0"/>
      </w:tblPr>
      <w:tblGrid>
        <w:gridCol w:w="2229"/>
        <w:gridCol w:w="2362"/>
        <w:gridCol w:w="2209"/>
        <w:gridCol w:w="3360"/>
      </w:tblGrid>
      <w:tr w14:paraId="671D6E03" w14:textId="77777777" w:rsidTr="00A759AD">
        <w:tblPrEx>
          <w:tblW w:w="10160" w:type="dxa"/>
          <w:tblLook w:val="04A0"/>
        </w:tblPrEx>
        <w:trPr>
          <w:trHeight w:val="360"/>
        </w:trPr>
        <w:tc>
          <w:tcPr>
            <w:tcW w:w="101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759AD" w:rsidRPr="00A759AD" w:rsidP="006D084F" w14:paraId="79D1224A" w14:textId="00B1501D">
            <w:pPr>
              <w:jc w:val="center"/>
              <w:rPr>
                <w:rFonts w:ascii="Times New Roman" w:hAnsi="Times New Roman"/>
                <w:color w:val="000000"/>
                <w:sz w:val="22"/>
                <w:szCs w:val="22"/>
              </w:rPr>
            </w:pPr>
            <w:r w:rsidRPr="00A759AD">
              <w:rPr>
                <w:rFonts w:ascii="Times New Roman" w:hAnsi="Times New Roman"/>
                <w:color w:val="000000"/>
                <w:sz w:val="22"/>
                <w:szCs w:val="22"/>
              </w:rPr>
              <w:t>Total Estimated Cost Burden (OMB No. 3064-0095)</w:t>
            </w:r>
          </w:p>
        </w:tc>
      </w:tr>
      <w:tr w14:paraId="370B99E1" w14:textId="77777777" w:rsidTr="00A759AD">
        <w:tblPrEx>
          <w:tblW w:w="10160" w:type="dxa"/>
          <w:tblLook w:val="04A0"/>
        </w:tblPrEx>
        <w:trPr>
          <w:trHeight w:val="600"/>
        </w:trPr>
        <w:tc>
          <w:tcPr>
            <w:tcW w:w="2229" w:type="dxa"/>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6F12501D" w14:textId="77777777">
            <w:pPr>
              <w:rPr>
                <w:rFonts w:ascii="Times New Roman" w:hAnsi="Times New Roman"/>
                <w:color w:val="000000"/>
                <w:sz w:val="22"/>
                <w:szCs w:val="22"/>
              </w:rPr>
            </w:pPr>
            <w:r w:rsidRPr="00A759AD">
              <w:rPr>
                <w:rFonts w:ascii="Times New Roman" w:hAnsi="Times New Roman"/>
                <w:color w:val="000000"/>
                <w:sz w:val="22"/>
                <w:szCs w:val="22"/>
              </w:rPr>
              <w:t>Information Collection Request</w:t>
            </w:r>
          </w:p>
        </w:tc>
        <w:tc>
          <w:tcPr>
            <w:tcW w:w="2362" w:type="dxa"/>
            <w:tcBorders>
              <w:top w:val="nil"/>
              <w:left w:val="nil"/>
              <w:bottom w:val="single" w:sz="8" w:space="0" w:color="auto"/>
              <w:right w:val="single" w:sz="8" w:space="0" w:color="auto"/>
            </w:tcBorders>
            <w:shd w:val="clear" w:color="auto" w:fill="auto"/>
            <w:vAlign w:val="center"/>
            <w:hideMark/>
          </w:tcPr>
          <w:p w:rsidR="00A759AD" w:rsidRPr="00A759AD" w:rsidP="006D084F" w14:paraId="2C985F5F" w14:textId="77777777">
            <w:pPr>
              <w:jc w:val="center"/>
              <w:rPr>
                <w:rFonts w:ascii="Times New Roman" w:hAnsi="Times New Roman"/>
                <w:color w:val="000000"/>
                <w:sz w:val="22"/>
                <w:szCs w:val="22"/>
              </w:rPr>
            </w:pPr>
            <w:r w:rsidRPr="00A759AD">
              <w:rPr>
                <w:rFonts w:ascii="Times New Roman" w:hAnsi="Times New Roman"/>
                <w:color w:val="000000"/>
                <w:sz w:val="22"/>
                <w:szCs w:val="22"/>
              </w:rPr>
              <w:t>Annual Burden (Hours)</w:t>
            </w:r>
          </w:p>
        </w:tc>
        <w:tc>
          <w:tcPr>
            <w:tcW w:w="2209" w:type="dxa"/>
            <w:tcBorders>
              <w:top w:val="nil"/>
              <w:left w:val="nil"/>
              <w:bottom w:val="single" w:sz="8" w:space="0" w:color="auto"/>
              <w:right w:val="single" w:sz="8" w:space="0" w:color="auto"/>
            </w:tcBorders>
            <w:shd w:val="clear" w:color="auto" w:fill="auto"/>
            <w:vAlign w:val="center"/>
            <w:hideMark/>
          </w:tcPr>
          <w:p w:rsidR="00A759AD" w:rsidRPr="00A759AD" w:rsidP="006D084F" w14:paraId="6C8F9CA5" w14:textId="77777777">
            <w:pPr>
              <w:jc w:val="center"/>
              <w:rPr>
                <w:rFonts w:ascii="Times New Roman" w:hAnsi="Times New Roman"/>
                <w:color w:val="000000"/>
                <w:sz w:val="22"/>
                <w:szCs w:val="22"/>
              </w:rPr>
            </w:pPr>
            <w:r w:rsidRPr="00A759AD">
              <w:rPr>
                <w:rFonts w:ascii="Times New Roman" w:hAnsi="Times New Roman"/>
                <w:color w:val="000000"/>
                <w:sz w:val="22"/>
                <w:szCs w:val="22"/>
              </w:rPr>
              <w:t>Weighted Average Hourly Compensation Rate</w:t>
            </w:r>
          </w:p>
        </w:tc>
        <w:tc>
          <w:tcPr>
            <w:tcW w:w="3360" w:type="dxa"/>
            <w:tcBorders>
              <w:top w:val="nil"/>
              <w:left w:val="nil"/>
              <w:bottom w:val="single" w:sz="8" w:space="0" w:color="auto"/>
              <w:right w:val="single" w:sz="8" w:space="0" w:color="auto"/>
            </w:tcBorders>
            <w:shd w:val="clear" w:color="auto" w:fill="auto"/>
            <w:vAlign w:val="center"/>
            <w:hideMark/>
          </w:tcPr>
          <w:p w:rsidR="00A759AD" w:rsidRPr="00A759AD" w:rsidP="006D084F" w14:paraId="5C795DAD" w14:textId="77777777">
            <w:pPr>
              <w:jc w:val="center"/>
              <w:rPr>
                <w:rFonts w:ascii="Times New Roman" w:hAnsi="Times New Roman"/>
                <w:color w:val="000000"/>
                <w:sz w:val="22"/>
                <w:szCs w:val="22"/>
              </w:rPr>
            </w:pPr>
            <w:r w:rsidRPr="00A759AD">
              <w:rPr>
                <w:rFonts w:ascii="Times New Roman" w:hAnsi="Times New Roman"/>
                <w:color w:val="000000"/>
                <w:sz w:val="22"/>
                <w:szCs w:val="22"/>
              </w:rPr>
              <w:t>Annual Respondent Cost</w:t>
            </w:r>
          </w:p>
        </w:tc>
      </w:tr>
      <w:tr w14:paraId="2088C638" w14:textId="77777777" w:rsidTr="00A759AD">
        <w:tblPrEx>
          <w:tblW w:w="10160" w:type="dxa"/>
          <w:tblLook w:val="04A0"/>
        </w:tblPrEx>
        <w:trPr>
          <w:trHeight w:val="864"/>
        </w:trPr>
        <w:tc>
          <w:tcPr>
            <w:tcW w:w="2229" w:type="dxa"/>
            <w:tcBorders>
              <w:top w:val="nil"/>
              <w:left w:val="single" w:sz="8" w:space="0" w:color="auto"/>
              <w:bottom w:val="single" w:sz="8" w:space="0" w:color="auto"/>
              <w:right w:val="single" w:sz="8" w:space="0" w:color="auto"/>
            </w:tcBorders>
            <w:shd w:val="clear" w:color="auto" w:fill="auto"/>
            <w:vAlign w:val="center"/>
            <w:hideMark/>
          </w:tcPr>
          <w:p w:rsidR="00A759AD" w:rsidRPr="00A759AD" w:rsidP="006D084F" w14:paraId="531B1305" w14:textId="77777777">
            <w:pPr>
              <w:rPr>
                <w:rFonts w:ascii="Times New Roman" w:hAnsi="Times New Roman"/>
                <w:color w:val="000000"/>
                <w:sz w:val="22"/>
                <w:szCs w:val="22"/>
              </w:rPr>
            </w:pPr>
            <w:r w:rsidRPr="00A759AD">
              <w:rPr>
                <w:rFonts w:ascii="Times New Roman" w:hAnsi="Times New Roman"/>
                <w:color w:val="000000"/>
                <w:sz w:val="22"/>
                <w:szCs w:val="22"/>
              </w:rPr>
              <w:t xml:space="preserve">Procedures for Monitoring Bank Protection Act and Bank Secrecy Act Compliance </w:t>
            </w:r>
          </w:p>
        </w:tc>
        <w:tc>
          <w:tcPr>
            <w:tcW w:w="2362" w:type="dxa"/>
            <w:tcBorders>
              <w:top w:val="nil"/>
              <w:left w:val="nil"/>
              <w:bottom w:val="single" w:sz="8" w:space="0" w:color="auto"/>
              <w:right w:val="single" w:sz="8" w:space="0" w:color="auto"/>
            </w:tcBorders>
            <w:shd w:val="clear" w:color="auto" w:fill="auto"/>
            <w:noWrap/>
            <w:vAlign w:val="center"/>
            <w:hideMark/>
          </w:tcPr>
          <w:p w:rsidR="00A759AD" w:rsidRPr="00A759AD" w:rsidP="006D084F" w14:paraId="50B58F31" w14:textId="77777777">
            <w:pPr>
              <w:ind w:firstLine="440" w:firstLineChars="200"/>
              <w:jc w:val="right"/>
              <w:rPr>
                <w:rFonts w:ascii="Times New Roman" w:hAnsi="Times New Roman"/>
                <w:color w:val="000000"/>
                <w:sz w:val="22"/>
                <w:szCs w:val="22"/>
              </w:rPr>
            </w:pPr>
            <w:r w:rsidRPr="00A759AD">
              <w:rPr>
                <w:rFonts w:ascii="Times New Roman" w:hAnsi="Times New Roman"/>
                <w:color w:val="000000"/>
                <w:sz w:val="22"/>
                <w:szCs w:val="22"/>
              </w:rPr>
              <w:t xml:space="preserve">                          40,780 </w:t>
            </w:r>
          </w:p>
        </w:tc>
        <w:tc>
          <w:tcPr>
            <w:tcW w:w="2209" w:type="dxa"/>
            <w:tcBorders>
              <w:top w:val="nil"/>
              <w:left w:val="nil"/>
              <w:bottom w:val="single" w:sz="8" w:space="0" w:color="auto"/>
              <w:right w:val="single" w:sz="8" w:space="0" w:color="auto"/>
            </w:tcBorders>
            <w:shd w:val="clear" w:color="auto" w:fill="auto"/>
            <w:noWrap/>
            <w:vAlign w:val="center"/>
            <w:hideMark/>
          </w:tcPr>
          <w:p w:rsidR="00A759AD" w:rsidRPr="00A759AD" w:rsidP="006D084F" w14:paraId="6043259D" w14:textId="77777777">
            <w:pPr>
              <w:ind w:firstLine="220" w:firstLineChars="100"/>
              <w:jc w:val="right"/>
              <w:rPr>
                <w:rFonts w:ascii="Times New Roman" w:hAnsi="Times New Roman"/>
                <w:color w:val="000000"/>
                <w:sz w:val="22"/>
                <w:szCs w:val="22"/>
              </w:rPr>
            </w:pPr>
            <w:r w:rsidRPr="00A759AD">
              <w:rPr>
                <w:rFonts w:ascii="Times New Roman" w:hAnsi="Times New Roman"/>
                <w:color w:val="000000"/>
                <w:sz w:val="22"/>
                <w:szCs w:val="22"/>
              </w:rPr>
              <w:t>$44.06</w:t>
            </w:r>
          </w:p>
        </w:tc>
        <w:tc>
          <w:tcPr>
            <w:tcW w:w="3360" w:type="dxa"/>
            <w:tcBorders>
              <w:top w:val="nil"/>
              <w:left w:val="nil"/>
              <w:bottom w:val="single" w:sz="8" w:space="0" w:color="auto"/>
              <w:right w:val="single" w:sz="8" w:space="0" w:color="auto"/>
            </w:tcBorders>
            <w:shd w:val="clear" w:color="auto" w:fill="auto"/>
            <w:noWrap/>
            <w:vAlign w:val="center"/>
            <w:hideMark/>
          </w:tcPr>
          <w:p w:rsidR="00A759AD" w:rsidRPr="00A759AD" w:rsidP="006D084F" w14:paraId="0B06D793" w14:textId="77777777">
            <w:pPr>
              <w:ind w:firstLine="220" w:firstLineChars="100"/>
              <w:jc w:val="right"/>
              <w:rPr>
                <w:rFonts w:ascii="Times New Roman" w:hAnsi="Times New Roman"/>
                <w:color w:val="000000"/>
                <w:sz w:val="22"/>
                <w:szCs w:val="22"/>
              </w:rPr>
            </w:pPr>
            <w:r w:rsidRPr="00A759AD">
              <w:rPr>
                <w:rFonts w:ascii="Times New Roman" w:hAnsi="Times New Roman"/>
                <w:color w:val="000000"/>
                <w:sz w:val="22"/>
                <w:szCs w:val="22"/>
              </w:rPr>
              <w:t>$1,796,767</w:t>
            </w:r>
          </w:p>
        </w:tc>
      </w:tr>
      <w:tr w14:paraId="0316B69F" w14:textId="77777777" w:rsidTr="00A759AD">
        <w:tblPrEx>
          <w:tblW w:w="10160" w:type="dxa"/>
          <w:tblLook w:val="04A0"/>
        </w:tblPrEx>
        <w:trPr>
          <w:trHeight w:val="360"/>
        </w:trPr>
        <w:tc>
          <w:tcPr>
            <w:tcW w:w="6800"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A759AD" w:rsidRPr="00A759AD" w:rsidP="006D084F" w14:paraId="3A292571" w14:textId="77777777">
            <w:pPr>
              <w:jc w:val="right"/>
              <w:rPr>
                <w:rFonts w:ascii="Times New Roman" w:hAnsi="Times New Roman"/>
                <w:b/>
                <w:bCs/>
                <w:i/>
                <w:iCs/>
                <w:color w:val="000000"/>
                <w:sz w:val="22"/>
                <w:szCs w:val="22"/>
              </w:rPr>
            </w:pPr>
            <w:r w:rsidRPr="00A759AD">
              <w:rPr>
                <w:rFonts w:ascii="Times New Roman" w:hAnsi="Times New Roman"/>
                <w:b/>
                <w:bCs/>
                <w:i/>
                <w:iCs/>
                <w:color w:val="000000"/>
                <w:sz w:val="22"/>
                <w:szCs w:val="22"/>
              </w:rPr>
              <w:t>Total Annual Respondent Cost:</w:t>
            </w:r>
          </w:p>
        </w:tc>
        <w:tc>
          <w:tcPr>
            <w:tcW w:w="3360" w:type="dxa"/>
            <w:tcBorders>
              <w:top w:val="nil"/>
              <w:left w:val="nil"/>
              <w:bottom w:val="single" w:sz="8" w:space="0" w:color="auto"/>
              <w:right w:val="single" w:sz="8" w:space="0" w:color="auto"/>
            </w:tcBorders>
            <w:shd w:val="clear" w:color="000000" w:fill="FFFFFF"/>
            <w:vAlign w:val="center"/>
            <w:hideMark/>
          </w:tcPr>
          <w:p w:rsidR="00A759AD" w:rsidRPr="00A759AD" w:rsidP="006D084F" w14:paraId="578E2462" w14:textId="77777777">
            <w:pPr>
              <w:ind w:firstLine="220" w:firstLineChars="100"/>
              <w:jc w:val="right"/>
              <w:rPr>
                <w:rFonts w:ascii="Times New Roman" w:hAnsi="Times New Roman"/>
                <w:b/>
                <w:bCs/>
                <w:i/>
                <w:iCs/>
                <w:color w:val="000000"/>
                <w:sz w:val="22"/>
                <w:szCs w:val="22"/>
              </w:rPr>
            </w:pPr>
            <w:r w:rsidRPr="00A759AD">
              <w:rPr>
                <w:rFonts w:ascii="Times New Roman" w:hAnsi="Times New Roman"/>
                <w:b/>
                <w:bCs/>
                <w:i/>
                <w:iCs/>
                <w:color w:val="000000"/>
                <w:sz w:val="22"/>
                <w:szCs w:val="22"/>
              </w:rPr>
              <w:t xml:space="preserve">$1,796,767 </w:t>
            </w:r>
          </w:p>
        </w:tc>
      </w:tr>
      <w:tr w14:paraId="5D8C92DC" w14:textId="77777777" w:rsidTr="00A759AD">
        <w:tblPrEx>
          <w:tblW w:w="10160" w:type="dxa"/>
          <w:tblLook w:val="04A0"/>
        </w:tblPrEx>
        <w:trPr>
          <w:trHeight w:val="840"/>
        </w:trPr>
        <w:tc>
          <w:tcPr>
            <w:tcW w:w="1016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A759AD" w:rsidRPr="00A759AD" w:rsidP="006D084F" w14:paraId="19689E46" w14:textId="77777777">
            <w:pPr>
              <w:rPr>
                <w:rFonts w:ascii="Times New Roman" w:hAnsi="Times New Roman"/>
                <w:color w:val="000000"/>
                <w:sz w:val="22"/>
                <w:szCs w:val="22"/>
              </w:rPr>
            </w:pPr>
            <w:r w:rsidRPr="00A759AD">
              <w:rPr>
                <w:rFonts w:ascii="Times New Roman" w:hAnsi="Times New Roman"/>
                <w:color w:val="000000"/>
                <w:sz w:val="22"/>
                <w:szCs w:val="22"/>
              </w:rPr>
              <w:t>Source: FDIC.</w:t>
            </w:r>
          </w:p>
        </w:tc>
      </w:tr>
    </w:tbl>
    <w:p w:rsidR="007B6861" w14:paraId="20406DD2" w14:textId="77777777">
      <w:pPr>
        <w:widowControl/>
        <w:tabs>
          <w:tab w:val="left" w:pos="480"/>
          <w:tab w:val="left" w:pos="1080"/>
          <w:tab w:val="left" w:pos="1680"/>
        </w:tabs>
        <w:rPr>
          <w:rFonts w:ascii="Times New Roman" w:hAnsi="Times New Roman"/>
        </w:rPr>
      </w:pPr>
    </w:p>
    <w:p w:rsidR="00A759AD" w14:paraId="043F6A92" w14:textId="77777777">
      <w:pPr>
        <w:widowControl/>
        <w:tabs>
          <w:tab w:val="left" w:pos="480"/>
          <w:tab w:val="left" w:pos="1080"/>
          <w:tab w:val="left" w:pos="1680"/>
        </w:tabs>
        <w:rPr>
          <w:rFonts w:ascii="Times New Roman" w:hAnsi="Times New Roman"/>
        </w:rPr>
      </w:pPr>
    </w:p>
    <w:p w:rsidR="00A759AD" w14:paraId="52FCF6EC" w14:textId="77777777">
      <w:pPr>
        <w:widowControl/>
        <w:tabs>
          <w:tab w:val="left" w:pos="480"/>
          <w:tab w:val="left" w:pos="1080"/>
          <w:tab w:val="left" w:pos="1680"/>
        </w:tabs>
        <w:rPr>
          <w:rFonts w:ascii="Times New Roman" w:hAnsi="Times New Roman"/>
        </w:rPr>
      </w:pPr>
    </w:p>
    <w:p w:rsidR="00455BF0" w:rsidP="007F027C" w14:paraId="62C1D1F3" w14:textId="5E269842">
      <w:pPr>
        <w:widowControl/>
        <w:tabs>
          <w:tab w:val="left" w:pos="480"/>
          <w:tab w:val="left" w:pos="1080"/>
          <w:tab w:val="left" w:pos="1680"/>
        </w:tabs>
        <w:ind w:left="1080" w:hanging="600"/>
        <w:rPr>
          <w:rFonts w:ascii="Times New Roman" w:hAnsi="Times New Roman"/>
        </w:rPr>
      </w:pPr>
      <w:r>
        <w:rPr>
          <w:rFonts w:ascii="Times New Roman" w:hAnsi="Times New Roman"/>
        </w:rPr>
        <w:t>13.</w:t>
      </w:r>
      <w:r>
        <w:rPr>
          <w:rFonts w:ascii="Times New Roman" w:hAnsi="Times New Roman"/>
        </w:rPr>
        <w:tab/>
      </w:r>
      <w:r w:rsidRPr="00AD7D87" w:rsidR="007F027C">
        <w:rPr>
          <w:rFonts w:ascii="Times New Roman" w:hAnsi="Times New Roman"/>
          <w:u w:val="single"/>
        </w:rPr>
        <w:t>Capital, Start-up, Operating, and Maintenance Estimate of Start-up Costs to Respondents</w:t>
      </w:r>
      <w:r w:rsidR="00542AB7">
        <w:rPr>
          <w:rFonts w:ascii="Times New Roman" w:hAnsi="Times New Roman"/>
          <w:u w:val="single"/>
        </w:rPr>
        <w:t>:</w:t>
      </w:r>
    </w:p>
    <w:p w:rsidR="00455BF0" w14:paraId="40A04E1D" w14:textId="77777777">
      <w:pPr>
        <w:widowControl/>
        <w:tabs>
          <w:tab w:val="left" w:pos="480"/>
          <w:tab w:val="left" w:pos="1080"/>
          <w:tab w:val="left" w:pos="1680"/>
        </w:tabs>
        <w:rPr>
          <w:rFonts w:ascii="Times New Roman" w:hAnsi="Times New Roman"/>
        </w:rPr>
      </w:pPr>
      <w:r>
        <w:rPr>
          <w:rFonts w:ascii="Times New Roman" w:hAnsi="Times New Roman"/>
        </w:rPr>
        <w:t xml:space="preserve"> </w:t>
      </w:r>
    </w:p>
    <w:p w:rsidR="00455BF0" w:rsidP="007F027C" w14:paraId="60E18B85" w14:textId="77777777">
      <w:pPr>
        <w:widowControl/>
        <w:tabs>
          <w:tab w:val="left" w:pos="480"/>
          <w:tab w:val="left" w:pos="1080"/>
          <w:tab w:val="left" w:pos="1680"/>
        </w:tabs>
        <w:ind w:left="1080" w:firstLine="360"/>
        <w:rPr>
          <w:rFonts w:ascii="Times New Roman" w:hAnsi="Times New Roman"/>
        </w:rPr>
      </w:pPr>
      <w:r>
        <w:rPr>
          <w:rFonts w:ascii="Times New Roman" w:hAnsi="Times New Roman"/>
        </w:rPr>
        <w:t>None.</w:t>
      </w:r>
    </w:p>
    <w:p w:rsidR="00455BF0" w14:paraId="47B2571D" w14:textId="77777777">
      <w:pPr>
        <w:widowControl/>
        <w:tabs>
          <w:tab w:val="left" w:pos="480"/>
          <w:tab w:val="left" w:pos="1080"/>
          <w:tab w:val="left" w:pos="1680"/>
        </w:tabs>
        <w:ind w:left="480"/>
        <w:rPr>
          <w:rFonts w:ascii="Times New Roman" w:hAnsi="Times New Roman"/>
        </w:rPr>
      </w:pPr>
    </w:p>
    <w:p w:rsidR="00455BF0" w14:paraId="1FC4DFA9" w14:textId="62B09034">
      <w:pPr>
        <w:widowControl/>
        <w:tabs>
          <w:tab w:val="left" w:pos="480"/>
          <w:tab w:val="left" w:pos="1080"/>
          <w:tab w:val="left" w:pos="1680"/>
        </w:tabs>
        <w:ind w:left="480"/>
        <w:rPr>
          <w:rFonts w:ascii="Times New Roman" w:hAnsi="Times New Roman"/>
        </w:rPr>
      </w:pPr>
      <w:r>
        <w:rPr>
          <w:rFonts w:ascii="Times New Roman" w:hAnsi="Times New Roman"/>
        </w:rPr>
        <w:t>14.</w:t>
      </w:r>
      <w:r>
        <w:rPr>
          <w:rFonts w:ascii="Times New Roman" w:hAnsi="Times New Roman"/>
        </w:rPr>
        <w:tab/>
      </w:r>
      <w:r>
        <w:rPr>
          <w:rFonts w:ascii="Times New Roman" w:hAnsi="Times New Roman"/>
          <w:u w:val="single"/>
        </w:rPr>
        <w:t>Estimated Annual Cost to</w:t>
      </w:r>
      <w:r w:rsidR="00542AB7">
        <w:rPr>
          <w:rFonts w:ascii="Times New Roman" w:hAnsi="Times New Roman"/>
          <w:u w:val="single"/>
        </w:rPr>
        <w:t xml:space="preserve"> the</w:t>
      </w:r>
      <w:r>
        <w:rPr>
          <w:rFonts w:ascii="Times New Roman" w:hAnsi="Times New Roman"/>
          <w:u w:val="single"/>
        </w:rPr>
        <w:t xml:space="preserve"> Federal Government</w:t>
      </w:r>
      <w:r w:rsidR="00542AB7">
        <w:rPr>
          <w:rFonts w:ascii="Times New Roman" w:hAnsi="Times New Roman"/>
          <w:u w:val="single"/>
        </w:rPr>
        <w:t>:</w:t>
      </w:r>
      <w:r>
        <w:rPr>
          <w:rFonts w:ascii="Times New Roman" w:hAnsi="Times New Roman"/>
        </w:rPr>
        <w:t xml:space="preserve"> </w:t>
      </w:r>
    </w:p>
    <w:p w:rsidR="00455BF0" w14:paraId="5EC50DFD" w14:textId="77777777">
      <w:pPr>
        <w:widowControl/>
        <w:tabs>
          <w:tab w:val="left" w:pos="480"/>
          <w:tab w:val="left" w:pos="1080"/>
          <w:tab w:val="left" w:pos="1680"/>
        </w:tabs>
        <w:rPr>
          <w:rFonts w:ascii="Times New Roman" w:hAnsi="Times New Roman"/>
        </w:rPr>
      </w:pPr>
    </w:p>
    <w:p w:rsidR="00455BF0" w:rsidP="007F027C" w14:paraId="48B69A92" w14:textId="0821CD0B">
      <w:pPr>
        <w:widowControl/>
        <w:tabs>
          <w:tab w:val="left" w:pos="480"/>
          <w:tab w:val="left" w:pos="1440"/>
          <w:tab w:val="left" w:pos="1680"/>
        </w:tabs>
        <w:rPr>
          <w:rFonts w:ascii="Times New Roman" w:hAnsi="Times New Roman"/>
        </w:rPr>
      </w:pPr>
      <w:r>
        <w:rPr>
          <w:rFonts w:ascii="Times New Roman" w:hAnsi="Times New Roman"/>
        </w:rPr>
        <w:tab/>
      </w:r>
      <w:r>
        <w:rPr>
          <w:rFonts w:ascii="Times New Roman" w:hAnsi="Times New Roman"/>
        </w:rPr>
        <w:tab/>
        <w:t>None.</w:t>
      </w:r>
    </w:p>
    <w:p w:rsidR="00455BF0" w14:paraId="2054AFF4" w14:textId="77777777">
      <w:pPr>
        <w:widowControl/>
        <w:tabs>
          <w:tab w:val="left" w:pos="480"/>
          <w:tab w:val="left" w:pos="1080"/>
          <w:tab w:val="left" w:pos="1680"/>
        </w:tabs>
        <w:rPr>
          <w:rFonts w:ascii="Times New Roman" w:hAnsi="Times New Roman"/>
        </w:rPr>
      </w:pPr>
    </w:p>
    <w:p w:rsidR="00455BF0" w14:paraId="6BEEE01B" w14:textId="72CC5A94">
      <w:pPr>
        <w:widowControl/>
        <w:tabs>
          <w:tab w:val="left" w:pos="480"/>
          <w:tab w:val="left" w:pos="1080"/>
          <w:tab w:val="left" w:pos="1680"/>
        </w:tabs>
        <w:ind w:firstLine="480"/>
        <w:rPr>
          <w:rFonts w:ascii="Times New Roman" w:hAnsi="Times New Roman"/>
        </w:rPr>
      </w:pPr>
      <w:r>
        <w:rPr>
          <w:rFonts w:ascii="Times New Roman" w:hAnsi="Times New Roman"/>
        </w:rPr>
        <w:t>15.</w:t>
      </w:r>
      <w:r>
        <w:rPr>
          <w:rFonts w:ascii="Times New Roman" w:hAnsi="Times New Roman"/>
        </w:rPr>
        <w:tab/>
      </w:r>
      <w:r w:rsidRPr="009234BE" w:rsidR="00113D01">
        <w:rPr>
          <w:rFonts w:ascii="Times New Roman" w:hAnsi="Times New Roman"/>
          <w:u w:val="single"/>
        </w:rPr>
        <w:t xml:space="preserve">Analysis of </w:t>
      </w:r>
      <w:r w:rsidR="00113D01">
        <w:rPr>
          <w:rFonts w:ascii="Times New Roman" w:hAnsi="Times New Roman"/>
          <w:u w:val="single"/>
        </w:rPr>
        <w:t>C</w:t>
      </w:r>
      <w:r w:rsidRPr="009234BE" w:rsidR="00113D01">
        <w:rPr>
          <w:rFonts w:ascii="Times New Roman" w:hAnsi="Times New Roman"/>
          <w:u w:val="single"/>
        </w:rPr>
        <w:t xml:space="preserve">hange in </w:t>
      </w:r>
      <w:r w:rsidR="00113D01">
        <w:rPr>
          <w:rFonts w:ascii="Times New Roman" w:hAnsi="Times New Roman"/>
          <w:u w:val="single"/>
        </w:rPr>
        <w:t>B</w:t>
      </w:r>
      <w:r w:rsidRPr="009234BE" w:rsidR="00113D01">
        <w:rPr>
          <w:rFonts w:ascii="Times New Roman" w:hAnsi="Times New Roman"/>
          <w:u w:val="single"/>
        </w:rPr>
        <w:t>urden</w:t>
      </w:r>
      <w:r w:rsidR="00113D01">
        <w:rPr>
          <w:rFonts w:ascii="Times New Roman" w:hAnsi="Times New Roman"/>
          <w:u w:val="single"/>
        </w:rPr>
        <w:t>:</w:t>
      </w:r>
      <w:r>
        <w:rPr>
          <w:rFonts w:ascii="Times New Roman" w:hAnsi="Times New Roman"/>
          <w:u w:val="single"/>
        </w:rPr>
        <w:t xml:space="preserve"> </w:t>
      </w:r>
    </w:p>
    <w:p w:rsidR="00455BF0" w14:paraId="46185C0D" w14:textId="77777777">
      <w:pPr>
        <w:widowControl/>
        <w:tabs>
          <w:tab w:val="left" w:pos="480"/>
          <w:tab w:val="left" w:pos="1080"/>
          <w:tab w:val="left" w:pos="1680"/>
        </w:tabs>
        <w:rPr>
          <w:rFonts w:ascii="Times New Roman" w:hAnsi="Times New Roman"/>
        </w:rPr>
      </w:pPr>
    </w:p>
    <w:p w:rsidR="007C5AAA" w:rsidP="00B60A25" w14:paraId="0678F160" w14:textId="628B385E">
      <w:pPr>
        <w:widowControl/>
        <w:tabs>
          <w:tab w:val="left" w:pos="480"/>
          <w:tab w:val="left" w:pos="1080"/>
          <w:tab w:val="left" w:pos="1680"/>
        </w:tabs>
        <w:ind w:left="1440"/>
        <w:rPr>
          <w:rFonts w:ascii="Times New Roman" w:hAnsi="Times New Roman"/>
        </w:rPr>
      </w:pPr>
      <w:r>
        <w:rPr>
          <w:rFonts w:ascii="Times New Roman" w:hAnsi="Times New Roman"/>
        </w:rPr>
        <w:t xml:space="preserve">IC1 covers the implementation burden imposed by Part 326, subpart A and is only incurred by respondents who must develop a written security program to comply with the BPA.  IC1 </w:t>
      </w:r>
      <w:r w:rsidR="00B967B7">
        <w:rPr>
          <w:rFonts w:ascii="Times New Roman" w:hAnsi="Times New Roman"/>
        </w:rPr>
        <w:t>repre</w:t>
      </w:r>
      <w:r>
        <w:rPr>
          <w:rFonts w:ascii="Times New Roman" w:hAnsi="Times New Roman"/>
        </w:rPr>
        <w:t>s</w:t>
      </w:r>
      <w:r w:rsidR="00B967B7">
        <w:rPr>
          <w:rFonts w:ascii="Times New Roman" w:hAnsi="Times New Roman"/>
        </w:rPr>
        <w:t>ents</w:t>
      </w:r>
      <w:r>
        <w:rPr>
          <w:rFonts w:ascii="Times New Roman" w:hAnsi="Times New Roman"/>
        </w:rPr>
        <w:t xml:space="preserve"> the burden previously contained in</w:t>
      </w:r>
      <w:r w:rsidR="00B967B7">
        <w:rPr>
          <w:rFonts w:ascii="Times New Roman" w:hAnsi="Times New Roman"/>
        </w:rPr>
        <w:t xml:space="preserve"> the</w:t>
      </w:r>
      <w:r>
        <w:rPr>
          <w:rFonts w:ascii="Times New Roman" w:hAnsi="Times New Roman"/>
        </w:rPr>
        <w:t xml:space="preserve"> </w:t>
      </w:r>
      <w:r w:rsidRPr="007C5AAA">
        <w:rPr>
          <w:rFonts w:ascii="Times New Roman" w:hAnsi="Times New Roman"/>
        </w:rPr>
        <w:t>ICs titled “Bank Protection Act Compliance Program – Small Institutions,” “Bank Protection Act Compliance – Medium Institutions,” and “Bank Protection Act Compliance – Large Institutions” from the 2022 ICR</w:t>
      </w:r>
      <w:r>
        <w:rPr>
          <w:rFonts w:ascii="Times New Roman" w:hAnsi="Times New Roman"/>
        </w:rPr>
        <w:t>.  The change in burden is explained by an estimated decline in respondents.</w:t>
      </w:r>
    </w:p>
    <w:p w:rsidR="007C5AAA" w:rsidP="00B60A25" w14:paraId="254E79EF" w14:textId="77777777">
      <w:pPr>
        <w:widowControl/>
        <w:tabs>
          <w:tab w:val="left" w:pos="480"/>
          <w:tab w:val="left" w:pos="1080"/>
          <w:tab w:val="left" w:pos="1680"/>
        </w:tabs>
        <w:ind w:left="1440"/>
        <w:rPr>
          <w:rFonts w:ascii="Times New Roman" w:hAnsi="Times New Roman"/>
        </w:rPr>
      </w:pPr>
    </w:p>
    <w:p w:rsidR="00B967B7" w:rsidP="007C5AAA" w14:paraId="450A548E" w14:textId="77777777">
      <w:pPr>
        <w:widowControl/>
        <w:tabs>
          <w:tab w:val="left" w:pos="480"/>
          <w:tab w:val="left" w:pos="1080"/>
          <w:tab w:val="left" w:pos="1680"/>
        </w:tabs>
        <w:ind w:left="1440"/>
        <w:rPr>
          <w:rFonts w:ascii="Times New Roman" w:hAnsi="Times New Roman"/>
        </w:rPr>
      </w:pPr>
      <w:r>
        <w:rPr>
          <w:rFonts w:ascii="Times New Roman" w:hAnsi="Times New Roman"/>
        </w:rPr>
        <w:t>IC2 covers the ongoing burden imposed by Part 326, subpart A</w:t>
      </w:r>
      <w:r>
        <w:rPr>
          <w:rFonts w:ascii="Times New Roman" w:hAnsi="Times New Roman"/>
        </w:rPr>
        <w:t xml:space="preserve"> on all FDIC-supervised institutions who must continually maintain a BPA-compliant security program.  IC2 represents the burden previously contained in the ICs titled </w:t>
      </w:r>
      <w:r w:rsidRPr="00B967B7">
        <w:rPr>
          <w:rFonts w:ascii="Times New Roman" w:hAnsi="Times New Roman"/>
        </w:rPr>
        <w:t>“Bank Protection Act Compliance – Routine Revisions” and “Bank Protection Act Compliance – Significant Revisions</w:t>
      </w:r>
      <w:r>
        <w:rPr>
          <w:rFonts w:ascii="Times New Roman" w:hAnsi="Times New Roman"/>
        </w:rPr>
        <w:t>” from the 2022 ICR.  The decline in burden for IC2 is due to the decline in the number of FDIC-supervised institutions.</w:t>
      </w:r>
    </w:p>
    <w:p w:rsidR="00B967B7" w:rsidP="007C5AAA" w14:paraId="09F907B8" w14:textId="77777777">
      <w:pPr>
        <w:widowControl/>
        <w:tabs>
          <w:tab w:val="left" w:pos="480"/>
          <w:tab w:val="left" w:pos="1080"/>
          <w:tab w:val="left" w:pos="1680"/>
        </w:tabs>
        <w:ind w:left="1440"/>
        <w:rPr>
          <w:rFonts w:ascii="Times New Roman" w:hAnsi="Times New Roman"/>
        </w:rPr>
      </w:pPr>
    </w:p>
    <w:p w:rsidR="00B967B7" w:rsidP="007C5AAA" w14:paraId="390661BF" w14:textId="58730881">
      <w:pPr>
        <w:widowControl/>
        <w:tabs>
          <w:tab w:val="left" w:pos="480"/>
          <w:tab w:val="left" w:pos="1080"/>
          <w:tab w:val="left" w:pos="1680"/>
        </w:tabs>
        <w:ind w:left="1440"/>
        <w:rPr>
          <w:rFonts w:ascii="Times New Roman" w:hAnsi="Times New Roman"/>
        </w:rPr>
      </w:pPr>
      <w:r>
        <w:rPr>
          <w:rFonts w:ascii="Times New Roman" w:hAnsi="Times New Roman"/>
        </w:rPr>
        <w:t xml:space="preserve">IC3 </w:t>
      </w:r>
      <w:r w:rsidRPr="00B967B7">
        <w:rPr>
          <w:rFonts w:ascii="Times New Roman" w:hAnsi="Times New Roman"/>
        </w:rPr>
        <w:t>covers</w:t>
      </w:r>
      <w:r>
        <w:rPr>
          <w:rFonts w:ascii="Times New Roman" w:hAnsi="Times New Roman"/>
        </w:rPr>
        <w:t xml:space="preserve"> the</w:t>
      </w:r>
      <w:r w:rsidRPr="00B967B7">
        <w:rPr>
          <w:rFonts w:ascii="Times New Roman" w:hAnsi="Times New Roman"/>
        </w:rPr>
        <w:t xml:space="preserve"> implementation burden imposed by sections 326.8(b)(1) and (c) on FDIC-supervised IDIs.</w:t>
      </w:r>
      <w:r>
        <w:rPr>
          <w:rFonts w:ascii="Times New Roman" w:hAnsi="Times New Roman"/>
        </w:rPr>
        <w:t xml:space="preserve">  The information collections in the 2023 ICR (OMB No. </w:t>
      </w:r>
      <w:r>
        <w:rPr>
          <w:rFonts w:ascii="Times New Roman" w:hAnsi="Times New Roman"/>
        </w:rPr>
        <w:t xml:space="preserve">3064-0087) </w:t>
      </w:r>
      <w:r w:rsidRPr="00B967B7">
        <w:rPr>
          <w:rFonts w:ascii="Times New Roman" w:hAnsi="Times New Roman"/>
        </w:rPr>
        <w:t xml:space="preserve">did not distinguish between implementation burden and ongoing burden and counted all FDIC-supervised IDIs as respondents, so there is no </w:t>
      </w:r>
      <w:r>
        <w:rPr>
          <w:rFonts w:ascii="Times New Roman" w:hAnsi="Times New Roman"/>
        </w:rPr>
        <w:t>comparable burden</w:t>
      </w:r>
      <w:r w:rsidRPr="00B967B7">
        <w:rPr>
          <w:rFonts w:ascii="Times New Roman" w:hAnsi="Times New Roman"/>
        </w:rPr>
        <w:t xml:space="preserve"> estimate </w:t>
      </w:r>
      <w:r>
        <w:rPr>
          <w:rFonts w:ascii="Times New Roman" w:hAnsi="Times New Roman"/>
        </w:rPr>
        <w:t xml:space="preserve">from the 2023 ICR. </w:t>
      </w:r>
    </w:p>
    <w:p w:rsidR="00B967B7" w:rsidP="007C5AAA" w14:paraId="15FF50E2" w14:textId="77777777">
      <w:pPr>
        <w:widowControl/>
        <w:tabs>
          <w:tab w:val="left" w:pos="480"/>
          <w:tab w:val="left" w:pos="1080"/>
          <w:tab w:val="left" w:pos="1680"/>
        </w:tabs>
        <w:ind w:left="1440"/>
        <w:rPr>
          <w:rFonts w:ascii="Times New Roman" w:hAnsi="Times New Roman"/>
        </w:rPr>
      </w:pPr>
    </w:p>
    <w:p w:rsidR="00B967B7" w:rsidP="00A86270" w14:paraId="5786E308" w14:textId="5BD84884">
      <w:pPr>
        <w:widowControl/>
        <w:tabs>
          <w:tab w:val="left" w:pos="480"/>
          <w:tab w:val="left" w:pos="1080"/>
          <w:tab w:val="left" w:pos="1680"/>
        </w:tabs>
        <w:ind w:left="1440"/>
        <w:rPr>
          <w:rFonts w:ascii="Times New Roman" w:hAnsi="Times New Roman"/>
        </w:rPr>
      </w:pPr>
      <w:r>
        <w:rPr>
          <w:rFonts w:ascii="Times New Roman" w:hAnsi="Times New Roman"/>
        </w:rPr>
        <w:t xml:space="preserve">IC4 </w:t>
      </w:r>
      <w:r w:rsidRPr="00A86270" w:rsidR="00A86270">
        <w:rPr>
          <w:rFonts w:ascii="Times New Roman" w:hAnsi="Times New Roman"/>
        </w:rPr>
        <w:t xml:space="preserve">covers </w:t>
      </w:r>
      <w:r w:rsidRPr="00A86270" w:rsidR="00A86270">
        <w:rPr>
          <w:rFonts w:ascii="Times New Roman" w:hAnsi="Times New Roman"/>
        </w:rPr>
        <w:t>ongoing</w:t>
      </w:r>
      <w:r w:rsidRPr="00A86270" w:rsidR="00A86270">
        <w:rPr>
          <w:rFonts w:ascii="Times New Roman" w:hAnsi="Times New Roman"/>
        </w:rPr>
        <w:t xml:space="preserve"> burden imposed by sections 326.8(b)(1) and (c) on FDIC-supervised </w:t>
      </w:r>
      <w:r w:rsidR="00A86270">
        <w:rPr>
          <w:rFonts w:ascii="Times New Roman" w:hAnsi="Times New Roman"/>
        </w:rPr>
        <w:t xml:space="preserve">institutions.  IC3 represents the burden previously contained in the ICs titled </w:t>
      </w:r>
      <w:r w:rsidRPr="00A86270" w:rsidR="00A86270">
        <w:rPr>
          <w:rFonts w:ascii="Times New Roman" w:hAnsi="Times New Roman"/>
        </w:rPr>
        <w:t>Procedures for Monitoring BSA Compliance Small Institutions,” “Procedures for Monitoring BSA Compliance Medium Institutions,” and “Procedures for Monitoring BSA Compliance Large Institutions”</w:t>
      </w:r>
      <w:r w:rsidR="00A86270">
        <w:rPr>
          <w:rFonts w:ascii="Times New Roman" w:hAnsi="Times New Roman"/>
        </w:rPr>
        <w:t xml:space="preserve"> from the 2023 ICR.  The decline in burden for IC4 is due to the decline in the number of FDIC-supervised institutions.</w:t>
      </w:r>
    </w:p>
    <w:p w:rsidR="00B967B7" w:rsidP="007C5AAA" w14:paraId="5B098BE4" w14:textId="77777777">
      <w:pPr>
        <w:widowControl/>
        <w:tabs>
          <w:tab w:val="left" w:pos="480"/>
          <w:tab w:val="left" w:pos="1080"/>
          <w:tab w:val="left" w:pos="1680"/>
        </w:tabs>
        <w:ind w:left="1440"/>
        <w:rPr>
          <w:rFonts w:ascii="Times New Roman" w:hAnsi="Times New Roman"/>
        </w:rPr>
      </w:pPr>
    </w:p>
    <w:p w:rsidR="00455BF0" w:rsidP="00482373" w14:paraId="7A5F20F4" w14:textId="5994D2EE">
      <w:pPr>
        <w:widowControl/>
        <w:tabs>
          <w:tab w:val="left" w:pos="480"/>
          <w:tab w:val="left" w:pos="1080"/>
          <w:tab w:val="left" w:pos="1680"/>
        </w:tabs>
        <w:ind w:left="1080" w:hanging="600"/>
        <w:rPr>
          <w:rFonts w:ascii="Times New Roman" w:hAnsi="Times New Roman"/>
        </w:rPr>
      </w:pPr>
      <w:r>
        <w:rPr>
          <w:rFonts w:ascii="Times New Roman" w:hAnsi="Times New Roman"/>
        </w:rPr>
        <w:t>16.</w:t>
      </w:r>
      <w:r>
        <w:rPr>
          <w:rFonts w:ascii="Times New Roman" w:hAnsi="Times New Roman"/>
        </w:rPr>
        <w:tab/>
      </w:r>
      <w:r w:rsidRPr="00366534" w:rsidR="00482373">
        <w:rPr>
          <w:rFonts w:ascii="Times New Roman" w:hAnsi="Times New Roman"/>
          <w:u w:val="single"/>
        </w:rPr>
        <w:t>Information regarding collections whose results are planned to be published for statistical use</w:t>
      </w:r>
      <w:r w:rsidR="00970DEF">
        <w:rPr>
          <w:rFonts w:ascii="Times New Roman" w:hAnsi="Times New Roman"/>
          <w:u w:val="single"/>
        </w:rPr>
        <w:t>:</w:t>
      </w:r>
    </w:p>
    <w:p w:rsidR="00455BF0" w14:paraId="2E802B73" w14:textId="77777777">
      <w:pPr>
        <w:widowControl/>
        <w:tabs>
          <w:tab w:val="left" w:pos="480"/>
          <w:tab w:val="left" w:pos="1080"/>
          <w:tab w:val="left" w:pos="1680"/>
        </w:tabs>
        <w:rPr>
          <w:rFonts w:ascii="Times New Roman" w:hAnsi="Times New Roman"/>
        </w:rPr>
      </w:pPr>
    </w:p>
    <w:p w:rsidR="00455BF0" w:rsidP="00482373" w14:paraId="060FA988" w14:textId="77777777">
      <w:pPr>
        <w:widowControl/>
        <w:tabs>
          <w:tab w:val="left" w:pos="480"/>
          <w:tab w:val="left" w:pos="1680"/>
        </w:tabs>
        <w:ind w:left="1440"/>
        <w:rPr>
          <w:rFonts w:ascii="Times New Roman" w:hAnsi="Times New Roman"/>
        </w:rPr>
      </w:pPr>
      <w:r>
        <w:rPr>
          <w:rFonts w:ascii="Times New Roman" w:hAnsi="Times New Roman"/>
        </w:rPr>
        <w:t>The information is retained at the bank for review by FDIC examiners to verify compliance with regulatory requirements.  No publication is made of the records.</w:t>
      </w:r>
    </w:p>
    <w:p w:rsidR="00455BF0" w14:paraId="21E77636" w14:textId="77777777">
      <w:pPr>
        <w:widowControl/>
        <w:tabs>
          <w:tab w:val="left" w:pos="480"/>
          <w:tab w:val="left" w:pos="1080"/>
          <w:tab w:val="left" w:pos="1680"/>
        </w:tabs>
        <w:ind w:left="480"/>
        <w:rPr>
          <w:rFonts w:ascii="Times New Roman" w:hAnsi="Times New Roman"/>
        </w:rPr>
      </w:pPr>
    </w:p>
    <w:p w:rsidR="00455BF0" w14:paraId="47AECB1C" w14:textId="384F69A6">
      <w:pPr>
        <w:widowControl/>
        <w:tabs>
          <w:tab w:val="left" w:pos="480"/>
          <w:tab w:val="left" w:pos="1080"/>
          <w:tab w:val="left" w:pos="1680"/>
        </w:tabs>
        <w:ind w:left="480"/>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Display of Expiration Date</w:t>
      </w:r>
      <w:r w:rsidR="00970DEF">
        <w:rPr>
          <w:rFonts w:ascii="Times New Roman" w:hAnsi="Times New Roman"/>
          <w:u w:val="single"/>
        </w:rPr>
        <w:t>:</w:t>
      </w:r>
      <w:r>
        <w:rPr>
          <w:rFonts w:ascii="Times New Roman" w:hAnsi="Times New Roman"/>
        </w:rPr>
        <w:t xml:space="preserve"> </w:t>
      </w:r>
    </w:p>
    <w:p w:rsidR="00455BF0" w14:paraId="17B2D4AE" w14:textId="77777777">
      <w:pPr>
        <w:widowControl/>
        <w:tabs>
          <w:tab w:val="left" w:pos="480"/>
          <w:tab w:val="left" w:pos="1080"/>
          <w:tab w:val="left" w:pos="1680"/>
        </w:tabs>
        <w:rPr>
          <w:rFonts w:ascii="Times New Roman" w:hAnsi="Times New Roman"/>
        </w:rPr>
      </w:pPr>
    </w:p>
    <w:p w:rsidR="00455BF0" w:rsidP="00970DEF" w14:paraId="4295D314" w14:textId="77777777">
      <w:pPr>
        <w:widowControl/>
        <w:tabs>
          <w:tab w:val="left" w:pos="480"/>
          <w:tab w:val="left" w:pos="1080"/>
          <w:tab w:val="left" w:pos="1680"/>
        </w:tabs>
        <w:ind w:left="1080" w:firstLine="360"/>
        <w:rPr>
          <w:rFonts w:ascii="Times New Roman" w:hAnsi="Times New Roman"/>
        </w:rPr>
      </w:pPr>
      <w:r>
        <w:rPr>
          <w:rFonts w:ascii="Times New Roman" w:hAnsi="Times New Roman"/>
        </w:rPr>
        <w:t>Not applicable.</w:t>
      </w:r>
    </w:p>
    <w:p w:rsidR="00455BF0" w14:paraId="08CF8521" w14:textId="77777777">
      <w:pPr>
        <w:widowControl/>
        <w:tabs>
          <w:tab w:val="left" w:pos="480"/>
          <w:tab w:val="left" w:pos="1080"/>
          <w:tab w:val="left" w:pos="1680"/>
        </w:tabs>
        <w:rPr>
          <w:rFonts w:ascii="Times New Roman" w:hAnsi="Times New Roman"/>
        </w:rPr>
      </w:pPr>
    </w:p>
    <w:p w:rsidR="00455BF0" w14:paraId="1C32F4D1" w14:textId="77777777">
      <w:pPr>
        <w:widowControl/>
        <w:tabs>
          <w:tab w:val="left" w:pos="480"/>
          <w:tab w:val="left" w:pos="1080"/>
          <w:tab w:val="left" w:pos="1680"/>
        </w:tabs>
        <w:ind w:left="480"/>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Exceptions to Certification</w:t>
      </w:r>
      <w:r>
        <w:rPr>
          <w:rFonts w:ascii="Times New Roman" w:hAnsi="Times New Roman"/>
        </w:rPr>
        <w:t xml:space="preserve">  </w:t>
      </w:r>
    </w:p>
    <w:p w:rsidR="00455BF0" w14:paraId="69E6C7BF" w14:textId="77777777">
      <w:pPr>
        <w:widowControl/>
        <w:tabs>
          <w:tab w:val="left" w:pos="480"/>
          <w:tab w:val="left" w:pos="1080"/>
          <w:tab w:val="left" w:pos="1680"/>
        </w:tabs>
        <w:rPr>
          <w:rFonts w:ascii="Times New Roman" w:hAnsi="Times New Roman"/>
        </w:rPr>
      </w:pPr>
    </w:p>
    <w:p w:rsidR="00455BF0" w:rsidP="00970DEF" w14:paraId="5589D1B6" w14:textId="77777777">
      <w:pPr>
        <w:widowControl/>
        <w:tabs>
          <w:tab w:val="left" w:pos="480"/>
          <w:tab w:val="left" w:pos="1080"/>
          <w:tab w:val="left" w:pos="1680"/>
        </w:tabs>
        <w:ind w:left="1080" w:firstLine="360"/>
        <w:rPr>
          <w:rFonts w:ascii="Times New Roman" w:hAnsi="Times New Roman"/>
        </w:rPr>
      </w:pPr>
      <w:r>
        <w:rPr>
          <w:rFonts w:ascii="Times New Roman" w:hAnsi="Times New Roman"/>
        </w:rPr>
        <w:t>None.</w:t>
      </w:r>
    </w:p>
    <w:p w:rsidR="00455BF0" w14:paraId="233F1F77" w14:textId="77777777">
      <w:pPr>
        <w:widowControl/>
        <w:tabs>
          <w:tab w:val="left" w:pos="480"/>
          <w:tab w:val="left" w:pos="1080"/>
          <w:tab w:val="left" w:pos="1680"/>
        </w:tabs>
        <w:ind w:left="1080"/>
        <w:rPr>
          <w:rFonts w:ascii="Times New Roman" w:hAnsi="Times New Roman"/>
        </w:rPr>
      </w:pPr>
    </w:p>
    <w:p w:rsidR="00455BF0" w14:paraId="47A6E4BB" w14:textId="77777777">
      <w:pPr>
        <w:widowControl/>
        <w:tabs>
          <w:tab w:val="left" w:pos="480"/>
          <w:tab w:val="left" w:pos="1080"/>
          <w:tab w:val="left" w:pos="1680"/>
        </w:tabs>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STATISTICAL METHODS</w:t>
      </w:r>
    </w:p>
    <w:p w:rsidR="00455BF0" w14:paraId="68A1C53B" w14:textId="77777777">
      <w:pPr>
        <w:widowControl/>
        <w:tabs>
          <w:tab w:val="left" w:pos="480"/>
          <w:tab w:val="left" w:pos="1080"/>
          <w:tab w:val="left" w:pos="1680"/>
        </w:tabs>
        <w:rPr>
          <w:rFonts w:ascii="Times New Roman" w:hAnsi="Times New Roman"/>
        </w:rPr>
      </w:pPr>
    </w:p>
    <w:p w:rsidR="00455BF0" w:rsidP="008E06A9" w14:paraId="21184679" w14:textId="76C40077">
      <w:pPr>
        <w:widowControl/>
        <w:tabs>
          <w:tab w:val="left" w:pos="480"/>
          <w:tab w:val="left" w:pos="1080"/>
          <w:tab w:val="left" w:pos="1680"/>
        </w:tabs>
        <w:ind w:firstLine="630"/>
        <w:rPr>
          <w:rFonts w:ascii="Times New Roman" w:hAnsi="Times New Roman"/>
        </w:rPr>
      </w:pPr>
      <w:r>
        <w:rPr>
          <w:rFonts w:ascii="Times New Roman" w:hAnsi="Times New Roman"/>
        </w:rPr>
        <w:t>Not applicable.</w:t>
      </w:r>
    </w:p>
    <w:p w:rsidR="00455BF0" w14:paraId="3B5441DC" w14:textId="77777777">
      <w:pPr>
        <w:widowControl/>
        <w:tabs>
          <w:tab w:val="left" w:pos="480"/>
          <w:tab w:val="left" w:pos="1080"/>
          <w:tab w:val="left" w:pos="1680"/>
        </w:tabs>
        <w:rPr>
          <w:rFonts w:ascii="Times New Roman" w:hAnsi="Times New Roman"/>
        </w:rPr>
      </w:pPr>
    </w:p>
    <w:p w:rsidR="00455BF0" w14:paraId="2A6F6DB7" w14:textId="77777777">
      <w:pPr>
        <w:widowControl/>
        <w:tabs>
          <w:tab w:val="left" w:pos="480"/>
          <w:tab w:val="left" w:pos="1080"/>
          <w:tab w:val="left" w:pos="1680"/>
        </w:tabs>
        <w:rPr>
          <w:rFonts w:ascii="Times New Roman" w:hAnsi="Times New Roman"/>
        </w:rPr>
      </w:pPr>
    </w:p>
    <w:p w:rsidR="00455BF0" w14:paraId="0FD0C253" w14:textId="77777777">
      <w:pPr>
        <w:widowControl/>
        <w:tabs>
          <w:tab w:val="left" w:pos="480"/>
          <w:tab w:val="left" w:pos="1080"/>
          <w:tab w:val="left" w:pos="1680"/>
        </w:tabs>
        <w:rPr>
          <w:rFonts w:ascii="Times New Roman" w:hAnsi="Times New Roman"/>
          <w:u w:val="single"/>
        </w:rPr>
      </w:pPr>
    </w:p>
    <w:p w:rsidR="00455BF0" w14:paraId="56BBB082" w14:textId="77777777">
      <w:pPr>
        <w:widowControl/>
        <w:tabs>
          <w:tab w:val="left" w:pos="480"/>
          <w:tab w:val="left" w:pos="1080"/>
          <w:tab w:val="left" w:pos="1680"/>
        </w:tabs>
      </w:pPr>
    </w:p>
    <w:sectPr>
      <w:headerReference w:type="even" r:id="rId4"/>
      <w:headerReference w:type="default" r:id="rId5"/>
      <w:footerReference w:type="even" r:id="rId6"/>
      <w:footerReference w:type="default" r:id="rId7"/>
      <w:headerReference w:type="first" r:id="rId8"/>
      <w:footerReference w:type="first" r:id="rId9"/>
      <w:endnotePr>
        <w:numFmt w:val="decimal"/>
      </w:endnotePr>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0A74" w14:paraId="2F2E2D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6AFD" w14:paraId="7151BB21" w14:textId="77777777">
    <w:pPr>
      <w:tabs>
        <w:tab w:val="center" w:pos="4200"/>
      </w:tabs>
      <w:rPr>
        <w:sz w:val="20"/>
      </w:rPr>
    </w:pPr>
  </w:p>
  <w:p w:rsidR="00EE6AFD" w14:paraId="6784DA85" w14:textId="77777777">
    <w:pPr>
      <w:framePr w:w="840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303485">
      <w:rPr>
        <w:rFonts w:ascii="Times New Roman" w:hAnsi="Times New Roman"/>
        <w:noProof/>
      </w:rPr>
      <w:t>3</w:t>
    </w:r>
    <w:r>
      <w:rPr>
        <w:rFonts w:ascii="Times New Roman" w:hAnsi="Times New Roman"/>
      </w:rPr>
      <w:fldChar w:fldCharType="end"/>
    </w:r>
  </w:p>
  <w:p w:rsidR="00EE6AFD" w14:paraId="6EC01221" w14:textId="77777777">
    <w:pPr>
      <w:tabs>
        <w:tab w:val="left" w:pos="480"/>
        <w:tab w:val="left" w:pos="1080"/>
        <w:tab w:val="left" w:pos="16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0A74" w14:paraId="074FAB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0A74" w14:paraId="04B079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0A74" w14:paraId="6D138FB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0A74" w14:paraId="4A1BDB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635938"/>
    <w:multiLevelType w:val="hybridMultilevel"/>
    <w:tmpl w:val="0450C62E"/>
    <w:lvl w:ilvl="0">
      <w:start w:val="1"/>
      <w:numFmt w:val="decimal"/>
      <w:lvlText w:val="%1."/>
      <w:lvlJc w:val="left"/>
      <w:pPr>
        <w:ind w:left="840" w:hanging="360"/>
      </w:p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
    <w:nsid w:val="23A10857"/>
    <w:multiLevelType w:val="singleLevel"/>
    <w:tmpl w:val="478C4260"/>
    <w:lvl w:ilvl="0">
      <w:start w:val="10"/>
      <w:numFmt w:val="decimal"/>
      <w:lvlText w:val="%1."/>
      <w:lvlJc w:val="left"/>
      <w:pPr>
        <w:tabs>
          <w:tab w:val="num" w:pos="1080"/>
        </w:tabs>
        <w:ind w:left="1080" w:hanging="600"/>
      </w:pPr>
      <w:rPr>
        <w:rFonts w:hint="default"/>
      </w:rPr>
    </w:lvl>
  </w:abstractNum>
  <w:abstractNum w:abstractNumId="2">
    <w:nsid w:val="24411919"/>
    <w:multiLevelType w:val="hybridMultilevel"/>
    <w:tmpl w:val="6E22AAEC"/>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num w:numId="1" w16cid:durableId="1533958976">
    <w:abstractNumId w:val="1"/>
  </w:num>
  <w:num w:numId="2" w16cid:durableId="1958291961">
    <w:abstractNumId w:val="2"/>
  </w:num>
  <w:num w:numId="3" w16cid:durableId="5859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F3C"/>
    <w:rsid w:val="0001177E"/>
    <w:rsid w:val="00035DE7"/>
    <w:rsid w:val="00086578"/>
    <w:rsid w:val="00092893"/>
    <w:rsid w:val="000F0A74"/>
    <w:rsid w:val="001136D5"/>
    <w:rsid w:val="00113D01"/>
    <w:rsid w:val="001178BF"/>
    <w:rsid w:val="001B01A7"/>
    <w:rsid w:val="001E0525"/>
    <w:rsid w:val="001E2EDC"/>
    <w:rsid w:val="002035C8"/>
    <w:rsid w:val="002429D9"/>
    <w:rsid w:val="00244ED9"/>
    <w:rsid w:val="00256026"/>
    <w:rsid w:val="002A2C41"/>
    <w:rsid w:val="002B6861"/>
    <w:rsid w:val="002F2CB4"/>
    <w:rsid w:val="002F5955"/>
    <w:rsid w:val="00303485"/>
    <w:rsid w:val="003059F4"/>
    <w:rsid w:val="00306C88"/>
    <w:rsid w:val="00366534"/>
    <w:rsid w:val="003854C1"/>
    <w:rsid w:val="003922F6"/>
    <w:rsid w:val="003B2523"/>
    <w:rsid w:val="003E201A"/>
    <w:rsid w:val="00403F3C"/>
    <w:rsid w:val="0041516F"/>
    <w:rsid w:val="00443F11"/>
    <w:rsid w:val="00447A69"/>
    <w:rsid w:val="00455BF0"/>
    <w:rsid w:val="00482373"/>
    <w:rsid w:val="00490708"/>
    <w:rsid w:val="004C0A2B"/>
    <w:rsid w:val="004D6FDC"/>
    <w:rsid w:val="00542AB7"/>
    <w:rsid w:val="00577C46"/>
    <w:rsid w:val="00586D2A"/>
    <w:rsid w:val="005E1A91"/>
    <w:rsid w:val="00683E37"/>
    <w:rsid w:val="006D0119"/>
    <w:rsid w:val="006D084F"/>
    <w:rsid w:val="006F6515"/>
    <w:rsid w:val="00712BA4"/>
    <w:rsid w:val="007222BF"/>
    <w:rsid w:val="00735E37"/>
    <w:rsid w:val="00742398"/>
    <w:rsid w:val="00757312"/>
    <w:rsid w:val="007A4FB2"/>
    <w:rsid w:val="007A778A"/>
    <w:rsid w:val="007B6861"/>
    <w:rsid w:val="007C5AAA"/>
    <w:rsid w:val="007F027C"/>
    <w:rsid w:val="008224B7"/>
    <w:rsid w:val="00840CEF"/>
    <w:rsid w:val="00864737"/>
    <w:rsid w:val="00883DD7"/>
    <w:rsid w:val="008C677F"/>
    <w:rsid w:val="008C7C75"/>
    <w:rsid w:val="008E06A9"/>
    <w:rsid w:val="009234BE"/>
    <w:rsid w:val="00937703"/>
    <w:rsid w:val="00953D58"/>
    <w:rsid w:val="00970DEF"/>
    <w:rsid w:val="00A10A28"/>
    <w:rsid w:val="00A759AD"/>
    <w:rsid w:val="00A86270"/>
    <w:rsid w:val="00A86534"/>
    <w:rsid w:val="00A972B1"/>
    <w:rsid w:val="00AD42ED"/>
    <w:rsid w:val="00AD7D87"/>
    <w:rsid w:val="00AE3010"/>
    <w:rsid w:val="00B01BA0"/>
    <w:rsid w:val="00B44EED"/>
    <w:rsid w:val="00B60A25"/>
    <w:rsid w:val="00B73FB3"/>
    <w:rsid w:val="00B967B7"/>
    <w:rsid w:val="00BC30B9"/>
    <w:rsid w:val="00BD11D4"/>
    <w:rsid w:val="00C0603C"/>
    <w:rsid w:val="00C41862"/>
    <w:rsid w:val="00C83300"/>
    <w:rsid w:val="00CC0B80"/>
    <w:rsid w:val="00CD4046"/>
    <w:rsid w:val="00CF1B05"/>
    <w:rsid w:val="00CF1DE0"/>
    <w:rsid w:val="00D2537D"/>
    <w:rsid w:val="00D33320"/>
    <w:rsid w:val="00D74BEB"/>
    <w:rsid w:val="00DA4516"/>
    <w:rsid w:val="00DC4868"/>
    <w:rsid w:val="00E4399C"/>
    <w:rsid w:val="00E47268"/>
    <w:rsid w:val="00E63DB1"/>
    <w:rsid w:val="00E67B0C"/>
    <w:rsid w:val="00E72F43"/>
    <w:rsid w:val="00E97343"/>
    <w:rsid w:val="00EE6AFD"/>
    <w:rsid w:val="00EE74FD"/>
    <w:rsid w:val="00F047F8"/>
    <w:rsid w:val="00F45D8A"/>
    <w:rsid w:val="00F53DCE"/>
    <w:rsid w:val="00F73207"/>
    <w:rsid w:val="00F875E7"/>
    <w:rsid w:val="00F9447B"/>
    <w:rsid w:val="00FB50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1757A3"/>
  <w15:chartTrackingRefBased/>
  <w15:docId w15:val="{DE80ABAC-681A-46D3-BC98-FF03E4C7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12,BVI fnr,EN Footnote Reference,Footnote,Footnote Reference Superscript,Footnote reference number,Footnote symbol,SUPERS,Style 14,Style 16,Style 19,Style 35,Style 39,Style 6,Voetnootverwijzing,fr,note TESI"/>
    <w:uiPriority w:val="99"/>
    <w:qForma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B6861"/>
    <w:rPr>
      <w:sz w:val="20"/>
    </w:rPr>
  </w:style>
  <w:style w:type="character" w:customStyle="1" w:styleId="FootnoteTextChar">
    <w:name w:val="Footnote Text Char"/>
    <w:basedOn w:val="DefaultParagraphFont"/>
    <w:link w:val="FootnoteText"/>
    <w:rsid w:val="007B6861"/>
    <w:rPr>
      <w:rFonts w:ascii="Courier" w:hAnsi="Courier"/>
      <w:snapToGrid w:val="0"/>
    </w:rPr>
  </w:style>
  <w:style w:type="table" w:styleId="TableGrid">
    <w:name w:val="Table Grid"/>
    <w:basedOn w:val="TableNormal"/>
    <w:rsid w:val="00BD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Gofney, Rashida K.</dc:creator>
  <cp:lastModifiedBy>Meiers, Robert M.</cp:lastModifiedBy>
  <cp:revision>2</cp:revision>
  <dcterms:created xsi:type="dcterms:W3CDTF">2025-05-22T19:40:00Z</dcterms:created>
  <dcterms:modified xsi:type="dcterms:W3CDTF">2025-05-22T19:40:00Z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010c90ba-8335-407f-90b9-14528091b007</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2024-11-13T13:10:18Z</vt:lpwstr>
  </property>
  <property fmtid="{D5CDD505-2E9C-101B-9397-08002B2CF9AE}" pid="8" name="MSIP_Label_3be8ab8c-433c-4394-a4fb-cd2d5c4d0a5e_SiteId">
    <vt:lpwstr>26c83bc9-31c1-4d77-a523-0816095aba31</vt:lpwstr>
  </property>
</Properties>
</file>