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2A4D" w:rsidP="00492A4D" w14:paraId="0332C0CF" w14:textId="77777777">
      <w:pPr>
        <w:pStyle w:val="Heading1"/>
        <w:spacing w:before="0"/>
        <w:ind w:left="0"/>
        <w:jc w:val="left"/>
        <w:rPr>
          <w:rFonts w:ascii="Cambria" w:hAnsi="Cambria"/>
          <w:b/>
          <w:bCs/>
          <w:color w:val="222825"/>
          <w:sz w:val="28"/>
          <w:szCs w:val="28"/>
        </w:rPr>
      </w:pPr>
      <w:r>
        <w:rPr>
          <w:rFonts w:ascii="Cambria" w:hAnsi="Cambria"/>
          <w:b/>
          <w:bCs/>
          <w:color w:val="222825"/>
          <w:sz w:val="28"/>
          <w:szCs w:val="28"/>
        </w:rPr>
        <w:t>U.S. Election Assistance Commission</w:t>
      </w:r>
      <w:r>
        <w:rPr>
          <w:rFonts w:ascii="Cambria" w:hAnsi="Cambria"/>
          <w:b/>
          <w:bCs/>
          <w:color w:val="222825"/>
          <w:sz w:val="28"/>
          <w:szCs w:val="28"/>
        </w:rPr>
        <w:br/>
        <w:t>Help America Vote Act - Election Security Program</w:t>
      </w:r>
    </w:p>
    <w:p w:rsidR="00AD2336" w:rsidRPr="008B4FBE" w:rsidP="3F27FB9E" w14:paraId="6106E266" w14:textId="48B7AA6D">
      <w:pPr>
        <w:spacing w:before="35"/>
        <w:ind w:right="662"/>
        <w:rPr>
          <w:rFonts w:eastAsia="Arial" w:cs="Times New Roman"/>
          <w:b/>
          <w:bCs/>
          <w:sz w:val="28"/>
          <w:szCs w:val="28"/>
        </w:rPr>
      </w:pPr>
      <w:r w:rsidRPr="73FFBEB4">
        <w:rPr>
          <w:rFonts w:eastAsia="Arial" w:cs="Times New Roman"/>
          <w:b/>
          <w:bCs/>
          <w:sz w:val="28"/>
          <w:szCs w:val="28"/>
        </w:rPr>
        <w:t>Combined</w:t>
      </w:r>
      <w:r w:rsidRPr="73FFBEB4" w:rsidR="00866BF8">
        <w:rPr>
          <w:rFonts w:eastAsia="Arial" w:cs="Times New Roman"/>
          <w:b/>
          <w:bCs/>
          <w:sz w:val="28"/>
          <w:szCs w:val="28"/>
        </w:rPr>
        <w:t xml:space="preserve"> </w:t>
      </w:r>
      <w:r w:rsidRPr="73FFBEB4">
        <w:rPr>
          <w:rFonts w:eastAsia="Arial" w:cs="Times New Roman"/>
          <w:b/>
          <w:bCs/>
          <w:sz w:val="28"/>
          <w:szCs w:val="28"/>
        </w:rPr>
        <w:t xml:space="preserve">Budget </w:t>
      </w:r>
      <w:r w:rsidRPr="73FFBEB4" w:rsidR="00DB3C30">
        <w:rPr>
          <w:rFonts w:eastAsia="Arial" w:cs="Times New Roman"/>
          <w:b/>
          <w:bCs/>
          <w:sz w:val="28"/>
          <w:szCs w:val="28"/>
        </w:rPr>
        <w:t>Worksheet</w:t>
      </w:r>
      <w:r w:rsidRPr="73FFBEB4" w:rsidR="00492A4D">
        <w:rPr>
          <w:rFonts w:eastAsia="Arial" w:cs="Times New Roman"/>
          <w:b/>
          <w:bCs/>
          <w:sz w:val="28"/>
          <w:szCs w:val="28"/>
        </w:rPr>
        <w:t xml:space="preserve"> </w:t>
      </w:r>
      <w:r w:rsidRPr="73FFBEB4" w:rsidR="3DFF4E9E">
        <w:rPr>
          <w:rFonts w:eastAsia="Arial" w:cs="Times New Roman"/>
          <w:b/>
          <w:bCs/>
          <w:sz w:val="28"/>
          <w:szCs w:val="28"/>
        </w:rPr>
        <w:t>Instructions</w:t>
      </w:r>
    </w:p>
    <w:p w:rsidR="000E3EF8" w:rsidRPr="008B4FBE" w:rsidP="000E3EF8" w14:paraId="7427197B" w14:textId="022E844C">
      <w:pPr>
        <w:widowControl/>
        <w:rPr>
          <w:b/>
        </w:rPr>
      </w:pPr>
    </w:p>
    <w:p w:rsidR="00904E2E" w:rsidRPr="00BC716A" w:rsidP="00076CFB" w14:paraId="63C23DCB" w14:textId="77777777">
      <w:pPr>
        <w:widowControl/>
        <w:spacing w:after="200"/>
        <w:contextualSpacing/>
        <w:rPr>
          <w:rFonts w:eastAsia="Arial" w:cs="Times New Roman"/>
          <w:b/>
          <w:bCs/>
          <w:sz w:val="28"/>
          <w:szCs w:val="28"/>
        </w:rPr>
      </w:pPr>
      <w:r w:rsidRPr="00BC716A">
        <w:rPr>
          <w:rFonts w:eastAsia="Arial" w:cs="Times New Roman"/>
          <w:b/>
          <w:bCs/>
          <w:sz w:val="28"/>
          <w:szCs w:val="28"/>
        </w:rPr>
        <w:t>General Instructions</w:t>
      </w:r>
    </w:p>
    <w:p w:rsidR="00A22D46" w:rsidRPr="008B4FBE" w:rsidP="00076CFB" w14:paraId="2D4BBA4C" w14:textId="60774950">
      <w:pPr>
        <w:widowControl/>
        <w:spacing w:after="200"/>
        <w:contextualSpacing/>
        <w:rPr>
          <w:rFonts w:eastAsia="Arial" w:cs="Times New Roman"/>
        </w:rPr>
      </w:pPr>
      <w:r w:rsidRPr="4B115D83">
        <w:rPr>
          <w:rFonts w:eastAsia="Arial" w:cs="Times New Roman"/>
        </w:rPr>
        <w:t xml:space="preserve">The </w:t>
      </w:r>
      <w:r w:rsidRPr="4B115D83" w:rsidR="00F73A32">
        <w:rPr>
          <w:rFonts w:eastAsia="Arial" w:cs="Times New Roman"/>
        </w:rPr>
        <w:t xml:space="preserve">budget worksheet </w:t>
      </w:r>
      <w:r w:rsidRPr="4B115D83">
        <w:rPr>
          <w:rFonts w:eastAsia="Arial" w:cs="Times New Roman"/>
        </w:rPr>
        <w:t>form contains rows for budget category line items and columns for costs by program category</w:t>
      </w:r>
      <w:r w:rsidRPr="4B115D83">
        <w:rPr>
          <w:rFonts w:eastAsia="Arial" w:cs="Times New Roman"/>
        </w:rPr>
        <w:t xml:space="preserve"> as listed below</w:t>
      </w:r>
      <w:r w:rsidRPr="4B115D83">
        <w:rPr>
          <w:rFonts w:eastAsia="Arial" w:cs="Times New Roman"/>
        </w:rPr>
        <w:t>.</w:t>
      </w:r>
      <w:r w:rsidRPr="4B115D83" w:rsidR="00076CFB">
        <w:rPr>
          <w:rFonts w:eastAsia="Arial" w:cs="Times New Roman"/>
        </w:rPr>
        <w:t xml:space="preserve"> </w:t>
      </w:r>
      <w:r w:rsidRPr="4B115D83" w:rsidR="0027376C">
        <w:rPr>
          <w:rFonts w:eastAsia="Arial" w:cs="Times New Roman"/>
        </w:rPr>
        <w:t xml:space="preserve">Election Security </w:t>
      </w:r>
      <w:r w:rsidRPr="4B115D83" w:rsidR="007F2996">
        <w:rPr>
          <w:rFonts w:eastAsia="Arial" w:cs="Times New Roman"/>
        </w:rPr>
        <w:t>funds should be budgeted with the total grant award in mind.</w:t>
      </w:r>
      <w:r w:rsidRPr="4B115D83" w:rsidR="00076CFB">
        <w:rPr>
          <w:rFonts w:eastAsia="Arial" w:cs="Times New Roman"/>
        </w:rPr>
        <w:t xml:space="preserve"> </w:t>
      </w:r>
      <w:r w:rsidRPr="4B115D83" w:rsidR="007F2996">
        <w:rPr>
          <w:rFonts w:eastAsia="Arial" w:cs="Times New Roman"/>
        </w:rPr>
        <w:t>For example, the Election Security program was awarded in 2018</w:t>
      </w:r>
      <w:r w:rsidRPr="4B115D83" w:rsidR="00A042CE">
        <w:rPr>
          <w:rFonts w:eastAsia="Arial" w:cs="Times New Roman"/>
        </w:rPr>
        <w:t xml:space="preserve"> (Year 1)</w:t>
      </w:r>
      <w:r w:rsidRPr="4B115D83" w:rsidR="007F2996">
        <w:rPr>
          <w:rFonts w:eastAsia="Arial" w:cs="Times New Roman"/>
        </w:rPr>
        <w:t xml:space="preserve"> with supplemental funds in 2020</w:t>
      </w:r>
      <w:r w:rsidRPr="4B115D83" w:rsidR="00A042CE">
        <w:rPr>
          <w:rFonts w:eastAsia="Arial" w:cs="Times New Roman"/>
        </w:rPr>
        <w:t xml:space="preserve"> (Year 2)</w:t>
      </w:r>
      <w:r w:rsidRPr="4B115D83" w:rsidR="00D3101C">
        <w:rPr>
          <w:rFonts w:eastAsia="Arial" w:cs="Times New Roman"/>
        </w:rPr>
        <w:t>, 2022</w:t>
      </w:r>
      <w:r w:rsidRPr="4B115D83" w:rsidR="00A042CE">
        <w:rPr>
          <w:rFonts w:eastAsia="Arial" w:cs="Times New Roman"/>
        </w:rPr>
        <w:t xml:space="preserve"> (Year 3)</w:t>
      </w:r>
      <w:r w:rsidRPr="4B115D83" w:rsidR="00D3101C">
        <w:rPr>
          <w:rFonts w:eastAsia="Arial" w:cs="Times New Roman"/>
        </w:rPr>
        <w:t>, 2023 (Year 4)</w:t>
      </w:r>
      <w:r w:rsidRPr="4B115D83" w:rsidR="00CB6FC8">
        <w:rPr>
          <w:rFonts w:eastAsia="Arial" w:cs="Times New Roman"/>
        </w:rPr>
        <w:t>, 2024 (Year 5)</w:t>
      </w:r>
      <w:r w:rsidRPr="4B115D83" w:rsidR="3BD81F62">
        <w:rPr>
          <w:rFonts w:eastAsia="Arial" w:cs="Times New Roman"/>
        </w:rPr>
        <w:t xml:space="preserve">, </w:t>
      </w:r>
      <w:r w:rsidRPr="00A34F55" w:rsidR="3BD81F62">
        <w:rPr>
          <w:rFonts w:eastAsia="Arial" w:cs="Times New Roman"/>
          <w:highlight w:val="yellow"/>
        </w:rPr>
        <w:t>and 2025 (year</w:t>
      </w:r>
      <w:r w:rsidRPr="00A34F55" w:rsidR="00094EF4">
        <w:rPr>
          <w:rFonts w:eastAsia="Arial" w:cs="Times New Roman"/>
          <w:highlight w:val="yellow"/>
        </w:rPr>
        <w:t xml:space="preserve"> </w:t>
      </w:r>
      <w:r w:rsidRPr="00A34F55" w:rsidR="3BD81F62">
        <w:rPr>
          <w:rFonts w:eastAsia="Arial" w:cs="Times New Roman"/>
          <w:highlight w:val="yellow"/>
        </w:rPr>
        <w:t>6)</w:t>
      </w:r>
      <w:r w:rsidRPr="00A34F55" w:rsidR="007F2996">
        <w:rPr>
          <w:rFonts w:eastAsia="Arial" w:cs="Times New Roman"/>
          <w:highlight w:val="yellow"/>
        </w:rPr>
        <w:t>.</w:t>
      </w:r>
      <w:r w:rsidRPr="4B115D83" w:rsidR="00076CFB">
        <w:rPr>
          <w:rFonts w:eastAsia="Arial" w:cs="Times New Roman"/>
        </w:rPr>
        <w:t xml:space="preserve"> </w:t>
      </w:r>
      <w:r w:rsidRPr="00A806EC" w:rsidR="007F2996">
        <w:rPr>
          <w:rFonts w:eastAsia="Arial" w:cs="Times New Roman"/>
          <w:b/>
          <w:bCs/>
        </w:rPr>
        <w:t xml:space="preserve">The combined budget worksheet should document the budget for the </w:t>
      </w:r>
      <w:r w:rsidRPr="00A34F55" w:rsidR="00094EF4">
        <w:rPr>
          <w:rFonts w:eastAsia="Arial" w:cs="Times New Roman"/>
          <w:b/>
          <w:bCs/>
          <w:highlight w:val="yellow"/>
        </w:rPr>
        <w:t>total</w:t>
      </w:r>
      <w:r w:rsidRPr="00A34F55" w:rsidR="007F2996">
        <w:rPr>
          <w:rFonts w:eastAsia="Arial" w:cs="Times New Roman"/>
          <w:b/>
          <w:bCs/>
        </w:rPr>
        <w:t xml:space="preserve"> federal amount and associated match.</w:t>
      </w:r>
      <w:r w:rsidRPr="00A34F55" w:rsidR="00076CFB">
        <w:rPr>
          <w:rFonts w:eastAsia="Arial" w:cs="Times New Roman"/>
          <w:b/>
          <w:bCs/>
        </w:rPr>
        <w:t xml:space="preserve"> </w:t>
      </w:r>
    </w:p>
    <w:p w:rsidR="00696A80" w:rsidP="00696A80" w14:paraId="0D138A49" w14:textId="43FBDD29"/>
    <w:p w:rsidR="00EC1BB8" w:rsidRPr="00A806EC" w:rsidP="00172AF9" w14:paraId="3A17618B" w14:textId="77777777">
      <w:pPr>
        <w:rPr>
          <w:b/>
          <w:bCs/>
          <w:sz w:val="28"/>
          <w:szCs w:val="28"/>
        </w:rPr>
      </w:pPr>
      <w:r w:rsidRPr="00A806EC">
        <w:rPr>
          <w:b/>
          <w:bCs/>
          <w:sz w:val="28"/>
          <w:szCs w:val="28"/>
        </w:rPr>
        <w:t>General Guidance</w:t>
      </w:r>
    </w:p>
    <w:p w:rsidR="00172AF9" w:rsidRPr="00172AF9" w:rsidP="00172AF9" w14:paraId="7711BB76" w14:textId="3DB3E9A6">
      <w:r w:rsidRPr="00172AF9">
        <w:t>Please categorize your expenditures in the predefined program categories as much as possible. Only use</w:t>
      </w:r>
    </w:p>
    <w:p w:rsidR="00172AF9" w:rsidRPr="00172AF9" w:rsidP="00172AF9" w14:paraId="7E51851D" w14:textId="68F79231">
      <w:r>
        <w:t xml:space="preserve">the </w:t>
      </w:r>
      <w:r w:rsidR="2D528966">
        <w:t>“</w:t>
      </w:r>
      <w:r>
        <w:t>Other</w:t>
      </w:r>
      <w:r w:rsidR="3A49B529">
        <w:t>”</w:t>
      </w:r>
      <w:r>
        <w:t xml:space="preserve"> categories for items that you cannot allocate to specific program categories. Include all budget</w:t>
      </w:r>
    </w:p>
    <w:p w:rsidR="00172AF9" w:rsidRPr="00172AF9" w:rsidP="00172AF9" w14:paraId="186CB56E" w14:textId="77777777">
      <w:r w:rsidRPr="00172AF9">
        <w:t>line items related to the activity in the category, such as staffing, travel, training, contracts for services, and</w:t>
      </w:r>
    </w:p>
    <w:p w:rsidR="00172AF9" w:rsidRPr="00172AF9" w:rsidP="00172AF9" w14:paraId="1D78F53C" w14:textId="77777777">
      <w:r w:rsidRPr="00172AF9">
        <w:t>maintenance of any systems associated with the category. For example, if you have an annual software</w:t>
      </w:r>
    </w:p>
    <w:p w:rsidR="00172AF9" w:rsidRPr="00172AF9" w:rsidP="00172AF9" w14:paraId="4464C215" w14:textId="77777777">
      <w:r w:rsidRPr="00172AF9">
        <w:t>upgrade for your Voter Registration system or conduct training for counties on the system, you should</w:t>
      </w:r>
    </w:p>
    <w:p w:rsidR="00172AF9" w:rsidRPr="00172AF9" w:rsidP="00172AF9" w14:paraId="68767DD0" w14:textId="3C1E8783">
      <w:r w:rsidRPr="00172AF9">
        <w:t>allocate those expenditures under the Voter Registration System program category.</w:t>
      </w:r>
    </w:p>
    <w:p w:rsidR="00172AF9" w:rsidRPr="00172AF9" w:rsidP="00172AF9" w14:paraId="7A416EC0" w14:textId="77777777"/>
    <w:p w:rsidR="00172AF9" w:rsidRPr="00172AF9" w:rsidP="00172AF9" w14:paraId="24C57AC4" w14:textId="77777777">
      <w:r w:rsidRPr="00172AF9">
        <w:t>If you can estimate staff time to allocate to specific categories, please do so. For example, if you can</w:t>
      </w:r>
    </w:p>
    <w:p w:rsidR="00172AF9" w:rsidRPr="00172AF9" w:rsidP="00172AF9" w14:paraId="470381C0" w14:textId="77777777">
      <w:r w:rsidRPr="00172AF9">
        <w:t>estimate that a staff person generally spends 50% of their time on Voter Registration Systems and 50% on</w:t>
      </w:r>
    </w:p>
    <w:p w:rsidR="00172AF9" w:rsidRPr="00172AF9" w:rsidP="00172AF9" w14:paraId="6C9586B4" w14:textId="77777777">
      <w:r w:rsidRPr="00172AF9">
        <w:t>Voting Processes, report 50% of the salary costs to each Program Category. This does not mean the staff</w:t>
      </w:r>
    </w:p>
    <w:p w:rsidR="00172AF9" w:rsidRPr="00172AF9" w:rsidP="00172AF9" w14:paraId="3F5D8D12" w14:textId="77777777">
      <w:r w:rsidRPr="00172AF9">
        <w:t>person’s timekeeping process must allocate time to different program categories. You can estimate time</w:t>
      </w:r>
    </w:p>
    <w:p w:rsidR="00172AF9" w:rsidRPr="00172AF9" w:rsidP="00172AF9" w14:paraId="02F9B1C0" w14:textId="77777777">
      <w:r w:rsidRPr="00172AF9">
        <w:t>spent on each category for the purpose of progress reporting. However, you must still allocate time</w:t>
      </w:r>
    </w:p>
    <w:p w:rsidR="00172AF9" w:rsidRPr="00172AF9" w:rsidP="00172AF9" w14:paraId="4024CDCB" w14:textId="77777777">
      <w:r w:rsidRPr="00172AF9">
        <w:t>separately if a specific staff person is paid with funds from more than one grant, e.g., if you cover a specific</w:t>
      </w:r>
    </w:p>
    <w:p w:rsidR="00172AF9" w:rsidRPr="00172AF9" w:rsidP="00172AF9" w14:paraId="5EF7C3AE" w14:textId="77777777">
      <w:r w:rsidRPr="00172AF9">
        <w:t>staff person’s salary with funds from both your Section 251 and Election Security grant, the timesheet must</w:t>
      </w:r>
    </w:p>
    <w:p w:rsidR="00172AF9" w:rsidRPr="00172AF9" w:rsidP="00172AF9" w14:paraId="621AE05F" w14:textId="77777777">
      <w:r w:rsidRPr="00172AF9">
        <w:t>allocate their time to the different grants.</w:t>
      </w:r>
    </w:p>
    <w:p w:rsidR="00094EF4" w:rsidP="00696A80" w14:paraId="2382596E" w14:textId="77777777">
      <w:pPr>
        <w:sectPr w:rsidSect="00DF0CD7">
          <w:pgSz w:w="12240" w:h="15840"/>
          <w:pgMar w:top="720" w:right="720" w:bottom="720" w:left="720" w:header="720" w:footer="720" w:gutter="0"/>
          <w:cols w:space="720"/>
          <w:docGrid w:linePitch="360"/>
        </w:sectPr>
      </w:pPr>
    </w:p>
    <w:p w:rsidR="00172AF9" w:rsidRPr="008B4FBE" w:rsidP="00696A80" w14:paraId="30603D05" w14:textId="77777777"/>
    <w:p w:rsidR="00094EF4" w:rsidP="00AD2336" w14:paraId="2B1A1D68" w14:textId="77777777">
      <w:pPr>
        <w:pStyle w:val="ListParagraph"/>
        <w:widowControl/>
        <w:tabs>
          <w:tab w:val="left" w:pos="0"/>
        </w:tabs>
        <w:spacing w:after="200" w:line="276" w:lineRule="auto"/>
        <w:contextualSpacing/>
        <w:rPr>
          <w:rFonts w:eastAsia="Arial" w:cs="Times New Roman"/>
          <w:b/>
        </w:rPr>
        <w:sectPr w:rsidSect="00094EF4">
          <w:type w:val="continuous"/>
          <w:pgSz w:w="12240" w:h="15840"/>
          <w:pgMar w:top="720" w:right="720" w:bottom="720" w:left="720" w:header="720" w:footer="720" w:gutter="0"/>
          <w:cols w:space="720"/>
          <w:docGrid w:linePitch="360"/>
        </w:sectPr>
      </w:pPr>
    </w:p>
    <w:p w:rsidR="00866BF8" w:rsidRPr="008B4FBE" w:rsidP="00AD2336" w14:paraId="4D2C2379" w14:textId="77777777">
      <w:pPr>
        <w:pStyle w:val="ListParagraph"/>
        <w:widowControl/>
        <w:tabs>
          <w:tab w:val="left" w:pos="0"/>
        </w:tabs>
        <w:spacing w:after="200" w:line="276" w:lineRule="auto"/>
        <w:contextualSpacing/>
        <w:rPr>
          <w:rFonts w:eastAsia="Arial" w:cs="Times New Roman"/>
          <w:b/>
        </w:rPr>
      </w:pPr>
      <w:r w:rsidRPr="008B4FBE">
        <w:rPr>
          <w:rFonts w:eastAsia="Arial" w:cs="Times New Roman"/>
          <w:b/>
        </w:rPr>
        <w:t>Budget Categories</w:t>
      </w:r>
    </w:p>
    <w:p w:rsidR="00AD2336" w:rsidRPr="008B4FBE" w:rsidP="00AD2336" w14:paraId="3159AAA1" w14:textId="3890F55A">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Personnel</w:t>
      </w:r>
    </w:p>
    <w:p w:rsidR="00431255" w:rsidRPr="008B4FBE" w:rsidP="00AD2336" w14:paraId="0197A063" w14:textId="14606E7B">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 xml:space="preserve">Fringe </w:t>
      </w:r>
      <w:r w:rsidRPr="008B4FBE" w:rsidR="00FF47C8">
        <w:rPr>
          <w:rFonts w:eastAsia="Arial" w:cs="Times New Roman"/>
        </w:rPr>
        <w:t>Related to Salary</w:t>
      </w:r>
    </w:p>
    <w:p w:rsidR="00AD2336" w:rsidRPr="008B4FBE" w:rsidP="00AD2336" w14:paraId="57F3BBE0" w14:textId="77777777">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Equipment</w:t>
      </w:r>
    </w:p>
    <w:p w:rsidR="00AD2336" w:rsidRPr="008B4FBE" w:rsidP="00AD2336" w14:paraId="3C7B74F7" w14:textId="3069FBFE">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Training</w:t>
      </w:r>
    </w:p>
    <w:p w:rsidR="00431255" w:rsidRPr="008B4FBE" w:rsidP="00AD2336" w14:paraId="5FD6E256" w14:textId="3FA4A0DD">
      <w:pPr>
        <w:pStyle w:val="ListParagraph"/>
        <w:widowControl/>
        <w:numPr>
          <w:ilvl w:val="0"/>
          <w:numId w:val="1"/>
        </w:numPr>
        <w:tabs>
          <w:tab w:val="left" w:pos="630"/>
        </w:tabs>
        <w:spacing w:after="200" w:line="276" w:lineRule="auto"/>
        <w:contextualSpacing/>
        <w:rPr>
          <w:rFonts w:eastAsia="Arial" w:cs="Times New Roman"/>
        </w:rPr>
      </w:pPr>
      <w:r w:rsidRPr="008B4FBE">
        <w:rPr>
          <w:rFonts w:eastAsia="Arial" w:cs="Times New Roman"/>
        </w:rPr>
        <w:t>Contractual</w:t>
      </w:r>
    </w:p>
    <w:p w:rsidR="00431255" w:rsidRPr="008B4FBE" w:rsidP="00AD2336" w14:paraId="29BC11D5" w14:textId="0624B8AF">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Other (Describe)</w:t>
      </w:r>
    </w:p>
    <w:p w:rsidR="033BC002" w:rsidP="408E4F60" w14:paraId="1DC0B727" w14:textId="241A1F74">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Other (Describe)</w:t>
      </w:r>
    </w:p>
    <w:p w:rsidR="00AD2336" w:rsidRPr="008B4FBE" w:rsidP="00FF47C8" w14:paraId="6742F37B" w14:textId="5CEEA38A">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Subgrants</w:t>
      </w:r>
    </w:p>
    <w:p w:rsidR="00FF47C8" w:rsidRPr="008B4FBE" w:rsidP="00AD2336" w14:paraId="4E08A50A" w14:textId="7FF1489D">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Total Direct Costs</w:t>
      </w:r>
    </w:p>
    <w:p w:rsidR="00AD2336" w:rsidRPr="008B4FBE" w:rsidP="00FF47C8" w14:paraId="6BD1CF0F" w14:textId="4A0A0A0E">
      <w:pPr>
        <w:pStyle w:val="ListParagraph"/>
        <w:widowControl/>
        <w:numPr>
          <w:ilvl w:val="0"/>
          <w:numId w:val="1"/>
        </w:numPr>
        <w:tabs>
          <w:tab w:val="left" w:pos="630"/>
        </w:tabs>
        <w:spacing w:after="200" w:line="276" w:lineRule="auto"/>
        <w:contextualSpacing/>
        <w:rPr>
          <w:rFonts w:eastAsia="Arial" w:cs="Times New Roman"/>
        </w:rPr>
      </w:pPr>
      <w:r w:rsidRPr="408E4F60">
        <w:rPr>
          <w:rFonts w:eastAsia="Arial" w:cs="Times New Roman"/>
        </w:rPr>
        <w:t>Indirect Costs</w:t>
      </w:r>
    </w:p>
    <w:p w:rsidR="00245C4E" w:rsidP="00245C4E" w14:paraId="05B0DFE0" w14:textId="77033F8F">
      <w:pPr>
        <w:pStyle w:val="ListParagraph"/>
        <w:widowControl/>
        <w:tabs>
          <w:tab w:val="left" w:pos="0"/>
        </w:tabs>
        <w:spacing w:after="200" w:line="276" w:lineRule="auto"/>
        <w:contextualSpacing/>
        <w:rPr>
          <w:rFonts w:eastAsia="Arial" w:cs="Times New Roman"/>
        </w:rPr>
      </w:pPr>
      <w:r w:rsidRPr="00073279">
        <w:rPr>
          <w:rFonts w:eastAsia="Arial" w:cs="Times New Roman"/>
          <w:b/>
        </w:rPr>
        <w:t>Program Categories</w:t>
      </w:r>
      <w:r w:rsidRPr="00073279" w:rsidR="0011759E">
        <w:rPr>
          <w:rFonts w:eastAsia="Arial" w:cs="Times New Roman"/>
          <w:b/>
        </w:rPr>
        <w:t xml:space="preserve"> </w:t>
      </w:r>
    </w:p>
    <w:p w:rsidR="00431255" w:rsidRPr="002B6A3C" w:rsidP="00854188" w14:paraId="28ECCA67" w14:textId="532D2352">
      <w:pPr>
        <w:pStyle w:val="ListParagraph"/>
        <w:widowControl/>
        <w:numPr>
          <w:ilvl w:val="0"/>
          <w:numId w:val="12"/>
        </w:numPr>
        <w:tabs>
          <w:tab w:val="left" w:pos="0"/>
        </w:tabs>
        <w:spacing w:after="200" w:line="276" w:lineRule="auto"/>
        <w:contextualSpacing/>
        <w:rPr>
          <w:rFonts w:eastAsia="Arial" w:cs="Times New Roman"/>
        </w:rPr>
      </w:pPr>
      <w:r w:rsidRPr="002B6A3C">
        <w:rPr>
          <w:rFonts w:eastAsia="Arial" w:cs="Times New Roman"/>
        </w:rPr>
        <w:t xml:space="preserve">Voting Equipment </w:t>
      </w:r>
    </w:p>
    <w:p w:rsidR="00431255" w:rsidRPr="00073279" w:rsidP="00FD4244" w14:paraId="750F382D" w14:textId="77777777">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Voting Processes</w:t>
      </w:r>
    </w:p>
    <w:p w:rsidR="00FD4244" w:rsidRPr="00073279" w:rsidP="00FD4244" w14:paraId="78449255" w14:textId="7788B2E9">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 xml:space="preserve">Voting Registration Systems </w:t>
      </w:r>
    </w:p>
    <w:p w:rsidR="00FD4244" w:rsidRPr="00073279" w:rsidP="00FD4244" w14:paraId="79AEC8BA" w14:textId="77777777">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Election Auditing</w:t>
      </w:r>
    </w:p>
    <w:p w:rsidR="00FD4244" w:rsidRPr="00073279" w:rsidP="00FD4244" w14:paraId="54C456E7" w14:textId="56E828D0">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 xml:space="preserve">Cyber </w:t>
      </w:r>
      <w:r w:rsidRPr="00073279" w:rsidR="00431255">
        <w:rPr>
          <w:rFonts w:eastAsia="Arial" w:cs="Times New Roman"/>
        </w:rPr>
        <w:t>and Physical Security</w:t>
      </w:r>
    </w:p>
    <w:p w:rsidR="00431255" w:rsidRPr="00073279" w:rsidP="00FD4244" w14:paraId="2E10AD4E" w14:textId="4F827402">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Voter Educati</w:t>
      </w:r>
      <w:r w:rsidRPr="00073279" w:rsidR="00FF47C8">
        <w:rPr>
          <w:rFonts w:eastAsia="Arial" w:cs="Times New Roman"/>
        </w:rPr>
        <w:t>on</w:t>
      </w:r>
    </w:p>
    <w:p w:rsidR="00FD4244" w:rsidRPr="00073279" w:rsidP="00FD4244" w14:paraId="0B46B53C" w14:textId="7E8752A8">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Accessibility</w:t>
      </w:r>
    </w:p>
    <w:p w:rsidR="00FD4244" w:rsidRPr="00073279" w:rsidP="00FD4244" w14:paraId="32A3860E" w14:textId="6B581530">
      <w:pPr>
        <w:pStyle w:val="ListParagraph"/>
        <w:widowControl/>
        <w:numPr>
          <w:ilvl w:val="0"/>
          <w:numId w:val="4"/>
        </w:numPr>
        <w:tabs>
          <w:tab w:val="left" w:pos="630"/>
        </w:tabs>
        <w:spacing w:after="200" w:line="276" w:lineRule="auto"/>
        <w:contextualSpacing/>
        <w:rPr>
          <w:rFonts w:cs="Times New Roman"/>
        </w:rPr>
      </w:pPr>
      <w:r w:rsidRPr="00073279">
        <w:rPr>
          <w:rFonts w:cs="Times New Roman"/>
        </w:rPr>
        <w:t xml:space="preserve">Other </w:t>
      </w:r>
      <w:r w:rsidRPr="00073279" w:rsidR="21FC1CE4">
        <w:rPr>
          <w:rFonts w:cs="Times New Roman"/>
        </w:rPr>
        <w:t>(Describe)</w:t>
      </w:r>
    </w:p>
    <w:p w:rsidR="2A439307" w:rsidP="408E4F60" w14:paraId="629B8033" w14:textId="242CA6AF">
      <w:pPr>
        <w:pStyle w:val="ListParagraph"/>
        <w:widowControl/>
        <w:numPr>
          <w:ilvl w:val="0"/>
          <w:numId w:val="4"/>
        </w:numPr>
        <w:tabs>
          <w:tab w:val="left" w:pos="630"/>
        </w:tabs>
        <w:spacing w:after="200" w:line="276" w:lineRule="auto"/>
        <w:contextualSpacing/>
        <w:rPr>
          <w:rFonts w:eastAsia="Arial" w:cs="Times New Roman"/>
        </w:rPr>
      </w:pPr>
      <w:r w:rsidRPr="00073279">
        <w:rPr>
          <w:rFonts w:eastAsia="Arial" w:cs="Times New Roman"/>
        </w:rPr>
        <w:t>Other (Describe)</w:t>
      </w:r>
    </w:p>
    <w:p w:rsidR="00094EF4" w:rsidP="00094EF4" w14:paraId="370C4800" w14:textId="77777777">
      <w:pPr>
        <w:widowControl/>
        <w:tabs>
          <w:tab w:val="left" w:pos="630"/>
        </w:tabs>
        <w:spacing w:after="200" w:line="276" w:lineRule="auto"/>
        <w:contextualSpacing/>
        <w:rPr>
          <w:rFonts w:eastAsia="Arial" w:cs="Times New Roman"/>
        </w:rPr>
        <w:sectPr w:rsidSect="00BB52A0">
          <w:type w:val="continuous"/>
          <w:pgSz w:w="12240" w:h="15840"/>
          <w:pgMar w:top="720" w:right="720" w:bottom="720" w:left="720" w:header="720" w:footer="720" w:gutter="0"/>
          <w:cols w:num="2" w:space="720"/>
          <w:docGrid w:linePitch="360"/>
        </w:sectPr>
      </w:pPr>
    </w:p>
    <w:p w:rsidR="00094EF4" w:rsidRPr="003313B3" w:rsidP="002B6A3C" w14:paraId="49D0C08F" w14:textId="77777777">
      <w:pPr>
        <w:widowControl/>
        <w:tabs>
          <w:tab w:val="left" w:pos="630"/>
        </w:tabs>
        <w:spacing w:after="200" w:line="276" w:lineRule="auto"/>
        <w:contextualSpacing/>
        <w:rPr>
          <w:rFonts w:eastAsia="Arial" w:cs="Times New Roman"/>
        </w:rPr>
      </w:pPr>
    </w:p>
    <w:p w:rsidR="002F126F" w:rsidRPr="00073279" w:rsidP="002B6A3C" w14:paraId="1988A8BC" w14:textId="371D19F9">
      <w:pPr>
        <w:rPr>
          <w:b/>
          <w:bCs/>
        </w:rPr>
      </w:pPr>
      <w:r w:rsidRPr="00073279">
        <w:rPr>
          <w:b/>
          <w:bCs/>
        </w:rPr>
        <w:t>PROGRAM CATEGORIES DESCRIPTIONS</w:t>
      </w:r>
    </w:p>
    <w:p w:rsidR="00172AF9" w:rsidRPr="00073279" w:rsidP="002B6A3C" w14:paraId="09535B6C" w14:textId="7AF118B2">
      <w:r w:rsidRPr="00073279">
        <w:t>These descriptions will help you determine how to allocate expenditures to specific predefined program</w:t>
      </w:r>
      <w:r w:rsidR="004539EC">
        <w:t xml:space="preserve"> </w:t>
      </w:r>
      <w:r w:rsidRPr="00073279">
        <w:t>categories.</w:t>
      </w:r>
    </w:p>
    <w:p w:rsidR="00172AF9" w:rsidRPr="00073279" w:rsidP="00172AF9" w14:paraId="59898FC6" w14:textId="77777777">
      <w:pPr>
        <w:ind w:left="360"/>
      </w:pPr>
    </w:p>
    <w:p w:rsidR="00172AF9" w:rsidRPr="00073279" w:rsidP="00172AF9" w14:paraId="5DE6FAED" w14:textId="129AD928">
      <w:pPr>
        <w:ind w:left="360"/>
      </w:pPr>
      <w:r w:rsidRPr="00073279">
        <w:t xml:space="preserve">1. </w:t>
      </w:r>
      <w:r w:rsidRPr="00073279">
        <w:rPr>
          <w:b/>
          <w:bCs/>
        </w:rPr>
        <w:t>Voting Equipment</w:t>
      </w:r>
      <w:r w:rsidRPr="00073279">
        <w:t>: This is a specialized category for software and hardware related to voting equipment</w:t>
      </w:r>
    </w:p>
    <w:p w:rsidR="00172AF9" w:rsidRPr="00073279" w:rsidP="00172AF9" w14:paraId="013534E3" w14:textId="77777777">
      <w:pPr>
        <w:ind w:left="360"/>
      </w:pPr>
      <w:r w:rsidRPr="00073279">
        <w:t>only. It includes funds to local election offices for voting equipment. You can also include any costs related</w:t>
      </w:r>
    </w:p>
    <w:p w:rsidR="00172AF9" w:rsidRPr="00073279" w:rsidP="00172AF9" w14:paraId="713A9352" w14:textId="77777777">
      <w:pPr>
        <w:ind w:left="360"/>
      </w:pPr>
      <w:r w:rsidRPr="00073279">
        <w:t>to the voting equipment program such as specific contracts and services related to voting equipment,</w:t>
      </w:r>
    </w:p>
    <w:p w:rsidR="00172AF9" w:rsidRPr="00073279" w:rsidP="00172AF9" w14:paraId="6F32AD18" w14:textId="77777777">
      <w:pPr>
        <w:ind w:left="360"/>
      </w:pPr>
      <w:r w:rsidRPr="00073279">
        <w:t>including storage, as described under General Guidance.</w:t>
      </w:r>
    </w:p>
    <w:p w:rsidR="00172AF9" w:rsidRPr="00073279" w:rsidP="00172AF9" w14:paraId="56286CA7" w14:textId="77777777">
      <w:pPr>
        <w:ind w:left="360"/>
      </w:pPr>
    </w:p>
    <w:p w:rsidR="00172AF9" w:rsidRPr="00073279" w:rsidP="00172AF9" w14:paraId="0627644A" w14:textId="0D5D7A45">
      <w:pPr>
        <w:ind w:left="360"/>
      </w:pPr>
      <w:r w:rsidRPr="00073279">
        <w:t xml:space="preserve">2. </w:t>
      </w:r>
      <w:r w:rsidRPr="00073279">
        <w:rPr>
          <w:b/>
          <w:bCs/>
        </w:rPr>
        <w:t>Voting Processes</w:t>
      </w:r>
      <w:r w:rsidRPr="00073279">
        <w:t>: Non-voting equipment-related costs to support the voting process including staffing,</w:t>
      </w:r>
    </w:p>
    <w:p w:rsidR="00172AF9" w:rsidRPr="00073279" w:rsidP="00172AF9" w14:paraId="303F1405" w14:textId="77777777">
      <w:pPr>
        <w:ind w:left="360"/>
      </w:pPr>
      <w:r w:rsidRPr="00073279">
        <w:t>maintenance and storage of voting equipment, training on use of the equipment, travel, and equipment</w:t>
      </w:r>
    </w:p>
    <w:p w:rsidR="00172AF9" w:rsidRPr="00073279" w:rsidP="00172AF9" w14:paraId="7EEFD2F0" w14:textId="77777777">
      <w:pPr>
        <w:ind w:left="360"/>
      </w:pPr>
      <w:r w:rsidRPr="00073279">
        <w:t>purchased to support the voting process that is not voting equipment, such as copiers with a per unit cost</w:t>
      </w:r>
    </w:p>
    <w:p w:rsidR="00172AF9" w:rsidRPr="00073279" w:rsidP="00172AF9" w14:paraId="517C3A32" w14:textId="425DA319">
      <w:pPr>
        <w:ind w:left="360"/>
      </w:pPr>
      <w:r w:rsidRPr="00073279">
        <w:t xml:space="preserve">over </w:t>
      </w:r>
      <w:r w:rsidRPr="008D146E">
        <w:rPr>
          <w:highlight w:val="yellow"/>
        </w:rPr>
        <w:t>$</w:t>
      </w:r>
      <w:r w:rsidRPr="008D146E" w:rsidR="00586F3B">
        <w:rPr>
          <w:highlight w:val="yellow"/>
        </w:rPr>
        <w:t>10</w:t>
      </w:r>
      <w:r w:rsidRPr="008D146E">
        <w:rPr>
          <w:highlight w:val="yellow"/>
        </w:rPr>
        <w:t>,000,</w:t>
      </w:r>
      <w:r w:rsidRPr="00073279">
        <w:t xml:space="preserve"> as described under General Guidance.</w:t>
      </w:r>
    </w:p>
    <w:p w:rsidR="00172AF9" w:rsidRPr="00073279" w:rsidP="00172AF9" w14:paraId="27AFC381" w14:textId="77777777">
      <w:pPr>
        <w:ind w:left="360"/>
      </w:pPr>
    </w:p>
    <w:p w:rsidR="00172AF9" w:rsidRPr="00073279" w:rsidP="00172AF9" w14:paraId="6A907A31" w14:textId="2997C6E9">
      <w:pPr>
        <w:ind w:left="360"/>
      </w:pPr>
      <w:r w:rsidRPr="00073279">
        <w:t xml:space="preserve">3. </w:t>
      </w:r>
      <w:r w:rsidRPr="00073279">
        <w:rPr>
          <w:b/>
          <w:bCs/>
        </w:rPr>
        <w:t>Voter Registration Systems</w:t>
      </w:r>
      <w:r w:rsidRPr="00073279">
        <w:t>: Software and hardware related to updating and maintaining the statewide voter registration system and processes, service contracts on voting equipment and processes, and all other identifiable costs related to the Voter Registration System as described under General Guidance.</w:t>
      </w:r>
    </w:p>
    <w:p w:rsidR="00172AF9" w:rsidRPr="00073279" w:rsidP="00172AF9" w14:paraId="01ADB370" w14:textId="77777777">
      <w:pPr>
        <w:ind w:left="360"/>
      </w:pPr>
    </w:p>
    <w:p w:rsidR="00172AF9" w:rsidRPr="00073279" w:rsidP="00172AF9" w14:paraId="43AC8ECE" w14:textId="3EB6B0E9">
      <w:pPr>
        <w:ind w:left="360"/>
      </w:pPr>
      <w:r w:rsidRPr="00073279">
        <w:t xml:space="preserve">4. </w:t>
      </w:r>
      <w:r w:rsidRPr="00073279">
        <w:rPr>
          <w:b/>
          <w:bCs/>
        </w:rPr>
        <w:t>Election Auditing</w:t>
      </w:r>
      <w:r w:rsidRPr="00073279">
        <w:t>: All costs associated with post-election auditing, including staffing, etc. as described</w:t>
      </w:r>
    </w:p>
    <w:p w:rsidR="00172AF9" w:rsidRPr="00073279" w:rsidP="00172AF9" w14:paraId="4DEF48FB" w14:textId="77777777">
      <w:pPr>
        <w:ind w:left="360"/>
      </w:pPr>
      <w:r w:rsidRPr="00073279">
        <w:t>under General Guidance.</w:t>
      </w:r>
    </w:p>
    <w:p w:rsidR="00172AF9" w:rsidRPr="00073279" w:rsidP="00172AF9" w14:paraId="722103C3" w14:textId="77777777">
      <w:pPr>
        <w:ind w:left="360"/>
      </w:pPr>
    </w:p>
    <w:p w:rsidR="00172AF9" w:rsidRPr="00073279" w:rsidP="00172AF9" w14:paraId="6FCF9E58" w14:textId="7FC98C87">
      <w:pPr>
        <w:ind w:left="360"/>
      </w:pPr>
      <w:r w:rsidRPr="00073279">
        <w:t xml:space="preserve">5. </w:t>
      </w:r>
      <w:r w:rsidRPr="00073279">
        <w:rPr>
          <w:b/>
          <w:bCs/>
        </w:rPr>
        <w:t>Cyber and Physical Security</w:t>
      </w:r>
      <w:r w:rsidRPr="00073279">
        <w:t>: All costs associated with cyber and physical security such as security</w:t>
      </w:r>
    </w:p>
    <w:p w:rsidR="00172AF9" w:rsidRPr="00073279" w:rsidP="00172AF9" w14:paraId="0AFA9C05" w14:textId="77777777">
      <w:pPr>
        <w:ind w:left="360"/>
      </w:pPr>
      <w:r w:rsidRPr="00073279">
        <w:t>cameras and as described under General Guidance.</w:t>
      </w:r>
    </w:p>
    <w:p w:rsidR="00172AF9" w:rsidRPr="00073279" w:rsidP="00172AF9" w14:paraId="76E93D23" w14:textId="77777777">
      <w:pPr>
        <w:ind w:left="360"/>
      </w:pPr>
    </w:p>
    <w:p w:rsidR="00172AF9" w:rsidRPr="00073279" w:rsidP="00172AF9" w14:paraId="615565AE" w14:textId="59403234">
      <w:pPr>
        <w:ind w:left="360"/>
      </w:pPr>
      <w:r w:rsidRPr="00073279">
        <w:t xml:space="preserve">6. </w:t>
      </w:r>
      <w:r w:rsidRPr="00073279">
        <w:rPr>
          <w:b/>
          <w:bCs/>
        </w:rPr>
        <w:t>Voter Education</w:t>
      </w:r>
      <w:r w:rsidRPr="00073279">
        <w:t>: Activities related to voter education, including any contracts related to communicating voter education through various print, online or other media. Also include here the state toll-free phone number expenses for the public to communicate with state and county election offices, including for the public to report suspected fraud, as described under General Guidance.</w:t>
      </w:r>
    </w:p>
    <w:p w:rsidR="00172AF9" w:rsidRPr="00073279" w:rsidP="00172AF9" w14:paraId="47A2557F" w14:textId="77777777">
      <w:pPr>
        <w:ind w:left="360"/>
      </w:pPr>
    </w:p>
    <w:p w:rsidR="00172AF9" w:rsidRPr="00073279" w:rsidP="00172AF9" w14:paraId="242AAB8A" w14:textId="0ED2CA2A">
      <w:pPr>
        <w:ind w:left="360"/>
      </w:pPr>
      <w:r w:rsidRPr="00073279">
        <w:t xml:space="preserve">7. </w:t>
      </w:r>
      <w:r w:rsidRPr="00073279">
        <w:rPr>
          <w:b/>
          <w:bCs/>
        </w:rPr>
        <w:t>Accessibility</w:t>
      </w:r>
      <w:r w:rsidRPr="00073279">
        <w:t>: All costs associated with ensuring polling places and election-related facilities are fully</w:t>
      </w:r>
    </w:p>
    <w:p w:rsidR="00172AF9" w:rsidRPr="00073279" w:rsidP="00172AF9" w14:paraId="1403931E" w14:textId="77777777">
      <w:pPr>
        <w:ind w:left="360"/>
      </w:pPr>
      <w:r w:rsidRPr="00073279">
        <w:t>accessible as described under General Guidance.</w:t>
      </w:r>
    </w:p>
    <w:p w:rsidR="00172AF9" w:rsidRPr="00073279" w:rsidP="00172AF9" w14:paraId="30BF40E3" w14:textId="77777777">
      <w:pPr>
        <w:ind w:left="360"/>
      </w:pPr>
    </w:p>
    <w:p w:rsidR="00172AF9" w:rsidRPr="00073279" w:rsidP="00172AF9" w14:paraId="682FB266" w14:textId="39B6B15E">
      <w:pPr>
        <w:ind w:left="360"/>
        <w:rPr>
          <w:b/>
          <w:bCs/>
        </w:rPr>
      </w:pPr>
      <w:r w:rsidRPr="00073279">
        <w:t xml:space="preserve">8. </w:t>
      </w:r>
      <w:r w:rsidRPr="00073279">
        <w:rPr>
          <w:b/>
          <w:bCs/>
        </w:rPr>
        <w:t>Other (write in)</w:t>
      </w:r>
    </w:p>
    <w:p w:rsidR="00172AF9" w:rsidRPr="00073279" w:rsidP="00172AF9" w14:paraId="75EE00BA" w14:textId="0A1CE034">
      <w:pPr>
        <w:ind w:left="360"/>
      </w:pPr>
      <w:r w:rsidRPr="00073279">
        <w:t>· Bank Fees</w:t>
      </w:r>
    </w:p>
    <w:p w:rsidR="00172AF9" w:rsidRPr="00073279" w:rsidP="00172AF9" w14:paraId="469EDE33" w14:textId="77777777">
      <w:pPr>
        <w:ind w:left="360"/>
      </w:pPr>
      <w:r w:rsidRPr="00073279">
        <w:t>· Audit Fees</w:t>
      </w:r>
    </w:p>
    <w:p w:rsidR="00172AF9" w:rsidRPr="00073279" w:rsidP="00172AF9" w14:paraId="57BF2377" w14:textId="77777777">
      <w:pPr>
        <w:ind w:left="360"/>
      </w:pPr>
      <w:r w:rsidRPr="00073279">
        <w:t>· Software and licenses not directly allocable to one of the main program categories</w:t>
      </w:r>
    </w:p>
    <w:p w:rsidR="00172AF9" w:rsidRPr="00073279" w:rsidP="00172AF9" w14:paraId="2412BAD6" w14:textId="77777777">
      <w:pPr>
        <w:ind w:left="360"/>
      </w:pPr>
    </w:p>
    <w:p w:rsidR="00172AF9" w:rsidRPr="00073279" w:rsidP="00172AF9" w14:paraId="259689FE" w14:textId="342900DC">
      <w:pPr>
        <w:ind w:left="360"/>
      </w:pPr>
      <w:r w:rsidRPr="00073279">
        <w:t>If you have any questions about how to categorize a specific allowable grant cost in these predefined</w:t>
      </w:r>
    </w:p>
    <w:p w:rsidR="00172AF9" w:rsidRPr="00073279" w:rsidP="00172AF9" w14:paraId="1B389F01" w14:textId="77777777">
      <w:pPr>
        <w:ind w:left="360"/>
      </w:pPr>
      <w:r w:rsidRPr="00073279">
        <w:t>categories or whether to use Other, please reach out to the EAC Grants Office at Grants@eac.gov for</w:t>
      </w:r>
    </w:p>
    <w:p w:rsidR="00172AF9" w:rsidRPr="00073279" w:rsidP="00172AF9" w14:paraId="6638B903" w14:textId="77777777">
      <w:pPr>
        <w:ind w:left="360"/>
      </w:pPr>
      <w:r w:rsidRPr="00073279">
        <w:t>technical assistance.</w:t>
      </w:r>
    </w:p>
    <w:p w:rsidR="00172AF9" w:rsidRPr="00073279" w:rsidP="00172AF9" w14:paraId="028C0009" w14:textId="77777777">
      <w:pPr>
        <w:widowControl/>
        <w:tabs>
          <w:tab w:val="left" w:pos="630"/>
        </w:tabs>
        <w:spacing w:after="200" w:line="276" w:lineRule="auto"/>
        <w:contextualSpacing/>
        <w:rPr>
          <w:rFonts w:cs="Times New Roman"/>
        </w:rPr>
      </w:pPr>
    </w:p>
    <w:p w:rsidR="00936353" w:rsidRPr="00E678F3" w:rsidP="002B6A3C" w14:paraId="6D5AE338" w14:textId="032E011E">
      <w:pPr>
        <w:widowControl/>
        <w:tabs>
          <w:tab w:val="left" w:pos="630"/>
        </w:tabs>
        <w:spacing w:after="200" w:line="276" w:lineRule="auto"/>
        <w:contextualSpacing/>
        <w:rPr>
          <w:b/>
          <w:highlight w:val="yellow"/>
        </w:rPr>
      </w:pPr>
      <w:r w:rsidRPr="00E678F3">
        <w:rPr>
          <w:b/>
          <w:sz w:val="32"/>
          <w:szCs w:val="32"/>
          <w:highlight w:val="yellow"/>
        </w:rPr>
        <w:t xml:space="preserve">Instructions </w:t>
      </w:r>
    </w:p>
    <w:p w:rsidR="00E678F3" w:rsidP="002F126F" w14:paraId="0F09B699" w14:textId="77777777">
      <w:pPr>
        <w:widowControl/>
        <w:tabs>
          <w:tab w:val="left" w:pos="630"/>
        </w:tabs>
        <w:spacing w:after="200" w:line="276" w:lineRule="auto"/>
        <w:contextualSpacing/>
        <w:rPr>
          <w:b/>
          <w:highlight w:val="yellow"/>
        </w:rPr>
      </w:pPr>
    </w:p>
    <w:p w:rsidR="00B53A39" w:rsidRPr="008D1537" w:rsidP="002F126F" w14:paraId="1CF74D69" w14:textId="23E79134">
      <w:pPr>
        <w:widowControl/>
        <w:tabs>
          <w:tab w:val="left" w:pos="630"/>
        </w:tabs>
        <w:spacing w:after="200" w:line="276" w:lineRule="auto"/>
        <w:contextualSpacing/>
        <w:rPr>
          <w:b/>
          <w:sz w:val="24"/>
          <w:szCs w:val="24"/>
          <w:highlight w:val="yellow"/>
        </w:rPr>
      </w:pPr>
      <w:r w:rsidRPr="008D1537">
        <w:rPr>
          <w:b/>
          <w:sz w:val="24"/>
          <w:szCs w:val="24"/>
          <w:highlight w:val="yellow"/>
        </w:rPr>
        <w:t>Grantee Information:</w:t>
      </w:r>
    </w:p>
    <w:p w:rsidR="007D5C10" w:rsidRPr="008D1537" w:rsidP="00E678F3" w14:paraId="51881E57" w14:textId="4AB50115">
      <w:pPr>
        <w:widowControl/>
        <w:tabs>
          <w:tab w:val="left" w:pos="630"/>
        </w:tabs>
        <w:spacing w:after="200" w:line="276" w:lineRule="auto"/>
        <w:contextualSpacing/>
        <w:rPr>
          <w:bCs/>
          <w:i/>
          <w:iCs/>
          <w:sz w:val="24"/>
          <w:szCs w:val="24"/>
        </w:rPr>
      </w:pPr>
      <w:r w:rsidRPr="008D1537">
        <w:rPr>
          <w:bCs/>
          <w:i/>
          <w:iCs/>
          <w:sz w:val="24"/>
          <w:szCs w:val="24"/>
          <w:highlight w:val="yellow"/>
        </w:rPr>
        <w:t>Grantees should input data in the green highlighted cells only.</w:t>
      </w:r>
      <w:r w:rsidRPr="008D1537">
        <w:rPr>
          <w:bCs/>
          <w:i/>
          <w:iCs/>
          <w:sz w:val="24"/>
          <w:szCs w:val="24"/>
        </w:rPr>
        <w:t xml:space="preserve"> </w:t>
      </w:r>
    </w:p>
    <w:p w:rsidR="00FD4244" w:rsidRPr="00073279" w14:paraId="61A1271C" w14:textId="77777777"/>
    <w:p w:rsidR="00A05AF6" w:rsidRPr="00073279" w:rsidP="003355FF" w14:paraId="6AEB0FA2" w14:textId="2A6012BE">
      <w:pPr>
        <w:pStyle w:val="ListParagraph"/>
        <w:numPr>
          <w:ilvl w:val="0"/>
          <w:numId w:val="7"/>
        </w:numPr>
      </w:pPr>
      <w:r w:rsidRPr="00073279">
        <w:rPr>
          <w:b/>
        </w:rPr>
        <w:t>Name of Organization</w:t>
      </w:r>
      <w:r w:rsidRPr="00073279" w:rsidR="00856F3E">
        <w:rPr>
          <w:b/>
        </w:rPr>
        <w:t xml:space="preserve"> (Cell </w:t>
      </w:r>
      <w:r w:rsidRPr="00073279" w:rsidR="000E3EF8">
        <w:rPr>
          <w:b/>
        </w:rPr>
        <w:t>B-</w:t>
      </w:r>
      <w:r w:rsidRPr="00073279" w:rsidR="00FF47C8">
        <w:rPr>
          <w:b/>
        </w:rPr>
        <w:t>2</w:t>
      </w:r>
      <w:r w:rsidRPr="00073279" w:rsidR="00856F3E">
        <w:rPr>
          <w:b/>
        </w:rPr>
        <w:t>)</w:t>
      </w:r>
      <w:r w:rsidRPr="00073279">
        <w:rPr>
          <w:b/>
        </w:rPr>
        <w:t>:</w:t>
      </w:r>
      <w:r w:rsidR="00076CFB">
        <w:t xml:space="preserve"> </w:t>
      </w:r>
      <w:r w:rsidRPr="00073279">
        <w:t xml:space="preserve">Enter the name of the state </w:t>
      </w:r>
      <w:r w:rsidRPr="00073279" w:rsidR="00C36CBE">
        <w:t xml:space="preserve">and </w:t>
      </w:r>
      <w:r w:rsidRPr="00073279">
        <w:t xml:space="preserve">department in cell </w:t>
      </w:r>
      <w:r w:rsidRPr="00073279" w:rsidR="00E96CF9">
        <w:t>B</w:t>
      </w:r>
      <w:r w:rsidRPr="00073279" w:rsidR="000E3EF8">
        <w:t>-</w:t>
      </w:r>
      <w:r w:rsidRPr="00073279" w:rsidR="006A61F4">
        <w:t>2</w:t>
      </w:r>
      <w:r w:rsidRPr="00073279" w:rsidR="000D0A31">
        <w:t>.</w:t>
      </w:r>
    </w:p>
    <w:p w:rsidR="00A83940" w:rsidRPr="00073279" w:rsidP="00A05AF6" w14:paraId="7181D90B" w14:textId="77777777">
      <w:pPr>
        <w:pStyle w:val="ListParagraph"/>
        <w:ind w:left="720"/>
      </w:pPr>
    </w:p>
    <w:p w:rsidR="00A05AF6" w:rsidRPr="00073279" w:rsidP="003355FF" w14:paraId="4CC6D78D" w14:textId="1786A0BF">
      <w:pPr>
        <w:pStyle w:val="ListParagraph"/>
        <w:numPr>
          <w:ilvl w:val="0"/>
          <w:numId w:val="7"/>
        </w:numPr>
      </w:pPr>
      <w:r w:rsidRPr="00073279">
        <w:rPr>
          <w:b/>
        </w:rPr>
        <w:t>Award Type (Cell B-</w:t>
      </w:r>
      <w:r w:rsidRPr="00073279">
        <w:rPr>
          <w:b/>
          <w:bCs/>
        </w:rPr>
        <w:t>3)</w:t>
      </w:r>
      <w:r w:rsidRPr="00073279">
        <w:t xml:space="preserve">: The award type “formula” will be selected </w:t>
      </w:r>
    </w:p>
    <w:p w:rsidR="001F4592" w:rsidRPr="00073279" w:rsidP="003355FF" w14:paraId="47573E03" w14:textId="77777777">
      <w:pPr>
        <w:pStyle w:val="ListParagraph"/>
        <w:ind w:left="720"/>
      </w:pPr>
    </w:p>
    <w:p w:rsidR="00DA6CB1" w:rsidRPr="00073279" w:rsidP="00186EE1" w14:paraId="2A2E0276" w14:textId="3BA6C07F">
      <w:pPr>
        <w:pStyle w:val="ListParagraph"/>
        <w:numPr>
          <w:ilvl w:val="0"/>
          <w:numId w:val="7"/>
        </w:numPr>
      </w:pPr>
      <w:r w:rsidRPr="00073279">
        <w:rPr>
          <w:b/>
          <w:bCs/>
        </w:rPr>
        <w:t>Projec</w:t>
      </w:r>
      <w:r w:rsidRPr="00073279" w:rsidR="001F4592">
        <w:rPr>
          <w:b/>
          <w:bCs/>
        </w:rPr>
        <w:t>t Period</w:t>
      </w:r>
      <w:r w:rsidRPr="00073279" w:rsidR="00856F3E">
        <w:rPr>
          <w:b/>
          <w:bCs/>
        </w:rPr>
        <w:t xml:space="preserve"> Start Date (Cell </w:t>
      </w:r>
      <w:r w:rsidRPr="00073279" w:rsidR="000E3EF8">
        <w:rPr>
          <w:b/>
          <w:bCs/>
        </w:rPr>
        <w:t>B-</w:t>
      </w:r>
      <w:r w:rsidRPr="00073279" w:rsidR="00FF47C8">
        <w:rPr>
          <w:b/>
          <w:bCs/>
        </w:rPr>
        <w:t>4</w:t>
      </w:r>
      <w:r w:rsidRPr="00073279" w:rsidR="00856F3E">
        <w:rPr>
          <w:b/>
          <w:bCs/>
        </w:rPr>
        <w:t>)</w:t>
      </w:r>
      <w:r w:rsidRPr="00073279" w:rsidR="2AAF52E0">
        <w:rPr>
          <w:b/>
          <w:bCs/>
        </w:rPr>
        <w:t>: The</w:t>
      </w:r>
      <w:r w:rsidRPr="00073279" w:rsidR="00856F3E">
        <w:t xml:space="preserve"> start date of the budget period is already </w:t>
      </w:r>
      <w:r w:rsidRPr="00073279" w:rsidR="13F9979C">
        <w:t>pre-filled.</w:t>
      </w:r>
    </w:p>
    <w:p w:rsidR="00856F3E" w:rsidRPr="00073279" w:rsidP="003355FF" w14:paraId="2242702B" w14:textId="77777777">
      <w:pPr>
        <w:pStyle w:val="ListParagraph"/>
        <w:ind w:left="720"/>
      </w:pPr>
    </w:p>
    <w:p w:rsidR="006C1F04" w:rsidP="002F126F" w14:paraId="6E4D6924" w14:textId="77777777">
      <w:pPr>
        <w:pStyle w:val="ListParagraph"/>
        <w:numPr>
          <w:ilvl w:val="0"/>
          <w:numId w:val="7"/>
        </w:numPr>
      </w:pPr>
      <w:r w:rsidRPr="00073279">
        <w:rPr>
          <w:b/>
        </w:rPr>
        <w:t>Projec</w:t>
      </w:r>
      <w:r w:rsidRPr="00073279" w:rsidR="00856F3E">
        <w:rPr>
          <w:b/>
        </w:rPr>
        <w:t xml:space="preserve">t Period End Date (Cell </w:t>
      </w:r>
      <w:r w:rsidRPr="00073279" w:rsidR="000E3EF8">
        <w:rPr>
          <w:b/>
        </w:rPr>
        <w:t>B-</w:t>
      </w:r>
      <w:r w:rsidRPr="00073279" w:rsidR="00FF47C8">
        <w:rPr>
          <w:b/>
        </w:rPr>
        <w:t>5</w:t>
      </w:r>
      <w:r w:rsidRPr="00073279" w:rsidR="00856F3E">
        <w:rPr>
          <w:b/>
        </w:rPr>
        <w:t>):</w:t>
      </w:r>
      <w:r w:rsidR="00076CFB">
        <w:t xml:space="preserve"> </w:t>
      </w:r>
      <w:r w:rsidRPr="00073279" w:rsidR="00F73A32">
        <w:t>Leave blank.</w:t>
      </w:r>
    </w:p>
    <w:p w:rsidR="00DA6CB1" w:rsidP="00A806EC" w14:paraId="4A3E4D5F" w14:textId="77777777">
      <w:pPr>
        <w:pStyle w:val="ListParagraph"/>
        <w:ind w:left="720"/>
      </w:pPr>
    </w:p>
    <w:p w:rsidR="006C1F04" w:rsidRPr="003225AB" w:rsidP="00A806EC" w14:paraId="71E976C5" w14:textId="5FFFAAEE">
      <w:pPr>
        <w:pStyle w:val="ListParagraph"/>
        <w:numPr>
          <w:ilvl w:val="0"/>
          <w:numId w:val="7"/>
        </w:numPr>
      </w:pPr>
      <w:r w:rsidRPr="003225AB">
        <w:rPr>
          <w:b/>
        </w:rPr>
        <w:t>State Indirect Cost Rate:</w:t>
      </w:r>
      <w:r w:rsidRPr="003225AB">
        <w:t xml:space="preserve"> If you are claiming indirect costs against the grant, work with staff knowledgeable about the state’s rate and its base for application to answer the questions on the form and determine the </w:t>
      </w:r>
      <w:r w:rsidRPr="003225AB">
        <w:rPr>
          <w:u w:val="single"/>
        </w:rPr>
        <w:t>amounts</w:t>
      </w:r>
      <w:r w:rsidRPr="003225AB">
        <w:t xml:space="preserve"> to enter in the line for indirect costs within the appropriate program categories. Because the base for application can vary and may not be based on the budget categories on the form, you should be prepared to answer questions from EAC staff to explain the calculations.</w:t>
      </w:r>
    </w:p>
    <w:p w:rsidR="006C1F04" w:rsidRPr="003225AB" w:rsidP="00A806EC" w14:paraId="247E675E" w14:textId="77777777">
      <w:pPr>
        <w:ind w:left="360"/>
      </w:pPr>
    </w:p>
    <w:p w:rsidR="006C1F04" w:rsidRPr="003225AB" w:rsidP="00A806EC" w14:paraId="2050481C" w14:textId="77777777">
      <w:pPr>
        <w:pStyle w:val="ListParagraph"/>
        <w:numPr>
          <w:ilvl w:val="0"/>
          <w:numId w:val="6"/>
        </w:numPr>
        <w:ind w:left="1440"/>
      </w:pPr>
      <w:r w:rsidRPr="003225AB">
        <w:t>Select your Indirect Cost % in cell E-4</w:t>
      </w:r>
    </w:p>
    <w:p w:rsidR="006C1F04" w:rsidRPr="003225AB" w:rsidP="00A806EC" w14:paraId="42EB0E2C" w14:textId="77777777">
      <w:pPr>
        <w:pStyle w:val="ListParagraph"/>
        <w:numPr>
          <w:ilvl w:val="0"/>
          <w:numId w:val="6"/>
        </w:numPr>
        <w:ind w:left="1440"/>
      </w:pPr>
      <w:r w:rsidRPr="003225AB">
        <w:t>Select your Indirect Cost Type in cell E-5</w:t>
      </w:r>
    </w:p>
    <w:p w:rsidR="005A2A2B" w:rsidRPr="003225AB" w:rsidP="00A806EC" w14:paraId="17CE0AE4" w14:textId="77777777">
      <w:pPr>
        <w:ind w:left="360"/>
      </w:pPr>
    </w:p>
    <w:p w:rsidR="005A2A2B" w:rsidRPr="003225AB" w:rsidP="00A806EC" w14:paraId="160A5B2D" w14:textId="77777777">
      <w:pPr>
        <w:pStyle w:val="ListParagraph"/>
        <w:numPr>
          <w:ilvl w:val="0"/>
          <w:numId w:val="9"/>
        </w:numPr>
        <w:ind w:left="720"/>
      </w:pPr>
      <w:r w:rsidRPr="003225AB">
        <w:rPr>
          <w:b/>
          <w:bCs/>
        </w:rPr>
        <w:t xml:space="preserve">Match. </w:t>
      </w:r>
      <w:r w:rsidRPr="003225AB">
        <w:t xml:space="preserve">The percentage of match required, where applicable, will be prepopulated in cell E-3. </w:t>
      </w:r>
      <w:r w:rsidRPr="003225AB">
        <w:rPr>
          <w:rFonts w:eastAsia="Arial" w:cs="Times New Roman"/>
        </w:rPr>
        <w:t xml:space="preserve">EAC understands that the non-federal share is planned, and the state has two years from the disbursement date to make the match available for use. Therefore, while the form includes a section in which to enter </w:t>
      </w:r>
      <w:r w:rsidRPr="003225AB">
        <w:rPr>
          <w:rFonts w:eastAsia="Arial" w:cs="Times New Roman"/>
        </w:rPr>
        <w:t xml:space="preserve">proposed state match sources in Section C, you are not required to enter data for match at this time if you don’t have it. States can submit amendments to the budget once match is identified. </w:t>
      </w:r>
      <w:r w:rsidRPr="003225AB">
        <w:t xml:space="preserve">The territories of American Samoa, Guam, the Northern Mariana Islands, and the Virgin Islands, are exempt from match. </w:t>
      </w:r>
    </w:p>
    <w:p w:rsidR="005A2A2B" w:rsidRPr="00073279" w:rsidP="00844B75" w14:paraId="63DA606B" w14:textId="77777777"/>
    <w:p w:rsidR="001D3BB9" w:rsidP="00844B75" w14:paraId="29DC3410" w14:textId="77777777">
      <w:pPr>
        <w:pStyle w:val="ListParagraph"/>
        <w:ind w:left="1080"/>
      </w:pPr>
    </w:p>
    <w:p w:rsidR="001D3BB9" w:rsidRPr="00D6070F" w:rsidP="00844B75" w14:paraId="1D60E920" w14:textId="5CFF8754">
      <w:pPr>
        <w:rPr>
          <w:b/>
          <w:bCs/>
          <w:highlight w:val="yellow"/>
        </w:rPr>
      </w:pPr>
      <w:r w:rsidRPr="00D6070F">
        <w:rPr>
          <w:b/>
          <w:bCs/>
          <w:highlight w:val="yellow"/>
        </w:rPr>
        <w:t xml:space="preserve">Section </w:t>
      </w:r>
      <w:r w:rsidRPr="00D6070F" w:rsidR="00214078">
        <w:rPr>
          <w:b/>
          <w:bCs/>
          <w:highlight w:val="yellow"/>
        </w:rPr>
        <w:t xml:space="preserve">A: Grant Budget </w:t>
      </w:r>
    </w:p>
    <w:p w:rsidR="00936353" w:rsidRPr="00D6070F" w:rsidP="00844B75" w14:paraId="2A213048" w14:textId="77777777">
      <w:pPr>
        <w:pStyle w:val="ListParagraph"/>
        <w:rPr>
          <w:highlight w:val="yellow"/>
        </w:rPr>
      </w:pPr>
    </w:p>
    <w:p w:rsidR="00936353" w:rsidRPr="00D6070F" w:rsidP="00C7381D" w14:paraId="087FCE7C" w14:textId="1A4950A1">
      <w:pPr>
        <w:pStyle w:val="ListParagraph"/>
        <w:numPr>
          <w:ilvl w:val="0"/>
          <w:numId w:val="8"/>
        </w:numPr>
        <w:ind w:left="720"/>
        <w:rPr>
          <w:highlight w:val="yellow"/>
        </w:rPr>
      </w:pPr>
      <w:r w:rsidRPr="00D6070F">
        <w:rPr>
          <w:b/>
          <w:bCs/>
          <w:highlight w:val="yellow"/>
        </w:rPr>
        <w:t>Prior Funding</w:t>
      </w:r>
      <w:r w:rsidRPr="00D6070F">
        <w:rPr>
          <w:highlight w:val="yellow"/>
        </w:rPr>
        <w:t>:</w:t>
      </w:r>
      <w:r w:rsidRPr="00D6070F" w:rsidR="00CD02D2">
        <w:rPr>
          <w:highlight w:val="yellow"/>
        </w:rPr>
        <w:t xml:space="preserve"> In</w:t>
      </w:r>
      <w:r w:rsidRPr="00D6070F" w:rsidR="00D44BE1">
        <w:rPr>
          <w:highlight w:val="yellow"/>
        </w:rPr>
        <w:t>clude the total amount of federal funding</w:t>
      </w:r>
      <w:r w:rsidRPr="00D6070F" w:rsidR="007F1DDA">
        <w:rPr>
          <w:highlight w:val="yellow"/>
        </w:rPr>
        <w:t xml:space="preserve"> (Cell B9)</w:t>
      </w:r>
      <w:r w:rsidRPr="00D6070F" w:rsidR="00D44BE1">
        <w:rPr>
          <w:highlight w:val="yellow"/>
        </w:rPr>
        <w:t xml:space="preserve"> and required match </w:t>
      </w:r>
      <w:r w:rsidRPr="00D6070F" w:rsidR="007F1DDA">
        <w:rPr>
          <w:highlight w:val="yellow"/>
        </w:rPr>
        <w:t xml:space="preserve">(Cell B10) </w:t>
      </w:r>
      <w:r w:rsidRPr="00D6070F" w:rsidR="00D44BE1">
        <w:rPr>
          <w:highlight w:val="yellow"/>
        </w:rPr>
        <w:t xml:space="preserve">award </w:t>
      </w:r>
      <w:r w:rsidRPr="00D6070F" w:rsidR="008419BE">
        <w:rPr>
          <w:highlight w:val="yellow"/>
        </w:rPr>
        <w:t>before</w:t>
      </w:r>
      <w:r w:rsidRPr="00D6070F" w:rsidR="00D44BE1">
        <w:rPr>
          <w:highlight w:val="yellow"/>
        </w:rPr>
        <w:t xml:space="preserve"> the new funding. These amounts can be found </w:t>
      </w:r>
      <w:r w:rsidRPr="00D6070F" w:rsidR="1C1A9A06">
        <w:rPr>
          <w:highlight w:val="yellow"/>
        </w:rPr>
        <w:t>in</w:t>
      </w:r>
      <w:r w:rsidRPr="00D6070F" w:rsidR="009F0B72">
        <w:rPr>
          <w:highlight w:val="yellow"/>
        </w:rPr>
        <w:t xml:space="preserve"> the most recent</w:t>
      </w:r>
      <w:r w:rsidRPr="00D6070F" w:rsidR="008419BE">
        <w:rPr>
          <w:highlight w:val="yellow"/>
        </w:rPr>
        <w:t xml:space="preserve"> prior-year</w:t>
      </w:r>
      <w:r w:rsidRPr="00D6070F" w:rsidR="009F0B72">
        <w:rPr>
          <w:highlight w:val="yellow"/>
        </w:rPr>
        <w:t xml:space="preserve"> </w:t>
      </w:r>
      <w:r w:rsidRPr="00D6070F" w:rsidR="008419BE">
        <w:rPr>
          <w:highlight w:val="yellow"/>
        </w:rPr>
        <w:t>N</w:t>
      </w:r>
      <w:r w:rsidRPr="00D6070F" w:rsidR="009F0B72">
        <w:rPr>
          <w:highlight w:val="yellow"/>
        </w:rPr>
        <w:t xml:space="preserve">otice of </w:t>
      </w:r>
      <w:r w:rsidRPr="00D6070F" w:rsidR="008419BE">
        <w:rPr>
          <w:highlight w:val="yellow"/>
        </w:rPr>
        <w:t>A</w:t>
      </w:r>
      <w:r w:rsidRPr="00D6070F" w:rsidR="009F0B72">
        <w:rPr>
          <w:highlight w:val="yellow"/>
        </w:rPr>
        <w:t xml:space="preserve">ward (NOA). For </w:t>
      </w:r>
      <w:r w:rsidRPr="00D6070F" w:rsidR="00A539B8">
        <w:rPr>
          <w:highlight w:val="yellow"/>
        </w:rPr>
        <w:t xml:space="preserve">example, the amounts for FY25 </w:t>
      </w:r>
      <w:r w:rsidRPr="00D6070F" w:rsidR="00E83DE9">
        <w:rPr>
          <w:highlight w:val="yellow"/>
        </w:rPr>
        <w:t>supplemental</w:t>
      </w:r>
      <w:r w:rsidRPr="00D6070F" w:rsidR="00A539B8">
        <w:rPr>
          <w:highlight w:val="yellow"/>
        </w:rPr>
        <w:t xml:space="preserve"> funding will be </w:t>
      </w:r>
      <w:r w:rsidRPr="00D6070F" w:rsidR="00E83DE9">
        <w:rPr>
          <w:highlight w:val="yellow"/>
        </w:rPr>
        <w:t>located on the FY24 NOA.</w:t>
      </w:r>
    </w:p>
    <w:p w:rsidR="00DA6CB1" w:rsidRPr="00D6070F" w:rsidP="00844B75" w14:paraId="4EDDA6AC" w14:textId="77777777">
      <w:pPr>
        <w:pStyle w:val="ListParagraph"/>
        <w:ind w:left="720"/>
        <w:rPr>
          <w:highlight w:val="yellow"/>
        </w:rPr>
      </w:pPr>
    </w:p>
    <w:p w:rsidR="00D849DB" w:rsidRPr="00D6070F" w:rsidP="00844B75" w14:paraId="5A8C385E" w14:textId="17CA9443">
      <w:pPr>
        <w:pStyle w:val="ListParagraph"/>
        <w:numPr>
          <w:ilvl w:val="0"/>
          <w:numId w:val="8"/>
        </w:numPr>
        <w:ind w:left="720"/>
        <w:rPr>
          <w:highlight w:val="yellow"/>
        </w:rPr>
      </w:pPr>
      <w:r w:rsidRPr="00D6070F">
        <w:rPr>
          <w:b/>
          <w:bCs/>
          <w:highlight w:val="yellow"/>
        </w:rPr>
        <w:t>New Funding:</w:t>
      </w:r>
      <w:r w:rsidRPr="00D6070F">
        <w:rPr>
          <w:highlight w:val="yellow"/>
        </w:rPr>
        <w:t xml:space="preserve"> </w:t>
      </w:r>
      <w:r w:rsidRPr="00D6070F" w:rsidR="00B33C67">
        <w:rPr>
          <w:highlight w:val="yellow"/>
        </w:rPr>
        <w:t xml:space="preserve">Include the </w:t>
      </w:r>
      <w:r w:rsidRPr="00D6070F" w:rsidR="0033464D">
        <w:rPr>
          <w:highlight w:val="yellow"/>
        </w:rPr>
        <w:t>amount of new federal funding</w:t>
      </w:r>
      <w:r w:rsidRPr="00D6070F" w:rsidR="00357FA5">
        <w:rPr>
          <w:highlight w:val="yellow"/>
        </w:rPr>
        <w:t xml:space="preserve"> (Cell C9)</w:t>
      </w:r>
      <w:r w:rsidRPr="00D6070F" w:rsidR="0033464D">
        <w:rPr>
          <w:highlight w:val="yellow"/>
        </w:rPr>
        <w:t xml:space="preserve"> and required state share </w:t>
      </w:r>
      <w:r w:rsidRPr="00D6070F" w:rsidR="00357FA5">
        <w:rPr>
          <w:highlight w:val="yellow"/>
        </w:rPr>
        <w:t xml:space="preserve">(Cell C19) </w:t>
      </w:r>
      <w:r w:rsidRPr="00D6070F" w:rsidR="0033464D">
        <w:rPr>
          <w:highlight w:val="yellow"/>
        </w:rPr>
        <w:t>awarded</w:t>
      </w:r>
      <w:r w:rsidRPr="00D6070F" w:rsidR="00A7533F">
        <w:rPr>
          <w:highlight w:val="yellow"/>
        </w:rPr>
        <w:t>. These a</w:t>
      </w:r>
      <w:r w:rsidRPr="00D6070F" w:rsidR="001C07F9">
        <w:rPr>
          <w:highlight w:val="yellow"/>
        </w:rPr>
        <w:t>m</w:t>
      </w:r>
      <w:r w:rsidRPr="00D6070F" w:rsidR="00A7533F">
        <w:rPr>
          <w:highlight w:val="yellow"/>
        </w:rPr>
        <w:t xml:space="preserve">ounts can be found </w:t>
      </w:r>
      <w:r w:rsidRPr="00D6070F" w:rsidR="001C07F9">
        <w:rPr>
          <w:highlight w:val="yellow"/>
        </w:rPr>
        <w:t>i</w:t>
      </w:r>
      <w:r w:rsidRPr="00D6070F" w:rsidR="00A7533F">
        <w:rPr>
          <w:highlight w:val="yellow"/>
        </w:rPr>
        <w:t xml:space="preserve">n the </w:t>
      </w:r>
      <w:r w:rsidRPr="00D6070F" w:rsidR="001C07F9">
        <w:rPr>
          <w:highlight w:val="yellow"/>
        </w:rPr>
        <w:t xml:space="preserve">funding availability email. </w:t>
      </w:r>
    </w:p>
    <w:p w:rsidR="00357FA5" w:rsidRPr="00D6070F" w:rsidP="00844B75" w14:paraId="7D9E4B61" w14:textId="77777777">
      <w:pPr>
        <w:pStyle w:val="ListParagraph"/>
        <w:ind w:left="720"/>
        <w:rPr>
          <w:highlight w:val="yellow"/>
        </w:rPr>
      </w:pPr>
    </w:p>
    <w:p w:rsidR="00085D71" w:rsidRPr="00D6070F" w:rsidP="00844B75" w14:paraId="02343DDB" w14:textId="63CB7E06">
      <w:pPr>
        <w:pStyle w:val="ListParagraph"/>
        <w:ind w:left="720"/>
        <w:rPr>
          <w:i/>
          <w:iCs/>
          <w:highlight w:val="yellow"/>
        </w:rPr>
      </w:pPr>
    </w:p>
    <w:p w:rsidR="00085D71" w:rsidRPr="00D6070F" w:rsidP="00844B75" w14:paraId="3A98306D" w14:textId="6A849788">
      <w:pPr>
        <w:rPr>
          <w:b/>
          <w:bCs/>
          <w:highlight w:val="yellow"/>
        </w:rPr>
      </w:pPr>
      <w:r w:rsidRPr="00D6070F">
        <w:rPr>
          <w:b/>
          <w:bCs/>
          <w:highlight w:val="yellow"/>
        </w:rPr>
        <w:t xml:space="preserve">Section B: </w:t>
      </w:r>
      <w:r w:rsidRPr="00D6070F" w:rsidR="006C1F04">
        <w:rPr>
          <w:b/>
          <w:bCs/>
          <w:highlight w:val="yellow"/>
        </w:rPr>
        <w:t>Budget Categories</w:t>
      </w:r>
    </w:p>
    <w:p w:rsidR="005A2A2B" w:rsidRPr="00D6070F" w:rsidP="00085D71" w14:paraId="74FD2928" w14:textId="77777777">
      <w:pPr>
        <w:ind w:left="360"/>
        <w:rPr>
          <w:b/>
          <w:bCs/>
          <w:highlight w:val="yellow"/>
        </w:rPr>
      </w:pPr>
    </w:p>
    <w:p w:rsidR="004F6C0A" w:rsidRPr="00D6070F" w:rsidP="00BD3083" w14:paraId="562B740B" w14:textId="152C0C19">
      <w:pPr>
        <w:pStyle w:val="ListParagraph"/>
        <w:numPr>
          <w:ilvl w:val="0"/>
          <w:numId w:val="15"/>
        </w:numPr>
        <w:rPr>
          <w:rFonts w:eastAsia="Arial" w:cs="Times New Roman"/>
          <w:highlight w:val="yellow"/>
        </w:rPr>
      </w:pPr>
      <w:r w:rsidRPr="00D6070F">
        <w:rPr>
          <w:rFonts w:eastAsia="Arial" w:cs="Times New Roman"/>
          <w:b/>
          <w:bCs/>
          <w:highlight w:val="yellow"/>
        </w:rPr>
        <w:t xml:space="preserve">Allocate </w:t>
      </w:r>
      <w:r w:rsidRPr="00D6070F" w:rsidR="003F5E8F">
        <w:rPr>
          <w:rFonts w:eastAsia="Arial" w:cs="Times New Roman"/>
          <w:b/>
          <w:bCs/>
          <w:highlight w:val="yellow"/>
        </w:rPr>
        <w:t>total</w:t>
      </w:r>
      <w:r w:rsidRPr="00D6070F" w:rsidR="00A30893">
        <w:rPr>
          <w:rFonts w:eastAsia="Arial" w:cs="Times New Roman"/>
          <w:b/>
          <w:bCs/>
          <w:highlight w:val="yellow"/>
        </w:rPr>
        <w:t xml:space="preserve"> federal </w:t>
      </w:r>
      <w:r w:rsidRPr="00D6070F">
        <w:rPr>
          <w:rFonts w:eastAsia="Arial" w:cs="Times New Roman"/>
          <w:b/>
          <w:bCs/>
          <w:highlight w:val="yellow"/>
        </w:rPr>
        <w:t>funds</w:t>
      </w:r>
      <w:r w:rsidRPr="00D6070F">
        <w:rPr>
          <w:rFonts w:eastAsia="Arial" w:cs="Times New Roman"/>
          <w:highlight w:val="yellow"/>
        </w:rPr>
        <w:t xml:space="preserve"> to each program category (X-axis) you plan to use the funds for and to the budget line items (Y-axis) you plan to claim costs against within the program category.  The form will </w:t>
      </w:r>
      <w:r w:rsidRPr="00D6070F" w:rsidR="003F5E8F">
        <w:rPr>
          <w:rFonts w:eastAsia="Arial" w:cs="Times New Roman"/>
          <w:highlight w:val="yellow"/>
        </w:rPr>
        <w:t xml:space="preserve">automatically </w:t>
      </w:r>
      <w:r w:rsidRPr="00D6070F">
        <w:rPr>
          <w:rFonts w:eastAsia="Arial" w:cs="Times New Roman"/>
          <w:highlight w:val="yellow"/>
        </w:rPr>
        <w:t>calculate totals for each budget line item and each program category.</w:t>
      </w:r>
    </w:p>
    <w:p w:rsidR="004F6C0A" w:rsidRPr="00D6070F" w:rsidP="005E4B9C" w14:paraId="58C572D8" w14:textId="77777777">
      <w:pPr>
        <w:pStyle w:val="ListParagraph"/>
        <w:ind w:left="360"/>
        <w:rPr>
          <w:b/>
          <w:highlight w:val="yellow"/>
        </w:rPr>
      </w:pPr>
    </w:p>
    <w:p w:rsidR="00653102" w:rsidRPr="00D6070F" w:rsidP="00C7381D" w14:paraId="630BE81A" w14:textId="5C12D014">
      <w:pPr>
        <w:pStyle w:val="ListParagraph"/>
        <w:numPr>
          <w:ilvl w:val="0"/>
          <w:numId w:val="10"/>
        </w:numPr>
        <w:ind w:left="720"/>
        <w:rPr>
          <w:highlight w:val="yellow"/>
        </w:rPr>
      </w:pPr>
      <w:r w:rsidRPr="00D6070F">
        <w:rPr>
          <w:b/>
          <w:highlight w:val="yellow"/>
        </w:rPr>
        <w:t xml:space="preserve">Other Program Categories Specified by the State (Cells </w:t>
      </w:r>
      <w:r w:rsidRPr="00D6070F" w:rsidR="00FF47C8">
        <w:rPr>
          <w:b/>
          <w:highlight w:val="yellow"/>
        </w:rPr>
        <w:t>I</w:t>
      </w:r>
      <w:r w:rsidRPr="00D6070F" w:rsidR="001378AB">
        <w:rPr>
          <w:b/>
          <w:highlight w:val="yellow"/>
        </w:rPr>
        <w:t>-</w:t>
      </w:r>
      <w:r w:rsidRPr="00D6070F" w:rsidR="00FF47C8">
        <w:rPr>
          <w:b/>
          <w:highlight w:val="yellow"/>
        </w:rPr>
        <w:t>14:23</w:t>
      </w:r>
      <w:r w:rsidRPr="00D6070F" w:rsidR="007A70B4">
        <w:rPr>
          <w:b/>
          <w:highlight w:val="yellow"/>
        </w:rPr>
        <w:t xml:space="preserve"> and </w:t>
      </w:r>
      <w:r w:rsidRPr="00D6070F" w:rsidR="00FF47C8">
        <w:rPr>
          <w:b/>
          <w:highlight w:val="yellow"/>
        </w:rPr>
        <w:t>J</w:t>
      </w:r>
      <w:r w:rsidRPr="00D6070F" w:rsidR="001378AB">
        <w:rPr>
          <w:b/>
          <w:highlight w:val="yellow"/>
        </w:rPr>
        <w:t>-</w:t>
      </w:r>
      <w:r w:rsidRPr="00D6070F" w:rsidR="00FF47C8">
        <w:rPr>
          <w:b/>
          <w:highlight w:val="yellow"/>
        </w:rPr>
        <w:t>14:23</w:t>
      </w:r>
      <w:r w:rsidRPr="00D6070F">
        <w:rPr>
          <w:b/>
          <w:highlight w:val="yellow"/>
        </w:rPr>
        <w:t>):</w:t>
      </w:r>
      <w:r w:rsidRPr="00D6070F" w:rsidR="00076CFB">
        <w:rPr>
          <w:highlight w:val="yellow"/>
        </w:rPr>
        <w:t xml:space="preserve"> </w:t>
      </w:r>
      <w:r w:rsidRPr="00D6070F" w:rsidR="00EE22A0">
        <w:rPr>
          <w:highlight w:val="yellow"/>
        </w:rPr>
        <w:t xml:space="preserve">If you plan to support one or more program areas that don’t fit into the existing </w:t>
      </w:r>
      <w:r w:rsidRPr="00D6070F" w:rsidR="00696A80">
        <w:rPr>
          <w:highlight w:val="yellow"/>
        </w:rPr>
        <w:t xml:space="preserve">seven </w:t>
      </w:r>
      <w:r w:rsidRPr="00D6070F" w:rsidR="00EE22A0">
        <w:rPr>
          <w:highlight w:val="yellow"/>
        </w:rPr>
        <w:t xml:space="preserve">categories, use columns </w:t>
      </w:r>
      <w:r w:rsidRPr="00D6070F" w:rsidR="00FF47C8">
        <w:rPr>
          <w:highlight w:val="yellow"/>
        </w:rPr>
        <w:t>I</w:t>
      </w:r>
      <w:r w:rsidRPr="00D6070F" w:rsidR="00EE22A0">
        <w:rPr>
          <w:highlight w:val="yellow"/>
        </w:rPr>
        <w:t xml:space="preserve"> and </w:t>
      </w:r>
      <w:r w:rsidRPr="00D6070F" w:rsidR="00FF47C8">
        <w:rPr>
          <w:highlight w:val="yellow"/>
        </w:rPr>
        <w:t>J</w:t>
      </w:r>
      <w:r w:rsidRPr="00D6070F" w:rsidR="00EE22A0">
        <w:rPr>
          <w:highlight w:val="yellow"/>
        </w:rPr>
        <w:t>.</w:t>
      </w:r>
      <w:r w:rsidRPr="00D6070F" w:rsidR="00076CFB">
        <w:rPr>
          <w:highlight w:val="yellow"/>
        </w:rPr>
        <w:t xml:space="preserve"> </w:t>
      </w:r>
      <w:r w:rsidRPr="00D6070F" w:rsidR="00EE22A0">
        <w:rPr>
          <w:highlight w:val="yellow"/>
        </w:rPr>
        <w:t>E</w:t>
      </w:r>
      <w:r w:rsidRPr="00D6070F">
        <w:rPr>
          <w:highlight w:val="yellow"/>
        </w:rPr>
        <w:t xml:space="preserve">nter titles for them in </w:t>
      </w:r>
      <w:r w:rsidRPr="00D6070F" w:rsidR="000E3EF8">
        <w:rPr>
          <w:highlight w:val="yellow"/>
        </w:rPr>
        <w:t>c</w:t>
      </w:r>
      <w:r w:rsidRPr="00D6070F">
        <w:rPr>
          <w:highlight w:val="yellow"/>
        </w:rPr>
        <w:t>ells</w:t>
      </w:r>
      <w:r w:rsidRPr="00D6070F" w:rsidR="00FF47C8">
        <w:rPr>
          <w:highlight w:val="yellow"/>
        </w:rPr>
        <w:t xml:space="preserve"> I-13</w:t>
      </w:r>
      <w:r w:rsidRPr="00D6070F" w:rsidR="003A5630">
        <w:rPr>
          <w:highlight w:val="yellow"/>
        </w:rPr>
        <w:t xml:space="preserve"> </w:t>
      </w:r>
      <w:r w:rsidRPr="00D6070F" w:rsidR="000E3EF8">
        <w:rPr>
          <w:highlight w:val="yellow"/>
        </w:rPr>
        <w:t>and</w:t>
      </w:r>
      <w:r w:rsidRPr="00D6070F" w:rsidR="00FF47C8">
        <w:rPr>
          <w:highlight w:val="yellow"/>
        </w:rPr>
        <w:t xml:space="preserve"> J-13</w:t>
      </w:r>
      <w:r w:rsidRPr="00D6070F">
        <w:rPr>
          <w:highlight w:val="yellow"/>
        </w:rPr>
        <w:t>, as needed.</w:t>
      </w:r>
    </w:p>
    <w:p w:rsidR="00D126C5" w:rsidRPr="00D6070F" w:rsidP="00844B75" w14:paraId="51FB0330" w14:textId="77777777">
      <w:pPr>
        <w:pStyle w:val="ListParagraph"/>
        <w:ind w:left="720"/>
        <w:rPr>
          <w:highlight w:val="yellow"/>
        </w:rPr>
      </w:pPr>
    </w:p>
    <w:p w:rsidR="00F22787" w:rsidRPr="00D6070F" w:rsidP="00E4738F" w14:paraId="39C8E0FC" w14:textId="20F18253">
      <w:pPr>
        <w:pStyle w:val="ListParagraph"/>
        <w:numPr>
          <w:ilvl w:val="0"/>
          <w:numId w:val="10"/>
        </w:numPr>
        <w:ind w:left="720"/>
        <w:rPr>
          <w:highlight w:val="yellow"/>
        </w:rPr>
      </w:pPr>
      <w:r w:rsidRPr="00D6070F">
        <w:rPr>
          <w:b/>
          <w:highlight w:val="yellow"/>
        </w:rPr>
        <w:t>The Budget categories will total automatically.</w:t>
      </w:r>
      <w:r w:rsidRPr="00D6070F">
        <w:rPr>
          <w:highlight w:val="yellow"/>
        </w:rPr>
        <w:t xml:space="preserve"> </w:t>
      </w:r>
      <w:r w:rsidRPr="00D6070F" w:rsidR="007F6DB8">
        <w:rPr>
          <w:highlight w:val="yellow"/>
        </w:rPr>
        <w:t xml:space="preserve">The total </w:t>
      </w:r>
      <w:r w:rsidRPr="00D6070F" w:rsidR="008C1917">
        <w:rPr>
          <w:highlight w:val="yellow"/>
        </w:rPr>
        <w:t xml:space="preserve">budgeted federal funds (Cell </w:t>
      </w:r>
      <w:r w:rsidRPr="00D6070F" w:rsidR="00FE51C1">
        <w:rPr>
          <w:highlight w:val="yellow"/>
        </w:rPr>
        <w:t xml:space="preserve">K25) should equal the </w:t>
      </w:r>
      <w:r w:rsidRPr="00D6070F" w:rsidR="00420444">
        <w:rPr>
          <w:highlight w:val="yellow"/>
        </w:rPr>
        <w:t>total</w:t>
      </w:r>
      <w:r w:rsidRPr="00D6070F" w:rsidR="002255A3">
        <w:rPr>
          <w:highlight w:val="yellow"/>
        </w:rPr>
        <w:t xml:space="preserve"> awarded federal funds (Cell D9)</w:t>
      </w:r>
      <w:r w:rsidRPr="00D6070F" w:rsidR="006825FA">
        <w:rPr>
          <w:highlight w:val="yellow"/>
        </w:rPr>
        <w:t xml:space="preserve">. </w:t>
      </w:r>
      <w:r w:rsidR="008F4664">
        <w:rPr>
          <w:highlight w:val="yellow"/>
        </w:rPr>
        <w:t xml:space="preserve">The data verification at the bottom of the page will indicate “TRUE” if </w:t>
      </w:r>
      <w:r w:rsidR="002B129D">
        <w:rPr>
          <w:highlight w:val="yellow"/>
        </w:rPr>
        <w:t>the value of the cells match.</w:t>
      </w:r>
    </w:p>
    <w:p w:rsidR="00780187" w:rsidRPr="00D6070F" w:rsidP="00780187" w14:paraId="46FD965F" w14:textId="77777777">
      <w:pPr>
        <w:rPr>
          <w:highlight w:val="yellow"/>
        </w:rPr>
      </w:pPr>
    </w:p>
    <w:p w:rsidR="00EC1DA8" w:rsidRPr="00D6070F" w:rsidP="4EFA82DD" w14:paraId="583C3D23" w14:textId="6D225764">
      <w:pPr>
        <w:rPr>
          <w:b/>
          <w:bCs/>
          <w:highlight w:val="yellow"/>
        </w:rPr>
      </w:pPr>
      <w:r w:rsidRPr="00D6070F">
        <w:rPr>
          <w:b/>
          <w:bCs/>
          <w:highlight w:val="yellow"/>
        </w:rPr>
        <w:t xml:space="preserve">Section C: </w:t>
      </w:r>
      <w:r w:rsidRPr="00D6070F" w:rsidR="006B085B">
        <w:rPr>
          <w:b/>
          <w:bCs/>
          <w:highlight w:val="yellow"/>
        </w:rPr>
        <w:t>Non-Federal Match Resources</w:t>
      </w:r>
    </w:p>
    <w:p w:rsidR="00914676" w:rsidRPr="00D6070F" w:rsidP="4EFA82DD" w14:paraId="6EEBE05A" w14:textId="77777777">
      <w:pPr>
        <w:rPr>
          <w:b/>
          <w:bCs/>
          <w:highlight w:val="yellow"/>
        </w:rPr>
      </w:pPr>
    </w:p>
    <w:p w:rsidR="00914676" w:rsidRPr="00D6070F" w:rsidP="00BC716A" w14:paraId="6BA6CC53" w14:textId="1EE72912">
      <w:pPr>
        <w:pStyle w:val="ListParagraph"/>
        <w:numPr>
          <w:ilvl w:val="0"/>
          <w:numId w:val="14"/>
        </w:numPr>
        <w:rPr>
          <w:b/>
          <w:bCs/>
          <w:highlight w:val="yellow"/>
        </w:rPr>
      </w:pPr>
      <w:r w:rsidRPr="00D6070F">
        <w:rPr>
          <w:rFonts w:eastAsia="Arial" w:cs="Times New Roman"/>
          <w:b/>
          <w:bCs/>
          <w:highlight w:val="yellow"/>
        </w:rPr>
        <w:t>Match Sources:</w:t>
      </w:r>
      <w:r w:rsidRPr="00D6070F">
        <w:rPr>
          <w:rFonts w:eastAsia="Arial" w:cs="Times New Roman"/>
          <w:highlight w:val="yellow"/>
        </w:rPr>
        <w:t xml:space="preserve"> </w:t>
      </w:r>
      <w:r w:rsidRPr="00D6070F">
        <w:rPr>
          <w:rFonts w:eastAsia="Arial" w:cs="Times New Roman"/>
          <w:highlight w:val="yellow"/>
        </w:rPr>
        <w:t xml:space="preserve">Enter proposed state match sources for the total award. </w:t>
      </w:r>
      <w:r w:rsidRPr="00D6070F">
        <w:rPr>
          <w:rFonts w:eastAsia="Arial" w:cs="Times New Roman"/>
          <w:highlight w:val="yellow"/>
        </w:rPr>
        <w:t>If a match has not yet been identified for the new funds, the budget may be amended later to include the total match.</w:t>
      </w:r>
    </w:p>
    <w:p w:rsidR="006B085B" w:rsidP="4EFA82DD" w14:paraId="4B2BE065" w14:textId="77777777">
      <w:pPr>
        <w:rPr>
          <w:b/>
          <w:bCs/>
        </w:rPr>
      </w:pPr>
    </w:p>
    <w:p w:rsidR="79097CA2" w:rsidRPr="006711DE" w:rsidP="4EFA82DD" w14:paraId="3F6F0489" w14:textId="3EB24635">
      <w:pPr>
        <w:rPr>
          <w:b/>
          <w:bCs/>
        </w:rPr>
      </w:pPr>
      <w:r w:rsidRPr="006711DE">
        <w:rPr>
          <w:b/>
          <w:bCs/>
        </w:rPr>
        <w:t>Submitting</w:t>
      </w:r>
      <w:r w:rsidRPr="006711DE" w:rsidR="000120A9">
        <w:rPr>
          <w:b/>
          <w:bCs/>
        </w:rPr>
        <w:t xml:space="preserve"> to the EAC</w:t>
      </w:r>
    </w:p>
    <w:p w:rsidR="79097CA2" w:rsidRPr="006711DE" w:rsidP="4EFA82DD" w14:paraId="61EA24E2" w14:textId="3FCC05BF">
      <w:pPr>
        <w:spacing w:line="259" w:lineRule="auto"/>
      </w:pPr>
      <w:r w:rsidRPr="006711DE">
        <w:t xml:space="preserve">Please email your </w:t>
      </w:r>
      <w:r w:rsidRPr="006711DE" w:rsidR="003575CE">
        <w:t xml:space="preserve">completed </w:t>
      </w:r>
      <w:r w:rsidRPr="006711DE" w:rsidR="00420CCE">
        <w:t xml:space="preserve">budget worksheet to </w:t>
      </w:r>
      <w:hyperlink r:id="rId7" w:history="1">
        <w:r w:rsidRPr="006711DE" w:rsidR="003575CE">
          <w:rPr>
            <w:rStyle w:val="Hyperlink"/>
          </w:rPr>
          <w:t>grants@eac.gov</w:t>
        </w:r>
      </w:hyperlink>
      <w:r w:rsidRPr="006711DE" w:rsidR="00373730">
        <w:t>.</w:t>
      </w:r>
      <w:r w:rsidRPr="006711DE" w:rsidR="00E9047F">
        <w:t xml:space="preserve"> </w:t>
      </w:r>
      <w:r w:rsidRPr="006711DE" w:rsidR="005D532B">
        <w:t>Once approved, your Grants Management Specialist will upload your full application to GLAS.</w:t>
      </w:r>
    </w:p>
    <w:p w:rsidR="4EFA82DD" w:rsidRPr="006711DE" w:rsidP="4EFA82DD" w14:paraId="1CF91F70" w14:textId="6B6CC5BF">
      <w:pPr>
        <w:spacing w:line="259" w:lineRule="auto"/>
        <w:rPr>
          <w:rFonts w:eastAsia="Arial" w:cs="Times New Roman"/>
          <w:b/>
          <w:bCs/>
        </w:rPr>
      </w:pPr>
    </w:p>
    <w:p w:rsidR="0F6727F7" w:rsidRPr="006711DE" w:rsidP="4EFA82DD" w14:paraId="1E3F8DD8" w14:textId="62BE8228">
      <w:pPr>
        <w:widowControl/>
        <w:rPr>
          <w:rFonts w:eastAsia="Arial" w:cs="Times New Roman"/>
          <w:b/>
          <w:bCs/>
        </w:rPr>
      </w:pPr>
      <w:r w:rsidRPr="006711DE">
        <w:rPr>
          <w:rFonts w:eastAsia="Arial" w:cs="Times New Roman"/>
          <w:b/>
          <w:bCs/>
        </w:rPr>
        <w:t xml:space="preserve">Budget Changes </w:t>
      </w:r>
    </w:p>
    <w:p w:rsidR="4EFA82DD" w:rsidP="530B55E6" w14:paraId="65C88FAC" w14:textId="71AE7175">
      <w:pPr>
        <w:widowControl/>
        <w:rPr>
          <w:rFonts w:eastAsia="Arial" w:cs="Times New Roman"/>
        </w:rPr>
      </w:pPr>
      <w:r w:rsidRPr="006711DE">
        <w:rPr>
          <w:rFonts w:eastAsia="Arial" w:cs="Times New Roman"/>
        </w:rPr>
        <w:t>EAC recognizes that plans and budgets may change over time.</w:t>
      </w:r>
      <w:r w:rsidRPr="006711DE" w:rsidR="00076CFB">
        <w:rPr>
          <w:rFonts w:eastAsia="Arial" w:cs="Times New Roman"/>
        </w:rPr>
        <w:t xml:space="preserve"> </w:t>
      </w:r>
      <w:r w:rsidRPr="006711DE" w:rsidR="006B5914">
        <w:rPr>
          <w:rFonts w:eastAsia="Arial" w:cs="Times New Roman"/>
        </w:rPr>
        <w:t xml:space="preserve">If you are including </w:t>
      </w:r>
      <w:r w:rsidRPr="006711DE" w:rsidR="00935456">
        <w:rPr>
          <w:rFonts w:eastAsia="Arial" w:cs="Times New Roman"/>
        </w:rPr>
        <w:t xml:space="preserve">revisions to past budgets </w:t>
      </w:r>
      <w:r w:rsidRPr="006711DE" w:rsidR="006B5914">
        <w:rPr>
          <w:rFonts w:eastAsia="Arial" w:cs="Times New Roman"/>
        </w:rPr>
        <w:t xml:space="preserve">in your combined </w:t>
      </w:r>
      <w:r w:rsidRPr="00F96CF2" w:rsidR="006B5914">
        <w:rPr>
          <w:rFonts w:eastAsia="Arial" w:cs="Times New Roman"/>
          <w:highlight w:val="yellow"/>
        </w:rPr>
        <w:t>202</w:t>
      </w:r>
      <w:r w:rsidRPr="00F96CF2" w:rsidR="00F96CF2">
        <w:rPr>
          <w:rFonts w:eastAsia="Arial" w:cs="Times New Roman"/>
          <w:highlight w:val="yellow"/>
        </w:rPr>
        <w:t>5</w:t>
      </w:r>
      <w:r w:rsidRPr="006711DE" w:rsidR="006B5914">
        <w:rPr>
          <w:rFonts w:eastAsia="Arial" w:cs="Times New Roman"/>
        </w:rPr>
        <w:t xml:space="preserve"> Election Security Budget worksheet, please</w:t>
      </w:r>
      <w:r w:rsidRPr="006711DE" w:rsidR="007E6C28">
        <w:rPr>
          <w:rFonts w:eastAsia="Arial" w:cs="Times New Roman"/>
        </w:rPr>
        <w:t xml:space="preserve"> provide an explanation in your program narrative. </w:t>
      </w:r>
      <w:r w:rsidRPr="006711DE">
        <w:rPr>
          <w:rFonts w:eastAsia="Arial" w:cs="Times New Roman"/>
        </w:rPr>
        <w:t xml:space="preserve">You </w:t>
      </w:r>
      <w:r w:rsidRPr="006711DE" w:rsidR="0060584D">
        <w:rPr>
          <w:rFonts w:eastAsia="Arial" w:cs="Times New Roman"/>
        </w:rPr>
        <w:t>can also</w:t>
      </w:r>
      <w:r w:rsidRPr="006711DE">
        <w:rPr>
          <w:rFonts w:eastAsia="Arial" w:cs="Times New Roman"/>
        </w:rPr>
        <w:t xml:space="preserve"> request a budget amendment</w:t>
      </w:r>
      <w:r w:rsidRPr="006711DE" w:rsidR="005E6984">
        <w:rPr>
          <w:rFonts w:eastAsia="Arial" w:cs="Times New Roman"/>
        </w:rPr>
        <w:t xml:space="preserve"> in the future</w:t>
      </w:r>
      <w:r w:rsidRPr="006711DE">
        <w:rPr>
          <w:rFonts w:eastAsia="Arial" w:cs="Times New Roman"/>
        </w:rPr>
        <w:t xml:space="preserve"> if needed.</w:t>
      </w:r>
      <w:r w:rsidRPr="006711DE" w:rsidR="00076CFB">
        <w:rPr>
          <w:rFonts w:eastAsia="Arial" w:cs="Times New Roman"/>
        </w:rPr>
        <w:t xml:space="preserve"> </w:t>
      </w:r>
      <w:r w:rsidRPr="006711DE">
        <w:rPr>
          <w:rFonts w:eastAsia="Arial" w:cs="Times New Roman"/>
        </w:rPr>
        <w:t>A budget amendment</w:t>
      </w:r>
      <w:r w:rsidRPr="006711DE" w:rsidR="007C1CC2">
        <w:rPr>
          <w:rFonts w:eastAsia="Arial" w:cs="Times New Roman"/>
        </w:rPr>
        <w:t xml:space="preserve"> request</w:t>
      </w:r>
      <w:r w:rsidRPr="530B55E6">
        <w:rPr>
          <w:rFonts w:eastAsia="Arial" w:cs="Times New Roman"/>
        </w:rPr>
        <w:t xml:space="preserve"> is required if a new category of funding is being added and/or a shift of more than 10% of the total federal award is being requested between categories.</w:t>
      </w:r>
      <w:r w:rsidR="00076CFB">
        <w:rPr>
          <w:rFonts w:eastAsia="Arial" w:cs="Times New Roman"/>
        </w:rPr>
        <w:t xml:space="preserve"> </w:t>
      </w:r>
    </w:p>
    <w:p w:rsidR="007F30AC" w:rsidP="530B55E6" w14:paraId="1AF1F2C1" w14:textId="56E450A9">
      <w:pPr>
        <w:widowControl/>
        <w:rPr>
          <w:b/>
          <w:bCs/>
        </w:rPr>
      </w:pPr>
      <w:r>
        <w:rPr>
          <w:rFonts w:eastAsia="Arial" w:cs="Times New Roman"/>
        </w:rPr>
        <w:t xml:space="preserve"> </w:t>
      </w:r>
    </w:p>
    <w:sectPr w:rsidSect="00094EF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8E5895"/>
    <w:multiLevelType w:val="hybridMultilevel"/>
    <w:tmpl w:val="31DAE1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8867A7"/>
    <w:multiLevelType w:val="hybridMultilevel"/>
    <w:tmpl w:val="81369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4B1089"/>
    <w:multiLevelType w:val="hybridMultilevel"/>
    <w:tmpl w:val="FBEEA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894A4A"/>
    <w:multiLevelType w:val="hybridMultilevel"/>
    <w:tmpl w:val="5E6259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CA428D8"/>
    <w:multiLevelType w:val="hybridMultilevel"/>
    <w:tmpl w:val="6406B2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17D0E21"/>
    <w:multiLevelType w:val="hybridMultilevel"/>
    <w:tmpl w:val="FBEEA1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E57E0E"/>
    <w:multiLevelType w:val="hybridMultilevel"/>
    <w:tmpl w:val="80A4BAF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88A67A1"/>
    <w:multiLevelType w:val="hybridMultilevel"/>
    <w:tmpl w:val="EA0A0314"/>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78B62BA"/>
    <w:multiLevelType w:val="hybridMultilevel"/>
    <w:tmpl w:val="99E438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5111272"/>
    <w:multiLevelType w:val="hybridMultilevel"/>
    <w:tmpl w:val="826CDE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6B14F68"/>
    <w:multiLevelType w:val="hybridMultilevel"/>
    <w:tmpl w:val="FDCE4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7B43815"/>
    <w:multiLevelType w:val="hybridMultilevel"/>
    <w:tmpl w:val="6052C9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B5645A"/>
    <w:multiLevelType w:val="hybridMultilevel"/>
    <w:tmpl w:val="720EF4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08856F8"/>
    <w:multiLevelType w:val="hybridMultilevel"/>
    <w:tmpl w:val="3196CA6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250F7D"/>
    <w:multiLevelType w:val="hybridMultilevel"/>
    <w:tmpl w:val="BAAC01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69805699">
    <w:abstractNumId w:val="2"/>
  </w:num>
  <w:num w:numId="2" w16cid:durableId="556820250">
    <w:abstractNumId w:val="0"/>
  </w:num>
  <w:num w:numId="3" w16cid:durableId="659892605">
    <w:abstractNumId w:val="14"/>
  </w:num>
  <w:num w:numId="4" w16cid:durableId="1461803403">
    <w:abstractNumId w:val="5"/>
  </w:num>
  <w:num w:numId="5" w16cid:durableId="888998220">
    <w:abstractNumId w:val="12"/>
  </w:num>
  <w:num w:numId="6" w16cid:durableId="717707752">
    <w:abstractNumId w:val="7"/>
  </w:num>
  <w:num w:numId="7" w16cid:durableId="703214989">
    <w:abstractNumId w:val="13"/>
  </w:num>
  <w:num w:numId="8" w16cid:durableId="301691317">
    <w:abstractNumId w:val="4"/>
  </w:num>
  <w:num w:numId="9" w16cid:durableId="1762139092">
    <w:abstractNumId w:val="8"/>
  </w:num>
  <w:num w:numId="10" w16cid:durableId="1624575059">
    <w:abstractNumId w:val="3"/>
  </w:num>
  <w:num w:numId="11" w16cid:durableId="893463363">
    <w:abstractNumId w:val="10"/>
  </w:num>
  <w:num w:numId="12" w16cid:durableId="279846045">
    <w:abstractNumId w:val="11"/>
  </w:num>
  <w:num w:numId="13" w16cid:durableId="689449750">
    <w:abstractNumId w:val="6"/>
  </w:num>
  <w:num w:numId="14" w16cid:durableId="1956058616">
    <w:abstractNumId w:val="1"/>
  </w:num>
  <w:num w:numId="15" w16cid:durableId="1990509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36"/>
    <w:rsid w:val="000007DE"/>
    <w:rsid w:val="000119E3"/>
    <w:rsid w:val="000120A9"/>
    <w:rsid w:val="0006163C"/>
    <w:rsid w:val="00073279"/>
    <w:rsid w:val="000738B6"/>
    <w:rsid w:val="00076CFB"/>
    <w:rsid w:val="00085D71"/>
    <w:rsid w:val="00094EF4"/>
    <w:rsid w:val="000B48E6"/>
    <w:rsid w:val="000D0A31"/>
    <w:rsid w:val="000D4DFD"/>
    <w:rsid w:val="000E3EF8"/>
    <w:rsid w:val="000F2F8A"/>
    <w:rsid w:val="000F4E5F"/>
    <w:rsid w:val="000F5C18"/>
    <w:rsid w:val="0011759E"/>
    <w:rsid w:val="001320E1"/>
    <w:rsid w:val="001378AB"/>
    <w:rsid w:val="001414EA"/>
    <w:rsid w:val="001546FE"/>
    <w:rsid w:val="00172AF9"/>
    <w:rsid w:val="00186EE1"/>
    <w:rsid w:val="001A63C9"/>
    <w:rsid w:val="001C07F9"/>
    <w:rsid w:val="001D3BB9"/>
    <w:rsid w:val="001F4592"/>
    <w:rsid w:val="0020005C"/>
    <w:rsid w:val="0020487B"/>
    <w:rsid w:val="00210B68"/>
    <w:rsid w:val="00214078"/>
    <w:rsid w:val="002255A3"/>
    <w:rsid w:val="00230C42"/>
    <w:rsid w:val="00245C4E"/>
    <w:rsid w:val="0027376C"/>
    <w:rsid w:val="00276B0E"/>
    <w:rsid w:val="002B129D"/>
    <w:rsid w:val="002B6A3C"/>
    <w:rsid w:val="002D2060"/>
    <w:rsid w:val="002F126F"/>
    <w:rsid w:val="0030090A"/>
    <w:rsid w:val="003030FF"/>
    <w:rsid w:val="003126EA"/>
    <w:rsid w:val="003225AB"/>
    <w:rsid w:val="003313B3"/>
    <w:rsid w:val="0033464D"/>
    <w:rsid w:val="003355FF"/>
    <w:rsid w:val="003575CE"/>
    <w:rsid w:val="00357FA5"/>
    <w:rsid w:val="00361918"/>
    <w:rsid w:val="00365CD4"/>
    <w:rsid w:val="0037104D"/>
    <w:rsid w:val="00373730"/>
    <w:rsid w:val="00374BE1"/>
    <w:rsid w:val="0038059F"/>
    <w:rsid w:val="00392A3B"/>
    <w:rsid w:val="00396C6D"/>
    <w:rsid w:val="0039790C"/>
    <w:rsid w:val="003A00C8"/>
    <w:rsid w:val="003A5630"/>
    <w:rsid w:val="003A6871"/>
    <w:rsid w:val="003B6716"/>
    <w:rsid w:val="003F5E8F"/>
    <w:rsid w:val="0041741D"/>
    <w:rsid w:val="00420444"/>
    <w:rsid w:val="00420CCE"/>
    <w:rsid w:val="00431255"/>
    <w:rsid w:val="00452BAE"/>
    <w:rsid w:val="004539EC"/>
    <w:rsid w:val="00473CE4"/>
    <w:rsid w:val="0047632D"/>
    <w:rsid w:val="00492A4D"/>
    <w:rsid w:val="004B46B6"/>
    <w:rsid w:val="004B7298"/>
    <w:rsid w:val="004C06F1"/>
    <w:rsid w:val="004C442A"/>
    <w:rsid w:val="004F6C0A"/>
    <w:rsid w:val="00500BD1"/>
    <w:rsid w:val="00503EA8"/>
    <w:rsid w:val="00506C57"/>
    <w:rsid w:val="00522259"/>
    <w:rsid w:val="00550AD0"/>
    <w:rsid w:val="00567DD3"/>
    <w:rsid w:val="00586F3B"/>
    <w:rsid w:val="005A2A2B"/>
    <w:rsid w:val="005D532B"/>
    <w:rsid w:val="005E4B9C"/>
    <w:rsid w:val="005E6984"/>
    <w:rsid w:val="005F4017"/>
    <w:rsid w:val="0060584D"/>
    <w:rsid w:val="00653102"/>
    <w:rsid w:val="00660B1D"/>
    <w:rsid w:val="006632F2"/>
    <w:rsid w:val="00670374"/>
    <w:rsid w:val="006711DE"/>
    <w:rsid w:val="006825FA"/>
    <w:rsid w:val="00696A80"/>
    <w:rsid w:val="006A61F4"/>
    <w:rsid w:val="006B085B"/>
    <w:rsid w:val="006B5914"/>
    <w:rsid w:val="006B5C2C"/>
    <w:rsid w:val="006C1F04"/>
    <w:rsid w:val="00712055"/>
    <w:rsid w:val="007246FF"/>
    <w:rsid w:val="00780187"/>
    <w:rsid w:val="00783D46"/>
    <w:rsid w:val="00793E47"/>
    <w:rsid w:val="007A70B4"/>
    <w:rsid w:val="007C1CC2"/>
    <w:rsid w:val="007C530A"/>
    <w:rsid w:val="007D5C10"/>
    <w:rsid w:val="007D7D38"/>
    <w:rsid w:val="007E1F29"/>
    <w:rsid w:val="007E6C28"/>
    <w:rsid w:val="007F0016"/>
    <w:rsid w:val="007F1DDA"/>
    <w:rsid w:val="007F2996"/>
    <w:rsid w:val="007F30AC"/>
    <w:rsid w:val="007F6DB8"/>
    <w:rsid w:val="0080024B"/>
    <w:rsid w:val="008213D7"/>
    <w:rsid w:val="008419BE"/>
    <w:rsid w:val="00841A2B"/>
    <w:rsid w:val="00844B75"/>
    <w:rsid w:val="00854188"/>
    <w:rsid w:val="00856F3E"/>
    <w:rsid w:val="00866BF8"/>
    <w:rsid w:val="008B4FBE"/>
    <w:rsid w:val="008C1917"/>
    <w:rsid w:val="008D146E"/>
    <w:rsid w:val="008D1537"/>
    <w:rsid w:val="008D737D"/>
    <w:rsid w:val="008F2022"/>
    <w:rsid w:val="008F4664"/>
    <w:rsid w:val="00904E2E"/>
    <w:rsid w:val="00914676"/>
    <w:rsid w:val="00935456"/>
    <w:rsid w:val="00936353"/>
    <w:rsid w:val="00944928"/>
    <w:rsid w:val="009E0C15"/>
    <w:rsid w:val="009E2A8A"/>
    <w:rsid w:val="009F0B72"/>
    <w:rsid w:val="009F177D"/>
    <w:rsid w:val="00A042CE"/>
    <w:rsid w:val="00A05AF6"/>
    <w:rsid w:val="00A177F8"/>
    <w:rsid w:val="00A22D46"/>
    <w:rsid w:val="00A30893"/>
    <w:rsid w:val="00A34F55"/>
    <w:rsid w:val="00A4363C"/>
    <w:rsid w:val="00A514AB"/>
    <w:rsid w:val="00A539B8"/>
    <w:rsid w:val="00A62CB5"/>
    <w:rsid w:val="00A63F31"/>
    <w:rsid w:val="00A7533F"/>
    <w:rsid w:val="00A806EC"/>
    <w:rsid w:val="00A83940"/>
    <w:rsid w:val="00AD2336"/>
    <w:rsid w:val="00AD70A4"/>
    <w:rsid w:val="00B33C67"/>
    <w:rsid w:val="00B37F2D"/>
    <w:rsid w:val="00B41005"/>
    <w:rsid w:val="00B53A39"/>
    <w:rsid w:val="00B61C59"/>
    <w:rsid w:val="00B85AE6"/>
    <w:rsid w:val="00B921AF"/>
    <w:rsid w:val="00BA12F2"/>
    <w:rsid w:val="00BA4A22"/>
    <w:rsid w:val="00BB52A0"/>
    <w:rsid w:val="00BC3745"/>
    <w:rsid w:val="00BC716A"/>
    <w:rsid w:val="00BD1ABE"/>
    <w:rsid w:val="00BD3083"/>
    <w:rsid w:val="00C01BD6"/>
    <w:rsid w:val="00C07294"/>
    <w:rsid w:val="00C31131"/>
    <w:rsid w:val="00C36CBE"/>
    <w:rsid w:val="00C42A8F"/>
    <w:rsid w:val="00C7381D"/>
    <w:rsid w:val="00C90E84"/>
    <w:rsid w:val="00CB6FC8"/>
    <w:rsid w:val="00CD02D2"/>
    <w:rsid w:val="00CF0C02"/>
    <w:rsid w:val="00D03446"/>
    <w:rsid w:val="00D10E37"/>
    <w:rsid w:val="00D126C5"/>
    <w:rsid w:val="00D3101C"/>
    <w:rsid w:val="00D36407"/>
    <w:rsid w:val="00D415FA"/>
    <w:rsid w:val="00D44BE1"/>
    <w:rsid w:val="00D44F1A"/>
    <w:rsid w:val="00D46520"/>
    <w:rsid w:val="00D56E21"/>
    <w:rsid w:val="00D6070F"/>
    <w:rsid w:val="00D724B4"/>
    <w:rsid w:val="00D849DB"/>
    <w:rsid w:val="00DA190E"/>
    <w:rsid w:val="00DA6CB1"/>
    <w:rsid w:val="00DB3C30"/>
    <w:rsid w:val="00DD503D"/>
    <w:rsid w:val="00DF0CD7"/>
    <w:rsid w:val="00DF1820"/>
    <w:rsid w:val="00E05DE5"/>
    <w:rsid w:val="00E413F0"/>
    <w:rsid w:val="00E4738F"/>
    <w:rsid w:val="00E5152E"/>
    <w:rsid w:val="00E678F3"/>
    <w:rsid w:val="00E7616E"/>
    <w:rsid w:val="00E83DE9"/>
    <w:rsid w:val="00E86451"/>
    <w:rsid w:val="00E9047F"/>
    <w:rsid w:val="00E90E2C"/>
    <w:rsid w:val="00E96CF9"/>
    <w:rsid w:val="00EC1BB8"/>
    <w:rsid w:val="00EC1DA8"/>
    <w:rsid w:val="00EC290F"/>
    <w:rsid w:val="00ED201B"/>
    <w:rsid w:val="00ED54CA"/>
    <w:rsid w:val="00EE22A0"/>
    <w:rsid w:val="00EE6487"/>
    <w:rsid w:val="00EF60A9"/>
    <w:rsid w:val="00F14725"/>
    <w:rsid w:val="00F15920"/>
    <w:rsid w:val="00F22787"/>
    <w:rsid w:val="00F31F25"/>
    <w:rsid w:val="00F35A70"/>
    <w:rsid w:val="00F73A32"/>
    <w:rsid w:val="00F82BC2"/>
    <w:rsid w:val="00F8495E"/>
    <w:rsid w:val="00F96CF2"/>
    <w:rsid w:val="00FD4244"/>
    <w:rsid w:val="00FE51C1"/>
    <w:rsid w:val="00FF47C8"/>
    <w:rsid w:val="033BC002"/>
    <w:rsid w:val="0498D7AE"/>
    <w:rsid w:val="068E2DC0"/>
    <w:rsid w:val="06EFA34C"/>
    <w:rsid w:val="0CFA2B96"/>
    <w:rsid w:val="0DC260B9"/>
    <w:rsid w:val="0F6727F7"/>
    <w:rsid w:val="107107BD"/>
    <w:rsid w:val="11543808"/>
    <w:rsid w:val="130CF089"/>
    <w:rsid w:val="132618E6"/>
    <w:rsid w:val="13F9979C"/>
    <w:rsid w:val="150645C4"/>
    <w:rsid w:val="15D2F894"/>
    <w:rsid w:val="15E2B58B"/>
    <w:rsid w:val="15F501B4"/>
    <w:rsid w:val="18F9ED00"/>
    <w:rsid w:val="1C1A9A06"/>
    <w:rsid w:val="1FE2BFBA"/>
    <w:rsid w:val="20BDCF7E"/>
    <w:rsid w:val="21E4BFD8"/>
    <w:rsid w:val="21FC1CE4"/>
    <w:rsid w:val="25F6AEBA"/>
    <w:rsid w:val="2A439307"/>
    <w:rsid w:val="2AAF52E0"/>
    <w:rsid w:val="2D528966"/>
    <w:rsid w:val="3494356A"/>
    <w:rsid w:val="37714922"/>
    <w:rsid w:val="38F8B366"/>
    <w:rsid w:val="3A49B529"/>
    <w:rsid w:val="3A880CA3"/>
    <w:rsid w:val="3BD81F62"/>
    <w:rsid w:val="3DFF4E9E"/>
    <w:rsid w:val="3F27FB9E"/>
    <w:rsid w:val="4038743F"/>
    <w:rsid w:val="408E4F60"/>
    <w:rsid w:val="415E8C8F"/>
    <w:rsid w:val="41A0EB02"/>
    <w:rsid w:val="41E618AE"/>
    <w:rsid w:val="45EBC8F2"/>
    <w:rsid w:val="484CA65B"/>
    <w:rsid w:val="4A0ECA14"/>
    <w:rsid w:val="4AFBBA36"/>
    <w:rsid w:val="4B115D83"/>
    <w:rsid w:val="4EFA82DD"/>
    <w:rsid w:val="51DFBE2D"/>
    <w:rsid w:val="530B55E6"/>
    <w:rsid w:val="53A65650"/>
    <w:rsid w:val="563D42ED"/>
    <w:rsid w:val="56674B32"/>
    <w:rsid w:val="5B755EE5"/>
    <w:rsid w:val="5BAFAD0C"/>
    <w:rsid w:val="5F8AEE68"/>
    <w:rsid w:val="6254E982"/>
    <w:rsid w:val="62B1205F"/>
    <w:rsid w:val="644CF0C0"/>
    <w:rsid w:val="65E8C121"/>
    <w:rsid w:val="67849182"/>
    <w:rsid w:val="6A170E2B"/>
    <w:rsid w:val="6A50D0F5"/>
    <w:rsid w:val="6AA309E7"/>
    <w:rsid w:val="6F5A718D"/>
    <w:rsid w:val="716FD02C"/>
    <w:rsid w:val="73DDD8D0"/>
    <w:rsid w:val="73FFBEB4"/>
    <w:rsid w:val="74AA37EB"/>
    <w:rsid w:val="7587E681"/>
    <w:rsid w:val="788E783F"/>
    <w:rsid w:val="78FEE71B"/>
    <w:rsid w:val="79080554"/>
    <w:rsid w:val="79097CA2"/>
    <w:rsid w:val="79358BD4"/>
    <w:rsid w:val="7CA68082"/>
    <w:rsid w:val="7EFF6889"/>
    <w:rsid w:val="7F6E9BB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330"/>
  <w14:docId w14:val="17A9652C"/>
  <w15:docId w15:val="{1D0B56DC-E99D-4B9D-BD13-80648CE08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2336"/>
    <w:pPr>
      <w:widowControl w:val="0"/>
    </w:pPr>
    <w:rPr>
      <w:rFonts w:eastAsiaTheme="minorHAnsi"/>
      <w:sz w:val="22"/>
      <w:szCs w:val="22"/>
    </w:rPr>
  </w:style>
  <w:style w:type="paragraph" w:styleId="Heading1">
    <w:name w:val="heading 1"/>
    <w:basedOn w:val="Normal"/>
    <w:link w:val="Heading1Char"/>
    <w:uiPriority w:val="9"/>
    <w:qFormat/>
    <w:rsid w:val="008B4FBE"/>
    <w:pPr>
      <w:autoSpaceDE w:val="0"/>
      <w:autoSpaceDN w:val="0"/>
      <w:spacing w:before="30"/>
      <w:ind w:left="769" w:right="662"/>
      <w:jc w:val="center"/>
      <w:outlineLvl w:val="0"/>
    </w:pPr>
    <w:rPr>
      <w:rFonts w:ascii="Times New Roman" w:eastAsia="Times New Roman" w:hAnsi="Times New Roman" w:cs="Times New Roman"/>
      <w:sz w:val="56"/>
      <w:szCs w:val="5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336"/>
  </w:style>
  <w:style w:type="character" w:styleId="Hyperlink">
    <w:name w:val="Hyperlink"/>
    <w:basedOn w:val="DefaultParagraphFont"/>
    <w:uiPriority w:val="99"/>
    <w:unhideWhenUsed/>
    <w:rsid w:val="00AD2336"/>
    <w:rPr>
      <w:color w:val="0000FF" w:themeColor="hyperlink"/>
      <w:u w:val="single"/>
    </w:rPr>
  </w:style>
  <w:style w:type="character" w:styleId="FollowedHyperlink">
    <w:name w:val="FollowedHyperlink"/>
    <w:basedOn w:val="DefaultParagraphFont"/>
    <w:uiPriority w:val="99"/>
    <w:semiHidden/>
    <w:unhideWhenUsed/>
    <w:rsid w:val="00AD2336"/>
    <w:rPr>
      <w:color w:val="800080" w:themeColor="followedHyperlink"/>
      <w:u w:val="single"/>
    </w:rPr>
  </w:style>
  <w:style w:type="character" w:styleId="CommentReference">
    <w:name w:val="annotation reference"/>
    <w:basedOn w:val="DefaultParagraphFont"/>
    <w:uiPriority w:val="99"/>
    <w:semiHidden/>
    <w:unhideWhenUsed/>
    <w:rsid w:val="00567DD3"/>
    <w:rPr>
      <w:sz w:val="16"/>
      <w:szCs w:val="16"/>
    </w:rPr>
  </w:style>
  <w:style w:type="paragraph" w:styleId="CommentText">
    <w:name w:val="annotation text"/>
    <w:basedOn w:val="Normal"/>
    <w:link w:val="CommentTextChar"/>
    <w:uiPriority w:val="99"/>
    <w:unhideWhenUsed/>
    <w:rsid w:val="00567DD3"/>
    <w:rPr>
      <w:sz w:val="20"/>
      <w:szCs w:val="20"/>
    </w:rPr>
  </w:style>
  <w:style w:type="character" w:customStyle="1" w:styleId="CommentTextChar">
    <w:name w:val="Comment Text Char"/>
    <w:basedOn w:val="DefaultParagraphFont"/>
    <w:link w:val="CommentText"/>
    <w:uiPriority w:val="99"/>
    <w:rsid w:val="00567DD3"/>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567DD3"/>
    <w:rPr>
      <w:b/>
      <w:bCs/>
    </w:rPr>
  </w:style>
  <w:style w:type="character" w:customStyle="1" w:styleId="CommentSubjectChar">
    <w:name w:val="Comment Subject Char"/>
    <w:basedOn w:val="CommentTextChar"/>
    <w:link w:val="CommentSubject"/>
    <w:uiPriority w:val="99"/>
    <w:semiHidden/>
    <w:rsid w:val="00567DD3"/>
    <w:rPr>
      <w:rFonts w:eastAsiaTheme="minorHAnsi"/>
      <w:b/>
      <w:bCs/>
      <w:sz w:val="20"/>
      <w:szCs w:val="20"/>
    </w:rPr>
  </w:style>
  <w:style w:type="paragraph" w:styleId="Revision">
    <w:name w:val="Revision"/>
    <w:hidden/>
    <w:uiPriority w:val="99"/>
    <w:semiHidden/>
    <w:rsid w:val="00567DD3"/>
    <w:rPr>
      <w:rFonts w:eastAsiaTheme="minorHAnsi"/>
      <w:sz w:val="22"/>
      <w:szCs w:val="22"/>
    </w:rPr>
  </w:style>
  <w:style w:type="character" w:customStyle="1" w:styleId="Heading1Char">
    <w:name w:val="Heading 1 Char"/>
    <w:basedOn w:val="DefaultParagraphFont"/>
    <w:link w:val="Heading1"/>
    <w:uiPriority w:val="9"/>
    <w:rsid w:val="008B4FBE"/>
    <w:rPr>
      <w:rFonts w:ascii="Times New Roman" w:eastAsia="Times New Roman" w:hAnsi="Times New Roman" w:cs="Times New Roman"/>
      <w:sz w:val="56"/>
      <w:szCs w:val="56"/>
      <w:lang w:bidi="en-U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420CCE"/>
    <w:rPr>
      <w:color w:val="605E5C"/>
      <w:shd w:val="clear" w:color="auto" w:fill="E1DFDD"/>
    </w:rPr>
  </w:style>
  <w:style w:type="paragraph" w:styleId="BalloonText">
    <w:name w:val="Balloon Text"/>
    <w:basedOn w:val="Normal"/>
    <w:link w:val="BalloonTextChar"/>
    <w:uiPriority w:val="99"/>
    <w:semiHidden/>
    <w:unhideWhenUsed/>
    <w:rsid w:val="005F40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017"/>
    <w:rPr>
      <w:rFonts w:ascii="Segoe UI" w:hAnsi="Segoe UI" w:eastAsiaTheme="minorHAns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grants@eac.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_Flow_SignoffStatus xmlns="cf9f5082-77cf-4a28-9b2b-2ea0dc1b8272" xsi:nil="true"/>
    <Notes xmlns="cf9f5082-77cf-4a28-9b2b-2ea0dc1b8272" xsi:nil="true"/>
    <Updated xmlns="cf9f5082-77cf-4a28-9b2b-2ea0dc1b8272" xsi:nil="true"/>
    <Approval xmlns="cf9f5082-77cf-4a28-9b2b-2ea0dc1b8272" xsi:nil="true"/>
    <_ip_UnifiedCompliancePolicyUIAction xmlns="http://schemas.microsoft.com/sharepoint/v3" xsi:nil="true"/>
    <AppNumber xmlns="cf9f5082-77cf-4a28-9b2b-2ea0dc1b8272" xsi:nil="true"/>
    <Completed xmlns="cf9f5082-77cf-4a28-9b2b-2ea0dc1b8272"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33" ma:contentTypeDescription="Create a new document." ma:contentTypeScope="" ma:versionID="e08644a8bbf1d37e984913b9f09b0055">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4ab5c9077b2ada7f9542bfc80bb3e283"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element ref="ns2:AppNumber" minOccurs="0"/>
                <xsd:element ref="ns2:MediaServiceSearchProperties" minOccurs="0"/>
                <xsd:element ref="ns2:Completed"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AppNumber" ma:index="32" nillable="true" ma:displayName="App Number" ma:format="Dropdown" ma:internalName="AppNumber" ma:percentage="FALSE">
      <xsd:simpleType>
        <xsd:restriction base="dms:Number"/>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Completed" ma:index="34" nillable="true" ma:displayName="Completed" ma:format="Dropdown" ma:internalName="Completed">
      <xsd:simpleType>
        <xsd:restriction base="dms:Choice">
          <xsd:enumeration value="YES"/>
          <xsd:enumeration value="In Progress"/>
          <xsd:enumeration value="Issues"/>
        </xsd:restriction>
      </xsd:simpleType>
    </xsd:element>
    <xsd:element name="MediaServiceLocation" ma:index="35" nillable="true" ma:displayName="Location" ma:description="" ma:indexed="true" ma:internalName="MediaServiceLocation" ma:readOnly="true">
      <xsd:simpleType>
        <xsd:restriction base="dms:Text"/>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A62122-B4D8-4791-AC15-13295A9983EF}">
  <ds:schemaRefs>
    <ds:schemaRef ds:uri="http://schemas.microsoft.com/sharepoint/v3/contenttype/forms"/>
  </ds:schemaRefs>
</ds:datastoreItem>
</file>

<file path=customXml/itemProps2.xml><?xml version="1.0" encoding="utf-8"?>
<ds:datastoreItem xmlns:ds="http://schemas.openxmlformats.org/officeDocument/2006/customXml" ds:itemID="{01D1620D-22A1-435B-9A77-0F05291A4192}">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3.xml><?xml version="1.0" encoding="utf-8"?>
<ds:datastoreItem xmlns:ds="http://schemas.openxmlformats.org/officeDocument/2006/customXml" ds:itemID="{7D7C4F78-3D89-4A01-A593-E73482CDF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1294</Words>
  <Characters>7380</Characters>
  <Application>Microsoft Office Word</Application>
  <DocSecurity>0</DocSecurity>
  <Lines>61</Lines>
  <Paragraphs>17</Paragraphs>
  <ScaleCrop>false</ScaleCrop>
  <Company>General Services Administration</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Rosenberry</dc:creator>
  <cp:lastModifiedBy>Risa Garza</cp:lastModifiedBy>
  <cp:revision>108</cp:revision>
  <cp:lastPrinted>2018-04-25T16:30:00Z</cp:lastPrinted>
  <dcterms:created xsi:type="dcterms:W3CDTF">2024-04-05T00:50:00Z</dcterms:created>
  <dcterms:modified xsi:type="dcterms:W3CDTF">2025-03-20T16:00:00Z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MediaServiceImageTags">
    <vt:lpwstr/>
  </property>
  <property fmtid="{D5CDD505-2E9C-101B-9397-08002B2CF9AE}" pid="4" name="Order">
    <vt:r8>971600</vt:r8>
  </property>
</Properties>
</file>