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7CF" w:rsidRPr="004F29CC" w:rsidP="00B817CF" w14:paraId="0CE04684" w14:textId="77777777">
      <w:pPr>
        <w:jc w:val="right"/>
        <w:rPr>
          <w:sz w:val="16"/>
          <w:szCs w:val="16"/>
        </w:rPr>
      </w:pPr>
      <w:r w:rsidRPr="004F29CC">
        <w:rPr>
          <w:sz w:val="16"/>
          <w:szCs w:val="16"/>
        </w:rPr>
        <w:t>Paperwork Reduction Act Submission OMB #0551- 0045</w:t>
      </w:r>
    </w:p>
    <w:p w:rsidR="000F78E9" w:rsidP="00D363A3" w14:paraId="7A6F3B35" w14:textId="77777777">
      <w:pPr>
        <w:pStyle w:val="Heading1"/>
      </w:pPr>
    </w:p>
    <w:p w:rsidR="000F78E9" w:rsidRPr="000F78E9" w:rsidP="00D363A3" w14:paraId="40FAE129" w14:textId="406F7028">
      <w:pPr>
        <w:pStyle w:val="Heading1"/>
      </w:pPr>
      <w:r w:rsidRPr="000F78E9">
        <w:t>SUPPORTING STATEMENT</w:t>
      </w:r>
      <w:r>
        <w:t xml:space="preserve"> </w:t>
      </w:r>
      <w:r w:rsidRPr="000F78E9">
        <w:t xml:space="preserve">for PART A </w:t>
      </w:r>
    </w:p>
    <w:p w:rsidR="000F78E9" w:rsidRPr="000F78E9" w:rsidP="00D363A3" w14:paraId="739CC3D3" w14:textId="77777777">
      <w:pPr>
        <w:pStyle w:val="Heading1"/>
      </w:pPr>
    </w:p>
    <w:p w:rsidR="000F78E9" w:rsidRPr="000F78E9" w:rsidP="00D363A3" w14:paraId="60115F00" w14:textId="067C14A9">
      <w:pPr>
        <w:pStyle w:val="Heading1"/>
      </w:pPr>
      <w:r w:rsidRPr="000F78E9">
        <w:rPr>
          <w:lang w:val=""/>
        </w:rPr>
        <w:t xml:space="preserve">OMB Control </w:t>
      </w:r>
      <w:r w:rsidRPr="000F78E9">
        <w:t>Number (0551–004</w:t>
      </w:r>
      <w:r>
        <w:t>5</w:t>
      </w:r>
      <w:r w:rsidRPr="000F78E9">
        <w:t>)</w:t>
      </w:r>
    </w:p>
    <w:p w:rsidR="000F78E9" w:rsidRPr="000F78E9" w:rsidP="00D363A3" w14:paraId="15766BD4" w14:textId="77777777">
      <w:pPr>
        <w:pStyle w:val="Heading1"/>
      </w:pPr>
    </w:p>
    <w:p w:rsidR="00962984" w:rsidRPr="000F78E9" w:rsidP="00962984" w14:paraId="6EB62587" w14:textId="634DA084">
      <w:pPr>
        <w:pStyle w:val="Heading1"/>
      </w:pPr>
      <w:r w:rsidRPr="000F78E9">
        <w:t>Title</w:t>
      </w:r>
      <w:r>
        <w:t>:</w:t>
      </w:r>
    </w:p>
    <w:p w:rsidR="00962984" w:rsidP="00962984" w14:paraId="5CCA989D" w14:textId="77777777">
      <w:pPr>
        <w:pStyle w:val="Heading1"/>
      </w:pPr>
      <w:r w:rsidRPr="004F29CC">
        <w:t>Agriculture Wool Apparel Manufacturers Trust Fund</w:t>
      </w:r>
    </w:p>
    <w:p w:rsidR="000F78E9" w:rsidRPr="000F78E9" w:rsidP="00D363A3" w14:paraId="02E95D9A" w14:textId="77777777">
      <w:pPr>
        <w:pStyle w:val="Heading1"/>
      </w:pPr>
    </w:p>
    <w:p w:rsidR="00962984" w:rsidRPr="00962984" w:rsidP="00962984" w14:paraId="37282CA8" w14:textId="62FA276A">
      <w:pPr>
        <w:pStyle w:val="Heading1"/>
        <w:rPr>
          <w:lang w:val=""/>
        </w:rPr>
      </w:pPr>
      <w:r w:rsidRPr="000F78E9">
        <w:rPr>
          <w:lang w:val=""/>
        </w:rPr>
        <w:t>ICR Author</w:t>
      </w:r>
      <w:r>
        <w:rPr>
          <w:lang w:val=""/>
        </w:rPr>
        <w:t>:</w:t>
      </w:r>
    </w:p>
    <w:p w:rsidR="000F78E9" w:rsidRPr="000F78E9" w:rsidP="00D363A3" w14:paraId="23C23260" w14:textId="2998C809">
      <w:pPr>
        <w:pStyle w:val="Heading1"/>
        <w:rPr>
          <w:lang w:val=""/>
        </w:rPr>
      </w:pPr>
      <w:r>
        <w:rPr>
          <w:lang w:val=""/>
        </w:rPr>
        <w:t>Curt Alt</w:t>
      </w:r>
    </w:p>
    <w:p w:rsidR="000F78E9" w:rsidRPr="000F78E9" w:rsidP="00D363A3" w14:paraId="6C895A1C" w14:textId="77777777">
      <w:pPr>
        <w:pStyle w:val="Heading1"/>
      </w:pPr>
    </w:p>
    <w:p w:rsidR="000F78E9" w:rsidP="00D363A3" w14:paraId="4024AA3F" w14:textId="34B2DD09">
      <w:pPr>
        <w:pStyle w:val="Heading1"/>
      </w:pPr>
      <w:r w:rsidRPr="000F78E9">
        <w:t xml:space="preserve">USDA, </w:t>
      </w:r>
      <w:r w:rsidR="00962984">
        <w:t>Foreign Agricultural Service</w:t>
      </w:r>
    </w:p>
    <w:p w:rsidR="000F78E9" w:rsidRPr="000F78E9" w:rsidP="00D363A3" w14:paraId="17D904A1" w14:textId="77777777">
      <w:pPr>
        <w:pStyle w:val="Heading1"/>
      </w:pPr>
    </w:p>
    <w:p w:rsidR="000F78E9" w:rsidP="00D363A3" w14:paraId="59A4109F" w14:textId="00D4B9CE">
      <w:pPr>
        <w:pStyle w:val="Heading1"/>
      </w:pPr>
      <w:r>
        <w:t>1400 Independence Ave, SW</w:t>
      </w:r>
    </w:p>
    <w:p w:rsidR="000F78E9" w:rsidRPr="000F78E9" w:rsidP="00D363A3" w14:paraId="63E07BFF" w14:textId="77777777">
      <w:pPr>
        <w:pStyle w:val="Heading1"/>
      </w:pPr>
    </w:p>
    <w:p w:rsidR="000F78E9" w:rsidP="00D363A3" w14:paraId="061E8685" w14:textId="0A3CB634">
      <w:pPr>
        <w:pStyle w:val="Heading1"/>
      </w:pPr>
      <w:r>
        <w:t>Washington, DC 20250</w:t>
      </w:r>
    </w:p>
    <w:p w:rsidR="000F78E9" w:rsidP="000F78E9" w14:paraId="1E196FD4" w14:textId="77777777">
      <w:pPr>
        <w:ind w:left="2880"/>
      </w:pPr>
    </w:p>
    <w:p w:rsidR="000F78E9" w:rsidP="000F78E9" w14:paraId="675E008D" w14:textId="77777777">
      <w:pPr>
        <w:ind w:left="2880"/>
      </w:pPr>
    </w:p>
    <w:p w:rsidR="000F78E9" w:rsidP="000F78E9" w14:paraId="113DBD90" w14:textId="77777777">
      <w:pPr>
        <w:ind w:left="2880"/>
      </w:pPr>
    </w:p>
    <w:p w:rsidR="00962984" w14:paraId="56BB2E90" w14:textId="5626AFEC">
      <w:pPr>
        <w:rPr>
          <w:b/>
          <w:bCs/>
        </w:rPr>
      </w:pPr>
      <w:r>
        <w:rPr>
          <w:b/>
          <w:bCs/>
        </w:rPr>
        <w:br w:type="page"/>
      </w:r>
    </w:p>
    <w:p w:rsidR="0042016D" w:rsidRPr="004F29CC" w:rsidP="0042016D" w14:paraId="2537D211" w14:textId="77777777">
      <w:pPr>
        <w:tabs>
          <w:tab w:val="left" w:pos="90"/>
        </w:tabs>
        <w:rPr>
          <w:b/>
          <w:bCs/>
        </w:rPr>
      </w:pPr>
    </w:p>
    <w:p w:rsidR="0042016D" w:rsidRPr="004F29CC" w:rsidP="0042016D" w14:paraId="65F63336" w14:textId="5271D54E">
      <w:pPr>
        <w:numPr>
          <w:ilvl w:val="0"/>
          <w:numId w:val="4"/>
        </w:numPr>
        <w:ind w:left="360"/>
        <w:rPr>
          <w:b/>
          <w:bCs/>
        </w:rPr>
      </w:pPr>
      <w:r w:rsidRPr="004F29CC">
        <w:rPr>
          <w:b/>
          <w:bCs/>
        </w:rPr>
        <w:t>Explain the circumstances that make the collection of information necessary</w:t>
      </w:r>
      <w:r w:rsidR="00646422">
        <w:rPr>
          <w:b/>
          <w:bCs/>
        </w:rPr>
        <w:t xml:space="preserve">. </w:t>
      </w:r>
      <w:r w:rsidRPr="004F29CC">
        <w:rPr>
          <w:b/>
          <w:bCs/>
        </w:rPr>
        <w:t>Identify any legal or administrative requirements that necessitate the collection</w:t>
      </w:r>
      <w:r w:rsidR="00646422">
        <w:rPr>
          <w:b/>
          <w:bCs/>
        </w:rPr>
        <w:t xml:space="preserve">. </w:t>
      </w:r>
      <w:r w:rsidRPr="004F29CC">
        <w:rPr>
          <w:b/>
          <w:bCs/>
        </w:rPr>
        <w:t>Attach a copy of the appropriate section of each statute and regulation mandating or authorizing the collection of information.</w:t>
      </w:r>
    </w:p>
    <w:p w:rsidR="0042016D" w:rsidRPr="004F29CC" w:rsidP="0042016D" w14:paraId="311783D9" w14:textId="77777777">
      <w:pPr>
        <w:tabs>
          <w:tab w:val="left" w:pos="90"/>
        </w:tabs>
        <w:ind w:left="720"/>
        <w:rPr>
          <w:b/>
          <w:bCs/>
        </w:rPr>
      </w:pPr>
    </w:p>
    <w:p w:rsidR="003178DE" w:rsidRPr="004F29CC" w:rsidP="00646422" w14:paraId="6E29DE84" w14:textId="1E9EDEFD">
      <w:pPr>
        <w:ind w:left="360"/>
        <w:rPr>
          <w:b/>
          <w:bCs/>
        </w:rPr>
      </w:pPr>
      <w:r>
        <w:t xml:space="preserve">This collection is </w:t>
      </w:r>
      <w:r w:rsidRPr="00D92F98" w:rsidR="00D92F98">
        <w:t>an extension without change of a currently approved information collection request</w:t>
      </w:r>
      <w:r>
        <w:t xml:space="preserve">. </w:t>
      </w:r>
      <w:r w:rsidRPr="004F29CC" w:rsidR="00E71058">
        <w:t xml:space="preserve">Section 12603 of the Agriculture Improvement Act of 2018 (the 2018 Farm Bill) reauthorized </w:t>
      </w:r>
      <w:r w:rsidRPr="004F29CC" w:rsidR="008B2153">
        <w:t xml:space="preserve">distributions out of the </w:t>
      </w:r>
      <w:r w:rsidRPr="004F29CC" w:rsidR="00896064">
        <w:t>Agriculture Wool Apparel Manufacturers Trust Fund</w:t>
      </w:r>
      <w:r w:rsidRPr="004F29CC" w:rsidR="00E71058">
        <w:t xml:space="preserve"> </w:t>
      </w:r>
      <w:r w:rsidRPr="004F29CC" w:rsidR="00896064">
        <w:t xml:space="preserve">(“Agriculture Wool </w:t>
      </w:r>
      <w:r w:rsidRPr="004F29CC" w:rsidR="00A10E1C">
        <w:t>Trust</w:t>
      </w:r>
      <w:r w:rsidRPr="004F29CC" w:rsidR="00851AC7">
        <w:t xml:space="preserve"> Fund</w:t>
      </w:r>
      <w:r w:rsidRPr="004F29CC" w:rsidR="00A10E1C">
        <w:t xml:space="preserve">”) </w:t>
      </w:r>
      <w:r w:rsidRPr="004F29CC" w:rsidR="008B2153">
        <w:t>in each of calendar years 201</w:t>
      </w:r>
      <w:r w:rsidRPr="004F29CC" w:rsidR="00E71058">
        <w:t>9</w:t>
      </w:r>
      <w:r w:rsidRPr="004F29CC" w:rsidR="008B2153">
        <w:t xml:space="preserve"> through</w:t>
      </w:r>
      <w:r w:rsidRPr="004F29CC" w:rsidR="002115CD">
        <w:t xml:space="preserve"> 20</w:t>
      </w:r>
      <w:r w:rsidRPr="004F29CC" w:rsidR="00E71058">
        <w:t>2</w:t>
      </w:r>
      <w:r w:rsidRPr="004F29CC" w:rsidR="00D00386">
        <w:t>5</w:t>
      </w:r>
      <w:r w:rsidRPr="004F29CC" w:rsidR="008B2153">
        <w:t>,</w:t>
      </w:r>
      <w:r w:rsidRPr="004F29CC" w:rsidR="008B2153">
        <w:rPr>
          <w:rFonts w:eastAsia="DeVinne"/>
        </w:rPr>
        <w:t xml:space="preserve"> </w:t>
      </w:r>
      <w:r w:rsidRPr="004F29CC" w:rsidR="008B2153">
        <w:t>payable to qualifying claimants</w:t>
      </w:r>
      <w:r>
        <w:t xml:space="preserve">. </w:t>
      </w:r>
      <w:r w:rsidRPr="004F29CC" w:rsidR="008B2153">
        <w:t xml:space="preserve">Eligible claimants are directed to submit a notarized affidavit, following the statutory procedures specified </w:t>
      </w:r>
      <w:r w:rsidRPr="004F29CC" w:rsidR="00E71058">
        <w:t>in the 2018 Farm Bill</w:t>
      </w:r>
      <w:r>
        <w:t xml:space="preserve">. </w:t>
      </w:r>
      <w:r w:rsidRPr="004F29CC" w:rsidR="008B2153">
        <w:t xml:space="preserve">FAS must collect the information provided in the affidavits </w:t>
      </w:r>
      <w:r w:rsidRPr="004F29CC" w:rsidR="00E71058">
        <w:t>to</w:t>
      </w:r>
      <w:r w:rsidRPr="004F29CC" w:rsidR="008B2153">
        <w:t xml:space="preserve"> assess the eligibility of the claimants</w:t>
      </w:r>
      <w:r w:rsidRPr="004F29CC" w:rsidR="00E71058">
        <w:t xml:space="preserve"> and correctly calculate the mandated payments</w:t>
      </w:r>
      <w:r w:rsidRPr="004F29CC" w:rsidR="008B2153">
        <w:t>.</w:t>
      </w:r>
    </w:p>
    <w:p w:rsidR="0042016D" w:rsidRPr="004F29CC" w:rsidP="0042016D" w14:paraId="574A611E" w14:textId="77777777">
      <w:pPr>
        <w:rPr>
          <w:b/>
          <w:bCs/>
        </w:rPr>
      </w:pPr>
    </w:p>
    <w:p w:rsidR="0042016D" w:rsidRPr="004F29CC" w:rsidP="0042016D" w14:paraId="5B7C9CC8" w14:textId="1A816E0F">
      <w:pPr>
        <w:numPr>
          <w:ilvl w:val="0"/>
          <w:numId w:val="4"/>
        </w:numPr>
        <w:ind w:left="360"/>
        <w:rPr>
          <w:b/>
          <w:bCs/>
        </w:rPr>
      </w:pPr>
      <w:r w:rsidRPr="004F29CC">
        <w:rPr>
          <w:b/>
          <w:bCs/>
        </w:rPr>
        <w:t>Indicate how, by whom, and for what purpose the information is to be used</w:t>
      </w:r>
      <w:r w:rsidR="00646422">
        <w:rPr>
          <w:b/>
          <w:bCs/>
        </w:rPr>
        <w:t xml:space="preserve">. </w:t>
      </w:r>
      <w:r w:rsidRPr="004F29CC">
        <w:rPr>
          <w:b/>
          <w:bCs/>
        </w:rPr>
        <w:t>Except for a new collection, indicate the actual use the agency has made of the information received from the current collection.</w:t>
      </w:r>
    </w:p>
    <w:p w:rsidR="0042016D" w:rsidRPr="004F29CC" w:rsidP="0042016D" w14:paraId="5697792D" w14:textId="77777777">
      <w:pPr>
        <w:ind w:left="360"/>
        <w:rPr>
          <w:b/>
          <w:bCs/>
        </w:rPr>
      </w:pPr>
    </w:p>
    <w:p w:rsidR="005A3431" w:rsidRPr="00B23F39" w:rsidP="0042016D" w14:paraId="0C1088FF" w14:textId="5D461199">
      <w:pPr>
        <w:ind w:left="360"/>
      </w:pPr>
      <w:r w:rsidRPr="00B23F39">
        <w:t xml:space="preserve">Eligible claimants for a distribution from the </w:t>
      </w:r>
      <w:r w:rsidRPr="00B23F39" w:rsidR="00196843">
        <w:t xml:space="preserve">Agriculture Wool Trust Fund </w:t>
      </w:r>
      <w:r w:rsidRPr="00B23F39">
        <w:t xml:space="preserve">are directed to submit a notarized affidavit </w:t>
      </w:r>
      <w:r w:rsidRPr="00B23F39" w:rsidR="00863CE9">
        <w:t xml:space="preserve">(at their expense) </w:t>
      </w:r>
      <w:r w:rsidRPr="00B23F39">
        <w:t>to claim a distribu</w:t>
      </w:r>
      <w:r w:rsidRPr="00B23F39" w:rsidR="00872E1C">
        <w:t xml:space="preserve">tion from the </w:t>
      </w:r>
      <w:r w:rsidRPr="00B23F39" w:rsidR="00E71058">
        <w:t>Agriculture Wool Trust Fund</w:t>
      </w:r>
      <w:r w:rsidRPr="00B23F39">
        <w:t>.</w:t>
      </w:r>
      <w:r w:rsidRPr="00B23F39" w:rsidR="00646422">
        <w:t xml:space="preserve"> The affidavits require companies to detail their fabric purchases and textile production in the previous year.</w:t>
      </w:r>
    </w:p>
    <w:p w:rsidR="005A3431" w:rsidRPr="004F29CC" w:rsidP="0042016D" w14:paraId="71644359" w14:textId="77777777">
      <w:pPr>
        <w:ind w:left="360"/>
      </w:pPr>
    </w:p>
    <w:p w:rsidR="008B2153" w:rsidRPr="004F29CC" w:rsidP="0042016D" w14:paraId="2E78ADB0" w14:textId="0328AE06">
      <w:pPr>
        <w:ind w:left="360"/>
      </w:pPr>
      <w:r w:rsidRPr="004F29CC">
        <w:t>FAS use</w:t>
      </w:r>
      <w:r w:rsidRPr="004F29CC" w:rsidR="00E71058">
        <w:t>s</w:t>
      </w:r>
      <w:r w:rsidRPr="004F29CC">
        <w:t xml:space="preserve"> the information provided in the affidavits to certify the claimants</w:t>
      </w:r>
      <w:r w:rsidRPr="004F29CC" w:rsidR="00732090">
        <w:t>’</w:t>
      </w:r>
      <w:r w:rsidRPr="004F29CC">
        <w:t xml:space="preserve"> eligibility and to authorize payment</w:t>
      </w:r>
      <w:r w:rsidRPr="004F29CC" w:rsidR="00E71058">
        <w:t>s</w:t>
      </w:r>
      <w:r w:rsidRPr="004F29CC">
        <w:t xml:space="preserve"> from the </w:t>
      </w:r>
      <w:r w:rsidRPr="004F29CC" w:rsidR="00915AA2">
        <w:t xml:space="preserve">Agriculture Wool Trust </w:t>
      </w:r>
      <w:r w:rsidRPr="004F29CC">
        <w:t>Fund.</w:t>
      </w:r>
      <w:r w:rsidR="00646422">
        <w:t xml:space="preserve"> The information is made available to the FPAC payments team, who need the information to verify the applicants’ eligibility to receive payments under the program.</w:t>
      </w:r>
    </w:p>
    <w:p w:rsidR="00D5031C" w:rsidRPr="004F29CC" w:rsidP="0042016D" w14:paraId="66ABF241" w14:textId="77777777">
      <w:pPr>
        <w:ind w:left="360"/>
        <w:rPr>
          <w:b/>
          <w:bCs/>
        </w:rPr>
      </w:pPr>
    </w:p>
    <w:p w:rsidR="0042016D" w:rsidRPr="004F29CC" w:rsidP="0042016D" w14:paraId="6D79A617" w14:textId="18C6ED9B">
      <w:pPr>
        <w:numPr>
          <w:ilvl w:val="0"/>
          <w:numId w:val="4"/>
        </w:numPr>
        <w:ind w:left="360"/>
        <w:rPr>
          <w:b/>
          <w:bCs/>
        </w:rPr>
      </w:pPr>
      <w:r w:rsidRPr="004F29CC">
        <w:rPr>
          <w:b/>
          <w:bCs/>
        </w:rPr>
        <w:t xml:space="preserve">Describe whether, and to what extent, the collection of information involves the use of automated, electronic, mechanical, or other technological collection techniques or other forms of technology, e.g., permitting electronic submission of responses, and the basis for the decision </w:t>
      </w:r>
      <w:r w:rsidRPr="004F29CC">
        <w:rPr>
          <w:b/>
          <w:bCs/>
        </w:rPr>
        <w:t>for adopting</w:t>
      </w:r>
      <w:r w:rsidRPr="004F29CC">
        <w:rPr>
          <w:b/>
          <w:bCs/>
        </w:rPr>
        <w:t xml:space="preserve"> this means of collection</w:t>
      </w:r>
      <w:r w:rsidR="00646422">
        <w:rPr>
          <w:b/>
          <w:bCs/>
        </w:rPr>
        <w:t xml:space="preserve">. </w:t>
      </w:r>
      <w:r w:rsidRPr="004F29CC">
        <w:rPr>
          <w:b/>
          <w:bCs/>
        </w:rPr>
        <w:t>Also, describe any consideration of using information technology to reduce burden.</w:t>
      </w:r>
    </w:p>
    <w:p w:rsidR="0042016D" w:rsidRPr="004F29CC" w:rsidP="0042016D" w14:paraId="6EE5B192" w14:textId="77777777">
      <w:pPr>
        <w:ind w:left="360"/>
        <w:rPr>
          <w:b/>
          <w:bCs/>
        </w:rPr>
      </w:pPr>
    </w:p>
    <w:p w:rsidR="00D5031C" w:rsidRPr="004F29CC" w:rsidP="0042016D" w14:paraId="7CDA198F" w14:textId="47B72DE2">
      <w:pPr>
        <w:ind w:left="360"/>
        <w:rPr>
          <w:bCs/>
        </w:rPr>
      </w:pPr>
      <w:r w:rsidRPr="00646422">
        <w:rPr>
          <w:bCs/>
        </w:rPr>
        <w:t>F</w:t>
      </w:r>
      <w:r>
        <w:rPr>
          <w:bCs/>
        </w:rPr>
        <w:t>A</w:t>
      </w:r>
      <w:r w:rsidRPr="00646422">
        <w:rPr>
          <w:bCs/>
        </w:rPr>
        <w:t>S makes every effort to comply with the E-Government Act, 2002 (E-Gov) and to provide for alternative submission of information collections.</w:t>
      </w:r>
      <w:r>
        <w:rPr>
          <w:bCs/>
        </w:rPr>
        <w:t xml:space="preserve"> </w:t>
      </w:r>
      <w:r w:rsidRPr="004F29CC">
        <w:rPr>
          <w:bCs/>
        </w:rPr>
        <w:t>Claimants are instructed to submit the required affidavits to a designated government email address. This method for submitting information is considered the least burdensome.</w:t>
      </w:r>
    </w:p>
    <w:p w:rsidR="0042016D" w:rsidRPr="004F29CC" w:rsidP="0042016D" w14:paraId="561375F7" w14:textId="77777777">
      <w:pPr>
        <w:ind w:left="360"/>
        <w:rPr>
          <w:b/>
          <w:bCs/>
        </w:rPr>
      </w:pPr>
    </w:p>
    <w:p w:rsidR="0042016D" w:rsidRPr="004F29CC" w:rsidP="0042016D" w14:paraId="43A157AD" w14:textId="07398C6B">
      <w:pPr>
        <w:numPr>
          <w:ilvl w:val="0"/>
          <w:numId w:val="4"/>
        </w:numPr>
        <w:ind w:left="360"/>
        <w:rPr>
          <w:b/>
          <w:bCs/>
        </w:rPr>
      </w:pPr>
      <w:r w:rsidRPr="004F29CC">
        <w:rPr>
          <w:b/>
          <w:bCs/>
        </w:rPr>
        <w:t>Describe efforts to identify duplication</w:t>
      </w:r>
      <w:r w:rsidR="00646422">
        <w:rPr>
          <w:b/>
          <w:bCs/>
        </w:rPr>
        <w:t xml:space="preserve">. </w:t>
      </w:r>
      <w:r w:rsidRPr="004F29CC">
        <w:rPr>
          <w:b/>
          <w:bCs/>
        </w:rPr>
        <w:t>Show specifically why any similar information already available cannot be used or modified for use for the purposes described in item 2 above.</w:t>
      </w:r>
    </w:p>
    <w:p w:rsidR="0042016D" w:rsidRPr="004F29CC" w:rsidP="0042016D" w14:paraId="1FAD649C" w14:textId="77777777">
      <w:pPr>
        <w:ind w:left="360"/>
        <w:rPr>
          <w:b/>
          <w:bCs/>
        </w:rPr>
      </w:pPr>
    </w:p>
    <w:p w:rsidR="00D5031C" w:rsidRPr="004F29CC" w:rsidP="0042016D" w14:paraId="59F98990" w14:textId="741F4C84">
      <w:pPr>
        <w:ind w:left="360"/>
        <w:rPr>
          <w:bCs/>
        </w:rPr>
      </w:pPr>
      <w:r w:rsidRPr="00646422">
        <w:rPr>
          <w:bCs/>
        </w:rPr>
        <w:t xml:space="preserve">Every effort has been made to avoid duplication. The agency has reviewed USDA reporting requirements, state administrative agency reporting requirements, and special </w:t>
      </w:r>
      <w:r w:rsidRPr="00646422">
        <w:rPr>
          <w:bCs/>
        </w:rPr>
        <w:t>studies by other government and private agencies. FAS solely administer</w:t>
      </w:r>
      <w:r>
        <w:rPr>
          <w:bCs/>
        </w:rPr>
        <w:t>s</w:t>
      </w:r>
      <w:r w:rsidRPr="00646422">
        <w:rPr>
          <w:bCs/>
        </w:rPr>
        <w:t xml:space="preserve"> the Agriculture Wool Trust Fund to ensure integrity. The information required for data collection is not currently reported to any other agency on a regular basis.</w:t>
      </w:r>
      <w:r>
        <w:rPr>
          <w:bCs/>
        </w:rPr>
        <w:t xml:space="preserve"> </w:t>
      </w:r>
      <w:r w:rsidRPr="004F29CC">
        <w:rPr>
          <w:bCs/>
        </w:rPr>
        <w:t xml:space="preserve">The information being collected is mandated by law and must be collected </w:t>
      </w:r>
      <w:r w:rsidRPr="004F29CC" w:rsidR="00E71058">
        <w:rPr>
          <w:bCs/>
        </w:rPr>
        <w:t>to</w:t>
      </w:r>
      <w:r w:rsidRPr="004F29CC">
        <w:rPr>
          <w:bCs/>
        </w:rPr>
        <w:t xml:space="preserve"> provide a benefit to the eligible claimants</w:t>
      </w:r>
      <w:r>
        <w:rPr>
          <w:bCs/>
        </w:rPr>
        <w:t xml:space="preserve">. </w:t>
      </w:r>
      <w:r w:rsidRPr="004F29CC" w:rsidR="00C53205">
        <w:rPr>
          <w:bCs/>
        </w:rPr>
        <w:t>The</w:t>
      </w:r>
      <w:r w:rsidRPr="004F29CC" w:rsidR="00832509">
        <w:rPr>
          <w:bCs/>
        </w:rPr>
        <w:t xml:space="preserve"> information </w:t>
      </w:r>
      <w:r w:rsidRPr="004F29CC">
        <w:rPr>
          <w:bCs/>
        </w:rPr>
        <w:t>collect</w:t>
      </w:r>
      <w:r w:rsidRPr="004F29CC" w:rsidR="00295A56">
        <w:rPr>
          <w:bCs/>
        </w:rPr>
        <w:t xml:space="preserve">ed is proprietary and </w:t>
      </w:r>
      <w:r w:rsidRPr="004F29CC" w:rsidR="005E6E4D">
        <w:rPr>
          <w:bCs/>
        </w:rPr>
        <w:t xml:space="preserve">is not available </w:t>
      </w:r>
      <w:r w:rsidRPr="004F29CC">
        <w:rPr>
          <w:bCs/>
        </w:rPr>
        <w:t>elsewhere.</w:t>
      </w:r>
    </w:p>
    <w:p w:rsidR="0042016D" w:rsidRPr="004F29CC" w:rsidP="0042016D" w14:paraId="551F51CC" w14:textId="77777777">
      <w:pPr>
        <w:ind w:left="360"/>
        <w:rPr>
          <w:b/>
          <w:bCs/>
        </w:rPr>
      </w:pPr>
    </w:p>
    <w:p w:rsidR="0042016D" w:rsidRPr="004F29CC" w:rsidP="0042016D" w14:paraId="2D91DBF2" w14:textId="77777777">
      <w:pPr>
        <w:numPr>
          <w:ilvl w:val="0"/>
          <w:numId w:val="4"/>
        </w:numPr>
        <w:ind w:left="360"/>
        <w:rPr>
          <w:b/>
          <w:bCs/>
        </w:rPr>
      </w:pPr>
      <w:r w:rsidRPr="004F29CC">
        <w:rPr>
          <w:b/>
          <w:bCs/>
        </w:rPr>
        <w:t>If the collection of information impacts small businesses or other small entities (Item 5 of OMB Form 83-1), describe any methods used to minimized burden.</w:t>
      </w:r>
    </w:p>
    <w:p w:rsidR="0042016D" w:rsidRPr="004F29CC" w:rsidP="0042016D" w14:paraId="4FAFAEC7" w14:textId="77777777">
      <w:pPr>
        <w:ind w:left="360"/>
        <w:rPr>
          <w:b/>
          <w:bCs/>
        </w:rPr>
      </w:pPr>
    </w:p>
    <w:p w:rsidR="00D5031C" w:rsidRPr="004F29CC" w:rsidP="0042016D" w14:paraId="21D0D64C" w14:textId="6B33F7A9">
      <w:pPr>
        <w:ind w:left="360"/>
        <w:rPr>
          <w:bCs/>
        </w:rPr>
      </w:pPr>
      <w:r w:rsidRPr="004F29CC">
        <w:rPr>
          <w:bCs/>
        </w:rPr>
        <w:t>The method used to obtain information has been minimized to ensure all respondents, including small businesses, will not be burdened</w:t>
      </w:r>
      <w:r w:rsidR="00646422">
        <w:rPr>
          <w:bCs/>
        </w:rPr>
        <w:t xml:space="preserve">. </w:t>
      </w:r>
      <w:r w:rsidRPr="004F29CC" w:rsidR="0085097A">
        <w:t xml:space="preserve">Of the </w:t>
      </w:r>
      <w:r w:rsidRPr="004F29CC" w:rsidR="009A5144">
        <w:t xml:space="preserve">95 </w:t>
      </w:r>
      <w:r w:rsidRPr="004F29CC" w:rsidR="0085097A">
        <w:t xml:space="preserve">respondents, the agency estimates </w:t>
      </w:r>
      <w:r w:rsidRPr="004F29CC" w:rsidR="00D00386">
        <w:t>10</w:t>
      </w:r>
      <w:r w:rsidRPr="004F29CC" w:rsidR="0085097A">
        <w:t xml:space="preserve"> percent are small business</w:t>
      </w:r>
      <w:r w:rsidRPr="004F29CC" w:rsidR="00956E52">
        <w:t>es</w:t>
      </w:r>
      <w:r w:rsidRPr="004F29CC" w:rsidR="0085097A">
        <w:t>.</w:t>
      </w:r>
    </w:p>
    <w:p w:rsidR="0042016D" w:rsidRPr="004F29CC" w:rsidP="0042016D" w14:paraId="63B9D874" w14:textId="77777777">
      <w:pPr>
        <w:ind w:left="360"/>
        <w:rPr>
          <w:b/>
          <w:bCs/>
        </w:rPr>
      </w:pPr>
    </w:p>
    <w:p w:rsidR="0042016D" w:rsidRPr="004F29CC" w:rsidP="0042016D" w14:paraId="6BB1D8D8" w14:textId="77777777">
      <w:pPr>
        <w:numPr>
          <w:ilvl w:val="0"/>
          <w:numId w:val="4"/>
        </w:numPr>
        <w:ind w:left="360"/>
        <w:rPr>
          <w:b/>
          <w:bCs/>
        </w:rPr>
      </w:pPr>
      <w:r w:rsidRPr="004F29CC">
        <w:rPr>
          <w:b/>
          <w:bCs/>
        </w:rPr>
        <w:t xml:space="preserve">Describe the </w:t>
      </w:r>
      <w:r w:rsidRPr="004F29CC">
        <w:rPr>
          <w:b/>
          <w:bCs/>
        </w:rPr>
        <w:t>consequence</w:t>
      </w:r>
      <w:r w:rsidRPr="004F29CC">
        <w:rPr>
          <w:b/>
          <w:bCs/>
        </w:rPr>
        <w:t xml:space="preserve"> </w:t>
      </w:r>
      <w:r w:rsidRPr="004F29CC">
        <w:rPr>
          <w:b/>
          <w:bCs/>
        </w:rPr>
        <w:t>to</w:t>
      </w:r>
      <w:r w:rsidRPr="004F29CC">
        <w:rPr>
          <w:b/>
          <w:bCs/>
        </w:rPr>
        <w:t xml:space="preserve"> Federal program or policy activities if the collection is not conducted or is conducted less frequently, as well as any technical or legal obstacles to reducing burden</w:t>
      </w:r>
      <w:r w:rsidRPr="004F29CC">
        <w:t>.</w:t>
      </w:r>
    </w:p>
    <w:p w:rsidR="0042016D" w:rsidRPr="004F29CC" w:rsidP="0042016D" w14:paraId="20D8B63B" w14:textId="77777777">
      <w:pPr>
        <w:ind w:left="360"/>
        <w:rPr>
          <w:b/>
          <w:bCs/>
        </w:rPr>
      </w:pPr>
    </w:p>
    <w:p w:rsidR="00D5031C" w:rsidRPr="004F29CC" w:rsidP="0042016D" w14:paraId="34D3AE4E" w14:textId="1A1B80C5">
      <w:pPr>
        <w:ind w:left="360"/>
        <w:rPr>
          <w:b/>
          <w:bCs/>
        </w:rPr>
      </w:pPr>
      <w:r>
        <w:rPr>
          <w:lang w:val="en"/>
        </w:rPr>
        <w:t>T</w:t>
      </w:r>
      <w:r w:rsidRPr="00646422">
        <w:rPr>
          <w:lang w:val="en"/>
        </w:rPr>
        <w:t xml:space="preserve">his collection is voluntary and </w:t>
      </w:r>
      <w:r>
        <w:rPr>
          <w:lang w:val="en"/>
        </w:rPr>
        <w:t xml:space="preserve">is an </w:t>
      </w:r>
      <w:r w:rsidRPr="00646422">
        <w:rPr>
          <w:lang w:val="en"/>
        </w:rPr>
        <w:t>ongoing information collection request</w:t>
      </w:r>
      <w:r>
        <w:rPr>
          <w:lang w:val="en"/>
        </w:rPr>
        <w:t xml:space="preserve"> that will </w:t>
      </w:r>
      <w:r>
        <w:rPr>
          <w:lang w:val="en"/>
        </w:rPr>
        <w:t>continue for</w:t>
      </w:r>
      <w:r>
        <w:rPr>
          <w:lang w:val="en"/>
        </w:rPr>
        <w:t xml:space="preserve"> every year that the applicants wish to apply to receive benefit from the program. </w:t>
      </w:r>
      <w:r w:rsidRPr="004F29CC" w:rsidR="005E6E4D">
        <w:rPr>
          <w:lang w:val="en"/>
        </w:rPr>
        <w:t xml:space="preserve">The 2018 Farm Bill </w:t>
      </w:r>
      <w:r w:rsidRPr="004F29CC" w:rsidR="0087781B">
        <w:t>states that affidavits shall be submitted in each calendar year</w:t>
      </w:r>
      <w:r w:rsidRPr="004F29CC">
        <w:t xml:space="preserve"> </w:t>
      </w:r>
      <w:r w:rsidRPr="004F29CC" w:rsidR="005E6E4D">
        <w:t>to</w:t>
      </w:r>
      <w:r w:rsidRPr="004F29CC">
        <w:t xml:space="preserve"> apply for a distribution from the </w:t>
      </w:r>
      <w:r w:rsidRPr="004F29CC" w:rsidR="00117CE9">
        <w:t xml:space="preserve">Agriculture Wool Trust </w:t>
      </w:r>
      <w:r w:rsidRPr="004F29CC">
        <w:t>Fund</w:t>
      </w:r>
      <w:r>
        <w:t xml:space="preserve">. </w:t>
      </w:r>
      <w:r w:rsidRPr="004F29CC" w:rsidR="007C7240">
        <w:t>If eligible claimants do not submit an affidavit with the required information</w:t>
      </w:r>
      <w:r w:rsidRPr="004F29CC" w:rsidR="002766E0">
        <w:t xml:space="preserve"> by the filing deadline (March 1 of each year)</w:t>
      </w:r>
      <w:r w:rsidRPr="004F29CC" w:rsidR="005E6E4D">
        <w:t>,</w:t>
      </w:r>
      <w:r w:rsidRPr="004F29CC" w:rsidR="007C7240">
        <w:t xml:space="preserve"> they will not be entitled to a distribution from the </w:t>
      </w:r>
      <w:r w:rsidRPr="004F29CC" w:rsidR="00117CE9">
        <w:t>Agriculture Wool Trust Fund</w:t>
      </w:r>
      <w:r w:rsidRPr="004F29CC" w:rsidR="007C7240">
        <w:t>.</w:t>
      </w:r>
    </w:p>
    <w:p w:rsidR="0042016D" w:rsidRPr="004F29CC" w:rsidP="0042016D" w14:paraId="37D2BB01" w14:textId="77777777">
      <w:pPr>
        <w:ind w:left="360"/>
        <w:rPr>
          <w:b/>
          <w:bCs/>
        </w:rPr>
      </w:pPr>
    </w:p>
    <w:p w:rsidR="00AD6C0B" w:rsidRPr="004F29CC" w:rsidP="0042016D" w14:paraId="2A5CF8F2" w14:textId="77777777">
      <w:pPr>
        <w:numPr>
          <w:ilvl w:val="0"/>
          <w:numId w:val="4"/>
        </w:numPr>
        <w:ind w:left="360"/>
        <w:rPr>
          <w:b/>
          <w:bCs/>
        </w:rPr>
      </w:pPr>
      <w:r w:rsidRPr="004F29CC">
        <w:rPr>
          <w:b/>
          <w:bCs/>
        </w:rPr>
        <w:t>Explain any special circumstances that would cause an</w:t>
      </w:r>
      <w:r w:rsidRPr="004F29CC" w:rsidR="00801071">
        <w:rPr>
          <w:b/>
          <w:bCs/>
        </w:rPr>
        <w:t xml:space="preserve"> </w:t>
      </w:r>
      <w:r w:rsidRPr="004F29CC">
        <w:rPr>
          <w:b/>
          <w:bCs/>
        </w:rPr>
        <w:t>information collection to be conducted in a manner:</w:t>
      </w:r>
    </w:p>
    <w:p w:rsidR="00FE5432" w:rsidRPr="004F29CC" w:rsidP="000378E4" w14:paraId="4BC71EC0" w14:textId="77F75F7D">
      <w:pPr>
        <w:pStyle w:val="BodyTextIndent"/>
        <w:numPr>
          <w:ilvl w:val="0"/>
          <w:numId w:val="5"/>
        </w:numPr>
        <w:ind w:left="720"/>
        <w:rPr>
          <w:bCs/>
          <w:sz w:val="24"/>
        </w:rPr>
      </w:pPr>
      <w:r w:rsidRPr="004F29CC">
        <w:rPr>
          <w:b/>
          <w:bCs/>
          <w:sz w:val="24"/>
        </w:rPr>
        <w:t>r</w:t>
      </w:r>
      <w:r w:rsidRPr="004F29CC" w:rsidR="00AD6C0B">
        <w:rPr>
          <w:b/>
          <w:bCs/>
          <w:sz w:val="24"/>
        </w:rPr>
        <w:t>equiring</w:t>
      </w:r>
      <w:r w:rsidRPr="004F29CC">
        <w:rPr>
          <w:b/>
          <w:bCs/>
          <w:sz w:val="24"/>
        </w:rPr>
        <w:t xml:space="preserve"> respondents to report information to the agency more often than quarterly;</w:t>
      </w:r>
    </w:p>
    <w:p w:rsidR="000378E4" w:rsidRPr="004F29CC" w:rsidP="0067309F" w14:paraId="30F3867D" w14:textId="77777777">
      <w:pPr>
        <w:pStyle w:val="BodyTextIndent"/>
        <w:ind w:left="720"/>
        <w:rPr>
          <w:bCs/>
          <w:sz w:val="24"/>
        </w:rPr>
      </w:pPr>
    </w:p>
    <w:p w:rsidR="0042016D" w:rsidRPr="004F29CC" w:rsidP="0067309F" w14:paraId="097B41FB" w14:textId="77777777">
      <w:pPr>
        <w:pStyle w:val="BodyTextIndent"/>
        <w:numPr>
          <w:ilvl w:val="0"/>
          <w:numId w:val="5"/>
        </w:numPr>
        <w:ind w:left="720"/>
        <w:rPr>
          <w:b/>
          <w:bCs/>
          <w:sz w:val="24"/>
        </w:rPr>
      </w:pPr>
      <w:r w:rsidRPr="004F29CC">
        <w:rPr>
          <w:b/>
          <w:bCs/>
          <w:sz w:val="24"/>
        </w:rPr>
        <w:t>requiring respondents to prepare a written response to a collection of information in fewer than 30 days after receipt of it;</w:t>
      </w:r>
    </w:p>
    <w:p w:rsidR="000378E4" w:rsidRPr="004F29CC" w:rsidP="0067309F" w14:paraId="625591FB" w14:textId="77777777">
      <w:pPr>
        <w:pStyle w:val="BodyTextIndent"/>
        <w:ind w:left="720"/>
        <w:rPr>
          <w:b/>
          <w:bCs/>
          <w:sz w:val="24"/>
        </w:rPr>
      </w:pPr>
    </w:p>
    <w:p w:rsidR="0042016D" w:rsidRPr="004F29CC" w:rsidP="000378E4" w14:paraId="07CE3868" w14:textId="3EAA5FC0">
      <w:pPr>
        <w:pStyle w:val="BodyTextIndent"/>
        <w:numPr>
          <w:ilvl w:val="0"/>
          <w:numId w:val="5"/>
        </w:numPr>
        <w:ind w:left="720"/>
        <w:rPr>
          <w:b/>
          <w:bCs/>
          <w:sz w:val="24"/>
        </w:rPr>
      </w:pPr>
      <w:r w:rsidRPr="004F29CC">
        <w:rPr>
          <w:b/>
          <w:bCs/>
          <w:sz w:val="24"/>
        </w:rPr>
        <w:t>requiring respondents to submit more than an original and two copies of any document;</w:t>
      </w:r>
    </w:p>
    <w:p w:rsidR="000378E4" w:rsidRPr="004F29CC" w:rsidP="0067309F" w14:paraId="0D56A8AE" w14:textId="77777777">
      <w:pPr>
        <w:pStyle w:val="BodyTextIndent"/>
        <w:ind w:left="720"/>
        <w:rPr>
          <w:b/>
          <w:bCs/>
          <w:sz w:val="24"/>
        </w:rPr>
      </w:pPr>
    </w:p>
    <w:p w:rsidR="0042016D" w:rsidRPr="004F29CC" w:rsidP="000378E4" w14:paraId="5091C5D8" w14:textId="420AD715">
      <w:pPr>
        <w:pStyle w:val="BodyTextIndent"/>
        <w:numPr>
          <w:ilvl w:val="0"/>
          <w:numId w:val="5"/>
        </w:numPr>
        <w:ind w:left="720"/>
        <w:rPr>
          <w:b/>
          <w:bCs/>
          <w:sz w:val="24"/>
        </w:rPr>
      </w:pPr>
      <w:r w:rsidRPr="004F29CC">
        <w:rPr>
          <w:b/>
          <w:bCs/>
          <w:sz w:val="24"/>
        </w:rPr>
        <w:t>requiring respondents to retain records, other than health, medical, government contract, grant-in-aid, or tax records for more than three years;</w:t>
      </w:r>
    </w:p>
    <w:p w:rsidR="000378E4" w:rsidRPr="004F29CC" w:rsidP="0067309F" w14:paraId="035FD6E0" w14:textId="77777777">
      <w:pPr>
        <w:pStyle w:val="BodyTextIndent"/>
        <w:ind w:left="720"/>
        <w:rPr>
          <w:b/>
          <w:bCs/>
          <w:sz w:val="24"/>
        </w:rPr>
      </w:pPr>
    </w:p>
    <w:p w:rsidR="0042016D" w:rsidRPr="004F29CC" w:rsidP="000378E4" w14:paraId="0EC2F5F7" w14:textId="1B47F680">
      <w:pPr>
        <w:pStyle w:val="BodyTextIndent"/>
        <w:numPr>
          <w:ilvl w:val="0"/>
          <w:numId w:val="5"/>
        </w:numPr>
        <w:ind w:left="720"/>
        <w:rPr>
          <w:b/>
          <w:bCs/>
          <w:sz w:val="24"/>
        </w:rPr>
      </w:pPr>
      <w:r w:rsidRPr="004F29CC">
        <w:rPr>
          <w:b/>
          <w:bCs/>
          <w:sz w:val="24"/>
        </w:rPr>
        <w:t>in connection with a statistical survey, that is not designed to produce valid and reliable results that can be generalized to the universe of study;</w:t>
      </w:r>
    </w:p>
    <w:p w:rsidR="000378E4" w:rsidRPr="004F29CC" w:rsidP="0067309F" w14:paraId="6862CD1C" w14:textId="77777777">
      <w:pPr>
        <w:pStyle w:val="BodyTextIndent"/>
        <w:ind w:left="720"/>
        <w:rPr>
          <w:b/>
          <w:bCs/>
          <w:sz w:val="24"/>
        </w:rPr>
      </w:pPr>
    </w:p>
    <w:p w:rsidR="0042016D" w:rsidRPr="004F29CC" w:rsidP="000378E4" w14:paraId="316396D8" w14:textId="3BA16DA4">
      <w:pPr>
        <w:pStyle w:val="BodyTextIndent"/>
        <w:numPr>
          <w:ilvl w:val="0"/>
          <w:numId w:val="5"/>
        </w:numPr>
        <w:ind w:left="720"/>
        <w:rPr>
          <w:b/>
          <w:bCs/>
          <w:sz w:val="24"/>
        </w:rPr>
      </w:pPr>
      <w:r w:rsidRPr="004F29CC">
        <w:rPr>
          <w:b/>
          <w:bCs/>
          <w:sz w:val="24"/>
        </w:rPr>
        <w:t>requiring the use of a statistical data classification that has not been reviewed and approved by OMB;</w:t>
      </w:r>
    </w:p>
    <w:p w:rsidR="000378E4" w:rsidRPr="004F29CC" w:rsidP="0067309F" w14:paraId="549EB6FB" w14:textId="77777777">
      <w:pPr>
        <w:pStyle w:val="BodyTextIndent"/>
        <w:ind w:left="720"/>
        <w:rPr>
          <w:b/>
          <w:bCs/>
          <w:sz w:val="24"/>
        </w:rPr>
      </w:pPr>
    </w:p>
    <w:p w:rsidR="000378E4" w:rsidRPr="00DA2154" w:rsidP="00DA2154" w14:paraId="6374BCEA" w14:textId="30BC7E7A">
      <w:pPr>
        <w:pStyle w:val="BodyTextIndent"/>
        <w:numPr>
          <w:ilvl w:val="0"/>
          <w:numId w:val="5"/>
        </w:numPr>
        <w:ind w:left="720"/>
        <w:rPr>
          <w:b/>
          <w:bCs/>
          <w:sz w:val="24"/>
        </w:rPr>
      </w:pPr>
      <w:r w:rsidRPr="004F29CC">
        <w:rPr>
          <w:b/>
          <w:bCs/>
          <w:sz w:val="24"/>
        </w:rPr>
        <w:t xml:space="preserve">that includes a pledge of confidentiality that is not supported by authority established in </w:t>
      </w:r>
      <w:r w:rsidRPr="004F29CC">
        <w:rPr>
          <w:b/>
          <w:bCs/>
          <w:sz w:val="24"/>
        </w:rPr>
        <w:t>statue</w:t>
      </w:r>
      <w:r w:rsidRPr="004F29CC">
        <w:rPr>
          <w:b/>
          <w:bCs/>
          <w:sz w:val="24"/>
        </w:rPr>
        <w:t xml:space="preserve"> or regulation, that is not supported by disclosure and data security policies that are consistent with the pledge, or which unnecessarily</w:t>
      </w:r>
      <w:r w:rsidRPr="004F29CC" w:rsidR="00831F0E">
        <w:rPr>
          <w:b/>
          <w:bCs/>
          <w:sz w:val="24"/>
        </w:rPr>
        <w:t xml:space="preserve"> impedes sharing of data with other agencies for compatible confidential use; or</w:t>
      </w:r>
    </w:p>
    <w:p w:rsidR="000378E4" w:rsidRPr="004F29CC" w:rsidP="0067309F" w14:paraId="108054F9" w14:textId="77777777">
      <w:pPr>
        <w:pStyle w:val="BodyTextIndent"/>
        <w:ind w:left="720"/>
        <w:rPr>
          <w:b/>
          <w:bCs/>
          <w:sz w:val="24"/>
        </w:rPr>
      </w:pPr>
    </w:p>
    <w:p w:rsidR="00831F0E" w:rsidRPr="004F29CC" w:rsidP="0067309F" w14:paraId="26488084" w14:textId="4A9B70D7">
      <w:pPr>
        <w:pStyle w:val="BodyTextIndent"/>
        <w:numPr>
          <w:ilvl w:val="0"/>
          <w:numId w:val="5"/>
        </w:numPr>
        <w:ind w:left="720"/>
        <w:rPr>
          <w:b/>
          <w:bCs/>
          <w:sz w:val="24"/>
        </w:rPr>
      </w:pPr>
      <w:r w:rsidRPr="004F29CC">
        <w:rPr>
          <w:b/>
          <w:bCs/>
          <w:sz w:val="24"/>
        </w:rPr>
        <w:t xml:space="preserve">requiring respondents to submit proprietary trade </w:t>
      </w:r>
      <w:r w:rsidRPr="004F29CC">
        <w:rPr>
          <w:b/>
          <w:bCs/>
          <w:sz w:val="24"/>
        </w:rPr>
        <w:t>secret</w:t>
      </w:r>
      <w:r w:rsidRPr="004F29CC">
        <w:rPr>
          <w:b/>
          <w:bCs/>
          <w:sz w:val="24"/>
        </w:rPr>
        <w:t>, or other confidential information unless the agency can demonstrate that it has instituted procedures to protect the information’s confidentiality to the extent permitted by law.</w:t>
      </w:r>
    </w:p>
    <w:p w:rsidR="009B3D5D" w:rsidRPr="004F29CC" w:rsidP="0067309F" w14:paraId="46771A4D" w14:textId="77777777">
      <w:pPr>
        <w:pStyle w:val="BodyTextIndent"/>
        <w:ind w:left="0"/>
        <w:rPr>
          <w:b/>
          <w:bCs/>
          <w:sz w:val="24"/>
        </w:rPr>
      </w:pPr>
    </w:p>
    <w:p w:rsidR="009B3D5D" w:rsidRPr="004F29CC" w:rsidP="0067309F" w14:paraId="6238C759" w14:textId="56438B31">
      <w:pPr>
        <w:pStyle w:val="BodyTextIndent"/>
        <w:rPr>
          <w:bCs/>
          <w:sz w:val="24"/>
        </w:rPr>
      </w:pPr>
      <w:r w:rsidRPr="004F29CC">
        <w:rPr>
          <w:bCs/>
          <w:sz w:val="24"/>
        </w:rPr>
        <w:t>There are no special circumstances that would require this collection to be conducted in a manner inconsistent with the general information collection guidelines in 5 CFR 1320.5.</w:t>
      </w:r>
    </w:p>
    <w:p w:rsidR="00831F0E" w:rsidRPr="004F29CC" w:rsidP="00831F0E" w14:paraId="37449732" w14:textId="77777777">
      <w:pPr>
        <w:pStyle w:val="BodyTextIndent"/>
        <w:ind w:left="720"/>
        <w:rPr>
          <w:b/>
          <w:bCs/>
          <w:sz w:val="24"/>
        </w:rPr>
      </w:pPr>
    </w:p>
    <w:p w:rsidR="00801071" w:rsidRPr="004F29CC" w:rsidP="00831F0E" w14:paraId="5D692849" w14:textId="542FDDF9">
      <w:pPr>
        <w:pStyle w:val="BodyTextIndent"/>
        <w:numPr>
          <w:ilvl w:val="0"/>
          <w:numId w:val="4"/>
        </w:numPr>
        <w:rPr>
          <w:b/>
          <w:bCs/>
          <w:sz w:val="24"/>
        </w:rPr>
      </w:pPr>
      <w:r w:rsidRPr="004F29CC">
        <w:rPr>
          <w:b/>
          <w:bCs/>
          <w:sz w:val="24"/>
        </w:rPr>
        <w:t>If applicable, provide a copy and identify the date and page number of publication in the Federal Register of the agency’s notice, required by 5 CFR 1320.8(d), soliciting comments on the information collection prior to submission to OMB</w:t>
      </w:r>
      <w:r w:rsidR="00646422">
        <w:rPr>
          <w:b/>
          <w:bCs/>
          <w:sz w:val="24"/>
        </w:rPr>
        <w:t xml:space="preserve">. </w:t>
      </w:r>
      <w:r w:rsidRPr="004F29CC">
        <w:rPr>
          <w:b/>
          <w:bCs/>
          <w:sz w:val="24"/>
        </w:rPr>
        <w:t>Summarize public comments received in response to that notice and describe actions taken by the agency in response to these comments</w:t>
      </w:r>
      <w:r w:rsidR="00646422">
        <w:rPr>
          <w:b/>
          <w:bCs/>
          <w:sz w:val="24"/>
        </w:rPr>
        <w:t xml:space="preserve">. </w:t>
      </w:r>
      <w:r w:rsidRPr="004F29CC">
        <w:rPr>
          <w:b/>
          <w:bCs/>
          <w:sz w:val="24"/>
        </w:rPr>
        <w:t>Specifically address comments received on cost and hour burden.</w:t>
      </w:r>
    </w:p>
    <w:p w:rsidR="006F1978" w:rsidRPr="004F29CC" w:rsidP="006F1978" w14:paraId="263B7188" w14:textId="77777777">
      <w:pPr>
        <w:ind w:left="720"/>
        <w:rPr>
          <w:b/>
          <w:bCs/>
        </w:rPr>
      </w:pPr>
    </w:p>
    <w:p w:rsidR="00FD32A6" w:rsidRPr="004F29CC" w:rsidP="00FD32A6" w14:paraId="517F2F4B" w14:textId="10E95EC5">
      <w:pPr>
        <w:ind w:left="720"/>
      </w:pPr>
      <w:r w:rsidRPr="00DA2154">
        <w:t xml:space="preserve">FAS published a 60-day Notice of Proposed Information Collections for public comments in the </w:t>
      </w:r>
      <w:r w:rsidRPr="00DA2154">
        <w:rPr>
          <w:i/>
          <w:iCs/>
        </w:rPr>
        <w:t>Federal Register</w:t>
      </w:r>
      <w:r w:rsidRPr="00DA2154">
        <w:t xml:space="preserve">, Volume 87; Page 6132 on </w:t>
      </w:r>
      <w:r w:rsidR="009E2EBC">
        <w:t>May 15, 2025</w:t>
      </w:r>
      <w:r w:rsidRPr="00DA2154" w:rsidR="00646422">
        <w:t xml:space="preserve">. </w:t>
      </w:r>
      <w:r w:rsidRPr="00DA2154">
        <w:t xml:space="preserve">The public was given until </w:t>
      </w:r>
      <w:r w:rsidR="009E2EBC">
        <w:t>July 15, 2025</w:t>
      </w:r>
      <w:r w:rsidRPr="00DA2154">
        <w:t xml:space="preserve"> to submit comments on the proposed information collection</w:t>
      </w:r>
      <w:r w:rsidRPr="00DA2154" w:rsidR="00646422">
        <w:t xml:space="preserve">. </w:t>
      </w:r>
      <w:r w:rsidRPr="00DA2154">
        <w:t>FAS received no comment</w:t>
      </w:r>
      <w:r w:rsidRPr="00DA2154" w:rsidR="00CA1442">
        <w:t>s</w:t>
      </w:r>
      <w:r w:rsidRPr="00DA2154">
        <w:t xml:space="preserve"> on this proposed collection.</w:t>
      </w:r>
      <w:r w:rsidRPr="004F29CC">
        <w:t xml:space="preserve"> </w:t>
      </w:r>
    </w:p>
    <w:p w:rsidR="00725A11" w:rsidRPr="004F29CC" w:rsidP="006F1978" w14:paraId="174635A0" w14:textId="77777777">
      <w:pPr>
        <w:ind w:left="720"/>
      </w:pPr>
    </w:p>
    <w:p w:rsidR="00831F0E" w:rsidRPr="004F29CC" w:rsidP="00831F0E" w14:paraId="7B840BBF" w14:textId="77777777">
      <w:pPr>
        <w:pStyle w:val="BodyTextIndent"/>
        <w:ind w:left="720"/>
        <w:rPr>
          <w:b/>
          <w:bCs/>
          <w:sz w:val="24"/>
        </w:rPr>
      </w:pPr>
      <w:r w:rsidRPr="004F29CC">
        <w:rPr>
          <w:b/>
          <w:bCs/>
          <w:sz w:val="24"/>
        </w:rPr>
        <w:t xml:space="preserve">Describe efforts to consult with </w:t>
      </w:r>
      <w:r w:rsidRPr="004F29CC">
        <w:rPr>
          <w:b/>
          <w:bCs/>
          <w:sz w:val="24"/>
        </w:rPr>
        <w:t>persons</w:t>
      </w:r>
      <w:r w:rsidRPr="004F29CC">
        <w:rPr>
          <w:b/>
          <w:bCs/>
          <w:sz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104A1C" w:rsidRPr="004F29CC" w:rsidP="00831F0E" w14:paraId="13C38950" w14:textId="77777777">
      <w:pPr>
        <w:pStyle w:val="BodyTextIndent"/>
        <w:ind w:left="720"/>
        <w:rPr>
          <w:bCs/>
          <w:sz w:val="24"/>
        </w:rPr>
      </w:pPr>
    </w:p>
    <w:p w:rsidR="00831F0E" w:rsidRPr="004F29CC" w:rsidP="00831F0E" w14:paraId="1CF7BCDB" w14:textId="73CAF971">
      <w:pPr>
        <w:pStyle w:val="BodyTextIndent"/>
        <w:ind w:left="720"/>
        <w:rPr>
          <w:b/>
          <w:bCs/>
          <w:sz w:val="24"/>
        </w:rPr>
      </w:pPr>
      <w:r w:rsidRPr="004F29CC">
        <w:rPr>
          <w:b/>
          <w:bCs/>
          <w:sz w:val="24"/>
        </w:rPr>
        <w:t>Consultation with representatives of those from whom information is to be obtained or those who must compile records should occur at least once every 3 years even if the collection of information activity is the same as in prior periods</w:t>
      </w:r>
      <w:r w:rsidR="00646422">
        <w:rPr>
          <w:b/>
          <w:bCs/>
          <w:sz w:val="24"/>
        </w:rPr>
        <w:t xml:space="preserve">. </w:t>
      </w:r>
      <w:r w:rsidRPr="004F29CC">
        <w:rPr>
          <w:b/>
          <w:bCs/>
          <w:sz w:val="24"/>
        </w:rPr>
        <w:t>There may be circumstances that may preclude consultation in a specific situation</w:t>
      </w:r>
      <w:r w:rsidR="00646422">
        <w:rPr>
          <w:b/>
          <w:bCs/>
          <w:sz w:val="24"/>
        </w:rPr>
        <w:t xml:space="preserve">. </w:t>
      </w:r>
      <w:r w:rsidRPr="004F29CC">
        <w:rPr>
          <w:b/>
          <w:bCs/>
          <w:sz w:val="24"/>
        </w:rPr>
        <w:t>These circumstances should be explained.</w:t>
      </w:r>
    </w:p>
    <w:p w:rsidR="00E46E1B" w:rsidRPr="004F29CC" w:rsidP="00831F0E" w14:paraId="6714EC62" w14:textId="77777777">
      <w:pPr>
        <w:pStyle w:val="BodyTextIndent"/>
        <w:ind w:left="720"/>
        <w:rPr>
          <w:b/>
          <w:bCs/>
          <w:sz w:val="24"/>
        </w:rPr>
      </w:pPr>
    </w:p>
    <w:p w:rsidR="00E46E1B" w:rsidRPr="004F29CC" w:rsidP="0067309F" w14:paraId="28BD48BD" w14:textId="04717A64">
      <w:pPr>
        <w:ind w:left="720"/>
      </w:pPr>
      <w:r>
        <w:t xml:space="preserve">In March 2025, </w:t>
      </w:r>
      <w:r w:rsidRPr="004F29CC">
        <w:t xml:space="preserve">FAS </w:t>
      </w:r>
      <w:r w:rsidRPr="004F29CC" w:rsidR="00716CB4">
        <w:t>solicited</w:t>
      </w:r>
      <w:r w:rsidRPr="004F29CC">
        <w:t xml:space="preserve"> feedback from </w:t>
      </w:r>
      <w:r w:rsidRPr="004F29CC" w:rsidR="00D00386">
        <w:t xml:space="preserve">the following </w:t>
      </w:r>
      <w:r w:rsidRPr="004F29CC">
        <w:t>U.S. wool industry stakeholders on the appropriateness of the estimated information burden for the program</w:t>
      </w:r>
      <w:r w:rsidRPr="004F29CC" w:rsidR="00716CB4">
        <w:t xml:space="preserve"> and received no negative responses or suggestions that the burden estimates were inappropriate and should be changed</w:t>
      </w:r>
      <w:r w:rsidRPr="004F29CC">
        <w:t>:</w:t>
      </w:r>
    </w:p>
    <w:p w:rsidR="00D00386" w:rsidRPr="004F29CC" w:rsidP="0067309F" w14:paraId="6DC17859" w14:textId="77777777">
      <w:pPr>
        <w:ind w:left="720"/>
      </w:pPr>
    </w:p>
    <w:p w:rsidR="00D00386" w:rsidRPr="004F29CC" w:rsidP="00D00386" w14:paraId="659CDF09" w14:textId="0BF6E40B">
      <w:pPr>
        <w:numPr>
          <w:ilvl w:val="0"/>
          <w:numId w:val="12"/>
        </w:numPr>
      </w:pPr>
      <w:r w:rsidRPr="004F29CC">
        <w:rPr>
          <w:b/>
          <w:bCs/>
        </w:rPr>
        <w:t>Christopher E. Wilcox</w:t>
      </w:r>
      <w:r w:rsidRPr="004F29CC">
        <w:t xml:space="preserve">, Principal, Williams &amp; Jensen, PLLC, </w:t>
      </w:r>
      <w:hyperlink r:id="rId8" w:history="1">
        <w:r w:rsidRPr="004F29CC" w:rsidR="00716CB4">
          <w:rPr>
            <w:rStyle w:val="Hyperlink"/>
          </w:rPr>
          <w:t>CEWilcox@wms-jen.com</w:t>
        </w:r>
      </w:hyperlink>
      <w:r w:rsidRPr="004F29CC">
        <w:t>, (202) 973-5939</w:t>
      </w:r>
    </w:p>
    <w:p w:rsidR="00D00386" w:rsidRPr="004F29CC" w:rsidP="00D00386" w14:paraId="32DC37C4" w14:textId="77777777">
      <w:pPr>
        <w:pStyle w:val="ListParagraph"/>
        <w:numPr>
          <w:ilvl w:val="0"/>
          <w:numId w:val="12"/>
        </w:numPr>
        <w:autoSpaceDE w:val="0"/>
        <w:autoSpaceDN w:val="0"/>
        <w:adjustRightInd w:val="0"/>
        <w:contextualSpacing/>
      </w:pPr>
      <w:r w:rsidRPr="004F29CC">
        <w:rPr>
          <w:b/>
          <w:bCs/>
        </w:rPr>
        <w:t>David Trumbull</w:t>
      </w:r>
      <w:r w:rsidRPr="004F29CC">
        <w:t xml:space="preserve">, Agathon Associates, </w:t>
      </w:r>
      <w:hyperlink r:id="rId9" w:history="1">
        <w:r w:rsidRPr="004F29CC">
          <w:rPr>
            <w:rStyle w:val="Hyperlink"/>
          </w:rPr>
          <w:t>david@agathonassociates.com</w:t>
        </w:r>
      </w:hyperlink>
      <w:r w:rsidRPr="004F29CC">
        <w:t>, (617) 285–6004</w:t>
      </w:r>
    </w:p>
    <w:p w:rsidR="00716CB4" w:rsidRPr="004F29CC" w:rsidP="00716CB4" w14:paraId="13862641" w14:textId="77777777">
      <w:pPr>
        <w:pStyle w:val="ListParagraph"/>
        <w:numPr>
          <w:ilvl w:val="0"/>
          <w:numId w:val="12"/>
        </w:numPr>
        <w:autoSpaceDE w:val="0"/>
        <w:autoSpaceDN w:val="0"/>
        <w:adjustRightInd w:val="0"/>
        <w:contextualSpacing/>
      </w:pPr>
      <w:r w:rsidRPr="004F29CC">
        <w:rPr>
          <w:b/>
          <w:bCs/>
        </w:rPr>
        <w:t>Sara Beatty</w:t>
      </w:r>
      <w:r w:rsidRPr="004F29CC">
        <w:t xml:space="preserve">, National Council of Textile Organizations, </w:t>
      </w:r>
      <w:hyperlink r:id="rId10" w:history="1">
        <w:r w:rsidRPr="004F29CC">
          <w:rPr>
            <w:rStyle w:val="Hyperlink"/>
          </w:rPr>
          <w:t>sbeatty@ncto.org</w:t>
        </w:r>
      </w:hyperlink>
      <w:r w:rsidRPr="004F29CC">
        <w:t>, (202) 684–2999</w:t>
      </w:r>
    </w:p>
    <w:p w:rsidR="00BA33AB" w:rsidRPr="004F29CC" w:rsidP="00831F0E" w14:paraId="695FD7D2" w14:textId="77777777">
      <w:pPr>
        <w:pStyle w:val="BodyTextIndent"/>
        <w:ind w:left="0"/>
        <w:rPr>
          <w:b/>
          <w:bCs/>
          <w:sz w:val="24"/>
        </w:rPr>
      </w:pPr>
    </w:p>
    <w:p w:rsidR="00164104" w:rsidRPr="004F29CC" w:rsidP="00164104" w14:paraId="1CE7772C" w14:textId="77777777">
      <w:pPr>
        <w:pStyle w:val="BodyTextIndent"/>
        <w:numPr>
          <w:ilvl w:val="0"/>
          <w:numId w:val="4"/>
        </w:numPr>
        <w:rPr>
          <w:b/>
          <w:bCs/>
          <w:sz w:val="24"/>
        </w:rPr>
      </w:pPr>
      <w:r w:rsidRPr="004F29CC">
        <w:rPr>
          <w:b/>
          <w:bCs/>
          <w:sz w:val="24"/>
        </w:rPr>
        <w:t>Explain any decision to provide any payment or gift to respondents, other than reenumeration of contractors or grantees.</w:t>
      </w:r>
    </w:p>
    <w:p w:rsidR="00104A1C" w:rsidRPr="004F29CC" w:rsidP="00577838" w14:paraId="76D38B54" w14:textId="77777777">
      <w:pPr>
        <w:pStyle w:val="BodyTextIndent"/>
        <w:ind w:left="720"/>
        <w:rPr>
          <w:bCs/>
          <w:sz w:val="24"/>
        </w:rPr>
      </w:pPr>
    </w:p>
    <w:p w:rsidR="00164104" w:rsidRPr="004F29CC" w:rsidP="00164104" w14:paraId="2C950622" w14:textId="77777777">
      <w:pPr>
        <w:pStyle w:val="BodyTextIndent"/>
        <w:ind w:left="720"/>
        <w:rPr>
          <w:bCs/>
          <w:sz w:val="24"/>
        </w:rPr>
      </w:pPr>
      <w:r w:rsidRPr="004F29CC">
        <w:rPr>
          <w:bCs/>
          <w:sz w:val="24"/>
        </w:rPr>
        <w:t>This information collection activity involves no payments or gifts to respondents.</w:t>
      </w:r>
    </w:p>
    <w:p w:rsidR="006D4DA2" w:rsidRPr="004F29CC" w:rsidP="00164104" w14:paraId="6C19207D" w14:textId="77777777">
      <w:pPr>
        <w:pStyle w:val="BodyTextIndent"/>
        <w:ind w:left="720"/>
        <w:rPr>
          <w:bCs/>
          <w:sz w:val="24"/>
        </w:rPr>
      </w:pPr>
    </w:p>
    <w:p w:rsidR="00164104" w:rsidRPr="004F29CC" w:rsidP="00164104" w14:paraId="1B0048F5" w14:textId="77777777">
      <w:pPr>
        <w:pStyle w:val="BodyTextIndent"/>
        <w:numPr>
          <w:ilvl w:val="0"/>
          <w:numId w:val="4"/>
        </w:numPr>
        <w:rPr>
          <w:b/>
          <w:bCs/>
          <w:sz w:val="24"/>
        </w:rPr>
      </w:pPr>
      <w:r w:rsidRPr="004F29CC">
        <w:rPr>
          <w:b/>
          <w:bCs/>
          <w:sz w:val="24"/>
        </w:rPr>
        <w:t>Describe any assurance of confidentiality provided to respondents and the basis for the assurance in statute, regulation, or agency policy.</w:t>
      </w:r>
    </w:p>
    <w:p w:rsidR="00104A1C" w:rsidRPr="004F29CC" w:rsidP="00577838" w14:paraId="74FBA80E" w14:textId="77777777">
      <w:pPr>
        <w:pStyle w:val="BodyTextIndent"/>
        <w:ind w:left="720"/>
        <w:rPr>
          <w:bCs/>
          <w:sz w:val="24"/>
        </w:rPr>
      </w:pPr>
    </w:p>
    <w:p w:rsidR="00164104" w:rsidRPr="004F29CC" w:rsidP="00164104" w14:paraId="756B251B" w14:textId="6495AF39">
      <w:pPr>
        <w:pStyle w:val="BodyTextIndent"/>
        <w:ind w:left="720"/>
        <w:rPr>
          <w:color w:val="000000"/>
          <w:sz w:val="24"/>
        </w:rPr>
      </w:pPr>
      <w:r w:rsidRPr="004F29CC">
        <w:rPr>
          <w:color w:val="000000"/>
          <w:sz w:val="24"/>
        </w:rPr>
        <w:t>No additional assurance of confidentiality is provided with this information collection</w:t>
      </w:r>
      <w:r w:rsidR="00646422">
        <w:rPr>
          <w:color w:val="000000"/>
          <w:sz w:val="24"/>
        </w:rPr>
        <w:t>.</w:t>
      </w:r>
    </w:p>
    <w:p w:rsidR="007C7240" w:rsidRPr="004F29CC" w:rsidP="00164104" w14:paraId="2A7B7F1C" w14:textId="77777777">
      <w:pPr>
        <w:pStyle w:val="BodyTextIndent"/>
        <w:ind w:left="720"/>
        <w:rPr>
          <w:bCs/>
          <w:color w:val="000000"/>
          <w:sz w:val="24"/>
        </w:rPr>
      </w:pPr>
    </w:p>
    <w:p w:rsidR="00AD6C0B" w:rsidRPr="004F29CC" w:rsidP="00164104" w14:paraId="5EC82A37" w14:textId="1C754403">
      <w:pPr>
        <w:pStyle w:val="BodyTextIndent"/>
        <w:numPr>
          <w:ilvl w:val="0"/>
          <w:numId w:val="4"/>
        </w:numPr>
        <w:rPr>
          <w:b/>
          <w:bCs/>
          <w:sz w:val="24"/>
        </w:rPr>
      </w:pPr>
      <w:r w:rsidRPr="004F29CC">
        <w:rPr>
          <w:b/>
          <w:bCs/>
          <w:sz w:val="24"/>
        </w:rPr>
        <w:t>Provide additional justification for any questions of a sensitive nature, such as sexual behavior or attitudes, religious beliefs, and other matters that are commonly considered private</w:t>
      </w:r>
      <w:r w:rsidR="00646422">
        <w:rPr>
          <w:b/>
          <w:bCs/>
          <w:sz w:val="24"/>
        </w:rPr>
        <w:t xml:space="preserve">. </w:t>
      </w:r>
      <w:r w:rsidRPr="004F29CC">
        <w:rPr>
          <w:b/>
          <w:bCs/>
          <w:sz w:val="24"/>
        </w:rPr>
        <w:t xml:space="preserve">This justification should include the reasons why the agency considers the questions necessary, the specific uses to be made of the information, the explanation to be given to </w:t>
      </w:r>
      <w:r w:rsidRPr="004F29CC">
        <w:rPr>
          <w:b/>
          <w:bCs/>
          <w:sz w:val="24"/>
        </w:rPr>
        <w:t>persons</w:t>
      </w:r>
      <w:r w:rsidRPr="004F29CC">
        <w:rPr>
          <w:b/>
          <w:bCs/>
          <w:sz w:val="24"/>
        </w:rPr>
        <w:t xml:space="preserve"> from whom the information is requested, and any steps to be taken to obtain their consent. </w:t>
      </w:r>
    </w:p>
    <w:p w:rsidR="00104A1C" w:rsidRPr="004F29CC" w:rsidP="00164104" w14:paraId="4008600A" w14:textId="77777777">
      <w:pPr>
        <w:pStyle w:val="ListParagraph"/>
        <w:rPr>
          <w:bCs/>
        </w:rPr>
      </w:pPr>
    </w:p>
    <w:p w:rsidR="00104A1C" w:rsidRPr="004F29CC" w:rsidP="00164104" w14:paraId="1C59343B" w14:textId="77777777">
      <w:pPr>
        <w:pStyle w:val="ListParagraph"/>
        <w:rPr>
          <w:color w:val="000000"/>
        </w:rPr>
      </w:pPr>
      <w:r w:rsidRPr="004F29CC">
        <w:rPr>
          <w:color w:val="000000"/>
        </w:rPr>
        <w:t>FAS asks no questions of a personal or sensitive nature</w:t>
      </w:r>
      <w:r w:rsidRPr="004F29CC" w:rsidR="00814879">
        <w:rPr>
          <w:color w:val="000000"/>
        </w:rPr>
        <w:t>.</w:t>
      </w:r>
    </w:p>
    <w:p w:rsidR="007C7240" w:rsidRPr="004F29CC" w:rsidP="00164104" w14:paraId="253571AF" w14:textId="77777777">
      <w:pPr>
        <w:pStyle w:val="ListParagraph"/>
        <w:rPr>
          <w:b/>
          <w:bCs/>
        </w:rPr>
      </w:pPr>
    </w:p>
    <w:p w:rsidR="00164104" w:rsidRPr="004F29CC" w:rsidP="00164104" w14:paraId="0E570D89" w14:textId="0932C598">
      <w:pPr>
        <w:pStyle w:val="BodyTextIndent"/>
        <w:numPr>
          <w:ilvl w:val="0"/>
          <w:numId w:val="4"/>
        </w:numPr>
        <w:rPr>
          <w:b/>
          <w:bCs/>
          <w:sz w:val="24"/>
        </w:rPr>
      </w:pPr>
      <w:r w:rsidRPr="004F29CC">
        <w:rPr>
          <w:b/>
          <w:bCs/>
          <w:sz w:val="24"/>
        </w:rPr>
        <w:t>Provide estimates of the hour burden of the collection of information</w:t>
      </w:r>
      <w:r w:rsidR="00646422">
        <w:rPr>
          <w:b/>
          <w:bCs/>
          <w:sz w:val="24"/>
        </w:rPr>
        <w:t xml:space="preserve">. </w:t>
      </w:r>
      <w:r w:rsidRPr="004F29CC">
        <w:rPr>
          <w:b/>
          <w:bCs/>
          <w:sz w:val="24"/>
        </w:rPr>
        <w:t>Indicate the number of respondents, frequency of response, annual hour burden, and an explanation of how the burden was estimated.</w:t>
      </w:r>
    </w:p>
    <w:p w:rsidR="00454C37" w:rsidRPr="004F29CC" w:rsidP="00454C37" w14:paraId="3CAEF4C5" w14:textId="77777777">
      <w:pPr>
        <w:pStyle w:val="ListParagraph"/>
        <w:rPr>
          <w:b/>
          <w:bCs/>
        </w:rPr>
      </w:pPr>
    </w:p>
    <w:p w:rsidR="005B6F1D" w:rsidRPr="004F29CC" w:rsidP="0067309F" w14:paraId="1EF105A8" w14:textId="71ED9FFF">
      <w:pPr>
        <w:pStyle w:val="BodyTextIndent"/>
        <w:numPr>
          <w:ilvl w:val="0"/>
          <w:numId w:val="6"/>
        </w:numPr>
        <w:ind w:left="1080"/>
        <w:rPr>
          <w:b/>
          <w:bCs/>
          <w:sz w:val="24"/>
        </w:rPr>
      </w:pPr>
      <w:r w:rsidRPr="004F29CC">
        <w:rPr>
          <w:b/>
          <w:bCs/>
          <w:sz w:val="24"/>
        </w:rPr>
        <w:t>Indicate the number of respondents, frequency of response, annual hour burden, and an explanation of how the burden was estimated</w:t>
      </w:r>
      <w:r w:rsidR="00646422">
        <w:rPr>
          <w:b/>
          <w:bCs/>
          <w:sz w:val="24"/>
        </w:rPr>
        <w:t xml:space="preserve">. </w:t>
      </w:r>
      <w:r w:rsidRPr="004F29CC">
        <w:rPr>
          <w:b/>
          <w:bCs/>
          <w:sz w:val="24"/>
        </w:rPr>
        <w:t>If this request for approval covers more than one form, provide separate hour burden estimates for each form and aggregate the hour burden in Item 13 of OMB Form 83-I.</w:t>
      </w:r>
    </w:p>
    <w:p w:rsidR="00577838" w:rsidRPr="004F29CC" w:rsidP="0067309F" w14:paraId="1F72BA93" w14:textId="77777777">
      <w:pPr>
        <w:pStyle w:val="BodyTextIndent"/>
        <w:ind w:left="1080"/>
        <w:rPr>
          <w:b/>
          <w:bCs/>
          <w:sz w:val="24"/>
        </w:rPr>
      </w:pPr>
    </w:p>
    <w:p w:rsidR="00B5257B" w:rsidRPr="004F29CC" w:rsidP="0067309F" w14:paraId="0F6C6A41" w14:textId="25FCCEF1">
      <w:pPr>
        <w:pStyle w:val="BodyTextIndent"/>
        <w:ind w:left="1080"/>
        <w:rPr>
          <w:sz w:val="24"/>
        </w:rPr>
      </w:pPr>
      <w:r w:rsidRPr="004F29CC">
        <w:rPr>
          <w:b/>
          <w:bCs/>
          <w:sz w:val="24"/>
        </w:rPr>
        <w:t>Provide estimates of annualized cost to respondents for the hour burdens for collections of information, identifying and using appropriate wage rate categories.</w:t>
      </w:r>
    </w:p>
    <w:p w:rsidR="00B5257B" w:rsidP="00454C37" w14:paraId="4D34F2B7" w14:textId="77777777">
      <w:pPr>
        <w:pStyle w:val="ListParagraph"/>
      </w:pPr>
    </w:p>
    <w:p w:rsidR="0062567E" w:rsidRPr="0062567E" w:rsidP="00454C37" w14:paraId="4AFDE968" w14:textId="64894674">
      <w:pPr>
        <w:pStyle w:val="ListParagraph"/>
      </w:pPr>
      <w:r>
        <w:t>FAS estimates that it will receive 95 total annual responses to this collection request, with a total annual burden on the respondents of 260 hours. B</w:t>
      </w:r>
      <w:r w:rsidRPr="0062567E">
        <w:t xml:space="preserve">ased on the </w:t>
      </w:r>
      <w:r w:rsidR="00E75BAA">
        <w:t xml:space="preserve">national hourly average rate (plus fringe benefits) for </w:t>
      </w:r>
      <w:r w:rsidRPr="00E75BAA" w:rsidR="00E75BAA">
        <w:t>Administrative Services and Facilities Managers</w:t>
      </w:r>
      <w:r w:rsidR="00E75BAA">
        <w:t xml:space="preserve"> provided in the </w:t>
      </w:r>
      <w:r w:rsidRPr="00E75BAA" w:rsidR="00E75BAA">
        <w:t xml:space="preserve">Occupational Employment and Wage Statistics (OEWS) </w:t>
      </w:r>
      <w:r w:rsidR="00E75BAA">
        <w:t>t</w:t>
      </w:r>
      <w:r w:rsidRPr="00E75BAA" w:rsidR="00E75BAA">
        <w:t>ables</w:t>
      </w:r>
      <w:r w:rsidR="00E75BAA">
        <w:t xml:space="preserve"> found on BLS.gov</w:t>
      </w:r>
      <w:r w:rsidRPr="0062567E">
        <w:t xml:space="preserve">, </w:t>
      </w:r>
      <w:r>
        <w:t xml:space="preserve">the </w:t>
      </w:r>
      <w:r w:rsidRPr="0062567E">
        <w:t xml:space="preserve">total annual estimated burden in dollars </w:t>
      </w:r>
      <w:r>
        <w:t xml:space="preserve">to respondents </w:t>
      </w:r>
      <w:r w:rsidRPr="0062567E">
        <w:t>is $</w:t>
      </w:r>
      <w:r w:rsidR="00E75BAA">
        <w:t>19,815</w:t>
      </w:r>
      <w:r>
        <w:t>.</w:t>
      </w:r>
      <w:r w:rsidR="00E75BAA">
        <w:t xml:space="preserve"> N</w:t>
      </w:r>
      <w:r w:rsidRPr="00E75BAA" w:rsidR="00E75BAA">
        <w:t>otary activities are usually free for those who seek out this service at their banks.</w:t>
      </w:r>
    </w:p>
    <w:p w:rsidR="00716CB4" w:rsidRPr="0062567E" w:rsidP="00454C37" w14:paraId="65C5304F" w14:textId="77777777">
      <w:pPr>
        <w:pStyle w:val="ListParagraph"/>
      </w:pPr>
    </w:p>
    <w:p w:rsidR="00716CB4" w:rsidRPr="004F29CC" w:rsidP="00454C37" w14:paraId="4D6FD1DD" w14:textId="77777777">
      <w:pPr>
        <w:pStyle w:val="ListParagraph"/>
        <w:rPr>
          <w:b/>
          <w:bCs/>
        </w:rPr>
        <w:sectPr w:rsidSect="005D7804">
          <w:footerReference w:type="default" r:id="rId11"/>
          <w:type w:val="continuous"/>
          <w:pgSz w:w="12240" w:h="15840" w:code="1"/>
          <w:pgMar w:top="1440" w:right="1440" w:bottom="1440" w:left="1800" w:header="720" w:footer="720" w:gutter="0"/>
          <w:cols w:space="720"/>
          <w:noEndnote/>
          <w:docGrid w:linePitch="326"/>
        </w:sectPr>
      </w:pPr>
    </w:p>
    <w:p w:rsidR="00716CB4" w:rsidRPr="004F29CC" w:rsidP="00716CB4" w14:paraId="6C957C1C" w14:textId="77777777">
      <w:pPr>
        <w:pStyle w:val="ListParagraph"/>
        <w:ind w:left="0"/>
        <w:rPr>
          <w:b/>
          <w:bCs/>
        </w:rPr>
      </w:pPr>
    </w:p>
    <w:tbl>
      <w:tblPr>
        <w:tblW w:w="12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033"/>
        <w:gridCol w:w="1710"/>
        <w:gridCol w:w="1440"/>
        <w:gridCol w:w="1260"/>
        <w:gridCol w:w="1530"/>
        <w:gridCol w:w="990"/>
        <w:gridCol w:w="900"/>
        <w:gridCol w:w="1170"/>
      </w:tblGrid>
      <w:tr w14:paraId="5C1C4DD6" w14:textId="77777777" w:rsidTr="00F55E66">
        <w:tblPrEx>
          <w:tblW w:w="12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36"/>
          <w:jc w:val="center"/>
        </w:trPr>
        <w:tc>
          <w:tcPr>
            <w:tcW w:w="540" w:type="dxa"/>
            <w:shd w:val="clear" w:color="auto" w:fill="auto"/>
            <w:noWrap/>
            <w:hideMark/>
          </w:tcPr>
          <w:p w:rsidR="00716CB4" w:rsidRPr="004F29CC" w:rsidP="00B768FC" w14:paraId="746884CB" w14:textId="77777777">
            <w:pPr>
              <w:jc w:val="center"/>
              <w:rPr>
                <w:sz w:val="20"/>
                <w:szCs w:val="20"/>
              </w:rPr>
            </w:pPr>
          </w:p>
        </w:tc>
        <w:tc>
          <w:tcPr>
            <w:tcW w:w="3033" w:type="dxa"/>
            <w:shd w:val="clear" w:color="auto" w:fill="auto"/>
            <w:noWrap/>
            <w:hideMark/>
          </w:tcPr>
          <w:p w:rsidR="00716CB4" w:rsidRPr="004F29CC" w:rsidP="00B768FC" w14:paraId="68BB56CE" w14:textId="77777777">
            <w:pPr>
              <w:ind w:left="-167"/>
              <w:jc w:val="center"/>
              <w:rPr>
                <w:sz w:val="20"/>
                <w:szCs w:val="20"/>
              </w:rPr>
            </w:pPr>
            <w:r w:rsidRPr="004F29CC">
              <w:rPr>
                <w:sz w:val="20"/>
                <w:szCs w:val="20"/>
              </w:rPr>
              <w:t>DESCRIPTION</w:t>
            </w:r>
          </w:p>
        </w:tc>
        <w:tc>
          <w:tcPr>
            <w:tcW w:w="1710" w:type="dxa"/>
            <w:shd w:val="clear" w:color="auto" w:fill="auto"/>
            <w:noWrap/>
            <w:hideMark/>
          </w:tcPr>
          <w:p w:rsidR="00716CB4" w:rsidRPr="004F29CC" w:rsidP="00B768FC" w14:paraId="75FE0ECD" w14:textId="77777777">
            <w:pPr>
              <w:jc w:val="center"/>
              <w:rPr>
                <w:sz w:val="20"/>
                <w:szCs w:val="20"/>
                <w:u w:val="single"/>
              </w:rPr>
            </w:pPr>
            <w:r w:rsidRPr="004F29CC">
              <w:rPr>
                <w:sz w:val="20"/>
                <w:szCs w:val="20"/>
                <w:u w:val="single"/>
              </w:rPr>
              <w:t>NO. OF RESPONDENTS</w:t>
            </w:r>
          </w:p>
        </w:tc>
        <w:tc>
          <w:tcPr>
            <w:tcW w:w="1440" w:type="dxa"/>
            <w:shd w:val="clear" w:color="auto" w:fill="auto"/>
            <w:noWrap/>
            <w:hideMark/>
          </w:tcPr>
          <w:p w:rsidR="00716CB4" w:rsidRPr="004F29CC" w:rsidP="00B768FC" w14:paraId="2E8AB2E1" w14:textId="77777777">
            <w:pPr>
              <w:jc w:val="center"/>
              <w:rPr>
                <w:sz w:val="20"/>
                <w:szCs w:val="20"/>
              </w:rPr>
            </w:pPr>
            <w:r w:rsidRPr="004F29CC">
              <w:rPr>
                <w:sz w:val="20"/>
                <w:szCs w:val="20"/>
              </w:rPr>
              <w:t>FREQUENCY</w:t>
            </w:r>
          </w:p>
        </w:tc>
        <w:tc>
          <w:tcPr>
            <w:tcW w:w="1260" w:type="dxa"/>
            <w:shd w:val="clear" w:color="auto" w:fill="auto"/>
            <w:noWrap/>
            <w:hideMark/>
          </w:tcPr>
          <w:p w:rsidR="00716CB4" w:rsidRPr="004F29CC" w:rsidP="00B768FC" w14:paraId="19FD2481" w14:textId="77777777">
            <w:pPr>
              <w:jc w:val="center"/>
              <w:rPr>
                <w:sz w:val="20"/>
                <w:szCs w:val="20"/>
              </w:rPr>
            </w:pPr>
            <w:r w:rsidRPr="004F29CC">
              <w:rPr>
                <w:sz w:val="20"/>
                <w:szCs w:val="20"/>
              </w:rPr>
              <w:t>TOTAL RESPONSE</w:t>
            </w:r>
          </w:p>
        </w:tc>
        <w:tc>
          <w:tcPr>
            <w:tcW w:w="1530" w:type="dxa"/>
            <w:shd w:val="clear" w:color="auto" w:fill="auto"/>
            <w:noWrap/>
            <w:hideMark/>
          </w:tcPr>
          <w:p w:rsidR="00716CB4" w:rsidRPr="004F29CC" w:rsidP="00B768FC" w14:paraId="1F6E1646" w14:textId="77777777">
            <w:pPr>
              <w:jc w:val="center"/>
              <w:rPr>
                <w:sz w:val="20"/>
                <w:szCs w:val="20"/>
                <w:u w:val="single"/>
              </w:rPr>
            </w:pPr>
            <w:r w:rsidRPr="004F29CC">
              <w:rPr>
                <w:sz w:val="20"/>
                <w:szCs w:val="20"/>
                <w:u w:val="single"/>
              </w:rPr>
              <w:t>AVERAGE HOURS PER RESPONDENT</w:t>
            </w:r>
          </w:p>
        </w:tc>
        <w:tc>
          <w:tcPr>
            <w:tcW w:w="990" w:type="dxa"/>
            <w:shd w:val="clear" w:color="auto" w:fill="auto"/>
            <w:noWrap/>
            <w:hideMark/>
          </w:tcPr>
          <w:p w:rsidR="00716CB4" w:rsidRPr="004F29CC" w:rsidP="00B768FC" w14:paraId="5D5931C0" w14:textId="77777777">
            <w:pPr>
              <w:jc w:val="center"/>
              <w:rPr>
                <w:sz w:val="20"/>
                <w:szCs w:val="20"/>
              </w:rPr>
            </w:pPr>
            <w:r w:rsidRPr="004F29CC">
              <w:rPr>
                <w:sz w:val="20"/>
                <w:szCs w:val="20"/>
              </w:rPr>
              <w:t>TOTAL HOURS</w:t>
            </w:r>
          </w:p>
        </w:tc>
        <w:tc>
          <w:tcPr>
            <w:tcW w:w="900" w:type="dxa"/>
            <w:shd w:val="clear" w:color="auto" w:fill="auto"/>
            <w:noWrap/>
            <w:hideMark/>
          </w:tcPr>
          <w:p w:rsidR="00716CB4" w:rsidRPr="004F29CC" w:rsidP="00B768FC" w14:paraId="41D6870A" w14:textId="6FD36658">
            <w:pPr>
              <w:jc w:val="center"/>
              <w:rPr>
                <w:sz w:val="20"/>
                <w:szCs w:val="20"/>
                <w:u w:val="single"/>
              </w:rPr>
            </w:pPr>
            <w:r w:rsidRPr="004F29CC">
              <w:rPr>
                <w:sz w:val="20"/>
                <w:szCs w:val="20"/>
                <w:u w:val="single"/>
              </w:rPr>
              <w:t>COST PER HOUR</w:t>
            </w:r>
            <w:r w:rsidR="00DD01AF">
              <w:rPr>
                <w:sz w:val="20"/>
                <w:szCs w:val="20"/>
                <w:u w:val="single"/>
              </w:rPr>
              <w:t>*</w:t>
            </w:r>
          </w:p>
        </w:tc>
        <w:tc>
          <w:tcPr>
            <w:tcW w:w="1170" w:type="dxa"/>
            <w:shd w:val="clear" w:color="auto" w:fill="auto"/>
            <w:noWrap/>
            <w:hideMark/>
          </w:tcPr>
          <w:p w:rsidR="00716CB4" w:rsidRPr="004F29CC" w:rsidP="00B768FC" w14:paraId="5E0760E0" w14:textId="273E6967">
            <w:pPr>
              <w:jc w:val="center"/>
              <w:rPr>
                <w:sz w:val="20"/>
                <w:szCs w:val="20"/>
                <w:u w:val="single"/>
              </w:rPr>
            </w:pPr>
            <w:r w:rsidRPr="004F29CC">
              <w:rPr>
                <w:sz w:val="20"/>
                <w:szCs w:val="20"/>
                <w:u w:val="single"/>
              </w:rPr>
              <w:t>COST TO PU</w:t>
            </w:r>
            <w:r w:rsidRPr="004F29CC" w:rsidR="000E1D3B">
              <w:rPr>
                <w:sz w:val="20"/>
                <w:szCs w:val="20"/>
                <w:u w:val="single"/>
              </w:rPr>
              <w:t>B</w:t>
            </w:r>
            <w:r w:rsidRPr="004F29CC">
              <w:rPr>
                <w:sz w:val="20"/>
                <w:szCs w:val="20"/>
                <w:u w:val="single"/>
              </w:rPr>
              <w:t>LIC</w:t>
            </w:r>
          </w:p>
        </w:tc>
      </w:tr>
      <w:tr w14:paraId="5550849C" w14:textId="77777777" w:rsidTr="00E75BAA">
        <w:tblPrEx>
          <w:tblW w:w="12573" w:type="dxa"/>
          <w:jc w:val="center"/>
          <w:tblLayout w:type="fixed"/>
          <w:tblLook w:val="04A0"/>
        </w:tblPrEx>
        <w:trPr>
          <w:trHeight w:val="286"/>
          <w:jc w:val="center"/>
        </w:trPr>
        <w:tc>
          <w:tcPr>
            <w:tcW w:w="540" w:type="dxa"/>
            <w:shd w:val="clear" w:color="auto" w:fill="auto"/>
            <w:noWrap/>
            <w:vAlign w:val="center"/>
            <w:hideMark/>
          </w:tcPr>
          <w:p w:rsidR="00E75BAA" w:rsidRPr="004F29CC" w:rsidP="00E75BAA" w14:paraId="44E2EA20" w14:textId="77777777">
            <w:pPr>
              <w:rPr>
                <w:sz w:val="20"/>
                <w:szCs w:val="20"/>
              </w:rPr>
            </w:pPr>
            <w:r w:rsidRPr="004F29CC">
              <w:rPr>
                <w:sz w:val="20"/>
                <w:szCs w:val="20"/>
              </w:rPr>
              <w:t xml:space="preserve">A) </w:t>
            </w:r>
          </w:p>
        </w:tc>
        <w:tc>
          <w:tcPr>
            <w:tcW w:w="3033" w:type="dxa"/>
            <w:shd w:val="clear" w:color="auto" w:fill="auto"/>
            <w:noWrap/>
            <w:vAlign w:val="center"/>
          </w:tcPr>
          <w:p w:rsidR="00E75BAA" w:rsidRPr="004F29CC" w:rsidP="00E75BAA" w14:paraId="503CB03B" w14:textId="5E1E5FF0">
            <w:pPr>
              <w:rPr>
                <w:sz w:val="20"/>
                <w:szCs w:val="20"/>
              </w:rPr>
            </w:pPr>
            <w:r w:rsidRPr="004F29CC">
              <w:rPr>
                <w:color w:val="000000"/>
                <w:sz w:val="20"/>
                <w:szCs w:val="20"/>
              </w:rPr>
              <w:t>Application for 2022 Payments to Manufacturers of Certain Worsted Wool Fabrics</w:t>
            </w:r>
          </w:p>
        </w:tc>
        <w:tc>
          <w:tcPr>
            <w:tcW w:w="1710" w:type="dxa"/>
            <w:shd w:val="clear" w:color="auto" w:fill="auto"/>
            <w:noWrap/>
            <w:vAlign w:val="center"/>
          </w:tcPr>
          <w:p w:rsidR="00E75BAA" w:rsidRPr="004F29CC" w:rsidP="00E75BAA" w14:paraId="4341A2C5" w14:textId="208F3512">
            <w:pPr>
              <w:rPr>
                <w:sz w:val="20"/>
                <w:szCs w:val="20"/>
              </w:rPr>
            </w:pPr>
            <w:r w:rsidRPr="004F29CC">
              <w:rPr>
                <w:color w:val="000000"/>
                <w:sz w:val="20"/>
                <w:szCs w:val="20"/>
              </w:rPr>
              <w:t>4</w:t>
            </w:r>
          </w:p>
        </w:tc>
        <w:tc>
          <w:tcPr>
            <w:tcW w:w="1440" w:type="dxa"/>
            <w:shd w:val="clear" w:color="auto" w:fill="auto"/>
            <w:noWrap/>
            <w:vAlign w:val="center"/>
          </w:tcPr>
          <w:p w:rsidR="00E75BAA" w:rsidRPr="004F29CC" w:rsidP="00E75BAA" w14:paraId="480E4984" w14:textId="118E5145">
            <w:pPr>
              <w:rPr>
                <w:sz w:val="20"/>
                <w:szCs w:val="20"/>
              </w:rPr>
            </w:pPr>
            <w:r w:rsidRPr="004F29CC">
              <w:rPr>
                <w:color w:val="000000"/>
                <w:sz w:val="20"/>
                <w:szCs w:val="20"/>
              </w:rPr>
              <w:t>1</w:t>
            </w:r>
          </w:p>
        </w:tc>
        <w:tc>
          <w:tcPr>
            <w:tcW w:w="1260" w:type="dxa"/>
            <w:shd w:val="clear" w:color="auto" w:fill="auto"/>
            <w:noWrap/>
            <w:vAlign w:val="center"/>
          </w:tcPr>
          <w:p w:rsidR="00E75BAA" w:rsidRPr="004F29CC" w:rsidP="00E75BAA" w14:paraId="672720A5" w14:textId="29ABE878">
            <w:pPr>
              <w:rPr>
                <w:sz w:val="20"/>
                <w:szCs w:val="20"/>
              </w:rPr>
            </w:pPr>
            <w:r w:rsidRPr="004F29CC">
              <w:rPr>
                <w:color w:val="000000"/>
                <w:sz w:val="20"/>
                <w:szCs w:val="20"/>
              </w:rPr>
              <w:t>4</w:t>
            </w:r>
          </w:p>
        </w:tc>
        <w:tc>
          <w:tcPr>
            <w:tcW w:w="1530" w:type="dxa"/>
            <w:shd w:val="clear" w:color="auto" w:fill="auto"/>
            <w:noWrap/>
            <w:vAlign w:val="center"/>
          </w:tcPr>
          <w:p w:rsidR="00E75BAA" w:rsidRPr="004F29CC" w:rsidP="00E75BAA" w14:paraId="631C5605" w14:textId="4025000B">
            <w:pPr>
              <w:rPr>
                <w:sz w:val="20"/>
                <w:szCs w:val="20"/>
              </w:rPr>
            </w:pPr>
            <w:r w:rsidRPr="004F29CC">
              <w:rPr>
                <w:color w:val="000000"/>
                <w:sz w:val="20"/>
                <w:szCs w:val="20"/>
              </w:rPr>
              <w:t>1</w:t>
            </w:r>
          </w:p>
        </w:tc>
        <w:tc>
          <w:tcPr>
            <w:tcW w:w="990" w:type="dxa"/>
            <w:shd w:val="clear" w:color="auto" w:fill="auto"/>
            <w:noWrap/>
            <w:vAlign w:val="center"/>
          </w:tcPr>
          <w:p w:rsidR="00E75BAA" w:rsidRPr="004F29CC" w:rsidP="00E75BAA" w14:paraId="511CF63A" w14:textId="44EA9FD2">
            <w:pPr>
              <w:rPr>
                <w:sz w:val="20"/>
                <w:szCs w:val="20"/>
              </w:rPr>
            </w:pPr>
            <w:r w:rsidRPr="004F29CC">
              <w:rPr>
                <w:color w:val="000000"/>
                <w:sz w:val="20"/>
                <w:szCs w:val="20"/>
              </w:rPr>
              <w:t>4</w:t>
            </w:r>
          </w:p>
        </w:tc>
        <w:tc>
          <w:tcPr>
            <w:tcW w:w="900" w:type="dxa"/>
            <w:shd w:val="clear" w:color="auto" w:fill="auto"/>
            <w:noWrap/>
            <w:vAlign w:val="center"/>
            <w:hideMark/>
          </w:tcPr>
          <w:p w:rsidR="00E75BAA" w:rsidRPr="004F29CC" w:rsidP="00E75BAA" w14:paraId="5F1EE4F0" w14:textId="52A1F483">
            <w:pPr>
              <w:rPr>
                <w:sz w:val="20"/>
                <w:szCs w:val="20"/>
              </w:rPr>
            </w:pPr>
            <w:r>
              <w:rPr>
                <w:color w:val="000000"/>
                <w:sz w:val="20"/>
                <w:szCs w:val="20"/>
              </w:rPr>
              <w:t>$</w:t>
            </w:r>
            <w:r w:rsidRPr="004F29CC">
              <w:rPr>
                <w:color w:val="000000"/>
                <w:sz w:val="20"/>
                <w:szCs w:val="20"/>
              </w:rPr>
              <w:t>7</w:t>
            </w:r>
            <w:r>
              <w:rPr>
                <w:color w:val="000000"/>
                <w:sz w:val="20"/>
                <w:szCs w:val="20"/>
              </w:rPr>
              <w:t>6</w:t>
            </w:r>
            <w:r w:rsidRPr="004F29CC">
              <w:rPr>
                <w:color w:val="000000"/>
                <w:sz w:val="20"/>
                <w:szCs w:val="20"/>
              </w:rPr>
              <w:t>.</w:t>
            </w:r>
            <w:r>
              <w:rPr>
                <w:color w:val="000000"/>
                <w:sz w:val="20"/>
                <w:szCs w:val="20"/>
              </w:rPr>
              <w:t>21</w:t>
            </w:r>
          </w:p>
        </w:tc>
        <w:tc>
          <w:tcPr>
            <w:tcW w:w="1170" w:type="dxa"/>
            <w:shd w:val="clear" w:color="auto" w:fill="auto"/>
            <w:noWrap/>
            <w:vAlign w:val="center"/>
            <w:hideMark/>
          </w:tcPr>
          <w:p w:rsidR="00E75BAA" w:rsidRPr="00E75BAA" w:rsidP="00E75BAA" w14:paraId="3F41AB2C" w14:textId="7F01F194">
            <w:pPr>
              <w:jc w:val="center"/>
              <w:rPr>
                <w:sz w:val="20"/>
                <w:szCs w:val="20"/>
              </w:rPr>
            </w:pPr>
            <w:r w:rsidRPr="00E75BAA">
              <w:rPr>
                <w:sz w:val="20"/>
                <w:szCs w:val="20"/>
              </w:rPr>
              <w:t>$305</w:t>
            </w:r>
          </w:p>
        </w:tc>
      </w:tr>
      <w:tr w14:paraId="259C58D4" w14:textId="77777777" w:rsidTr="00E75BAA">
        <w:tblPrEx>
          <w:tblW w:w="12573" w:type="dxa"/>
          <w:jc w:val="center"/>
          <w:tblLayout w:type="fixed"/>
          <w:tblLook w:val="04A0"/>
        </w:tblPrEx>
        <w:trPr>
          <w:trHeight w:val="286"/>
          <w:jc w:val="center"/>
        </w:trPr>
        <w:tc>
          <w:tcPr>
            <w:tcW w:w="540" w:type="dxa"/>
            <w:shd w:val="clear" w:color="auto" w:fill="auto"/>
            <w:noWrap/>
            <w:vAlign w:val="center"/>
            <w:hideMark/>
          </w:tcPr>
          <w:p w:rsidR="00E75BAA" w:rsidRPr="004F29CC" w:rsidP="00E75BAA" w14:paraId="0CFC3568" w14:textId="77777777">
            <w:pPr>
              <w:rPr>
                <w:sz w:val="20"/>
                <w:szCs w:val="20"/>
              </w:rPr>
            </w:pPr>
            <w:r w:rsidRPr="004F29CC">
              <w:rPr>
                <w:sz w:val="20"/>
                <w:szCs w:val="20"/>
              </w:rPr>
              <w:t>B)</w:t>
            </w:r>
          </w:p>
        </w:tc>
        <w:tc>
          <w:tcPr>
            <w:tcW w:w="3033" w:type="dxa"/>
            <w:shd w:val="clear" w:color="auto" w:fill="auto"/>
            <w:noWrap/>
            <w:vAlign w:val="center"/>
          </w:tcPr>
          <w:p w:rsidR="00E75BAA" w:rsidRPr="004F29CC" w:rsidP="00E75BAA" w14:paraId="42999D5D" w14:textId="3F1A08FA">
            <w:pPr>
              <w:rPr>
                <w:sz w:val="20"/>
                <w:szCs w:val="20"/>
              </w:rPr>
            </w:pPr>
            <w:r w:rsidRPr="004F29CC">
              <w:rPr>
                <w:color w:val="000000"/>
                <w:sz w:val="20"/>
                <w:szCs w:val="20"/>
              </w:rPr>
              <w:t>Application for 2022 Monetized TRQ Payments Manufacturers of Men's &amp; Boy's Worsted Wool Suits, Suit-Type Jackets and Trousers (Average Fiber Diameter Greater than 18.5 Microns)</w:t>
            </w:r>
          </w:p>
        </w:tc>
        <w:tc>
          <w:tcPr>
            <w:tcW w:w="1710" w:type="dxa"/>
            <w:shd w:val="clear" w:color="auto" w:fill="auto"/>
            <w:noWrap/>
            <w:vAlign w:val="center"/>
          </w:tcPr>
          <w:p w:rsidR="00E75BAA" w:rsidRPr="004F29CC" w:rsidP="00E75BAA" w14:paraId="1A36D6AC" w14:textId="456C5E69">
            <w:pPr>
              <w:rPr>
                <w:sz w:val="20"/>
                <w:szCs w:val="20"/>
              </w:rPr>
            </w:pPr>
            <w:r w:rsidRPr="004F29CC">
              <w:rPr>
                <w:color w:val="000000"/>
                <w:sz w:val="20"/>
                <w:szCs w:val="20"/>
              </w:rPr>
              <w:t>17</w:t>
            </w:r>
          </w:p>
        </w:tc>
        <w:tc>
          <w:tcPr>
            <w:tcW w:w="1440" w:type="dxa"/>
            <w:shd w:val="clear" w:color="auto" w:fill="auto"/>
            <w:noWrap/>
            <w:vAlign w:val="center"/>
          </w:tcPr>
          <w:p w:rsidR="00E75BAA" w:rsidRPr="004F29CC" w:rsidP="00E75BAA" w14:paraId="44D64ED0" w14:textId="5964F640">
            <w:pPr>
              <w:rPr>
                <w:sz w:val="20"/>
                <w:szCs w:val="20"/>
              </w:rPr>
            </w:pPr>
            <w:r w:rsidRPr="004F29CC">
              <w:rPr>
                <w:color w:val="000000"/>
                <w:sz w:val="20"/>
                <w:szCs w:val="20"/>
              </w:rPr>
              <w:t>1</w:t>
            </w:r>
          </w:p>
        </w:tc>
        <w:tc>
          <w:tcPr>
            <w:tcW w:w="1260" w:type="dxa"/>
            <w:shd w:val="clear" w:color="auto" w:fill="auto"/>
            <w:noWrap/>
            <w:vAlign w:val="center"/>
          </w:tcPr>
          <w:p w:rsidR="00E75BAA" w:rsidRPr="004F29CC" w:rsidP="00E75BAA" w14:paraId="6C9A6298" w14:textId="0D199D6D">
            <w:pPr>
              <w:rPr>
                <w:sz w:val="20"/>
                <w:szCs w:val="20"/>
              </w:rPr>
            </w:pPr>
            <w:r w:rsidRPr="004F29CC">
              <w:rPr>
                <w:color w:val="000000"/>
                <w:sz w:val="20"/>
                <w:szCs w:val="20"/>
              </w:rPr>
              <w:t>17</w:t>
            </w:r>
          </w:p>
        </w:tc>
        <w:tc>
          <w:tcPr>
            <w:tcW w:w="1530" w:type="dxa"/>
            <w:shd w:val="clear" w:color="auto" w:fill="auto"/>
            <w:noWrap/>
            <w:vAlign w:val="center"/>
          </w:tcPr>
          <w:p w:rsidR="00E75BAA" w:rsidRPr="004F29CC" w:rsidP="00E75BAA" w14:paraId="79C543AC" w14:textId="17594733">
            <w:pPr>
              <w:rPr>
                <w:sz w:val="20"/>
                <w:szCs w:val="20"/>
              </w:rPr>
            </w:pPr>
            <w:r w:rsidRPr="004F29CC">
              <w:rPr>
                <w:color w:val="000000"/>
                <w:sz w:val="20"/>
                <w:szCs w:val="20"/>
              </w:rPr>
              <w:t>5</w:t>
            </w:r>
          </w:p>
        </w:tc>
        <w:tc>
          <w:tcPr>
            <w:tcW w:w="990" w:type="dxa"/>
            <w:shd w:val="clear" w:color="auto" w:fill="auto"/>
            <w:noWrap/>
            <w:vAlign w:val="center"/>
          </w:tcPr>
          <w:p w:rsidR="00E75BAA" w:rsidRPr="004F29CC" w:rsidP="00E75BAA" w14:paraId="1FC21167" w14:textId="30A550C6">
            <w:pPr>
              <w:rPr>
                <w:sz w:val="20"/>
                <w:szCs w:val="20"/>
              </w:rPr>
            </w:pPr>
            <w:r w:rsidRPr="004F29CC">
              <w:rPr>
                <w:color w:val="000000"/>
                <w:sz w:val="20"/>
                <w:szCs w:val="20"/>
              </w:rPr>
              <w:t>85</w:t>
            </w:r>
          </w:p>
        </w:tc>
        <w:tc>
          <w:tcPr>
            <w:tcW w:w="900" w:type="dxa"/>
            <w:shd w:val="clear" w:color="auto" w:fill="auto"/>
            <w:noWrap/>
            <w:vAlign w:val="center"/>
            <w:hideMark/>
          </w:tcPr>
          <w:p w:rsidR="00E75BAA" w:rsidRPr="004F29CC" w:rsidP="00E75BAA" w14:paraId="73224FE4" w14:textId="312FAE29">
            <w:pPr>
              <w:rPr>
                <w:sz w:val="20"/>
                <w:szCs w:val="20"/>
              </w:rPr>
            </w:pPr>
            <w:r>
              <w:rPr>
                <w:color w:val="000000"/>
                <w:sz w:val="20"/>
                <w:szCs w:val="20"/>
              </w:rPr>
              <w:t>$</w:t>
            </w:r>
            <w:r w:rsidRPr="004F29CC">
              <w:rPr>
                <w:color w:val="000000"/>
                <w:sz w:val="20"/>
                <w:szCs w:val="20"/>
              </w:rPr>
              <w:t>7</w:t>
            </w:r>
            <w:r>
              <w:rPr>
                <w:color w:val="000000"/>
                <w:sz w:val="20"/>
                <w:szCs w:val="20"/>
              </w:rPr>
              <w:t>6</w:t>
            </w:r>
            <w:r w:rsidRPr="004F29CC">
              <w:rPr>
                <w:color w:val="000000"/>
                <w:sz w:val="20"/>
                <w:szCs w:val="20"/>
              </w:rPr>
              <w:t>.</w:t>
            </w:r>
            <w:r>
              <w:rPr>
                <w:color w:val="000000"/>
                <w:sz w:val="20"/>
                <w:szCs w:val="20"/>
              </w:rPr>
              <w:t>21</w:t>
            </w:r>
          </w:p>
        </w:tc>
        <w:tc>
          <w:tcPr>
            <w:tcW w:w="1170" w:type="dxa"/>
            <w:shd w:val="clear" w:color="auto" w:fill="auto"/>
            <w:noWrap/>
            <w:vAlign w:val="center"/>
            <w:hideMark/>
          </w:tcPr>
          <w:p w:rsidR="00E75BAA" w:rsidRPr="00E75BAA" w:rsidP="00E75BAA" w14:paraId="065FD5DE" w14:textId="089DA693">
            <w:pPr>
              <w:jc w:val="center"/>
              <w:rPr>
                <w:sz w:val="20"/>
                <w:szCs w:val="20"/>
              </w:rPr>
            </w:pPr>
            <w:r w:rsidRPr="00E75BAA">
              <w:rPr>
                <w:sz w:val="20"/>
                <w:szCs w:val="20"/>
              </w:rPr>
              <w:t>$6,478</w:t>
            </w:r>
          </w:p>
        </w:tc>
      </w:tr>
      <w:tr w14:paraId="13B4CB22" w14:textId="77777777" w:rsidTr="00E75BAA">
        <w:tblPrEx>
          <w:tblW w:w="12573" w:type="dxa"/>
          <w:jc w:val="center"/>
          <w:tblLayout w:type="fixed"/>
          <w:tblLook w:val="04A0"/>
        </w:tblPrEx>
        <w:trPr>
          <w:trHeight w:val="286"/>
          <w:jc w:val="center"/>
        </w:trPr>
        <w:tc>
          <w:tcPr>
            <w:tcW w:w="540" w:type="dxa"/>
            <w:shd w:val="clear" w:color="auto" w:fill="auto"/>
            <w:noWrap/>
            <w:vAlign w:val="center"/>
            <w:hideMark/>
          </w:tcPr>
          <w:p w:rsidR="00E75BAA" w:rsidRPr="004F29CC" w:rsidP="00E75BAA" w14:paraId="7A0872D0" w14:textId="77777777">
            <w:pPr>
              <w:rPr>
                <w:sz w:val="20"/>
                <w:szCs w:val="20"/>
              </w:rPr>
            </w:pPr>
            <w:r w:rsidRPr="004F29CC">
              <w:rPr>
                <w:sz w:val="20"/>
                <w:szCs w:val="20"/>
              </w:rPr>
              <w:t>C)</w:t>
            </w:r>
          </w:p>
        </w:tc>
        <w:tc>
          <w:tcPr>
            <w:tcW w:w="3033" w:type="dxa"/>
            <w:shd w:val="clear" w:color="auto" w:fill="auto"/>
            <w:noWrap/>
            <w:vAlign w:val="center"/>
          </w:tcPr>
          <w:p w:rsidR="00E75BAA" w:rsidRPr="004F29CC" w:rsidP="00E75BAA" w14:paraId="31297F70" w14:textId="693B224A">
            <w:pPr>
              <w:rPr>
                <w:sz w:val="20"/>
                <w:szCs w:val="20"/>
              </w:rPr>
            </w:pPr>
            <w:r w:rsidRPr="004F29CC">
              <w:rPr>
                <w:color w:val="000000"/>
                <w:sz w:val="20"/>
                <w:szCs w:val="20"/>
              </w:rPr>
              <w:t>Application for 2022 Monetized TRQ Payments Manufacturers of Men's &amp; Boy's Worsted Wool Suits, Suit-Type Jackets and Trousers (Average Fiber Diameter 18.5 Microns or Less)</w:t>
            </w:r>
          </w:p>
        </w:tc>
        <w:tc>
          <w:tcPr>
            <w:tcW w:w="1710" w:type="dxa"/>
            <w:shd w:val="clear" w:color="auto" w:fill="auto"/>
            <w:noWrap/>
            <w:vAlign w:val="center"/>
          </w:tcPr>
          <w:p w:rsidR="00E75BAA" w:rsidRPr="004F29CC" w:rsidP="00E75BAA" w14:paraId="200AB87E" w14:textId="51A5827F">
            <w:pPr>
              <w:rPr>
                <w:sz w:val="20"/>
                <w:szCs w:val="20"/>
              </w:rPr>
            </w:pPr>
            <w:r w:rsidRPr="004F29CC">
              <w:rPr>
                <w:color w:val="000000"/>
                <w:sz w:val="20"/>
                <w:szCs w:val="20"/>
              </w:rPr>
              <w:t>17</w:t>
            </w:r>
          </w:p>
        </w:tc>
        <w:tc>
          <w:tcPr>
            <w:tcW w:w="1440" w:type="dxa"/>
            <w:shd w:val="clear" w:color="auto" w:fill="auto"/>
            <w:noWrap/>
            <w:vAlign w:val="center"/>
          </w:tcPr>
          <w:p w:rsidR="00E75BAA" w:rsidRPr="004F29CC" w:rsidP="00E75BAA" w14:paraId="56547437" w14:textId="7C75E7D7">
            <w:pPr>
              <w:rPr>
                <w:sz w:val="20"/>
                <w:szCs w:val="20"/>
              </w:rPr>
            </w:pPr>
            <w:r w:rsidRPr="004F29CC">
              <w:rPr>
                <w:color w:val="000000"/>
                <w:sz w:val="20"/>
                <w:szCs w:val="20"/>
              </w:rPr>
              <w:t>1</w:t>
            </w:r>
          </w:p>
        </w:tc>
        <w:tc>
          <w:tcPr>
            <w:tcW w:w="1260" w:type="dxa"/>
            <w:shd w:val="clear" w:color="auto" w:fill="auto"/>
            <w:noWrap/>
            <w:vAlign w:val="center"/>
          </w:tcPr>
          <w:p w:rsidR="00E75BAA" w:rsidRPr="004F29CC" w:rsidP="00E75BAA" w14:paraId="00FB55E6" w14:textId="4DE5002B">
            <w:pPr>
              <w:rPr>
                <w:sz w:val="20"/>
                <w:szCs w:val="20"/>
              </w:rPr>
            </w:pPr>
            <w:r w:rsidRPr="004F29CC">
              <w:rPr>
                <w:color w:val="000000"/>
                <w:sz w:val="20"/>
                <w:szCs w:val="20"/>
              </w:rPr>
              <w:t>17</w:t>
            </w:r>
          </w:p>
        </w:tc>
        <w:tc>
          <w:tcPr>
            <w:tcW w:w="1530" w:type="dxa"/>
            <w:shd w:val="clear" w:color="auto" w:fill="auto"/>
            <w:noWrap/>
            <w:vAlign w:val="center"/>
          </w:tcPr>
          <w:p w:rsidR="00E75BAA" w:rsidRPr="004F29CC" w:rsidP="00E75BAA" w14:paraId="451B0BF5" w14:textId="076BE6EA">
            <w:pPr>
              <w:rPr>
                <w:sz w:val="20"/>
                <w:szCs w:val="20"/>
              </w:rPr>
            </w:pPr>
            <w:r w:rsidRPr="004F29CC">
              <w:rPr>
                <w:color w:val="000000"/>
                <w:sz w:val="20"/>
                <w:szCs w:val="20"/>
              </w:rPr>
              <w:t>5</w:t>
            </w:r>
          </w:p>
        </w:tc>
        <w:tc>
          <w:tcPr>
            <w:tcW w:w="990" w:type="dxa"/>
            <w:shd w:val="clear" w:color="auto" w:fill="auto"/>
            <w:noWrap/>
            <w:vAlign w:val="center"/>
          </w:tcPr>
          <w:p w:rsidR="00E75BAA" w:rsidRPr="004F29CC" w:rsidP="00E75BAA" w14:paraId="39A680B6" w14:textId="29BB0959">
            <w:pPr>
              <w:rPr>
                <w:sz w:val="20"/>
                <w:szCs w:val="20"/>
              </w:rPr>
            </w:pPr>
            <w:r w:rsidRPr="004F29CC">
              <w:rPr>
                <w:color w:val="000000"/>
                <w:sz w:val="20"/>
                <w:szCs w:val="20"/>
              </w:rPr>
              <w:t>85</w:t>
            </w:r>
          </w:p>
        </w:tc>
        <w:tc>
          <w:tcPr>
            <w:tcW w:w="900" w:type="dxa"/>
            <w:shd w:val="clear" w:color="auto" w:fill="auto"/>
            <w:noWrap/>
            <w:vAlign w:val="center"/>
            <w:hideMark/>
          </w:tcPr>
          <w:p w:rsidR="00E75BAA" w:rsidRPr="004F29CC" w:rsidP="00E75BAA" w14:paraId="43A488BB" w14:textId="673E5B3E">
            <w:pPr>
              <w:rPr>
                <w:sz w:val="20"/>
                <w:szCs w:val="20"/>
              </w:rPr>
            </w:pPr>
            <w:r>
              <w:rPr>
                <w:color w:val="000000"/>
                <w:sz w:val="20"/>
                <w:szCs w:val="20"/>
              </w:rPr>
              <w:t>$</w:t>
            </w:r>
            <w:r w:rsidRPr="004F29CC">
              <w:rPr>
                <w:color w:val="000000"/>
                <w:sz w:val="20"/>
                <w:szCs w:val="20"/>
              </w:rPr>
              <w:t>7</w:t>
            </w:r>
            <w:r>
              <w:rPr>
                <w:color w:val="000000"/>
                <w:sz w:val="20"/>
                <w:szCs w:val="20"/>
              </w:rPr>
              <w:t>6</w:t>
            </w:r>
            <w:r w:rsidRPr="004F29CC">
              <w:rPr>
                <w:color w:val="000000"/>
                <w:sz w:val="20"/>
                <w:szCs w:val="20"/>
              </w:rPr>
              <w:t>.</w:t>
            </w:r>
            <w:r>
              <w:rPr>
                <w:color w:val="000000"/>
                <w:sz w:val="20"/>
                <w:szCs w:val="20"/>
              </w:rPr>
              <w:t>21</w:t>
            </w:r>
          </w:p>
        </w:tc>
        <w:tc>
          <w:tcPr>
            <w:tcW w:w="1170" w:type="dxa"/>
            <w:shd w:val="clear" w:color="auto" w:fill="auto"/>
            <w:noWrap/>
            <w:vAlign w:val="center"/>
            <w:hideMark/>
          </w:tcPr>
          <w:p w:rsidR="00E75BAA" w:rsidRPr="00E75BAA" w:rsidP="00E75BAA" w14:paraId="1A1E33C5" w14:textId="230BF8FF">
            <w:pPr>
              <w:jc w:val="center"/>
              <w:rPr>
                <w:sz w:val="20"/>
                <w:szCs w:val="20"/>
              </w:rPr>
            </w:pPr>
            <w:r w:rsidRPr="00E75BAA">
              <w:rPr>
                <w:sz w:val="20"/>
                <w:szCs w:val="20"/>
              </w:rPr>
              <w:t>$6,478</w:t>
            </w:r>
          </w:p>
        </w:tc>
      </w:tr>
      <w:tr w14:paraId="7748A7B5" w14:textId="77777777" w:rsidTr="00E75BAA">
        <w:tblPrEx>
          <w:tblW w:w="12573" w:type="dxa"/>
          <w:jc w:val="center"/>
          <w:tblLayout w:type="fixed"/>
          <w:tblLook w:val="04A0"/>
        </w:tblPrEx>
        <w:trPr>
          <w:trHeight w:val="286"/>
          <w:jc w:val="center"/>
        </w:trPr>
        <w:tc>
          <w:tcPr>
            <w:tcW w:w="540" w:type="dxa"/>
            <w:shd w:val="clear" w:color="auto" w:fill="auto"/>
            <w:noWrap/>
            <w:vAlign w:val="center"/>
            <w:hideMark/>
          </w:tcPr>
          <w:p w:rsidR="00E75BAA" w:rsidRPr="004F29CC" w:rsidP="00E75BAA" w14:paraId="19E1A488" w14:textId="77777777">
            <w:pPr>
              <w:rPr>
                <w:sz w:val="20"/>
                <w:szCs w:val="20"/>
              </w:rPr>
            </w:pPr>
            <w:r w:rsidRPr="004F29CC">
              <w:rPr>
                <w:sz w:val="20"/>
                <w:szCs w:val="20"/>
              </w:rPr>
              <w:t>D)</w:t>
            </w:r>
          </w:p>
        </w:tc>
        <w:tc>
          <w:tcPr>
            <w:tcW w:w="3033" w:type="dxa"/>
            <w:shd w:val="clear" w:color="auto" w:fill="auto"/>
            <w:noWrap/>
            <w:vAlign w:val="center"/>
          </w:tcPr>
          <w:p w:rsidR="00E75BAA" w:rsidRPr="004F29CC" w:rsidP="00E75BAA" w14:paraId="0071AC55" w14:textId="60939FF1">
            <w:pPr>
              <w:rPr>
                <w:sz w:val="20"/>
                <w:szCs w:val="20"/>
              </w:rPr>
            </w:pPr>
            <w:r w:rsidRPr="004F29CC">
              <w:rPr>
                <w:color w:val="000000"/>
                <w:sz w:val="20"/>
                <w:szCs w:val="20"/>
              </w:rPr>
              <w:t>Application for 2022 Monetized TRQ Payments Manufacturers of Worsted Wool Fabric Average Fiber Diameter of 18.5 Microns or Less</w:t>
            </w:r>
          </w:p>
        </w:tc>
        <w:tc>
          <w:tcPr>
            <w:tcW w:w="1710" w:type="dxa"/>
            <w:shd w:val="clear" w:color="auto" w:fill="auto"/>
            <w:noWrap/>
            <w:vAlign w:val="center"/>
          </w:tcPr>
          <w:p w:rsidR="00E75BAA" w:rsidRPr="004F29CC" w:rsidP="00E75BAA" w14:paraId="23ECF1D4" w14:textId="4DE6B632">
            <w:pPr>
              <w:rPr>
                <w:sz w:val="20"/>
                <w:szCs w:val="20"/>
              </w:rPr>
            </w:pPr>
            <w:r w:rsidRPr="004F29CC">
              <w:rPr>
                <w:color w:val="000000"/>
                <w:sz w:val="20"/>
                <w:szCs w:val="20"/>
              </w:rPr>
              <w:t>1</w:t>
            </w:r>
          </w:p>
        </w:tc>
        <w:tc>
          <w:tcPr>
            <w:tcW w:w="1440" w:type="dxa"/>
            <w:shd w:val="clear" w:color="auto" w:fill="auto"/>
            <w:noWrap/>
            <w:vAlign w:val="center"/>
          </w:tcPr>
          <w:p w:rsidR="00E75BAA" w:rsidRPr="004F29CC" w:rsidP="00E75BAA" w14:paraId="5406074A" w14:textId="3DF2C252">
            <w:pPr>
              <w:rPr>
                <w:sz w:val="20"/>
                <w:szCs w:val="20"/>
              </w:rPr>
            </w:pPr>
            <w:r w:rsidRPr="004F29CC">
              <w:rPr>
                <w:color w:val="000000"/>
                <w:sz w:val="20"/>
                <w:szCs w:val="20"/>
              </w:rPr>
              <w:t>1</w:t>
            </w:r>
          </w:p>
        </w:tc>
        <w:tc>
          <w:tcPr>
            <w:tcW w:w="1260" w:type="dxa"/>
            <w:shd w:val="clear" w:color="auto" w:fill="auto"/>
            <w:noWrap/>
            <w:vAlign w:val="center"/>
          </w:tcPr>
          <w:p w:rsidR="00E75BAA" w:rsidRPr="004F29CC" w:rsidP="00E75BAA" w14:paraId="06528CD9" w14:textId="4A698E5B">
            <w:pPr>
              <w:rPr>
                <w:sz w:val="20"/>
                <w:szCs w:val="20"/>
              </w:rPr>
            </w:pPr>
            <w:r w:rsidRPr="004F29CC">
              <w:rPr>
                <w:color w:val="000000"/>
                <w:sz w:val="20"/>
                <w:szCs w:val="20"/>
              </w:rPr>
              <w:t>1</w:t>
            </w:r>
          </w:p>
        </w:tc>
        <w:tc>
          <w:tcPr>
            <w:tcW w:w="1530" w:type="dxa"/>
            <w:shd w:val="clear" w:color="auto" w:fill="auto"/>
            <w:noWrap/>
            <w:vAlign w:val="center"/>
          </w:tcPr>
          <w:p w:rsidR="00E75BAA" w:rsidRPr="004F29CC" w:rsidP="00E75BAA" w14:paraId="27F20C4B" w14:textId="30F51BD2">
            <w:pPr>
              <w:rPr>
                <w:sz w:val="20"/>
                <w:szCs w:val="20"/>
              </w:rPr>
            </w:pPr>
            <w:r w:rsidRPr="004F29CC">
              <w:rPr>
                <w:color w:val="000000"/>
                <w:sz w:val="20"/>
                <w:szCs w:val="20"/>
              </w:rPr>
              <w:t>5</w:t>
            </w:r>
          </w:p>
        </w:tc>
        <w:tc>
          <w:tcPr>
            <w:tcW w:w="990" w:type="dxa"/>
            <w:shd w:val="clear" w:color="auto" w:fill="auto"/>
            <w:noWrap/>
            <w:vAlign w:val="center"/>
          </w:tcPr>
          <w:p w:rsidR="00E75BAA" w:rsidRPr="004F29CC" w:rsidP="00E75BAA" w14:paraId="0BCE5A36" w14:textId="161AFECC">
            <w:pPr>
              <w:rPr>
                <w:sz w:val="20"/>
                <w:szCs w:val="20"/>
              </w:rPr>
            </w:pPr>
            <w:r w:rsidRPr="004F29CC">
              <w:rPr>
                <w:color w:val="000000"/>
                <w:sz w:val="20"/>
                <w:szCs w:val="20"/>
              </w:rPr>
              <w:t>5</w:t>
            </w:r>
          </w:p>
        </w:tc>
        <w:tc>
          <w:tcPr>
            <w:tcW w:w="900" w:type="dxa"/>
            <w:shd w:val="clear" w:color="auto" w:fill="auto"/>
            <w:noWrap/>
            <w:vAlign w:val="center"/>
            <w:hideMark/>
          </w:tcPr>
          <w:p w:rsidR="00E75BAA" w:rsidRPr="004F29CC" w:rsidP="00E75BAA" w14:paraId="06678F9B" w14:textId="3BF26DD1">
            <w:pPr>
              <w:rPr>
                <w:sz w:val="20"/>
                <w:szCs w:val="20"/>
              </w:rPr>
            </w:pPr>
            <w:r>
              <w:rPr>
                <w:color w:val="000000"/>
                <w:sz w:val="20"/>
                <w:szCs w:val="20"/>
              </w:rPr>
              <w:t>$</w:t>
            </w:r>
            <w:r w:rsidRPr="004F29CC">
              <w:rPr>
                <w:color w:val="000000"/>
                <w:sz w:val="20"/>
                <w:szCs w:val="20"/>
              </w:rPr>
              <w:t>7</w:t>
            </w:r>
            <w:r>
              <w:rPr>
                <w:color w:val="000000"/>
                <w:sz w:val="20"/>
                <w:szCs w:val="20"/>
              </w:rPr>
              <w:t>6</w:t>
            </w:r>
            <w:r w:rsidRPr="004F29CC">
              <w:rPr>
                <w:color w:val="000000"/>
                <w:sz w:val="20"/>
                <w:szCs w:val="20"/>
              </w:rPr>
              <w:t>.</w:t>
            </w:r>
            <w:r>
              <w:rPr>
                <w:color w:val="000000"/>
                <w:sz w:val="20"/>
                <w:szCs w:val="20"/>
              </w:rPr>
              <w:t>21</w:t>
            </w:r>
          </w:p>
        </w:tc>
        <w:tc>
          <w:tcPr>
            <w:tcW w:w="1170" w:type="dxa"/>
            <w:shd w:val="clear" w:color="auto" w:fill="auto"/>
            <w:noWrap/>
            <w:vAlign w:val="center"/>
            <w:hideMark/>
          </w:tcPr>
          <w:p w:rsidR="00E75BAA" w:rsidRPr="00E75BAA" w:rsidP="00E75BAA" w14:paraId="4DFCD372" w14:textId="1D5C0CD4">
            <w:pPr>
              <w:jc w:val="center"/>
              <w:rPr>
                <w:sz w:val="20"/>
                <w:szCs w:val="20"/>
              </w:rPr>
            </w:pPr>
            <w:r w:rsidRPr="00E75BAA">
              <w:rPr>
                <w:sz w:val="20"/>
                <w:szCs w:val="20"/>
              </w:rPr>
              <w:t>$381</w:t>
            </w:r>
          </w:p>
        </w:tc>
      </w:tr>
      <w:tr w14:paraId="23B986BA" w14:textId="77777777" w:rsidTr="00E75BAA">
        <w:tblPrEx>
          <w:tblW w:w="12573" w:type="dxa"/>
          <w:jc w:val="center"/>
          <w:tblLayout w:type="fixed"/>
          <w:tblLook w:val="04A0"/>
        </w:tblPrEx>
        <w:trPr>
          <w:trHeight w:val="286"/>
          <w:jc w:val="center"/>
        </w:trPr>
        <w:tc>
          <w:tcPr>
            <w:tcW w:w="540" w:type="dxa"/>
            <w:shd w:val="clear" w:color="auto" w:fill="auto"/>
            <w:noWrap/>
            <w:vAlign w:val="center"/>
            <w:hideMark/>
          </w:tcPr>
          <w:p w:rsidR="00E75BAA" w:rsidRPr="004F29CC" w:rsidP="00E75BAA" w14:paraId="3956CF27" w14:textId="77777777">
            <w:pPr>
              <w:rPr>
                <w:sz w:val="20"/>
                <w:szCs w:val="20"/>
              </w:rPr>
            </w:pPr>
            <w:r w:rsidRPr="004F29CC">
              <w:rPr>
                <w:sz w:val="20"/>
                <w:szCs w:val="20"/>
              </w:rPr>
              <w:t>E)</w:t>
            </w:r>
          </w:p>
        </w:tc>
        <w:tc>
          <w:tcPr>
            <w:tcW w:w="3033" w:type="dxa"/>
            <w:shd w:val="clear" w:color="auto" w:fill="auto"/>
            <w:noWrap/>
            <w:vAlign w:val="center"/>
          </w:tcPr>
          <w:p w:rsidR="00E75BAA" w:rsidRPr="004F29CC" w:rsidP="00E75BAA" w14:paraId="5255E382" w14:textId="5BC75B83">
            <w:pPr>
              <w:rPr>
                <w:sz w:val="20"/>
                <w:szCs w:val="20"/>
              </w:rPr>
            </w:pPr>
            <w:r w:rsidRPr="004F29CC">
              <w:rPr>
                <w:color w:val="000000"/>
                <w:sz w:val="20"/>
                <w:szCs w:val="20"/>
              </w:rPr>
              <w:t>Application for 2022 Payments Wool Yarn, Wool Fiber, or Wool Top Duty Compensation (Average Fiber Diameter 18.5 Microns or Less)</w:t>
            </w:r>
          </w:p>
        </w:tc>
        <w:tc>
          <w:tcPr>
            <w:tcW w:w="1710" w:type="dxa"/>
            <w:shd w:val="clear" w:color="auto" w:fill="auto"/>
            <w:noWrap/>
            <w:vAlign w:val="center"/>
          </w:tcPr>
          <w:p w:rsidR="00E75BAA" w:rsidRPr="004F29CC" w:rsidP="00E75BAA" w14:paraId="4405D1FC" w14:textId="4614B108">
            <w:pPr>
              <w:rPr>
                <w:sz w:val="20"/>
                <w:szCs w:val="20"/>
              </w:rPr>
            </w:pPr>
            <w:r w:rsidRPr="004F29CC">
              <w:rPr>
                <w:color w:val="000000"/>
                <w:sz w:val="20"/>
                <w:szCs w:val="20"/>
              </w:rPr>
              <w:t>16</w:t>
            </w:r>
          </w:p>
        </w:tc>
        <w:tc>
          <w:tcPr>
            <w:tcW w:w="1440" w:type="dxa"/>
            <w:shd w:val="clear" w:color="auto" w:fill="auto"/>
            <w:noWrap/>
            <w:vAlign w:val="center"/>
          </w:tcPr>
          <w:p w:rsidR="00E75BAA" w:rsidRPr="004F29CC" w:rsidP="00E75BAA" w14:paraId="2E558FA2" w14:textId="5ECFDEE3">
            <w:pPr>
              <w:rPr>
                <w:sz w:val="20"/>
                <w:szCs w:val="20"/>
              </w:rPr>
            </w:pPr>
            <w:r w:rsidRPr="004F29CC">
              <w:rPr>
                <w:color w:val="000000"/>
                <w:sz w:val="20"/>
                <w:szCs w:val="20"/>
              </w:rPr>
              <w:t>1</w:t>
            </w:r>
          </w:p>
        </w:tc>
        <w:tc>
          <w:tcPr>
            <w:tcW w:w="1260" w:type="dxa"/>
            <w:shd w:val="clear" w:color="auto" w:fill="auto"/>
            <w:noWrap/>
            <w:vAlign w:val="center"/>
          </w:tcPr>
          <w:p w:rsidR="00E75BAA" w:rsidRPr="004F29CC" w:rsidP="00E75BAA" w14:paraId="23740096" w14:textId="7DB50D65">
            <w:pPr>
              <w:rPr>
                <w:sz w:val="20"/>
                <w:szCs w:val="20"/>
              </w:rPr>
            </w:pPr>
            <w:r w:rsidRPr="004F29CC">
              <w:rPr>
                <w:color w:val="000000"/>
                <w:sz w:val="20"/>
                <w:szCs w:val="20"/>
              </w:rPr>
              <w:t>16</w:t>
            </w:r>
          </w:p>
        </w:tc>
        <w:tc>
          <w:tcPr>
            <w:tcW w:w="1530" w:type="dxa"/>
            <w:shd w:val="clear" w:color="auto" w:fill="auto"/>
            <w:noWrap/>
            <w:vAlign w:val="center"/>
          </w:tcPr>
          <w:p w:rsidR="00E75BAA" w:rsidRPr="004F29CC" w:rsidP="00E75BAA" w14:paraId="34473FF4" w14:textId="33AF20DE">
            <w:pPr>
              <w:rPr>
                <w:sz w:val="20"/>
                <w:szCs w:val="20"/>
              </w:rPr>
            </w:pPr>
            <w:r w:rsidRPr="004F29CC">
              <w:rPr>
                <w:color w:val="000000"/>
                <w:sz w:val="20"/>
                <w:szCs w:val="20"/>
              </w:rPr>
              <w:t>3</w:t>
            </w:r>
          </w:p>
        </w:tc>
        <w:tc>
          <w:tcPr>
            <w:tcW w:w="990" w:type="dxa"/>
            <w:shd w:val="clear" w:color="auto" w:fill="auto"/>
            <w:noWrap/>
            <w:vAlign w:val="center"/>
          </w:tcPr>
          <w:p w:rsidR="00E75BAA" w:rsidRPr="004F29CC" w:rsidP="00E75BAA" w14:paraId="2C6D35BB" w14:textId="126633BB">
            <w:pPr>
              <w:rPr>
                <w:sz w:val="20"/>
                <w:szCs w:val="20"/>
              </w:rPr>
            </w:pPr>
            <w:r w:rsidRPr="004F29CC">
              <w:rPr>
                <w:color w:val="000000"/>
                <w:sz w:val="20"/>
                <w:szCs w:val="20"/>
              </w:rPr>
              <w:t>48</w:t>
            </w:r>
          </w:p>
        </w:tc>
        <w:tc>
          <w:tcPr>
            <w:tcW w:w="900" w:type="dxa"/>
            <w:shd w:val="clear" w:color="auto" w:fill="auto"/>
            <w:noWrap/>
            <w:vAlign w:val="center"/>
            <w:hideMark/>
          </w:tcPr>
          <w:p w:rsidR="00E75BAA" w:rsidRPr="004F29CC" w:rsidP="00E75BAA" w14:paraId="74B30259" w14:textId="66996E2F">
            <w:pPr>
              <w:rPr>
                <w:sz w:val="20"/>
                <w:szCs w:val="20"/>
              </w:rPr>
            </w:pPr>
            <w:r>
              <w:rPr>
                <w:color w:val="000000"/>
                <w:sz w:val="20"/>
                <w:szCs w:val="20"/>
              </w:rPr>
              <w:t>$</w:t>
            </w:r>
            <w:r w:rsidRPr="004F29CC">
              <w:rPr>
                <w:color w:val="000000"/>
                <w:sz w:val="20"/>
                <w:szCs w:val="20"/>
              </w:rPr>
              <w:t>7</w:t>
            </w:r>
            <w:r>
              <w:rPr>
                <w:color w:val="000000"/>
                <w:sz w:val="20"/>
                <w:szCs w:val="20"/>
              </w:rPr>
              <w:t>6</w:t>
            </w:r>
            <w:r w:rsidRPr="004F29CC">
              <w:rPr>
                <w:color w:val="000000"/>
                <w:sz w:val="20"/>
                <w:szCs w:val="20"/>
              </w:rPr>
              <w:t>.</w:t>
            </w:r>
            <w:r>
              <w:rPr>
                <w:color w:val="000000"/>
                <w:sz w:val="20"/>
                <w:szCs w:val="20"/>
              </w:rPr>
              <w:t>21</w:t>
            </w:r>
          </w:p>
        </w:tc>
        <w:tc>
          <w:tcPr>
            <w:tcW w:w="1170" w:type="dxa"/>
            <w:shd w:val="clear" w:color="auto" w:fill="auto"/>
            <w:noWrap/>
            <w:vAlign w:val="center"/>
            <w:hideMark/>
          </w:tcPr>
          <w:p w:rsidR="00E75BAA" w:rsidRPr="00E75BAA" w:rsidP="00E75BAA" w14:paraId="126E121C" w14:textId="6F64F1B6">
            <w:pPr>
              <w:jc w:val="center"/>
              <w:rPr>
                <w:sz w:val="20"/>
                <w:szCs w:val="20"/>
              </w:rPr>
            </w:pPr>
            <w:r w:rsidRPr="00E75BAA">
              <w:rPr>
                <w:sz w:val="20"/>
                <w:szCs w:val="20"/>
              </w:rPr>
              <w:t>$3,658</w:t>
            </w:r>
          </w:p>
        </w:tc>
      </w:tr>
      <w:tr w14:paraId="0D047046" w14:textId="77777777" w:rsidTr="00E75BAA">
        <w:tblPrEx>
          <w:tblW w:w="12573" w:type="dxa"/>
          <w:jc w:val="center"/>
          <w:tblLayout w:type="fixed"/>
          <w:tblLook w:val="04A0"/>
        </w:tblPrEx>
        <w:trPr>
          <w:trHeight w:val="286"/>
          <w:jc w:val="center"/>
        </w:trPr>
        <w:tc>
          <w:tcPr>
            <w:tcW w:w="540" w:type="dxa"/>
            <w:shd w:val="clear" w:color="auto" w:fill="auto"/>
            <w:noWrap/>
            <w:vAlign w:val="center"/>
            <w:hideMark/>
          </w:tcPr>
          <w:p w:rsidR="00E75BAA" w:rsidRPr="004F29CC" w:rsidP="00E75BAA" w14:paraId="1F725D25" w14:textId="77777777">
            <w:pPr>
              <w:rPr>
                <w:sz w:val="20"/>
                <w:szCs w:val="20"/>
              </w:rPr>
            </w:pPr>
            <w:r w:rsidRPr="004F29CC">
              <w:rPr>
                <w:sz w:val="20"/>
                <w:szCs w:val="20"/>
              </w:rPr>
              <w:t>F)</w:t>
            </w:r>
          </w:p>
        </w:tc>
        <w:tc>
          <w:tcPr>
            <w:tcW w:w="3033" w:type="dxa"/>
            <w:shd w:val="clear" w:color="auto" w:fill="auto"/>
            <w:noWrap/>
            <w:vAlign w:val="center"/>
          </w:tcPr>
          <w:p w:rsidR="00E75BAA" w:rsidRPr="004F29CC" w:rsidP="00E75BAA" w14:paraId="016C2A8A" w14:textId="47B0A4E0">
            <w:pPr>
              <w:rPr>
                <w:sz w:val="20"/>
                <w:szCs w:val="20"/>
              </w:rPr>
            </w:pPr>
            <w:r w:rsidRPr="004F29CC">
              <w:rPr>
                <w:color w:val="000000"/>
                <w:sz w:val="20"/>
                <w:szCs w:val="20"/>
              </w:rPr>
              <w:t>Application for 2022 Payments Wool Duty Refund Payment</w:t>
            </w:r>
          </w:p>
        </w:tc>
        <w:tc>
          <w:tcPr>
            <w:tcW w:w="1710" w:type="dxa"/>
            <w:shd w:val="clear" w:color="auto" w:fill="auto"/>
            <w:noWrap/>
            <w:vAlign w:val="center"/>
          </w:tcPr>
          <w:p w:rsidR="00E75BAA" w:rsidRPr="004F29CC" w:rsidP="00E75BAA" w14:paraId="2DA8984C" w14:textId="7208BA23">
            <w:pPr>
              <w:rPr>
                <w:sz w:val="20"/>
                <w:szCs w:val="20"/>
              </w:rPr>
            </w:pPr>
            <w:r w:rsidRPr="004F29CC">
              <w:rPr>
                <w:color w:val="000000"/>
                <w:sz w:val="20"/>
                <w:szCs w:val="20"/>
              </w:rPr>
              <w:t>40</w:t>
            </w:r>
          </w:p>
        </w:tc>
        <w:tc>
          <w:tcPr>
            <w:tcW w:w="1440" w:type="dxa"/>
            <w:shd w:val="clear" w:color="auto" w:fill="auto"/>
            <w:noWrap/>
            <w:vAlign w:val="center"/>
          </w:tcPr>
          <w:p w:rsidR="00E75BAA" w:rsidRPr="004F29CC" w:rsidP="00E75BAA" w14:paraId="37E75CE0" w14:textId="61CCAB9C">
            <w:pPr>
              <w:rPr>
                <w:sz w:val="20"/>
                <w:szCs w:val="20"/>
              </w:rPr>
            </w:pPr>
            <w:r w:rsidRPr="004F29CC">
              <w:rPr>
                <w:color w:val="000000"/>
                <w:sz w:val="20"/>
                <w:szCs w:val="20"/>
              </w:rPr>
              <w:t>1</w:t>
            </w:r>
          </w:p>
        </w:tc>
        <w:tc>
          <w:tcPr>
            <w:tcW w:w="1260" w:type="dxa"/>
            <w:shd w:val="clear" w:color="auto" w:fill="auto"/>
            <w:noWrap/>
            <w:vAlign w:val="center"/>
          </w:tcPr>
          <w:p w:rsidR="00E75BAA" w:rsidRPr="004F29CC" w:rsidP="00E75BAA" w14:paraId="41E2C45F" w14:textId="50C868E8">
            <w:pPr>
              <w:rPr>
                <w:sz w:val="20"/>
                <w:szCs w:val="20"/>
              </w:rPr>
            </w:pPr>
            <w:r w:rsidRPr="004F29CC">
              <w:rPr>
                <w:color w:val="000000"/>
                <w:sz w:val="20"/>
                <w:szCs w:val="20"/>
              </w:rPr>
              <w:t>40</w:t>
            </w:r>
          </w:p>
        </w:tc>
        <w:tc>
          <w:tcPr>
            <w:tcW w:w="1530" w:type="dxa"/>
            <w:shd w:val="clear" w:color="auto" w:fill="auto"/>
            <w:noWrap/>
            <w:vAlign w:val="center"/>
          </w:tcPr>
          <w:p w:rsidR="00E75BAA" w:rsidRPr="004F29CC" w:rsidP="00E75BAA" w14:paraId="33943B24" w14:textId="09F8C226">
            <w:pPr>
              <w:rPr>
                <w:sz w:val="20"/>
                <w:szCs w:val="20"/>
              </w:rPr>
            </w:pPr>
            <w:r w:rsidRPr="004F29CC">
              <w:rPr>
                <w:color w:val="000000"/>
                <w:sz w:val="20"/>
                <w:szCs w:val="20"/>
              </w:rPr>
              <w:t>0.83</w:t>
            </w:r>
          </w:p>
        </w:tc>
        <w:tc>
          <w:tcPr>
            <w:tcW w:w="990" w:type="dxa"/>
            <w:shd w:val="clear" w:color="auto" w:fill="auto"/>
            <w:noWrap/>
            <w:vAlign w:val="center"/>
          </w:tcPr>
          <w:p w:rsidR="00E75BAA" w:rsidRPr="004F29CC" w:rsidP="00E75BAA" w14:paraId="58ADAA9E" w14:textId="65D5B8BF">
            <w:pPr>
              <w:rPr>
                <w:sz w:val="20"/>
                <w:szCs w:val="20"/>
              </w:rPr>
            </w:pPr>
            <w:r w:rsidRPr="004F29CC">
              <w:rPr>
                <w:color w:val="000000"/>
                <w:sz w:val="20"/>
                <w:szCs w:val="20"/>
              </w:rPr>
              <w:t>33</w:t>
            </w:r>
          </w:p>
        </w:tc>
        <w:tc>
          <w:tcPr>
            <w:tcW w:w="900" w:type="dxa"/>
            <w:shd w:val="clear" w:color="auto" w:fill="auto"/>
            <w:noWrap/>
            <w:vAlign w:val="center"/>
            <w:hideMark/>
          </w:tcPr>
          <w:p w:rsidR="00E75BAA" w:rsidRPr="004F29CC" w:rsidP="00E75BAA" w14:paraId="197767BC" w14:textId="5016A4D4">
            <w:pPr>
              <w:rPr>
                <w:sz w:val="20"/>
                <w:szCs w:val="20"/>
              </w:rPr>
            </w:pPr>
            <w:r>
              <w:rPr>
                <w:color w:val="000000"/>
                <w:sz w:val="20"/>
                <w:szCs w:val="20"/>
              </w:rPr>
              <w:t>$</w:t>
            </w:r>
            <w:r w:rsidRPr="004F29CC">
              <w:rPr>
                <w:color w:val="000000"/>
                <w:sz w:val="20"/>
                <w:szCs w:val="20"/>
              </w:rPr>
              <w:t>7</w:t>
            </w:r>
            <w:r>
              <w:rPr>
                <w:color w:val="000000"/>
                <w:sz w:val="20"/>
                <w:szCs w:val="20"/>
              </w:rPr>
              <w:t>6</w:t>
            </w:r>
            <w:r w:rsidRPr="004F29CC">
              <w:rPr>
                <w:color w:val="000000"/>
                <w:sz w:val="20"/>
                <w:szCs w:val="20"/>
              </w:rPr>
              <w:t>.</w:t>
            </w:r>
            <w:r>
              <w:rPr>
                <w:color w:val="000000"/>
                <w:sz w:val="20"/>
                <w:szCs w:val="20"/>
              </w:rPr>
              <w:t>21</w:t>
            </w:r>
          </w:p>
        </w:tc>
        <w:tc>
          <w:tcPr>
            <w:tcW w:w="1170" w:type="dxa"/>
            <w:shd w:val="clear" w:color="auto" w:fill="auto"/>
            <w:noWrap/>
            <w:vAlign w:val="center"/>
            <w:hideMark/>
          </w:tcPr>
          <w:p w:rsidR="00E75BAA" w:rsidRPr="00E75BAA" w:rsidP="00E75BAA" w14:paraId="14D36633" w14:textId="0E99C503">
            <w:pPr>
              <w:jc w:val="center"/>
              <w:rPr>
                <w:sz w:val="20"/>
                <w:szCs w:val="20"/>
              </w:rPr>
            </w:pPr>
            <w:r w:rsidRPr="00E75BAA">
              <w:rPr>
                <w:sz w:val="20"/>
                <w:szCs w:val="20"/>
              </w:rPr>
              <w:t>$2,515</w:t>
            </w:r>
          </w:p>
        </w:tc>
      </w:tr>
      <w:tr w14:paraId="338AD017" w14:textId="77777777" w:rsidTr="00E75BAA">
        <w:tblPrEx>
          <w:tblW w:w="12573" w:type="dxa"/>
          <w:jc w:val="center"/>
          <w:tblLayout w:type="fixed"/>
          <w:tblLook w:val="04A0"/>
        </w:tblPrEx>
        <w:trPr>
          <w:trHeight w:val="286"/>
          <w:jc w:val="center"/>
        </w:trPr>
        <w:tc>
          <w:tcPr>
            <w:tcW w:w="540" w:type="dxa"/>
            <w:shd w:val="clear" w:color="auto" w:fill="auto"/>
            <w:noWrap/>
          </w:tcPr>
          <w:p w:rsidR="00E75BAA" w:rsidRPr="004F29CC" w:rsidP="00E75BAA" w14:paraId="7E53D450" w14:textId="4F0D2C87">
            <w:pPr>
              <w:rPr>
                <w:b/>
                <w:bCs/>
                <w:sz w:val="20"/>
                <w:szCs w:val="20"/>
              </w:rPr>
            </w:pPr>
          </w:p>
        </w:tc>
        <w:tc>
          <w:tcPr>
            <w:tcW w:w="3033" w:type="dxa"/>
            <w:shd w:val="clear" w:color="auto" w:fill="auto"/>
            <w:noWrap/>
          </w:tcPr>
          <w:p w:rsidR="00E75BAA" w:rsidRPr="004F29CC" w:rsidP="00E75BAA" w14:paraId="71050BAD" w14:textId="202BCC7D">
            <w:pPr>
              <w:rPr>
                <w:b/>
                <w:bCs/>
                <w:sz w:val="20"/>
                <w:szCs w:val="20"/>
              </w:rPr>
            </w:pPr>
            <w:r w:rsidRPr="004F29CC">
              <w:rPr>
                <w:b/>
                <w:bCs/>
                <w:sz w:val="20"/>
                <w:szCs w:val="20"/>
              </w:rPr>
              <w:t>TOTALS</w:t>
            </w:r>
          </w:p>
        </w:tc>
        <w:tc>
          <w:tcPr>
            <w:tcW w:w="1710" w:type="dxa"/>
            <w:shd w:val="clear" w:color="auto" w:fill="auto"/>
            <w:noWrap/>
            <w:vAlign w:val="center"/>
          </w:tcPr>
          <w:p w:rsidR="00E75BAA" w:rsidRPr="004F29CC" w:rsidP="00E75BAA" w14:paraId="699DED8C" w14:textId="4EB675B3">
            <w:pPr>
              <w:rPr>
                <w:b/>
                <w:bCs/>
                <w:sz w:val="20"/>
                <w:szCs w:val="20"/>
              </w:rPr>
            </w:pPr>
            <w:r w:rsidRPr="004F29CC">
              <w:rPr>
                <w:b/>
                <w:bCs/>
                <w:color w:val="000000"/>
                <w:sz w:val="20"/>
                <w:szCs w:val="20"/>
              </w:rPr>
              <w:t>95</w:t>
            </w:r>
          </w:p>
        </w:tc>
        <w:tc>
          <w:tcPr>
            <w:tcW w:w="1440" w:type="dxa"/>
            <w:shd w:val="clear" w:color="auto" w:fill="auto"/>
            <w:noWrap/>
            <w:vAlign w:val="center"/>
          </w:tcPr>
          <w:p w:rsidR="00E75BAA" w:rsidRPr="004F29CC" w:rsidP="00E75BAA" w14:paraId="6AAEFDE1" w14:textId="6620B254">
            <w:pPr>
              <w:rPr>
                <w:b/>
                <w:bCs/>
                <w:sz w:val="20"/>
                <w:szCs w:val="20"/>
              </w:rPr>
            </w:pPr>
          </w:p>
        </w:tc>
        <w:tc>
          <w:tcPr>
            <w:tcW w:w="1260" w:type="dxa"/>
            <w:shd w:val="clear" w:color="auto" w:fill="auto"/>
            <w:noWrap/>
            <w:vAlign w:val="center"/>
          </w:tcPr>
          <w:p w:rsidR="00E75BAA" w:rsidRPr="004F29CC" w:rsidP="00E75BAA" w14:paraId="564EA1C4" w14:textId="26DF850D">
            <w:pPr>
              <w:rPr>
                <w:b/>
                <w:bCs/>
                <w:sz w:val="20"/>
                <w:szCs w:val="20"/>
              </w:rPr>
            </w:pPr>
            <w:r w:rsidRPr="004F29CC">
              <w:rPr>
                <w:b/>
                <w:bCs/>
                <w:color w:val="000000"/>
                <w:sz w:val="20"/>
                <w:szCs w:val="20"/>
              </w:rPr>
              <w:t>95</w:t>
            </w:r>
          </w:p>
        </w:tc>
        <w:tc>
          <w:tcPr>
            <w:tcW w:w="1530" w:type="dxa"/>
            <w:shd w:val="clear" w:color="auto" w:fill="auto"/>
            <w:noWrap/>
            <w:vAlign w:val="center"/>
          </w:tcPr>
          <w:p w:rsidR="00E75BAA" w:rsidRPr="004F29CC" w:rsidP="00E75BAA" w14:paraId="21A0ADCD" w14:textId="692F2666">
            <w:pPr>
              <w:rPr>
                <w:b/>
                <w:bCs/>
                <w:sz w:val="20"/>
                <w:szCs w:val="20"/>
              </w:rPr>
            </w:pPr>
          </w:p>
        </w:tc>
        <w:tc>
          <w:tcPr>
            <w:tcW w:w="990" w:type="dxa"/>
            <w:shd w:val="clear" w:color="auto" w:fill="auto"/>
            <w:noWrap/>
            <w:vAlign w:val="center"/>
          </w:tcPr>
          <w:p w:rsidR="00E75BAA" w:rsidRPr="004F29CC" w:rsidP="00E75BAA" w14:paraId="2C3863E5" w14:textId="61EEEEDF">
            <w:pPr>
              <w:rPr>
                <w:b/>
                <w:bCs/>
                <w:sz w:val="20"/>
                <w:szCs w:val="20"/>
              </w:rPr>
            </w:pPr>
            <w:r w:rsidRPr="004F29CC">
              <w:rPr>
                <w:b/>
                <w:bCs/>
                <w:color w:val="000000"/>
                <w:sz w:val="20"/>
                <w:szCs w:val="20"/>
              </w:rPr>
              <w:t>260</w:t>
            </w:r>
          </w:p>
        </w:tc>
        <w:tc>
          <w:tcPr>
            <w:tcW w:w="900" w:type="dxa"/>
            <w:shd w:val="clear" w:color="auto" w:fill="auto"/>
            <w:noWrap/>
            <w:vAlign w:val="center"/>
          </w:tcPr>
          <w:p w:rsidR="00E75BAA" w:rsidRPr="004F29CC" w:rsidP="00E75BAA" w14:paraId="0A5D1A8B" w14:textId="006C1FD0">
            <w:pPr>
              <w:rPr>
                <w:b/>
                <w:bCs/>
                <w:sz w:val="20"/>
                <w:szCs w:val="20"/>
              </w:rPr>
            </w:pPr>
          </w:p>
        </w:tc>
        <w:tc>
          <w:tcPr>
            <w:tcW w:w="1170" w:type="dxa"/>
            <w:shd w:val="clear" w:color="auto" w:fill="auto"/>
            <w:noWrap/>
            <w:vAlign w:val="center"/>
          </w:tcPr>
          <w:p w:rsidR="00E75BAA" w:rsidRPr="00E75BAA" w:rsidP="00E75BAA" w14:paraId="30CFEB83" w14:textId="3C27BB2A">
            <w:pPr>
              <w:jc w:val="center"/>
              <w:rPr>
                <w:b/>
                <w:bCs/>
                <w:sz w:val="20"/>
                <w:szCs w:val="20"/>
              </w:rPr>
            </w:pPr>
            <w:r w:rsidRPr="00E75BAA">
              <w:rPr>
                <w:b/>
                <w:bCs/>
                <w:sz w:val="20"/>
                <w:szCs w:val="20"/>
              </w:rPr>
              <w:t>$19,815</w:t>
            </w:r>
          </w:p>
        </w:tc>
      </w:tr>
    </w:tbl>
    <w:p w:rsidR="00716CB4" w:rsidRPr="004F29CC" w:rsidP="00716CB4" w14:paraId="62D6DEEE" w14:textId="77777777">
      <w:pPr>
        <w:pStyle w:val="ListParagraph"/>
        <w:ind w:left="0"/>
        <w:rPr>
          <w:b/>
          <w:bCs/>
        </w:rPr>
      </w:pPr>
    </w:p>
    <w:p w:rsidR="00716CB4" w:rsidRPr="00B23F39" w:rsidP="00716CB4" w14:paraId="12378C1E" w14:textId="753B44FC">
      <w:pPr>
        <w:pStyle w:val="ListParagraph"/>
        <w:ind w:left="0"/>
      </w:pPr>
      <w:r w:rsidRPr="00B23F39">
        <w:t>*Average hourly cost is estimated at $76.21. This hourly cost is based on the national hourly average rate for Administrative Services and Facilities Managers provided in the Occupational Employment and Wage Statistics (OEWS) tables found on BLS.gov. The hourly cost used in this estimate includes fringe benefits. The total annual estimated burden in dollars is $19,815.</w:t>
      </w:r>
    </w:p>
    <w:p w:rsidR="00716CB4" w:rsidRPr="004F29CC" w:rsidP="00454C37" w14:paraId="157BB4E0" w14:textId="77777777">
      <w:pPr>
        <w:pStyle w:val="ListParagraph"/>
        <w:rPr>
          <w:b/>
          <w:bCs/>
        </w:rPr>
      </w:pPr>
    </w:p>
    <w:p w:rsidR="00716CB4" w:rsidRPr="004F29CC" w:rsidP="00454C37" w14:paraId="55D2F921" w14:textId="77777777">
      <w:pPr>
        <w:pStyle w:val="ListParagraph"/>
        <w:rPr>
          <w:b/>
          <w:bCs/>
        </w:rPr>
        <w:sectPr w:rsidSect="00716CB4">
          <w:pgSz w:w="15840" w:h="12240" w:orient="landscape" w:code="1"/>
          <w:pgMar w:top="1008" w:right="1008" w:bottom="1008" w:left="1008" w:header="720" w:footer="720" w:gutter="0"/>
          <w:cols w:space="720"/>
          <w:noEndnote/>
          <w:docGrid w:linePitch="326"/>
        </w:sectPr>
      </w:pPr>
    </w:p>
    <w:p w:rsidR="00716CB4" w:rsidRPr="004F29CC" w:rsidP="00454C37" w14:paraId="089D120C" w14:textId="77777777">
      <w:pPr>
        <w:pStyle w:val="ListParagraph"/>
        <w:rPr>
          <w:b/>
          <w:bCs/>
        </w:rPr>
      </w:pPr>
    </w:p>
    <w:p w:rsidR="00AD6C0B" w:rsidRPr="004F29CC" w:rsidP="00454C37" w14:paraId="03502BAE" w14:textId="6E8D3F2A">
      <w:pPr>
        <w:pStyle w:val="BodyTextIndent"/>
        <w:numPr>
          <w:ilvl w:val="0"/>
          <w:numId w:val="4"/>
        </w:numPr>
        <w:rPr>
          <w:b/>
          <w:bCs/>
          <w:sz w:val="24"/>
        </w:rPr>
      </w:pPr>
      <w:r w:rsidRPr="004F29CC">
        <w:rPr>
          <w:b/>
          <w:bCs/>
          <w:sz w:val="24"/>
        </w:rPr>
        <w:t>Provide estimates of the total annual cost burden to respondents or record keepers resulting from the collection of information, (do not include the cost of any hour burden shown in items 12 and 14)</w:t>
      </w:r>
      <w:r w:rsidR="00646422">
        <w:rPr>
          <w:b/>
          <w:bCs/>
          <w:sz w:val="24"/>
        </w:rPr>
        <w:t xml:space="preserve">. </w:t>
      </w:r>
      <w:r w:rsidRPr="004F29CC">
        <w:rPr>
          <w:b/>
          <w:bCs/>
          <w:sz w:val="24"/>
        </w:rPr>
        <w:t>The cost estimates should be split into two components: (a) a total capital and start-up cost component annualized over its expected useful life; and (b) a total operation and maintenance and purchase of services component.</w:t>
      </w:r>
    </w:p>
    <w:p w:rsidR="00104A1C" w:rsidRPr="004F29CC" w:rsidP="00577838" w14:paraId="35A8537B" w14:textId="77777777">
      <w:pPr>
        <w:pStyle w:val="BodyTextIndent"/>
        <w:ind w:left="720"/>
        <w:rPr>
          <w:bCs/>
          <w:sz w:val="24"/>
        </w:rPr>
      </w:pPr>
    </w:p>
    <w:p w:rsidR="00577838" w:rsidRPr="004F29CC" w:rsidP="00577838" w14:paraId="1597620A" w14:textId="4CC8A1FB">
      <w:pPr>
        <w:pStyle w:val="BodyTextIndent"/>
        <w:ind w:left="720"/>
        <w:rPr>
          <w:bCs/>
          <w:sz w:val="24"/>
        </w:rPr>
      </w:pPr>
      <w:r w:rsidRPr="004F29CC">
        <w:rPr>
          <w:bCs/>
          <w:sz w:val="24"/>
        </w:rPr>
        <w:t xml:space="preserve">There </w:t>
      </w:r>
      <w:r w:rsidRPr="004F29CC" w:rsidR="00B94598">
        <w:rPr>
          <w:bCs/>
          <w:sz w:val="24"/>
        </w:rPr>
        <w:t>are no capital or start-up costs</w:t>
      </w:r>
      <w:r w:rsidRPr="004F29CC">
        <w:rPr>
          <w:bCs/>
          <w:sz w:val="24"/>
        </w:rPr>
        <w:t xml:space="preserve"> associated with this collection</w:t>
      </w:r>
      <w:r w:rsidR="0062567E">
        <w:rPr>
          <w:bCs/>
          <w:sz w:val="24"/>
        </w:rPr>
        <w:t xml:space="preserve">, and </w:t>
      </w:r>
      <w:r w:rsidRPr="0062567E" w:rsidR="0062567E">
        <w:rPr>
          <w:bCs/>
          <w:sz w:val="24"/>
        </w:rPr>
        <w:t>no cost</w:t>
      </w:r>
      <w:r w:rsidR="0062567E">
        <w:rPr>
          <w:bCs/>
          <w:sz w:val="24"/>
        </w:rPr>
        <w:t>s</w:t>
      </w:r>
      <w:r w:rsidRPr="0062567E" w:rsidR="0062567E">
        <w:rPr>
          <w:bCs/>
          <w:sz w:val="24"/>
        </w:rPr>
        <w:t xml:space="preserve"> associated with operating or maintaining systems or purchasing systems</w:t>
      </w:r>
      <w:r w:rsidRPr="004F29CC">
        <w:rPr>
          <w:bCs/>
          <w:sz w:val="24"/>
        </w:rPr>
        <w:t>.</w:t>
      </w:r>
    </w:p>
    <w:p w:rsidR="00454C37" w:rsidRPr="004F29CC" w:rsidP="00454C37" w14:paraId="6B98E7A1" w14:textId="77777777">
      <w:pPr>
        <w:pStyle w:val="BodyTextIndent"/>
        <w:rPr>
          <w:b/>
          <w:bCs/>
          <w:sz w:val="24"/>
        </w:rPr>
      </w:pPr>
    </w:p>
    <w:p w:rsidR="00454C37" w:rsidRPr="004F29CC" w:rsidP="00454C37" w14:paraId="63FB0F0F" w14:textId="60173FCB">
      <w:pPr>
        <w:pStyle w:val="BodyTextIndent"/>
        <w:numPr>
          <w:ilvl w:val="0"/>
          <w:numId w:val="4"/>
        </w:numPr>
        <w:rPr>
          <w:b/>
          <w:bCs/>
          <w:sz w:val="24"/>
        </w:rPr>
      </w:pPr>
      <w:r w:rsidRPr="004F29CC">
        <w:rPr>
          <w:b/>
          <w:bCs/>
          <w:sz w:val="24"/>
        </w:rPr>
        <w:t>Provide estimates of annualized cost to the Federal government</w:t>
      </w:r>
      <w:r w:rsidR="00646422">
        <w:rPr>
          <w:b/>
          <w:bCs/>
          <w:sz w:val="24"/>
        </w:rPr>
        <w:t xml:space="preserve">. </w:t>
      </w:r>
      <w:r w:rsidRPr="004F29CC">
        <w:rPr>
          <w:b/>
          <w:bCs/>
          <w:sz w:val="24"/>
        </w:rPr>
        <w:t>Provide a description of the method used to estimate cost and any other expense that would not have been incurred without this collection of information.</w:t>
      </w:r>
    </w:p>
    <w:p w:rsidR="00104A1C" w:rsidRPr="004F29CC" w:rsidP="00454C37" w14:paraId="317DB127" w14:textId="77777777">
      <w:pPr>
        <w:pStyle w:val="BodyTextIndent"/>
        <w:ind w:left="720"/>
        <w:rPr>
          <w:bCs/>
          <w:sz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116"/>
        <w:gridCol w:w="1116"/>
        <w:gridCol w:w="1116"/>
        <w:gridCol w:w="1116"/>
        <w:gridCol w:w="1116"/>
      </w:tblGrid>
      <w:tr w14:paraId="05444E3C" w14:textId="046BA36C" w:rsidTr="00263581">
        <w:tblPrEx>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3510" w:type="dxa"/>
            <w:shd w:val="clear" w:color="auto" w:fill="auto"/>
            <w:noWrap/>
            <w:vAlign w:val="center"/>
            <w:hideMark/>
          </w:tcPr>
          <w:p w:rsidR="002C512E" w:rsidRPr="002C512E" w:rsidP="002C512E" w14:paraId="15022F53" w14:textId="77777777">
            <w:pPr>
              <w:rPr>
                <w:b/>
                <w:bCs/>
                <w:color w:val="000000"/>
                <w:sz w:val="20"/>
                <w:szCs w:val="20"/>
              </w:rPr>
            </w:pPr>
            <w:r w:rsidRPr="002C512E">
              <w:rPr>
                <w:b/>
                <w:bCs/>
                <w:color w:val="000000"/>
                <w:sz w:val="20"/>
                <w:szCs w:val="20"/>
              </w:rPr>
              <w:t>Forms</w:t>
            </w:r>
          </w:p>
        </w:tc>
        <w:tc>
          <w:tcPr>
            <w:tcW w:w="1116" w:type="dxa"/>
            <w:vAlign w:val="center"/>
          </w:tcPr>
          <w:p w:rsidR="002C512E" w:rsidRPr="002C512E" w:rsidP="002C512E" w14:paraId="6CB67B39" w14:textId="317ADCFB">
            <w:pPr>
              <w:rPr>
                <w:b/>
                <w:bCs/>
                <w:color w:val="000000"/>
                <w:sz w:val="20"/>
                <w:szCs w:val="20"/>
              </w:rPr>
            </w:pPr>
            <w:r>
              <w:rPr>
                <w:b/>
                <w:bCs/>
                <w:color w:val="000000"/>
                <w:sz w:val="20"/>
                <w:szCs w:val="20"/>
              </w:rPr>
              <w:t>Total Annual Responses</w:t>
            </w:r>
          </w:p>
        </w:tc>
        <w:tc>
          <w:tcPr>
            <w:tcW w:w="1116" w:type="dxa"/>
            <w:shd w:val="clear" w:color="auto" w:fill="auto"/>
            <w:noWrap/>
            <w:vAlign w:val="center"/>
            <w:hideMark/>
          </w:tcPr>
          <w:p w:rsidR="002C512E" w:rsidRPr="002C512E" w:rsidP="002C512E" w14:paraId="0FDE471E" w14:textId="6E3119C5">
            <w:pPr>
              <w:rPr>
                <w:b/>
                <w:bCs/>
                <w:color w:val="000000"/>
                <w:sz w:val="20"/>
                <w:szCs w:val="20"/>
              </w:rPr>
            </w:pPr>
            <w:r w:rsidRPr="002C512E">
              <w:rPr>
                <w:b/>
                <w:bCs/>
                <w:color w:val="000000"/>
                <w:sz w:val="20"/>
                <w:szCs w:val="20"/>
              </w:rPr>
              <w:t>Average Estimate of Manhours per Response</w:t>
            </w:r>
          </w:p>
        </w:tc>
        <w:tc>
          <w:tcPr>
            <w:tcW w:w="1116" w:type="dxa"/>
            <w:shd w:val="clear" w:color="auto" w:fill="auto"/>
            <w:noWrap/>
            <w:vAlign w:val="center"/>
            <w:hideMark/>
          </w:tcPr>
          <w:p w:rsidR="002C512E" w:rsidRPr="002C512E" w:rsidP="002C512E" w14:paraId="5D5AF3B5" w14:textId="4308C7D8">
            <w:pPr>
              <w:rPr>
                <w:b/>
                <w:bCs/>
                <w:color w:val="000000"/>
                <w:sz w:val="20"/>
                <w:szCs w:val="20"/>
              </w:rPr>
            </w:pPr>
            <w:r w:rsidRPr="002C512E">
              <w:rPr>
                <w:b/>
                <w:bCs/>
                <w:color w:val="000000"/>
                <w:sz w:val="20"/>
                <w:szCs w:val="20"/>
              </w:rPr>
              <w:t>Total Annual Manhours</w:t>
            </w:r>
          </w:p>
        </w:tc>
        <w:tc>
          <w:tcPr>
            <w:tcW w:w="1116" w:type="dxa"/>
            <w:vAlign w:val="center"/>
          </w:tcPr>
          <w:p w:rsidR="002C512E" w:rsidRPr="002C512E" w:rsidP="002C512E" w14:paraId="5CEEE2F1" w14:textId="4360312E">
            <w:pPr>
              <w:rPr>
                <w:b/>
                <w:bCs/>
                <w:color w:val="000000"/>
                <w:sz w:val="20"/>
                <w:szCs w:val="20"/>
              </w:rPr>
            </w:pPr>
            <w:r>
              <w:rPr>
                <w:b/>
                <w:bCs/>
                <w:color w:val="000000"/>
                <w:sz w:val="20"/>
                <w:szCs w:val="20"/>
              </w:rPr>
              <w:t>Hourly Rate</w:t>
            </w:r>
            <w:r w:rsidR="00263581">
              <w:rPr>
                <w:b/>
                <w:bCs/>
                <w:color w:val="000000"/>
                <w:sz w:val="20"/>
                <w:szCs w:val="20"/>
              </w:rPr>
              <w:t>*</w:t>
            </w:r>
          </w:p>
        </w:tc>
        <w:tc>
          <w:tcPr>
            <w:tcW w:w="1116" w:type="dxa"/>
            <w:vAlign w:val="center"/>
          </w:tcPr>
          <w:p w:rsidR="002C512E" w:rsidRPr="002C512E" w:rsidP="002C512E" w14:paraId="30690A93" w14:textId="446E7D33">
            <w:pPr>
              <w:rPr>
                <w:b/>
                <w:bCs/>
                <w:color w:val="000000"/>
                <w:sz w:val="20"/>
                <w:szCs w:val="20"/>
              </w:rPr>
            </w:pPr>
            <w:r>
              <w:rPr>
                <w:b/>
                <w:bCs/>
                <w:color w:val="000000"/>
                <w:sz w:val="20"/>
                <w:szCs w:val="20"/>
              </w:rPr>
              <w:t>Total Annual Costs</w:t>
            </w:r>
          </w:p>
        </w:tc>
      </w:tr>
      <w:tr w14:paraId="13E9022B" w14:textId="48C786EA" w:rsidTr="00263581">
        <w:tblPrEx>
          <w:tblW w:w="9090" w:type="dxa"/>
          <w:tblInd w:w="108" w:type="dxa"/>
          <w:tblLayout w:type="fixed"/>
          <w:tblLook w:val="04A0"/>
        </w:tblPrEx>
        <w:trPr>
          <w:trHeight w:val="288"/>
        </w:trPr>
        <w:tc>
          <w:tcPr>
            <w:tcW w:w="3510" w:type="dxa"/>
            <w:shd w:val="clear" w:color="auto" w:fill="auto"/>
            <w:noWrap/>
            <w:vAlign w:val="bottom"/>
            <w:hideMark/>
          </w:tcPr>
          <w:p w:rsidR="002C512E" w:rsidRPr="002C512E" w:rsidP="004F29CC" w14:paraId="5504B283" w14:textId="77777777">
            <w:pPr>
              <w:rPr>
                <w:color w:val="000000"/>
                <w:sz w:val="20"/>
                <w:szCs w:val="20"/>
              </w:rPr>
            </w:pPr>
          </w:p>
        </w:tc>
        <w:tc>
          <w:tcPr>
            <w:tcW w:w="1116" w:type="dxa"/>
            <w:vAlign w:val="center"/>
          </w:tcPr>
          <w:p w:rsidR="002C512E" w:rsidRPr="002C512E" w:rsidP="004F29CC" w14:paraId="79AC1E65" w14:textId="2B45DEB6">
            <w:pPr>
              <w:rPr>
                <w:sz w:val="20"/>
                <w:szCs w:val="20"/>
              </w:rPr>
            </w:pPr>
          </w:p>
        </w:tc>
        <w:tc>
          <w:tcPr>
            <w:tcW w:w="1116" w:type="dxa"/>
            <w:shd w:val="clear" w:color="auto" w:fill="auto"/>
            <w:noWrap/>
            <w:vAlign w:val="bottom"/>
            <w:hideMark/>
          </w:tcPr>
          <w:p w:rsidR="002C512E" w:rsidRPr="002C512E" w:rsidP="004F29CC" w14:paraId="304126DB" w14:textId="2FA21FD6">
            <w:pPr>
              <w:rPr>
                <w:sz w:val="20"/>
                <w:szCs w:val="20"/>
              </w:rPr>
            </w:pPr>
          </w:p>
        </w:tc>
        <w:tc>
          <w:tcPr>
            <w:tcW w:w="1116" w:type="dxa"/>
            <w:shd w:val="clear" w:color="auto" w:fill="auto"/>
            <w:noWrap/>
            <w:vAlign w:val="bottom"/>
            <w:hideMark/>
          </w:tcPr>
          <w:p w:rsidR="002C512E" w:rsidRPr="002C512E" w:rsidP="004F29CC" w14:paraId="4E7C5C2D" w14:textId="77777777">
            <w:pPr>
              <w:rPr>
                <w:sz w:val="20"/>
                <w:szCs w:val="20"/>
              </w:rPr>
            </w:pPr>
          </w:p>
        </w:tc>
        <w:tc>
          <w:tcPr>
            <w:tcW w:w="1116" w:type="dxa"/>
          </w:tcPr>
          <w:p w:rsidR="002C512E" w:rsidRPr="002C512E" w:rsidP="004F29CC" w14:paraId="346BCA51" w14:textId="77777777">
            <w:pPr>
              <w:rPr>
                <w:sz w:val="20"/>
                <w:szCs w:val="20"/>
              </w:rPr>
            </w:pPr>
          </w:p>
        </w:tc>
        <w:tc>
          <w:tcPr>
            <w:tcW w:w="1116" w:type="dxa"/>
          </w:tcPr>
          <w:p w:rsidR="002C512E" w:rsidRPr="002C512E" w:rsidP="004F29CC" w14:paraId="298F8CDC" w14:textId="53851B0E">
            <w:pPr>
              <w:rPr>
                <w:sz w:val="20"/>
                <w:szCs w:val="20"/>
              </w:rPr>
            </w:pPr>
          </w:p>
        </w:tc>
      </w:tr>
      <w:tr w14:paraId="0D4F12BE" w14:textId="031BA333" w:rsidTr="00DD01AF">
        <w:tblPrEx>
          <w:tblW w:w="9090" w:type="dxa"/>
          <w:tblInd w:w="108" w:type="dxa"/>
          <w:tblLayout w:type="fixed"/>
          <w:tblLook w:val="04A0"/>
        </w:tblPrEx>
        <w:trPr>
          <w:trHeight w:val="288"/>
        </w:trPr>
        <w:tc>
          <w:tcPr>
            <w:tcW w:w="3510" w:type="dxa"/>
            <w:shd w:val="clear" w:color="auto" w:fill="auto"/>
            <w:noWrap/>
            <w:vAlign w:val="bottom"/>
            <w:hideMark/>
          </w:tcPr>
          <w:p w:rsidR="00DD01AF" w:rsidRPr="002C512E" w:rsidP="00DD01AF" w14:paraId="6D04DA99" w14:textId="77777777">
            <w:pPr>
              <w:rPr>
                <w:color w:val="000000"/>
                <w:sz w:val="20"/>
                <w:szCs w:val="20"/>
              </w:rPr>
            </w:pPr>
            <w:r w:rsidRPr="002C512E">
              <w:rPr>
                <w:color w:val="000000"/>
                <w:sz w:val="20"/>
                <w:szCs w:val="20"/>
              </w:rPr>
              <w:t>Application for 2022 Payments to Manufacturers of Certain Worsted Wool Fabrics</w:t>
            </w:r>
          </w:p>
        </w:tc>
        <w:tc>
          <w:tcPr>
            <w:tcW w:w="1116" w:type="dxa"/>
            <w:vAlign w:val="center"/>
          </w:tcPr>
          <w:p w:rsidR="00DD01AF" w:rsidRPr="002C512E" w:rsidP="00DD01AF" w14:paraId="1B2AC8A2" w14:textId="579972EF">
            <w:pPr>
              <w:rPr>
                <w:color w:val="000000"/>
                <w:sz w:val="20"/>
                <w:szCs w:val="20"/>
              </w:rPr>
            </w:pPr>
            <w:r w:rsidRPr="002C512E">
              <w:rPr>
                <w:sz w:val="20"/>
                <w:szCs w:val="20"/>
              </w:rPr>
              <w:t xml:space="preserve">4 </w:t>
            </w:r>
          </w:p>
        </w:tc>
        <w:tc>
          <w:tcPr>
            <w:tcW w:w="1116" w:type="dxa"/>
            <w:shd w:val="clear" w:color="auto" w:fill="auto"/>
            <w:noWrap/>
            <w:vAlign w:val="center"/>
            <w:hideMark/>
          </w:tcPr>
          <w:p w:rsidR="00DD01AF" w:rsidRPr="002C512E" w:rsidP="00DD01AF" w14:paraId="6E431B83" w14:textId="55413D95">
            <w:pPr>
              <w:rPr>
                <w:color w:val="000000"/>
                <w:sz w:val="20"/>
                <w:szCs w:val="20"/>
              </w:rPr>
            </w:pPr>
            <w:r w:rsidRPr="002C512E">
              <w:rPr>
                <w:sz w:val="20"/>
                <w:szCs w:val="20"/>
              </w:rPr>
              <w:t xml:space="preserve">0.50 </w:t>
            </w:r>
          </w:p>
        </w:tc>
        <w:tc>
          <w:tcPr>
            <w:tcW w:w="1116" w:type="dxa"/>
            <w:shd w:val="clear" w:color="auto" w:fill="auto"/>
            <w:noWrap/>
            <w:vAlign w:val="center"/>
            <w:hideMark/>
          </w:tcPr>
          <w:p w:rsidR="00DD01AF" w:rsidRPr="002C512E" w:rsidP="00DD01AF" w14:paraId="1F835B37" w14:textId="4DDAAEE7">
            <w:pPr>
              <w:rPr>
                <w:color w:val="000000"/>
                <w:sz w:val="20"/>
                <w:szCs w:val="20"/>
              </w:rPr>
            </w:pPr>
            <w:r w:rsidRPr="002C512E">
              <w:rPr>
                <w:sz w:val="20"/>
                <w:szCs w:val="20"/>
              </w:rPr>
              <w:t xml:space="preserve">2 </w:t>
            </w:r>
          </w:p>
        </w:tc>
        <w:tc>
          <w:tcPr>
            <w:tcW w:w="1116" w:type="dxa"/>
            <w:vAlign w:val="center"/>
          </w:tcPr>
          <w:p w:rsidR="00DD01AF" w:rsidRPr="002C512E" w:rsidP="00DD01AF" w14:paraId="1C3D1CB6" w14:textId="2E1048AA">
            <w:pPr>
              <w:rPr>
                <w:sz w:val="20"/>
                <w:szCs w:val="20"/>
              </w:rPr>
            </w:pPr>
            <w:r>
              <w:rPr>
                <w:sz w:val="20"/>
                <w:szCs w:val="20"/>
              </w:rPr>
              <w:t>$66.27</w:t>
            </w:r>
          </w:p>
        </w:tc>
        <w:tc>
          <w:tcPr>
            <w:tcW w:w="1116" w:type="dxa"/>
            <w:vAlign w:val="center"/>
          </w:tcPr>
          <w:p w:rsidR="00DD01AF" w:rsidRPr="00DD01AF" w:rsidP="00DD01AF" w14:paraId="565095BF" w14:textId="251FFFB2">
            <w:pPr>
              <w:rPr>
                <w:sz w:val="20"/>
                <w:szCs w:val="20"/>
              </w:rPr>
            </w:pPr>
            <w:r w:rsidRPr="00DD01AF">
              <w:rPr>
                <w:sz w:val="20"/>
                <w:szCs w:val="20"/>
              </w:rPr>
              <w:t xml:space="preserve">$133 </w:t>
            </w:r>
          </w:p>
        </w:tc>
      </w:tr>
      <w:tr w14:paraId="59700740" w14:textId="6C8D9F65" w:rsidTr="00DD01AF">
        <w:tblPrEx>
          <w:tblW w:w="9090" w:type="dxa"/>
          <w:tblInd w:w="108" w:type="dxa"/>
          <w:tblLayout w:type="fixed"/>
          <w:tblLook w:val="04A0"/>
        </w:tblPrEx>
        <w:trPr>
          <w:trHeight w:val="288"/>
        </w:trPr>
        <w:tc>
          <w:tcPr>
            <w:tcW w:w="3510" w:type="dxa"/>
            <w:shd w:val="clear" w:color="auto" w:fill="auto"/>
            <w:noWrap/>
            <w:vAlign w:val="bottom"/>
            <w:hideMark/>
          </w:tcPr>
          <w:p w:rsidR="00DD01AF" w:rsidRPr="002C512E" w:rsidP="00DD01AF" w14:paraId="2D8EBA9F" w14:textId="77777777">
            <w:pPr>
              <w:rPr>
                <w:color w:val="000000"/>
                <w:sz w:val="20"/>
                <w:szCs w:val="20"/>
              </w:rPr>
            </w:pPr>
            <w:r w:rsidRPr="002C512E">
              <w:rPr>
                <w:color w:val="000000"/>
                <w:sz w:val="20"/>
                <w:szCs w:val="20"/>
              </w:rPr>
              <w:t>Application for 2022 Monetized TRQ Payments Manufacturers of Men's &amp; Boy's Worsted Wool Suits, Suit-Type Jackets and Trousers (Average Fiber Diameter Greater than 18.5 Microns)</w:t>
            </w:r>
          </w:p>
        </w:tc>
        <w:tc>
          <w:tcPr>
            <w:tcW w:w="1116" w:type="dxa"/>
            <w:vAlign w:val="center"/>
          </w:tcPr>
          <w:p w:rsidR="00DD01AF" w:rsidRPr="002C512E" w:rsidP="00DD01AF" w14:paraId="169B656C" w14:textId="6C06FF79">
            <w:pPr>
              <w:rPr>
                <w:color w:val="000000"/>
                <w:sz w:val="20"/>
                <w:szCs w:val="20"/>
              </w:rPr>
            </w:pPr>
            <w:r w:rsidRPr="002C512E">
              <w:rPr>
                <w:sz w:val="20"/>
                <w:szCs w:val="20"/>
              </w:rPr>
              <w:t xml:space="preserve">17 </w:t>
            </w:r>
          </w:p>
        </w:tc>
        <w:tc>
          <w:tcPr>
            <w:tcW w:w="1116" w:type="dxa"/>
            <w:shd w:val="clear" w:color="auto" w:fill="auto"/>
            <w:noWrap/>
            <w:vAlign w:val="center"/>
            <w:hideMark/>
          </w:tcPr>
          <w:p w:rsidR="00DD01AF" w:rsidRPr="002C512E" w:rsidP="00DD01AF" w14:paraId="579A370F" w14:textId="50BC8CD0">
            <w:pPr>
              <w:rPr>
                <w:color w:val="000000"/>
                <w:sz w:val="20"/>
                <w:szCs w:val="20"/>
              </w:rPr>
            </w:pPr>
            <w:r w:rsidRPr="002C512E">
              <w:rPr>
                <w:sz w:val="20"/>
                <w:szCs w:val="20"/>
              </w:rPr>
              <w:t xml:space="preserve">0.50 </w:t>
            </w:r>
          </w:p>
        </w:tc>
        <w:tc>
          <w:tcPr>
            <w:tcW w:w="1116" w:type="dxa"/>
            <w:shd w:val="clear" w:color="auto" w:fill="auto"/>
            <w:noWrap/>
            <w:vAlign w:val="center"/>
            <w:hideMark/>
          </w:tcPr>
          <w:p w:rsidR="00DD01AF" w:rsidRPr="002C512E" w:rsidP="00DD01AF" w14:paraId="523F175C" w14:textId="10ECFF2F">
            <w:pPr>
              <w:rPr>
                <w:color w:val="000000"/>
                <w:sz w:val="20"/>
                <w:szCs w:val="20"/>
              </w:rPr>
            </w:pPr>
            <w:r w:rsidRPr="002C512E">
              <w:rPr>
                <w:sz w:val="20"/>
                <w:szCs w:val="20"/>
              </w:rPr>
              <w:t xml:space="preserve">9 </w:t>
            </w:r>
          </w:p>
        </w:tc>
        <w:tc>
          <w:tcPr>
            <w:tcW w:w="1116" w:type="dxa"/>
            <w:vAlign w:val="center"/>
          </w:tcPr>
          <w:p w:rsidR="00DD01AF" w:rsidRPr="002C512E" w:rsidP="00DD01AF" w14:paraId="19D23584" w14:textId="2D45D728">
            <w:pPr>
              <w:rPr>
                <w:sz w:val="20"/>
                <w:szCs w:val="20"/>
              </w:rPr>
            </w:pPr>
            <w:r>
              <w:rPr>
                <w:sz w:val="20"/>
                <w:szCs w:val="20"/>
              </w:rPr>
              <w:t>$66.27</w:t>
            </w:r>
          </w:p>
        </w:tc>
        <w:tc>
          <w:tcPr>
            <w:tcW w:w="1116" w:type="dxa"/>
            <w:vAlign w:val="center"/>
          </w:tcPr>
          <w:p w:rsidR="00DD01AF" w:rsidRPr="00DD01AF" w:rsidP="00DD01AF" w14:paraId="1028E2D3" w14:textId="5AFBDFF8">
            <w:pPr>
              <w:rPr>
                <w:sz w:val="20"/>
                <w:szCs w:val="20"/>
              </w:rPr>
            </w:pPr>
            <w:r w:rsidRPr="00DD01AF">
              <w:rPr>
                <w:sz w:val="20"/>
                <w:szCs w:val="20"/>
              </w:rPr>
              <w:t xml:space="preserve">$596 </w:t>
            </w:r>
          </w:p>
        </w:tc>
      </w:tr>
      <w:tr w14:paraId="0154CCAE" w14:textId="0B927952" w:rsidTr="00DD01AF">
        <w:tblPrEx>
          <w:tblW w:w="9090" w:type="dxa"/>
          <w:tblInd w:w="108" w:type="dxa"/>
          <w:tblLayout w:type="fixed"/>
          <w:tblLook w:val="04A0"/>
        </w:tblPrEx>
        <w:trPr>
          <w:trHeight w:val="288"/>
        </w:trPr>
        <w:tc>
          <w:tcPr>
            <w:tcW w:w="3510" w:type="dxa"/>
            <w:shd w:val="clear" w:color="auto" w:fill="auto"/>
            <w:noWrap/>
            <w:vAlign w:val="bottom"/>
            <w:hideMark/>
          </w:tcPr>
          <w:p w:rsidR="00DD01AF" w:rsidRPr="002C512E" w:rsidP="00DD01AF" w14:paraId="39D3127E" w14:textId="77777777">
            <w:pPr>
              <w:rPr>
                <w:color w:val="000000"/>
                <w:sz w:val="20"/>
                <w:szCs w:val="20"/>
              </w:rPr>
            </w:pPr>
            <w:r w:rsidRPr="002C512E">
              <w:rPr>
                <w:color w:val="000000"/>
                <w:sz w:val="20"/>
                <w:szCs w:val="20"/>
              </w:rPr>
              <w:t>Application for 2022 Monetized TRQ Payments Manufacturers of Men's &amp; Boy's Worsted Wool Suits, Suit-Type Jackets and Trousers (Average Fiber Diameter 18.5 Microns or Less)</w:t>
            </w:r>
          </w:p>
        </w:tc>
        <w:tc>
          <w:tcPr>
            <w:tcW w:w="1116" w:type="dxa"/>
            <w:vAlign w:val="center"/>
          </w:tcPr>
          <w:p w:rsidR="00DD01AF" w:rsidRPr="002C512E" w:rsidP="00DD01AF" w14:paraId="16A5322D" w14:textId="64AADAF1">
            <w:pPr>
              <w:rPr>
                <w:color w:val="000000"/>
                <w:sz w:val="20"/>
                <w:szCs w:val="20"/>
              </w:rPr>
            </w:pPr>
            <w:r w:rsidRPr="002C512E">
              <w:rPr>
                <w:sz w:val="20"/>
                <w:szCs w:val="20"/>
              </w:rPr>
              <w:t xml:space="preserve">17 </w:t>
            </w:r>
          </w:p>
        </w:tc>
        <w:tc>
          <w:tcPr>
            <w:tcW w:w="1116" w:type="dxa"/>
            <w:shd w:val="clear" w:color="auto" w:fill="auto"/>
            <w:noWrap/>
            <w:vAlign w:val="center"/>
            <w:hideMark/>
          </w:tcPr>
          <w:p w:rsidR="00DD01AF" w:rsidRPr="002C512E" w:rsidP="00DD01AF" w14:paraId="7179495B" w14:textId="17050C34">
            <w:pPr>
              <w:rPr>
                <w:color w:val="000000"/>
                <w:sz w:val="20"/>
                <w:szCs w:val="20"/>
              </w:rPr>
            </w:pPr>
            <w:r w:rsidRPr="002C512E">
              <w:rPr>
                <w:sz w:val="20"/>
                <w:szCs w:val="20"/>
              </w:rPr>
              <w:t xml:space="preserve">0.50 </w:t>
            </w:r>
          </w:p>
        </w:tc>
        <w:tc>
          <w:tcPr>
            <w:tcW w:w="1116" w:type="dxa"/>
            <w:shd w:val="clear" w:color="auto" w:fill="auto"/>
            <w:noWrap/>
            <w:vAlign w:val="center"/>
            <w:hideMark/>
          </w:tcPr>
          <w:p w:rsidR="00DD01AF" w:rsidRPr="002C512E" w:rsidP="00DD01AF" w14:paraId="5500233D" w14:textId="41742762">
            <w:pPr>
              <w:rPr>
                <w:color w:val="000000"/>
                <w:sz w:val="20"/>
                <w:szCs w:val="20"/>
              </w:rPr>
            </w:pPr>
            <w:r w:rsidRPr="002C512E">
              <w:rPr>
                <w:sz w:val="20"/>
                <w:szCs w:val="20"/>
              </w:rPr>
              <w:t xml:space="preserve">9 </w:t>
            </w:r>
          </w:p>
        </w:tc>
        <w:tc>
          <w:tcPr>
            <w:tcW w:w="1116" w:type="dxa"/>
            <w:vAlign w:val="center"/>
          </w:tcPr>
          <w:p w:rsidR="00DD01AF" w:rsidRPr="002C512E" w:rsidP="00DD01AF" w14:paraId="4D21798F" w14:textId="6B5BE74E">
            <w:pPr>
              <w:rPr>
                <w:sz w:val="20"/>
                <w:szCs w:val="20"/>
              </w:rPr>
            </w:pPr>
            <w:r>
              <w:rPr>
                <w:sz w:val="20"/>
                <w:szCs w:val="20"/>
              </w:rPr>
              <w:t>$66.27</w:t>
            </w:r>
          </w:p>
        </w:tc>
        <w:tc>
          <w:tcPr>
            <w:tcW w:w="1116" w:type="dxa"/>
            <w:vAlign w:val="center"/>
          </w:tcPr>
          <w:p w:rsidR="00DD01AF" w:rsidRPr="00DD01AF" w:rsidP="00DD01AF" w14:paraId="0D44E8E7" w14:textId="2CF95316">
            <w:pPr>
              <w:rPr>
                <w:sz w:val="20"/>
                <w:szCs w:val="20"/>
              </w:rPr>
            </w:pPr>
            <w:r w:rsidRPr="00DD01AF">
              <w:rPr>
                <w:sz w:val="20"/>
                <w:szCs w:val="20"/>
              </w:rPr>
              <w:t xml:space="preserve">$596 </w:t>
            </w:r>
          </w:p>
        </w:tc>
      </w:tr>
      <w:tr w14:paraId="1B922874" w14:textId="27A79C8B" w:rsidTr="00DD01AF">
        <w:tblPrEx>
          <w:tblW w:w="9090" w:type="dxa"/>
          <w:tblInd w:w="108" w:type="dxa"/>
          <w:tblLayout w:type="fixed"/>
          <w:tblLook w:val="04A0"/>
        </w:tblPrEx>
        <w:trPr>
          <w:trHeight w:val="288"/>
        </w:trPr>
        <w:tc>
          <w:tcPr>
            <w:tcW w:w="3510" w:type="dxa"/>
            <w:shd w:val="clear" w:color="auto" w:fill="auto"/>
            <w:noWrap/>
            <w:vAlign w:val="bottom"/>
            <w:hideMark/>
          </w:tcPr>
          <w:p w:rsidR="00DD01AF" w:rsidRPr="002C512E" w:rsidP="00DD01AF" w14:paraId="2D3CE9CE" w14:textId="77777777">
            <w:pPr>
              <w:rPr>
                <w:color w:val="000000"/>
                <w:sz w:val="20"/>
                <w:szCs w:val="20"/>
              </w:rPr>
            </w:pPr>
            <w:r w:rsidRPr="002C512E">
              <w:rPr>
                <w:color w:val="000000"/>
                <w:sz w:val="20"/>
                <w:szCs w:val="20"/>
              </w:rPr>
              <w:t>Application for 2022 Monetized TRQ Payments Manufacturers of Worsted Wool Fabric Average Fiber Diameter of 18.5 Microns or Less</w:t>
            </w:r>
          </w:p>
        </w:tc>
        <w:tc>
          <w:tcPr>
            <w:tcW w:w="1116" w:type="dxa"/>
            <w:vAlign w:val="center"/>
          </w:tcPr>
          <w:p w:rsidR="00DD01AF" w:rsidRPr="002C512E" w:rsidP="00DD01AF" w14:paraId="5F36641C" w14:textId="48FC1E84">
            <w:pPr>
              <w:rPr>
                <w:color w:val="000000"/>
                <w:sz w:val="20"/>
                <w:szCs w:val="20"/>
              </w:rPr>
            </w:pPr>
            <w:r w:rsidRPr="002C512E">
              <w:rPr>
                <w:sz w:val="20"/>
                <w:szCs w:val="20"/>
              </w:rPr>
              <w:t xml:space="preserve">1 </w:t>
            </w:r>
          </w:p>
        </w:tc>
        <w:tc>
          <w:tcPr>
            <w:tcW w:w="1116" w:type="dxa"/>
            <w:shd w:val="clear" w:color="auto" w:fill="auto"/>
            <w:noWrap/>
            <w:vAlign w:val="center"/>
            <w:hideMark/>
          </w:tcPr>
          <w:p w:rsidR="00DD01AF" w:rsidRPr="002C512E" w:rsidP="00DD01AF" w14:paraId="14E25F54" w14:textId="1F0E138B">
            <w:pPr>
              <w:rPr>
                <w:color w:val="000000"/>
                <w:sz w:val="20"/>
                <w:szCs w:val="20"/>
              </w:rPr>
            </w:pPr>
            <w:r w:rsidRPr="002C512E">
              <w:rPr>
                <w:sz w:val="20"/>
                <w:szCs w:val="20"/>
              </w:rPr>
              <w:t xml:space="preserve">0.50 </w:t>
            </w:r>
          </w:p>
        </w:tc>
        <w:tc>
          <w:tcPr>
            <w:tcW w:w="1116" w:type="dxa"/>
            <w:shd w:val="clear" w:color="auto" w:fill="auto"/>
            <w:noWrap/>
            <w:vAlign w:val="center"/>
            <w:hideMark/>
          </w:tcPr>
          <w:p w:rsidR="00DD01AF" w:rsidRPr="002C512E" w:rsidP="00DD01AF" w14:paraId="4B6FD02D" w14:textId="64CB8920">
            <w:pPr>
              <w:rPr>
                <w:color w:val="000000"/>
                <w:sz w:val="20"/>
                <w:szCs w:val="20"/>
              </w:rPr>
            </w:pPr>
            <w:r w:rsidRPr="002C512E">
              <w:rPr>
                <w:sz w:val="20"/>
                <w:szCs w:val="20"/>
              </w:rPr>
              <w:t xml:space="preserve">1 </w:t>
            </w:r>
          </w:p>
        </w:tc>
        <w:tc>
          <w:tcPr>
            <w:tcW w:w="1116" w:type="dxa"/>
            <w:vAlign w:val="center"/>
          </w:tcPr>
          <w:p w:rsidR="00DD01AF" w:rsidRPr="002C512E" w:rsidP="00DD01AF" w14:paraId="1BC58C0A" w14:textId="3FC58A01">
            <w:pPr>
              <w:rPr>
                <w:sz w:val="20"/>
                <w:szCs w:val="20"/>
              </w:rPr>
            </w:pPr>
            <w:r>
              <w:rPr>
                <w:sz w:val="20"/>
                <w:szCs w:val="20"/>
              </w:rPr>
              <w:t>$66.27</w:t>
            </w:r>
          </w:p>
        </w:tc>
        <w:tc>
          <w:tcPr>
            <w:tcW w:w="1116" w:type="dxa"/>
            <w:vAlign w:val="center"/>
          </w:tcPr>
          <w:p w:rsidR="00DD01AF" w:rsidRPr="00DD01AF" w:rsidP="00DD01AF" w14:paraId="642D43EE" w14:textId="1F9AD237">
            <w:pPr>
              <w:rPr>
                <w:sz w:val="20"/>
                <w:szCs w:val="20"/>
              </w:rPr>
            </w:pPr>
            <w:r w:rsidRPr="00DD01AF">
              <w:rPr>
                <w:sz w:val="20"/>
                <w:szCs w:val="20"/>
              </w:rPr>
              <w:t xml:space="preserve">$66 </w:t>
            </w:r>
          </w:p>
        </w:tc>
      </w:tr>
      <w:tr w14:paraId="67AB87C7" w14:textId="3793ED95" w:rsidTr="00DD01AF">
        <w:tblPrEx>
          <w:tblW w:w="9090" w:type="dxa"/>
          <w:tblInd w:w="108" w:type="dxa"/>
          <w:tblLayout w:type="fixed"/>
          <w:tblLook w:val="04A0"/>
        </w:tblPrEx>
        <w:trPr>
          <w:trHeight w:val="288"/>
        </w:trPr>
        <w:tc>
          <w:tcPr>
            <w:tcW w:w="3510" w:type="dxa"/>
            <w:shd w:val="clear" w:color="auto" w:fill="auto"/>
            <w:noWrap/>
            <w:vAlign w:val="bottom"/>
            <w:hideMark/>
          </w:tcPr>
          <w:p w:rsidR="00DD01AF" w:rsidRPr="002C512E" w:rsidP="00DD01AF" w14:paraId="51269AB2" w14:textId="77777777">
            <w:pPr>
              <w:rPr>
                <w:color w:val="000000"/>
                <w:sz w:val="20"/>
                <w:szCs w:val="20"/>
              </w:rPr>
            </w:pPr>
            <w:r w:rsidRPr="002C512E">
              <w:rPr>
                <w:color w:val="000000"/>
                <w:sz w:val="20"/>
                <w:szCs w:val="20"/>
              </w:rPr>
              <w:t>Application for 2022 Payments Wool Yarn, Wool Fiber, or Wool Top Duty Compensation (Average Fiber Diameter 18.5 Microns or Less)</w:t>
            </w:r>
          </w:p>
        </w:tc>
        <w:tc>
          <w:tcPr>
            <w:tcW w:w="1116" w:type="dxa"/>
            <w:vAlign w:val="center"/>
          </w:tcPr>
          <w:p w:rsidR="00DD01AF" w:rsidRPr="002C512E" w:rsidP="00DD01AF" w14:paraId="7D588737" w14:textId="310705BA">
            <w:pPr>
              <w:rPr>
                <w:color w:val="000000"/>
                <w:sz w:val="20"/>
                <w:szCs w:val="20"/>
              </w:rPr>
            </w:pPr>
            <w:r w:rsidRPr="002C512E">
              <w:rPr>
                <w:sz w:val="20"/>
                <w:szCs w:val="20"/>
              </w:rPr>
              <w:t xml:space="preserve">16 </w:t>
            </w:r>
          </w:p>
        </w:tc>
        <w:tc>
          <w:tcPr>
            <w:tcW w:w="1116" w:type="dxa"/>
            <w:shd w:val="clear" w:color="auto" w:fill="auto"/>
            <w:noWrap/>
            <w:vAlign w:val="center"/>
            <w:hideMark/>
          </w:tcPr>
          <w:p w:rsidR="00DD01AF" w:rsidRPr="002C512E" w:rsidP="00DD01AF" w14:paraId="51096D1D" w14:textId="6B443ED1">
            <w:pPr>
              <w:rPr>
                <w:color w:val="000000"/>
                <w:sz w:val="20"/>
                <w:szCs w:val="20"/>
              </w:rPr>
            </w:pPr>
            <w:r w:rsidRPr="002C512E">
              <w:rPr>
                <w:sz w:val="20"/>
                <w:szCs w:val="20"/>
              </w:rPr>
              <w:t xml:space="preserve">0.50 </w:t>
            </w:r>
          </w:p>
        </w:tc>
        <w:tc>
          <w:tcPr>
            <w:tcW w:w="1116" w:type="dxa"/>
            <w:shd w:val="clear" w:color="auto" w:fill="auto"/>
            <w:noWrap/>
            <w:vAlign w:val="center"/>
            <w:hideMark/>
          </w:tcPr>
          <w:p w:rsidR="00DD01AF" w:rsidRPr="002C512E" w:rsidP="00DD01AF" w14:paraId="71ABD231" w14:textId="678D5FF2">
            <w:pPr>
              <w:rPr>
                <w:color w:val="000000"/>
                <w:sz w:val="20"/>
                <w:szCs w:val="20"/>
              </w:rPr>
            </w:pPr>
            <w:r w:rsidRPr="002C512E">
              <w:rPr>
                <w:sz w:val="20"/>
                <w:szCs w:val="20"/>
              </w:rPr>
              <w:t xml:space="preserve">8 </w:t>
            </w:r>
          </w:p>
        </w:tc>
        <w:tc>
          <w:tcPr>
            <w:tcW w:w="1116" w:type="dxa"/>
            <w:vAlign w:val="center"/>
          </w:tcPr>
          <w:p w:rsidR="00DD01AF" w:rsidRPr="002C512E" w:rsidP="00DD01AF" w14:paraId="247EFFA4" w14:textId="184C2D25">
            <w:pPr>
              <w:rPr>
                <w:sz w:val="20"/>
                <w:szCs w:val="20"/>
              </w:rPr>
            </w:pPr>
            <w:r>
              <w:rPr>
                <w:sz w:val="20"/>
                <w:szCs w:val="20"/>
              </w:rPr>
              <w:t>$66.27</w:t>
            </w:r>
          </w:p>
        </w:tc>
        <w:tc>
          <w:tcPr>
            <w:tcW w:w="1116" w:type="dxa"/>
            <w:vAlign w:val="center"/>
          </w:tcPr>
          <w:p w:rsidR="00DD01AF" w:rsidRPr="00DD01AF" w:rsidP="00DD01AF" w14:paraId="410E4B17" w14:textId="5BCAAA23">
            <w:pPr>
              <w:rPr>
                <w:sz w:val="20"/>
                <w:szCs w:val="20"/>
              </w:rPr>
            </w:pPr>
            <w:r w:rsidRPr="00DD01AF">
              <w:rPr>
                <w:sz w:val="20"/>
                <w:szCs w:val="20"/>
              </w:rPr>
              <w:t xml:space="preserve">$530 </w:t>
            </w:r>
          </w:p>
        </w:tc>
      </w:tr>
      <w:tr w14:paraId="1DA7D592" w14:textId="5C6382A7" w:rsidTr="00DD01AF">
        <w:tblPrEx>
          <w:tblW w:w="9090" w:type="dxa"/>
          <w:tblInd w:w="108" w:type="dxa"/>
          <w:tblLayout w:type="fixed"/>
          <w:tblLook w:val="04A0"/>
        </w:tblPrEx>
        <w:trPr>
          <w:trHeight w:val="288"/>
        </w:trPr>
        <w:tc>
          <w:tcPr>
            <w:tcW w:w="3510" w:type="dxa"/>
            <w:shd w:val="clear" w:color="auto" w:fill="auto"/>
            <w:noWrap/>
            <w:vAlign w:val="bottom"/>
            <w:hideMark/>
          </w:tcPr>
          <w:p w:rsidR="00DD01AF" w:rsidRPr="002C512E" w:rsidP="00DD01AF" w14:paraId="3A84BF60" w14:textId="77777777">
            <w:pPr>
              <w:rPr>
                <w:color w:val="000000"/>
                <w:sz w:val="20"/>
                <w:szCs w:val="20"/>
              </w:rPr>
            </w:pPr>
            <w:r w:rsidRPr="002C512E">
              <w:rPr>
                <w:color w:val="000000"/>
                <w:sz w:val="20"/>
                <w:szCs w:val="20"/>
              </w:rPr>
              <w:t>Application for 2022 Payments Wool Duty Refund Payment</w:t>
            </w:r>
          </w:p>
        </w:tc>
        <w:tc>
          <w:tcPr>
            <w:tcW w:w="1116" w:type="dxa"/>
            <w:vAlign w:val="center"/>
          </w:tcPr>
          <w:p w:rsidR="00DD01AF" w:rsidRPr="002C512E" w:rsidP="00DD01AF" w14:paraId="18577FF5" w14:textId="55DEED5C">
            <w:pPr>
              <w:rPr>
                <w:color w:val="000000"/>
                <w:sz w:val="20"/>
                <w:szCs w:val="20"/>
              </w:rPr>
            </w:pPr>
            <w:r w:rsidRPr="002C512E">
              <w:rPr>
                <w:sz w:val="20"/>
                <w:szCs w:val="20"/>
              </w:rPr>
              <w:t xml:space="preserve">40 </w:t>
            </w:r>
          </w:p>
        </w:tc>
        <w:tc>
          <w:tcPr>
            <w:tcW w:w="1116" w:type="dxa"/>
            <w:shd w:val="clear" w:color="auto" w:fill="auto"/>
            <w:noWrap/>
            <w:vAlign w:val="center"/>
            <w:hideMark/>
          </w:tcPr>
          <w:p w:rsidR="00DD01AF" w:rsidRPr="002C512E" w:rsidP="00DD01AF" w14:paraId="11AE96CD" w14:textId="3DF3F11F">
            <w:pPr>
              <w:rPr>
                <w:color w:val="000000"/>
                <w:sz w:val="20"/>
                <w:szCs w:val="20"/>
              </w:rPr>
            </w:pPr>
            <w:r w:rsidRPr="002C512E">
              <w:rPr>
                <w:sz w:val="20"/>
                <w:szCs w:val="20"/>
              </w:rPr>
              <w:t xml:space="preserve">0.50 </w:t>
            </w:r>
          </w:p>
        </w:tc>
        <w:tc>
          <w:tcPr>
            <w:tcW w:w="1116" w:type="dxa"/>
            <w:shd w:val="clear" w:color="auto" w:fill="auto"/>
            <w:noWrap/>
            <w:vAlign w:val="center"/>
            <w:hideMark/>
          </w:tcPr>
          <w:p w:rsidR="00DD01AF" w:rsidRPr="002C512E" w:rsidP="00DD01AF" w14:paraId="71DBF08A" w14:textId="1595B4CD">
            <w:pPr>
              <w:rPr>
                <w:color w:val="000000"/>
                <w:sz w:val="20"/>
                <w:szCs w:val="20"/>
              </w:rPr>
            </w:pPr>
            <w:r w:rsidRPr="002C512E">
              <w:rPr>
                <w:sz w:val="20"/>
                <w:szCs w:val="20"/>
              </w:rPr>
              <w:t xml:space="preserve">20 </w:t>
            </w:r>
          </w:p>
        </w:tc>
        <w:tc>
          <w:tcPr>
            <w:tcW w:w="1116" w:type="dxa"/>
            <w:vAlign w:val="center"/>
          </w:tcPr>
          <w:p w:rsidR="00DD01AF" w:rsidRPr="002C512E" w:rsidP="00DD01AF" w14:paraId="2CCC195C" w14:textId="3D6CA3AE">
            <w:pPr>
              <w:rPr>
                <w:sz w:val="20"/>
                <w:szCs w:val="20"/>
              </w:rPr>
            </w:pPr>
            <w:r>
              <w:rPr>
                <w:sz w:val="20"/>
                <w:szCs w:val="20"/>
              </w:rPr>
              <w:t>$66.27</w:t>
            </w:r>
          </w:p>
        </w:tc>
        <w:tc>
          <w:tcPr>
            <w:tcW w:w="1116" w:type="dxa"/>
            <w:vAlign w:val="center"/>
          </w:tcPr>
          <w:p w:rsidR="00DD01AF" w:rsidRPr="00DD01AF" w:rsidP="00DD01AF" w14:paraId="70981D94" w14:textId="2916FD8D">
            <w:pPr>
              <w:rPr>
                <w:sz w:val="20"/>
                <w:szCs w:val="20"/>
              </w:rPr>
            </w:pPr>
            <w:r w:rsidRPr="00DD01AF">
              <w:rPr>
                <w:sz w:val="20"/>
                <w:szCs w:val="20"/>
              </w:rPr>
              <w:t xml:space="preserve">$1,325 </w:t>
            </w:r>
          </w:p>
        </w:tc>
      </w:tr>
      <w:tr w14:paraId="03235B60" w14:textId="16B39999" w:rsidTr="00DD01AF">
        <w:tblPrEx>
          <w:tblW w:w="9090" w:type="dxa"/>
          <w:tblInd w:w="108" w:type="dxa"/>
          <w:tblLayout w:type="fixed"/>
          <w:tblLook w:val="04A0"/>
        </w:tblPrEx>
        <w:trPr>
          <w:trHeight w:val="288"/>
        </w:trPr>
        <w:tc>
          <w:tcPr>
            <w:tcW w:w="3510" w:type="dxa"/>
            <w:shd w:val="clear" w:color="auto" w:fill="auto"/>
            <w:noWrap/>
            <w:vAlign w:val="center"/>
          </w:tcPr>
          <w:p w:rsidR="00DD01AF" w:rsidRPr="002C512E" w:rsidP="00DD01AF" w14:paraId="7D61222C" w14:textId="3199B0AA">
            <w:pPr>
              <w:jc w:val="right"/>
              <w:rPr>
                <w:b/>
                <w:bCs/>
                <w:color w:val="000000"/>
                <w:sz w:val="20"/>
                <w:szCs w:val="20"/>
              </w:rPr>
            </w:pPr>
            <w:r w:rsidRPr="002C512E">
              <w:rPr>
                <w:b/>
                <w:bCs/>
                <w:color w:val="000000"/>
                <w:sz w:val="20"/>
                <w:szCs w:val="20"/>
              </w:rPr>
              <w:t>TOTAL:</w:t>
            </w:r>
          </w:p>
        </w:tc>
        <w:tc>
          <w:tcPr>
            <w:tcW w:w="1116" w:type="dxa"/>
            <w:vAlign w:val="center"/>
          </w:tcPr>
          <w:p w:rsidR="00DD01AF" w:rsidRPr="002C512E" w:rsidP="00DD01AF" w14:paraId="1268FE67" w14:textId="418250EB">
            <w:pPr>
              <w:rPr>
                <w:b/>
                <w:bCs/>
                <w:sz w:val="20"/>
                <w:szCs w:val="20"/>
              </w:rPr>
            </w:pPr>
            <w:r>
              <w:rPr>
                <w:b/>
                <w:bCs/>
                <w:sz w:val="20"/>
                <w:szCs w:val="20"/>
              </w:rPr>
              <w:t>95</w:t>
            </w:r>
          </w:p>
        </w:tc>
        <w:tc>
          <w:tcPr>
            <w:tcW w:w="1116" w:type="dxa"/>
            <w:shd w:val="clear" w:color="auto" w:fill="auto"/>
            <w:noWrap/>
            <w:vAlign w:val="center"/>
          </w:tcPr>
          <w:p w:rsidR="00DD01AF" w:rsidRPr="002C512E" w:rsidP="00DD01AF" w14:paraId="60F4782D" w14:textId="77777777">
            <w:pPr>
              <w:rPr>
                <w:b/>
                <w:bCs/>
                <w:sz w:val="20"/>
                <w:szCs w:val="20"/>
              </w:rPr>
            </w:pPr>
          </w:p>
        </w:tc>
        <w:tc>
          <w:tcPr>
            <w:tcW w:w="1116" w:type="dxa"/>
            <w:shd w:val="clear" w:color="auto" w:fill="auto"/>
            <w:noWrap/>
            <w:vAlign w:val="center"/>
          </w:tcPr>
          <w:p w:rsidR="00DD01AF" w:rsidRPr="002C512E" w:rsidP="00DD01AF" w14:paraId="1DB3507C" w14:textId="6D5DB3EE">
            <w:pPr>
              <w:rPr>
                <w:b/>
                <w:bCs/>
                <w:sz w:val="20"/>
                <w:szCs w:val="20"/>
              </w:rPr>
            </w:pPr>
            <w:r w:rsidRPr="002C512E">
              <w:rPr>
                <w:b/>
                <w:bCs/>
                <w:sz w:val="20"/>
                <w:szCs w:val="20"/>
              </w:rPr>
              <w:t>48</w:t>
            </w:r>
          </w:p>
        </w:tc>
        <w:tc>
          <w:tcPr>
            <w:tcW w:w="1116" w:type="dxa"/>
            <w:vAlign w:val="center"/>
          </w:tcPr>
          <w:p w:rsidR="00DD01AF" w:rsidRPr="002C512E" w:rsidP="00DD01AF" w14:paraId="68F2BC49" w14:textId="77777777">
            <w:pPr>
              <w:rPr>
                <w:b/>
                <w:bCs/>
                <w:sz w:val="20"/>
                <w:szCs w:val="20"/>
              </w:rPr>
            </w:pPr>
          </w:p>
        </w:tc>
        <w:tc>
          <w:tcPr>
            <w:tcW w:w="1116" w:type="dxa"/>
            <w:vAlign w:val="center"/>
          </w:tcPr>
          <w:p w:rsidR="00DD01AF" w:rsidRPr="00DD01AF" w:rsidP="00DD01AF" w14:paraId="03184C8A" w14:textId="7E34A5DD">
            <w:pPr>
              <w:rPr>
                <w:b/>
                <w:bCs/>
                <w:sz w:val="20"/>
                <w:szCs w:val="20"/>
              </w:rPr>
            </w:pPr>
            <w:r w:rsidRPr="00DD01AF">
              <w:rPr>
                <w:b/>
                <w:bCs/>
                <w:sz w:val="20"/>
                <w:szCs w:val="20"/>
              </w:rPr>
              <w:t xml:space="preserve">$3,247 </w:t>
            </w:r>
          </w:p>
        </w:tc>
      </w:tr>
    </w:tbl>
    <w:p w:rsidR="004F29CC" w:rsidRPr="004F29CC" w:rsidP="0067309F" w14:paraId="4B7F47B3" w14:textId="77777777">
      <w:pPr>
        <w:pStyle w:val="BodyTextIndent"/>
        <w:ind w:left="720"/>
        <w:rPr>
          <w:bCs/>
          <w:sz w:val="24"/>
        </w:rPr>
      </w:pPr>
    </w:p>
    <w:p w:rsidR="002C512E" w:rsidRPr="006B3FE3" w:rsidP="002C512E" w14:paraId="282A9E0B" w14:textId="6C6820F6">
      <w:pPr>
        <w:tabs>
          <w:tab w:val="left" w:pos="360"/>
          <w:tab w:val="left" w:pos="1296"/>
          <w:tab w:val="left" w:pos="3420"/>
          <w:tab w:val="right" w:pos="4950"/>
          <w:tab w:val="left" w:pos="5760"/>
          <w:tab w:val="right" w:pos="7380"/>
          <w:tab w:val="right" w:pos="8820"/>
        </w:tabs>
        <w:ind w:left="720" w:hanging="360"/>
      </w:pPr>
      <w:r w:rsidRPr="00F748F8">
        <w:t xml:space="preserve">*The annual estimated cost to the Federal Government for this collection </w:t>
      </w:r>
      <w:r w:rsidR="00263581">
        <w:t xml:space="preserve">is </w:t>
      </w:r>
      <w:r>
        <w:t xml:space="preserve">calculated using the rate for a </w:t>
      </w:r>
      <w:r w:rsidR="00263581">
        <w:t xml:space="preserve">GS 14 </w:t>
      </w:r>
      <w:r>
        <w:t>Step 10 found in the 2025</w:t>
      </w:r>
      <w:r w:rsidRPr="00F748F8">
        <w:t xml:space="preserve"> General Pay Scale</w:t>
      </w:r>
      <w:r w:rsidR="00646422">
        <w:t xml:space="preserve">. </w:t>
      </w:r>
      <w:r w:rsidRPr="00F748F8">
        <w:t>The hourly cost used in the estimate includes fringe benefits</w:t>
      </w:r>
      <w:r w:rsidR="00646422">
        <w:t xml:space="preserve">. </w:t>
      </w:r>
    </w:p>
    <w:p w:rsidR="004F29CC" w:rsidRPr="004F29CC" w:rsidP="0067309F" w14:paraId="133CF40A" w14:textId="77777777">
      <w:pPr>
        <w:pStyle w:val="BodyTextIndent"/>
        <w:ind w:left="720"/>
        <w:rPr>
          <w:bCs/>
          <w:sz w:val="24"/>
        </w:rPr>
      </w:pPr>
    </w:p>
    <w:p w:rsidR="00454C37" w:rsidRPr="004F29CC" w:rsidP="00454C37" w14:paraId="52E2ECCE" w14:textId="77777777">
      <w:pPr>
        <w:pStyle w:val="BodyTextIndent"/>
        <w:numPr>
          <w:ilvl w:val="0"/>
          <w:numId w:val="4"/>
        </w:numPr>
        <w:rPr>
          <w:b/>
          <w:bCs/>
          <w:sz w:val="24"/>
        </w:rPr>
      </w:pPr>
      <w:r w:rsidRPr="004F29CC">
        <w:rPr>
          <w:b/>
          <w:bCs/>
          <w:sz w:val="24"/>
        </w:rPr>
        <w:t>Explain the reasons for any program changes or adjustments reported in Items 13 or 14 of the OMB Form 83-I.</w:t>
      </w:r>
    </w:p>
    <w:p w:rsidR="00104A1C" w:rsidRPr="004F29CC" w:rsidP="00454C37" w14:paraId="66A386A8" w14:textId="77777777">
      <w:pPr>
        <w:pStyle w:val="BodyTextIndent"/>
        <w:rPr>
          <w:bCs/>
          <w:sz w:val="24"/>
        </w:rPr>
      </w:pPr>
    </w:p>
    <w:p w:rsidR="00454C37" w:rsidRPr="004F29CC" w:rsidP="00F0245E" w14:paraId="2A71C37C" w14:textId="3BDA1A44">
      <w:pPr>
        <w:pStyle w:val="BodyTextIndent"/>
        <w:ind w:left="720"/>
        <w:rPr>
          <w:bCs/>
          <w:sz w:val="24"/>
        </w:rPr>
      </w:pPr>
      <w:r w:rsidRPr="00D92F98">
        <w:rPr>
          <w:bCs/>
          <w:sz w:val="24"/>
        </w:rPr>
        <w:t xml:space="preserve">This collection is an extension without change of a currently approved information collection request. </w:t>
      </w:r>
      <w:r w:rsidR="00B05549">
        <w:rPr>
          <w:bCs/>
          <w:sz w:val="24"/>
        </w:rPr>
        <w:t xml:space="preserve">The currently approved collection anticipates 95 total </w:t>
      </w:r>
      <w:r w:rsidRPr="00B05549" w:rsidR="00B05549">
        <w:rPr>
          <w:bCs/>
          <w:sz w:val="24"/>
        </w:rPr>
        <w:t>respondents</w:t>
      </w:r>
      <w:r w:rsidR="00B05549">
        <w:rPr>
          <w:bCs/>
          <w:sz w:val="24"/>
        </w:rPr>
        <w:t xml:space="preserve"> with 95 </w:t>
      </w:r>
      <w:r w:rsidRPr="00B05549" w:rsidR="00B05549">
        <w:rPr>
          <w:bCs/>
          <w:sz w:val="24"/>
        </w:rPr>
        <w:t>total annual responses</w:t>
      </w:r>
      <w:r w:rsidR="00B05549">
        <w:rPr>
          <w:bCs/>
          <w:sz w:val="24"/>
        </w:rPr>
        <w:t>, resulting in a total ann</w:t>
      </w:r>
      <w:r w:rsidRPr="00B05549" w:rsidR="00B05549">
        <w:rPr>
          <w:bCs/>
          <w:sz w:val="24"/>
        </w:rPr>
        <w:t>ual burden estimate</w:t>
      </w:r>
      <w:r w:rsidR="00B05549">
        <w:rPr>
          <w:bCs/>
          <w:sz w:val="24"/>
        </w:rPr>
        <w:t xml:space="preserve"> of 260 manhour</w:t>
      </w:r>
      <w:r w:rsidRPr="00B05549" w:rsidR="00B05549">
        <w:rPr>
          <w:bCs/>
          <w:sz w:val="24"/>
        </w:rPr>
        <w:t>s.</w:t>
      </w:r>
      <w:r w:rsidR="00B05549">
        <w:rPr>
          <w:bCs/>
          <w:sz w:val="24"/>
        </w:rPr>
        <w:t xml:space="preserve"> The </w:t>
      </w:r>
      <w:r w:rsidR="00DD01AF">
        <w:rPr>
          <w:bCs/>
          <w:sz w:val="24"/>
        </w:rPr>
        <w:t xml:space="preserve">cost estimates in this </w:t>
      </w:r>
      <w:r w:rsidRPr="004F29CC" w:rsidR="009F6CB9">
        <w:rPr>
          <w:bCs/>
          <w:sz w:val="24"/>
        </w:rPr>
        <w:t xml:space="preserve">request </w:t>
      </w:r>
      <w:r w:rsidRPr="004F29CC" w:rsidR="005E6E4D">
        <w:rPr>
          <w:bCs/>
          <w:sz w:val="24"/>
        </w:rPr>
        <w:t xml:space="preserve">for </w:t>
      </w:r>
      <w:r w:rsidRPr="004F29CC" w:rsidR="000D7FB6">
        <w:rPr>
          <w:bCs/>
          <w:sz w:val="24"/>
        </w:rPr>
        <w:t>re</w:t>
      </w:r>
      <w:r w:rsidR="00263581">
        <w:rPr>
          <w:bCs/>
          <w:sz w:val="24"/>
        </w:rPr>
        <w:t>newal ha</w:t>
      </w:r>
      <w:r w:rsidR="00DD01AF">
        <w:rPr>
          <w:bCs/>
          <w:sz w:val="24"/>
        </w:rPr>
        <w:t>ve</w:t>
      </w:r>
      <w:r w:rsidR="00263581">
        <w:rPr>
          <w:bCs/>
          <w:sz w:val="24"/>
        </w:rPr>
        <w:t xml:space="preserve"> been updated </w:t>
      </w:r>
      <w:r w:rsidR="00272D0D">
        <w:rPr>
          <w:bCs/>
          <w:sz w:val="24"/>
        </w:rPr>
        <w:t xml:space="preserve">using BLS.gov </w:t>
      </w:r>
      <w:r w:rsidR="00263581">
        <w:rPr>
          <w:bCs/>
          <w:sz w:val="24"/>
        </w:rPr>
        <w:t>rates, which have been incorporated into the total burden calculations in the b</w:t>
      </w:r>
      <w:r w:rsidRPr="004F29CC" w:rsidR="00FA0FD9">
        <w:rPr>
          <w:bCs/>
          <w:sz w:val="24"/>
        </w:rPr>
        <w:t>urden estimate table.</w:t>
      </w:r>
    </w:p>
    <w:p w:rsidR="00577838" w:rsidRPr="004F29CC" w:rsidP="00454C37" w14:paraId="69652776" w14:textId="77777777">
      <w:pPr>
        <w:pStyle w:val="BodyTextIndent"/>
        <w:rPr>
          <w:b/>
          <w:bCs/>
          <w:sz w:val="24"/>
        </w:rPr>
      </w:pPr>
    </w:p>
    <w:p w:rsidR="00454C37" w:rsidRPr="004F29CC" w:rsidP="00454C37" w14:paraId="68A7DBA4" w14:textId="77777777">
      <w:pPr>
        <w:pStyle w:val="BodyTextIndent"/>
        <w:numPr>
          <w:ilvl w:val="0"/>
          <w:numId w:val="4"/>
        </w:numPr>
        <w:rPr>
          <w:b/>
          <w:bCs/>
          <w:sz w:val="24"/>
        </w:rPr>
      </w:pPr>
      <w:r w:rsidRPr="004F29CC">
        <w:rPr>
          <w:b/>
          <w:bCs/>
          <w:sz w:val="24"/>
        </w:rPr>
        <w:t>For collections of information whose results are planned to be published, outline plans for tabulation and publication.</w:t>
      </w:r>
    </w:p>
    <w:p w:rsidR="00104A1C" w:rsidRPr="004F29CC" w:rsidP="00454C37" w14:paraId="0AA21380" w14:textId="77777777">
      <w:pPr>
        <w:pStyle w:val="BodyTextIndent"/>
        <w:rPr>
          <w:bCs/>
          <w:sz w:val="24"/>
        </w:rPr>
      </w:pPr>
    </w:p>
    <w:p w:rsidR="00454C37" w:rsidRPr="004F29CC" w:rsidP="00F0245E" w14:paraId="06D2BEB7" w14:textId="77777777">
      <w:pPr>
        <w:pStyle w:val="BodyTextIndent"/>
        <w:ind w:left="720"/>
        <w:rPr>
          <w:bCs/>
          <w:sz w:val="24"/>
        </w:rPr>
      </w:pPr>
      <w:r w:rsidRPr="004F29CC">
        <w:rPr>
          <w:bCs/>
          <w:sz w:val="24"/>
        </w:rPr>
        <w:t>FAS has no plans to tabulate or publish the information that is being collected.</w:t>
      </w:r>
    </w:p>
    <w:p w:rsidR="00577838" w:rsidRPr="004F29CC" w:rsidP="00454C37" w14:paraId="5DEB2235" w14:textId="77777777">
      <w:pPr>
        <w:pStyle w:val="BodyTextIndent"/>
        <w:rPr>
          <w:b/>
          <w:bCs/>
          <w:sz w:val="24"/>
        </w:rPr>
      </w:pPr>
    </w:p>
    <w:p w:rsidR="00454C37" w:rsidRPr="004F29CC" w:rsidP="00454C37" w14:paraId="208C4025" w14:textId="77777777">
      <w:pPr>
        <w:pStyle w:val="BodyTextIndent"/>
        <w:numPr>
          <w:ilvl w:val="0"/>
          <w:numId w:val="4"/>
        </w:numPr>
        <w:rPr>
          <w:b/>
          <w:bCs/>
          <w:sz w:val="24"/>
        </w:rPr>
      </w:pPr>
      <w:r w:rsidRPr="004F29CC">
        <w:rPr>
          <w:b/>
          <w:bCs/>
          <w:sz w:val="24"/>
        </w:rPr>
        <w:t>If seeking approval to not display the expiration date for OMB approval of the information collection, explain the reasons that display would be inappropriate.</w:t>
      </w:r>
    </w:p>
    <w:p w:rsidR="00104A1C" w:rsidRPr="004F29CC" w:rsidP="00454C37" w14:paraId="3F858CB4" w14:textId="77777777">
      <w:pPr>
        <w:pStyle w:val="BodyTextIndent"/>
        <w:rPr>
          <w:bCs/>
          <w:sz w:val="24"/>
        </w:rPr>
      </w:pPr>
    </w:p>
    <w:p w:rsidR="00577838" w:rsidRPr="004F29CC" w:rsidP="00B07365" w14:paraId="0173B740" w14:textId="77777777">
      <w:pPr>
        <w:pStyle w:val="BodyTextIndent"/>
        <w:ind w:left="720"/>
        <w:rPr>
          <w:bCs/>
          <w:sz w:val="24"/>
        </w:rPr>
      </w:pPr>
      <w:r w:rsidRPr="004F29CC">
        <w:rPr>
          <w:bCs/>
          <w:sz w:val="24"/>
        </w:rPr>
        <w:t>Agency is not seeking approval to not display the expiration date for OMB approval of the information collection.</w:t>
      </w:r>
    </w:p>
    <w:p w:rsidR="00C3223B" w:rsidRPr="004F29CC" w:rsidP="00B07365" w14:paraId="4F49CE44" w14:textId="77777777">
      <w:pPr>
        <w:pStyle w:val="BodyTextIndent"/>
        <w:ind w:left="720"/>
        <w:rPr>
          <w:bCs/>
          <w:sz w:val="24"/>
        </w:rPr>
      </w:pPr>
    </w:p>
    <w:p w:rsidR="00454C37" w:rsidRPr="004F29CC" w:rsidP="00454C37" w14:paraId="5D7AF380" w14:textId="77777777">
      <w:pPr>
        <w:pStyle w:val="BodyTextIndent"/>
        <w:numPr>
          <w:ilvl w:val="0"/>
          <w:numId w:val="4"/>
        </w:numPr>
        <w:rPr>
          <w:b/>
          <w:bCs/>
          <w:sz w:val="24"/>
        </w:rPr>
      </w:pPr>
      <w:r w:rsidRPr="004F29CC">
        <w:rPr>
          <w:b/>
          <w:bCs/>
          <w:sz w:val="24"/>
        </w:rPr>
        <w:t xml:space="preserve">Explain each exception to the certification statement identified in Item 19 “Certification for Paperwork Reduction Act.” </w:t>
      </w:r>
    </w:p>
    <w:p w:rsidR="00104A1C" w:rsidRPr="004F29CC" w:rsidP="00454C37" w14:paraId="50DC50E9" w14:textId="77777777">
      <w:pPr>
        <w:pStyle w:val="BodyTextIndent"/>
        <w:tabs>
          <w:tab w:val="right" w:pos="4320"/>
        </w:tabs>
        <w:ind w:left="0"/>
        <w:rPr>
          <w:sz w:val="24"/>
        </w:rPr>
      </w:pPr>
      <w:r w:rsidRPr="004F29CC">
        <w:rPr>
          <w:sz w:val="24"/>
        </w:rPr>
        <w:tab/>
      </w:r>
    </w:p>
    <w:p w:rsidR="00AD6C0B" w:rsidRPr="004F29CC" w:rsidP="00F0245E" w14:paraId="2F18EB90" w14:textId="37F4DC96">
      <w:pPr>
        <w:pStyle w:val="BodyTextIndent"/>
        <w:ind w:left="720"/>
        <w:rPr>
          <w:bCs/>
          <w:sz w:val="24"/>
        </w:rPr>
      </w:pPr>
      <w:r w:rsidRPr="004F29CC">
        <w:rPr>
          <w:bCs/>
          <w:sz w:val="24"/>
        </w:rPr>
        <w:t xml:space="preserve">FAS is able to certify compliance with all the </w:t>
      </w:r>
      <w:r w:rsidRPr="004F29CC" w:rsidR="00D92F98">
        <w:rPr>
          <w:bCs/>
          <w:sz w:val="24"/>
        </w:rPr>
        <w:t>provisions</w:t>
      </w:r>
      <w:r w:rsidRPr="004F29CC">
        <w:rPr>
          <w:bCs/>
          <w:sz w:val="24"/>
        </w:rPr>
        <w:t xml:space="preserve"> of the Act.</w:t>
      </w:r>
    </w:p>
    <w:p w:rsidR="00104A1C" w:rsidRPr="004F29CC" w:rsidP="00104A1C" w14:paraId="6A11C2E2" w14:textId="77777777">
      <w:pPr>
        <w:pStyle w:val="BodyTextIndent"/>
        <w:ind w:left="0"/>
        <w:rPr>
          <w:sz w:val="24"/>
        </w:rPr>
      </w:pPr>
    </w:p>
    <w:p w:rsidR="005D7804" w:rsidRPr="004F29CC" w:rsidP="00265F0F" w14:paraId="36B43AFC" w14:textId="2905FB25">
      <w:pPr>
        <w:pStyle w:val="BodyTextIndent"/>
        <w:ind w:left="0"/>
      </w:pPr>
    </w:p>
    <w:sectPr w:rsidSect="00716CB4">
      <w:pgSz w:w="12240" w:h="15840" w:code="1"/>
      <w:pgMar w:top="1440" w:right="1440" w:bottom="1440" w:left="180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nn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A1C" w:rsidP="00104A1C" w14:paraId="329EBA3C" w14:textId="1BEEE9E4">
    <w:pPr>
      <w:pStyle w:val="Footer"/>
    </w:pPr>
    <w:r>
      <w:t>2</w:t>
    </w:r>
    <w:r w:rsidR="003D2B1A">
      <w:t>0</w:t>
    </w:r>
    <w:r w:rsidR="005E6E4D">
      <w:t>2</w:t>
    </w:r>
    <w:r w:rsidR="00D00386">
      <w:t>5</w:t>
    </w:r>
    <w:r w:rsidR="00646D46">
      <w:t xml:space="preserve"> Agriculture Wool Apparel Manufacturers Trust Fund</w:t>
    </w:r>
    <w:r>
      <w:t xml:space="preserve"> Supporting Statement</w:t>
    </w:r>
    <w:r>
      <w:tab/>
    </w:r>
    <w:r>
      <w:tab/>
    </w:r>
    <w:r>
      <w:fldChar w:fldCharType="begin"/>
    </w:r>
    <w:r>
      <w:instrText xml:space="preserve"> PAGE   \* MERGEFORMAT </w:instrText>
    </w:r>
    <w:r>
      <w:fldChar w:fldCharType="separate"/>
    </w:r>
    <w:r w:rsidR="00897526">
      <w:rPr>
        <w:noProof/>
      </w:rPr>
      <w:t>1</w:t>
    </w:r>
    <w:r>
      <w:rPr>
        <w:noProof/>
      </w:rPr>
      <w:fldChar w:fldCharType="end"/>
    </w:r>
  </w:p>
  <w:p w:rsidR="00104A1C" w14:paraId="0E5B672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21855"/>
    <w:multiLevelType w:val="hybridMultilevel"/>
    <w:tmpl w:val="55946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5D6729F"/>
    <w:multiLevelType w:val="hybridMultilevel"/>
    <w:tmpl w:val="DDACB57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3A275F"/>
    <w:multiLevelType w:val="hybridMultilevel"/>
    <w:tmpl w:val="F7A89B4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78840EB"/>
    <w:multiLevelType w:val="hybridMultilevel"/>
    <w:tmpl w:val="89E825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9C868AB"/>
    <w:multiLevelType w:val="hybridMultilevel"/>
    <w:tmpl w:val="7D34A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23D3F1C"/>
    <w:multiLevelType w:val="hybridMultilevel"/>
    <w:tmpl w:val="D7486A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774B69"/>
    <w:multiLevelType w:val="hybridMultilevel"/>
    <w:tmpl w:val="35BA6C9A"/>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74B273C"/>
    <w:multiLevelType w:val="hybridMultilevel"/>
    <w:tmpl w:val="6BA650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52437C"/>
    <w:multiLevelType w:val="hybridMultilevel"/>
    <w:tmpl w:val="CEF62A82"/>
    <w:lvl w:ilvl="0">
      <w:start w:val="1"/>
      <w:numFmt w:val="decimal"/>
      <w:lvlText w:val="%1."/>
      <w:lvlJc w:val="left"/>
      <w:pPr>
        <w:tabs>
          <w:tab w:val="num" w:pos="360"/>
        </w:tabs>
        <w:ind w:left="288" w:hanging="288"/>
      </w:pPr>
      <w:rPr>
        <w:rFonts w:hint="default"/>
      </w:rPr>
    </w:lvl>
    <w:lvl w:ilvl="1">
      <w:start w:val="2"/>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2F51318"/>
    <w:multiLevelType w:val="hybridMultilevel"/>
    <w:tmpl w:val="6FD2514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352236"/>
    <w:multiLevelType w:val="hybridMultilevel"/>
    <w:tmpl w:val="52561CB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576139036">
    <w:abstractNumId w:val="8"/>
  </w:num>
  <w:num w:numId="2" w16cid:durableId="60182484">
    <w:abstractNumId w:val="2"/>
  </w:num>
  <w:num w:numId="3" w16cid:durableId="2078015815">
    <w:abstractNumId w:val="9"/>
  </w:num>
  <w:num w:numId="4" w16cid:durableId="728773440">
    <w:abstractNumId w:val="4"/>
  </w:num>
  <w:num w:numId="5" w16cid:durableId="778455731">
    <w:abstractNumId w:val="6"/>
  </w:num>
  <w:num w:numId="6" w16cid:durableId="1962492101">
    <w:abstractNumId w:val="10"/>
  </w:num>
  <w:num w:numId="7" w16cid:durableId="1021398845">
    <w:abstractNumId w:val="5"/>
  </w:num>
  <w:num w:numId="8" w16cid:durableId="1073745077">
    <w:abstractNumId w:val="3"/>
  </w:num>
  <w:num w:numId="9" w16cid:durableId="1066488270">
    <w:abstractNumId w:val="7"/>
  </w:num>
  <w:num w:numId="10" w16cid:durableId="1791045161">
    <w:abstractNumId w:val="1"/>
  </w:num>
  <w:num w:numId="11" w16cid:durableId="957948370">
    <w:abstractNumId w:val="3"/>
  </w:num>
  <w:num w:numId="12" w16cid:durableId="50124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3A"/>
    <w:rsid w:val="00010856"/>
    <w:rsid w:val="00031546"/>
    <w:rsid w:val="000378E4"/>
    <w:rsid w:val="000427D4"/>
    <w:rsid w:val="0007655E"/>
    <w:rsid w:val="00094BBC"/>
    <w:rsid w:val="000956AF"/>
    <w:rsid w:val="00095F48"/>
    <w:rsid w:val="000A7E05"/>
    <w:rsid w:val="000B1944"/>
    <w:rsid w:val="000C1578"/>
    <w:rsid w:val="000C2219"/>
    <w:rsid w:val="000D3279"/>
    <w:rsid w:val="000D3C6F"/>
    <w:rsid w:val="000D7E08"/>
    <w:rsid w:val="000D7FB6"/>
    <w:rsid w:val="000E1D3B"/>
    <w:rsid w:val="000E6D2F"/>
    <w:rsid w:val="000F78E9"/>
    <w:rsid w:val="001020D5"/>
    <w:rsid w:val="00104A1C"/>
    <w:rsid w:val="00117CE9"/>
    <w:rsid w:val="001227E8"/>
    <w:rsid w:val="00126DE0"/>
    <w:rsid w:val="001445BC"/>
    <w:rsid w:val="00164104"/>
    <w:rsid w:val="00182EA6"/>
    <w:rsid w:val="00186748"/>
    <w:rsid w:val="00196843"/>
    <w:rsid w:val="001A74C1"/>
    <w:rsid w:val="001C03E5"/>
    <w:rsid w:val="001C1803"/>
    <w:rsid w:val="001F10BF"/>
    <w:rsid w:val="001F5370"/>
    <w:rsid w:val="001F67DA"/>
    <w:rsid w:val="00201920"/>
    <w:rsid w:val="002045CB"/>
    <w:rsid w:val="002057F0"/>
    <w:rsid w:val="002115CD"/>
    <w:rsid w:val="00212553"/>
    <w:rsid w:val="00226AC0"/>
    <w:rsid w:val="0023276D"/>
    <w:rsid w:val="0023593E"/>
    <w:rsid w:val="002462C9"/>
    <w:rsid w:val="0025147F"/>
    <w:rsid w:val="0026326F"/>
    <w:rsid w:val="00263581"/>
    <w:rsid w:val="00265F0F"/>
    <w:rsid w:val="00272D0D"/>
    <w:rsid w:val="002766E0"/>
    <w:rsid w:val="00285A66"/>
    <w:rsid w:val="00295A56"/>
    <w:rsid w:val="002A0A8C"/>
    <w:rsid w:val="002A3CB4"/>
    <w:rsid w:val="002C512E"/>
    <w:rsid w:val="002C61D3"/>
    <w:rsid w:val="002C64EF"/>
    <w:rsid w:val="002D79DE"/>
    <w:rsid w:val="002E2566"/>
    <w:rsid w:val="003178DE"/>
    <w:rsid w:val="0032721F"/>
    <w:rsid w:val="00334EF5"/>
    <w:rsid w:val="00337F05"/>
    <w:rsid w:val="003446EF"/>
    <w:rsid w:val="0037607F"/>
    <w:rsid w:val="00377741"/>
    <w:rsid w:val="00380DF6"/>
    <w:rsid w:val="00395898"/>
    <w:rsid w:val="003B007C"/>
    <w:rsid w:val="003C0312"/>
    <w:rsid w:val="003C2A34"/>
    <w:rsid w:val="003C4BF1"/>
    <w:rsid w:val="003D2B1A"/>
    <w:rsid w:val="003E3CFD"/>
    <w:rsid w:val="003E5B1D"/>
    <w:rsid w:val="003F3B20"/>
    <w:rsid w:val="0041037E"/>
    <w:rsid w:val="0042016D"/>
    <w:rsid w:val="00454C37"/>
    <w:rsid w:val="00462030"/>
    <w:rsid w:val="00466E2B"/>
    <w:rsid w:val="00471A05"/>
    <w:rsid w:val="00476B3E"/>
    <w:rsid w:val="004850BA"/>
    <w:rsid w:val="004957D8"/>
    <w:rsid w:val="004B642F"/>
    <w:rsid w:val="004F29CC"/>
    <w:rsid w:val="00512649"/>
    <w:rsid w:val="00523D2C"/>
    <w:rsid w:val="005261AD"/>
    <w:rsid w:val="00534C22"/>
    <w:rsid w:val="00535D63"/>
    <w:rsid w:val="0054734F"/>
    <w:rsid w:val="00573E9B"/>
    <w:rsid w:val="00577838"/>
    <w:rsid w:val="00581420"/>
    <w:rsid w:val="00584BBC"/>
    <w:rsid w:val="005907B0"/>
    <w:rsid w:val="005962E7"/>
    <w:rsid w:val="00597E61"/>
    <w:rsid w:val="005A3431"/>
    <w:rsid w:val="005B6F1D"/>
    <w:rsid w:val="005C4293"/>
    <w:rsid w:val="005D136A"/>
    <w:rsid w:val="005D7804"/>
    <w:rsid w:val="005E6E4D"/>
    <w:rsid w:val="00600623"/>
    <w:rsid w:val="0061637C"/>
    <w:rsid w:val="00624650"/>
    <w:rsid w:val="0062567E"/>
    <w:rsid w:val="00646422"/>
    <w:rsid w:val="00646D46"/>
    <w:rsid w:val="0067309F"/>
    <w:rsid w:val="0067645B"/>
    <w:rsid w:val="006A065C"/>
    <w:rsid w:val="006B1F40"/>
    <w:rsid w:val="006B3FE3"/>
    <w:rsid w:val="006C0DD8"/>
    <w:rsid w:val="006C0E7A"/>
    <w:rsid w:val="006D4DA2"/>
    <w:rsid w:val="006F1978"/>
    <w:rsid w:val="00716CB4"/>
    <w:rsid w:val="0072417B"/>
    <w:rsid w:val="00725A11"/>
    <w:rsid w:val="00732090"/>
    <w:rsid w:val="007627C1"/>
    <w:rsid w:val="00772D53"/>
    <w:rsid w:val="007B5B36"/>
    <w:rsid w:val="007C7240"/>
    <w:rsid w:val="007D041E"/>
    <w:rsid w:val="007D3183"/>
    <w:rsid w:val="007E0905"/>
    <w:rsid w:val="007F3475"/>
    <w:rsid w:val="007F3E07"/>
    <w:rsid w:val="00801071"/>
    <w:rsid w:val="00807048"/>
    <w:rsid w:val="00814879"/>
    <w:rsid w:val="00814C39"/>
    <w:rsid w:val="00827997"/>
    <w:rsid w:val="00831E86"/>
    <w:rsid w:val="00831F0E"/>
    <w:rsid w:val="00832509"/>
    <w:rsid w:val="00834E0D"/>
    <w:rsid w:val="0084188A"/>
    <w:rsid w:val="0085097A"/>
    <w:rsid w:val="00851AC7"/>
    <w:rsid w:val="00863CE9"/>
    <w:rsid w:val="00872E1C"/>
    <w:rsid w:val="0087781B"/>
    <w:rsid w:val="00877837"/>
    <w:rsid w:val="008868AD"/>
    <w:rsid w:val="0089567B"/>
    <w:rsid w:val="00896064"/>
    <w:rsid w:val="00897526"/>
    <w:rsid w:val="008A5A16"/>
    <w:rsid w:val="008B2153"/>
    <w:rsid w:val="008D3C2C"/>
    <w:rsid w:val="008F00DD"/>
    <w:rsid w:val="008F5DF8"/>
    <w:rsid w:val="00900008"/>
    <w:rsid w:val="00913D13"/>
    <w:rsid w:val="009157FC"/>
    <w:rsid w:val="00915AA2"/>
    <w:rsid w:val="00916F61"/>
    <w:rsid w:val="00916F91"/>
    <w:rsid w:val="009210AC"/>
    <w:rsid w:val="00954085"/>
    <w:rsid w:val="00956E52"/>
    <w:rsid w:val="00962984"/>
    <w:rsid w:val="00993B3A"/>
    <w:rsid w:val="009A5144"/>
    <w:rsid w:val="009B3D5D"/>
    <w:rsid w:val="009C4DF1"/>
    <w:rsid w:val="009E2EBC"/>
    <w:rsid w:val="009F0822"/>
    <w:rsid w:val="009F6CB9"/>
    <w:rsid w:val="00A10972"/>
    <w:rsid w:val="00A10E1C"/>
    <w:rsid w:val="00A133B5"/>
    <w:rsid w:val="00A447B3"/>
    <w:rsid w:val="00A462EF"/>
    <w:rsid w:val="00A512E7"/>
    <w:rsid w:val="00A529E6"/>
    <w:rsid w:val="00A55473"/>
    <w:rsid w:val="00A55AB2"/>
    <w:rsid w:val="00A6538E"/>
    <w:rsid w:val="00A73591"/>
    <w:rsid w:val="00A800A3"/>
    <w:rsid w:val="00A8434A"/>
    <w:rsid w:val="00A85F8D"/>
    <w:rsid w:val="00A976CF"/>
    <w:rsid w:val="00AA79E8"/>
    <w:rsid w:val="00AB0D78"/>
    <w:rsid w:val="00AB54BB"/>
    <w:rsid w:val="00AD6C0B"/>
    <w:rsid w:val="00AE02A7"/>
    <w:rsid w:val="00AE036F"/>
    <w:rsid w:val="00AF2D11"/>
    <w:rsid w:val="00B01AA2"/>
    <w:rsid w:val="00B05549"/>
    <w:rsid w:val="00B07365"/>
    <w:rsid w:val="00B23F39"/>
    <w:rsid w:val="00B50263"/>
    <w:rsid w:val="00B50EDC"/>
    <w:rsid w:val="00B5257B"/>
    <w:rsid w:val="00B768FC"/>
    <w:rsid w:val="00B817CF"/>
    <w:rsid w:val="00B92020"/>
    <w:rsid w:val="00B94383"/>
    <w:rsid w:val="00B94598"/>
    <w:rsid w:val="00BA0C5A"/>
    <w:rsid w:val="00BA33AB"/>
    <w:rsid w:val="00BB6C4A"/>
    <w:rsid w:val="00BD652B"/>
    <w:rsid w:val="00BD7913"/>
    <w:rsid w:val="00BF0F8D"/>
    <w:rsid w:val="00BF43ED"/>
    <w:rsid w:val="00BF574A"/>
    <w:rsid w:val="00C011F6"/>
    <w:rsid w:val="00C02A4D"/>
    <w:rsid w:val="00C117E7"/>
    <w:rsid w:val="00C13D26"/>
    <w:rsid w:val="00C23623"/>
    <w:rsid w:val="00C3223B"/>
    <w:rsid w:val="00C40B99"/>
    <w:rsid w:val="00C42DAF"/>
    <w:rsid w:val="00C45963"/>
    <w:rsid w:val="00C53205"/>
    <w:rsid w:val="00C700EC"/>
    <w:rsid w:val="00C70AA1"/>
    <w:rsid w:val="00C73388"/>
    <w:rsid w:val="00CA1442"/>
    <w:rsid w:val="00CB7931"/>
    <w:rsid w:val="00CC04E9"/>
    <w:rsid w:val="00CE4E2C"/>
    <w:rsid w:val="00CE50F1"/>
    <w:rsid w:val="00CE7C86"/>
    <w:rsid w:val="00D00386"/>
    <w:rsid w:val="00D12204"/>
    <w:rsid w:val="00D228DA"/>
    <w:rsid w:val="00D236DA"/>
    <w:rsid w:val="00D356BC"/>
    <w:rsid w:val="00D363A3"/>
    <w:rsid w:val="00D5031C"/>
    <w:rsid w:val="00D50738"/>
    <w:rsid w:val="00D71E76"/>
    <w:rsid w:val="00D7328F"/>
    <w:rsid w:val="00D753FC"/>
    <w:rsid w:val="00D7609A"/>
    <w:rsid w:val="00D9062B"/>
    <w:rsid w:val="00D92F98"/>
    <w:rsid w:val="00DA2154"/>
    <w:rsid w:val="00DA7755"/>
    <w:rsid w:val="00DB5098"/>
    <w:rsid w:val="00DC59B5"/>
    <w:rsid w:val="00DD01AF"/>
    <w:rsid w:val="00DE5A39"/>
    <w:rsid w:val="00DF7248"/>
    <w:rsid w:val="00E12EBD"/>
    <w:rsid w:val="00E130F8"/>
    <w:rsid w:val="00E2383A"/>
    <w:rsid w:val="00E46E1B"/>
    <w:rsid w:val="00E62FFA"/>
    <w:rsid w:val="00E64169"/>
    <w:rsid w:val="00E643FD"/>
    <w:rsid w:val="00E71058"/>
    <w:rsid w:val="00E75BAA"/>
    <w:rsid w:val="00EC00F9"/>
    <w:rsid w:val="00ED248A"/>
    <w:rsid w:val="00F0245E"/>
    <w:rsid w:val="00F0269D"/>
    <w:rsid w:val="00F21F9F"/>
    <w:rsid w:val="00F51312"/>
    <w:rsid w:val="00F55E66"/>
    <w:rsid w:val="00F62DDF"/>
    <w:rsid w:val="00F6674A"/>
    <w:rsid w:val="00F72614"/>
    <w:rsid w:val="00F748F8"/>
    <w:rsid w:val="00F83496"/>
    <w:rsid w:val="00F90DD3"/>
    <w:rsid w:val="00FA0FD9"/>
    <w:rsid w:val="00FD32A6"/>
    <w:rsid w:val="00FE3BEC"/>
    <w:rsid w:val="00FE5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9A5E99"/>
  <w15:chartTrackingRefBased/>
  <w15:docId w15:val="{AE8A37AD-ACC4-46D5-98BC-603E4204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D6C0B"/>
    <w:pPr>
      <w:keepNext/>
      <w:jc w:val="center"/>
      <w:outlineLvl w:val="0"/>
    </w:pPr>
    <w:rPr>
      <w:b/>
      <w:bCs/>
      <w:u w:val="single"/>
    </w:rPr>
  </w:style>
  <w:style w:type="paragraph" w:styleId="Heading2">
    <w:name w:val="heading 2"/>
    <w:basedOn w:val="Normal"/>
    <w:next w:val="Normal"/>
    <w:qFormat/>
    <w:rsid w:val="00AD6C0B"/>
    <w:pPr>
      <w:keepNext/>
      <w:jc w:val="center"/>
      <w:outlineLvl w:val="1"/>
    </w:pPr>
    <w:rPr>
      <w:b/>
      <w:bCs/>
    </w:rPr>
  </w:style>
  <w:style w:type="paragraph" w:styleId="Heading3">
    <w:name w:val="heading 3"/>
    <w:basedOn w:val="Normal"/>
    <w:next w:val="Normal"/>
    <w:qFormat/>
    <w:rsid w:val="00AD6C0B"/>
    <w:pPr>
      <w:keepNext/>
      <w:ind w:right="-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6C0B"/>
    <w:pPr>
      <w:tabs>
        <w:tab w:val="left" w:pos="360"/>
      </w:tabs>
      <w:ind w:left="360"/>
    </w:pPr>
    <w:rPr>
      <w:sz w:val="18"/>
    </w:rPr>
  </w:style>
  <w:style w:type="paragraph" w:styleId="BodyTextIndent2">
    <w:name w:val="Body Text Indent 2"/>
    <w:basedOn w:val="Normal"/>
    <w:rsid w:val="00AD6C0B"/>
    <w:pPr>
      <w:ind w:left="3600" w:firstLine="720"/>
    </w:pPr>
    <w:rPr>
      <w:rFonts w:ascii="CG Times" w:hAnsi="CG Times" w:cs="Courier New"/>
      <w:b/>
      <w:bCs/>
      <w:sz w:val="18"/>
    </w:rPr>
  </w:style>
  <w:style w:type="paragraph" w:styleId="HTMLPreformatted">
    <w:name w:val="HTML Preformatted"/>
    <w:basedOn w:val="Normal"/>
    <w:rsid w:val="0080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1F67DA"/>
    <w:rPr>
      <w:rFonts w:ascii="Tahoma" w:hAnsi="Tahoma" w:cs="Tahoma"/>
      <w:sz w:val="16"/>
      <w:szCs w:val="16"/>
    </w:rPr>
  </w:style>
  <w:style w:type="character" w:styleId="CommentReference">
    <w:name w:val="annotation reference"/>
    <w:rsid w:val="002E2566"/>
    <w:rPr>
      <w:sz w:val="16"/>
      <w:szCs w:val="16"/>
    </w:rPr>
  </w:style>
  <w:style w:type="paragraph" w:styleId="CommentText">
    <w:name w:val="annotation text"/>
    <w:basedOn w:val="Normal"/>
    <w:link w:val="CommentTextChar"/>
    <w:rsid w:val="002E2566"/>
    <w:rPr>
      <w:sz w:val="20"/>
      <w:szCs w:val="20"/>
    </w:rPr>
  </w:style>
  <w:style w:type="character" w:customStyle="1" w:styleId="CommentTextChar">
    <w:name w:val="Comment Text Char"/>
    <w:basedOn w:val="DefaultParagraphFont"/>
    <w:link w:val="CommentText"/>
    <w:rsid w:val="002E2566"/>
  </w:style>
  <w:style w:type="paragraph" w:styleId="CommentSubject">
    <w:name w:val="annotation subject"/>
    <w:basedOn w:val="CommentText"/>
    <w:next w:val="CommentText"/>
    <w:link w:val="CommentSubjectChar"/>
    <w:rsid w:val="002E2566"/>
    <w:rPr>
      <w:b/>
      <w:bCs/>
    </w:rPr>
  </w:style>
  <w:style w:type="character" w:customStyle="1" w:styleId="CommentSubjectChar">
    <w:name w:val="Comment Subject Char"/>
    <w:link w:val="CommentSubject"/>
    <w:rsid w:val="002E2566"/>
    <w:rPr>
      <w:b/>
      <w:bCs/>
    </w:rPr>
  </w:style>
  <w:style w:type="paragraph" w:styleId="ListParagraph">
    <w:name w:val="List Paragraph"/>
    <w:basedOn w:val="Normal"/>
    <w:uiPriority w:val="34"/>
    <w:qFormat/>
    <w:rsid w:val="00164104"/>
    <w:pPr>
      <w:ind w:left="720"/>
    </w:pPr>
  </w:style>
  <w:style w:type="paragraph" w:styleId="Header">
    <w:name w:val="header"/>
    <w:basedOn w:val="Normal"/>
    <w:link w:val="HeaderChar"/>
    <w:rsid w:val="00104A1C"/>
    <w:pPr>
      <w:tabs>
        <w:tab w:val="center" w:pos="4680"/>
        <w:tab w:val="right" w:pos="9360"/>
      </w:tabs>
    </w:pPr>
  </w:style>
  <w:style w:type="character" w:customStyle="1" w:styleId="HeaderChar">
    <w:name w:val="Header Char"/>
    <w:link w:val="Header"/>
    <w:rsid w:val="00104A1C"/>
    <w:rPr>
      <w:sz w:val="24"/>
      <w:szCs w:val="24"/>
    </w:rPr>
  </w:style>
  <w:style w:type="paragraph" w:styleId="Footer">
    <w:name w:val="footer"/>
    <w:basedOn w:val="Normal"/>
    <w:link w:val="FooterChar"/>
    <w:uiPriority w:val="99"/>
    <w:rsid w:val="00104A1C"/>
    <w:pPr>
      <w:tabs>
        <w:tab w:val="center" w:pos="4680"/>
        <w:tab w:val="right" w:pos="9360"/>
      </w:tabs>
    </w:pPr>
  </w:style>
  <w:style w:type="character" w:customStyle="1" w:styleId="FooterChar">
    <w:name w:val="Footer Char"/>
    <w:link w:val="Footer"/>
    <w:uiPriority w:val="99"/>
    <w:rsid w:val="00104A1C"/>
    <w:rPr>
      <w:sz w:val="24"/>
      <w:szCs w:val="24"/>
    </w:rPr>
  </w:style>
  <w:style w:type="paragraph" w:styleId="Revision">
    <w:name w:val="Revision"/>
    <w:hidden/>
    <w:uiPriority w:val="99"/>
    <w:semiHidden/>
    <w:rsid w:val="007D041E"/>
    <w:rPr>
      <w:sz w:val="24"/>
      <w:szCs w:val="24"/>
    </w:rPr>
  </w:style>
  <w:style w:type="character" w:styleId="Hyperlink">
    <w:name w:val="Hyperlink"/>
    <w:uiPriority w:val="99"/>
    <w:unhideWhenUsed/>
    <w:rsid w:val="00E46E1B"/>
    <w:rPr>
      <w:color w:val="0563C1"/>
      <w:u w:val="single"/>
    </w:rPr>
  </w:style>
  <w:style w:type="character" w:styleId="UnresolvedMention">
    <w:name w:val="Unresolved Mention"/>
    <w:basedOn w:val="DefaultParagraphFont"/>
    <w:uiPriority w:val="99"/>
    <w:semiHidden/>
    <w:unhideWhenUsed/>
    <w:rsid w:val="00716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beatty@ncto.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EWilcox@wms-jen.com" TargetMode="External" /><Relationship Id="rId9" Type="http://schemas.openxmlformats.org/officeDocument/2006/relationships/hyperlink" Target="mailto:david@agathonassoci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A26568623A54F8E4C7A53B0079DD4" ma:contentTypeVersion="21" ma:contentTypeDescription="Create a new document." ma:contentTypeScope="" ma:versionID="4627572871d95dd4f19174ed40043997">
  <xsd:schema xmlns:xsd="http://www.w3.org/2001/XMLSchema" xmlns:xs="http://www.w3.org/2001/XMLSchema" xmlns:p="http://schemas.microsoft.com/office/2006/metadata/properties" xmlns:ns1="http://schemas.microsoft.com/sharepoint/v3" xmlns:ns2="a06280d1-1693-4880-bece-258a51d9801f" xmlns:ns3="73fb875a-8af9-4255-b008-0995492d31cd" xmlns:ns4="5d3e3dcc-97b5-463b-88db-23f4b0104a63" targetNamespace="http://schemas.microsoft.com/office/2006/metadata/properties" ma:root="true" ma:fieldsID="29ad2d4750d9206d3243d172b8bbcc65" ns1:_="" ns2:_="" ns3:_="" ns4:_="">
    <xsd:import namespace="http://schemas.microsoft.com/sharepoint/v3"/>
    <xsd:import namespace="a06280d1-1693-4880-bece-258a51d9801f"/>
    <xsd:import namespace="73fb875a-8af9-4255-b008-0995492d31cd"/>
    <xsd:import namespace="5d3e3dcc-97b5-463b-88db-23f4b0104a6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280d1-1693-4880-bece-258a51d980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06280d1-1693-4880-bece-258a51d9801f">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BAA27FEF-F458-4575-8AE2-46B194E76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280d1-1693-4880-bece-258a51d9801f"/>
    <ds:schemaRef ds:uri="73fb875a-8af9-4255-b008-0995492d31cd"/>
    <ds:schemaRef ds:uri="5d3e3dcc-97b5-463b-88db-23f4b010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69514-9324-49B9-B060-5CF74599675D}">
  <ds:schemaRefs>
    <ds:schemaRef ds:uri="http://schemas.openxmlformats.org/officeDocument/2006/bibliography"/>
  </ds:schemaRefs>
</ds:datastoreItem>
</file>

<file path=customXml/itemProps3.xml><?xml version="1.0" encoding="utf-8"?>
<ds:datastoreItem xmlns:ds="http://schemas.openxmlformats.org/officeDocument/2006/customXml" ds:itemID="{AD273BD4-E8BA-4723-AAF1-925E06B69402}">
  <ds:schemaRefs>
    <ds:schemaRef ds:uri="http://schemas.microsoft.com/sharepoint/v3/contenttype/forms"/>
  </ds:schemaRefs>
</ds:datastoreItem>
</file>

<file path=customXml/itemProps4.xml><?xml version="1.0" encoding="utf-8"?>
<ds:datastoreItem xmlns:ds="http://schemas.openxmlformats.org/officeDocument/2006/customXml" ds:itemID="{8506337E-9334-4BA8-86BC-83286B1C3C68}">
  <ds:schemaRefs>
    <ds:schemaRef ds:uri="http://schemas.microsoft.com/office/2006/metadata/properties"/>
    <ds:schemaRef ds:uri="http://schemas.microsoft.com/office/infopath/2007/PartnerControls"/>
    <ds:schemaRef ds:uri="http://schemas.microsoft.com/sharepoint/v3"/>
    <ds:schemaRef ds:uri="a06280d1-1693-4880-bece-258a51d9801f"/>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42</TotalTime>
  <Pages>8</Pages>
  <Words>2315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Paperwork Reduction Act Submission OMB #0551-0007</vt:lpstr>
    </vt:vector>
  </TitlesOfParts>
  <Company>USDA</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 OMB #0551-0007</dc:title>
  <dc:creator>burrp</dc:creator>
  <cp:lastModifiedBy>Alt, Curt - FAS, Washington, DC</cp:lastModifiedBy>
  <cp:revision>5</cp:revision>
  <cp:lastPrinted>2010-10-20T14:39:00Z</cp:lastPrinted>
  <dcterms:created xsi:type="dcterms:W3CDTF">2025-06-27T15:11:00Z</dcterms:created>
  <dcterms:modified xsi:type="dcterms:W3CDTF">2025-07-15T15:27:00Z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0x010100827A26568623A54F8E4C7A53B0079DD4</vt:lpwstr>
  </property>
  <property fmtid="{D5CDD505-2E9C-101B-9397-08002B2CF9AE}" pid="3" name="MediaServiceImageTags">
    <vt:lpwstr/>
  </property>
  <property fmtid="{D5CDD505-2E9C-101B-9397-08002B2CF9AE}" pid="4" name="Order">
    <vt:r8>47814400</vt:r8>
  </property>
</Properties>
</file>