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2308" w:rsidRPr="000A728B" w:rsidP="007F4A00" w14:paraId="3319FD30" w14:textId="77777777">
      <w:pPr>
        <w:spacing w:line="240" w:lineRule="auto"/>
        <w:jc w:val="center"/>
        <w:rPr>
          <w:rFonts w:ascii="Times New Roman" w:hAnsi="Times New Roman" w:cs="Times New Roman"/>
          <w:b/>
        </w:rPr>
      </w:pPr>
      <w:r w:rsidRPr="000A728B">
        <w:rPr>
          <w:rFonts w:ascii="Times New Roman" w:hAnsi="Times New Roman" w:cs="Times New Roman"/>
          <w:b/>
        </w:rPr>
        <w:t>Almond Board of California</w:t>
      </w:r>
      <w:r w:rsidRPr="000A728B">
        <w:rPr>
          <w:rFonts w:ascii="Times New Roman" w:hAnsi="Times New Roman" w:cs="Times New Roman"/>
          <w:b/>
        </w:rPr>
        <w:br/>
        <w:t>Criteria for Approval of Process Authorities</w:t>
      </w:r>
    </w:p>
    <w:p w:rsidR="007F4A00" w:rsidRPr="007F4A00" w:rsidP="007F4A00" w14:paraId="0712D616" w14:textId="77777777">
      <w:pPr>
        <w:spacing w:line="240" w:lineRule="auto"/>
        <w:rPr>
          <w:rFonts w:ascii="Times New Roman" w:hAnsi="Times New Roman" w:cs="Times New Roman"/>
          <w:bCs/>
          <w:sz w:val="19"/>
          <w:szCs w:val="19"/>
        </w:rPr>
      </w:pPr>
      <w:r w:rsidRPr="007F4A00">
        <w:rPr>
          <w:rFonts w:ascii="Times New Roman" w:hAnsi="Times New Roman" w:cs="Times New Roman"/>
          <w:b/>
          <w:bCs/>
          <w:smallCaps/>
          <w:color w:val="000000"/>
          <w:sz w:val="19"/>
          <w:szCs w:val="19"/>
        </w:rPr>
        <w:t xml:space="preserve">Scope:  </w:t>
      </w:r>
      <w:r w:rsidRPr="007F4A00">
        <w:rPr>
          <w:rFonts w:ascii="Times New Roman" w:hAnsi="Times New Roman" w:cs="Times New Roman"/>
          <w:bCs/>
          <w:sz w:val="19"/>
          <w:szCs w:val="19"/>
        </w:rPr>
        <w:t xml:space="preserve">Pursuant to § 981.42 of the almond marketing order – 7 CFR Part 981, and as specified in § 981.442(b) of the </w:t>
      </w:r>
      <w:r w:rsidR="00D77F65">
        <w:rPr>
          <w:rFonts w:ascii="Times New Roman" w:hAnsi="Times New Roman" w:cs="Times New Roman"/>
          <w:bCs/>
          <w:sz w:val="19"/>
          <w:szCs w:val="19"/>
        </w:rPr>
        <w:t xml:space="preserve">marketing </w:t>
      </w:r>
      <w:r w:rsidRPr="007F4A00">
        <w:rPr>
          <w:rFonts w:ascii="Times New Roman" w:hAnsi="Times New Roman" w:cs="Times New Roman"/>
          <w:bCs/>
          <w:sz w:val="19"/>
          <w:szCs w:val="19"/>
        </w:rPr>
        <w:t xml:space="preserve">order’s regulations, handlers must subject their almonds to a treatment process or processes that have been determined to achieve in total a minimum 4-log reduction of </w:t>
      </w:r>
      <w:r w:rsidRPr="007F4A00">
        <w:rPr>
          <w:rFonts w:ascii="Times New Roman" w:hAnsi="Times New Roman" w:cs="Times New Roman"/>
          <w:bCs/>
          <w:i/>
          <w:sz w:val="19"/>
          <w:szCs w:val="19"/>
        </w:rPr>
        <w:t>Salmonella bacteria</w:t>
      </w:r>
      <w:r w:rsidRPr="007F4A00">
        <w:rPr>
          <w:rFonts w:ascii="Times New Roman" w:hAnsi="Times New Roman" w:cs="Times New Roman"/>
          <w:bCs/>
          <w:sz w:val="19"/>
          <w:szCs w:val="19"/>
        </w:rPr>
        <w:t>.  Handlers may treat the almonds themselves prior to shipment, transport the almonds to a facility within California for treatment, ship untreated almonds to an approved manufacturer (DV User) within the U</w:t>
      </w:r>
      <w:r w:rsidR="00D77F65">
        <w:rPr>
          <w:rFonts w:ascii="Times New Roman" w:hAnsi="Times New Roman" w:cs="Times New Roman"/>
          <w:bCs/>
          <w:sz w:val="19"/>
          <w:szCs w:val="19"/>
        </w:rPr>
        <w:t>nited States</w:t>
      </w:r>
      <w:r w:rsidRPr="007F4A00">
        <w:rPr>
          <w:rFonts w:ascii="Times New Roman" w:hAnsi="Times New Roman" w:cs="Times New Roman"/>
          <w:bCs/>
          <w:sz w:val="19"/>
          <w:szCs w:val="19"/>
        </w:rPr>
        <w:t>, Canada, or Mexico, or ship untreated almonds labeled as “unpasteurized” outside of the United States, Canada, and Mexico.  All treatment processes must be validated by a process authority approved by the Almond Board of California (Board or ABC</w:t>
      </w:r>
      <w:r w:rsidRPr="000A728B">
        <w:rPr>
          <w:rFonts w:ascii="Times New Roman" w:hAnsi="Times New Roman" w:cs="Times New Roman"/>
          <w:bCs/>
          <w:sz w:val="19"/>
          <w:szCs w:val="19"/>
        </w:rPr>
        <w:t xml:space="preserve">). </w:t>
      </w:r>
      <w:r>
        <w:rPr>
          <w:rStyle w:val="FootnoteReference"/>
          <w:rFonts w:ascii="Times New Roman" w:hAnsi="Times New Roman" w:cs="Times New Roman"/>
          <w:bCs/>
          <w:sz w:val="19"/>
          <w:szCs w:val="19"/>
        </w:rPr>
        <w:footnoteReference w:id="2"/>
      </w:r>
      <w:r w:rsidRPr="000A728B">
        <w:rPr>
          <w:rFonts w:ascii="Times New Roman" w:hAnsi="Times New Roman" w:cs="Times New Roman"/>
          <w:bCs/>
          <w:sz w:val="19"/>
          <w:szCs w:val="19"/>
        </w:rPr>
        <w:t xml:space="preserve"> T</w:t>
      </w:r>
      <w:r w:rsidRPr="007F4A00">
        <w:rPr>
          <w:rFonts w:ascii="Times New Roman" w:hAnsi="Times New Roman" w:cs="Times New Roman"/>
          <w:bCs/>
          <w:sz w:val="19"/>
          <w:szCs w:val="19"/>
        </w:rPr>
        <w:t xml:space="preserve">he Board administers the </w:t>
      </w:r>
      <w:r w:rsidR="00D77F65">
        <w:rPr>
          <w:rFonts w:ascii="Times New Roman" w:hAnsi="Times New Roman" w:cs="Times New Roman"/>
          <w:bCs/>
          <w:sz w:val="19"/>
          <w:szCs w:val="19"/>
        </w:rPr>
        <w:t xml:space="preserve">marketing </w:t>
      </w:r>
      <w:r w:rsidRPr="007F4A00">
        <w:rPr>
          <w:rFonts w:ascii="Times New Roman" w:hAnsi="Times New Roman" w:cs="Times New Roman"/>
          <w:bCs/>
          <w:sz w:val="19"/>
          <w:szCs w:val="19"/>
        </w:rPr>
        <w:t>order locally, with oversight by the U.S. Department of Agriculture (USDA).</w:t>
      </w:r>
    </w:p>
    <w:p w:rsidR="007F4A00" w:rsidRPr="007F4A00" w:rsidP="007F4A00" w14:paraId="78ABAD94"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b/>
          <w:bCs/>
          <w:smallCaps/>
          <w:color w:val="000000"/>
          <w:sz w:val="19"/>
          <w:szCs w:val="19"/>
        </w:rPr>
        <w:t xml:space="preserve">Process Authorities:  </w:t>
      </w:r>
      <w:r w:rsidRPr="007F4A00">
        <w:rPr>
          <w:rFonts w:ascii="Times New Roman" w:hAnsi="Times New Roman" w:cs="Times New Roman"/>
          <w:color w:val="000000"/>
          <w:sz w:val="19"/>
          <w:szCs w:val="19"/>
        </w:rPr>
        <w:t xml:space="preserve">A process authority is a person </w:t>
      </w:r>
      <w:r w:rsidR="00D77F65">
        <w:rPr>
          <w:rFonts w:ascii="Times New Roman" w:hAnsi="Times New Roman" w:cs="Times New Roman"/>
          <w:color w:val="000000"/>
          <w:sz w:val="19"/>
          <w:szCs w:val="19"/>
        </w:rPr>
        <w:t>who</w:t>
      </w:r>
      <w:r w:rsidRPr="007F4A00">
        <w:rPr>
          <w:rFonts w:ascii="Times New Roman" w:hAnsi="Times New Roman" w:cs="Times New Roman"/>
          <w:color w:val="000000"/>
          <w:sz w:val="19"/>
          <w:szCs w:val="19"/>
        </w:rPr>
        <w:t xml:space="preserve"> has expert knowledge of pasteurization processes or other treatment requirements for the safety of foods.  The expert knowledge can be obtained from education or experience or both.  Anyone who is establishing treatments must use adequate facilities for making the determinations.  Anyone who is evaluating treatment deviations must utilize procedures recognized by competent process authorities as being able to detect any potential hazard to public health.</w:t>
      </w:r>
    </w:p>
    <w:p w:rsidR="007F4A00" w:rsidRPr="007F4A00" w:rsidP="007F4A00" w14:paraId="6D2F11AE"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To establish treatment requirements the process authority shall have:</w:t>
      </w:r>
    </w:p>
    <w:p w:rsidR="007F4A00" w:rsidRPr="007F4A00" w:rsidP="007F4A00" w14:paraId="41C6376C" w14:textId="77777777">
      <w:pPr>
        <w:numPr>
          <w:ilvl w:val="0"/>
          <w:numId w:val="1"/>
        </w:numPr>
        <w:tabs>
          <w:tab w:val="num" w:pos="720"/>
          <w:tab w:val="clear" w:pos="1080"/>
        </w:tabs>
        <w:spacing w:after="0" w:line="240" w:lineRule="auto"/>
        <w:ind w:left="720" w:hanging="360"/>
        <w:rPr>
          <w:rFonts w:ascii="Times New Roman" w:hAnsi="Times New Roman" w:cs="Times New Roman"/>
          <w:color w:val="000000"/>
          <w:sz w:val="19"/>
          <w:szCs w:val="19"/>
        </w:rPr>
      </w:pPr>
      <w:r w:rsidRPr="007F4A00">
        <w:rPr>
          <w:rFonts w:ascii="Times New Roman" w:hAnsi="Times New Roman" w:cs="Times New Roman"/>
          <w:color w:val="000000"/>
          <w:sz w:val="19"/>
          <w:szCs w:val="19"/>
        </w:rPr>
        <w:t>knowledge about the product characteristics and the equipment used for the treatment process;</w:t>
      </w:r>
    </w:p>
    <w:p w:rsidR="007F4A00" w:rsidRPr="007F4A00" w:rsidP="007F4A00" w14:paraId="6C4903C5" w14:textId="77777777">
      <w:pPr>
        <w:numPr>
          <w:ilvl w:val="0"/>
          <w:numId w:val="1"/>
        </w:numPr>
        <w:tabs>
          <w:tab w:val="num" w:pos="720"/>
          <w:tab w:val="clear" w:pos="1080"/>
        </w:tabs>
        <w:spacing w:after="0" w:line="240" w:lineRule="auto"/>
        <w:ind w:left="720" w:hanging="360"/>
        <w:rPr>
          <w:rFonts w:ascii="Times New Roman" w:hAnsi="Times New Roman" w:cs="Times New Roman"/>
          <w:color w:val="000000"/>
          <w:sz w:val="19"/>
          <w:szCs w:val="19"/>
        </w:rPr>
      </w:pPr>
      <w:r w:rsidRPr="007F4A00">
        <w:rPr>
          <w:rFonts w:ascii="Times New Roman" w:hAnsi="Times New Roman" w:cs="Times New Roman"/>
          <w:color w:val="000000"/>
          <w:sz w:val="19"/>
          <w:szCs w:val="19"/>
        </w:rPr>
        <w:t>experience in conducting appropriate studies to determine the ability of the equipment to deliver the appropriate treatment (such as heat penetration or heat distribution studies) and the determination of the lethality value needed to attain public health safety (such as microbiological challenge studies);</w:t>
      </w:r>
    </w:p>
    <w:p w:rsidR="007F4A00" w:rsidRPr="007F4A00" w:rsidP="007F4A00" w14:paraId="48229F17" w14:textId="77777777">
      <w:pPr>
        <w:numPr>
          <w:ilvl w:val="0"/>
          <w:numId w:val="1"/>
        </w:numPr>
        <w:tabs>
          <w:tab w:val="num" w:pos="720"/>
          <w:tab w:val="clear" w:pos="1080"/>
        </w:tabs>
        <w:spacing w:after="0" w:line="240" w:lineRule="auto"/>
        <w:ind w:left="720" w:hanging="360"/>
        <w:rPr>
          <w:rFonts w:ascii="Times New Roman" w:hAnsi="Times New Roman" w:cs="Times New Roman"/>
          <w:color w:val="000000"/>
          <w:sz w:val="19"/>
          <w:szCs w:val="19"/>
        </w:rPr>
      </w:pPr>
      <w:r w:rsidRPr="007F4A00">
        <w:rPr>
          <w:rFonts w:ascii="Times New Roman" w:hAnsi="Times New Roman" w:cs="Times New Roman"/>
          <w:color w:val="000000"/>
          <w:sz w:val="19"/>
          <w:szCs w:val="19"/>
        </w:rPr>
        <w:t xml:space="preserve">ability to determine by evaluation of the acquired data that </w:t>
      </w:r>
      <w:r w:rsidRPr="007F4A00" w:rsidR="00D77F65">
        <w:rPr>
          <w:rFonts w:ascii="Times New Roman" w:hAnsi="Times New Roman" w:cs="Times New Roman"/>
          <w:color w:val="000000"/>
          <w:sz w:val="19"/>
          <w:szCs w:val="19"/>
        </w:rPr>
        <w:t>enough</w:t>
      </w:r>
      <w:r w:rsidRPr="007F4A00">
        <w:rPr>
          <w:rFonts w:ascii="Times New Roman" w:hAnsi="Times New Roman" w:cs="Times New Roman"/>
          <w:color w:val="000000"/>
          <w:sz w:val="19"/>
          <w:szCs w:val="19"/>
        </w:rPr>
        <w:t xml:space="preserve"> data ha</w:t>
      </w:r>
      <w:r w:rsidR="00D77F65">
        <w:rPr>
          <w:rFonts w:ascii="Times New Roman" w:hAnsi="Times New Roman" w:cs="Times New Roman"/>
          <w:color w:val="000000"/>
          <w:sz w:val="19"/>
          <w:szCs w:val="19"/>
        </w:rPr>
        <w:t>ve</w:t>
      </w:r>
      <w:r w:rsidRPr="007F4A00">
        <w:rPr>
          <w:rFonts w:ascii="Times New Roman" w:hAnsi="Times New Roman" w:cs="Times New Roman"/>
          <w:color w:val="000000"/>
          <w:sz w:val="19"/>
          <w:szCs w:val="19"/>
        </w:rPr>
        <w:t xml:space="preserve"> been gathered to identify the critical factors needed to ensure the safety of the final product.  The written document delineating the treatment required should include all the critical factors and the maximum or minimum values for the appropriate factors;</w:t>
      </w:r>
    </w:p>
    <w:p w:rsidR="007F4A00" w:rsidRPr="007F4A00" w:rsidP="007F4A00" w14:paraId="733E1F60" w14:textId="77777777">
      <w:pPr>
        <w:numPr>
          <w:ilvl w:val="0"/>
          <w:numId w:val="1"/>
        </w:numPr>
        <w:tabs>
          <w:tab w:val="num" w:pos="720"/>
          <w:tab w:val="clear" w:pos="1080"/>
        </w:tabs>
        <w:spacing w:after="0" w:line="240" w:lineRule="auto"/>
        <w:ind w:left="720" w:hanging="360"/>
        <w:rPr>
          <w:rFonts w:ascii="Times New Roman" w:hAnsi="Times New Roman" w:cs="Times New Roman"/>
          <w:color w:val="000000"/>
          <w:sz w:val="19"/>
          <w:szCs w:val="19"/>
        </w:rPr>
      </w:pPr>
      <w:r w:rsidRPr="007F4A00">
        <w:rPr>
          <w:rFonts w:ascii="Times New Roman" w:hAnsi="Times New Roman" w:cs="Times New Roman"/>
          <w:color w:val="000000"/>
          <w:sz w:val="19"/>
          <w:szCs w:val="19"/>
        </w:rPr>
        <w:t>at least two references of current or past clients, a reference from a nut processor would be preferred;</w:t>
      </w:r>
    </w:p>
    <w:p w:rsidR="007F4A00" w:rsidRPr="007F4A00" w:rsidP="007F4A00" w14:paraId="3146A6E7" w14:textId="77777777">
      <w:pPr>
        <w:numPr>
          <w:ilvl w:val="0"/>
          <w:numId w:val="1"/>
        </w:numPr>
        <w:tabs>
          <w:tab w:val="num" w:pos="720"/>
          <w:tab w:val="clear" w:pos="1080"/>
        </w:tabs>
        <w:spacing w:after="0" w:line="240" w:lineRule="auto"/>
        <w:ind w:left="720" w:hanging="360"/>
        <w:rPr>
          <w:rFonts w:ascii="Times New Roman" w:hAnsi="Times New Roman" w:cs="Times New Roman"/>
          <w:color w:val="000000"/>
          <w:sz w:val="19"/>
          <w:szCs w:val="19"/>
        </w:rPr>
      </w:pPr>
      <w:r w:rsidRPr="007F4A00">
        <w:rPr>
          <w:rFonts w:ascii="Times New Roman" w:hAnsi="Times New Roman" w:cs="Times New Roman"/>
          <w:color w:val="000000"/>
          <w:sz w:val="19"/>
          <w:szCs w:val="19"/>
        </w:rPr>
        <w:t>a statement that you have access to the microorganisms (or have a relationship with a third party and/or laboratory who can provide technical support) required to validate a system that requires microbiological work. Specifically, do you have access to thermocouples, leads and data acquisition systems; and</w:t>
      </w:r>
    </w:p>
    <w:p w:rsidR="007F4A00" w:rsidRPr="007F4A00" w:rsidP="007F4A00" w14:paraId="7E7DBDA9" w14:textId="77777777">
      <w:pPr>
        <w:numPr>
          <w:ilvl w:val="0"/>
          <w:numId w:val="1"/>
        </w:numPr>
        <w:tabs>
          <w:tab w:val="num" w:pos="720"/>
          <w:tab w:val="clear" w:pos="1080"/>
        </w:tabs>
        <w:spacing w:after="0" w:line="240" w:lineRule="auto"/>
        <w:ind w:left="720" w:hanging="360"/>
        <w:rPr>
          <w:rFonts w:ascii="Times New Roman" w:hAnsi="Times New Roman" w:cs="Times New Roman"/>
          <w:color w:val="000000"/>
          <w:sz w:val="19"/>
          <w:szCs w:val="19"/>
        </w:rPr>
      </w:pPr>
      <w:r w:rsidRPr="007F4A00">
        <w:rPr>
          <w:rFonts w:ascii="Times New Roman" w:hAnsi="Times New Roman" w:cs="Times New Roman"/>
          <w:color w:val="000000"/>
          <w:sz w:val="19"/>
          <w:szCs w:val="19"/>
        </w:rPr>
        <w:t xml:space="preserve">should ABC request further information from the applicant to process an application, an initial response must be received within 30 days to keep the application open; failure to respond within 30 days will result in a rejected application. </w:t>
      </w:r>
      <w:r w:rsidR="00D77F65">
        <w:rPr>
          <w:rFonts w:ascii="Times New Roman" w:hAnsi="Times New Roman" w:cs="Times New Roman"/>
          <w:color w:val="000000"/>
          <w:sz w:val="19"/>
          <w:szCs w:val="19"/>
        </w:rPr>
        <w:t xml:space="preserve"> </w:t>
      </w:r>
      <w:r w:rsidRPr="007F4A00">
        <w:rPr>
          <w:rFonts w:ascii="Times New Roman" w:hAnsi="Times New Roman" w:cs="Times New Roman"/>
          <w:color w:val="000000"/>
          <w:sz w:val="19"/>
          <w:szCs w:val="19"/>
        </w:rPr>
        <w:t>Correspondence thereafter must be received in a timely fashion as determined by the ABC.</w:t>
      </w:r>
    </w:p>
    <w:p w:rsidR="007F4A00" w:rsidRPr="007F4A00" w:rsidP="007F4A00" w14:paraId="38E2031E" w14:textId="77777777">
      <w:pPr>
        <w:spacing w:after="0" w:line="240" w:lineRule="auto"/>
        <w:rPr>
          <w:rFonts w:ascii="Times New Roman" w:hAnsi="Times New Roman" w:cs="Times New Roman"/>
          <w:color w:val="000000"/>
          <w:sz w:val="19"/>
          <w:szCs w:val="19"/>
        </w:rPr>
      </w:pPr>
    </w:p>
    <w:p w:rsidR="007F4A00" w:rsidRPr="007F4A00" w:rsidP="007F4A00" w14:paraId="519E6027"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The process authority may need to evaluate the ability of the processor to adhere to the requirements of the prescribed treatment.  If necessary the process authority will need to provide the processor with sufficient information to understand the critical factors and how to measure and to control them.</w:t>
      </w:r>
    </w:p>
    <w:p w:rsidR="007F4A00" w:rsidRPr="007F4A00" w:rsidP="007F4A00" w14:paraId="43DB923B"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The process authority is responsible for the evaluation of treatment deviations to determine whether a lot is a potential hazard to public health. (Note: Evaluation of deviations is not necessary if lots subject to a deviation are disposed of in a manner that assures they will not be used for edible purposes.)  The evaluation of the treatment shall be undertaken using accepted methods for deviation analysis.  All records of treatment and production activities associated with the critical factors required for the treatment must be made available to the process authority for the evaluation unless the product will not be used for edible purposes.</w:t>
      </w:r>
    </w:p>
    <w:p w:rsidR="007F4A00" w:rsidRPr="000A728B" w:rsidP="000A728B" w14:paraId="5985C802" w14:textId="77777777">
      <w:pPr>
        <w:pStyle w:val="BodyTextIndent"/>
        <w:spacing w:after="0"/>
        <w:ind w:left="0"/>
        <w:rPr>
          <w:color w:val="000000"/>
          <w:sz w:val="19"/>
          <w:szCs w:val="19"/>
        </w:rPr>
      </w:pPr>
      <w:r w:rsidRPr="007F4A00">
        <w:rPr>
          <w:color w:val="000000"/>
          <w:sz w:val="19"/>
          <w:szCs w:val="19"/>
        </w:rPr>
        <w:t xml:space="preserve">Potential almond process authorities shall submit an application (ABC Form No. 51) for inclusion in a list of process authorities that are approved by the Board.  It is imperative that potential almond process authorities have access to information related to the resistance of </w:t>
      </w:r>
      <w:r w:rsidRPr="007F4A00">
        <w:rPr>
          <w:i/>
          <w:iCs/>
          <w:color w:val="000000"/>
          <w:sz w:val="19"/>
          <w:szCs w:val="19"/>
        </w:rPr>
        <w:t xml:space="preserve">Salmonella </w:t>
      </w:r>
      <w:r w:rsidRPr="007F4A00">
        <w:rPr>
          <w:color w:val="000000"/>
          <w:sz w:val="19"/>
          <w:szCs w:val="19"/>
        </w:rPr>
        <w:t>Enteritidis Phage Type 30 (SE PT30).  Until articles are published in scientific journals, information on the resistance of SE PT30 to (hot water) blanching, oil roasting and dry air roasting of almon</w:t>
      </w:r>
      <w:r w:rsidR="000A728B">
        <w:rPr>
          <w:color w:val="000000"/>
          <w:sz w:val="19"/>
          <w:szCs w:val="19"/>
        </w:rPr>
        <w:t>ds is available from the Board.</w:t>
      </w:r>
    </w:p>
    <w:p w:rsidR="007F4A00" w:rsidP="007F4A00" w14:paraId="7C56E81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sz w:val="16"/>
          <w:szCs w:val="16"/>
        </w:rPr>
      </w:pPr>
    </w:p>
    <w:p w:rsidR="000A728B" w:rsidP="007F4A00" w14:paraId="2D13964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6"/>
        </w:rPr>
      </w:pPr>
    </w:p>
    <w:p w:rsidR="007F4A00" w:rsidRPr="007F4A00" w:rsidP="007F4A00" w14:paraId="6377D68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6"/>
        </w:rPr>
      </w:pPr>
      <w:r w:rsidRPr="007F4A00">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0581-0242</w:t>
      </w:r>
      <w:r w:rsidR="00D77F65">
        <w:rPr>
          <w:rFonts w:ascii="Times New Roman" w:hAnsi="Times New Roman"/>
          <w:sz w:val="16"/>
          <w:szCs w:val="16"/>
        </w:rPr>
        <w:t>.</w:t>
      </w:r>
      <w:r w:rsidRPr="007F4A00">
        <w:rPr>
          <w:rFonts w:ascii="Times New Roman" w:hAnsi="Times New Roman"/>
          <w:sz w:val="16"/>
          <w:szCs w:val="16"/>
        </w:rPr>
        <w:t xml:space="preserve">  The time required to complete this information collection is estimated to average 120 minutes per response, including the time for reviewing instructions, searching existing data sources, gathering and maintaining the data needed, and completing and reviewing the collection of information.</w:t>
      </w:r>
    </w:p>
    <w:p w:rsidR="007F4A00" w:rsidRPr="000A728B" w:rsidP="007F4A00" w14:paraId="076D417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smallCaps/>
          <w:sz w:val="22"/>
          <w:szCs w:val="22"/>
        </w:rPr>
      </w:pPr>
      <w:r w:rsidRPr="000A728B">
        <w:rPr>
          <w:rFonts w:ascii="Times New Roman" w:hAnsi="Times New Roman"/>
          <w:b/>
          <w:bCs/>
          <w:smallCaps/>
          <w:sz w:val="22"/>
          <w:szCs w:val="22"/>
        </w:rPr>
        <w:t>Almond Board of California</w:t>
      </w:r>
    </w:p>
    <w:p w:rsidR="007F4A00" w:rsidRPr="000A728B" w:rsidP="007F4A00" w14:paraId="057494C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smallCaps/>
          <w:sz w:val="22"/>
          <w:szCs w:val="22"/>
        </w:rPr>
      </w:pPr>
      <w:r w:rsidRPr="000A728B">
        <w:rPr>
          <w:rFonts w:ascii="Times New Roman" w:hAnsi="Times New Roman"/>
          <w:b/>
          <w:bCs/>
          <w:smallCaps/>
          <w:sz w:val="22"/>
          <w:szCs w:val="22"/>
        </w:rPr>
        <w:t>Process Authority for Almonds Application Form</w:t>
      </w:r>
    </w:p>
    <w:p w:rsidR="007F4A00" w:rsidRPr="007F4A00" w:rsidP="007F4A00" w14:paraId="647D1C8A"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2EBCD07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sz w:val="19"/>
          <w:szCs w:val="19"/>
        </w:rPr>
        <w:t>Pursuant to authority provided in §981.42 of the almond marketing order</w:t>
      </w:r>
      <w:r w:rsidR="00D77F65">
        <w:rPr>
          <w:rFonts w:ascii="Times New Roman" w:hAnsi="Times New Roman"/>
          <w:sz w:val="19"/>
          <w:szCs w:val="19"/>
        </w:rPr>
        <w:t xml:space="preserve"> </w:t>
      </w:r>
      <w:r w:rsidRPr="007F4A00">
        <w:rPr>
          <w:rFonts w:ascii="Times New Roman" w:hAnsi="Times New Roman"/>
          <w:sz w:val="19"/>
          <w:szCs w:val="19"/>
        </w:rPr>
        <w:t xml:space="preserve">–7 CFR Part 981, and as specified in §981.442(b) of the </w:t>
      </w:r>
      <w:r w:rsidR="00D77F65">
        <w:rPr>
          <w:rFonts w:ascii="Times New Roman" w:hAnsi="Times New Roman"/>
          <w:sz w:val="19"/>
          <w:szCs w:val="19"/>
        </w:rPr>
        <w:t xml:space="preserve">marketing </w:t>
      </w:r>
      <w:r w:rsidRPr="007F4A00">
        <w:rPr>
          <w:rFonts w:ascii="Times New Roman" w:hAnsi="Times New Roman"/>
          <w:sz w:val="19"/>
          <w:szCs w:val="19"/>
        </w:rPr>
        <w:t xml:space="preserve">order’s regulations, handlers must subject their almonds to a treatment process or processes that have been determined to achieve in total a minimum 4-log reduction of </w:t>
      </w:r>
      <w:r w:rsidRPr="007F4A00">
        <w:rPr>
          <w:rFonts w:ascii="Times New Roman" w:hAnsi="Times New Roman"/>
          <w:i/>
          <w:iCs/>
          <w:sz w:val="19"/>
          <w:szCs w:val="19"/>
        </w:rPr>
        <w:t>Salmonella</w:t>
      </w:r>
      <w:r w:rsidRPr="007F4A00">
        <w:rPr>
          <w:rFonts w:ascii="Times New Roman" w:hAnsi="Times New Roman"/>
          <w:sz w:val="19"/>
          <w:szCs w:val="19"/>
        </w:rPr>
        <w:t xml:space="preserve"> bacteria.  Process authorities validate that the treatment technology and equipment have been demonstrated to achieve the minimum 4-log reduction.  The Almond Board of California (Board or ABC) locally administers the </w:t>
      </w:r>
      <w:r w:rsidR="00D77F65">
        <w:rPr>
          <w:rFonts w:ascii="Times New Roman" w:hAnsi="Times New Roman"/>
          <w:sz w:val="19"/>
          <w:szCs w:val="19"/>
        </w:rPr>
        <w:t xml:space="preserve">marketing </w:t>
      </w:r>
      <w:r w:rsidRPr="007F4A00">
        <w:rPr>
          <w:rFonts w:ascii="Times New Roman" w:hAnsi="Times New Roman"/>
          <w:sz w:val="19"/>
          <w:szCs w:val="19"/>
        </w:rPr>
        <w:t xml:space="preserve">order, with oversight by the U.S. Department of Agriculture (USDA).  In consideration of the approval of this application, the following applicant requests approval as a Process Authority for almonds for __________(crop year). </w:t>
      </w:r>
    </w:p>
    <w:p w:rsidR="007F4A00" w:rsidRPr="007F4A00" w:rsidP="007F4A00" w14:paraId="1C9577F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2D28DED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480" w:lineRule="auto"/>
        <w:rPr>
          <w:rFonts w:ascii="Times New Roman" w:eastAsia="Times New Roman" w:hAnsi="Times New Roman" w:cs="Times New Roman"/>
          <w:color w:val="000000"/>
          <w:sz w:val="18"/>
          <w:szCs w:val="18"/>
        </w:rPr>
      </w:pPr>
      <w:r w:rsidRPr="007F4A00">
        <w:rPr>
          <w:rFonts w:ascii="Times New Roman" w:eastAsia="Times New Roman" w:hAnsi="Times New Roman" w:cs="Times New Roman"/>
          <w:color w:val="000000"/>
          <w:sz w:val="18"/>
          <w:szCs w:val="18"/>
        </w:rPr>
        <w:t>Date___________________</w:t>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t>Company________________________________________________________________</w:t>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t>Name___________________________________________________________________</w:t>
      </w:r>
    </w:p>
    <w:p w:rsidR="007F4A00" w:rsidRPr="007F4A00" w:rsidP="007F4A00" w14:paraId="13F954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480" w:lineRule="auto"/>
        <w:rPr>
          <w:rFonts w:ascii="Times New Roman" w:eastAsia="Times New Roman" w:hAnsi="Times New Roman" w:cs="Times New Roman"/>
          <w:color w:val="000000"/>
          <w:sz w:val="18"/>
          <w:szCs w:val="18"/>
        </w:rPr>
      </w:pP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t>Address_________________________________________________________________</w:t>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r>
      <w:r w:rsidRPr="007F4A00">
        <w:rPr>
          <w:rFonts w:ascii="Times New Roman" w:eastAsia="Times New Roman" w:hAnsi="Times New Roman" w:cs="Times New Roman"/>
          <w:color w:val="000000"/>
          <w:sz w:val="18"/>
          <w:szCs w:val="18"/>
        </w:rPr>
        <w:tab/>
        <w:t>Telephon</w:t>
      </w:r>
      <w:r w:rsidR="00BF4760">
        <w:rPr>
          <w:rFonts w:ascii="Times New Roman" w:eastAsia="Times New Roman" w:hAnsi="Times New Roman" w:cs="Times New Roman"/>
          <w:color w:val="000000"/>
          <w:sz w:val="18"/>
          <w:szCs w:val="18"/>
        </w:rPr>
        <w:t xml:space="preserve">e (______) </w:t>
      </w:r>
      <w:r w:rsidRPr="007F4A00">
        <w:rPr>
          <w:rFonts w:ascii="Times New Roman" w:eastAsia="Times New Roman" w:hAnsi="Times New Roman" w:cs="Times New Roman"/>
          <w:color w:val="000000"/>
          <w:sz w:val="18"/>
          <w:szCs w:val="18"/>
        </w:rPr>
        <w:t>_________________</w:t>
      </w:r>
      <w:r w:rsidRPr="007F4A00">
        <w:rPr>
          <w:rFonts w:ascii="Times New Roman" w:eastAsia="Times New Roman" w:hAnsi="Times New Roman" w:cs="Times New Roman"/>
          <w:color w:val="000000"/>
          <w:sz w:val="18"/>
          <w:szCs w:val="18"/>
        </w:rPr>
        <w:softHyphen/>
      </w:r>
      <w:r w:rsidRPr="007F4A00">
        <w:rPr>
          <w:rFonts w:ascii="Times New Roman" w:eastAsia="Times New Roman" w:hAnsi="Times New Roman" w:cs="Times New Roman"/>
          <w:color w:val="000000"/>
          <w:sz w:val="18"/>
          <w:szCs w:val="18"/>
        </w:rPr>
        <w:softHyphen/>
        <w:t>______ Fax (_____)</w:t>
      </w:r>
      <w:r w:rsidR="00BF4760">
        <w:rPr>
          <w:rFonts w:ascii="Times New Roman" w:eastAsia="Times New Roman" w:hAnsi="Times New Roman" w:cs="Times New Roman"/>
          <w:color w:val="000000"/>
          <w:sz w:val="18"/>
          <w:szCs w:val="18"/>
        </w:rPr>
        <w:t xml:space="preserve"> _</w:t>
      </w:r>
      <w:r w:rsidRPr="007F4A00">
        <w:rPr>
          <w:rFonts w:ascii="Times New Roman" w:eastAsia="Times New Roman" w:hAnsi="Times New Roman" w:cs="Times New Roman"/>
          <w:color w:val="000000"/>
          <w:sz w:val="18"/>
          <w:szCs w:val="18"/>
        </w:rPr>
        <w:t xml:space="preserve">____________________ </w:t>
      </w:r>
    </w:p>
    <w:p w:rsidR="007F4A00" w:rsidRPr="007F4A00" w:rsidP="007F4A00" w14:paraId="5F2C1C3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color w:val="auto"/>
          <w:sz w:val="18"/>
          <w:szCs w:val="18"/>
        </w:rPr>
        <w:tab/>
      </w:r>
      <w:r w:rsidRPr="007F4A00">
        <w:rPr>
          <w:rFonts w:ascii="Times New Roman" w:hAnsi="Times New Roman"/>
          <w:color w:val="auto"/>
          <w:sz w:val="18"/>
          <w:szCs w:val="18"/>
        </w:rPr>
        <w:tab/>
      </w:r>
      <w:r w:rsidRPr="007F4A00">
        <w:rPr>
          <w:rFonts w:ascii="Times New Roman" w:hAnsi="Times New Roman"/>
          <w:color w:val="auto"/>
          <w:sz w:val="18"/>
          <w:szCs w:val="18"/>
        </w:rPr>
        <w:tab/>
      </w:r>
      <w:r w:rsidRPr="007F4A00">
        <w:rPr>
          <w:rFonts w:ascii="Times New Roman" w:hAnsi="Times New Roman"/>
          <w:color w:val="auto"/>
          <w:sz w:val="18"/>
          <w:szCs w:val="18"/>
        </w:rPr>
        <w:tab/>
        <w:t>Email Address ___________________________________________________________</w:t>
      </w:r>
    </w:p>
    <w:p w:rsidR="007F4A00" w:rsidP="007F4A00" w14:paraId="3A42BEF9"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
          <w:sz w:val="19"/>
          <w:szCs w:val="19"/>
        </w:rPr>
      </w:pPr>
    </w:p>
    <w:p w:rsidR="007F4A00" w:rsidRPr="007F4A00" w:rsidP="007F4A00" w14:paraId="2DA5264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
          <w:sz w:val="19"/>
          <w:szCs w:val="19"/>
        </w:rPr>
      </w:pPr>
      <w:r w:rsidRPr="007F4A00">
        <w:rPr>
          <w:rFonts w:ascii="Times New Roman" w:hAnsi="Times New Roman"/>
          <w:b/>
          <w:sz w:val="19"/>
          <w:szCs w:val="19"/>
        </w:rPr>
        <w:t>Please complete the following (attach a curriculum vitae and additional pages, if needed):</w:t>
      </w:r>
    </w:p>
    <w:p w:rsidR="007F4A00" w:rsidP="007F4A00" w14:paraId="33B9769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6D08273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sz w:val="19"/>
          <w:szCs w:val="19"/>
        </w:rPr>
        <w:t>Professional Affiliation(s) and Education:</w:t>
      </w:r>
    </w:p>
    <w:p w:rsidR="007F4A00" w:rsidRPr="007F4A00" w:rsidP="007F4A00" w14:paraId="6CD491E9"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31EE957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sz w:val="19"/>
          <w:szCs w:val="19"/>
        </w:rPr>
        <w:t>Length of time as a process authority:</w:t>
      </w:r>
    </w:p>
    <w:p w:rsidR="007F4A00" w:rsidRPr="007F4A00" w:rsidP="007F4A00" w14:paraId="28E835B8"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6F619E9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sz w:val="19"/>
          <w:szCs w:val="19"/>
        </w:rPr>
        <w:t>Products/Equipment/Processes for which you have been a process authority:</w:t>
      </w:r>
    </w:p>
    <w:p w:rsidR="007F4A00" w:rsidRPr="007F4A00" w:rsidP="007F4A00" w14:paraId="0F0F1E3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5207FA54" w14:textId="77777777">
      <w:pPr>
        <w:autoSpaceDE w:val="0"/>
        <w:autoSpaceDN w:val="0"/>
        <w:adjustRightInd w:val="0"/>
        <w:spacing w:line="240" w:lineRule="auto"/>
        <w:rPr>
          <w:rFonts w:ascii="Times New Roman" w:eastAsia="MS Mincho" w:hAnsi="Times New Roman" w:cs="Times New Roman"/>
          <w:color w:val="000000"/>
          <w:sz w:val="19"/>
          <w:szCs w:val="19"/>
          <w:lang w:eastAsia="ja-JP"/>
        </w:rPr>
      </w:pPr>
      <w:r w:rsidRPr="007F4A00">
        <w:rPr>
          <w:rFonts w:ascii="Times New Roman" w:eastAsia="MS Mincho" w:hAnsi="Times New Roman" w:cs="Times New Roman"/>
          <w:color w:val="000000"/>
          <w:sz w:val="19"/>
          <w:szCs w:val="19"/>
          <w:lang w:eastAsia="ja-JP"/>
        </w:rPr>
        <w:t>Experience conducting or evaluating tests that determine the effects of the treatment on microorganisms, such as microbiological challenge studies.  (Specify microorganisms and types of tests, including recove</w:t>
      </w:r>
      <w:r>
        <w:rPr>
          <w:rFonts w:ascii="Times New Roman" w:eastAsia="MS Mincho" w:hAnsi="Times New Roman" w:cs="Times New Roman"/>
          <w:color w:val="000000"/>
          <w:sz w:val="19"/>
          <w:szCs w:val="19"/>
          <w:lang w:eastAsia="ja-JP"/>
        </w:rPr>
        <w:t>ry and enumeration techniques):</w:t>
      </w:r>
    </w:p>
    <w:p w:rsidR="007F4A00" w:rsidRPr="007F4A00" w:rsidP="007F4A00" w14:paraId="171B3F23" w14:textId="77777777">
      <w:pPr>
        <w:autoSpaceDE w:val="0"/>
        <w:autoSpaceDN w:val="0"/>
        <w:adjustRightInd w:val="0"/>
        <w:spacing w:line="240" w:lineRule="auto"/>
        <w:rPr>
          <w:rFonts w:ascii="Times New Roman" w:eastAsia="MS Mincho" w:hAnsi="Times New Roman" w:cs="Times New Roman"/>
          <w:color w:val="000000"/>
          <w:sz w:val="19"/>
          <w:szCs w:val="19"/>
          <w:lang w:eastAsia="ja-JP"/>
        </w:rPr>
      </w:pPr>
      <w:r w:rsidRPr="007F4A00">
        <w:rPr>
          <w:rFonts w:ascii="Times New Roman" w:eastAsia="MS Mincho" w:hAnsi="Times New Roman" w:cs="Times New Roman"/>
          <w:color w:val="000000"/>
          <w:sz w:val="19"/>
          <w:szCs w:val="19"/>
          <w:lang w:eastAsia="ja-JP"/>
        </w:rPr>
        <w:t>Experience conducting or evaluating tests that determine the effects of the treatment on foods (note how this is relevant to processing of almonds or other nuts):</w:t>
      </w:r>
    </w:p>
    <w:p w:rsidR="007F4A00" w:rsidRPr="007F4A00" w:rsidP="007F4A00" w14:paraId="0B51D44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sz w:val="19"/>
          <w:szCs w:val="19"/>
        </w:rPr>
        <w:t>________________________________________________________________________________________________</w:t>
      </w:r>
    </w:p>
    <w:p w:rsidR="007F4A00" w:rsidRPr="007F4A00" w:rsidP="007F4A00" w14:paraId="5D4A0C0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p>
    <w:p w:rsidR="007F4A00" w:rsidRPr="007F4A00" w:rsidP="007F4A00" w14:paraId="7CBC26A8"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9"/>
          <w:szCs w:val="19"/>
        </w:rPr>
      </w:pPr>
      <w:r w:rsidRPr="007F4A00">
        <w:rPr>
          <w:rFonts w:ascii="Times New Roman" w:hAnsi="Times New Roman"/>
          <w:sz w:val="19"/>
          <w:szCs w:val="19"/>
        </w:rPr>
        <w:t xml:space="preserve">Undersigned hereby certifies to USDA and the Board that the information supplied herein is complete and correct.  </w:t>
      </w:r>
      <w:r w:rsidR="00D77F65">
        <w:rPr>
          <w:rFonts w:ascii="Times New Roman" w:hAnsi="Times New Roman"/>
          <w:sz w:val="19"/>
          <w:szCs w:val="19"/>
        </w:rPr>
        <w:t>M</w:t>
      </w:r>
      <w:r w:rsidRPr="007F4A00">
        <w:rPr>
          <w:rFonts w:ascii="Times New Roman" w:hAnsi="Times New Roman"/>
          <w:sz w:val="19"/>
          <w:szCs w:val="19"/>
        </w:rPr>
        <w:t>aking false statement</w:t>
      </w:r>
      <w:r w:rsidR="00D77F65">
        <w:rPr>
          <w:rFonts w:ascii="Times New Roman" w:hAnsi="Times New Roman"/>
          <w:sz w:val="19"/>
          <w:szCs w:val="19"/>
        </w:rPr>
        <w:t>s</w:t>
      </w:r>
      <w:r w:rsidRPr="007F4A00">
        <w:rPr>
          <w:rFonts w:ascii="Times New Roman" w:hAnsi="Times New Roman"/>
          <w:sz w:val="19"/>
          <w:szCs w:val="19"/>
        </w:rPr>
        <w:t xml:space="preserve"> or representation</w:t>
      </w:r>
      <w:r w:rsidR="00D77F65">
        <w:rPr>
          <w:rFonts w:ascii="Times New Roman" w:hAnsi="Times New Roman"/>
          <w:sz w:val="19"/>
          <w:szCs w:val="19"/>
        </w:rPr>
        <w:t>s</w:t>
      </w:r>
      <w:r w:rsidRPr="007F4A00">
        <w:rPr>
          <w:rFonts w:ascii="Times New Roman" w:hAnsi="Times New Roman"/>
          <w:sz w:val="19"/>
          <w:szCs w:val="19"/>
        </w:rPr>
        <w:t xml:space="preserve"> on this form, knowing </w:t>
      </w:r>
      <w:r w:rsidR="00D77F65">
        <w:rPr>
          <w:rFonts w:ascii="Times New Roman" w:hAnsi="Times New Roman"/>
          <w:sz w:val="19"/>
          <w:szCs w:val="19"/>
        </w:rPr>
        <w:t>them</w:t>
      </w:r>
      <w:r w:rsidRPr="007F4A00">
        <w:rPr>
          <w:rFonts w:ascii="Times New Roman" w:hAnsi="Times New Roman"/>
          <w:sz w:val="19"/>
          <w:szCs w:val="19"/>
        </w:rPr>
        <w:t xml:space="preserve"> to be false, is a violation of Title 18, section 1001, United States Code, which provides for the penalty or imprisonment, or both.</w:t>
      </w:r>
    </w:p>
    <w:p w:rsidR="007F4A00" w:rsidRPr="007F4A00" w:rsidP="007F4A00" w14:paraId="5923EB1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
          <w:sz w:val="19"/>
          <w:szCs w:val="19"/>
        </w:rPr>
      </w:pPr>
      <w:r>
        <w:rPr>
          <w:rFonts w:ascii="Times New Roman" w:hAnsi="Times New Roman"/>
          <w:sz w:val="19"/>
          <w:szCs w:val="19"/>
        </w:rPr>
        <w:br/>
      </w:r>
      <w:r w:rsidRPr="007F4A00">
        <w:rPr>
          <w:rFonts w:ascii="Times New Roman" w:hAnsi="Times New Roman"/>
          <w:sz w:val="19"/>
          <w:szCs w:val="19"/>
        </w:rPr>
        <w:t>Date___________________</w:t>
      </w:r>
      <w:r w:rsidRPr="007F4A00">
        <w:rPr>
          <w:rFonts w:ascii="Times New Roman" w:hAnsi="Times New Roman"/>
          <w:sz w:val="19"/>
          <w:szCs w:val="19"/>
        </w:rPr>
        <w:tab/>
        <w:t>Signature___________________________________________________________</w:t>
      </w:r>
    </w:p>
    <w:p w:rsidR="007F4A00" w:rsidP="007F4A00" w14:paraId="51FFFA46" w14:textId="77777777">
      <w:pPr>
        <w:spacing w:line="240" w:lineRule="auto"/>
        <w:rPr>
          <w:rFonts w:ascii="Times New Roman" w:hAnsi="Times New Roman" w:cs="Times New Roman"/>
          <w:b/>
          <w:color w:val="000000"/>
          <w:sz w:val="19"/>
          <w:szCs w:val="19"/>
        </w:rPr>
      </w:pPr>
    </w:p>
    <w:p w:rsidR="007F4A00" w:rsidRPr="007F4A00" w:rsidP="007F4A00" w14:paraId="64312C7D" w14:textId="77777777">
      <w:pPr>
        <w:spacing w:line="240" w:lineRule="auto"/>
        <w:rPr>
          <w:rFonts w:ascii="Times New Roman" w:hAnsi="Times New Roman" w:cs="Times New Roman"/>
          <w:b/>
          <w:color w:val="000000"/>
          <w:sz w:val="19"/>
          <w:szCs w:val="19"/>
        </w:rPr>
      </w:pPr>
      <w:r w:rsidRPr="007F4A00">
        <w:rPr>
          <w:rFonts w:ascii="Times New Roman" w:hAnsi="Times New Roman" w:cs="Times New Roman"/>
          <w:b/>
          <w:color w:val="000000"/>
          <w:sz w:val="19"/>
          <w:szCs w:val="19"/>
        </w:rPr>
        <w:t>For ABC Use: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4860"/>
      </w:tblGrid>
      <w:tr w14:paraId="01116AAC" w14:textId="77777777" w:rsidTr="007F4A0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8"/>
        </w:trPr>
        <w:tc>
          <w:tcPr>
            <w:tcW w:w="4140" w:type="dxa"/>
          </w:tcPr>
          <w:p w:rsidR="007F4A00" w:rsidRPr="007F4A00" w:rsidP="007F4A00" w14:paraId="4D84A82D" w14:textId="77777777">
            <w:pPr>
              <w:spacing w:line="240" w:lineRule="auto"/>
              <w:rPr>
                <w:rFonts w:ascii="Times New Roman" w:hAnsi="Times New Roman" w:cs="Times New Roman"/>
                <w:b/>
                <w:color w:val="000000"/>
                <w:sz w:val="19"/>
                <w:szCs w:val="19"/>
              </w:rPr>
            </w:pPr>
            <w:r w:rsidRPr="007F4A00">
              <w:rPr>
                <w:rFonts w:ascii="Times New Roman" w:hAnsi="Times New Roman" w:cs="Times New Roman"/>
                <w:b/>
                <w:color w:val="000000"/>
                <w:sz w:val="19"/>
                <w:szCs w:val="19"/>
              </w:rPr>
              <w:t>Date Received by ABC:</w:t>
            </w:r>
          </w:p>
        </w:tc>
        <w:tc>
          <w:tcPr>
            <w:tcW w:w="4860" w:type="dxa"/>
          </w:tcPr>
          <w:p w:rsidR="007F4A00" w:rsidRPr="007F4A00" w:rsidP="007F4A00" w14:paraId="7534AE58"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MM/DD/YR</w:t>
            </w:r>
          </w:p>
        </w:tc>
      </w:tr>
      <w:tr w14:paraId="6DC3DC04" w14:textId="77777777" w:rsidTr="007F4A00">
        <w:tblPrEx>
          <w:tblW w:w="0" w:type="auto"/>
          <w:tblInd w:w="468" w:type="dxa"/>
          <w:tblLook w:val="00A0"/>
        </w:tblPrEx>
        <w:tc>
          <w:tcPr>
            <w:tcW w:w="4140" w:type="dxa"/>
          </w:tcPr>
          <w:p w:rsidR="007F4A00" w:rsidRPr="007F4A00" w:rsidP="007F4A00" w14:paraId="1435EFF9" w14:textId="77777777">
            <w:pPr>
              <w:spacing w:line="240" w:lineRule="auto"/>
              <w:rPr>
                <w:rFonts w:ascii="Times New Roman" w:hAnsi="Times New Roman" w:cs="Times New Roman"/>
                <w:b/>
                <w:color w:val="000000"/>
                <w:sz w:val="19"/>
                <w:szCs w:val="19"/>
              </w:rPr>
            </w:pPr>
            <w:r w:rsidRPr="007F4A00">
              <w:rPr>
                <w:rFonts w:ascii="Times New Roman" w:hAnsi="Times New Roman" w:cs="Times New Roman"/>
                <w:b/>
                <w:color w:val="000000"/>
                <w:sz w:val="19"/>
                <w:szCs w:val="19"/>
              </w:rPr>
              <w:t>Date Approved by ABC:</w:t>
            </w:r>
          </w:p>
        </w:tc>
        <w:tc>
          <w:tcPr>
            <w:tcW w:w="4860" w:type="dxa"/>
          </w:tcPr>
          <w:p w:rsidR="007F4A00" w:rsidRPr="007F4A00" w:rsidP="007F4A00" w14:paraId="7443F2BB"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MM/DD/YR</w:t>
            </w:r>
          </w:p>
        </w:tc>
      </w:tr>
      <w:tr w14:paraId="0F57A48D" w14:textId="77777777" w:rsidTr="007F4A00">
        <w:tblPrEx>
          <w:tblW w:w="0" w:type="auto"/>
          <w:tblInd w:w="468" w:type="dxa"/>
          <w:tblLook w:val="00A0"/>
        </w:tblPrEx>
        <w:tc>
          <w:tcPr>
            <w:tcW w:w="4140" w:type="dxa"/>
          </w:tcPr>
          <w:p w:rsidR="007F4A00" w:rsidRPr="007F4A00" w:rsidP="007F4A00" w14:paraId="0DDC733A" w14:textId="77777777">
            <w:pPr>
              <w:spacing w:line="240" w:lineRule="auto"/>
              <w:rPr>
                <w:rFonts w:ascii="Times New Roman" w:hAnsi="Times New Roman" w:cs="Times New Roman"/>
                <w:b/>
                <w:color w:val="000000"/>
                <w:sz w:val="19"/>
                <w:szCs w:val="19"/>
              </w:rPr>
            </w:pPr>
            <w:r w:rsidRPr="007F4A00">
              <w:rPr>
                <w:rFonts w:ascii="Times New Roman" w:hAnsi="Times New Roman" w:cs="Times New Roman"/>
                <w:b/>
                <w:color w:val="000000"/>
                <w:sz w:val="19"/>
                <w:szCs w:val="19"/>
              </w:rPr>
              <w:t>Effective for Crop Year:</w:t>
            </w:r>
          </w:p>
        </w:tc>
        <w:tc>
          <w:tcPr>
            <w:tcW w:w="4860" w:type="dxa"/>
          </w:tcPr>
          <w:p w:rsidR="007F4A00" w:rsidRPr="007F4A00" w:rsidP="007F4A00" w14:paraId="5D3D2F97"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August 1 – July 31, 20__</w:t>
            </w:r>
          </w:p>
        </w:tc>
      </w:tr>
      <w:tr w14:paraId="19379DEC" w14:textId="77777777" w:rsidTr="007F4A00">
        <w:tblPrEx>
          <w:tblW w:w="0" w:type="auto"/>
          <w:tblInd w:w="468" w:type="dxa"/>
          <w:tblLook w:val="00A0"/>
        </w:tblPrEx>
        <w:tc>
          <w:tcPr>
            <w:tcW w:w="4140" w:type="dxa"/>
          </w:tcPr>
          <w:p w:rsidR="007F4A00" w:rsidRPr="007F4A00" w:rsidP="007F4A00" w14:paraId="30506FE5" w14:textId="77777777">
            <w:pPr>
              <w:spacing w:line="240" w:lineRule="auto"/>
              <w:rPr>
                <w:rFonts w:ascii="Times New Roman" w:hAnsi="Times New Roman" w:cs="Times New Roman"/>
                <w:b/>
                <w:color w:val="000000"/>
                <w:sz w:val="19"/>
                <w:szCs w:val="19"/>
              </w:rPr>
            </w:pPr>
            <w:r w:rsidRPr="007F4A00">
              <w:rPr>
                <w:rFonts w:ascii="Times New Roman" w:hAnsi="Times New Roman" w:cs="Times New Roman"/>
                <w:b/>
                <w:color w:val="000000"/>
                <w:sz w:val="19"/>
                <w:szCs w:val="19"/>
              </w:rPr>
              <w:t>Date Process Authority Notified of Approval:</w:t>
            </w:r>
          </w:p>
        </w:tc>
        <w:tc>
          <w:tcPr>
            <w:tcW w:w="4860" w:type="dxa"/>
          </w:tcPr>
          <w:p w:rsidR="007F4A00" w:rsidRPr="007F4A00" w:rsidP="007F4A00" w14:paraId="18E16049" w14:textId="77777777">
            <w:pPr>
              <w:spacing w:line="240" w:lineRule="auto"/>
              <w:rPr>
                <w:rFonts w:ascii="Times New Roman" w:hAnsi="Times New Roman" w:cs="Times New Roman"/>
                <w:color w:val="000000"/>
                <w:sz w:val="19"/>
                <w:szCs w:val="19"/>
              </w:rPr>
            </w:pPr>
            <w:r w:rsidRPr="007F4A00">
              <w:rPr>
                <w:rFonts w:ascii="Times New Roman" w:hAnsi="Times New Roman" w:cs="Times New Roman"/>
                <w:color w:val="000000"/>
                <w:sz w:val="19"/>
                <w:szCs w:val="19"/>
              </w:rPr>
              <w:t>MM/DD/YR</w:t>
            </w:r>
          </w:p>
        </w:tc>
      </w:tr>
    </w:tbl>
    <w:p w:rsidR="007F4A00" w:rsidP="007F4A00" w14:paraId="05B23291" w14:textId="77777777">
      <w:pPr>
        <w:spacing w:line="240" w:lineRule="auto"/>
        <w:rPr>
          <w:rFonts w:ascii="Times New Roman" w:hAnsi="Times New Roman" w:cs="Times New Roman"/>
          <w:color w:val="000000"/>
          <w:sz w:val="19"/>
          <w:szCs w:val="19"/>
        </w:rPr>
      </w:pPr>
    </w:p>
    <w:p w:rsidR="00557499" w14:paraId="204A9143" w14:textId="77777777">
      <w:pPr>
        <w:rPr>
          <w:rFonts w:ascii="Times New Roman" w:hAnsi="Times New Roman" w:cs="Times New Roman"/>
          <w:color w:val="000000"/>
          <w:sz w:val="19"/>
          <w:szCs w:val="19"/>
        </w:rPr>
      </w:pPr>
      <w:r>
        <w:rPr>
          <w:rFonts w:ascii="Times New Roman" w:hAnsi="Times New Roman" w:cs="Times New Roman"/>
          <w:color w:val="000000"/>
          <w:sz w:val="19"/>
          <w:szCs w:val="19"/>
        </w:rPr>
        <w:br w:type="page"/>
      </w:r>
    </w:p>
    <w:p w:rsidR="00557499" w:rsidP="007F4A00" w14:paraId="67B36DBC" w14:textId="77777777">
      <w:pPr>
        <w:spacing w:line="240" w:lineRule="auto"/>
        <w:rPr>
          <w:rFonts w:ascii="Times New Roman" w:hAnsi="Times New Roman" w:cs="Times New Roman"/>
          <w:color w:val="000000"/>
          <w:sz w:val="19"/>
          <w:szCs w:val="19"/>
        </w:rPr>
      </w:pPr>
    </w:p>
    <w:p w:rsidR="00557499" w:rsidP="007F4A00" w14:paraId="6985C08D" w14:textId="77777777">
      <w:pPr>
        <w:spacing w:line="240" w:lineRule="auto"/>
        <w:rPr>
          <w:rFonts w:ascii="Times New Roman" w:hAnsi="Times New Roman" w:cs="Times New Roman"/>
          <w:color w:val="000000"/>
          <w:sz w:val="19"/>
          <w:szCs w:val="19"/>
        </w:rPr>
      </w:pPr>
    </w:p>
    <w:p w:rsidR="00557499" w:rsidP="007F4A00" w14:paraId="4B38D9B5" w14:textId="77777777">
      <w:pPr>
        <w:spacing w:line="240" w:lineRule="auto"/>
        <w:rPr>
          <w:rFonts w:ascii="Times New Roman" w:hAnsi="Times New Roman" w:cs="Times New Roman"/>
          <w:color w:val="000000"/>
          <w:sz w:val="19"/>
          <w:szCs w:val="19"/>
        </w:rPr>
      </w:pPr>
    </w:p>
    <w:p w:rsidR="00557499" w:rsidP="007F4A00" w14:paraId="5F04D197" w14:textId="77777777">
      <w:pPr>
        <w:spacing w:line="240" w:lineRule="auto"/>
        <w:rPr>
          <w:rFonts w:ascii="Times New Roman" w:hAnsi="Times New Roman" w:cs="Times New Roman"/>
          <w:color w:val="000000"/>
          <w:sz w:val="19"/>
          <w:szCs w:val="19"/>
        </w:rPr>
      </w:pPr>
    </w:p>
    <w:p w:rsidR="00557499" w:rsidP="007F4A00" w14:paraId="56E969B7" w14:textId="77777777">
      <w:pPr>
        <w:spacing w:line="240" w:lineRule="auto"/>
        <w:rPr>
          <w:rFonts w:ascii="Times New Roman" w:hAnsi="Times New Roman" w:cs="Times New Roman"/>
          <w:color w:val="000000"/>
          <w:sz w:val="19"/>
          <w:szCs w:val="19"/>
        </w:rPr>
      </w:pPr>
    </w:p>
    <w:p w:rsidR="00557499" w:rsidP="007F4A00" w14:paraId="538985D8" w14:textId="77777777">
      <w:pPr>
        <w:spacing w:line="240" w:lineRule="auto"/>
        <w:rPr>
          <w:rFonts w:ascii="Times New Roman" w:hAnsi="Times New Roman" w:cs="Times New Roman"/>
          <w:color w:val="000000"/>
          <w:sz w:val="19"/>
          <w:szCs w:val="19"/>
        </w:rPr>
      </w:pPr>
    </w:p>
    <w:p w:rsidR="00557499" w:rsidP="007F4A00" w14:paraId="5DE08CAE" w14:textId="77777777">
      <w:pPr>
        <w:spacing w:line="240" w:lineRule="auto"/>
        <w:rPr>
          <w:rFonts w:ascii="Times New Roman" w:hAnsi="Times New Roman" w:cs="Times New Roman"/>
          <w:color w:val="000000"/>
          <w:sz w:val="19"/>
          <w:szCs w:val="19"/>
        </w:rPr>
      </w:pPr>
    </w:p>
    <w:p w:rsidR="00557499" w:rsidP="007F4A00" w14:paraId="0A81C78E" w14:textId="77777777">
      <w:pPr>
        <w:spacing w:line="240" w:lineRule="auto"/>
        <w:rPr>
          <w:rFonts w:ascii="Times New Roman" w:hAnsi="Times New Roman" w:cs="Times New Roman"/>
          <w:color w:val="000000"/>
          <w:sz w:val="19"/>
          <w:szCs w:val="19"/>
        </w:rPr>
      </w:pPr>
    </w:p>
    <w:p w:rsidR="00557499" w:rsidP="007F4A00" w14:paraId="2FD14BFB" w14:textId="77777777">
      <w:pPr>
        <w:spacing w:line="240" w:lineRule="auto"/>
        <w:rPr>
          <w:rFonts w:ascii="Times New Roman" w:hAnsi="Times New Roman" w:cs="Times New Roman"/>
          <w:color w:val="000000"/>
          <w:sz w:val="19"/>
          <w:szCs w:val="19"/>
        </w:rPr>
      </w:pPr>
    </w:p>
    <w:p w:rsidR="00557499" w:rsidP="007F4A00" w14:paraId="0B5CBB45" w14:textId="77777777">
      <w:pPr>
        <w:spacing w:line="240" w:lineRule="auto"/>
        <w:rPr>
          <w:rFonts w:ascii="Times New Roman" w:hAnsi="Times New Roman" w:cs="Times New Roman"/>
          <w:color w:val="000000"/>
          <w:sz w:val="19"/>
          <w:szCs w:val="19"/>
        </w:rPr>
      </w:pPr>
    </w:p>
    <w:p w:rsidR="00557499" w:rsidP="007F4A00" w14:paraId="7F890CCC" w14:textId="77777777">
      <w:pPr>
        <w:spacing w:line="240" w:lineRule="auto"/>
        <w:rPr>
          <w:rFonts w:ascii="Times New Roman" w:hAnsi="Times New Roman" w:cs="Times New Roman"/>
          <w:color w:val="000000"/>
          <w:sz w:val="19"/>
          <w:szCs w:val="19"/>
        </w:rPr>
      </w:pPr>
    </w:p>
    <w:p w:rsidR="00557499" w:rsidP="007F4A00" w14:paraId="47BCD9EE" w14:textId="77777777">
      <w:pPr>
        <w:spacing w:line="240" w:lineRule="auto"/>
        <w:rPr>
          <w:rFonts w:ascii="Times New Roman" w:hAnsi="Times New Roman" w:cs="Times New Roman"/>
          <w:color w:val="000000"/>
          <w:sz w:val="19"/>
          <w:szCs w:val="19"/>
        </w:rPr>
      </w:pPr>
    </w:p>
    <w:p w:rsidR="00557499" w:rsidP="007F4A00" w14:paraId="330167FD" w14:textId="77777777">
      <w:pPr>
        <w:spacing w:line="240" w:lineRule="auto"/>
        <w:rPr>
          <w:rFonts w:ascii="Times New Roman" w:hAnsi="Times New Roman" w:cs="Times New Roman"/>
          <w:color w:val="000000"/>
          <w:sz w:val="19"/>
          <w:szCs w:val="19"/>
        </w:rPr>
      </w:pPr>
    </w:p>
    <w:p w:rsidR="00557499" w:rsidP="007F4A00" w14:paraId="57FF174C" w14:textId="77777777">
      <w:pPr>
        <w:spacing w:line="240" w:lineRule="auto"/>
        <w:rPr>
          <w:rFonts w:ascii="Times New Roman" w:hAnsi="Times New Roman" w:cs="Times New Roman"/>
          <w:color w:val="000000"/>
          <w:sz w:val="19"/>
          <w:szCs w:val="19"/>
        </w:rPr>
      </w:pPr>
    </w:p>
    <w:p w:rsidR="00557499" w:rsidP="007F4A00" w14:paraId="702D95E6" w14:textId="77777777">
      <w:pPr>
        <w:spacing w:line="240" w:lineRule="auto"/>
        <w:rPr>
          <w:rFonts w:ascii="Times New Roman" w:hAnsi="Times New Roman" w:cs="Times New Roman"/>
          <w:color w:val="000000"/>
          <w:sz w:val="19"/>
          <w:szCs w:val="19"/>
        </w:rPr>
      </w:pPr>
    </w:p>
    <w:p w:rsidR="00557499" w:rsidP="007F4A00" w14:paraId="1FDC89D9" w14:textId="77777777">
      <w:pPr>
        <w:spacing w:line="240" w:lineRule="auto"/>
        <w:rPr>
          <w:rFonts w:ascii="Times New Roman" w:hAnsi="Times New Roman" w:cs="Times New Roman"/>
          <w:color w:val="000000"/>
          <w:sz w:val="19"/>
          <w:szCs w:val="19"/>
        </w:rPr>
      </w:pPr>
    </w:p>
    <w:p w:rsidR="00557499" w:rsidP="007F4A00" w14:paraId="6AA115E2" w14:textId="77777777">
      <w:pPr>
        <w:spacing w:line="240" w:lineRule="auto"/>
        <w:rPr>
          <w:rFonts w:ascii="Times New Roman" w:hAnsi="Times New Roman" w:cs="Times New Roman"/>
          <w:color w:val="000000"/>
          <w:sz w:val="19"/>
          <w:szCs w:val="19"/>
        </w:rPr>
      </w:pPr>
    </w:p>
    <w:p w:rsidR="00557499" w:rsidP="007F4A00" w14:paraId="40D166F4" w14:textId="77777777">
      <w:pPr>
        <w:spacing w:line="240" w:lineRule="auto"/>
        <w:rPr>
          <w:rFonts w:ascii="Times New Roman" w:hAnsi="Times New Roman" w:cs="Times New Roman"/>
          <w:color w:val="000000"/>
          <w:sz w:val="19"/>
          <w:szCs w:val="19"/>
        </w:rPr>
      </w:pPr>
    </w:p>
    <w:p w:rsidR="00557499" w:rsidP="007F4A00" w14:paraId="3C676F0A" w14:textId="77777777">
      <w:pPr>
        <w:spacing w:line="240" w:lineRule="auto"/>
        <w:rPr>
          <w:rFonts w:ascii="Times New Roman" w:hAnsi="Times New Roman" w:cs="Times New Roman"/>
          <w:color w:val="000000"/>
          <w:sz w:val="19"/>
          <w:szCs w:val="19"/>
        </w:rPr>
      </w:pPr>
    </w:p>
    <w:p w:rsidR="00557499" w:rsidP="007F4A00" w14:paraId="671BA8A6" w14:textId="77777777">
      <w:pPr>
        <w:spacing w:line="240" w:lineRule="auto"/>
        <w:rPr>
          <w:rFonts w:ascii="Times New Roman" w:hAnsi="Times New Roman" w:cs="Times New Roman"/>
          <w:color w:val="000000"/>
          <w:sz w:val="19"/>
          <w:szCs w:val="19"/>
        </w:rPr>
      </w:pPr>
    </w:p>
    <w:p w:rsidR="00557499" w:rsidP="007F4A00" w14:paraId="2B21D63A" w14:textId="77777777">
      <w:pPr>
        <w:spacing w:line="240" w:lineRule="auto"/>
        <w:rPr>
          <w:rFonts w:ascii="Times New Roman" w:hAnsi="Times New Roman" w:cs="Times New Roman"/>
          <w:color w:val="000000"/>
          <w:sz w:val="19"/>
          <w:szCs w:val="19"/>
        </w:rPr>
      </w:pPr>
    </w:p>
    <w:p w:rsidR="00557499" w:rsidP="007F4A00" w14:paraId="4C243474" w14:textId="77777777">
      <w:pPr>
        <w:spacing w:line="240" w:lineRule="auto"/>
        <w:rPr>
          <w:rFonts w:ascii="Times New Roman" w:hAnsi="Times New Roman" w:cs="Times New Roman"/>
          <w:color w:val="000000"/>
          <w:sz w:val="19"/>
          <w:szCs w:val="19"/>
        </w:rPr>
      </w:pPr>
    </w:p>
    <w:p w:rsidR="00557499" w:rsidP="007F4A00" w14:paraId="23FD27A0" w14:textId="77777777">
      <w:pPr>
        <w:spacing w:line="240" w:lineRule="auto"/>
        <w:rPr>
          <w:rFonts w:ascii="Times New Roman" w:hAnsi="Times New Roman" w:cs="Times New Roman"/>
          <w:color w:val="000000"/>
          <w:sz w:val="19"/>
          <w:szCs w:val="19"/>
        </w:rPr>
      </w:pPr>
    </w:p>
    <w:p w:rsidR="000A728B" w:rsidRPr="007F4A00" w:rsidP="007F4A00" w14:paraId="41E5E4AA" w14:textId="77777777">
      <w:pPr>
        <w:spacing w:line="240" w:lineRule="auto"/>
        <w:rPr>
          <w:rFonts w:ascii="Times New Roman" w:hAnsi="Times New Roman" w:cs="Times New Roman"/>
          <w:color w:val="000000"/>
          <w:sz w:val="19"/>
          <w:szCs w:val="19"/>
        </w:rPr>
      </w:pPr>
    </w:p>
    <w:p w:rsidR="007F4A00" w:rsidRPr="007F4A00" w:rsidP="007F4A00" w14:paraId="2B8228CC" w14:textId="77777777">
      <w:pPr>
        <w:spacing w:line="240" w:lineRule="auto"/>
        <w:rPr>
          <w:rFonts w:ascii="Times New Roman" w:hAnsi="Times New Roman" w:cs="Times New Roman"/>
          <w:sz w:val="16"/>
          <w:szCs w:val="16"/>
        </w:rPr>
      </w:pPr>
      <w:r w:rsidRPr="007F4A00">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F4A00" w:rsidRPr="007F4A00" w:rsidP="007F4A00" w14:paraId="3B63E82F" w14:textId="77777777">
      <w:pPr>
        <w:spacing w:line="240" w:lineRule="auto"/>
        <w:rPr>
          <w:rFonts w:ascii="Times New Roman" w:hAnsi="Times New Roman" w:cs="Times New Roman"/>
          <w:sz w:val="16"/>
          <w:szCs w:val="16"/>
        </w:rPr>
      </w:pPr>
      <w:r w:rsidRPr="007F4A00">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F4A00" w:rsidRPr="007F4A00" w:rsidP="007F4A00" w14:paraId="02CF3742" w14:textId="77777777">
      <w:pPr>
        <w:tabs>
          <w:tab w:val="left" w:pos="2661"/>
        </w:tabs>
        <w:spacing w:line="240" w:lineRule="auto"/>
        <w:rPr>
          <w:rFonts w:ascii="Times New Roman" w:hAnsi="Times New Roman" w:cs="Times New Roman"/>
          <w:sz w:val="16"/>
          <w:szCs w:val="16"/>
        </w:rPr>
      </w:pPr>
      <w:r w:rsidRPr="007F4A00">
        <w:rPr>
          <w:rFonts w:ascii="Times New Roman" w:hAnsi="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Sect="000A728B">
      <w:headerReference w:type="even" r:id="rId6"/>
      <w:headerReference w:type="default" r:id="rId7"/>
      <w:footerReference w:type="even" r:id="rId8"/>
      <w:footerReference w:type="default" r:id="rId9"/>
      <w:headerReference w:type="first" r:id="rId10"/>
      <w:footerReference w:type="first" r:id="rId11"/>
      <w:pgSz w:w="12240" w:h="15840"/>
      <w:pgMar w:top="1080" w:right="1440" w:bottom="1170" w:left="1440" w:header="720" w:footer="79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4BF" w14:paraId="3ABEDF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4BF" w14:paraId="1AF2D4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4BF" w14:paraId="49D190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4A00" w:rsidP="007F4A00" w14:paraId="62878CD5" w14:textId="77777777">
      <w:pPr>
        <w:spacing w:after="0" w:line="240" w:lineRule="auto"/>
      </w:pPr>
      <w:r>
        <w:separator/>
      </w:r>
    </w:p>
  </w:footnote>
  <w:footnote w:type="continuationSeparator" w:id="1">
    <w:p w:rsidR="007F4A00" w:rsidP="007F4A00" w14:paraId="03513F29" w14:textId="77777777">
      <w:pPr>
        <w:spacing w:after="0" w:line="240" w:lineRule="auto"/>
      </w:pPr>
      <w:r>
        <w:continuationSeparator/>
      </w:r>
    </w:p>
  </w:footnote>
  <w:footnote w:id="2">
    <w:p w:rsidR="000A728B" w14:paraId="46016CB1" w14:textId="77777777">
      <w:pPr>
        <w:pStyle w:val="FootnoteText"/>
      </w:pPr>
      <w:r>
        <w:rPr>
          <w:rStyle w:val="FootnoteReference"/>
        </w:rPr>
        <w:footnoteRef/>
      </w:r>
      <w:r>
        <w:t xml:space="preserve"> </w:t>
      </w:r>
      <w:r w:rsidRPr="000D0B2E">
        <w:rPr>
          <w:sz w:val="18"/>
          <w:szCs w:val="18"/>
        </w:rPr>
        <w:t>Applications will be reviewed and approved by the ABC Technical Expert Review Panel (TERP).  Should the applicant disagree with TERP’s decision, it may appeal the decision in writing to the Board, and ultimately to USDA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4BF" w14:paraId="7C1DE7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4A00" w:rsidRPr="00D061FF" w:rsidP="00D061FF" w14:paraId="2A630A36" w14:textId="5EB8D50E">
    <w:pPr>
      <w:pStyle w:val="Header"/>
      <w:pBdr>
        <w:bottom w:val="single" w:sz="4" w:space="1" w:color="auto"/>
      </w:pBdr>
      <w:rPr>
        <w:b/>
        <w:sz w:val="20"/>
        <w:szCs w:val="20"/>
      </w:rPr>
    </w:pPr>
    <w:r>
      <w:rPr>
        <w:b/>
        <w:sz w:val="20"/>
        <w:szCs w:val="20"/>
      </w:rPr>
      <w:t>ABC Form No. 51 (</w:t>
    </w:r>
    <w:r w:rsidR="00B30E3E">
      <w:rPr>
        <w:b/>
        <w:sz w:val="20"/>
        <w:szCs w:val="20"/>
      </w:rPr>
      <w:t>Exp</w:t>
    </w:r>
    <w:r>
      <w:rPr>
        <w:b/>
        <w:sz w:val="20"/>
        <w:szCs w:val="20"/>
      </w:rPr>
      <w:t xml:space="preserve">. </w:t>
    </w:r>
    <w:r w:rsidR="000A1E07">
      <w:rPr>
        <w:b/>
        <w:sz w:val="20"/>
        <w:szCs w:val="20"/>
      </w:rPr>
      <w:t>XX</w:t>
    </w:r>
    <w:r w:rsidRPr="00D061FF" w:rsidR="00D061FF">
      <w:rPr>
        <w:b/>
        <w:sz w:val="20"/>
        <w:szCs w:val="20"/>
      </w:rPr>
      <w:t>/20</w:t>
    </w:r>
    <w:r w:rsidR="000A1E07">
      <w:rPr>
        <w:b/>
        <w:sz w:val="20"/>
        <w:szCs w:val="20"/>
      </w:rPr>
      <w:t>XX</w:t>
    </w:r>
    <w:r w:rsidRPr="00D061FF" w:rsidR="00D061FF">
      <w:rPr>
        <w:b/>
        <w:sz w:val="20"/>
        <w:szCs w:val="20"/>
      </w:rPr>
      <w:t>)</w:t>
    </w:r>
    <w:r w:rsidR="008B1A01">
      <w:rPr>
        <w:b/>
        <w:sz w:val="20"/>
        <w:szCs w:val="20"/>
      </w:rPr>
      <w:t xml:space="preserve">                                                                                            </w:t>
    </w:r>
    <w:r w:rsidRPr="00D061FF">
      <w:rPr>
        <w:b/>
        <w:sz w:val="20"/>
        <w:szCs w:val="20"/>
      </w:rPr>
      <w:t>OMB No. 0581-0242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4BF" w14:paraId="2BB006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E441DD"/>
    <w:multiLevelType w:val="hybridMultilevel"/>
    <w:tmpl w:val="1F58D8A4"/>
    <w:lvl w:ilvl="0">
      <w:start w:val="1"/>
      <w:numFmt w:val="bullet"/>
      <w:lvlText w:val=""/>
      <w:lvlJc w:val="left"/>
      <w:pPr>
        <w:tabs>
          <w:tab w:val="num" w:pos="1080"/>
        </w:tabs>
        <w:ind w:left="1080" w:hanging="216"/>
      </w:pPr>
      <w:rPr>
        <w:rFonts w:ascii="Symbol" w:hAnsi="Symbol" w:hint="default"/>
        <w:sz w:val="24"/>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F4A00"/>
    <w:rsid w:val="000A1E07"/>
    <w:rsid w:val="000A728B"/>
    <w:rsid w:val="000D0B2E"/>
    <w:rsid w:val="000E2308"/>
    <w:rsid w:val="00273AF1"/>
    <w:rsid w:val="00557499"/>
    <w:rsid w:val="0056089D"/>
    <w:rsid w:val="006A1942"/>
    <w:rsid w:val="007C14BF"/>
    <w:rsid w:val="007F4A00"/>
    <w:rsid w:val="008439F4"/>
    <w:rsid w:val="008B1A01"/>
    <w:rsid w:val="00AF2AB1"/>
    <w:rsid w:val="00B30E3E"/>
    <w:rsid w:val="00BF4760"/>
    <w:rsid w:val="00D061FF"/>
    <w:rsid w:val="00D77F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CE53EF"/>
  <w15:docId w15:val="{048DB170-D123-418E-91D9-925B72E0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A00"/>
    <w:pPr>
      <w:widowControl w:val="0"/>
      <w:autoSpaceDE w:val="0"/>
      <w:autoSpaceDN w:val="0"/>
      <w:spacing w:after="0" w:line="240" w:lineRule="auto"/>
    </w:pPr>
    <w:rPr>
      <w:rFonts w:ascii="CG Times (WN)" w:eastAsia="Times New Roman" w:hAnsi="CG Times (WN)" w:cs="Times New Roman"/>
      <w:color w:val="000000"/>
      <w:sz w:val="24"/>
      <w:szCs w:val="24"/>
    </w:rPr>
  </w:style>
  <w:style w:type="character" w:customStyle="1" w:styleId="BodyTextChar">
    <w:name w:val="Body Text Char"/>
    <w:basedOn w:val="DefaultParagraphFont"/>
    <w:link w:val="BodyText"/>
    <w:rsid w:val="007F4A00"/>
    <w:rPr>
      <w:rFonts w:ascii="CG Times (WN)" w:eastAsia="Times New Roman" w:hAnsi="CG Times (WN)" w:cs="Times New Roman"/>
      <w:color w:val="000000"/>
      <w:sz w:val="24"/>
      <w:szCs w:val="24"/>
    </w:rPr>
  </w:style>
  <w:style w:type="paragraph" w:styleId="Header">
    <w:name w:val="header"/>
    <w:basedOn w:val="Normal"/>
    <w:link w:val="HeaderChar"/>
    <w:rsid w:val="007F4A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F4A00"/>
    <w:rPr>
      <w:rFonts w:ascii="Times New Roman" w:eastAsia="Times New Roman" w:hAnsi="Times New Roman" w:cs="Times New Roman"/>
      <w:sz w:val="24"/>
      <w:szCs w:val="24"/>
    </w:rPr>
  </w:style>
  <w:style w:type="paragraph" w:styleId="BodyTextIndent">
    <w:name w:val="Body Text Indent"/>
    <w:basedOn w:val="Normal"/>
    <w:link w:val="BodyTextIndentChar"/>
    <w:rsid w:val="007F4A0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4A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A00"/>
  </w:style>
  <w:style w:type="paragraph" w:styleId="FootnoteText">
    <w:name w:val="footnote text"/>
    <w:basedOn w:val="Normal"/>
    <w:link w:val="FootnoteTextChar"/>
    <w:uiPriority w:val="99"/>
    <w:semiHidden/>
    <w:unhideWhenUsed/>
    <w:rsid w:val="000A7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28B"/>
    <w:rPr>
      <w:sz w:val="20"/>
      <w:szCs w:val="20"/>
    </w:rPr>
  </w:style>
  <w:style w:type="character" w:styleId="FootnoteReference">
    <w:name w:val="footnote reference"/>
    <w:basedOn w:val="DefaultParagraphFont"/>
    <w:uiPriority w:val="99"/>
    <w:semiHidden/>
    <w:unhideWhenUsed/>
    <w:rsid w:val="000A7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B4CA33-CA3A-4086-8894-9B94D597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Nalepa, Thomas - AMS</cp:lastModifiedBy>
  <cp:revision>14</cp:revision>
  <dcterms:created xsi:type="dcterms:W3CDTF">2015-11-13T14:40:00Z</dcterms:created>
  <dcterms:modified xsi:type="dcterms:W3CDTF">2022-03-16T15:40:00Z</dcterms:modified>
</cp:coreProperties>
</file>