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1058" w14:paraId="15268DB1" w14:textId="77777777">
      <w:pPr>
        <w:pStyle w:val="Heading1"/>
        <w:keepNext w:val="0"/>
        <w:keepLines w:val="0"/>
        <w:widowControl w:val="0"/>
        <w:spacing w:before="80" w:after="0" w:line="240" w:lineRule="auto"/>
        <w:jc w:val="center"/>
        <w:rPr>
          <w:rFonts w:ascii="Times New Roman" w:eastAsia="Times New Roman" w:hAnsi="Times New Roman" w:cs="Times New Roman"/>
          <w:b/>
          <w:sz w:val="24"/>
          <w:szCs w:val="24"/>
        </w:rPr>
      </w:pPr>
      <w:bookmarkStart w:id="0" w:name="_p9nka97oukgt" w:colFirst="0" w:colLast="0"/>
      <w:bookmarkEnd w:id="0"/>
      <w:r>
        <w:rPr>
          <w:rFonts w:ascii="Times New Roman" w:eastAsia="Times New Roman" w:hAnsi="Times New Roman" w:cs="Times New Roman"/>
          <w:b/>
          <w:sz w:val="24"/>
          <w:szCs w:val="24"/>
        </w:rPr>
        <w:t>SUPPORTING STATEMENT Part A</w:t>
      </w:r>
    </w:p>
    <w:p w:rsidR="00991058" w14:paraId="0316745B" w14:textId="77777777">
      <w:pPr>
        <w:widowControl w:val="0"/>
        <w:spacing w:before="22" w:line="259" w:lineRule="auto"/>
        <w:ind w:firstLine="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Department of Commerce</w:t>
      </w:r>
    </w:p>
    <w:p w:rsidR="00991058" w14:paraId="0F7A6B41" w14:textId="77777777">
      <w:pPr>
        <w:widowControl w:val="0"/>
        <w:spacing w:before="22" w:line="259" w:lineRule="auto"/>
        <w:ind w:firstLine="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Oceanic &amp; Atmospheric Administration</w:t>
      </w:r>
    </w:p>
    <w:p w:rsidR="00991058" w14:paraId="667145D3" w14:textId="77777777">
      <w:pPr>
        <w:widowControl w:val="0"/>
        <w:spacing w:line="259" w:lineRule="auto"/>
        <w:ind w:left="360" w:right="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Generic Clearance </w:t>
      </w:r>
      <w:r>
        <w:rPr>
          <w:rFonts w:ascii="Times New Roman" w:eastAsia="Times New Roman" w:hAnsi="Times New Roman" w:cs="Times New Roman"/>
          <w:b/>
          <w:sz w:val="24"/>
          <w:szCs w:val="24"/>
        </w:rPr>
        <w:t>For</w:t>
      </w:r>
      <w:r>
        <w:rPr>
          <w:rFonts w:ascii="Times New Roman" w:eastAsia="Times New Roman" w:hAnsi="Times New Roman" w:cs="Times New Roman"/>
          <w:b/>
          <w:sz w:val="24"/>
          <w:szCs w:val="24"/>
        </w:rPr>
        <w:t xml:space="preserve"> NWS Risk Communication, Evaluation, and Feedback</w:t>
      </w:r>
    </w:p>
    <w:p w:rsidR="00991058" w14:paraId="22909CC0" w14:textId="77777777">
      <w:pPr>
        <w:widowControl w:val="0"/>
        <w:spacing w:line="259" w:lineRule="auto"/>
        <w:ind w:hanging="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0648-XXXX</w:t>
      </w:r>
    </w:p>
    <w:p w:rsidR="00991058" w14:paraId="20DA3736" w14:textId="77777777">
      <w:pPr>
        <w:pStyle w:val="Heading1"/>
        <w:keepNext w:val="0"/>
        <w:keepLines w:val="0"/>
        <w:widowControl w:val="0"/>
        <w:spacing w:before="199" w:after="0" w:line="240" w:lineRule="auto"/>
        <w:rPr>
          <w:rFonts w:ascii="Times New Roman" w:eastAsia="Times New Roman" w:hAnsi="Times New Roman" w:cs="Times New Roman"/>
          <w:b/>
          <w:sz w:val="24"/>
          <w:szCs w:val="24"/>
        </w:rPr>
      </w:pPr>
      <w:bookmarkStart w:id="1" w:name="_ects5slh46ml" w:colFirst="0" w:colLast="0"/>
      <w:bookmarkEnd w:id="1"/>
    </w:p>
    <w:p w:rsidR="00991058" w14:paraId="6E84D4B4" w14:textId="77777777">
      <w:pPr>
        <w:pStyle w:val="Heading1"/>
        <w:keepNext w:val="0"/>
        <w:keepLines w:val="0"/>
        <w:widowControl w:val="0"/>
        <w:spacing w:before="199" w:after="0" w:line="240" w:lineRule="auto"/>
        <w:rPr>
          <w:rFonts w:ascii="Times New Roman" w:eastAsia="Times New Roman" w:hAnsi="Times New Roman" w:cs="Times New Roman"/>
          <w:b/>
          <w:sz w:val="24"/>
          <w:szCs w:val="24"/>
        </w:rPr>
      </w:pPr>
      <w:bookmarkStart w:id="2" w:name="_vzvhhk49w5rg" w:colFirst="0" w:colLast="0"/>
      <w:bookmarkEnd w:id="2"/>
      <w:r>
        <w:rPr>
          <w:rFonts w:ascii="Times New Roman" w:eastAsia="Times New Roman" w:hAnsi="Times New Roman" w:cs="Times New Roman"/>
          <w:b/>
          <w:sz w:val="24"/>
          <w:szCs w:val="24"/>
        </w:rPr>
        <w:t>Abstract</w:t>
      </w:r>
    </w:p>
    <w:p w:rsidR="00991058" w14:paraId="78E0DF2B" w14:textId="77777777">
      <w:pPr>
        <w:widowControl w:val="0"/>
        <w:spacing w:before="144"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request for a new generic information collection. The National Oceanic and Atmospheric Administration (NOAA) products and services “support economic vitality and affect more than one-third of America’s gross domestic product.” The National Weather Service (NWS) is a critical component of this service and operates under the mission to “provide weather, water and climate data, forecasts, warnings, and impact-based decision support services for the protection of life and property and enhancement of t</w:t>
      </w:r>
      <w:r>
        <w:rPr>
          <w:rFonts w:ascii="Times New Roman" w:eastAsia="Times New Roman" w:hAnsi="Times New Roman" w:cs="Times New Roman"/>
          <w:sz w:val="24"/>
          <w:szCs w:val="24"/>
        </w:rPr>
        <w:t xml:space="preserve">he national economy.” Leveraging and integrating risk communication and evaluation methodologies and knowledge is crucial to meeting our mission. </w:t>
      </w:r>
    </w:p>
    <w:p w:rsidR="00991058" w14:paraId="65DE7678" w14:textId="77777777">
      <w:pPr>
        <w:widowControl w:val="0"/>
        <w:tabs>
          <w:tab w:val="left" w:pos="-1440"/>
          <w:tab w:val="left" w:pos="-720"/>
        </w:tabs>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effectively support public and partner decision making, build actionable tools and information, and evaluate our performance, it’s critical that the NWS collect key data on users' needs and fully engage with our audiences. </w:t>
      </w:r>
    </w:p>
    <w:p w:rsidR="00991058" w14:paraId="2273D18E" w14:textId="77777777">
      <w:pPr>
        <w:widowControl w:val="0"/>
        <w:tabs>
          <w:tab w:val="left" w:pos="-1440"/>
          <w:tab w:val="left" w:pos="-720"/>
        </w:tabs>
        <w:spacing w:before="240" w:after="200" w:line="240" w:lineRule="auto"/>
        <w:rPr>
          <w:rFonts w:ascii="Droid Sans Mono" w:eastAsia="Droid Sans Mono" w:hAnsi="Droid Sans Mono" w:cs="Droid Sans Mono"/>
          <w:b/>
          <w:sz w:val="24"/>
          <w:szCs w:val="24"/>
        </w:rPr>
      </w:pPr>
      <w:r>
        <w:rPr>
          <w:rFonts w:ascii="Times New Roman" w:eastAsia="Times New Roman" w:hAnsi="Times New Roman" w:cs="Times New Roman"/>
          <w:sz w:val="24"/>
          <w:szCs w:val="24"/>
        </w:rPr>
        <w:t>The establishment of a generic clearance for NWS will create an efficient mechanism for all data collection efforts related to reducing impacts of extreme weather. It allows for a legal conduit to our users to fully document their needs, ensuring that NWS invest their resources into products and services that stand to yield the greatest benefits and return on investment. The procedures expected to be used include but are not limited to social network analysis, semi-structured and structured interviews, focu</w:t>
      </w:r>
      <w:r>
        <w:rPr>
          <w:rFonts w:ascii="Times New Roman" w:eastAsia="Times New Roman" w:hAnsi="Times New Roman" w:cs="Times New Roman"/>
          <w:sz w:val="24"/>
          <w:szCs w:val="24"/>
        </w:rPr>
        <w:t>s groups, surveys, and participant observation.</w:t>
      </w:r>
    </w:p>
    <w:p w:rsidR="00991058" w14:paraId="503B0702" w14:textId="77777777">
      <w:pPr>
        <w:pStyle w:val="Heading5"/>
        <w:keepLines w:val="0"/>
        <w:spacing w:before="0" w:after="0" w:line="240" w:lineRule="auto"/>
        <w:ind w:left="765"/>
        <w:jc w:val="center"/>
        <w:rPr>
          <w:rFonts w:ascii="Times New Roman" w:eastAsia="Times New Roman" w:hAnsi="Times New Roman" w:cs="Times New Roman"/>
          <w:b/>
          <w:color w:val="000000"/>
        </w:rPr>
      </w:pPr>
      <w:bookmarkStart w:id="3" w:name="_c5r41bkot51" w:colFirst="0" w:colLast="0"/>
      <w:bookmarkEnd w:id="3"/>
    </w:p>
    <w:p w:rsidR="00991058" w14:paraId="0388AA14" w14:textId="77777777">
      <w:pPr>
        <w:pStyle w:val="Heading5"/>
        <w:keepLines w:val="0"/>
        <w:spacing w:before="0" w:after="0" w:line="240" w:lineRule="auto"/>
        <w:ind w:left="765"/>
        <w:jc w:val="center"/>
        <w:rPr>
          <w:rFonts w:ascii="Times New Roman" w:eastAsia="Times New Roman" w:hAnsi="Times New Roman" w:cs="Times New Roman"/>
          <w:b/>
          <w:color w:val="000000"/>
        </w:rPr>
      </w:pPr>
      <w:bookmarkStart w:id="4" w:name="_mkfqyt9vppv8" w:colFirst="0" w:colLast="0"/>
      <w:bookmarkEnd w:id="4"/>
    </w:p>
    <w:p w:rsidR="00991058" w14:paraId="2CF16648" w14:textId="77777777">
      <w:pPr>
        <w:pStyle w:val="Heading5"/>
        <w:keepLines w:val="0"/>
        <w:spacing w:before="0" w:after="0" w:line="240" w:lineRule="auto"/>
        <w:rPr>
          <w:rFonts w:ascii="Times New Roman" w:eastAsia="Times New Roman" w:hAnsi="Times New Roman" w:cs="Times New Roman"/>
          <w:b/>
          <w:color w:val="000000"/>
        </w:rPr>
      </w:pPr>
      <w:bookmarkStart w:id="5" w:name="_1fob9te" w:colFirst="0" w:colLast="0"/>
      <w:bookmarkEnd w:id="5"/>
      <w:r>
        <w:rPr>
          <w:rFonts w:ascii="Times New Roman" w:eastAsia="Times New Roman" w:hAnsi="Times New Roman" w:cs="Times New Roman"/>
          <w:b/>
          <w:color w:val="000000"/>
        </w:rPr>
        <w:t>JUSTIFICATION</w:t>
      </w:r>
    </w:p>
    <w:p w:rsidR="00991058" w14:paraId="43EDA7A8" w14:textId="77777777">
      <w:pPr>
        <w:spacing w:before="120" w:after="60" w:line="240" w:lineRule="auto"/>
        <w:rPr>
          <w:rFonts w:ascii="Times New Roman" w:eastAsia="Times New Roman" w:hAnsi="Times New Roman" w:cs="Times New Roman"/>
          <w:b/>
          <w:sz w:val="24"/>
          <w:szCs w:val="24"/>
        </w:rPr>
      </w:pPr>
      <w:bookmarkStart w:id="6" w:name="_3znysh7" w:colFirst="0" w:colLast="0"/>
      <w:bookmarkEnd w:id="6"/>
      <w:r>
        <w:rPr>
          <w:rFonts w:ascii="Times New Roman" w:eastAsia="Times New Roman" w:hAnsi="Times New Roman" w:cs="Times New Roman"/>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91058" w14:paraId="0F45A729" w14:textId="77777777">
      <w:pPr>
        <w:widowControl w:val="0"/>
        <w:tabs>
          <w:tab w:val="left" w:pos="-1440"/>
          <w:tab w:val="left" w:pos="-720"/>
        </w:tabs>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NWS products and services “support economic vitality and affect more than one-third of America’s gross domestic product.” The NWS is a critical component of this service and operates under the mission to “provide weather, water and climate data, forecasts, warnings, and impact-based decision support services for the protection of life and property and enhancement of the national economy.”</w:t>
      </w:r>
    </w:p>
    <w:p w:rsidR="00991058" w14:paraId="7E2A7C2C" w14:textId="77777777">
      <w:pPr>
        <w:widowControl w:val="0"/>
        <w:tabs>
          <w:tab w:val="left" w:pos="-1440"/>
          <w:tab w:val="left" w:pos="-720"/>
        </w:tabs>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Leveraging and integrating risk communication and evaluation methodologies and knowledge is crucial to meeting our mission. The NWS has also been called upon by Congress in the Weather Research and Forecasting Innovation Act of 2017 to “improve the understanding of how the </w:t>
      </w:r>
      <w:r>
        <w:rPr>
          <w:rFonts w:ascii="Times New Roman" w:eastAsia="Times New Roman" w:hAnsi="Times New Roman" w:cs="Times New Roman"/>
          <w:sz w:val="24"/>
          <w:szCs w:val="24"/>
        </w:rPr>
        <w:t xml:space="preserve">public receives, interprets, and responds to warnings and forecasts of high impact weather events that endanger life and property.” </w:t>
      </w:r>
    </w:p>
    <w:p w:rsidR="00991058" w14:paraId="3EEAB199" w14:textId="77777777">
      <w:pPr>
        <w:widowControl w:val="0"/>
        <w:tabs>
          <w:tab w:val="left" w:pos="-1440"/>
          <w:tab w:val="left" w:pos="-720"/>
        </w:tabs>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generic clearance allows for a legal conduit to our users to fully document their needs, ensuring that NWS invest their resources into products and services that stand to yield the greatest benefits and return on investment. If we are to effectively support public and partner decision making, build actionable tools and information, and evaluate our performance, then it’s imperative that the NWS collect key data on users' needs and fully engage with our audiences. </w:t>
      </w:r>
    </w:p>
    <w:p w:rsidR="00991058" w14:paraId="4CAC201C" w14:textId="77777777">
      <w:pPr>
        <w:widowControl w:val="0"/>
        <w:tabs>
          <w:tab w:val="left" w:pos="-1440"/>
          <w:tab w:val="left" w:pos="-720"/>
        </w:tabs>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request for a new generic clearance would allow the NWS to meet the following goals in a more efficient and effective manner:</w:t>
      </w:r>
    </w:p>
    <w:p w:rsidR="00991058" w14:paraId="0258B0BC" w14:textId="77777777">
      <w:pPr>
        <w:widowControl w:val="0"/>
        <w:numPr>
          <w:ilvl w:val="0"/>
          <w:numId w:val="1"/>
        </w:numPr>
        <w:tabs>
          <w:tab w:val="left" w:pos="-1440"/>
          <w:tab w:val="left" w:pos="-720"/>
        </w:tabs>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understanding of how the public, core partners, and stakeholders value, use, and disseminate NWS information, products, and services before, during, and after weather and/or water events.</w:t>
      </w:r>
    </w:p>
    <w:p w:rsidR="00991058" w14:paraId="1F80D89E" w14:textId="3CC4EB5F">
      <w:pPr>
        <w:widowControl w:val="0"/>
        <w:numPr>
          <w:ilvl w:val="0"/>
          <w:numId w:val="1"/>
        </w:numPr>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understanding of the decision-making</w:t>
      </w:r>
      <w:r>
        <w:rPr>
          <w:rFonts w:ascii="Times New Roman" w:eastAsia="Times New Roman" w:hAnsi="Times New Roman" w:cs="Times New Roman"/>
          <w:sz w:val="24"/>
          <w:szCs w:val="24"/>
        </w:rPr>
        <w:t xml:space="preserve"> processes and workflow of NWS users before, during, and after weather and/or water events.</w:t>
      </w:r>
    </w:p>
    <w:p w:rsidR="00991058" w14:paraId="2D02E158" w14:textId="77777777">
      <w:pPr>
        <w:widowControl w:val="0"/>
        <w:numPr>
          <w:ilvl w:val="0"/>
          <w:numId w:val="1"/>
        </w:numPr>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how a weather and/or water event was messaged across the weather enterprise, including aspects of collaboration, intra and inter-organizational communication, and other key elements of system-level event analysis.</w:t>
      </w:r>
    </w:p>
    <w:p w:rsidR="00991058" w14:paraId="628BC36F" w14:textId="77777777">
      <w:pPr>
        <w:widowControl w:val="0"/>
        <w:numPr>
          <w:ilvl w:val="0"/>
          <w:numId w:val="1"/>
        </w:numPr>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feedback on an addition, change, or termination to our existing body of NWS products and services.</w:t>
      </w:r>
    </w:p>
    <w:p w:rsidR="00991058" w14:paraId="26D56AB1"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646ADB52"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generic clearance request will go through the regular two Federal Register posting periods and OMB review and approval, subsequent to which, NWS asks that OMB review and clear specific proposed generic information collection activities within a two-week period with no Federal Register Notice period required under the generic clearance.</w:t>
      </w:r>
    </w:p>
    <w:p w:rsidR="00991058" w14:paraId="726CBC84"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50890B17"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methods proposed for use are as follows:</w:t>
      </w:r>
      <w:r>
        <w:rPr>
          <w:rFonts w:ascii="Times New Roman" w:eastAsia="Times New Roman" w:hAnsi="Times New Roman" w:cs="Times New Roman"/>
          <w:sz w:val="24"/>
          <w:szCs w:val="24"/>
        </w:rPr>
        <w:t xml:space="preserve"> </w:t>
      </w:r>
    </w:p>
    <w:p w:rsidR="00991058" w14:paraId="347B4401"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77EC9B40"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Social Network Analysis</w:t>
      </w:r>
      <w:r>
        <w:rPr>
          <w:rFonts w:ascii="Times New Roman" w:eastAsia="Times New Roman" w:hAnsi="Times New Roman" w:cs="Times New Roman"/>
          <w:sz w:val="24"/>
          <w:szCs w:val="24"/>
        </w:rPr>
        <w:t xml:space="preserve">: This method investigates the connections and relationships among people or groups within a social network. It will help the NWS enable better communication and inspire more efficient collaboration with its public and partners. </w:t>
      </w:r>
    </w:p>
    <w:p w:rsidR="00991058" w14:paraId="4B0CCBA1" w14:textId="77777777">
      <w:pPr>
        <w:widowControl w:val="0"/>
        <w:tabs>
          <w:tab w:val="left" w:pos="-1440"/>
          <w:tab w:val="left" w:pos="-720"/>
        </w:tabs>
        <w:spacing w:line="240" w:lineRule="auto"/>
        <w:rPr>
          <w:rFonts w:ascii="Times New Roman" w:eastAsia="Times New Roman" w:hAnsi="Times New Roman" w:cs="Times New Roman"/>
          <w:sz w:val="24"/>
          <w:szCs w:val="24"/>
          <w:u w:val="single"/>
        </w:rPr>
      </w:pPr>
    </w:p>
    <w:p w:rsidR="00991058" w14:paraId="44ECB030"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Semi-structured and Structured Interviews</w:t>
      </w:r>
      <w:r>
        <w:rPr>
          <w:rFonts w:ascii="Times New Roman" w:eastAsia="Times New Roman" w:hAnsi="Times New Roman" w:cs="Times New Roman"/>
          <w:sz w:val="24"/>
          <w:szCs w:val="24"/>
        </w:rPr>
        <w:t>: These may be conducted with individuals either in person or virtually. Structured interviews use a consistent set of questions pre-determined ahead of time and would be used by the NWS to gather in depth, systematic information about people’s perceptions and experiences with the agency’s products and services. The purposes of the semi-structured interviews are to 1) better understand stakeholder perspectives to prepare for a broader, structured set of interviews and 2) allow for more flexible two-way comm</w:t>
      </w:r>
      <w:r>
        <w:rPr>
          <w:rFonts w:ascii="Times New Roman" w:eastAsia="Times New Roman" w:hAnsi="Times New Roman" w:cs="Times New Roman"/>
          <w:sz w:val="24"/>
          <w:szCs w:val="24"/>
        </w:rPr>
        <w:t xml:space="preserve">unication with the stakeholder. Semi-structured interviews may be particularly useful when engaging with new audiences, in which the NWS may not know the right questions to ask yet. They allow respondents time to become more comfortable, especially those that may not have engaged with the NWS before. </w:t>
      </w:r>
    </w:p>
    <w:p w:rsidR="00991058" w14:paraId="472FECF7" w14:textId="77777777">
      <w:pPr>
        <w:widowControl w:val="0"/>
        <w:tabs>
          <w:tab w:val="left" w:pos="-1440"/>
          <w:tab w:val="left" w:pos="-720"/>
        </w:tabs>
        <w:spacing w:line="240" w:lineRule="auto"/>
        <w:rPr>
          <w:rFonts w:ascii="Times New Roman" w:eastAsia="Times New Roman" w:hAnsi="Times New Roman" w:cs="Times New Roman"/>
          <w:sz w:val="24"/>
          <w:szCs w:val="24"/>
          <w:u w:val="single"/>
        </w:rPr>
      </w:pPr>
    </w:p>
    <w:p w:rsidR="00991058" w14:paraId="14A29D2B"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Surveys</w:t>
      </w:r>
      <w:r>
        <w:rPr>
          <w:rFonts w:ascii="Times New Roman" w:eastAsia="Times New Roman" w:hAnsi="Times New Roman" w:cs="Times New Roman"/>
          <w:sz w:val="24"/>
          <w:szCs w:val="24"/>
        </w:rPr>
        <w:t xml:space="preserve">: This method involves web-based or email surveys where a set of questions is sent out to a target sample. The survey may contain a variety of question types including multiple-choice, </w:t>
      </w:r>
      <w:r>
        <w:rPr>
          <w:rFonts w:ascii="Times New Roman" w:eastAsia="Times New Roman" w:hAnsi="Times New Roman" w:cs="Times New Roman"/>
          <w:sz w:val="24"/>
          <w:szCs w:val="24"/>
        </w:rPr>
        <w:t>dichotomous, matrix, Likert scale, mapping exercises, and a limited number of open-ended questions. The NWS would typically use this method for gathering feedback on their products and services, better understanding user perceptions and knowledge, conducting survey-based experiments on aspects of messaging, and assessing a we</w:t>
      </w:r>
      <w:r>
        <w:rPr>
          <w:rFonts w:ascii="Times New Roman" w:eastAsia="Times New Roman" w:hAnsi="Times New Roman" w:cs="Times New Roman"/>
          <w:sz w:val="24"/>
          <w:szCs w:val="24"/>
        </w:rPr>
        <w:t>ather and/or water event. Sampling techniques will be chosen based on the type of inquiry and available resources. In all cases, the NWS would make every effort to ensure the sample is representative of the target population. The reasoning of the sampling technique would be clearly laid out in Supporting Statement B of the individual submissions.</w:t>
      </w:r>
    </w:p>
    <w:p w:rsidR="00991058" w14:paraId="3D744181"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3001C543"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Ethnographies to include Participant Observation</w:t>
      </w:r>
      <w:r>
        <w:rPr>
          <w:rFonts w:ascii="Times New Roman" w:eastAsia="Times New Roman" w:hAnsi="Times New Roman" w:cs="Times New Roman"/>
          <w:sz w:val="24"/>
          <w:szCs w:val="24"/>
        </w:rPr>
        <w:t>: This method involves studying people in their natural environment to understand their way of life/work. It involves the researcher immersing themselves in the day-to-day activities of the participants. Any ethnographic research that may include participant observation methods used by the NWS would be overt, as participants would be aware the researcher is observing. This method would be particularly useful in helping the NWS better understand work flows and the decision processes of end users and how they</w:t>
      </w:r>
      <w:r>
        <w:rPr>
          <w:rFonts w:ascii="Times New Roman" w:eastAsia="Times New Roman" w:hAnsi="Times New Roman" w:cs="Times New Roman"/>
          <w:sz w:val="24"/>
          <w:szCs w:val="24"/>
        </w:rPr>
        <w:t>’re integrating NWS products, services, and information.</w:t>
      </w:r>
    </w:p>
    <w:p w:rsidR="00991058" w14:paraId="4EF9552F"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4E45CE9B"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Focus groups</w:t>
      </w:r>
      <w:r>
        <w:rPr>
          <w:rFonts w:ascii="Times New Roman" w:eastAsia="Times New Roman" w:hAnsi="Times New Roman" w:cs="Times New Roman"/>
          <w:sz w:val="24"/>
          <w:szCs w:val="24"/>
        </w:rPr>
        <w:t>. This method involves group sessions guided by a moderator. The moderator follows a topical outline containing questions or topics focused on a particular issue, rather than adhering to a standardized questionnaire. Focus groups are useful for raising and exploring issues that are nuanced and conditional on factors not easily anticipated. The method also allows topics to emerge organically among participants, which lets the researcher know the relative importance of the topics being discussed.</w:t>
      </w:r>
    </w:p>
    <w:p w:rsidR="00991058" w14:paraId="6713E4AD"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0138AEEC" w14:textId="77777777">
      <w:pPr>
        <w:widowControl w:val="0"/>
        <w:tabs>
          <w:tab w:val="left" w:pos="-1440"/>
          <w:tab w:val="left" w:pos="-720"/>
        </w:tabs>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Testbed Studies</w:t>
      </w:r>
      <w:r>
        <w:rPr>
          <w:rFonts w:ascii="Times New Roman" w:eastAsia="Times New Roman" w:hAnsi="Times New Roman" w:cs="Times New Roman"/>
          <w:sz w:val="24"/>
          <w:szCs w:val="24"/>
        </w:rPr>
        <w:t>: This method involves creating a naturalistic decision environment in which new/developing forecast tools are demonstrated and users provide feedback on their design and utility. Specific data collection methods leveraged within a testbed environment can include all of the items listed above, and often, participants provide feedback through multiple of these methods.</w:t>
      </w:r>
      <w:r>
        <w:rPr>
          <w:rFonts w:ascii="Times New Roman" w:eastAsia="Times New Roman" w:hAnsi="Times New Roman" w:cs="Times New Roman"/>
          <w:sz w:val="24"/>
          <w:szCs w:val="24"/>
          <w:u w:val="single"/>
        </w:rPr>
        <w:t xml:space="preserve">    </w:t>
      </w:r>
    </w:p>
    <w:p w:rsidR="00991058" w14:paraId="769B40B0" w14:textId="77777777">
      <w:pPr>
        <w:widowControl w:val="0"/>
        <w:tabs>
          <w:tab w:val="left" w:pos="-1440"/>
          <w:tab w:val="left" w:pos="-720"/>
        </w:tabs>
        <w:spacing w:line="240" w:lineRule="auto"/>
        <w:rPr>
          <w:rFonts w:ascii="Times New Roman" w:eastAsia="Times New Roman" w:hAnsi="Times New Roman" w:cs="Times New Roman"/>
          <w:b/>
          <w:sz w:val="24"/>
          <w:szCs w:val="24"/>
        </w:rPr>
      </w:pPr>
    </w:p>
    <w:p w:rsidR="00991058" w14:paraId="3D0D9F8B"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Procedures for Clearance</w:t>
      </w:r>
    </w:p>
    <w:p w:rsidR="00991058" w14:paraId="4EAE6366" w14:textId="77777777">
      <w:pPr>
        <w:widowControl w:val="0"/>
        <w:tabs>
          <w:tab w:val="left" w:pos="-1440"/>
          <w:tab w:val="left" w:pos="-720"/>
        </w:tabs>
        <w:spacing w:line="240" w:lineRule="auto"/>
        <w:ind w:firstLine="480"/>
        <w:rPr>
          <w:rFonts w:ascii="Times New Roman" w:eastAsia="Times New Roman" w:hAnsi="Times New Roman" w:cs="Times New Roman"/>
          <w:sz w:val="24"/>
          <w:szCs w:val="24"/>
        </w:rPr>
      </w:pPr>
    </w:p>
    <w:p w:rsidR="00991058" w14:paraId="132819F9"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any activity is undertaken, the NWS will provide OMB with a generic information collection request that includes a supporting statement describing the data collection to be conducted and its intended purpose. If relevant, a copy of instruments or debriefing materials will be included. Depending on the specific activity, this may be a printed questionnaire, a set of prototype items, or an interview script. The NWS requests that OMB raise comments on substantive issues within 10 working days of receipt</w:t>
      </w:r>
      <w:r>
        <w:rPr>
          <w:rFonts w:ascii="Times New Roman" w:eastAsia="Times New Roman" w:hAnsi="Times New Roman" w:cs="Times New Roman"/>
          <w:sz w:val="24"/>
          <w:szCs w:val="24"/>
        </w:rPr>
        <w:t>. The NWS also requests that OMB allows up to five data collections under review at one time under this generic clearance.</w:t>
      </w:r>
    </w:p>
    <w:p w:rsidR="00991058" w14:paraId="047917BD"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34905C91"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is authorized under the Weather Research and Forecasting Innovation Act of 2017 in which Congress called upon NOAA to “improve the understanding of how the public receives, interprets, and responds to warnings and forecasts of high impact weather events that endanger life and property.”</w:t>
      </w:r>
    </w:p>
    <w:p w:rsidR="00991058" w14:paraId="213BF547"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143D6D07"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Indicate how, by whom, and for what purpose the information is to be used. Except for a </w:t>
      </w:r>
      <w:r>
        <w:rPr>
          <w:rFonts w:ascii="Times New Roman" w:eastAsia="Times New Roman" w:hAnsi="Times New Roman" w:cs="Times New Roman"/>
          <w:b/>
          <w:sz w:val="24"/>
          <w:szCs w:val="24"/>
        </w:rPr>
        <w:t>new collection, indicate the actual use the agency has made of the information received from the current collection.</w:t>
      </w:r>
    </w:p>
    <w:p w:rsidR="00991058" w14:paraId="138C5CEB"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0AD55FC4"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collected under this program will be used by staff from the NWS to create more effective products, services, and information, better understand and serve its public and partners, and build stronger relationships with its end users. None of the data collected under this clearance will be published for its own sake. The results may also be prepared for presentations at professional meetings or publications on the NWS websites.</w:t>
      </w:r>
    </w:p>
    <w:p w:rsidR="00991058" w14:paraId="36C7A51D"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24162B3E"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quality is an integral part of the pre-dissemination review by the NWS, which abides by the </w:t>
      </w:r>
      <w:hyperlink r:id="rId4">
        <w:r>
          <w:rPr>
            <w:rFonts w:ascii="Times New Roman" w:eastAsia="Times New Roman" w:hAnsi="Times New Roman" w:cs="Times New Roman"/>
            <w:color w:val="1155CC"/>
            <w:sz w:val="24"/>
            <w:szCs w:val="24"/>
            <w:highlight w:val="white"/>
            <w:u w:val="single"/>
          </w:rPr>
          <w:t xml:space="preserve">Scientific Integrity Policy (NAO </w:t>
        </w:r>
      </w:hyperlink>
      <w:hyperlink r:id="rId4">
        <w:r>
          <w:rPr>
            <w:rFonts w:ascii="Times New Roman" w:eastAsia="Times New Roman" w:hAnsi="Times New Roman" w:cs="Times New Roman"/>
            <w:color w:val="1155CC"/>
            <w:sz w:val="24"/>
            <w:szCs w:val="24"/>
            <w:highlight w:val="white"/>
            <w:u w:val="single"/>
          </w:rPr>
          <w:t>202-735D-3</w:t>
        </w:r>
      </w:hyperlink>
      <w:hyperlink r:id="rId4">
        <w:r>
          <w:rPr>
            <w:rFonts w:ascii="Times New Roman" w:eastAsia="Times New Roman" w:hAnsi="Times New Roman" w:cs="Times New Roman"/>
            <w:color w:val="1155CC"/>
            <w:sz w:val="24"/>
            <w:szCs w:val="24"/>
            <w:highlight w:val="white"/>
            <w:u w:val="single"/>
          </w:rPr>
          <w:t>)</w:t>
        </w:r>
      </w:hyperlink>
      <w:r>
        <w:rPr>
          <w:rFonts w:ascii="Times New Roman" w:eastAsia="Times New Roman" w:hAnsi="Times New Roman" w:cs="Times New Roman"/>
          <w:sz w:val="24"/>
          <w:szCs w:val="24"/>
        </w:rPr>
        <w:t>. This NAO is accompanied and supported by the “</w:t>
      </w:r>
      <w:hyperlink r:id="rId5">
        <w:r>
          <w:rPr>
            <w:rFonts w:ascii="Times New Roman" w:eastAsia="Times New Roman" w:hAnsi="Times New Roman" w:cs="Times New Roman"/>
            <w:color w:val="1155CC"/>
            <w:sz w:val="24"/>
            <w:szCs w:val="24"/>
            <w:highlight w:val="white"/>
            <w:u w:val="single"/>
          </w:rPr>
          <w:t>Scientific Integrity Procedural Handbook</w:t>
        </w:r>
      </w:hyperlink>
      <w:r>
        <w:rPr>
          <w:rFonts w:ascii="Times New Roman" w:eastAsia="Times New Roman" w:hAnsi="Times New Roman" w:cs="Times New Roman"/>
          <w:sz w:val="24"/>
          <w:szCs w:val="24"/>
        </w:rPr>
        <w:t>, which explains NOAA’s procedures for responding to allegations of scientific misconduct. Information quality is also integral to the information collections conducted by the NWS and is incorporated into the clearance process required by the Paperwork Reduction Act (PRA).</w:t>
      </w:r>
    </w:p>
    <w:p w:rsidR="00991058" w14:paraId="0185BDF9"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02D5A1C6"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91058" w14:paraId="58ABD1C4"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529B3151"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the extent possible the NWS will use automated data collection techniques, such as automated methods for survey data collection or machine learning for qualitative data coding. This clearance offers the NWS the opportunity to try innovative technologies that would reduce burden and increase the use of information technology.</w:t>
      </w:r>
    </w:p>
    <w:p w:rsidR="00991058" w14:paraId="26BFCB3E" w14:textId="77777777">
      <w:pPr>
        <w:widowControl w:val="0"/>
        <w:tabs>
          <w:tab w:val="left" w:pos="-1440"/>
          <w:tab w:val="left" w:pos="-720"/>
        </w:tabs>
        <w:spacing w:line="240" w:lineRule="auto"/>
        <w:ind w:firstLine="480"/>
        <w:rPr>
          <w:rFonts w:ascii="Times New Roman" w:eastAsia="Times New Roman" w:hAnsi="Times New Roman" w:cs="Times New Roman"/>
          <w:sz w:val="24"/>
          <w:szCs w:val="24"/>
        </w:rPr>
      </w:pPr>
    </w:p>
    <w:p w:rsidR="00991058" w14:paraId="26E4C2B2" w14:textId="77777777">
      <w:pPr>
        <w:keepNext/>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Describe efforts to identify duplication. Show specifically why any similar information already available cannot be used or modified for use for the purposes described in Question 2</w:t>
      </w:r>
    </w:p>
    <w:p w:rsidR="00991058" w14:paraId="310DF0D8"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7EDD6190"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collection and analysis under this clearance will not duplicate any other work being conducted by the NWS or other federal and non-federal agencies that may collaborate in this work. Additionally, to the extent possible, the NWS will make use of existing information, including reviewing results of previous research to build upon past efforts.</w:t>
      </w:r>
    </w:p>
    <w:p w:rsidR="00991058" w14:paraId="0DF4BC04"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00DD8BBF"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If the collection of information impacts small businesses or other small entities, describe any methods used to minimize burden.</w:t>
      </w:r>
    </w:p>
    <w:p w:rsidR="00991058" w14:paraId="4E46CAE5"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0CE288FD" w14:textId="77777777">
      <w:pPr>
        <w:widowControl w:val="0"/>
        <w:tabs>
          <w:tab w:val="left" w:pos="-1440"/>
          <w:tab w:val="left" w:pos="-720"/>
        </w:tabs>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The NWS seeks to create efficiency and organization by streamlining data collection efforts under this generic clearance to minimize duplication, reduce burden on its public and partners, and reduce the number of active control numbers. Every effort will be made to design relatively small-scale data collection efforts as often as possible to minimize the amount of burden. Additionally, the NWS will employ pre-testing of instruments with federal employees and/or nine or less non-federal individuals to ensure</w:t>
      </w:r>
      <w:r>
        <w:rPr>
          <w:rFonts w:ascii="Times New Roman" w:eastAsia="Times New Roman" w:hAnsi="Times New Roman" w:cs="Times New Roman"/>
          <w:sz w:val="24"/>
          <w:szCs w:val="24"/>
        </w:rPr>
        <w:t xml:space="preserve"> questions are relevant and understandable before large-scale data collection. They will also use only the sample size necessary to gain thematic saturation and/or statistical significance to ensure the minimum number of respondents are contacted.</w:t>
      </w:r>
    </w:p>
    <w:p w:rsidR="00991058" w14:paraId="69AE1006" w14:textId="77777777">
      <w:pPr>
        <w:widowControl w:val="0"/>
        <w:tabs>
          <w:tab w:val="left" w:pos="-1440"/>
          <w:tab w:val="left" w:pos="-720"/>
        </w:tabs>
        <w:spacing w:line="240" w:lineRule="auto"/>
        <w:ind w:firstLine="480"/>
        <w:rPr>
          <w:rFonts w:ascii="Times New Roman" w:eastAsia="Times New Roman" w:hAnsi="Times New Roman" w:cs="Times New Roman"/>
          <w:sz w:val="20"/>
          <w:szCs w:val="20"/>
        </w:rPr>
      </w:pPr>
    </w:p>
    <w:p w:rsidR="00991058" w14:paraId="55A9A645"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Describe the consequence to Federal program or policy activities if the collection is not conducted or is conducted less frequently, as well as any technical or legal obstacles to reducing burden.</w:t>
      </w:r>
    </w:p>
    <w:p w:rsidR="00991058" w14:paraId="685C9B14"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43B62B54"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Without the ability to efficiently collect data and perform risk communication and evaluation research, the NWS will not be able to effectively improve their service to society. Better understanding of NWS users, meaningfully engaging with core partners, and evaluating NWS efforts are crucial processes in meeting the mission of protecting lives, property, and enhancing the national economy. These data collection efforts offer a line of communication between the NWS and its users and serve as an important op</w:t>
      </w:r>
      <w:r>
        <w:rPr>
          <w:rFonts w:ascii="Times New Roman" w:eastAsia="Times New Roman" w:hAnsi="Times New Roman" w:cs="Times New Roman"/>
          <w:sz w:val="24"/>
          <w:szCs w:val="24"/>
        </w:rPr>
        <w:t xml:space="preserve">portunity to build and strengthen relationships with them. </w:t>
      </w:r>
    </w:p>
    <w:p w:rsidR="00991058" w14:paraId="3EA8FFEB"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746EC25E"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Explain any special circumstances that would cause an information collection to be conducted in a manner inconsistent with OMB guidelines.</w:t>
      </w:r>
    </w:p>
    <w:p w:rsidR="00991058" w14:paraId="582394D8"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681216AE"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collection will be conducted in a manner consistent with OMB guidelines.</w:t>
      </w:r>
    </w:p>
    <w:p w:rsidR="00991058" w14:paraId="18FD06DA"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3DFC936A"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 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91058" w14:paraId="1DB02885"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0A0F3616"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Federal Register Notice was published on August 30, 2024, (89 FR 70603) seeking public comment. We received one comment on August 30, 2024, from Jean Public. Due to lack of relevance, no action was taken in response to the comment. A copy of the comment received is included in this submission.</w:t>
      </w:r>
    </w:p>
    <w:p w:rsidR="00991058" w14:paraId="049A8D36"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38281255"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staff from Federal weather, water and climate research laboratories may occur as part of joint research efforts. These consultations may include discussions concerning the clarity of questions and instructions, the appropriateness of research methods, and other aspects of respondent burden. It may also include coordination of research conducted within joint research facilities, such as NOAA testbeds, which are managed collaboratively by NWS, NOAA Research, and federal laboratories. Collabo</w:t>
      </w:r>
      <w:r>
        <w:rPr>
          <w:rFonts w:ascii="Times New Roman" w:eastAsia="Times New Roman" w:hAnsi="Times New Roman" w:cs="Times New Roman"/>
          <w:sz w:val="24"/>
          <w:szCs w:val="24"/>
        </w:rPr>
        <w:t>rative work performed in testbeds frequently includes NOAA employees from across the agency, NOAA affiliates from NOAA cooperative institutes, and researchers from partner federal agencies, and these researchers are therefore covered under this generic clearance. Additional efforts to consult with potential respondents to obtain their views on the availability of data, clarity of instructions, interpretation of questions for validation purposes, etc., may be undertaken as part of the research that is conduc</w:t>
      </w:r>
      <w:r>
        <w:rPr>
          <w:rFonts w:ascii="Times New Roman" w:eastAsia="Times New Roman" w:hAnsi="Times New Roman" w:cs="Times New Roman"/>
          <w:sz w:val="24"/>
          <w:szCs w:val="24"/>
        </w:rPr>
        <w:t>ted under this clearance.</w:t>
      </w:r>
    </w:p>
    <w:p w:rsidR="00991058" w14:paraId="745405D1" w14:textId="77777777">
      <w:pPr>
        <w:widowControl w:val="0"/>
        <w:tabs>
          <w:tab w:val="left" w:pos="-1440"/>
          <w:tab w:val="left" w:pos="-720"/>
        </w:tabs>
        <w:spacing w:line="240" w:lineRule="auto"/>
        <w:rPr>
          <w:rFonts w:ascii="Times New Roman" w:eastAsia="Times New Roman" w:hAnsi="Times New Roman" w:cs="Times New Roman"/>
          <w:b/>
          <w:sz w:val="20"/>
          <w:szCs w:val="20"/>
        </w:rPr>
      </w:pPr>
    </w:p>
    <w:p w:rsidR="00991058" w14:paraId="567012F1"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Explain any decision to provide any payment or gift to respondents, other than remuneration of contractors or grantees.</w:t>
      </w:r>
    </w:p>
    <w:p w:rsidR="00991058" w14:paraId="249396AC"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4D080645" w14:textId="77777777">
      <w:pPr>
        <w:widowControl w:val="0"/>
        <w:tabs>
          <w:tab w:val="left" w:pos="-1440"/>
          <w:tab w:val="left" w:pos="-720"/>
        </w:tabs>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Respondents will typically not be compensated as part of these data collection efforts. In some cases, the NWS may contract with an outside vendor to collect data, and the contractor may request the use of compensation for difficult recruitments. The NWS would ensure that proper justification is included in the Supporting Statements of the individual submissions.</w:t>
      </w:r>
    </w:p>
    <w:p w:rsidR="00991058" w14:paraId="47E57156"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4839DC24"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Describe any assurance of confidentiality provided to respondents and the basis for the assurance in statute, regulation, or agency policy. If the collection requires a </w:t>
      </w:r>
      <w:r>
        <w:rPr>
          <w:rFonts w:ascii="Times New Roman" w:eastAsia="Times New Roman" w:hAnsi="Times New Roman" w:cs="Times New Roman"/>
          <w:b/>
          <w:sz w:val="24"/>
          <w:szCs w:val="24"/>
        </w:rPr>
        <w:t>systems of records notice (SORN)</w:t>
      </w:r>
      <w:r>
        <w:rPr>
          <w:rFonts w:ascii="Times New Roman" w:eastAsia="Times New Roman" w:hAnsi="Times New Roman" w:cs="Times New Roman"/>
          <w:b/>
          <w:sz w:val="24"/>
          <w:szCs w:val="24"/>
        </w:rPr>
        <w:t xml:space="preserve"> or privacy impact assessment (PIA), those should be cited and described here.</w:t>
      </w:r>
    </w:p>
    <w:p w:rsidR="00991058" w14:paraId="6EBF1A21"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345A6803"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respondents who participate in research under this clearance will be informed that their participation is voluntary and that all of the information they provide may be used only for research purposes and may not be disclosed, or used, in identifiable form for any other purpose except as required by law (6 U.S.C. §151). For in person and virtual focus groups and interviews, this information will be conveyed verbally by the interviewer. For Internet-based data collections, this information will be display</w:t>
      </w:r>
      <w:r>
        <w:rPr>
          <w:rFonts w:ascii="Times New Roman" w:eastAsia="Times New Roman" w:hAnsi="Times New Roman" w:cs="Times New Roman"/>
          <w:sz w:val="24"/>
          <w:szCs w:val="24"/>
        </w:rPr>
        <w:t>ed prominently, and in a format that allows the respondent to print it out. The NWS will always display the Public Burden Statement and the OMB number and expiration date. No participant direct identifiers will be maintained as part of research under this generic clearance.</w:t>
      </w:r>
    </w:p>
    <w:p w:rsidR="00991058" w14:paraId="0B551708" w14:textId="77777777">
      <w:pPr>
        <w:widowControl w:val="0"/>
        <w:spacing w:line="240" w:lineRule="auto"/>
        <w:rPr>
          <w:rFonts w:ascii="Times New Roman" w:eastAsia="Times New Roman" w:hAnsi="Times New Roman" w:cs="Times New Roman"/>
          <w:sz w:val="24"/>
          <w:szCs w:val="24"/>
        </w:rPr>
      </w:pPr>
    </w:p>
    <w:p w:rsidR="00991058" w14:paraId="5A613C83"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91058" w14:paraId="5F5B46AE"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4BB359ED"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that are included in the NWS data collections are not of a sensitive nature and should not pose a problem to respondents. </w:t>
      </w:r>
    </w:p>
    <w:p w:rsidR="00991058" w14:paraId="3A8DB556"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69726EB8"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Provide estimates of the hour burden of the collection of information.</w:t>
      </w:r>
    </w:p>
    <w:p w:rsidR="00991058" w14:paraId="660E77D0"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541740C6"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estimate that the number of people involved in our work will be at most 6,000 per year. We estimate the annual burden hours will be approximately 0.5 hours per person or an annualized 3,000 hours overall. The total estimated respondent burden is 9,000 hours for the 3-year period beginning on the date of OMB approval in 20XX:</w:t>
      </w:r>
    </w:p>
    <w:p w:rsidR="00991058" w14:paraId="1B1CE072" w14:textId="77777777">
      <w:pPr>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sz w:val="20"/>
          <w:szCs w:val="20"/>
        </w:rPr>
      </w:pPr>
    </w:p>
    <w:tbl>
      <w:tblPr>
        <w:tblStyle w:val="a"/>
        <w:tblW w:w="105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09"/>
        <w:gridCol w:w="2210"/>
        <w:gridCol w:w="2210"/>
        <w:gridCol w:w="3873"/>
      </w:tblGrid>
      <w:tr w14:paraId="3756C314" w14:textId="77777777">
        <w:tblPrEx>
          <w:tblW w:w="105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209" w:type="dxa"/>
            <w:vAlign w:val="center"/>
          </w:tcPr>
          <w:p w:rsidR="00991058" w14:paraId="3DDB3A33" w14:textId="7777777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Period</w:t>
            </w:r>
          </w:p>
        </w:tc>
        <w:tc>
          <w:tcPr>
            <w:tcW w:w="2210" w:type="dxa"/>
            <w:vAlign w:val="center"/>
          </w:tcPr>
          <w:p w:rsidR="00991058" w14:paraId="1E5486A1" w14:textId="7777777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Respondents</w:t>
            </w:r>
          </w:p>
        </w:tc>
        <w:tc>
          <w:tcPr>
            <w:tcW w:w="2210" w:type="dxa"/>
            <w:vAlign w:val="center"/>
          </w:tcPr>
          <w:p w:rsidR="00991058" w14:paraId="2BBD88A2" w14:textId="7777777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Responses</w:t>
            </w:r>
          </w:p>
        </w:tc>
        <w:tc>
          <w:tcPr>
            <w:tcW w:w="3873" w:type="dxa"/>
            <w:vAlign w:val="center"/>
          </w:tcPr>
          <w:p w:rsidR="00991058" w14:paraId="212F86E5" w14:textId="7777777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Respondent burden (hours)</w:t>
            </w:r>
          </w:p>
        </w:tc>
      </w:tr>
      <w:tr w14:paraId="0E8A2DD4" w14:textId="77777777">
        <w:tblPrEx>
          <w:tblW w:w="10502" w:type="dxa"/>
          <w:tblInd w:w="0" w:type="dxa"/>
          <w:tblLayout w:type="fixed"/>
          <w:tblLook w:val="0400"/>
        </w:tblPrEx>
        <w:tc>
          <w:tcPr>
            <w:tcW w:w="2209" w:type="dxa"/>
            <w:vAlign w:val="center"/>
          </w:tcPr>
          <w:p w:rsidR="00991058" w14:paraId="16869F79"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 2026</w:t>
            </w:r>
          </w:p>
        </w:tc>
        <w:tc>
          <w:tcPr>
            <w:tcW w:w="2210" w:type="dxa"/>
            <w:vAlign w:val="center"/>
          </w:tcPr>
          <w:p w:rsidR="00991058" w14:paraId="45A0AA31"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2210" w:type="dxa"/>
            <w:vAlign w:val="center"/>
          </w:tcPr>
          <w:p w:rsidR="00991058" w14:paraId="3FADED59"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3873" w:type="dxa"/>
            <w:vAlign w:val="center"/>
          </w:tcPr>
          <w:p w:rsidR="00991058" w14:paraId="0E77371E"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r>
      <w:tr w14:paraId="36400852" w14:textId="77777777">
        <w:tblPrEx>
          <w:tblW w:w="10502" w:type="dxa"/>
          <w:tblInd w:w="0" w:type="dxa"/>
          <w:tblLayout w:type="fixed"/>
          <w:tblLook w:val="0400"/>
        </w:tblPrEx>
        <w:tc>
          <w:tcPr>
            <w:tcW w:w="2209" w:type="dxa"/>
            <w:vAlign w:val="center"/>
          </w:tcPr>
          <w:p w:rsidR="00991058" w14:paraId="660CCCC5"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 – 2027</w:t>
            </w:r>
          </w:p>
        </w:tc>
        <w:tc>
          <w:tcPr>
            <w:tcW w:w="2210" w:type="dxa"/>
            <w:vAlign w:val="center"/>
          </w:tcPr>
          <w:p w:rsidR="00991058" w14:paraId="14188899"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2210" w:type="dxa"/>
            <w:vAlign w:val="center"/>
          </w:tcPr>
          <w:p w:rsidR="00991058" w14:paraId="0C3CFFB2"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3873" w:type="dxa"/>
            <w:vAlign w:val="center"/>
          </w:tcPr>
          <w:p w:rsidR="00991058" w14:paraId="1B2A064A"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r>
      <w:tr w14:paraId="789628BF" w14:textId="77777777">
        <w:tblPrEx>
          <w:tblW w:w="10502" w:type="dxa"/>
          <w:tblInd w:w="0" w:type="dxa"/>
          <w:tblLayout w:type="fixed"/>
          <w:tblLook w:val="0400"/>
        </w:tblPrEx>
        <w:tc>
          <w:tcPr>
            <w:tcW w:w="2209" w:type="dxa"/>
            <w:vAlign w:val="center"/>
          </w:tcPr>
          <w:p w:rsidR="00991058" w14:paraId="518BF78C"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 – 2028</w:t>
            </w:r>
          </w:p>
        </w:tc>
        <w:tc>
          <w:tcPr>
            <w:tcW w:w="2210" w:type="dxa"/>
            <w:vAlign w:val="center"/>
          </w:tcPr>
          <w:p w:rsidR="00991058" w14:paraId="01A493D3"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2210" w:type="dxa"/>
            <w:vAlign w:val="center"/>
          </w:tcPr>
          <w:p w:rsidR="00991058" w14:paraId="21C7B097"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3873" w:type="dxa"/>
            <w:vAlign w:val="center"/>
          </w:tcPr>
          <w:p w:rsidR="00991058" w14:paraId="04CE4769"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r>
      <w:tr w14:paraId="58EFD11E" w14:textId="77777777">
        <w:tblPrEx>
          <w:tblW w:w="10502" w:type="dxa"/>
          <w:tblInd w:w="0" w:type="dxa"/>
          <w:tblLayout w:type="fixed"/>
          <w:tblLook w:val="0400"/>
        </w:tblPrEx>
        <w:tc>
          <w:tcPr>
            <w:tcW w:w="2209" w:type="dxa"/>
            <w:vAlign w:val="center"/>
          </w:tcPr>
          <w:p w:rsidR="00991058" w14:paraId="33A62647" w14:textId="7777777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2210" w:type="dxa"/>
            <w:vAlign w:val="center"/>
          </w:tcPr>
          <w:p w:rsidR="00991058" w14:paraId="08174FD5" w14:textId="7777777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18,000</w:t>
            </w:r>
          </w:p>
        </w:tc>
        <w:tc>
          <w:tcPr>
            <w:tcW w:w="2210" w:type="dxa"/>
            <w:vAlign w:val="center"/>
          </w:tcPr>
          <w:p w:rsidR="00991058" w14:paraId="015E5049" w14:textId="7777777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18,000</w:t>
            </w:r>
          </w:p>
        </w:tc>
        <w:tc>
          <w:tcPr>
            <w:tcW w:w="3873" w:type="dxa"/>
            <w:vAlign w:val="center"/>
          </w:tcPr>
          <w:p w:rsidR="00991058" w14:paraId="1A3AB2F3" w14:textId="7777777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9,000</w:t>
            </w:r>
          </w:p>
        </w:tc>
      </w:tr>
    </w:tbl>
    <w:p w:rsidR="00991058" w14:paraId="03366420" w14:textId="77777777">
      <w:pPr>
        <w:widowControl w:val="0"/>
        <w:tabs>
          <w:tab w:val="center" w:pos="4860"/>
          <w:tab w:val="center" w:pos="7560"/>
          <w:tab w:val="right" w:pos="9270"/>
        </w:tabs>
        <w:spacing w:line="240" w:lineRule="auto"/>
        <w:ind w:left="720"/>
        <w:rPr>
          <w:rFonts w:ascii="Times New Roman" w:eastAsia="Times New Roman" w:hAnsi="Times New Roman" w:cs="Times New Roman"/>
          <w:sz w:val="2"/>
          <w:szCs w:val="2"/>
        </w:rPr>
      </w:pPr>
    </w:p>
    <w:p w:rsidR="00991058" w14:paraId="58ABD0ED" w14:textId="77777777">
      <w:pPr>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sz w:val="20"/>
          <w:szCs w:val="20"/>
        </w:rPr>
      </w:pPr>
    </w:p>
    <w:p w:rsidR="00991058" w14:paraId="527B01DF"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variety of forms will be used in conducting the research under this clearance, and the exact number of different forms, length of each form, and number of subjects/respondents per form are unknown at this time. Similarly, the exact respondents are unknown but are likely to include members of the public, emergency managers, broadcast meteorologists, state/local/tribal decision makers, and non-profit organizations. </w:t>
      </w:r>
    </w:p>
    <w:p w:rsidR="00991058" w14:paraId="54039676"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28B00D87" w14:textId="676A82B1">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estimate that the average number of generic information collections that OMB may expect to receive under this clearance to be less than 10 submissions each year. The estimates used in this section will be updated at the end of the three-year</w:t>
      </w:r>
      <w:r>
        <w:rPr>
          <w:rFonts w:ascii="Times New Roman" w:eastAsia="Times New Roman" w:hAnsi="Times New Roman" w:cs="Times New Roman"/>
          <w:sz w:val="24"/>
          <w:szCs w:val="24"/>
        </w:rPr>
        <w:t xml:space="preserve"> period.</w:t>
      </w:r>
    </w:p>
    <w:p w:rsidR="00991058" w14:paraId="0503B3A9"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7A101609"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Provide an estimate for the total annual cost burden to respondents or record keepers resulting from the collection of information. (Do not include the cost of any hour burden already reflected on the burden worksheet).</w:t>
      </w:r>
    </w:p>
    <w:p w:rsidR="00991058" w14:paraId="562A4796"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2F092A1F"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cost to respondents for participating in the research being conducted under this clearance, except for their time to complete the requested activity.</w:t>
      </w:r>
    </w:p>
    <w:p w:rsidR="00991058" w14:paraId="0DA1BEEE"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112677DF"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991058" w14:paraId="0BD15D76"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79FB3B39"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way to anticipate the actual number of participants, duration, and/or mode of data collection to be conducted under this clearance. Thus, it is impossible to estimate in advance the cost to the Federal Government. Costs will be covered by divisions conducting the research from their data collection budgets. We will include information about costs in the individual submissions.</w:t>
      </w:r>
    </w:p>
    <w:p w:rsidR="00991058" w14:paraId="361C0539"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6C013DF0"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Explain the reasons for any program changes or adjustments reported in ROCIS.</w:t>
      </w:r>
    </w:p>
    <w:p w:rsidR="00991058" w14:paraId="06B1FF0D"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759247B2"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new request for a generic clearance.</w:t>
      </w:r>
    </w:p>
    <w:p w:rsidR="00991058" w14:paraId="07D57DCA" w14:textId="77777777">
      <w:pPr>
        <w:widowControl w:val="0"/>
        <w:tabs>
          <w:tab w:val="left" w:pos="-1440"/>
          <w:tab w:val="left" w:pos="-720"/>
        </w:tabs>
        <w:spacing w:line="240" w:lineRule="auto"/>
        <w:rPr>
          <w:rFonts w:ascii="Times New Roman" w:eastAsia="Times New Roman" w:hAnsi="Times New Roman" w:cs="Times New Roman"/>
          <w:sz w:val="24"/>
          <w:szCs w:val="24"/>
        </w:rPr>
      </w:pPr>
    </w:p>
    <w:p w:rsidR="00991058" w14:paraId="24476741"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91058" w14:paraId="6250FD48"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581196BC" w14:textId="77777777">
      <w:pPr>
        <w:widowControl w:val="0"/>
        <w:tabs>
          <w:tab w:val="left" w:pos="-1440"/>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to the nature of this clearance, there is no definite or tentative time schedule for individual testing activities at this point. We expect work to continue more or less continuously throughout the duration of the clearance.</w:t>
      </w:r>
    </w:p>
    <w:p w:rsidR="00991058" w14:paraId="35D0937F"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1DB749E1"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If seeking approval to not display the expiration date for OMB approval of the information collection, explain the reasons that display would be inappropriate.</w:t>
      </w:r>
    </w:p>
    <w:p w:rsidR="00991058" w14:paraId="1B99EEF1" w14:textId="77777777">
      <w:pPr>
        <w:widowControl w:val="0"/>
        <w:tabs>
          <w:tab w:val="left" w:pos="-1440"/>
          <w:tab w:val="left" w:pos="-720"/>
        </w:tabs>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agency plans to display the expiration date for OMB approval of the information collection on all instruments.</w:t>
      </w:r>
    </w:p>
    <w:p w:rsidR="00991058" w14:paraId="7B7061D9" w14:textId="77777777">
      <w:pPr>
        <w:widowControl w:val="0"/>
        <w:tabs>
          <w:tab w:val="left" w:pos="-1440"/>
          <w:tab w:val="left" w:pos="-720"/>
        </w:tabs>
        <w:spacing w:line="240" w:lineRule="auto"/>
        <w:rPr>
          <w:rFonts w:ascii="Times New Roman" w:eastAsia="Times New Roman" w:hAnsi="Times New Roman" w:cs="Times New Roman"/>
          <w:sz w:val="20"/>
          <w:szCs w:val="20"/>
        </w:rPr>
      </w:pPr>
    </w:p>
    <w:p w:rsidR="00991058" w14:paraId="2166BAEB" w14:textId="77777777">
      <w:pPr>
        <w:widowControl w:val="0"/>
        <w:tabs>
          <w:tab w:val="left" w:pos="-1440"/>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Explain each exception to the certification statement identified in “Certification for Paperwork Reduction Act Submissions."</w:t>
      </w:r>
    </w:p>
    <w:p w:rsidR="00991058" w14:paraId="7D1D9139" w14:textId="77777777">
      <w:pPr>
        <w:widowControl w:val="0"/>
        <w:spacing w:before="221" w:line="259" w:lineRule="auto"/>
      </w:pPr>
      <w:r>
        <w:rPr>
          <w:rFonts w:ascii="Times New Roman" w:eastAsia="Times New Roman" w:hAnsi="Times New Roman" w:cs="Times New Roman"/>
          <w:sz w:val="24"/>
          <w:szCs w:val="24"/>
        </w:rPr>
        <w:t xml:space="preserve">The agency certifies compliance with </w:t>
      </w:r>
      <w:hyperlink r:id="rId6">
        <w:r>
          <w:rPr>
            <w:rFonts w:ascii="Times New Roman" w:eastAsia="Times New Roman" w:hAnsi="Times New Roman" w:cs="Times New Roman"/>
            <w:color w:val="0563C1"/>
            <w:sz w:val="24"/>
            <w:szCs w:val="24"/>
            <w:u w:val="single"/>
          </w:rPr>
          <w:t>5 CFR 1320.9</w:t>
        </w:r>
      </w:hyperlink>
      <w:hyperlink r:id="rId6">
        <w:r>
          <w:rPr>
            <w:rFonts w:ascii="Times New Roman" w:eastAsia="Times New Roman" w:hAnsi="Times New Roman" w:cs="Times New Roman"/>
            <w:color w:val="0563C1"/>
            <w:sz w:val="24"/>
            <w:szCs w:val="24"/>
          </w:rPr>
          <w:t xml:space="preserve"> </w:t>
        </w:r>
      </w:hyperlink>
      <w:r>
        <w:rPr>
          <w:rFonts w:ascii="Times New Roman" w:eastAsia="Times New Roman" w:hAnsi="Times New Roman" w:cs="Times New Roman"/>
          <w:sz w:val="24"/>
          <w:szCs w:val="24"/>
        </w:rPr>
        <w:t xml:space="preserve">and the related provisions of </w:t>
      </w:r>
      <w:hyperlink r:id="rId7">
        <w:r>
          <w:rPr>
            <w:rFonts w:ascii="Times New Roman" w:eastAsia="Times New Roman" w:hAnsi="Times New Roman" w:cs="Times New Roman"/>
            <w:color w:val="0563C1"/>
            <w:sz w:val="24"/>
            <w:szCs w:val="24"/>
            <w:u w:val="single"/>
          </w:rPr>
          <w:t>5 CFR</w:t>
        </w:r>
      </w:hyperlink>
      <w:r>
        <w:rPr>
          <w:rFonts w:ascii="Times New Roman" w:eastAsia="Times New Roman" w:hAnsi="Times New Roman" w:cs="Times New Roman"/>
          <w:color w:val="0563C1"/>
          <w:sz w:val="24"/>
          <w:szCs w:val="24"/>
        </w:rPr>
        <w:t xml:space="preserve"> </w:t>
      </w:r>
      <w:hyperlink r:id="rId7">
        <w:r>
          <w:rPr>
            <w:rFonts w:ascii="Times New Roman" w:eastAsia="Times New Roman" w:hAnsi="Times New Roman" w:cs="Times New Roman"/>
            <w:color w:val="0563C1"/>
            <w:sz w:val="24"/>
            <w:szCs w:val="24"/>
            <w:u w:val="single"/>
          </w:rPr>
          <w:t>1320.8(b)(3)</w:t>
        </w:r>
      </w:hyperlink>
      <w:r>
        <w:rPr>
          <w:rFonts w:ascii="Times New Roman" w:eastAsia="Times New Roman" w:hAnsi="Times New Roman" w:cs="Times New Roman"/>
          <w:sz w:val="24"/>
          <w:szCs w:val="24"/>
        </w:rPr>
        <w: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Mono">
    <w:altName w:val="Segoe U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FC3783"/>
    <w:multiLevelType w:val="multilevel"/>
    <w:tmpl w:val="A97A1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929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58"/>
    <w:rsid w:val="00355B37"/>
    <w:rsid w:val="00991058"/>
    <w:rsid w:val="00A246EE"/>
    <w:rsid w:val="00A82E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402ACE"/>
  <w15:docId w15:val="{06904CBF-11DB-417B-B4FD-43B3CAB3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oaa.gov/organization/administration/nao-202-735d-2-scientific-integrity" TargetMode="External" /><Relationship Id="rId5" Type="http://schemas.openxmlformats.org/officeDocument/2006/relationships/hyperlink" Target="https://sciencecouncil.noaa.gov/wp-content/uploads/2022/07/Scientific-Integrity-ProceduralHB_-NAO-202-735D.2_Final.pdf" TargetMode="External" /><Relationship Id="rId6" Type="http://schemas.openxmlformats.org/officeDocument/2006/relationships/hyperlink" Target="http://www.gpo.gov/fdsys/pkg/CFR-2014-title5-vol3/pdf/CFR-2014-title5-vol3-sec1320-9.pdf" TargetMode="External" /><Relationship Id="rId7" Type="http://schemas.openxmlformats.org/officeDocument/2006/relationships/hyperlink" Target="http://www.gpo.gov/fdsys/pkg/CFR-2014-title5-vol3/pdf/CFR-2014-title5-vol3-sec1320-8.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3240</Words>
  <Characters>18471</Characters>
  <Application>Microsoft Office Word</Application>
  <DocSecurity>0</DocSecurity>
  <Lines>153</Lines>
  <Paragraphs>43</Paragraphs>
  <ScaleCrop>false</ScaleCrop>
  <Company>NOAA CORPSRV</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3</cp:revision>
  <dcterms:created xsi:type="dcterms:W3CDTF">2025-06-13T13:04:00Z</dcterms:created>
  <dcterms:modified xsi:type="dcterms:W3CDTF">2025-06-13T13:05:00Z</dcterms:modified>
</cp:coreProperties>
</file>