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602C" w14:paraId="00000001" w14:textId="77777777">
      <w:pPr>
        <w:pStyle w:val="Heading1"/>
        <w:keepNext w:val="0"/>
        <w:keepLines w:val="0"/>
        <w:widowControl w:val="0"/>
        <w:spacing w:before="80" w:after="0" w:line="240" w:lineRule="auto"/>
        <w:jc w:val="center"/>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SUPPORTING STATEMENT Part B</w:t>
      </w:r>
    </w:p>
    <w:p w:rsidR="0057602C" w14:paraId="00000002" w14:textId="77777777">
      <w:pPr>
        <w:widowControl w:val="0"/>
        <w:spacing w:before="22" w:line="259" w:lineRule="auto"/>
        <w:ind w:firstLine="1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 Department of Commerce</w:t>
      </w:r>
    </w:p>
    <w:p w:rsidR="0057602C" w14:paraId="00000003" w14:textId="77777777">
      <w:pPr>
        <w:widowControl w:val="0"/>
        <w:spacing w:before="22" w:line="259" w:lineRule="auto"/>
        <w:ind w:firstLine="1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National Oceanic &amp; Atmospheric Administration</w:t>
      </w:r>
    </w:p>
    <w:p w:rsidR="0057602C" w14:paraId="00000004" w14:textId="7777777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Generic Clearance </w:t>
      </w:r>
      <w:r>
        <w:rPr>
          <w:rFonts w:ascii="Times New Roman" w:eastAsia="Times New Roman" w:hAnsi="Times New Roman" w:cs="Times New Roman"/>
          <w:b/>
          <w:sz w:val="24"/>
          <w:szCs w:val="24"/>
        </w:rPr>
        <w:t>For</w:t>
      </w:r>
      <w:r>
        <w:rPr>
          <w:rFonts w:ascii="Times New Roman" w:eastAsia="Times New Roman" w:hAnsi="Times New Roman" w:cs="Times New Roman"/>
          <w:b/>
          <w:sz w:val="24"/>
          <w:szCs w:val="24"/>
        </w:rPr>
        <w:t xml:space="preserve"> NWS Risk Communication, Evaluation, and Feedback</w:t>
      </w:r>
    </w:p>
    <w:p w:rsidR="0057602C" w14:paraId="00000005" w14:textId="77777777">
      <w:pPr>
        <w:keepNext/>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OMB Control No. 0648-XXXX</w:t>
      </w:r>
    </w:p>
    <w:p w:rsidR="0057602C" w14:paraId="00000006" w14:textId="77777777">
      <w:pPr>
        <w:keepNext/>
        <w:spacing w:line="240" w:lineRule="auto"/>
        <w:jc w:val="center"/>
        <w:rPr>
          <w:rFonts w:ascii="Times New Roman" w:eastAsia="Times New Roman" w:hAnsi="Times New Roman" w:cs="Times New Roman"/>
          <w:b/>
          <w:smallCaps/>
          <w:sz w:val="24"/>
          <w:szCs w:val="24"/>
        </w:rPr>
      </w:pPr>
    </w:p>
    <w:p w:rsidR="0057602C" w14:paraId="00000007" w14:textId="77777777">
      <w:pPr>
        <w:keepNext/>
        <w:spacing w:line="240" w:lineRule="auto"/>
        <w:rPr>
          <w:rFonts w:ascii="Times New Roman" w:eastAsia="Times New Roman" w:hAnsi="Times New Roman" w:cs="Times New Roman"/>
          <w:b/>
          <w:smallCaps/>
          <w:sz w:val="24"/>
          <w:szCs w:val="24"/>
        </w:rPr>
      </w:pPr>
    </w:p>
    <w:p w:rsidR="0057602C" w14:paraId="00000008" w14:textId="77777777">
      <w:pPr>
        <w:keepNext/>
        <w:spacing w:line="240" w:lineRule="auto"/>
        <w:rPr>
          <w:rFonts w:ascii="Times New Roman" w:eastAsia="Times New Roman" w:hAnsi="Times New Roman" w:cs="Times New Roman"/>
          <w:b/>
          <w:sz w:val="24"/>
          <w:szCs w:val="24"/>
          <w:highlight w:val="yellow"/>
        </w:rPr>
      </w:pPr>
    </w:p>
    <w:p w:rsidR="0057602C" w14:paraId="00000009" w14:textId="77777777">
      <w:pPr>
        <w:tabs>
          <w:tab w:val="left" w:pos="-1440"/>
          <w:tab w:val="left" w:pos="-720"/>
        </w:tabs>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B. Collections of Information Employing Statistical Methods</w:t>
      </w:r>
    </w:p>
    <w:p w:rsidR="0057602C" w14:paraId="0000000A"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0B" w14:textId="77777777">
      <w:pPr>
        <w:tabs>
          <w:tab w:val="left" w:pos="-1440"/>
          <w:tab w:val="left" w:pos="-720"/>
          <w:tab w:val="left" w:pos="357"/>
        </w:tabs>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w:t>
      </w:r>
      <w:r>
        <w:rPr>
          <w:rFonts w:ascii="Times New Roman" w:eastAsia="Times New Roman" w:hAnsi="Times New Roman" w:cs="Times New Roman"/>
          <w:b/>
          <w:sz w:val="24"/>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w:t>
      </w:r>
      <w:r>
        <w:rPr>
          <w:rFonts w:ascii="Times New Roman" w:eastAsia="Times New Roman" w:hAnsi="Times New Roman" w:cs="Times New Roman"/>
          <w:b/>
          <w:sz w:val="24"/>
          <w:szCs w:val="24"/>
        </w:rPr>
        <w:t>e collection had been conducted previously, include the actual response rate achieved during the last collection.</w:t>
      </w:r>
    </w:p>
    <w:p w:rsidR="0057602C" w14:paraId="0000000C" w14:textId="77777777">
      <w:pPr>
        <w:tabs>
          <w:tab w:val="left" w:pos="-1440"/>
          <w:tab w:val="left" w:pos="-720"/>
        </w:tabs>
        <w:spacing w:line="240" w:lineRule="auto"/>
        <w:rPr>
          <w:rFonts w:ascii="Times New Roman" w:eastAsia="Times New Roman" w:hAnsi="Times New Roman" w:cs="Times New Roman"/>
          <w:sz w:val="20"/>
          <w:szCs w:val="20"/>
        </w:rPr>
      </w:pPr>
    </w:p>
    <w:p w:rsidR="0057602C" w14:paraId="0000000D" w14:textId="77777777">
      <w:p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 and estimation methods and procedures would vary among the individual collections the National Oceanic and Atmospheric Administration (NOAA) National Weather Service (NWS) would conduct under the requested generic clearance. Therefore, the information provided below for each of the five items in Part B cannot be very specific. A description of the plans for selecting respondents for each individual study will be provided to OMB at the time each instrument is submitted.</w:t>
      </w:r>
    </w:p>
    <w:p w:rsidR="0057602C" w14:paraId="0000000E"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0F" w14:textId="77777777">
      <w:p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appropriate respondent universe will be determined based on the goal of the specific study. For instance, a collection exploring public response to tsunami alerts may target members of the general public a certain distance from the coastline. Other collections will likely target NWS partners and stakeholders rather than the general public, since they serve as primary users and intermediaries in many situations. For example, a respondent universe could be US emergency managers. The sample within that uni</w:t>
      </w:r>
      <w:r>
        <w:rPr>
          <w:rFonts w:ascii="Times New Roman" w:eastAsia="Times New Roman" w:hAnsi="Times New Roman" w:cs="Times New Roman"/>
          <w:sz w:val="24"/>
          <w:szCs w:val="24"/>
        </w:rPr>
        <w:t>verse would be selected in a way that ensures diversity in length of service, geographic location, available resources, and other characteristics.</w:t>
      </w:r>
    </w:p>
    <w:p w:rsidR="0057602C" w14:paraId="00000010"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11" w14:textId="77777777">
      <w:pPr>
        <w:tabs>
          <w:tab w:val="left" w:pos="-1440"/>
          <w:tab w:val="left" w:pos="-720"/>
          <w:tab w:val="left" w:pos="360"/>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b/>
          <w:sz w:val="24"/>
          <w:szCs w:val="24"/>
        </w:rPr>
        <w:tab/>
        <w:t>Describe the procedures for the collection of information including:</w:t>
      </w:r>
    </w:p>
    <w:p w:rsidR="0057602C" w14:paraId="00000012" w14:textId="77777777">
      <w:pPr>
        <w:widowControl w:val="0"/>
        <w:numPr>
          <w:ilvl w:val="1"/>
          <w:numId w:val="1"/>
        </w:numPr>
        <w:tabs>
          <w:tab w:val="left" w:pos="720"/>
        </w:tabs>
        <w:spacing w:before="120" w:line="240" w:lineRule="auto"/>
        <w:ind w:left="360" w:firstLine="0"/>
        <w:rPr>
          <w:rFonts w:ascii="Noto Sans Symbols" w:eastAsia="Noto Sans Symbols" w:hAnsi="Noto Sans Symbols" w:cs="Noto Sans Symbols"/>
          <w:color w:val="2F5496"/>
          <w:sz w:val="20"/>
          <w:szCs w:val="20"/>
        </w:rPr>
      </w:pPr>
      <w:r>
        <w:rPr>
          <w:rFonts w:ascii="Times New Roman" w:eastAsia="Times New Roman" w:hAnsi="Times New Roman" w:cs="Times New Roman"/>
          <w:sz w:val="24"/>
          <w:szCs w:val="24"/>
        </w:rPr>
        <w:t>Statistical methodology for stratification and sample selection,</w:t>
      </w:r>
    </w:p>
    <w:p w:rsidR="0057602C" w14:paraId="00000013" w14:textId="77777777">
      <w:pPr>
        <w:widowControl w:val="0"/>
        <w:numPr>
          <w:ilvl w:val="1"/>
          <w:numId w:val="1"/>
        </w:numPr>
        <w:tabs>
          <w:tab w:val="left" w:pos="720"/>
        </w:tabs>
        <w:spacing w:before="120" w:line="240" w:lineRule="auto"/>
        <w:ind w:left="360" w:firstLine="0"/>
        <w:rPr>
          <w:rFonts w:ascii="Noto Sans Symbols" w:eastAsia="Noto Sans Symbols" w:hAnsi="Noto Sans Symbols" w:cs="Noto Sans Symbols"/>
          <w:color w:val="2F5496"/>
          <w:sz w:val="20"/>
          <w:szCs w:val="20"/>
        </w:rPr>
      </w:pPr>
      <w:r>
        <w:rPr>
          <w:rFonts w:ascii="Times New Roman" w:eastAsia="Times New Roman" w:hAnsi="Times New Roman" w:cs="Times New Roman"/>
          <w:sz w:val="24"/>
          <w:szCs w:val="24"/>
        </w:rPr>
        <w:t>Estimation procedure,</w:t>
      </w:r>
    </w:p>
    <w:p w:rsidR="0057602C" w14:paraId="00000014" w14:textId="77777777">
      <w:pPr>
        <w:widowControl w:val="0"/>
        <w:numPr>
          <w:ilvl w:val="1"/>
          <w:numId w:val="1"/>
        </w:numPr>
        <w:tabs>
          <w:tab w:val="left" w:pos="720"/>
        </w:tabs>
        <w:spacing w:before="120" w:line="240" w:lineRule="auto"/>
        <w:ind w:left="360" w:firstLine="0"/>
        <w:rPr>
          <w:rFonts w:ascii="Noto Sans Symbols" w:eastAsia="Noto Sans Symbols" w:hAnsi="Noto Sans Symbols" w:cs="Noto Sans Symbols"/>
          <w:color w:val="2F5496"/>
          <w:sz w:val="20"/>
          <w:szCs w:val="20"/>
        </w:rPr>
      </w:pPr>
      <w:r>
        <w:rPr>
          <w:rFonts w:ascii="Times New Roman" w:eastAsia="Times New Roman" w:hAnsi="Times New Roman" w:cs="Times New Roman"/>
          <w:sz w:val="24"/>
          <w:szCs w:val="24"/>
        </w:rPr>
        <w:t>Degree of accuracy needed for the purpose described in the justification,</w:t>
      </w:r>
    </w:p>
    <w:p w:rsidR="0057602C" w14:paraId="00000015" w14:textId="77777777">
      <w:pPr>
        <w:widowControl w:val="0"/>
        <w:numPr>
          <w:ilvl w:val="1"/>
          <w:numId w:val="1"/>
        </w:numPr>
        <w:tabs>
          <w:tab w:val="left" w:pos="720"/>
        </w:tabs>
        <w:spacing w:before="120" w:line="240" w:lineRule="auto"/>
        <w:ind w:left="360" w:firstLine="0"/>
        <w:rPr>
          <w:rFonts w:ascii="Noto Sans Symbols" w:eastAsia="Noto Sans Symbols" w:hAnsi="Noto Sans Symbols" w:cs="Noto Sans Symbols"/>
          <w:color w:val="2F5496"/>
          <w:sz w:val="20"/>
          <w:szCs w:val="20"/>
        </w:rPr>
      </w:pPr>
      <w:r>
        <w:rPr>
          <w:rFonts w:ascii="Times New Roman" w:eastAsia="Times New Roman" w:hAnsi="Times New Roman" w:cs="Times New Roman"/>
          <w:sz w:val="24"/>
          <w:szCs w:val="24"/>
        </w:rPr>
        <w:t>Unusual problems requiring specialized sampling procedures, and</w:t>
      </w:r>
    </w:p>
    <w:p w:rsidR="0057602C" w14:paraId="00000016" w14:textId="77777777">
      <w:pPr>
        <w:widowControl w:val="0"/>
        <w:numPr>
          <w:ilvl w:val="1"/>
          <w:numId w:val="1"/>
        </w:numPr>
        <w:tabs>
          <w:tab w:val="left" w:pos="720"/>
        </w:tabs>
        <w:spacing w:before="120" w:line="240" w:lineRule="auto"/>
        <w:ind w:left="360" w:firstLine="0"/>
        <w:rPr>
          <w:rFonts w:ascii="Noto Sans Symbols" w:eastAsia="Noto Sans Symbols" w:hAnsi="Noto Sans Symbols" w:cs="Noto Sans Symbols"/>
          <w:color w:val="2F5496"/>
          <w:sz w:val="20"/>
          <w:szCs w:val="20"/>
        </w:rPr>
      </w:pPr>
      <w:r>
        <w:rPr>
          <w:rFonts w:ascii="Times New Roman" w:eastAsia="Times New Roman" w:hAnsi="Times New Roman" w:cs="Times New Roman"/>
          <w:sz w:val="24"/>
          <w:szCs w:val="24"/>
        </w:rPr>
        <w:t>Any use of periodic (less frequent than annual) data collection cycles to reduce burden.</w:t>
      </w:r>
    </w:p>
    <w:p w:rsidR="0057602C" w14:paraId="00000017" w14:textId="77777777">
      <w:pPr>
        <w:tabs>
          <w:tab w:val="left" w:pos="-1440"/>
          <w:tab w:val="left" w:pos="-720"/>
        </w:tabs>
        <w:spacing w:line="240" w:lineRule="auto"/>
        <w:rPr>
          <w:rFonts w:ascii="Times New Roman" w:eastAsia="Times New Roman" w:hAnsi="Times New Roman" w:cs="Times New Roman"/>
          <w:sz w:val="20"/>
          <w:szCs w:val="20"/>
        </w:rPr>
      </w:pPr>
    </w:p>
    <w:p w:rsidR="0057602C" w14:paraId="00000018" w14:textId="77777777">
      <w:p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collection procedures conducted under this clearance will be varied based on the goal of the individual collections, from foundational and exploratory (which will be more contextual and qualitative) to those that assess generalizability of a known phenomenon. Across studies, this </w:t>
      </w:r>
      <w:r>
        <w:rPr>
          <w:rFonts w:ascii="Times New Roman" w:eastAsia="Times New Roman" w:hAnsi="Times New Roman" w:cs="Times New Roman"/>
          <w:sz w:val="24"/>
          <w:szCs w:val="24"/>
        </w:rPr>
        <w:t xml:space="preserve">will most likely include, ethnographies, participant observations, unstructured interviews, semi-structured interviews, structured interviews, focus groups, social network analysis, surveys, and survey-based experiments. </w:t>
      </w:r>
    </w:p>
    <w:p w:rsidR="0057602C" w14:paraId="00000019"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1A" w14:textId="77777777">
      <w:p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Within each study, the type and quality of the data collection and analysis procedures will be decided based on the specific goals of the individual collections and current resource capacities, which will be described to OMB for each collection. For example, work conducted in testbeds is constrained by physical space limitations and travel budget constraints, which will favor smaller sample and qualitative approaches. Post-event studies will face challenges reaching disaster survivors. A representative samp</w:t>
      </w:r>
      <w:r>
        <w:rPr>
          <w:rFonts w:ascii="Times New Roman" w:eastAsia="Times New Roman" w:hAnsi="Times New Roman" w:cs="Times New Roman"/>
          <w:sz w:val="24"/>
          <w:szCs w:val="24"/>
        </w:rPr>
        <w:t>le may be cost-prohibitive in some cases requiring a non-probability sampling strategy. Each application submitted to OMB will describe these constraints and, correspondingly, the limitations of the project including the types of conclusions and applications that will be appropriate based on the collection. It will not be appropriate to draw generalizable conclusions from small sample methods, but small sample methods could be appropriately used to inform subsequent studies and measure development for later</w:t>
      </w:r>
      <w:r>
        <w:rPr>
          <w:rFonts w:ascii="Times New Roman" w:eastAsia="Times New Roman" w:hAnsi="Times New Roman" w:cs="Times New Roman"/>
          <w:sz w:val="24"/>
          <w:szCs w:val="24"/>
        </w:rPr>
        <w:t xml:space="preserve"> quantitative work.</w:t>
      </w:r>
    </w:p>
    <w:p w:rsidR="0057602C" w14:paraId="0000001B"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1C" w14:textId="77777777">
      <w:p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qualitative work, best practices for data collection and analysis will include but are not limited to: </w:t>
      </w:r>
    </w:p>
    <w:p w:rsidR="0057602C" w14:paraId="0000001D" w14:textId="77777777">
      <w:pPr>
        <w:numPr>
          <w:ilvl w:val="0"/>
          <w:numId w:val="2"/>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Ensuring a diverse sample of participants that accurately reflects the broader community being studied.</w:t>
      </w:r>
    </w:p>
    <w:p w:rsidR="0057602C" w14:paraId="0000001E" w14:textId="77777777">
      <w:pPr>
        <w:numPr>
          <w:ilvl w:val="0"/>
          <w:numId w:val="2"/>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relevant, utilizing a mixed methods approach to ensure triangulation of findings.</w:t>
      </w:r>
    </w:p>
    <w:p w:rsidR="0057602C" w14:paraId="0000001F" w14:textId="77777777">
      <w:pPr>
        <w:numPr>
          <w:ilvl w:val="0"/>
          <w:numId w:val="2"/>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Leveraging a rigorous deductive (theory-guided) or inductive (data-driven) approach for qualitative analysis depending on the situation.</w:t>
      </w:r>
    </w:p>
    <w:p w:rsidR="0057602C" w14:paraId="00000020" w14:textId="77777777">
      <w:pPr>
        <w:numPr>
          <w:ilvl w:val="0"/>
          <w:numId w:val="2"/>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Ensuring the sample size allows for sufficient thematic saturation.</w:t>
      </w:r>
    </w:p>
    <w:p w:rsidR="0057602C" w14:paraId="00000021"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22" w14:textId="77777777">
      <w:p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quantitative work, data collection and analysis will include consideration of response rates, item nonresponse rates, frequency distributions of data items to include cross tabulations, probability weighting, and reliability estimates. More specific information about data collection procedures will be contained in the description provided to OMB at the time each instrument is submitted. Generally speaking, quantitative studies will:</w:t>
      </w:r>
    </w:p>
    <w:p w:rsidR="0057602C" w14:paraId="00000023" w14:textId="77777777">
      <w:pPr>
        <w:numPr>
          <w:ilvl w:val="0"/>
          <w:numId w:val="3"/>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 cognitive testing of survey instruments where relevant and realistic.</w:t>
      </w:r>
    </w:p>
    <w:p w:rsidR="0057602C" w14:paraId="00000024" w14:textId="77777777">
      <w:pPr>
        <w:numPr>
          <w:ilvl w:val="0"/>
          <w:numId w:val="3"/>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needed, will use weighting adjustments to ensure that the final dataset is reflective of the overall study population.</w:t>
      </w:r>
    </w:p>
    <w:p w:rsidR="0057602C" w14:paraId="00000025" w14:textId="77777777">
      <w:pPr>
        <w:numPr>
          <w:ilvl w:val="0"/>
          <w:numId w:val="3"/>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the sample size selected is sufficient to include representation from the universe of relevant populations and allows for reliable statistical analysis.</w:t>
      </w:r>
    </w:p>
    <w:p w:rsidR="0057602C" w14:paraId="00000026" w14:textId="77777777">
      <w:pPr>
        <w:numPr>
          <w:ilvl w:val="0"/>
          <w:numId w:val="3"/>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Choose a universally accepted margin of error (between 4% and 8%) at a reasonable confidence interval (95%).</w:t>
      </w:r>
    </w:p>
    <w:p w:rsidR="0057602C" w14:paraId="00000027" w14:textId="77777777">
      <w:pPr>
        <w:numPr>
          <w:ilvl w:val="0"/>
          <w:numId w:val="3"/>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Determine and describe the best statistical test depending on whether the analysis is descriptive or inferential, whether the data are parametric or nonparametric, and whether the analysis is univariate or multivariate. </w:t>
      </w:r>
    </w:p>
    <w:p w:rsidR="0057602C" w14:paraId="00000028" w14:textId="77777777">
      <w:pPr>
        <w:numPr>
          <w:ilvl w:val="0"/>
          <w:numId w:val="3"/>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Calculate reasonable response rates to ensure the required number of completed responses is acquired.</w:t>
      </w:r>
    </w:p>
    <w:p w:rsidR="0057602C" w14:paraId="00000029" w14:textId="77777777">
      <w:pPr>
        <w:numPr>
          <w:ilvl w:val="0"/>
          <w:numId w:val="3"/>
        </w:num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multiple estimate procedures depending on the goals and strategy of analysis - point estimates may be used to estimate the population value for certain survey findings, </w:t>
      </w:r>
      <w:r>
        <w:rPr>
          <w:rFonts w:ascii="Times New Roman" w:eastAsia="Times New Roman" w:hAnsi="Times New Roman" w:cs="Times New Roman"/>
          <w:sz w:val="24"/>
          <w:szCs w:val="24"/>
        </w:rPr>
        <w:t>whereas in other cases, an interval estimate may be used to identify a confidence interval or range of values.</w:t>
      </w:r>
    </w:p>
    <w:p w:rsidR="0057602C" w14:paraId="0000002A"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2B" w14:textId="77777777">
      <w:pPr>
        <w:tabs>
          <w:tab w:val="left" w:pos="-1440"/>
          <w:tab w:val="left" w:pos="-720"/>
          <w:tab w:val="left" w:pos="357"/>
        </w:tabs>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Pr>
          <w:rFonts w:ascii="Times New Roman" w:eastAsia="Times New Roman" w:hAnsi="Times New Roman" w:cs="Times New Roman"/>
          <w:b/>
          <w:sz w:val="24"/>
          <w:szCs w:val="24"/>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57602C" w14:paraId="0000002C" w14:textId="77777777">
      <w:pPr>
        <w:tabs>
          <w:tab w:val="left" w:pos="-1440"/>
          <w:tab w:val="left" w:pos="-720"/>
        </w:tabs>
        <w:spacing w:line="240" w:lineRule="auto"/>
        <w:rPr>
          <w:rFonts w:ascii="Times New Roman" w:eastAsia="Times New Roman" w:hAnsi="Times New Roman" w:cs="Times New Roman"/>
          <w:sz w:val="20"/>
          <w:szCs w:val="20"/>
        </w:rPr>
      </w:pPr>
    </w:p>
    <w:p w:rsidR="0057602C" w14:paraId="0000002D" w14:textId="77777777">
      <w:p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survey procedures, including multiple contact attempts distributed among different days and times, will be utilized to achieve sufficiently high levels of response. For interviews and focus groups, existing networks will be utilized where possible. For instance, the NWS Weather Forecast Offices (WFO) are deeply embedded in their local area and have established relationships with partners and stakeholders. Also, reminder phone calls and/or letters to participants will be used to encourage them to ke</w:t>
      </w:r>
      <w:r>
        <w:rPr>
          <w:rFonts w:ascii="Times New Roman" w:eastAsia="Times New Roman" w:hAnsi="Times New Roman" w:cs="Times New Roman"/>
          <w:sz w:val="24"/>
          <w:szCs w:val="24"/>
        </w:rPr>
        <w:t>ep their appointments. More specific information will be contained in the description provided to OMB at the time each instrument is submitted.</w:t>
      </w:r>
    </w:p>
    <w:p w:rsidR="0057602C" w14:paraId="0000002E"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2F" w14:textId="77777777">
      <w:pPr>
        <w:tabs>
          <w:tab w:val="left" w:pos="-1440"/>
          <w:tab w:val="left" w:pos="-720"/>
          <w:tab w:val="left" w:pos="357"/>
        </w:tabs>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ab/>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57602C" w14:paraId="00000030" w14:textId="77777777">
      <w:pPr>
        <w:tabs>
          <w:tab w:val="left" w:pos="-1440"/>
          <w:tab w:val="left" w:pos="-720"/>
        </w:tabs>
        <w:spacing w:line="240" w:lineRule="auto"/>
        <w:rPr>
          <w:rFonts w:ascii="Times New Roman" w:eastAsia="Times New Roman" w:hAnsi="Times New Roman" w:cs="Times New Roman"/>
          <w:sz w:val="20"/>
          <w:szCs w:val="20"/>
        </w:rPr>
      </w:pPr>
    </w:p>
    <w:p w:rsidR="0057602C" w14:paraId="00000031" w14:textId="77777777">
      <w:pPr>
        <w:tabs>
          <w:tab w:val="left" w:pos="-1440"/>
          <w:tab w:val="left" w:pos="-72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cognitive testing will be employed as a first step in identifying burdens and improving utility. For surveys, an external pre-test will also be used to ensure data are coming in correctly and that no changes need to be made to the coded survey. For focus groups and interviews, the facilitators and interviewers will conduct practice sessions with federal employees and/or nine or less non-federal individuals to ensure questions are relevant and understandable.</w:t>
      </w:r>
    </w:p>
    <w:p w:rsidR="0057602C" w14:paraId="00000032" w14:textId="77777777">
      <w:pPr>
        <w:tabs>
          <w:tab w:val="left" w:pos="-1440"/>
          <w:tab w:val="left" w:pos="-720"/>
        </w:tabs>
        <w:spacing w:line="240" w:lineRule="auto"/>
        <w:rPr>
          <w:rFonts w:ascii="Times New Roman" w:eastAsia="Times New Roman" w:hAnsi="Times New Roman" w:cs="Times New Roman"/>
          <w:sz w:val="24"/>
          <w:szCs w:val="24"/>
        </w:rPr>
      </w:pPr>
    </w:p>
    <w:p w:rsidR="0057602C" w14:paraId="00000033" w14:textId="77777777">
      <w:pPr>
        <w:tabs>
          <w:tab w:val="left" w:pos="-1440"/>
          <w:tab w:val="left" w:pos="-720"/>
          <w:tab w:val="left" w:pos="360"/>
        </w:tabs>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ab/>
        <w:t>Provide the name and telephone number of individuals consulted on statistical aspects of the design and the name of the agency unit, contractor(s), grantee(s), or other person(s) who will actually collect and/or analyze the information for the agency.</w:t>
      </w:r>
    </w:p>
    <w:p w:rsidR="0057602C" w14:paraId="00000034" w14:textId="77777777">
      <w:pPr>
        <w:tabs>
          <w:tab w:val="left" w:pos="-1440"/>
          <w:tab w:val="left" w:pos="-720"/>
        </w:tabs>
        <w:spacing w:line="240" w:lineRule="auto"/>
        <w:rPr>
          <w:rFonts w:ascii="Times New Roman" w:eastAsia="Times New Roman" w:hAnsi="Times New Roman" w:cs="Times New Roman"/>
          <w:sz w:val="20"/>
          <w:szCs w:val="20"/>
          <w:u w:val="single"/>
        </w:rPr>
      </w:pPr>
    </w:p>
    <w:p w:rsidR="0057602C" w14:paraId="00000035" w14:textId="77777777">
      <w:pPr>
        <w:tabs>
          <w:tab w:val="left" w:pos="-1440"/>
          <w:tab w:val="left" w:pos="-720"/>
        </w:tabs>
        <w:spacing w:line="240" w:lineRule="auto"/>
      </w:pPr>
      <w:r>
        <w:rPr>
          <w:rFonts w:ascii="Times New Roman" w:eastAsia="Times New Roman" w:hAnsi="Times New Roman" w:cs="Times New Roman"/>
          <w:sz w:val="24"/>
          <w:szCs w:val="24"/>
        </w:rPr>
        <w:t>Advice on statistical aspects of each individual instrument will be sought from subject matter expertise as the research proceeds. Depending on the nature of the research, NOAA staff from different program areas will have the primary responsibility for data collection and analysis. Each specific research project will also determine whether the data will be collected by NOAA or through a contractor. Contact persons for questions regarding data collection and statistical aspects of the design will be provided</w:t>
      </w:r>
      <w:r>
        <w:rPr>
          <w:rFonts w:ascii="Times New Roman" w:eastAsia="Times New Roman" w:hAnsi="Times New Roman" w:cs="Times New Roman"/>
          <w:sz w:val="24"/>
          <w:szCs w:val="24"/>
        </w:rPr>
        <w:t xml:space="preserve"> to OMB at the time each instrument is submitted. </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3C5DE3BE-3C7C-4B9A-82FB-E38E24718F8B}"/>
  </w:font>
  <w:font w:name="Cambria">
    <w:panose1 w:val="02040503050406030204"/>
    <w:charset w:val="00"/>
    <w:family w:val="roman"/>
    <w:pitch w:val="variable"/>
    <w:sig w:usb0="E00006FF" w:usb1="420024FF" w:usb2="02000000" w:usb3="00000000" w:csb0="0000019F" w:csb1="00000000"/>
    <w:embedRegular r:id="rId2" w:fontKey="{DD31A5C2-C032-4ECC-A9A0-984CE01528E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987E8E"/>
    <w:multiLevelType w:val="multilevel"/>
    <w:tmpl w:val="ACDC27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F785908"/>
    <w:multiLevelType w:val="multilevel"/>
    <w:tmpl w:val="AE8CE626"/>
    <w:lvl w:ilvl="0">
      <w:start w:val="1"/>
      <w:numFmt w:val="decimal"/>
      <w:lvlText w:val="%1."/>
      <w:lvlJc w:val="left"/>
      <w:pPr>
        <w:ind w:left="400" w:hanging="269"/>
      </w:pPr>
      <w:rPr>
        <w:u w:val="none"/>
      </w:rPr>
    </w:lvl>
    <w:lvl w:ilvl="1">
      <w:start w:val="1"/>
      <w:numFmt w:val="bullet"/>
      <w:lvlText w:val="●"/>
      <w:lvlJc w:val="left"/>
      <w:pPr>
        <w:ind w:left="1120" w:hanging="360"/>
      </w:pPr>
      <w:rPr>
        <w:u w:val="none"/>
      </w:rPr>
    </w:lvl>
    <w:lvl w:ilvl="2">
      <w:start w:val="1"/>
      <w:numFmt w:val="bullet"/>
      <w:lvlText w:val="•"/>
      <w:lvlJc w:val="left"/>
      <w:pPr>
        <w:ind w:left="2273" w:hanging="360"/>
      </w:pPr>
      <w:rPr>
        <w:u w:val="none"/>
      </w:rPr>
    </w:lvl>
    <w:lvl w:ilvl="3">
      <w:start w:val="1"/>
      <w:numFmt w:val="bullet"/>
      <w:lvlText w:val="•"/>
      <w:lvlJc w:val="left"/>
      <w:pPr>
        <w:ind w:left="3426" w:hanging="360"/>
      </w:pPr>
      <w:rPr>
        <w:u w:val="none"/>
      </w:rPr>
    </w:lvl>
    <w:lvl w:ilvl="4">
      <w:start w:val="1"/>
      <w:numFmt w:val="bullet"/>
      <w:lvlText w:val="•"/>
      <w:lvlJc w:val="left"/>
      <w:pPr>
        <w:ind w:left="4580" w:hanging="360"/>
      </w:pPr>
      <w:rPr>
        <w:u w:val="none"/>
      </w:rPr>
    </w:lvl>
    <w:lvl w:ilvl="5">
      <w:start w:val="1"/>
      <w:numFmt w:val="bullet"/>
      <w:lvlText w:val="•"/>
      <w:lvlJc w:val="left"/>
      <w:pPr>
        <w:ind w:left="5733" w:hanging="360"/>
      </w:pPr>
      <w:rPr>
        <w:u w:val="none"/>
      </w:rPr>
    </w:lvl>
    <w:lvl w:ilvl="6">
      <w:start w:val="1"/>
      <w:numFmt w:val="bullet"/>
      <w:lvlText w:val="•"/>
      <w:lvlJc w:val="left"/>
      <w:pPr>
        <w:ind w:left="6886" w:hanging="360"/>
      </w:pPr>
      <w:rPr>
        <w:u w:val="none"/>
      </w:rPr>
    </w:lvl>
    <w:lvl w:ilvl="7">
      <w:start w:val="1"/>
      <w:numFmt w:val="bullet"/>
      <w:lvlText w:val="•"/>
      <w:lvlJc w:val="left"/>
      <w:pPr>
        <w:ind w:left="8040" w:hanging="360"/>
      </w:pPr>
      <w:rPr>
        <w:u w:val="none"/>
      </w:rPr>
    </w:lvl>
    <w:lvl w:ilvl="8">
      <w:start w:val="1"/>
      <w:numFmt w:val="bullet"/>
      <w:lvlText w:val="•"/>
      <w:lvlJc w:val="left"/>
      <w:pPr>
        <w:ind w:left="9193" w:hanging="360"/>
      </w:pPr>
      <w:rPr>
        <w:u w:val="none"/>
      </w:rPr>
    </w:lvl>
  </w:abstractNum>
  <w:abstractNum w:abstractNumId="2">
    <w:nsid w:val="662D1695"/>
    <w:multiLevelType w:val="multilevel"/>
    <w:tmpl w:val="24F63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78864742">
    <w:abstractNumId w:val="1"/>
  </w:num>
  <w:num w:numId="2" w16cid:durableId="1921089475">
    <w:abstractNumId w:val="2"/>
  </w:num>
  <w:num w:numId="3" w16cid:durableId="211507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02C"/>
    <w:rsid w:val="0057602C"/>
    <w:rsid w:val="007E3CEF"/>
    <w:rsid w:val="00A82EC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06904CBF-11DB-417B-B4FD-43B3CAB3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1307</Words>
  <Characters>7451</Characters>
  <Application>Microsoft Office Word</Application>
  <DocSecurity>0</DocSecurity>
  <Lines>62</Lines>
  <Paragraphs>17</Paragraphs>
  <ScaleCrop>false</ScaleCrop>
  <Company>NOAA CORPSRV</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Adrienne.Thomas</cp:lastModifiedBy>
  <cp:revision>2</cp:revision>
  <dcterms:created xsi:type="dcterms:W3CDTF">2025-06-13T13:03:00Z</dcterms:created>
  <dcterms:modified xsi:type="dcterms:W3CDTF">2025-06-13T13:03:00Z</dcterms:modified>
</cp:coreProperties>
</file>