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6225" w14:paraId="56E65F9D" w14:textId="77777777">
      <w:pPr>
        <w:spacing w:before="240" w:after="240"/>
        <w:jc w:val="center"/>
        <w:rPr>
          <w:b/>
          <w:bCs/>
        </w:rPr>
      </w:pPr>
      <w:r>
        <w:rPr>
          <w:b/>
          <w:bCs/>
        </w:rPr>
        <w:t>Focus Group Script</w:t>
      </w:r>
    </w:p>
    <w:p w:rsidR="00076225" w14:paraId="5EEEDD47" w14:textId="77777777">
      <w:pPr>
        <w:spacing w:before="240" w:after="240"/>
        <w:jc w:val="center"/>
        <w:rPr>
          <w:b/>
          <w:bCs/>
        </w:rPr>
      </w:pPr>
    </w:p>
    <w:p w:rsidR="00076225" w14:paraId="0CABE56E" w14:textId="77777777">
      <w:pPr>
        <w:spacing w:before="240" w:after="240"/>
        <w:rPr>
          <w:color w:val="0000FF"/>
        </w:rPr>
      </w:pPr>
      <w:r>
        <w:rPr>
          <w:color w:val="0000FF"/>
        </w:rPr>
        <w:t xml:space="preserve">Following the survey, NWS will develop options that reflect the testing that was completed in the survey. The survey is designed to assess: </w:t>
      </w:r>
    </w:p>
    <w:p w:rsidR="00076225" w14:paraId="398D715F" w14:textId="77777777">
      <w:pPr>
        <w:numPr>
          <w:ilvl w:val="0"/>
          <w:numId w:val="5"/>
        </w:numPr>
        <w:spacing w:before="240"/>
        <w:rPr>
          <w:color w:val="0000FF"/>
        </w:rPr>
      </w:pPr>
      <w:r>
        <w:rPr>
          <w:color w:val="0000FF"/>
        </w:rPr>
        <w:t>[A] Tsunami information statements vs. watches</w:t>
      </w:r>
    </w:p>
    <w:p w:rsidR="00076225" w14:paraId="02431D23" w14:textId="77777777">
      <w:pPr>
        <w:numPr>
          <w:ilvl w:val="0"/>
          <w:numId w:val="5"/>
        </w:numPr>
        <w:rPr>
          <w:color w:val="0000FF"/>
        </w:rPr>
      </w:pPr>
      <w:r>
        <w:rPr>
          <w:color w:val="0000FF"/>
        </w:rPr>
        <w:t>[B] Advisory statements</w:t>
      </w:r>
    </w:p>
    <w:p w:rsidR="00076225" w14:paraId="63C17019" w14:textId="77777777">
      <w:pPr>
        <w:numPr>
          <w:ilvl w:val="0"/>
          <w:numId w:val="5"/>
        </w:numPr>
        <w:rPr>
          <w:color w:val="0000FF"/>
        </w:rPr>
      </w:pPr>
      <w:r>
        <w:rPr>
          <w:color w:val="0000FF"/>
        </w:rPr>
        <w:t>[C] Warnings vs. emergency terminology</w:t>
      </w:r>
    </w:p>
    <w:p w:rsidR="00076225" w14:paraId="0EF66B9E" w14:textId="77777777">
      <w:pPr>
        <w:numPr>
          <w:ilvl w:val="0"/>
          <w:numId w:val="5"/>
        </w:numPr>
        <w:rPr>
          <w:color w:val="0000FF"/>
        </w:rPr>
      </w:pPr>
      <w:r>
        <w:rPr>
          <w:color w:val="0000FF"/>
        </w:rPr>
        <w:t>[D] Wording of cancellation notices</w:t>
      </w:r>
    </w:p>
    <w:p w:rsidR="00076225" w14:paraId="1E8B5289" w14:textId="77777777">
      <w:pPr>
        <w:numPr>
          <w:ilvl w:val="0"/>
          <w:numId w:val="5"/>
        </w:numPr>
        <w:spacing w:after="240"/>
        <w:rPr>
          <w:color w:val="0000FF"/>
        </w:rPr>
      </w:pPr>
      <w:r>
        <w:rPr>
          <w:color w:val="0000FF"/>
        </w:rPr>
        <w:t>[E] Use of Wireless Emergency Alerts (WEAs)</w:t>
      </w:r>
    </w:p>
    <w:p w:rsidR="00076225" w14:paraId="61EA05D8" w14:textId="77777777">
      <w:pPr>
        <w:spacing w:before="240" w:after="240"/>
        <w:rPr>
          <w:color w:val="0000FF"/>
        </w:rPr>
      </w:pPr>
      <w:r>
        <w:rPr>
          <w:color w:val="0000FF"/>
        </w:rPr>
        <w:t>NWS will use this information to develop a set of holistic options that reflect preferences identified in the survey. Given that each set of lettered items listed in the bullet points above will require significant discussion, NWS has decided to break up the items between the four groups in the following way:</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72"/>
        <w:gridCol w:w="1872"/>
        <w:gridCol w:w="1872"/>
        <w:gridCol w:w="1872"/>
        <w:gridCol w:w="1872"/>
      </w:tblGrid>
      <w:tr w14:paraId="26549C82" w14:textId="77777777">
        <w:tblPrEx>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1872" w:type="dxa"/>
            <w:shd w:val="clear" w:color="auto" w:fill="auto"/>
            <w:tcMar>
              <w:top w:w="100" w:type="dxa"/>
              <w:left w:w="100" w:type="dxa"/>
              <w:bottom w:w="100" w:type="dxa"/>
              <w:right w:w="100" w:type="dxa"/>
            </w:tcMar>
          </w:tcPr>
          <w:p w:rsidR="00076225" w14:paraId="69EF1286" w14:textId="77777777">
            <w:pPr>
              <w:widowControl w:val="0"/>
              <w:pBdr>
                <w:top w:val="nil"/>
                <w:left w:val="nil"/>
                <w:bottom w:val="nil"/>
                <w:right w:val="nil"/>
                <w:between w:val="nil"/>
              </w:pBdr>
              <w:spacing w:line="240" w:lineRule="auto"/>
              <w:rPr>
                <w:b/>
                <w:bCs/>
                <w:color w:val="0000FF"/>
              </w:rPr>
            </w:pPr>
            <w:r>
              <w:rPr>
                <w:b/>
                <w:bCs/>
                <w:color w:val="0000FF"/>
              </w:rPr>
              <w:t>Item</w:t>
            </w:r>
          </w:p>
        </w:tc>
        <w:tc>
          <w:tcPr>
            <w:tcW w:w="1872" w:type="dxa"/>
            <w:shd w:val="clear" w:color="auto" w:fill="auto"/>
            <w:tcMar>
              <w:top w:w="100" w:type="dxa"/>
              <w:left w:w="100" w:type="dxa"/>
              <w:bottom w:w="100" w:type="dxa"/>
              <w:right w:w="100" w:type="dxa"/>
            </w:tcMar>
          </w:tcPr>
          <w:p w:rsidR="00076225" w14:paraId="13A67D78" w14:textId="77777777">
            <w:pPr>
              <w:widowControl w:val="0"/>
              <w:pBdr>
                <w:top w:val="nil"/>
                <w:left w:val="nil"/>
                <w:bottom w:val="nil"/>
                <w:right w:val="nil"/>
                <w:between w:val="nil"/>
              </w:pBdr>
              <w:spacing w:line="240" w:lineRule="auto"/>
              <w:jc w:val="center"/>
              <w:rPr>
                <w:b/>
                <w:bCs/>
                <w:color w:val="0000FF"/>
              </w:rPr>
            </w:pPr>
            <w:r>
              <w:rPr>
                <w:b/>
                <w:bCs/>
                <w:color w:val="0000FF"/>
              </w:rPr>
              <w:t>Group 1</w:t>
            </w:r>
          </w:p>
        </w:tc>
        <w:tc>
          <w:tcPr>
            <w:tcW w:w="1872" w:type="dxa"/>
            <w:shd w:val="clear" w:color="auto" w:fill="auto"/>
            <w:tcMar>
              <w:top w:w="100" w:type="dxa"/>
              <w:left w:w="100" w:type="dxa"/>
              <w:bottom w:w="100" w:type="dxa"/>
              <w:right w:w="100" w:type="dxa"/>
            </w:tcMar>
          </w:tcPr>
          <w:p w:rsidR="00076225" w14:paraId="75280F73" w14:textId="77777777">
            <w:pPr>
              <w:widowControl w:val="0"/>
              <w:pBdr>
                <w:top w:val="nil"/>
                <w:left w:val="nil"/>
                <w:bottom w:val="nil"/>
                <w:right w:val="nil"/>
                <w:between w:val="nil"/>
              </w:pBdr>
              <w:spacing w:line="240" w:lineRule="auto"/>
              <w:jc w:val="center"/>
              <w:rPr>
                <w:b/>
                <w:bCs/>
                <w:color w:val="0000FF"/>
              </w:rPr>
            </w:pPr>
            <w:r>
              <w:rPr>
                <w:b/>
                <w:bCs/>
                <w:color w:val="0000FF"/>
              </w:rPr>
              <w:t>Group 2</w:t>
            </w:r>
          </w:p>
        </w:tc>
        <w:tc>
          <w:tcPr>
            <w:tcW w:w="1872" w:type="dxa"/>
            <w:shd w:val="clear" w:color="auto" w:fill="auto"/>
            <w:tcMar>
              <w:top w:w="100" w:type="dxa"/>
              <w:left w:w="100" w:type="dxa"/>
              <w:bottom w:w="100" w:type="dxa"/>
              <w:right w:w="100" w:type="dxa"/>
            </w:tcMar>
          </w:tcPr>
          <w:p w:rsidR="00076225" w14:paraId="1CE5AB16" w14:textId="77777777">
            <w:pPr>
              <w:widowControl w:val="0"/>
              <w:pBdr>
                <w:top w:val="nil"/>
                <w:left w:val="nil"/>
                <w:bottom w:val="nil"/>
                <w:right w:val="nil"/>
                <w:between w:val="nil"/>
              </w:pBdr>
              <w:spacing w:line="240" w:lineRule="auto"/>
              <w:jc w:val="center"/>
              <w:rPr>
                <w:b/>
                <w:bCs/>
                <w:color w:val="0000FF"/>
              </w:rPr>
            </w:pPr>
            <w:r>
              <w:rPr>
                <w:b/>
                <w:bCs/>
                <w:color w:val="0000FF"/>
              </w:rPr>
              <w:t>Group 3</w:t>
            </w:r>
          </w:p>
        </w:tc>
        <w:tc>
          <w:tcPr>
            <w:tcW w:w="1872" w:type="dxa"/>
            <w:shd w:val="clear" w:color="auto" w:fill="auto"/>
            <w:tcMar>
              <w:top w:w="100" w:type="dxa"/>
              <w:left w:w="100" w:type="dxa"/>
              <w:bottom w:w="100" w:type="dxa"/>
              <w:right w:w="100" w:type="dxa"/>
            </w:tcMar>
          </w:tcPr>
          <w:p w:rsidR="00076225" w14:paraId="31E12BA8" w14:textId="77777777">
            <w:pPr>
              <w:widowControl w:val="0"/>
              <w:pBdr>
                <w:top w:val="nil"/>
                <w:left w:val="nil"/>
                <w:bottom w:val="nil"/>
                <w:right w:val="nil"/>
                <w:between w:val="nil"/>
              </w:pBdr>
              <w:spacing w:line="240" w:lineRule="auto"/>
              <w:jc w:val="center"/>
              <w:rPr>
                <w:b/>
                <w:bCs/>
                <w:color w:val="0000FF"/>
              </w:rPr>
            </w:pPr>
            <w:r>
              <w:rPr>
                <w:b/>
                <w:bCs/>
                <w:color w:val="0000FF"/>
              </w:rPr>
              <w:t>Group 4</w:t>
            </w:r>
          </w:p>
        </w:tc>
      </w:tr>
      <w:tr w14:paraId="45F4879C" w14:textId="77777777">
        <w:tblPrEx>
          <w:tblW w:w="9360" w:type="dxa"/>
          <w:tblLayout w:type="fixed"/>
          <w:tblLook w:val="0600"/>
        </w:tblPrEx>
        <w:trPr>
          <w:trHeight w:val="420"/>
        </w:trPr>
        <w:tc>
          <w:tcPr>
            <w:tcW w:w="1872" w:type="dxa"/>
            <w:shd w:val="clear" w:color="auto" w:fill="auto"/>
            <w:tcMar>
              <w:top w:w="100" w:type="dxa"/>
              <w:left w:w="100" w:type="dxa"/>
              <w:bottom w:w="100" w:type="dxa"/>
              <w:right w:w="100" w:type="dxa"/>
            </w:tcMar>
          </w:tcPr>
          <w:p w:rsidR="00076225" w14:paraId="1704DDDA" w14:textId="77777777">
            <w:pPr>
              <w:widowControl w:val="0"/>
              <w:spacing w:line="240" w:lineRule="auto"/>
              <w:rPr>
                <w:color w:val="0000FF"/>
              </w:rPr>
            </w:pPr>
            <w:r>
              <w:rPr>
                <w:color w:val="0000FF"/>
              </w:rPr>
              <w:t>Topic 1</w:t>
            </w:r>
          </w:p>
        </w:tc>
        <w:tc>
          <w:tcPr>
            <w:tcW w:w="7488" w:type="dxa"/>
            <w:gridSpan w:val="4"/>
            <w:shd w:val="clear" w:color="auto" w:fill="auto"/>
            <w:tcMar>
              <w:top w:w="100" w:type="dxa"/>
              <w:left w:w="100" w:type="dxa"/>
              <w:bottom w:w="100" w:type="dxa"/>
              <w:right w:w="100" w:type="dxa"/>
            </w:tcMar>
          </w:tcPr>
          <w:p w:rsidR="00076225" w14:paraId="30BFB7A2" w14:textId="77777777">
            <w:pPr>
              <w:widowControl w:val="0"/>
              <w:spacing w:line="240" w:lineRule="auto"/>
              <w:jc w:val="center"/>
              <w:rPr>
                <w:color w:val="0000FF"/>
              </w:rPr>
            </w:pPr>
            <w:r>
              <w:rPr>
                <w:color w:val="0000FF"/>
              </w:rPr>
              <w:t>Overview and presentation by NWS on results</w:t>
            </w:r>
          </w:p>
        </w:tc>
      </w:tr>
      <w:tr w14:paraId="5474C302" w14:textId="77777777">
        <w:tblPrEx>
          <w:tblW w:w="9360" w:type="dxa"/>
          <w:tblLayout w:type="fixed"/>
          <w:tblLook w:val="0600"/>
        </w:tblPrEx>
        <w:tc>
          <w:tcPr>
            <w:tcW w:w="1872" w:type="dxa"/>
            <w:shd w:val="clear" w:color="auto" w:fill="auto"/>
            <w:tcMar>
              <w:top w:w="100" w:type="dxa"/>
              <w:left w:w="100" w:type="dxa"/>
              <w:bottom w:w="100" w:type="dxa"/>
              <w:right w:w="100" w:type="dxa"/>
            </w:tcMar>
          </w:tcPr>
          <w:p w:rsidR="00076225" w14:paraId="510349A2" w14:textId="77777777">
            <w:pPr>
              <w:widowControl w:val="0"/>
              <w:spacing w:line="240" w:lineRule="auto"/>
              <w:rPr>
                <w:color w:val="0000FF"/>
              </w:rPr>
            </w:pPr>
            <w:r>
              <w:rPr>
                <w:color w:val="0000FF"/>
              </w:rPr>
              <w:t>Topic 2</w:t>
            </w:r>
          </w:p>
        </w:tc>
        <w:tc>
          <w:tcPr>
            <w:tcW w:w="1872" w:type="dxa"/>
            <w:shd w:val="clear" w:color="auto" w:fill="auto"/>
            <w:tcMar>
              <w:top w:w="100" w:type="dxa"/>
              <w:left w:w="100" w:type="dxa"/>
              <w:bottom w:w="100" w:type="dxa"/>
              <w:right w:w="100" w:type="dxa"/>
            </w:tcMar>
          </w:tcPr>
          <w:p w:rsidR="00076225" w14:paraId="062C9D27" w14:textId="77777777">
            <w:pPr>
              <w:widowControl w:val="0"/>
              <w:pBdr>
                <w:top w:val="nil"/>
                <w:left w:val="nil"/>
                <w:bottom w:val="nil"/>
                <w:right w:val="nil"/>
                <w:between w:val="nil"/>
              </w:pBdr>
              <w:spacing w:line="240" w:lineRule="auto"/>
              <w:jc w:val="center"/>
              <w:rPr>
                <w:color w:val="0000FF"/>
              </w:rPr>
            </w:pPr>
            <w:r>
              <w:rPr>
                <w:color w:val="0000FF"/>
              </w:rPr>
              <w:t>A</w:t>
            </w:r>
          </w:p>
        </w:tc>
        <w:tc>
          <w:tcPr>
            <w:tcW w:w="1872" w:type="dxa"/>
            <w:shd w:val="clear" w:color="auto" w:fill="auto"/>
            <w:tcMar>
              <w:top w:w="100" w:type="dxa"/>
              <w:left w:w="100" w:type="dxa"/>
              <w:bottom w:w="100" w:type="dxa"/>
              <w:right w:w="100" w:type="dxa"/>
            </w:tcMar>
          </w:tcPr>
          <w:p w:rsidR="00076225" w14:paraId="789597B6" w14:textId="77777777">
            <w:pPr>
              <w:widowControl w:val="0"/>
              <w:pBdr>
                <w:top w:val="nil"/>
                <w:left w:val="nil"/>
                <w:bottom w:val="nil"/>
                <w:right w:val="nil"/>
                <w:between w:val="nil"/>
              </w:pBdr>
              <w:spacing w:line="240" w:lineRule="auto"/>
              <w:jc w:val="center"/>
              <w:rPr>
                <w:color w:val="0000FF"/>
              </w:rPr>
            </w:pPr>
            <w:r>
              <w:rPr>
                <w:color w:val="0000FF"/>
              </w:rPr>
              <w:t>B</w:t>
            </w:r>
          </w:p>
        </w:tc>
        <w:tc>
          <w:tcPr>
            <w:tcW w:w="1872" w:type="dxa"/>
            <w:shd w:val="clear" w:color="auto" w:fill="auto"/>
            <w:tcMar>
              <w:top w:w="100" w:type="dxa"/>
              <w:left w:w="100" w:type="dxa"/>
              <w:bottom w:w="100" w:type="dxa"/>
              <w:right w:w="100" w:type="dxa"/>
            </w:tcMar>
          </w:tcPr>
          <w:p w:rsidR="00076225" w14:paraId="1DEA2A50" w14:textId="77777777">
            <w:pPr>
              <w:widowControl w:val="0"/>
              <w:pBdr>
                <w:top w:val="nil"/>
                <w:left w:val="nil"/>
                <w:bottom w:val="nil"/>
                <w:right w:val="nil"/>
                <w:between w:val="nil"/>
              </w:pBdr>
              <w:spacing w:line="240" w:lineRule="auto"/>
              <w:jc w:val="center"/>
              <w:rPr>
                <w:color w:val="0000FF"/>
              </w:rPr>
            </w:pPr>
            <w:r>
              <w:rPr>
                <w:color w:val="0000FF"/>
              </w:rPr>
              <w:t>A</w:t>
            </w:r>
          </w:p>
        </w:tc>
        <w:tc>
          <w:tcPr>
            <w:tcW w:w="1872" w:type="dxa"/>
            <w:shd w:val="clear" w:color="auto" w:fill="auto"/>
            <w:tcMar>
              <w:top w:w="100" w:type="dxa"/>
              <w:left w:w="100" w:type="dxa"/>
              <w:bottom w:w="100" w:type="dxa"/>
              <w:right w:w="100" w:type="dxa"/>
            </w:tcMar>
          </w:tcPr>
          <w:p w:rsidR="00076225" w14:paraId="3B660904" w14:textId="77777777">
            <w:pPr>
              <w:widowControl w:val="0"/>
              <w:pBdr>
                <w:top w:val="nil"/>
                <w:left w:val="nil"/>
                <w:bottom w:val="nil"/>
                <w:right w:val="nil"/>
                <w:between w:val="nil"/>
              </w:pBdr>
              <w:spacing w:line="240" w:lineRule="auto"/>
              <w:jc w:val="center"/>
              <w:rPr>
                <w:color w:val="0000FF"/>
              </w:rPr>
            </w:pPr>
            <w:r>
              <w:rPr>
                <w:color w:val="0000FF"/>
              </w:rPr>
              <w:t>A</w:t>
            </w:r>
          </w:p>
        </w:tc>
      </w:tr>
      <w:tr w14:paraId="048A0D7A" w14:textId="77777777">
        <w:tblPrEx>
          <w:tblW w:w="9360" w:type="dxa"/>
          <w:tblLayout w:type="fixed"/>
          <w:tblLook w:val="0600"/>
        </w:tblPrEx>
        <w:tc>
          <w:tcPr>
            <w:tcW w:w="1872" w:type="dxa"/>
            <w:shd w:val="clear" w:color="auto" w:fill="auto"/>
            <w:tcMar>
              <w:top w:w="100" w:type="dxa"/>
              <w:left w:w="100" w:type="dxa"/>
              <w:bottom w:w="100" w:type="dxa"/>
              <w:right w:w="100" w:type="dxa"/>
            </w:tcMar>
          </w:tcPr>
          <w:p w:rsidR="00076225" w14:paraId="1E69F46D" w14:textId="77777777">
            <w:pPr>
              <w:widowControl w:val="0"/>
              <w:spacing w:line="240" w:lineRule="auto"/>
              <w:rPr>
                <w:color w:val="0000FF"/>
              </w:rPr>
            </w:pPr>
            <w:r>
              <w:rPr>
                <w:color w:val="0000FF"/>
              </w:rPr>
              <w:t>Topic 3</w:t>
            </w:r>
          </w:p>
        </w:tc>
        <w:tc>
          <w:tcPr>
            <w:tcW w:w="1872" w:type="dxa"/>
            <w:shd w:val="clear" w:color="auto" w:fill="auto"/>
            <w:tcMar>
              <w:top w:w="100" w:type="dxa"/>
              <w:left w:w="100" w:type="dxa"/>
              <w:bottom w:w="100" w:type="dxa"/>
              <w:right w:w="100" w:type="dxa"/>
            </w:tcMar>
          </w:tcPr>
          <w:p w:rsidR="00076225" w14:paraId="61D2C520" w14:textId="77777777">
            <w:pPr>
              <w:widowControl w:val="0"/>
              <w:pBdr>
                <w:top w:val="nil"/>
                <w:left w:val="nil"/>
                <w:bottom w:val="nil"/>
                <w:right w:val="nil"/>
                <w:between w:val="nil"/>
              </w:pBdr>
              <w:spacing w:line="240" w:lineRule="auto"/>
              <w:jc w:val="center"/>
              <w:rPr>
                <w:color w:val="0000FF"/>
              </w:rPr>
            </w:pPr>
            <w:r>
              <w:rPr>
                <w:color w:val="0000FF"/>
              </w:rPr>
              <w:t>B</w:t>
            </w:r>
          </w:p>
        </w:tc>
        <w:tc>
          <w:tcPr>
            <w:tcW w:w="1872" w:type="dxa"/>
            <w:shd w:val="clear" w:color="auto" w:fill="auto"/>
            <w:tcMar>
              <w:top w:w="100" w:type="dxa"/>
              <w:left w:w="100" w:type="dxa"/>
              <w:bottom w:w="100" w:type="dxa"/>
              <w:right w:w="100" w:type="dxa"/>
            </w:tcMar>
          </w:tcPr>
          <w:p w:rsidR="00076225" w14:paraId="6DE13A0F" w14:textId="77777777">
            <w:pPr>
              <w:widowControl w:val="0"/>
              <w:pBdr>
                <w:top w:val="nil"/>
                <w:left w:val="nil"/>
                <w:bottom w:val="nil"/>
                <w:right w:val="nil"/>
                <w:between w:val="nil"/>
              </w:pBdr>
              <w:spacing w:line="240" w:lineRule="auto"/>
              <w:jc w:val="center"/>
              <w:rPr>
                <w:color w:val="0000FF"/>
              </w:rPr>
            </w:pPr>
            <w:r>
              <w:rPr>
                <w:color w:val="0000FF"/>
              </w:rPr>
              <w:t>C</w:t>
            </w:r>
          </w:p>
        </w:tc>
        <w:tc>
          <w:tcPr>
            <w:tcW w:w="1872" w:type="dxa"/>
            <w:shd w:val="clear" w:color="auto" w:fill="auto"/>
            <w:tcMar>
              <w:top w:w="100" w:type="dxa"/>
              <w:left w:w="100" w:type="dxa"/>
              <w:bottom w:w="100" w:type="dxa"/>
              <w:right w:w="100" w:type="dxa"/>
            </w:tcMar>
          </w:tcPr>
          <w:p w:rsidR="00076225" w14:paraId="747D3EB1" w14:textId="77777777">
            <w:pPr>
              <w:widowControl w:val="0"/>
              <w:pBdr>
                <w:top w:val="nil"/>
                <w:left w:val="nil"/>
                <w:bottom w:val="nil"/>
                <w:right w:val="nil"/>
                <w:between w:val="nil"/>
              </w:pBdr>
              <w:spacing w:line="240" w:lineRule="auto"/>
              <w:jc w:val="center"/>
              <w:rPr>
                <w:color w:val="0000FF"/>
              </w:rPr>
            </w:pPr>
            <w:r>
              <w:rPr>
                <w:color w:val="0000FF"/>
              </w:rPr>
              <w:t>C</w:t>
            </w:r>
          </w:p>
        </w:tc>
        <w:tc>
          <w:tcPr>
            <w:tcW w:w="1872" w:type="dxa"/>
            <w:shd w:val="clear" w:color="auto" w:fill="auto"/>
            <w:tcMar>
              <w:top w:w="100" w:type="dxa"/>
              <w:left w:w="100" w:type="dxa"/>
              <w:bottom w:w="100" w:type="dxa"/>
              <w:right w:w="100" w:type="dxa"/>
            </w:tcMar>
          </w:tcPr>
          <w:p w:rsidR="00076225" w14:paraId="03DB0637" w14:textId="77777777">
            <w:pPr>
              <w:widowControl w:val="0"/>
              <w:pBdr>
                <w:top w:val="nil"/>
                <w:left w:val="nil"/>
                <w:bottom w:val="nil"/>
                <w:right w:val="nil"/>
                <w:between w:val="nil"/>
              </w:pBdr>
              <w:spacing w:line="240" w:lineRule="auto"/>
              <w:jc w:val="center"/>
              <w:rPr>
                <w:color w:val="0000FF"/>
              </w:rPr>
            </w:pPr>
            <w:r>
              <w:rPr>
                <w:color w:val="0000FF"/>
              </w:rPr>
              <w:t>B</w:t>
            </w:r>
          </w:p>
        </w:tc>
      </w:tr>
      <w:tr w14:paraId="0734059B" w14:textId="77777777">
        <w:tblPrEx>
          <w:tblW w:w="9360" w:type="dxa"/>
          <w:tblLayout w:type="fixed"/>
          <w:tblLook w:val="0600"/>
        </w:tblPrEx>
        <w:tc>
          <w:tcPr>
            <w:tcW w:w="1872" w:type="dxa"/>
            <w:shd w:val="clear" w:color="auto" w:fill="auto"/>
            <w:tcMar>
              <w:top w:w="100" w:type="dxa"/>
              <w:left w:w="100" w:type="dxa"/>
              <w:bottom w:w="100" w:type="dxa"/>
              <w:right w:w="100" w:type="dxa"/>
            </w:tcMar>
          </w:tcPr>
          <w:p w:rsidR="00076225" w14:paraId="3F33BC37" w14:textId="77777777">
            <w:pPr>
              <w:widowControl w:val="0"/>
              <w:pBdr>
                <w:top w:val="nil"/>
                <w:left w:val="nil"/>
                <w:bottom w:val="nil"/>
                <w:right w:val="nil"/>
                <w:between w:val="nil"/>
              </w:pBdr>
              <w:spacing w:line="240" w:lineRule="auto"/>
              <w:rPr>
                <w:color w:val="0000FF"/>
              </w:rPr>
            </w:pPr>
            <w:r>
              <w:rPr>
                <w:color w:val="0000FF"/>
              </w:rPr>
              <w:t>Topic 4</w:t>
            </w:r>
          </w:p>
        </w:tc>
        <w:tc>
          <w:tcPr>
            <w:tcW w:w="1872" w:type="dxa"/>
            <w:shd w:val="clear" w:color="auto" w:fill="auto"/>
            <w:tcMar>
              <w:top w:w="100" w:type="dxa"/>
              <w:left w:w="100" w:type="dxa"/>
              <w:bottom w:w="100" w:type="dxa"/>
              <w:right w:w="100" w:type="dxa"/>
            </w:tcMar>
          </w:tcPr>
          <w:p w:rsidR="00076225" w14:paraId="3EC85AFA" w14:textId="77777777">
            <w:pPr>
              <w:widowControl w:val="0"/>
              <w:pBdr>
                <w:top w:val="nil"/>
                <w:left w:val="nil"/>
                <w:bottom w:val="nil"/>
                <w:right w:val="nil"/>
                <w:between w:val="nil"/>
              </w:pBdr>
              <w:spacing w:line="240" w:lineRule="auto"/>
              <w:jc w:val="center"/>
              <w:rPr>
                <w:color w:val="0000FF"/>
              </w:rPr>
            </w:pPr>
            <w:r>
              <w:rPr>
                <w:color w:val="0000FF"/>
              </w:rPr>
              <w:t>D or E</w:t>
            </w:r>
          </w:p>
        </w:tc>
        <w:tc>
          <w:tcPr>
            <w:tcW w:w="1872" w:type="dxa"/>
            <w:shd w:val="clear" w:color="auto" w:fill="auto"/>
            <w:tcMar>
              <w:top w:w="100" w:type="dxa"/>
              <w:left w:w="100" w:type="dxa"/>
              <w:bottom w:w="100" w:type="dxa"/>
              <w:right w:w="100" w:type="dxa"/>
            </w:tcMar>
          </w:tcPr>
          <w:p w:rsidR="00076225" w14:paraId="27571039" w14:textId="77777777">
            <w:pPr>
              <w:widowControl w:val="0"/>
              <w:pBdr>
                <w:top w:val="nil"/>
                <w:left w:val="nil"/>
                <w:bottom w:val="nil"/>
                <w:right w:val="nil"/>
                <w:between w:val="nil"/>
              </w:pBdr>
              <w:spacing w:line="240" w:lineRule="auto"/>
              <w:jc w:val="center"/>
              <w:rPr>
                <w:color w:val="0000FF"/>
              </w:rPr>
            </w:pPr>
            <w:r>
              <w:rPr>
                <w:color w:val="0000FF"/>
              </w:rPr>
              <w:t>D or E</w:t>
            </w:r>
          </w:p>
        </w:tc>
        <w:tc>
          <w:tcPr>
            <w:tcW w:w="1872" w:type="dxa"/>
            <w:shd w:val="clear" w:color="auto" w:fill="auto"/>
            <w:tcMar>
              <w:top w:w="100" w:type="dxa"/>
              <w:left w:w="100" w:type="dxa"/>
              <w:bottom w:w="100" w:type="dxa"/>
              <w:right w:w="100" w:type="dxa"/>
            </w:tcMar>
          </w:tcPr>
          <w:p w:rsidR="00076225" w14:paraId="521627A8" w14:textId="77777777">
            <w:pPr>
              <w:widowControl w:val="0"/>
              <w:pBdr>
                <w:top w:val="nil"/>
                <w:left w:val="nil"/>
                <w:bottom w:val="nil"/>
                <w:right w:val="nil"/>
                <w:between w:val="nil"/>
              </w:pBdr>
              <w:spacing w:line="240" w:lineRule="auto"/>
              <w:jc w:val="center"/>
              <w:rPr>
                <w:color w:val="0000FF"/>
              </w:rPr>
            </w:pPr>
            <w:r>
              <w:rPr>
                <w:color w:val="0000FF"/>
              </w:rPr>
              <w:t>D or E</w:t>
            </w:r>
          </w:p>
        </w:tc>
        <w:tc>
          <w:tcPr>
            <w:tcW w:w="1872" w:type="dxa"/>
            <w:shd w:val="clear" w:color="auto" w:fill="auto"/>
            <w:tcMar>
              <w:top w:w="100" w:type="dxa"/>
              <w:left w:w="100" w:type="dxa"/>
              <w:bottom w:w="100" w:type="dxa"/>
              <w:right w:w="100" w:type="dxa"/>
            </w:tcMar>
          </w:tcPr>
          <w:p w:rsidR="00076225" w14:paraId="36FC46C7" w14:textId="77777777">
            <w:pPr>
              <w:widowControl w:val="0"/>
              <w:pBdr>
                <w:top w:val="nil"/>
                <w:left w:val="nil"/>
                <w:bottom w:val="nil"/>
                <w:right w:val="nil"/>
                <w:between w:val="nil"/>
              </w:pBdr>
              <w:spacing w:line="240" w:lineRule="auto"/>
              <w:jc w:val="center"/>
              <w:rPr>
                <w:color w:val="0000FF"/>
              </w:rPr>
            </w:pPr>
            <w:r>
              <w:rPr>
                <w:color w:val="0000FF"/>
              </w:rPr>
              <w:t>C</w:t>
            </w:r>
          </w:p>
        </w:tc>
      </w:tr>
    </w:tbl>
    <w:p w:rsidR="00076225" w14:paraId="71C7BF75" w14:textId="77777777">
      <w:pPr>
        <w:spacing w:before="240" w:after="240"/>
        <w:rPr>
          <w:color w:val="0000FF"/>
        </w:rPr>
      </w:pPr>
      <w:r>
        <w:rPr>
          <w:color w:val="0000FF"/>
        </w:rPr>
        <w:t>For Topic 4 in each group, NWS will assess how to allocate cancellation notices (D) or WEAs (E) among Groups 1-3 depending on perceived need for discussion. This design ensures that the three more important aspects being tested (A, B, and C) receive discussion in three groups each.</w:t>
      </w:r>
    </w:p>
    <w:p w:rsidR="00076225" w14:paraId="1708D588" w14:textId="77777777">
      <w:pPr>
        <w:spacing w:before="240" w:after="240"/>
        <w:jc w:val="center"/>
        <w:rPr>
          <w:b/>
          <w:bCs/>
          <w:u w:val="single"/>
        </w:rPr>
      </w:pPr>
      <w:r>
        <w:rPr>
          <w:b/>
          <w:bCs/>
          <w:u w:val="single"/>
        </w:rPr>
        <w:t>LOGISTICS</w:t>
      </w:r>
    </w:p>
    <w:p w:rsidR="00076225" w14:paraId="48F476C8" w14:textId="77777777">
      <w:pPr>
        <w:spacing w:before="240" w:after="240"/>
      </w:pPr>
      <w:r>
        <w:rPr>
          <w:b/>
          <w:bCs/>
        </w:rPr>
        <w:t>Mode</w:t>
      </w:r>
      <w:r>
        <w:t>: Zoom Meeting</w:t>
      </w:r>
    </w:p>
    <w:p w:rsidR="00076225" w14:paraId="657DAF38" w14:textId="77777777">
      <w:pPr>
        <w:spacing w:before="240" w:after="240"/>
      </w:pPr>
      <w:r>
        <w:rPr>
          <w:b/>
          <w:bCs/>
        </w:rPr>
        <w:t>Timing</w:t>
      </w:r>
      <w:r>
        <w:t>: 90 minutes</w:t>
      </w:r>
    </w:p>
    <w:p w:rsidR="00076225" w14:paraId="21B7EC02" w14:textId="77777777">
      <w:pPr>
        <w:spacing w:before="240" w:after="240"/>
      </w:pPr>
      <w:r>
        <w:rPr>
          <w:b/>
          <w:bCs/>
        </w:rPr>
        <w:t>Team</w:t>
      </w:r>
      <w:r>
        <w:t>:</w:t>
      </w:r>
    </w:p>
    <w:p w:rsidR="00076225" w14:paraId="27E5DB73" w14:textId="77777777">
      <w:pPr>
        <w:numPr>
          <w:ilvl w:val="0"/>
          <w:numId w:val="2"/>
        </w:numPr>
        <w:spacing w:before="240"/>
      </w:pPr>
      <w:r>
        <w:t>Facilitator</w:t>
      </w:r>
    </w:p>
    <w:p w:rsidR="00076225" w14:paraId="382092A2" w14:textId="77777777">
      <w:pPr>
        <w:numPr>
          <w:ilvl w:val="0"/>
          <w:numId w:val="2"/>
        </w:numPr>
      </w:pPr>
      <w:r>
        <w:t>NWS Staff person (for clarification of items and observation)</w:t>
      </w:r>
    </w:p>
    <w:p w:rsidR="00076225" w14:paraId="54A6321C" w14:textId="77777777">
      <w:pPr>
        <w:numPr>
          <w:ilvl w:val="0"/>
          <w:numId w:val="2"/>
        </w:numPr>
      </w:pPr>
      <w:r>
        <w:t>Note-taker</w:t>
      </w:r>
    </w:p>
    <w:p w:rsidR="00076225" w14:paraId="06DD2D2C" w14:textId="77777777">
      <w:pPr>
        <w:numPr>
          <w:ilvl w:val="0"/>
          <w:numId w:val="2"/>
        </w:numPr>
        <w:spacing w:after="240"/>
      </w:pPr>
      <w:r>
        <w:t>Zoom Meeting Moderator (to run the Zoom meeting, handle technical issues, monitor the chat)</w:t>
      </w:r>
    </w:p>
    <w:p w:rsidR="00076225" w14:paraId="6E1AB205" w14:textId="77777777">
      <w:pPr>
        <w:spacing w:before="240" w:after="240"/>
        <w:jc w:val="center"/>
        <w:rPr>
          <w:b/>
          <w:bCs/>
          <w:u w:val="single"/>
        </w:rPr>
      </w:pPr>
      <w:r>
        <w:rPr>
          <w:b/>
          <w:bCs/>
          <w:u w:val="single"/>
        </w:rPr>
        <w:t>SCRIPT</w:t>
      </w:r>
    </w:p>
    <w:p w:rsidR="00076225" w14:paraId="112C5D22" w14:textId="77777777">
      <w:pPr>
        <w:spacing w:before="240" w:after="240"/>
        <w:rPr>
          <w:b/>
          <w:bCs/>
        </w:rPr>
      </w:pPr>
      <w:r>
        <w:rPr>
          <w:b/>
          <w:bCs/>
        </w:rPr>
        <w:t>PRA Burden Statement:</w:t>
      </w:r>
    </w:p>
    <w:p w:rsidR="00076225" w14:paraId="6DFDA9CE" w14:textId="77777777">
      <w:pPr>
        <w:spacing w:before="240" w:after="240"/>
        <w:rPr>
          <w:b/>
          <w:bCs/>
          <w:u w:val="single"/>
        </w:rPr>
      </w:pPr>
      <w:r>
        <w:rPr>
          <w:i/>
          <w:iCs/>
        </w:rPr>
        <w:t xml:space="preserve">We estimate that completing the NWS Tsunami Public Survey will take 20 minutes on average. Send comments regarding this burden estimate or any other aspect of this collection of information, including suggestions for reducing this burden, to NOAA, Danielle </w:t>
      </w:r>
      <w:r>
        <w:rPr>
          <w:i/>
          <w:iCs/>
        </w:rPr>
        <w:t>Nagele</w:t>
      </w:r>
      <w:r>
        <w:rPr>
          <w:i/>
          <w:iCs/>
        </w:rPr>
        <w:t xml:space="preserve"> (Danielle.Nagele@noaa.gov). This collection has been approved by the Office of Management and Budget (OMB). The eight-digit OMB approval number that appears at the top of each page of this survey confirms this approval. If this number were not displayed, we could not conduct this survey.</w:t>
      </w:r>
    </w:p>
    <w:p w:rsidR="00076225" w14:paraId="3768367A" w14:textId="77777777">
      <w:pPr>
        <w:spacing w:before="240" w:after="240"/>
        <w:rPr>
          <w:b/>
          <w:bCs/>
          <w:u w:val="single"/>
        </w:rPr>
      </w:pPr>
      <w:r>
        <w:rPr>
          <w:b/>
          <w:bCs/>
          <w:u w:val="single"/>
        </w:rPr>
        <w:t>Overview and Presentation</w:t>
      </w:r>
    </w:p>
    <w:p w:rsidR="00076225" w14:paraId="33FEBCDD" w14:textId="7DB47F3A">
      <w:pPr>
        <w:spacing w:before="240" w:after="240"/>
      </w:pPr>
      <w:r>
        <w:t>Perform a 5–10-minute</w:t>
      </w:r>
      <w:r>
        <w:t xml:space="preserve"> presentation that covers the following items:</w:t>
      </w:r>
    </w:p>
    <w:p w:rsidR="00076225" w14:paraId="4EA03C42" w14:textId="77777777">
      <w:pPr>
        <w:numPr>
          <w:ilvl w:val="0"/>
          <w:numId w:val="3"/>
        </w:numPr>
        <w:spacing w:before="240"/>
      </w:pPr>
      <w:r>
        <w:t>How NWS currently makes tsunami messaging decisions</w:t>
      </w:r>
    </w:p>
    <w:p w:rsidR="00076225" w14:paraId="74347EE0" w14:textId="77777777">
      <w:pPr>
        <w:numPr>
          <w:ilvl w:val="0"/>
          <w:numId w:val="3"/>
        </w:numPr>
      </w:pPr>
      <w:r>
        <w:t>Approach for testing new messages in the survey</w:t>
      </w:r>
    </w:p>
    <w:p w:rsidR="00076225" w14:paraId="1CF43B7B" w14:textId="77777777">
      <w:pPr>
        <w:numPr>
          <w:ilvl w:val="0"/>
          <w:numId w:val="3"/>
        </w:numPr>
      </w:pPr>
      <w:r>
        <w:t>Survey results</w:t>
      </w:r>
    </w:p>
    <w:p w:rsidR="00076225" w14:paraId="609AAAEF" w14:textId="77777777">
      <w:pPr>
        <w:numPr>
          <w:ilvl w:val="0"/>
          <w:numId w:val="3"/>
        </w:numPr>
      </w:pPr>
      <w:r>
        <w:t>Options that were developed for the focus group discussion and a comparison to current approach</w:t>
      </w:r>
    </w:p>
    <w:p w:rsidR="00076225" w14:paraId="289C7714" w14:textId="77777777">
      <w:pPr>
        <w:numPr>
          <w:ilvl w:val="0"/>
          <w:numId w:val="3"/>
        </w:numPr>
        <w:spacing w:after="240"/>
      </w:pPr>
      <w:r>
        <w:t>Rationale for each option</w:t>
      </w:r>
    </w:p>
    <w:p w:rsidR="00076225" w14:paraId="15911575" w14:textId="77777777">
      <w:pPr>
        <w:spacing w:before="240" w:after="240"/>
      </w:pPr>
    </w:p>
    <w:p w:rsidR="00076225" w14:paraId="79F0DF26" w14:textId="77777777">
      <w:pPr>
        <w:spacing w:before="240" w:after="240"/>
        <w:rPr>
          <w:b/>
          <w:bCs/>
          <w:u w:val="single"/>
        </w:rPr>
      </w:pPr>
      <w:r>
        <w:rPr>
          <w:b/>
          <w:bCs/>
          <w:u w:val="single"/>
        </w:rPr>
        <w:t>A. Tsunami Information Statement (TIS) vs. Tsunami Watch (WAT)</w:t>
      </w:r>
    </w:p>
    <w:p w:rsidR="00076225" w14:paraId="28ADB71B" w14:textId="77777777">
      <w:pPr>
        <w:spacing w:before="240" w:after="240"/>
        <w:rPr>
          <w:color w:val="0000FF"/>
        </w:rPr>
      </w:pPr>
      <w:r>
        <w:rPr>
          <w:color w:val="0000FF"/>
        </w:rPr>
        <w:t>Potential anticipated decisions based on the survey design:</w:t>
      </w:r>
    </w:p>
    <w:p w:rsidR="00076225" w14:paraId="2B565BDB" w14:textId="77777777">
      <w:pPr>
        <w:numPr>
          <w:ilvl w:val="0"/>
          <w:numId w:val="1"/>
        </w:numPr>
        <w:spacing w:before="240"/>
        <w:rPr>
          <w:color w:val="0000FF"/>
        </w:rPr>
      </w:pPr>
      <w:r>
        <w:rPr>
          <w:color w:val="0000FF"/>
        </w:rPr>
        <w:t>NWS keeps using TIS as it has in the past.</w:t>
      </w:r>
    </w:p>
    <w:p w:rsidR="00076225" w14:paraId="2B0E9A41" w14:textId="77777777">
      <w:pPr>
        <w:numPr>
          <w:ilvl w:val="0"/>
          <w:numId w:val="1"/>
        </w:numPr>
        <w:spacing w:after="240"/>
        <w:rPr>
          <w:color w:val="0000FF"/>
        </w:rPr>
      </w:pPr>
      <w:r>
        <w:rPr>
          <w:color w:val="0000FF"/>
        </w:rPr>
        <w:t xml:space="preserve">NWS replaces TIS with a WAT in some (or all) situations. </w:t>
      </w:r>
    </w:p>
    <w:p w:rsidR="00076225" w14:paraId="6A408434" w14:textId="77777777">
      <w:pPr>
        <w:spacing w:before="240" w:after="240"/>
      </w:pPr>
      <w:r>
        <w:t>First, we are going to discuss NWS’s proposed changes related to</w:t>
      </w:r>
      <w:r>
        <w:rPr>
          <w:b/>
          <w:bCs/>
        </w:rPr>
        <w:t xml:space="preserve"> tsunami information statement</w:t>
      </w:r>
      <w:r>
        <w:t xml:space="preserve">s and </w:t>
      </w:r>
      <w:r>
        <w:rPr>
          <w:b/>
          <w:bCs/>
        </w:rPr>
        <w:t>watches</w:t>
      </w:r>
      <w:r>
        <w:t>. As we discussed in the overview, NWS tested whether or not to replace tsunami information statements with watches. The survey found that [</w:t>
      </w:r>
      <w:r>
        <w:rPr>
          <w:highlight w:val="yellow"/>
        </w:rPr>
        <w:t>RESULTS</w:t>
      </w:r>
      <w:r>
        <w:t xml:space="preserve">]. Based on this, NWS is considering </w:t>
      </w:r>
      <w:r>
        <w:rPr>
          <w:highlight w:val="yellow"/>
        </w:rPr>
        <w:t>[DECISION]</w:t>
      </w:r>
      <w:r>
        <w:t>.</w:t>
      </w:r>
    </w:p>
    <w:p w:rsidR="00076225" w14:paraId="481CC1DD" w14:textId="77777777">
      <w:pPr>
        <w:spacing w:before="240" w:after="240"/>
      </w:pPr>
      <w:r>
        <w:rPr>
          <w:color w:val="0000FF"/>
        </w:rPr>
        <w:t>Scenario:</w:t>
      </w:r>
      <w:r>
        <w:t xml:space="preserve"> We’d like you to imagine a situation in which </w:t>
      </w:r>
      <w:r>
        <w:rPr>
          <w:highlight w:val="yellow"/>
        </w:rPr>
        <w:t>[SCENARIO]</w:t>
      </w:r>
      <w:r>
        <w:t xml:space="preserve">.  </w:t>
      </w:r>
    </w:p>
    <w:p w:rsidR="00076225" w14:paraId="1246289C" w14:textId="77777777">
      <w:pPr>
        <w:spacing w:before="240" w:after="240"/>
      </w:pPr>
      <w:r>
        <w:rPr>
          <w:color w:val="0000FF"/>
        </w:rPr>
        <w:t xml:space="preserve">If no change is made (NWS continues to issue a TIS in this situation). </w:t>
      </w:r>
      <w:r>
        <w:t xml:space="preserve">NWS issues a TIS in response to this event, which is what they usually do in this type of situation. </w:t>
      </w:r>
    </w:p>
    <w:p w:rsidR="00076225" w14:paraId="28909CAD" w14:textId="77777777">
      <w:pPr>
        <w:numPr>
          <w:ilvl w:val="0"/>
          <w:numId w:val="4"/>
        </w:numPr>
        <w:spacing w:before="240"/>
      </w:pPr>
      <w:r>
        <w:t>Are there changes you’d like to see in how NWS handles this type of situation?</w:t>
      </w:r>
    </w:p>
    <w:p w:rsidR="00076225" w14:paraId="4ED74E92" w14:textId="77777777">
      <w:pPr>
        <w:numPr>
          <w:ilvl w:val="0"/>
          <w:numId w:val="4"/>
        </w:numPr>
      </w:pPr>
      <w:r>
        <w:t>What advantages and disadvantages do you see in continuing to use a TIS instead of issuing a WAT in this situation?</w:t>
      </w:r>
    </w:p>
    <w:p w:rsidR="00076225" w14:paraId="34EE19F2" w14:textId="77777777">
      <w:pPr>
        <w:numPr>
          <w:ilvl w:val="0"/>
          <w:numId w:val="4"/>
        </w:numPr>
        <w:spacing w:after="240"/>
      </w:pPr>
      <w:r>
        <w:t xml:space="preserve">Would you prefer to see a WAT in this situation? </w:t>
      </w:r>
    </w:p>
    <w:p w:rsidR="00076225" w14:paraId="2D6629C3" w14:textId="77777777">
      <w:pPr>
        <w:spacing w:before="240" w:after="240"/>
      </w:pPr>
      <w:r>
        <w:rPr>
          <w:color w:val="0000FF"/>
        </w:rPr>
        <w:t xml:space="preserve">If a change is made. </w:t>
      </w:r>
      <w:r>
        <w:t>This is a case in which NWS usually issues a TIS, but in this case NWS issues a WAT based on the new approach.</w:t>
      </w:r>
    </w:p>
    <w:p w:rsidR="00076225" w14:paraId="435CF74E" w14:textId="77777777">
      <w:pPr>
        <w:numPr>
          <w:ilvl w:val="0"/>
          <w:numId w:val="4"/>
        </w:numPr>
        <w:spacing w:before="240"/>
      </w:pPr>
      <w:r>
        <w:t xml:space="preserve">How would using a WAT instead of a TIS affect your ability to communicate tsunami risk at this stage of the alerting process? </w:t>
      </w:r>
    </w:p>
    <w:p w:rsidR="00076225" w14:paraId="60884087" w14:textId="77777777">
      <w:pPr>
        <w:numPr>
          <w:ilvl w:val="1"/>
          <w:numId w:val="4"/>
        </w:numPr>
      </w:pPr>
      <w:r>
        <w:t xml:space="preserve">Probe: In what ways would this change improve your ability to communicate risk? </w:t>
      </w:r>
    </w:p>
    <w:p w:rsidR="00076225" w14:paraId="66206909" w14:textId="77777777">
      <w:pPr>
        <w:numPr>
          <w:ilvl w:val="1"/>
          <w:numId w:val="4"/>
        </w:numPr>
      </w:pPr>
      <w:r>
        <w:t>Probe: In what ways would it complicate it?</w:t>
      </w:r>
    </w:p>
    <w:p w:rsidR="00076225" w14:paraId="046A70FD" w14:textId="77777777">
      <w:pPr>
        <w:numPr>
          <w:ilvl w:val="0"/>
          <w:numId w:val="4"/>
        </w:numPr>
      </w:pPr>
      <w:r>
        <w:t>What are the potential advantages and disadvantages of using a WAT at this point?</w:t>
      </w:r>
    </w:p>
    <w:p w:rsidR="00076225" w14:paraId="027D50E9" w14:textId="77777777">
      <w:pPr>
        <w:numPr>
          <w:ilvl w:val="0"/>
          <w:numId w:val="4"/>
        </w:numPr>
        <w:spacing w:after="240"/>
      </w:pPr>
      <w:r>
        <w:t xml:space="preserve">What adjustments would you make and why? </w:t>
      </w:r>
    </w:p>
    <w:p w:rsidR="00076225" w14:paraId="1C95BA90" w14:textId="77777777">
      <w:pPr>
        <w:spacing w:before="240" w:after="240"/>
      </w:pPr>
    </w:p>
    <w:p w:rsidR="00076225" w14:paraId="3722D778" w14:textId="77777777">
      <w:pPr>
        <w:spacing w:before="240" w:after="240"/>
        <w:rPr>
          <w:b/>
          <w:bCs/>
          <w:u w:val="single"/>
        </w:rPr>
      </w:pPr>
      <w:r>
        <w:rPr>
          <w:b/>
          <w:bCs/>
          <w:u w:val="single"/>
        </w:rPr>
        <w:t xml:space="preserve">B. Advisory (ADV) Statement Options </w:t>
      </w:r>
    </w:p>
    <w:p w:rsidR="00076225" w14:paraId="4EB0E711" w14:textId="77777777">
      <w:pPr>
        <w:spacing w:before="240" w:after="240"/>
        <w:rPr>
          <w:color w:val="0000FF"/>
        </w:rPr>
      </w:pPr>
      <w:r>
        <w:rPr>
          <w:color w:val="0000FF"/>
        </w:rPr>
        <w:t>Potential anticipated decisions based on the survey design:</w:t>
      </w:r>
    </w:p>
    <w:p w:rsidR="00076225" w14:paraId="739D5429" w14:textId="77777777">
      <w:pPr>
        <w:numPr>
          <w:ilvl w:val="0"/>
          <w:numId w:val="1"/>
        </w:numPr>
        <w:spacing w:before="240"/>
        <w:rPr>
          <w:color w:val="0000FF"/>
        </w:rPr>
      </w:pPr>
      <w:r>
        <w:rPr>
          <w:color w:val="0000FF"/>
        </w:rPr>
        <w:t>NWS keeps the current ADV message.</w:t>
      </w:r>
    </w:p>
    <w:p w:rsidR="00076225" w14:paraId="75B292B1" w14:textId="77777777">
      <w:pPr>
        <w:numPr>
          <w:ilvl w:val="0"/>
          <w:numId w:val="1"/>
        </w:numPr>
        <w:rPr>
          <w:color w:val="0000FF"/>
        </w:rPr>
      </w:pPr>
      <w:r>
        <w:rPr>
          <w:color w:val="0000FF"/>
        </w:rPr>
        <w:t>NWS moves to a plain language version of the ADV statement</w:t>
      </w:r>
    </w:p>
    <w:p w:rsidR="00076225" w14:paraId="5EB27C6C" w14:textId="77777777">
      <w:pPr>
        <w:numPr>
          <w:ilvl w:val="0"/>
          <w:numId w:val="1"/>
        </w:numPr>
        <w:spacing w:after="240"/>
        <w:rPr>
          <w:color w:val="0000FF"/>
        </w:rPr>
      </w:pPr>
      <w:r>
        <w:rPr>
          <w:color w:val="0000FF"/>
        </w:rPr>
        <w:t xml:space="preserve">NWS moves to a statement that includes the term “warning” as part of the statement (e.g., “Marine and Beach Warning”). </w:t>
      </w:r>
    </w:p>
    <w:p w:rsidR="00076225" w14:paraId="005C1946" w14:textId="77777777">
      <w:pPr>
        <w:spacing w:before="240" w:after="240"/>
      </w:pPr>
      <w:r>
        <w:t>Now, we are going to discuss NWS’s proposed changes to advisory statements. As we discussed in the overview, NWS tested the current advisory statement approach against a plain language approach and using the term “Marine and Beach Warning.” The survey found that [</w:t>
      </w:r>
      <w:r>
        <w:rPr>
          <w:highlight w:val="yellow"/>
        </w:rPr>
        <w:t>RESULTS</w:t>
      </w:r>
      <w:r>
        <w:t>]. We also tested how respondents would react to a Tsunami Warning statement after they received a “Marine and Beach Warning”. Based on those findings, NWS is considering [</w:t>
      </w:r>
      <w:r>
        <w:rPr>
          <w:highlight w:val="yellow"/>
        </w:rPr>
        <w:t>DECISION</w:t>
      </w:r>
      <w:r>
        <w:t xml:space="preserve">]. </w:t>
      </w:r>
    </w:p>
    <w:p w:rsidR="00076225" w14:paraId="68424454" w14:textId="77777777">
      <w:pPr>
        <w:spacing w:before="240" w:after="240"/>
      </w:pPr>
      <w:r>
        <w:rPr>
          <w:color w:val="0000FF"/>
        </w:rPr>
        <w:t>Scenario:</w:t>
      </w:r>
      <w:r>
        <w:t xml:space="preserve"> We’d like you to imagine a situation in which </w:t>
      </w:r>
      <w:r>
        <w:rPr>
          <w:highlight w:val="yellow"/>
        </w:rPr>
        <w:t>[SCENARIO]</w:t>
      </w:r>
      <w:r>
        <w:t>.</w:t>
      </w:r>
    </w:p>
    <w:p w:rsidR="00076225" w14:paraId="514449AB" w14:textId="77777777">
      <w:pPr>
        <w:spacing w:before="240" w:after="240"/>
      </w:pPr>
      <w:r>
        <w:rPr>
          <w:color w:val="0000FF"/>
        </w:rPr>
        <w:t>NWS keeps current ADV message:</w:t>
      </w:r>
      <w:r>
        <w:t xml:space="preserve"> In response to this situation, NWS issues its normal ADV. </w:t>
      </w:r>
      <w:r>
        <w:rPr>
          <w:highlight w:val="yellow"/>
        </w:rPr>
        <w:t>[Put an example on screen.]</w:t>
      </w:r>
      <w:r>
        <w:t xml:space="preserve"> </w:t>
      </w:r>
    </w:p>
    <w:p w:rsidR="00076225" w14:paraId="43CB16B6" w14:textId="77777777">
      <w:pPr>
        <w:numPr>
          <w:ilvl w:val="0"/>
          <w:numId w:val="4"/>
        </w:numPr>
        <w:spacing w:before="240"/>
      </w:pPr>
      <w:r>
        <w:t>Are there changes you’d like to see in how NWS handles this type of situation?</w:t>
      </w:r>
    </w:p>
    <w:p w:rsidR="00076225" w14:paraId="61332C0B" w14:textId="77777777">
      <w:pPr>
        <w:numPr>
          <w:ilvl w:val="0"/>
          <w:numId w:val="4"/>
        </w:numPr>
      </w:pPr>
      <w:r>
        <w:t xml:space="preserve">What advantages or disadvantages do you see in continuing to use this version of the ADV? </w:t>
      </w:r>
    </w:p>
    <w:p w:rsidR="00076225" w14:paraId="032D795E" w14:textId="77777777">
      <w:pPr>
        <w:numPr>
          <w:ilvl w:val="0"/>
          <w:numId w:val="4"/>
        </w:numPr>
        <w:spacing w:after="240"/>
      </w:pPr>
      <w:r>
        <w:t xml:space="preserve">Would you prefer to see one of the other options here and why? </w:t>
      </w:r>
    </w:p>
    <w:p w:rsidR="00076225" w14:paraId="0295B6B0" w14:textId="77777777">
      <w:pPr>
        <w:spacing w:before="240" w:after="240"/>
      </w:pPr>
      <w:r>
        <w:rPr>
          <w:color w:val="0000FF"/>
        </w:rPr>
        <w:t>NWS adopts plain language:</w:t>
      </w:r>
      <w:r>
        <w:t xml:space="preserve"> In response to this situation, NWS issues a new version of the ADV that has a plain language structure. </w:t>
      </w:r>
      <w:r>
        <w:rPr>
          <w:highlight w:val="yellow"/>
        </w:rPr>
        <w:t>[Put an example on screen.]</w:t>
      </w:r>
      <w:r>
        <w:t xml:space="preserve"> </w:t>
      </w:r>
    </w:p>
    <w:p w:rsidR="00076225" w14:paraId="448E1F82" w14:textId="77777777">
      <w:pPr>
        <w:numPr>
          <w:ilvl w:val="0"/>
          <w:numId w:val="4"/>
        </w:numPr>
        <w:spacing w:before="240"/>
      </w:pPr>
      <w:r>
        <w:t xml:space="preserve">How would this new ADV affect your ability to communicate tsunami risk? </w:t>
      </w:r>
    </w:p>
    <w:p w:rsidR="00076225" w14:paraId="1B5B9717" w14:textId="77777777">
      <w:pPr>
        <w:numPr>
          <w:ilvl w:val="1"/>
          <w:numId w:val="4"/>
        </w:numPr>
      </w:pPr>
      <w:r>
        <w:t xml:space="preserve">Probe: In what ways would this change improve your ability to communicate risk? </w:t>
      </w:r>
    </w:p>
    <w:p w:rsidR="00076225" w14:paraId="23C00986" w14:textId="77777777">
      <w:pPr>
        <w:numPr>
          <w:ilvl w:val="1"/>
          <w:numId w:val="4"/>
        </w:numPr>
      </w:pPr>
      <w:r>
        <w:t>Probe: In what ways would it complicate it?</w:t>
      </w:r>
    </w:p>
    <w:p w:rsidR="00076225" w14:paraId="193A2E0D" w14:textId="77777777">
      <w:pPr>
        <w:numPr>
          <w:ilvl w:val="0"/>
          <w:numId w:val="4"/>
        </w:numPr>
      </w:pPr>
      <w:r>
        <w:t>What are the potential advantages and disadvantages of this new version of the ADV?</w:t>
      </w:r>
    </w:p>
    <w:p w:rsidR="00076225" w14:paraId="6805706D" w14:textId="77777777">
      <w:pPr>
        <w:numPr>
          <w:ilvl w:val="0"/>
          <w:numId w:val="4"/>
        </w:numPr>
        <w:spacing w:after="240"/>
      </w:pPr>
      <w:r>
        <w:t xml:space="preserve">What adjustments would you make to ensure this is successful? </w:t>
      </w:r>
    </w:p>
    <w:p w:rsidR="00076225" w14:paraId="33B6FF48" w14:textId="77777777">
      <w:pPr>
        <w:spacing w:before="240" w:after="240"/>
      </w:pPr>
      <w:r>
        <w:rPr>
          <w:color w:val="0000FF"/>
        </w:rPr>
        <w:t>NWS adopts a product using “marine and beach warning” text:</w:t>
      </w:r>
      <w:r>
        <w:t xml:space="preserve"> In response to this situation, NWS issues a new product that uses the term “marine and beach warning”. </w:t>
      </w:r>
      <w:r>
        <w:rPr>
          <w:highlight w:val="yellow"/>
        </w:rPr>
        <w:t>[Put an example on screen.]</w:t>
      </w:r>
      <w:r>
        <w:t xml:space="preserve"> We note that this is not the same as the current Tsunami Warning product.</w:t>
      </w:r>
    </w:p>
    <w:p w:rsidR="00076225" w14:paraId="0E6C4666" w14:textId="77777777">
      <w:pPr>
        <w:numPr>
          <w:ilvl w:val="0"/>
          <w:numId w:val="4"/>
        </w:numPr>
        <w:spacing w:before="240"/>
      </w:pPr>
      <w:r>
        <w:t xml:space="preserve">How would this new “marine and beach warning” affect your ability to communicate tsunami risk? </w:t>
      </w:r>
    </w:p>
    <w:p w:rsidR="00076225" w14:paraId="6AD57757" w14:textId="77777777">
      <w:pPr>
        <w:numPr>
          <w:ilvl w:val="1"/>
          <w:numId w:val="4"/>
        </w:numPr>
      </w:pPr>
      <w:r>
        <w:t xml:space="preserve">Probe: In what ways would this change improve your ability to communicate risk? </w:t>
      </w:r>
    </w:p>
    <w:p w:rsidR="00076225" w14:paraId="1A503EF7" w14:textId="77777777">
      <w:pPr>
        <w:numPr>
          <w:ilvl w:val="1"/>
          <w:numId w:val="4"/>
        </w:numPr>
      </w:pPr>
      <w:r>
        <w:t>Probe: In what ways would it complicate it?</w:t>
      </w:r>
    </w:p>
    <w:p w:rsidR="00076225" w14:paraId="138C5509" w14:textId="77777777"/>
    <w:p w:rsidR="00076225" w14:paraId="09A702CE" w14:textId="77777777">
      <w:pPr>
        <w:numPr>
          <w:ilvl w:val="0"/>
          <w:numId w:val="4"/>
        </w:numPr>
      </w:pPr>
      <w:r>
        <w:t>What are the potential advantages and disadvantages of this new “marine and beach warning” statement?</w:t>
      </w:r>
    </w:p>
    <w:p w:rsidR="00076225" w14:paraId="672345B7" w14:textId="77777777">
      <w:pPr>
        <w:numPr>
          <w:ilvl w:val="1"/>
          <w:numId w:val="4"/>
        </w:numPr>
      </w:pPr>
      <w:r>
        <w:t>Probe: How likely would this be confused with a Tsunami Warning and, if so, what implications do you foresee because of that confusion?</w:t>
      </w:r>
    </w:p>
    <w:p w:rsidR="00076225" w14:paraId="4F36761D" w14:textId="77777777">
      <w:pPr>
        <w:numPr>
          <w:ilvl w:val="0"/>
          <w:numId w:val="4"/>
        </w:numPr>
        <w:spacing w:after="240"/>
      </w:pPr>
      <w:r>
        <w:t xml:space="preserve">What adjustments would you make to ensure this is successful? </w:t>
      </w:r>
    </w:p>
    <w:p w:rsidR="00076225" w14:paraId="775E214E" w14:textId="77777777">
      <w:pPr>
        <w:spacing w:before="240" w:after="240"/>
      </w:pPr>
    </w:p>
    <w:p w:rsidR="00076225" w14:paraId="7130A751" w14:textId="77777777">
      <w:pPr>
        <w:spacing w:before="240" w:after="240"/>
        <w:rPr>
          <w:b/>
          <w:bCs/>
          <w:u w:val="single"/>
        </w:rPr>
      </w:pPr>
      <w:r>
        <w:rPr>
          <w:b/>
          <w:bCs/>
          <w:u w:val="single"/>
        </w:rPr>
        <w:t>C. Warning (WRN) vs. Emergency (EMG)</w:t>
      </w:r>
    </w:p>
    <w:p w:rsidR="00076225" w14:paraId="728FC389" w14:textId="77777777">
      <w:pPr>
        <w:spacing w:before="240" w:after="240"/>
        <w:rPr>
          <w:color w:val="0000FF"/>
        </w:rPr>
      </w:pPr>
      <w:r>
        <w:rPr>
          <w:color w:val="0000FF"/>
        </w:rPr>
        <w:t>Potential anticipated decisions based on the survey design:</w:t>
      </w:r>
    </w:p>
    <w:p w:rsidR="00076225" w14:paraId="104D5B61" w14:textId="77777777">
      <w:pPr>
        <w:numPr>
          <w:ilvl w:val="0"/>
          <w:numId w:val="1"/>
        </w:numPr>
        <w:spacing w:before="240"/>
        <w:rPr>
          <w:color w:val="0000FF"/>
        </w:rPr>
      </w:pPr>
      <w:r>
        <w:rPr>
          <w:color w:val="0000FF"/>
        </w:rPr>
        <w:t>NWS continues to use the term “Warning” in all cases.</w:t>
      </w:r>
    </w:p>
    <w:p w:rsidR="00076225" w14:paraId="02B74E6A" w14:textId="77777777">
      <w:pPr>
        <w:numPr>
          <w:ilvl w:val="0"/>
          <w:numId w:val="1"/>
        </w:numPr>
        <w:rPr>
          <w:color w:val="0000FF"/>
        </w:rPr>
      </w:pPr>
      <w:r>
        <w:rPr>
          <w:color w:val="0000FF"/>
        </w:rPr>
        <w:t>NWS replaces WRN with EMG.</w:t>
      </w:r>
    </w:p>
    <w:p w:rsidR="00076225" w14:paraId="4D47F87F" w14:textId="77777777">
      <w:pPr>
        <w:numPr>
          <w:ilvl w:val="0"/>
          <w:numId w:val="1"/>
        </w:numPr>
        <w:spacing w:after="240"/>
        <w:rPr>
          <w:color w:val="0000FF"/>
        </w:rPr>
      </w:pPr>
      <w:r>
        <w:rPr>
          <w:color w:val="0000FF"/>
        </w:rPr>
        <w:t xml:space="preserve">NWS uses EMG in some specific cases.  </w:t>
      </w:r>
    </w:p>
    <w:p w:rsidR="00076225" w14:paraId="5D14FE9F" w14:textId="77777777">
      <w:pPr>
        <w:spacing w:before="240" w:after="240"/>
      </w:pPr>
      <w:r>
        <w:t>Now, we are going to discuss NWS’s proposed changes to warnings. As we discussed in the overview, NWS tested the replacing warning with a term that involves the term “emergency.” The survey found that [</w:t>
      </w:r>
      <w:r>
        <w:rPr>
          <w:highlight w:val="yellow"/>
        </w:rPr>
        <w:t>RESULTS</w:t>
      </w:r>
      <w:r>
        <w:t>]. Based on those findings, NWS is considering [</w:t>
      </w:r>
      <w:r>
        <w:rPr>
          <w:highlight w:val="yellow"/>
        </w:rPr>
        <w:t>DECISION</w:t>
      </w:r>
      <w:r>
        <w:t xml:space="preserve">]. </w:t>
      </w:r>
    </w:p>
    <w:p w:rsidR="00076225" w14:paraId="09790C7B" w14:textId="77777777">
      <w:pPr>
        <w:spacing w:before="240" w:after="240"/>
      </w:pPr>
      <w:r>
        <w:rPr>
          <w:color w:val="0000FF"/>
        </w:rPr>
        <w:t>Scenario:</w:t>
      </w:r>
      <w:r>
        <w:t xml:space="preserve"> We’d like you to imagine a situation in which </w:t>
      </w:r>
      <w:r>
        <w:rPr>
          <w:highlight w:val="yellow"/>
        </w:rPr>
        <w:t>[SCENARIO]</w:t>
      </w:r>
      <w:r>
        <w:t>.</w:t>
      </w:r>
    </w:p>
    <w:p w:rsidR="00076225" w14:paraId="03E081AF" w14:textId="77777777">
      <w:pPr>
        <w:spacing w:before="240" w:after="240"/>
      </w:pPr>
      <w:r>
        <w:rPr>
          <w:color w:val="0000FF"/>
        </w:rPr>
        <w:t>NWS continues with the term “warning” in all cases:</w:t>
      </w:r>
      <w:r>
        <w:t xml:space="preserve"> In response to this situation, NWS issues its standard WRN. </w:t>
      </w:r>
      <w:r>
        <w:rPr>
          <w:highlight w:val="yellow"/>
        </w:rPr>
        <w:t>[Put an example on screen.]</w:t>
      </w:r>
      <w:r>
        <w:t xml:space="preserve"> </w:t>
      </w:r>
    </w:p>
    <w:p w:rsidR="00076225" w14:paraId="56DBD67D" w14:textId="77777777">
      <w:pPr>
        <w:numPr>
          <w:ilvl w:val="0"/>
          <w:numId w:val="4"/>
        </w:numPr>
        <w:spacing w:before="240"/>
      </w:pPr>
      <w:r>
        <w:t>Are there changes you’d like to see in how NWS handles this type of situation?</w:t>
      </w:r>
    </w:p>
    <w:p w:rsidR="00076225" w14:paraId="4AC050ED" w14:textId="77777777">
      <w:pPr>
        <w:numPr>
          <w:ilvl w:val="0"/>
          <w:numId w:val="4"/>
        </w:numPr>
      </w:pPr>
      <w:r>
        <w:t>What advantages and disadvantages do you see in continuing to use a WRN in this situation?</w:t>
      </w:r>
    </w:p>
    <w:p w:rsidR="00076225" w14:paraId="4EED73EE" w14:textId="77777777">
      <w:pPr>
        <w:numPr>
          <w:ilvl w:val="0"/>
          <w:numId w:val="4"/>
        </w:numPr>
      </w:pPr>
      <w:r>
        <w:t xml:space="preserve">Would you prefer to see something different in this situation? </w:t>
      </w:r>
    </w:p>
    <w:p w:rsidR="00076225" w14:paraId="06855784" w14:textId="1081C66A">
      <w:pPr>
        <w:numPr>
          <w:ilvl w:val="1"/>
          <w:numId w:val="4"/>
        </w:numPr>
        <w:spacing w:after="240"/>
      </w:pPr>
      <w:r>
        <w:t>Probe</w:t>
      </w:r>
      <w:r>
        <w:t>: Are there situations in which EMG would be better?</w:t>
      </w:r>
    </w:p>
    <w:p w:rsidR="00076225" w14:paraId="447B2590" w14:textId="77777777">
      <w:pPr>
        <w:spacing w:before="240" w:after="240"/>
      </w:pPr>
      <w:r>
        <w:rPr>
          <w:color w:val="0000FF"/>
        </w:rPr>
        <w:t>NWS replaces WRN with EMG:</w:t>
      </w:r>
      <w:r>
        <w:t xml:space="preserve">  In response to this situation, NWS issues an EMG statement. </w:t>
      </w:r>
      <w:r>
        <w:rPr>
          <w:highlight w:val="yellow"/>
        </w:rPr>
        <w:t>[Put an example on screen.]</w:t>
      </w:r>
      <w:r>
        <w:t xml:space="preserve"> </w:t>
      </w:r>
    </w:p>
    <w:p w:rsidR="00076225" w14:paraId="435CF182" w14:textId="77777777">
      <w:pPr>
        <w:numPr>
          <w:ilvl w:val="0"/>
          <w:numId w:val="4"/>
        </w:numPr>
        <w:spacing w:before="240"/>
      </w:pPr>
      <w:r>
        <w:t xml:space="preserve">How would this EMG statement affect your ability to communicate tsunami risk? </w:t>
      </w:r>
    </w:p>
    <w:p w:rsidR="00076225" w14:paraId="5FA9ED27" w14:textId="77777777">
      <w:pPr>
        <w:numPr>
          <w:ilvl w:val="1"/>
          <w:numId w:val="4"/>
        </w:numPr>
      </w:pPr>
      <w:r>
        <w:t xml:space="preserve">Probe: In what ways would this change improve your ability to communicate risk? </w:t>
      </w:r>
    </w:p>
    <w:p w:rsidR="00076225" w14:paraId="14FBE4B6" w14:textId="77777777">
      <w:pPr>
        <w:numPr>
          <w:ilvl w:val="1"/>
          <w:numId w:val="4"/>
        </w:numPr>
      </w:pPr>
      <w:r>
        <w:t>Probe: In what ways would it complicate it?</w:t>
      </w:r>
    </w:p>
    <w:p w:rsidR="00076225" w14:paraId="1E81D10B" w14:textId="77777777">
      <w:pPr>
        <w:numPr>
          <w:ilvl w:val="0"/>
          <w:numId w:val="4"/>
        </w:numPr>
      </w:pPr>
      <w:r>
        <w:t>What are the potential advantages and disadvantages of this new version of the EMG statement?</w:t>
      </w:r>
    </w:p>
    <w:p w:rsidR="00076225" w14:paraId="753D4BF0" w14:textId="77777777">
      <w:pPr>
        <w:numPr>
          <w:ilvl w:val="0"/>
          <w:numId w:val="4"/>
        </w:numPr>
        <w:spacing w:after="240"/>
      </w:pPr>
      <w:r>
        <w:t xml:space="preserve">What adjustments would you make to ensure this is successful? </w:t>
      </w:r>
    </w:p>
    <w:p w:rsidR="00076225" w14:paraId="4B973830" w14:textId="77777777">
      <w:pPr>
        <w:spacing w:before="240" w:after="240"/>
      </w:pPr>
      <w:r>
        <w:rPr>
          <w:color w:val="0000FF"/>
        </w:rPr>
        <w:t>NWS uses both WRN and EMG based on different aspects of specific situations:</w:t>
      </w:r>
      <w:r>
        <w:t xml:space="preserve"> In response to this situation NWS issues a WRN. </w:t>
      </w:r>
      <w:r>
        <w:rPr>
          <w:highlight w:val="yellow"/>
        </w:rPr>
        <w:t>[Put an example on screen.]</w:t>
      </w:r>
      <w:r>
        <w:t xml:space="preserve"> However, had the situation been [some specific for use of EMG], NWS would have issued an EMG. </w:t>
      </w:r>
      <w:r>
        <w:rPr>
          <w:highlight w:val="yellow"/>
        </w:rPr>
        <w:t>[Put an example on screen next to the WRN example for comparison.]</w:t>
      </w:r>
      <w:r>
        <w:t xml:space="preserve"> </w:t>
      </w:r>
    </w:p>
    <w:p w:rsidR="00076225" w14:paraId="035368FA" w14:textId="77777777">
      <w:pPr>
        <w:numPr>
          <w:ilvl w:val="0"/>
          <w:numId w:val="4"/>
        </w:numPr>
        <w:spacing w:before="240"/>
      </w:pPr>
      <w:r>
        <w:t>Are there changes you’d like to see in how NWS handles the use of the WRN in this type of situation?</w:t>
      </w:r>
    </w:p>
    <w:p w:rsidR="00076225" w14:paraId="31EEE2A3" w14:textId="77777777">
      <w:pPr>
        <w:numPr>
          <w:ilvl w:val="0"/>
          <w:numId w:val="4"/>
        </w:numPr>
      </w:pPr>
      <w:r>
        <w:t xml:space="preserve">How would this EMG statement affect your ability to communicate tsunami risk? </w:t>
      </w:r>
    </w:p>
    <w:p w:rsidR="00076225" w14:paraId="34795A50" w14:textId="77777777">
      <w:pPr>
        <w:numPr>
          <w:ilvl w:val="1"/>
          <w:numId w:val="4"/>
        </w:numPr>
      </w:pPr>
      <w:r>
        <w:t>Probe: In what ways would the use of two headlines (WRN and EMG) improve your ability to communicate risk?</w:t>
      </w:r>
    </w:p>
    <w:p w:rsidR="00076225" w14:paraId="2E8A8A67" w14:textId="77777777">
      <w:pPr>
        <w:numPr>
          <w:ilvl w:val="1"/>
          <w:numId w:val="4"/>
        </w:numPr>
      </w:pPr>
      <w:r>
        <w:t xml:space="preserve">In what ways would it complicate it? </w:t>
      </w:r>
    </w:p>
    <w:p w:rsidR="00076225" w14:paraId="13EC5502" w14:textId="77777777">
      <w:pPr>
        <w:numPr>
          <w:ilvl w:val="0"/>
          <w:numId w:val="4"/>
        </w:numPr>
        <w:spacing w:after="240"/>
      </w:pPr>
      <w:r>
        <w:t xml:space="preserve">What adjustments would you make to ensure this is successful? </w:t>
      </w:r>
    </w:p>
    <w:p w:rsidR="00076225" w14:paraId="6C85DB0E" w14:textId="77777777">
      <w:pPr>
        <w:spacing w:before="240" w:after="240"/>
      </w:pPr>
    </w:p>
    <w:p w:rsidR="00076225" w14:paraId="6631A42A" w14:textId="77777777">
      <w:pPr>
        <w:spacing w:before="240" w:after="240"/>
        <w:rPr>
          <w:b/>
          <w:bCs/>
          <w:u w:val="single"/>
        </w:rPr>
      </w:pPr>
      <w:r>
        <w:rPr>
          <w:b/>
          <w:bCs/>
          <w:u w:val="single"/>
        </w:rPr>
        <w:t>D. Cancellations (CAN)</w:t>
      </w:r>
    </w:p>
    <w:p w:rsidR="00076225" w14:paraId="1973D7AC" w14:textId="77777777">
      <w:pPr>
        <w:spacing w:before="240" w:after="240"/>
        <w:rPr>
          <w:color w:val="0000FF"/>
        </w:rPr>
      </w:pPr>
      <w:r>
        <w:rPr>
          <w:color w:val="0000FF"/>
        </w:rPr>
        <w:t>Potential anticipated decisions based on the survey design:</w:t>
      </w:r>
    </w:p>
    <w:p w:rsidR="00076225" w14:paraId="0C2590FE" w14:textId="77777777">
      <w:pPr>
        <w:numPr>
          <w:ilvl w:val="0"/>
          <w:numId w:val="1"/>
        </w:numPr>
        <w:spacing w:before="240"/>
        <w:rPr>
          <w:color w:val="0000FF"/>
        </w:rPr>
      </w:pPr>
      <w:r>
        <w:rPr>
          <w:color w:val="0000FF"/>
        </w:rPr>
        <w:t>NWS makes no changes to cancellation notices.</w:t>
      </w:r>
    </w:p>
    <w:p w:rsidR="00076225" w14:paraId="183819E5" w14:textId="77777777">
      <w:pPr>
        <w:numPr>
          <w:ilvl w:val="0"/>
          <w:numId w:val="1"/>
        </w:numPr>
        <w:spacing w:after="240"/>
        <w:rPr>
          <w:color w:val="0000FF"/>
        </w:rPr>
      </w:pPr>
      <w:r>
        <w:rPr>
          <w:color w:val="0000FF"/>
        </w:rPr>
        <w:t>NWS alters the wording of cancellation notices.</w:t>
      </w:r>
    </w:p>
    <w:p w:rsidR="00076225" w14:paraId="3B4633D1" w14:textId="77777777">
      <w:pPr>
        <w:spacing w:before="240" w:after="240"/>
      </w:pPr>
      <w:r>
        <w:t>Finally, we want to review NWS’s proposed changes to cancellations. As we discussed, NWS tested how respondents reacted to the cancellation notice to get a sense of how they interpreted the notice. The survey found that [</w:t>
      </w:r>
      <w:r>
        <w:rPr>
          <w:highlight w:val="yellow"/>
        </w:rPr>
        <w:t>RESULTS</w:t>
      </w:r>
      <w:r>
        <w:t>]. Based on those findings, NWS is considering [</w:t>
      </w:r>
      <w:r>
        <w:rPr>
          <w:highlight w:val="yellow"/>
        </w:rPr>
        <w:t>DECISION</w:t>
      </w:r>
      <w:r>
        <w:t xml:space="preserve">]. </w:t>
      </w:r>
    </w:p>
    <w:p w:rsidR="00076225" w14:paraId="0F3EB9A9" w14:textId="77777777">
      <w:pPr>
        <w:numPr>
          <w:ilvl w:val="0"/>
          <w:numId w:val="4"/>
        </w:numPr>
        <w:spacing w:before="240"/>
      </w:pPr>
      <w:r>
        <w:t xml:space="preserve">How would this approach affect the decisions that you need to make in relation to tsunamis? </w:t>
      </w:r>
    </w:p>
    <w:p w:rsidR="00076225" w14:paraId="74654EF9" w14:textId="77777777">
      <w:pPr>
        <w:numPr>
          <w:ilvl w:val="0"/>
          <w:numId w:val="4"/>
        </w:numPr>
      </w:pPr>
      <w:r>
        <w:t xml:space="preserve">Cancellations could come after an ADV or WRN. With that in mind, would your approach change depending on which NWS product the CAN followed? </w:t>
      </w:r>
    </w:p>
    <w:p w:rsidR="00076225" w14:paraId="6D93AAB4" w14:textId="77777777">
      <w:pPr>
        <w:numPr>
          <w:ilvl w:val="0"/>
          <w:numId w:val="4"/>
        </w:numPr>
      </w:pPr>
      <w:r>
        <w:t xml:space="preserve">How would this approach to cancellation affect your ability to communicate tsunami risk? </w:t>
      </w:r>
    </w:p>
    <w:p w:rsidR="00076225" w14:paraId="5508AC28" w14:textId="77777777">
      <w:pPr>
        <w:numPr>
          <w:ilvl w:val="1"/>
          <w:numId w:val="4"/>
        </w:numPr>
      </w:pPr>
      <w:r>
        <w:t xml:space="preserve">In what ways would it improve your ability to communicate the situation? </w:t>
      </w:r>
    </w:p>
    <w:p w:rsidR="00076225" w14:paraId="48C1629B" w14:textId="77777777">
      <w:pPr>
        <w:numPr>
          <w:ilvl w:val="1"/>
          <w:numId w:val="4"/>
        </w:numPr>
      </w:pPr>
      <w:r>
        <w:t>In what ways would it complicate it?</w:t>
      </w:r>
    </w:p>
    <w:p w:rsidR="00076225" w14:paraId="3DF0B99D" w14:textId="77777777">
      <w:pPr>
        <w:numPr>
          <w:ilvl w:val="0"/>
          <w:numId w:val="4"/>
        </w:numPr>
      </w:pPr>
      <w:r>
        <w:t>What are the potential advantages and disadvantages of this approach?</w:t>
      </w:r>
    </w:p>
    <w:p w:rsidR="00076225" w14:paraId="570D85B0" w14:textId="77777777">
      <w:pPr>
        <w:numPr>
          <w:ilvl w:val="0"/>
          <w:numId w:val="4"/>
        </w:numPr>
        <w:spacing w:after="240"/>
      </w:pPr>
      <w:r>
        <w:t xml:space="preserve">What adjustments would you make to ensure this approach is successful? </w:t>
      </w:r>
    </w:p>
    <w:p w:rsidR="00076225" w14:paraId="3CCE9FFB" w14:textId="77777777">
      <w:pPr>
        <w:spacing w:before="240" w:after="240"/>
      </w:pPr>
    </w:p>
    <w:p w:rsidR="00076225" w14:paraId="5DDC415D" w14:textId="77777777">
      <w:pPr>
        <w:spacing w:before="240" w:after="240"/>
        <w:rPr>
          <w:b/>
          <w:bCs/>
          <w:u w:val="single"/>
        </w:rPr>
      </w:pPr>
      <w:r>
        <w:rPr>
          <w:b/>
          <w:bCs/>
          <w:u w:val="single"/>
        </w:rPr>
        <w:t>E. Wireless Emergency Alerts (WEA)</w:t>
      </w:r>
    </w:p>
    <w:p w:rsidR="00076225" w14:paraId="65C47D2D" w14:textId="77777777">
      <w:pPr>
        <w:spacing w:before="240" w:after="240"/>
      </w:pPr>
      <w:r>
        <w:rPr>
          <w:color w:val="0000FF"/>
        </w:rPr>
        <w:t>The set of potential changes to use of WEAs is broad and will depend on the survey outcomes and what is feasible for NWS to implement.</w:t>
      </w:r>
      <w:r>
        <w:t xml:space="preserve"> </w:t>
      </w:r>
    </w:p>
    <w:p w:rsidR="00076225" w14:paraId="3E0312DF" w14:textId="77777777">
      <w:pPr>
        <w:spacing w:before="240" w:after="240"/>
      </w:pPr>
      <w:r>
        <w:t>Finally, we want to discuss how changes to phone alerts (such as WEA) would impact decisions and communication of tsunami risks. The survey found that [</w:t>
      </w:r>
      <w:r>
        <w:rPr>
          <w:highlight w:val="yellow"/>
        </w:rPr>
        <w:t>RESULTS</w:t>
      </w:r>
      <w:r>
        <w:t>]. Based on those findings, NWS is considering [</w:t>
      </w:r>
      <w:r>
        <w:rPr>
          <w:highlight w:val="yellow"/>
        </w:rPr>
        <w:t>DECISION</w:t>
      </w:r>
      <w:r>
        <w:t xml:space="preserve">]. </w:t>
      </w:r>
    </w:p>
    <w:p w:rsidR="00076225" w14:paraId="16F7C197" w14:textId="77777777">
      <w:pPr>
        <w:numPr>
          <w:ilvl w:val="0"/>
          <w:numId w:val="4"/>
        </w:numPr>
        <w:spacing w:before="240"/>
      </w:pPr>
      <w:r>
        <w:t>How would this approach affect the decisions that you need to make in relation to tsunamis?</w:t>
      </w:r>
    </w:p>
    <w:p w:rsidR="00076225" w14:paraId="39CA89C2" w14:textId="77777777">
      <w:pPr>
        <w:numPr>
          <w:ilvl w:val="0"/>
          <w:numId w:val="4"/>
        </w:numPr>
      </w:pPr>
      <w:r>
        <w:t xml:space="preserve">How would this approach to phone alerts affect your ability to communicate tsunami risk? </w:t>
      </w:r>
    </w:p>
    <w:p w:rsidR="00076225" w14:paraId="2A13B164" w14:textId="77777777">
      <w:pPr>
        <w:numPr>
          <w:ilvl w:val="1"/>
          <w:numId w:val="4"/>
        </w:numPr>
      </w:pPr>
      <w:r>
        <w:t xml:space="preserve">In what ways would it improve your ability to communicate the situation? </w:t>
      </w:r>
    </w:p>
    <w:p w:rsidR="00076225" w14:paraId="508921F8" w14:textId="77777777">
      <w:pPr>
        <w:numPr>
          <w:ilvl w:val="1"/>
          <w:numId w:val="4"/>
        </w:numPr>
      </w:pPr>
      <w:r>
        <w:t>In what ways would it complicate it?</w:t>
      </w:r>
    </w:p>
    <w:p w:rsidR="00076225" w14:paraId="37E8FC5D" w14:textId="77777777">
      <w:pPr>
        <w:numPr>
          <w:ilvl w:val="0"/>
          <w:numId w:val="4"/>
        </w:numPr>
      </w:pPr>
      <w:r>
        <w:t>What are the potential advantages and disadvantages of this approach?</w:t>
      </w:r>
    </w:p>
    <w:p w:rsidR="00076225" w14:paraId="00264A64" w14:textId="77777777">
      <w:pPr>
        <w:numPr>
          <w:ilvl w:val="0"/>
          <w:numId w:val="4"/>
        </w:numPr>
        <w:spacing w:after="240"/>
      </w:pPr>
      <w:r>
        <w:t xml:space="preserve">What adjustments would you make? </w:t>
      </w:r>
    </w:p>
    <w:p w:rsidR="00076225" w14:paraId="58008032" w14:textId="77777777"/>
    <w:sectPr>
      <w:headerReference w:type="default" r:id="rId5"/>
      <w:footerReference w:type="default" r:id="rI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20FD54-D02B-4014-ACC3-373009DB06F0}"/>
  </w:font>
  <w:font w:name="Cambria">
    <w:panose1 w:val="02040503050406030204"/>
    <w:charset w:val="00"/>
    <w:family w:val="roman"/>
    <w:pitch w:val="variable"/>
    <w:sig w:usb0="E00006FF" w:usb1="420024FF" w:usb2="02000000" w:usb3="00000000" w:csb0="0000019F" w:csb1="00000000"/>
    <w:embedRegular r:id="rId2" w:fontKey="{F92551B5-26D4-4190-B026-8ED3CA74B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6225" w14:paraId="0E9FC719" w14:textId="77777777">
    <w:pPr>
      <w:jc w:val="right"/>
    </w:pP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6225" w14:paraId="1834073A" w14:textId="77777777">
    <w:pPr>
      <w:rPr>
        <w:rFonts w:ascii="Calibri" w:eastAsia="Calibri" w:hAnsi="Calibri" w:cs="Calibri"/>
        <w:sz w:val="20"/>
        <w:szCs w:val="20"/>
      </w:rPr>
    </w:pPr>
    <w:r>
      <w:rPr>
        <w:rFonts w:ascii="Calibri" w:eastAsia="Calibri" w:hAnsi="Calibri" w:cs="Calibri"/>
        <w:sz w:val="20"/>
        <w:szCs w:val="20"/>
      </w:rPr>
      <w:t>OMB Control Number:  0648-0830</w:t>
    </w:r>
  </w:p>
  <w:p w:rsidR="00076225" w14:paraId="1F05F2C5" w14:textId="77777777">
    <w:pPr>
      <w:rPr>
        <w:rFonts w:ascii="Calibri" w:eastAsia="Calibri" w:hAnsi="Calibri" w:cs="Calibri"/>
        <w:sz w:val="20"/>
        <w:szCs w:val="20"/>
      </w:rPr>
    </w:pPr>
    <w:r>
      <w:rPr>
        <w:rFonts w:ascii="Calibri" w:eastAsia="Calibri" w:hAnsi="Calibri" w:cs="Calibri"/>
        <w:sz w:val="20"/>
        <w:szCs w:val="20"/>
      </w:rPr>
      <w:t>Expiration Date:  6/30/2028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810CF1"/>
    <w:multiLevelType w:val="multilevel"/>
    <w:tmpl w:val="47BC6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1E079DA"/>
    <w:multiLevelType w:val="multilevel"/>
    <w:tmpl w:val="DB3AE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A487877"/>
    <w:multiLevelType w:val="multilevel"/>
    <w:tmpl w:val="A2CC1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A8A5781"/>
    <w:multiLevelType w:val="multilevel"/>
    <w:tmpl w:val="6E60B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7AD1BBD"/>
    <w:multiLevelType w:val="multilevel"/>
    <w:tmpl w:val="C0DE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4104682">
    <w:abstractNumId w:val="2"/>
  </w:num>
  <w:num w:numId="2" w16cid:durableId="194195635">
    <w:abstractNumId w:val="3"/>
  </w:num>
  <w:num w:numId="3" w16cid:durableId="943463501">
    <w:abstractNumId w:val="1"/>
  </w:num>
  <w:num w:numId="4" w16cid:durableId="1061052477">
    <w:abstractNumId w:val="0"/>
  </w:num>
  <w:num w:numId="5" w16cid:durableId="1712150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225"/>
    <w:rsid w:val="00076225"/>
    <w:rsid w:val="00280F71"/>
    <w:rsid w:val="008177C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641738F"/>
  <w15:docId w15:val="{806C86FE-669B-4454-99AE-D2FFB0CF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a">
    <w:name w:val="a"/>
    <w:basedOn w:val="TableNormal1"/>
    <w:tblPr>
      <w:tblStyleRowBandSize w:val="1"/>
      <w:tblStyleColBandSize w:val="1"/>
    </w:tblPr>
  </w:style>
  <w:style w:type="table" w:customStyle="1" w:styleId="a0">
    <w:name w:val="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name w:val="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5eHZAB/sAF+dZ1ncqNeFRXATQ==">CgMxLjA4AHIhMXVuX1ZOd0Z2U0ZNTzFmMzRNNE9VZFQzaVFVS2JfRFcx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1530</Words>
  <Characters>8722</Characters>
  <Application>Microsoft Office Word</Application>
  <DocSecurity>0</DocSecurity>
  <Lines>72</Lines>
  <Paragraphs>20</Paragraphs>
  <ScaleCrop>false</ScaleCrop>
  <Company>NOAA 1200 CORPSRV</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2025-12-19T16:32:00Z</dcterms:created>
  <dcterms:modified xsi:type="dcterms:W3CDTF">2025-12-19T16:32:00Z</dcterms:modified>
</cp:coreProperties>
</file>