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F0A72" w14:paraId="4BAAB69C" w14:textId="77777777">
      <w:pPr>
        <w:pStyle w:val="Heading1"/>
        <w:keepNext w:val="0"/>
        <w:keepLines w:val="0"/>
        <w:widowControl w:val="0"/>
        <w:spacing w:before="80"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SUPPORTING STATEMENT</w:t>
      </w:r>
    </w:p>
    <w:p w:rsidR="009F0A72" w14:paraId="6F2C4DB8" w14:textId="77777777">
      <w:pPr>
        <w:widowControl w:val="0"/>
        <w:spacing w:before="22" w:line="259" w:lineRule="auto"/>
        <w:ind w:firstLine="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 Department of Commerce</w:t>
      </w:r>
    </w:p>
    <w:p w:rsidR="009F0A72" w14:paraId="11AE7DE3" w14:textId="77777777">
      <w:pPr>
        <w:widowControl w:val="0"/>
        <w:spacing w:before="22" w:line="259" w:lineRule="auto"/>
        <w:ind w:firstLine="14"/>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National Oceanic &amp; Atmospheric Administration</w:t>
      </w:r>
    </w:p>
    <w:p w:rsidR="009F0A72" w14:paraId="6E20329F" w14:textId="77777777">
      <w:pPr>
        <w:widowControl w:val="0"/>
        <w:spacing w:line="259" w:lineRule="auto"/>
        <w:ind w:hanging="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Generic Clearance </w:t>
      </w:r>
      <w:r>
        <w:rPr>
          <w:rFonts w:ascii="Times New Roman" w:eastAsia="Times New Roman" w:hAnsi="Times New Roman" w:cs="Times New Roman"/>
          <w:b/>
          <w:bCs/>
          <w:sz w:val="24"/>
          <w:szCs w:val="24"/>
        </w:rPr>
        <w:t>For</w:t>
      </w:r>
      <w:r>
        <w:rPr>
          <w:rFonts w:ascii="Times New Roman" w:eastAsia="Times New Roman" w:hAnsi="Times New Roman" w:cs="Times New Roman"/>
          <w:b/>
          <w:bCs/>
          <w:sz w:val="24"/>
          <w:szCs w:val="24"/>
        </w:rPr>
        <w:t xml:space="preserve"> NWS Risk Communication, Evaluation, and Feedback </w:t>
      </w:r>
    </w:p>
    <w:p w:rsidR="009F0A72" w14:paraId="6442F0B3" w14:textId="77777777">
      <w:pPr>
        <w:widowControl w:val="0"/>
        <w:spacing w:line="259" w:lineRule="auto"/>
        <w:ind w:hanging="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Evaluating Operational Improvements to Tsunami Messaging System</w:t>
      </w:r>
    </w:p>
    <w:p w:rsidR="009F0A72" w14:paraId="7718F571" w14:textId="77777777">
      <w:pPr>
        <w:widowControl w:val="0"/>
        <w:spacing w:line="259" w:lineRule="auto"/>
        <w:ind w:hanging="6"/>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OMB Control No. 0648-0830</w:t>
      </w:r>
    </w:p>
    <w:p w:rsidR="009F0A72" w14:paraId="138CD7E8" w14:textId="77777777">
      <w:pPr>
        <w:widowControl w:val="0"/>
        <w:spacing w:before="80" w:line="240" w:lineRule="auto"/>
        <w:rPr>
          <w:rFonts w:ascii="Times New Roman" w:eastAsia="Times New Roman" w:hAnsi="Times New Roman" w:cs="Times New Roman"/>
          <w:b/>
          <w:bCs/>
          <w:color w:val="FF0000"/>
          <w:sz w:val="24"/>
          <w:szCs w:val="24"/>
        </w:rPr>
      </w:pPr>
    </w:p>
    <w:p w:rsidR="009F0A72" w14:paraId="1D438978" w14:textId="77777777">
      <w:pPr>
        <w:widowControl w:val="0"/>
        <w:spacing w:before="16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 Collections of Information Employing Statistical Methods</w:t>
      </w:r>
    </w:p>
    <w:p w:rsidR="009F0A72" w14:paraId="42FD7E2F" w14:textId="77777777">
      <w:pPr>
        <w:pStyle w:val="Heading1"/>
        <w:keepNext w:val="0"/>
        <w:keepLines w:val="0"/>
        <w:widowControl w:val="0"/>
        <w:numPr>
          <w:ilvl w:val="0"/>
          <w:numId w:val="4"/>
        </w:numPr>
        <w:tabs>
          <w:tab w:val="left" w:pos="360"/>
        </w:tabs>
        <w:spacing w:before="185" w:after="0" w:line="240" w:lineRule="auto"/>
        <w:rPr>
          <w:b/>
          <w:bCs/>
          <w:sz w:val="24"/>
          <w:szCs w:val="24"/>
        </w:rPr>
      </w:pPr>
      <w:r>
        <w:rPr>
          <w:rFonts w:ascii="Times New Roman" w:eastAsia="Times New Roman" w:hAnsi="Times New Roman" w:cs="Times New Roman"/>
          <w:b/>
          <w:bCs/>
          <w:sz w:val="24"/>
          <w:szCs w:val="24"/>
        </w:rPr>
        <w:t xml:space="preserve">Describe (including a numerical estimate) the potential respondent universe and </w:t>
      </w:r>
      <w:r>
        <w:rPr>
          <w:rFonts w:ascii="Times New Roman" w:eastAsia="Times New Roman" w:hAnsi="Times New Roman" w:cs="Times New Roman"/>
          <w:b/>
          <w:bCs/>
          <w:sz w:val="24"/>
          <w:szCs w:val="24"/>
          <w:highlight w:val="white"/>
        </w:rPr>
        <w:t>any sampling or other respondent selection method</w:t>
      </w:r>
      <w:r>
        <w:rPr>
          <w:rFonts w:ascii="Times New Roman" w:eastAsia="Times New Roman" w:hAnsi="Times New Roman" w:cs="Times New Roman"/>
          <w:b/>
          <w:bCs/>
          <w:sz w:val="24"/>
          <w:szCs w:val="24"/>
        </w:rPr>
        <w:t xml:space="preserve"> to be used. Data on the number of entities (e.g., establishments, State and local government units, households, or persons) in the universe covered by the collection and in the corresponding sample are to be provided in tabular form for the universe as a whole and for each of the strata in the proposed sample. Indicate expected response rates for the collection as a whole. If the collection had been conducted previously, include the actual response rate achi</w:t>
      </w:r>
      <w:r>
        <w:rPr>
          <w:rFonts w:ascii="Times New Roman" w:eastAsia="Times New Roman" w:hAnsi="Times New Roman" w:cs="Times New Roman"/>
          <w:b/>
          <w:bCs/>
          <w:sz w:val="24"/>
          <w:szCs w:val="24"/>
        </w:rPr>
        <w:t>eved during the last collection.</w:t>
      </w:r>
    </w:p>
    <w:p w:rsidR="009F0A72" w14:paraId="11DEB6C1" w14:textId="77777777">
      <w:pPr>
        <w:widowControl w:val="0"/>
        <w:spacing w:before="16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Survey</w:t>
      </w:r>
    </w:p>
    <w:p w:rsidR="009F0A72" w14:paraId="2815D03F"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Respondent Universe</w:t>
      </w:r>
    </w:p>
    <w:p w:rsidR="009F0A72" w14:paraId="67E2DB53"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will collect data from people in five states that are most prone to tsunami risk: Alaska, California, Hawai'i, Oregon, and Washington. The survey will focus on the adult population from each state (aged 18 plus). Furthermore, NWS will restrict the sample to those who could come into close proximity to the ocean or other waterways (e.g., harbor, rivers) prone to tsunami risk; this includes: </w:t>
      </w:r>
    </w:p>
    <w:p w:rsidR="009F0A72" w14:paraId="0504E236" w14:textId="77777777">
      <w:pPr>
        <w:widowControl w:val="0"/>
        <w:numPr>
          <w:ilvl w:val="0"/>
          <w:numId w:val="8"/>
        </w:numPr>
        <w:spacing w:before="161" w:line="240" w:lineRule="auto"/>
        <w:rPr>
          <w:rFonts w:ascii="Noto Sans Symbols" w:eastAsia="Noto Sans Symbols" w:hAnsi="Noto Sans Symbols" w:cs="Noto Sans Symbols"/>
          <w:sz w:val="20"/>
          <w:szCs w:val="20"/>
        </w:rPr>
      </w:pPr>
      <w:r>
        <w:rPr>
          <w:rFonts w:ascii="Times New Roman" w:eastAsia="Times New Roman" w:hAnsi="Times New Roman" w:cs="Times New Roman"/>
          <w:sz w:val="24"/>
          <w:szCs w:val="24"/>
        </w:rPr>
        <w:t>Respondents in California, Oregon, Washington, and Alaska who indicate that they live within 10 miles of the shoreline will be included while all Hawai’i respondents will be included. </w:t>
      </w:r>
    </w:p>
    <w:p w:rsidR="009F0A72" w14:paraId="2766EA0A" w14:textId="77777777">
      <w:pPr>
        <w:widowControl w:val="0"/>
        <w:numPr>
          <w:ilvl w:val="0"/>
          <w:numId w:val="8"/>
        </w:numPr>
        <w:spacing w:before="161" w:line="240" w:lineRule="auto"/>
        <w:rPr>
          <w:rFonts w:ascii="Noto Sans Symbols" w:eastAsia="Noto Sans Symbols" w:hAnsi="Noto Sans Symbols" w:cs="Noto Sans Symbols"/>
          <w:sz w:val="20"/>
          <w:szCs w:val="20"/>
        </w:rPr>
      </w:pPr>
      <w:r>
        <w:rPr>
          <w:rFonts w:ascii="Times New Roman" w:eastAsia="Times New Roman" w:hAnsi="Times New Roman" w:cs="Times New Roman"/>
          <w:sz w:val="24"/>
          <w:szCs w:val="24"/>
        </w:rPr>
        <w:t>Respondents who indicate that they travel at least “occasionally” to within 1-2 miles of the shoreline will also be included.</w:t>
      </w:r>
    </w:p>
    <w:p w:rsidR="009F0A72" w14:paraId="322D52DB"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1 provides Census Bureau data on the total population of each state aged 18 or over. These population estimates reflect all people living in the state and not just those who reside within 10 miles of a shoreline. However, as noted in the bullets above, NWS is also targeting those who visit the shoreline “occasionally” which may include many residents further inland. Thus, NWS expects the population numbers in Table 1 to provide a reasonable approximation of the respondent universe for this survey. NWS</w:t>
      </w:r>
      <w:r>
        <w:rPr>
          <w:rFonts w:ascii="Times New Roman" w:eastAsia="Times New Roman" w:hAnsi="Times New Roman" w:cs="Times New Roman"/>
          <w:sz w:val="24"/>
          <w:szCs w:val="24"/>
        </w:rPr>
        <w:t xml:space="preserve"> will draw from this in selecting the sample by using an online panel provider to select potential respondents with the criteria defined in the bullet points above.</w:t>
      </w:r>
    </w:p>
    <w:p w:rsidR="009F0A72" w14:paraId="0FD07181"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also provides the sample size estimates for the survey. NWS’s contractor for this work has budgeted for 800 responses to the survey and allocated those responses across the five states. To ensure residents of California do not dominate the survey responses, NWS will limit the number of responses from California to 40 percent (320 targeted responses) of the total sample. </w:t>
      </w:r>
      <w:r>
        <w:rPr>
          <w:rFonts w:ascii="Times New Roman" w:eastAsia="Times New Roman" w:hAnsi="Times New Roman" w:cs="Times New Roman"/>
          <w:sz w:val="24"/>
          <w:szCs w:val="24"/>
        </w:rPr>
        <w:t>NWS has assumed the remaining 480 responses would be allocated based on proportional populations of the other four states. For example, since Washington has approximately 55 percent of the populations of Alaska, Hawaii, Oregon, and Washington, 264 respondents of the remaining non-California respondents were allocated to Washington. The expected number of respondents from each state appear in Table 1. NWS has also assumed a 33 percent response rate based on the Wu et al. (2022) which provides a meta-analysis</w:t>
      </w:r>
      <w:r>
        <w:rPr>
          <w:rFonts w:ascii="Times New Roman" w:eastAsia="Times New Roman" w:hAnsi="Times New Roman" w:cs="Times New Roman"/>
          <w:sz w:val="24"/>
          <w:szCs w:val="24"/>
        </w:rPr>
        <w:t xml:space="preserve"> of response rates to online surveys. Wu et al. find that surveys with 701-2,500 respondents averaged a response rate of 33.9 percent with a 95 percent confidence interval of 30.2 percent to 36.6 percent. NWS notes that this survey is on the lower end of the respondent range reported in Wu et al. and surveys in the range of 301-700 respondents had an average response rate of 44.6 percent (95 percent confidence interval of 41.2 to 48.0 percent). Thus, NWS is confident in the 33 percent response rate being a </w:t>
      </w:r>
      <w:r>
        <w:rPr>
          <w:rFonts w:ascii="Times New Roman" w:eastAsia="Times New Roman" w:hAnsi="Times New Roman" w:cs="Times New Roman"/>
          <w:sz w:val="24"/>
          <w:szCs w:val="24"/>
        </w:rPr>
        <w:t>reasonable estimate, but we also note that the results of Wu et al. indicate our actual response rate may be higher. Finally, Table 1 also provides the sample needed (selected sample) to obtain the expected total in each state assuming a 33 percent response rate by dividing the expected number of responses (our target for this work based on budget) by the response rate.</w:t>
      </w:r>
    </w:p>
    <w:p w:rsidR="009F0A72" w14:paraId="4A9F2273" w14:textId="77777777">
      <w:pPr>
        <w:widowControl w:val="0"/>
        <w:spacing w:before="16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Table 1. Population and Sample Estimates</w:t>
      </w:r>
    </w:p>
    <w:tbl>
      <w:tblPr>
        <w:tblStyle w:val="a"/>
        <w:tblW w:w="10080" w:type="dxa"/>
        <w:tblInd w:w="0" w:type="dxa"/>
        <w:tblLayout w:type="fixed"/>
        <w:tblLook w:val="0400"/>
      </w:tblPr>
      <w:tblGrid>
        <w:gridCol w:w="1291"/>
        <w:gridCol w:w="3782"/>
        <w:gridCol w:w="1171"/>
        <w:gridCol w:w="1788"/>
        <w:gridCol w:w="2048"/>
      </w:tblGrid>
      <w:tr w14:paraId="5756CFDE" w14:textId="77777777">
        <w:tblPrEx>
          <w:tblW w:w="10080" w:type="dxa"/>
          <w:tblInd w:w="0" w:type="dxa"/>
          <w:tblLayout w:type="fixed"/>
          <w:tblLook w:val="0400"/>
        </w:tblPrEx>
        <w:tc>
          <w:tcPr>
            <w:tcW w:w="1291"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rsidR="009F0A72" w14:paraId="55F985A5" w14:textId="77777777">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State</w:t>
            </w:r>
          </w:p>
        </w:tc>
        <w:tc>
          <w:tcPr>
            <w:tcW w:w="3782" w:type="dxa"/>
            <w:tcBorders>
              <w:top w:val="single" w:sz="8" w:space="0" w:color="000000"/>
              <w:left w:val="single" w:sz="8" w:space="0" w:color="000000"/>
              <w:bottom w:val="single" w:sz="6" w:space="0" w:color="000000"/>
              <w:right w:val="single" w:sz="8" w:space="0" w:color="000000"/>
            </w:tcBorders>
            <w:shd w:val="clear" w:color="auto" w:fill="D9D9D9"/>
            <w:tcMar>
              <w:top w:w="100" w:type="dxa"/>
              <w:left w:w="100" w:type="dxa"/>
              <w:bottom w:w="100" w:type="dxa"/>
              <w:right w:w="100" w:type="dxa"/>
            </w:tcMar>
            <w:vAlign w:val="center"/>
          </w:tcPr>
          <w:p w:rsidR="009F0A72" w14:paraId="6088EC0C"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Population Over the Age of 18 [a]</w:t>
            </w:r>
          </w:p>
        </w:tc>
        <w:tc>
          <w:tcPr>
            <w:tcW w:w="117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FD471C8"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Selected </w:t>
            </w:r>
          </w:p>
          <w:p w:rsidR="009F0A72" w14:paraId="141DF54D"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Sample</w:t>
            </w:r>
          </w:p>
        </w:tc>
        <w:tc>
          <w:tcPr>
            <w:tcW w:w="178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5C585753"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Response Rate</w:t>
            </w:r>
          </w:p>
        </w:tc>
        <w:tc>
          <w:tcPr>
            <w:tcW w:w="204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441AE883"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Expected Number of Respondents </w:t>
            </w:r>
          </w:p>
        </w:tc>
      </w:tr>
      <w:tr w14:paraId="0E3CEB6A" w14:textId="77777777">
        <w:tblPrEx>
          <w:tblW w:w="10080" w:type="dxa"/>
          <w:tblInd w:w="0" w:type="dxa"/>
          <w:tblLayout w:type="fixed"/>
          <w:tblLook w:val="0400"/>
        </w:tblPrEx>
        <w:trPr>
          <w:trHeight w:val="400"/>
        </w:trPr>
        <w:tc>
          <w:tcPr>
            <w:tcW w:w="1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8714F2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Alaska</w:t>
            </w:r>
          </w:p>
        </w:tc>
        <w:tc>
          <w:tcPr>
            <w:tcW w:w="378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DF6DE1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565,186</w:t>
            </w:r>
          </w:p>
        </w:tc>
        <w:tc>
          <w:tcPr>
            <w:tcW w:w="11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F0A72" w14:paraId="32B2FE6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78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7D6C4E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54CCC0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14:paraId="649F442D" w14:textId="77777777">
        <w:tblPrEx>
          <w:tblW w:w="10080" w:type="dxa"/>
          <w:tblInd w:w="0" w:type="dxa"/>
          <w:tblLayout w:type="fixed"/>
          <w:tblLook w:val="0400"/>
        </w:tblPrEx>
        <w:trPr>
          <w:trHeight w:val="400"/>
        </w:trPr>
        <w:tc>
          <w:tcPr>
            <w:tcW w:w="1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521FE91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California</w:t>
            </w:r>
          </w:p>
        </w:tc>
        <w:tc>
          <w:tcPr>
            <w:tcW w:w="378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D3D2DC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31,012,711</w:t>
            </w:r>
          </w:p>
        </w:tc>
        <w:tc>
          <w:tcPr>
            <w:tcW w:w="11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F0A72" w14:paraId="1F122E1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w:t>
            </w:r>
          </w:p>
        </w:tc>
        <w:tc>
          <w:tcPr>
            <w:tcW w:w="178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7801449" w14:textId="77777777">
            <w:pPr>
              <w:widowControl w:val="0"/>
              <w:rPr>
                <w:rFonts w:ascii="Times New Roman" w:eastAsia="Times New Roman" w:hAnsi="Times New Roman" w:cs="Times New Roman"/>
                <w:sz w:val="20"/>
                <w:szCs w:val="20"/>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796F0C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14:paraId="4F92EE54" w14:textId="77777777">
        <w:tblPrEx>
          <w:tblW w:w="10080" w:type="dxa"/>
          <w:tblInd w:w="0" w:type="dxa"/>
          <w:tblLayout w:type="fixed"/>
          <w:tblLook w:val="0400"/>
        </w:tblPrEx>
        <w:trPr>
          <w:trHeight w:val="400"/>
        </w:trPr>
        <w:tc>
          <w:tcPr>
            <w:tcW w:w="1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4D075C4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Hawai'i</w:t>
            </w:r>
          </w:p>
        </w:tc>
        <w:tc>
          <w:tcPr>
            <w:tcW w:w="378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E6CA34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1,152,797</w:t>
            </w:r>
          </w:p>
        </w:tc>
        <w:tc>
          <w:tcPr>
            <w:tcW w:w="11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F0A72" w14:paraId="18C1BD0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78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B7E9422" w14:textId="77777777">
            <w:pPr>
              <w:widowControl w:val="0"/>
              <w:rPr>
                <w:rFonts w:ascii="Times New Roman" w:eastAsia="Times New Roman" w:hAnsi="Times New Roman" w:cs="Times New Roman"/>
                <w:sz w:val="20"/>
                <w:szCs w:val="20"/>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205B23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r>
      <w:tr w14:paraId="4EE27180" w14:textId="77777777">
        <w:tblPrEx>
          <w:tblW w:w="10080" w:type="dxa"/>
          <w:tblInd w:w="0" w:type="dxa"/>
          <w:tblLayout w:type="fixed"/>
          <w:tblLook w:val="0400"/>
        </w:tblPrEx>
        <w:trPr>
          <w:trHeight w:val="400"/>
        </w:trPr>
        <w:tc>
          <w:tcPr>
            <w:tcW w:w="1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52CDDA2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Oregon</w:t>
            </w:r>
          </w:p>
        </w:tc>
        <w:tc>
          <w:tcPr>
            <w:tcW w:w="378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E3677D0"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3,446,156</w:t>
            </w:r>
          </w:p>
        </w:tc>
        <w:tc>
          <w:tcPr>
            <w:tcW w:w="11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F0A72" w14:paraId="4A9F2D2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432</w:t>
            </w:r>
          </w:p>
        </w:tc>
        <w:tc>
          <w:tcPr>
            <w:tcW w:w="178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793C253" w14:textId="77777777">
            <w:pPr>
              <w:widowControl w:val="0"/>
              <w:rPr>
                <w:rFonts w:ascii="Times New Roman" w:eastAsia="Times New Roman" w:hAnsi="Times New Roman" w:cs="Times New Roman"/>
                <w:sz w:val="20"/>
                <w:szCs w:val="20"/>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A92DAD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r>
      <w:tr w14:paraId="2D22A8F1" w14:textId="77777777">
        <w:tblPrEx>
          <w:tblW w:w="10080" w:type="dxa"/>
          <w:tblInd w:w="0" w:type="dxa"/>
          <w:tblLayout w:type="fixed"/>
          <w:tblLook w:val="0400"/>
        </w:tblPrEx>
        <w:trPr>
          <w:trHeight w:val="400"/>
        </w:trPr>
        <w:tc>
          <w:tcPr>
            <w:tcW w:w="1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0291DF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Washington</w:t>
            </w:r>
          </w:p>
        </w:tc>
        <w:tc>
          <w:tcPr>
            <w:tcW w:w="378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46F0D6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6,303,143</w:t>
            </w:r>
          </w:p>
        </w:tc>
        <w:tc>
          <w:tcPr>
            <w:tcW w:w="11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F0A72" w14:paraId="53621A9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w:t>
            </w:r>
          </w:p>
        </w:tc>
        <w:tc>
          <w:tcPr>
            <w:tcW w:w="178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5A3A59D" w14:textId="77777777">
            <w:pPr>
              <w:widowControl w:val="0"/>
              <w:rPr>
                <w:rFonts w:ascii="Times New Roman" w:eastAsia="Times New Roman" w:hAnsi="Times New Roman" w:cs="Times New Roman"/>
                <w:sz w:val="20"/>
                <w:szCs w:val="20"/>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2157B2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w:t>
            </w:r>
          </w:p>
        </w:tc>
      </w:tr>
      <w:tr w14:paraId="0EDD95AB" w14:textId="77777777">
        <w:tblPrEx>
          <w:tblW w:w="10080" w:type="dxa"/>
          <w:tblInd w:w="0" w:type="dxa"/>
          <w:tblLayout w:type="fixed"/>
          <w:tblLook w:val="0400"/>
        </w:tblPrEx>
        <w:tc>
          <w:tcPr>
            <w:tcW w:w="129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5B7DF3F"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Totals</w:t>
            </w:r>
          </w:p>
        </w:tc>
        <w:tc>
          <w:tcPr>
            <w:tcW w:w="378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19FC487C"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42,479,993</w:t>
            </w:r>
          </w:p>
        </w:tc>
        <w:tc>
          <w:tcPr>
            <w:tcW w:w="1171" w:type="dxa"/>
            <w:tcBorders>
              <w:top w:val="single" w:sz="8" w:space="0" w:color="000000"/>
              <w:left w:val="single" w:sz="6" w:space="0" w:color="000000"/>
              <w:bottom w:val="single" w:sz="8" w:space="0" w:color="000000"/>
              <w:right w:val="single" w:sz="8" w:space="0" w:color="000000"/>
            </w:tcBorders>
            <w:tcMar>
              <w:top w:w="100" w:type="dxa"/>
              <w:left w:w="100" w:type="dxa"/>
              <w:bottom w:w="100" w:type="dxa"/>
              <w:right w:w="100" w:type="dxa"/>
            </w:tcMar>
            <w:vAlign w:val="center"/>
          </w:tcPr>
          <w:p w:rsidR="009F0A72" w14:paraId="7E75734B"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2,402</w:t>
            </w:r>
          </w:p>
        </w:tc>
        <w:tc>
          <w:tcPr>
            <w:tcW w:w="1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AD4F190"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33%</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644221D"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800</w:t>
            </w:r>
          </w:p>
        </w:tc>
      </w:tr>
    </w:tbl>
    <w:p w:rsidR="009F0A72" w14:paraId="65C38082" w14:textId="77777777">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 </w:t>
      </w:r>
      <w:hyperlink r:id="rId5">
        <w:r>
          <w:rPr>
            <w:rFonts w:ascii="Times New Roman" w:eastAsia="Times New Roman" w:hAnsi="Times New Roman" w:cs="Times New Roman"/>
            <w:b/>
            <w:bCs/>
            <w:color w:val="0563C1"/>
            <w:sz w:val="20"/>
            <w:szCs w:val="20"/>
            <w:u w:val="single"/>
          </w:rPr>
          <w:t>https://www.census.gov/data/tables/time-series/demo/popest/2020s-state-detail.html</w:t>
        </w:r>
      </w:hyperlink>
      <w:r>
        <w:rPr>
          <w:rFonts w:ascii="Times New Roman" w:eastAsia="Times New Roman" w:hAnsi="Times New Roman" w:cs="Times New Roman"/>
          <w:b/>
          <w:bCs/>
          <w:sz w:val="20"/>
          <w:szCs w:val="20"/>
        </w:rPr>
        <w:t> </w:t>
      </w:r>
    </w:p>
    <w:p w:rsidR="009F0A72" w14:paraId="1825EEB2" w14:textId="77777777">
      <w:pPr>
        <w:widowControl w:val="0"/>
        <w:spacing w:before="161" w:line="240" w:lineRule="auto"/>
        <w:rPr>
          <w:rFonts w:ascii="Times New Roman" w:eastAsia="Times New Roman" w:hAnsi="Times New Roman" w:cs="Times New Roman"/>
          <w:b/>
          <w:bCs/>
          <w:sz w:val="24"/>
          <w:szCs w:val="24"/>
        </w:rPr>
      </w:pPr>
    </w:p>
    <w:p w:rsidR="009F0A72" w14:paraId="0242D29F" w14:textId="77777777">
      <w:pPr>
        <w:widowControl w:val="0"/>
        <w:spacing w:before="16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Selection Method</w:t>
      </w:r>
    </w:p>
    <w:p w:rsidR="009F0A72" w14:paraId="5896DAD4"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NWS will use stratified random sampling in this study where we stratify by state. As noted above, NWS plans to limit California to no more than 40 percent of the sample and the remaining sample will be allocated proportionally (based on population) over the remaining four states</w:t>
      </w:r>
      <w:r>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NWS will instruct the online panel company selected to randomly select the numbers listed in Table 1 above for each state. As noted above, NWS expects that 33 percent (Wu et al., 2022; see discussion prior to Table 1 for justification of value) of those will respond to the survey. In the event fewer responses or some initial selections are out of scope (e.g., not an adult), NWS will instruct the panel company to select replacements and to target the sample size listed in Table 1.</w:t>
      </w:r>
    </w:p>
    <w:p w:rsidR="009F0A72" w14:paraId="2E55D248" w14:textId="77777777">
      <w:pPr>
        <w:widowControl w:val="0"/>
        <w:spacing w:before="161"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Focus Groups</w:t>
      </w:r>
    </w:p>
    <w:p w:rsidR="009F0A72" w14:paraId="2D70E7C7"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focus groups will be conducted by drawing from state/local emergency managers, federal staff, and broadcast meteorologists from the five states where the survey is being implemented (Alaska, California, Hawai'i, Oregon, and Washington). NWS maintains relationships with many of these individuals in performing its daily work. NWS will recruit (select) respondents from those who are active users of NWS’s tsunami information. Given that the focus groups will need individuals who are active users of NWS tsun</w:t>
      </w:r>
      <w:r>
        <w:rPr>
          <w:rFonts w:ascii="Times New Roman" w:eastAsia="Times New Roman" w:hAnsi="Times New Roman" w:cs="Times New Roman"/>
          <w:sz w:val="24"/>
          <w:szCs w:val="24"/>
        </w:rPr>
        <w:t>ami messaging, NWS will not be using random selection methods to form the groups. Overall, NWS expects to hold four groups with a total of 40 non-federal participants. NWS expects that one-third of the participants in the groups to come from California and the remaining ones to be distributed roughly equally across the other four states. </w:t>
      </w:r>
    </w:p>
    <w:p w:rsidR="009F0A72" w14:paraId="5F788C0A" w14:textId="77777777">
      <w:pPr>
        <w:widowControl w:val="0"/>
        <w:spacing w:before="161" w:line="240" w:lineRule="auto"/>
        <w:rPr>
          <w:rFonts w:ascii="Times New Roman" w:eastAsia="Times New Roman" w:hAnsi="Times New Roman" w:cs="Times New Roman"/>
          <w:b/>
          <w:bCs/>
          <w:sz w:val="24"/>
          <w:szCs w:val="24"/>
        </w:rPr>
      </w:pPr>
    </w:p>
    <w:p w:rsidR="009F0A72" w14:paraId="2EA1582A" w14:textId="77777777">
      <w:pPr>
        <w:pStyle w:val="Heading1"/>
        <w:keepNext w:val="0"/>
        <w:keepLines w:val="0"/>
        <w:widowControl w:val="0"/>
        <w:numPr>
          <w:ilvl w:val="0"/>
          <w:numId w:val="4"/>
        </w:numPr>
        <w:tabs>
          <w:tab w:val="left" w:pos="360"/>
        </w:tabs>
        <w:spacing w:before="80" w:after="0" w:line="240" w:lineRule="auto"/>
        <w:rPr>
          <w:b/>
          <w:bCs/>
          <w:sz w:val="24"/>
          <w:szCs w:val="24"/>
        </w:rPr>
      </w:pPr>
      <w:r>
        <w:rPr>
          <w:rFonts w:ascii="Times New Roman" w:eastAsia="Times New Roman" w:hAnsi="Times New Roman" w:cs="Times New Roman"/>
          <w:b/>
          <w:bCs/>
          <w:sz w:val="24"/>
          <w:szCs w:val="24"/>
        </w:rPr>
        <w:t>Describe the procedures for the collection of information including:</w:t>
      </w:r>
    </w:p>
    <w:p w:rsidR="009F0A72" w14:paraId="7EC018BF" w14:textId="77777777">
      <w:pPr>
        <w:widowControl w:val="0"/>
        <w:numPr>
          <w:ilvl w:val="1"/>
          <w:numId w:val="4"/>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Statistical methodology for stratification and sample selection,</w:t>
      </w:r>
    </w:p>
    <w:p w:rsidR="009F0A72" w14:paraId="2A826142" w14:textId="77777777">
      <w:pPr>
        <w:widowControl w:val="0"/>
        <w:numPr>
          <w:ilvl w:val="1"/>
          <w:numId w:val="4"/>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Estimation procedure,</w:t>
      </w:r>
    </w:p>
    <w:p w:rsidR="009F0A72" w14:paraId="66D9DCD8" w14:textId="77777777">
      <w:pPr>
        <w:widowControl w:val="0"/>
        <w:numPr>
          <w:ilvl w:val="1"/>
          <w:numId w:val="4"/>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Degree of accuracy needed for the purpose described in the justification,</w:t>
      </w:r>
    </w:p>
    <w:p w:rsidR="009F0A72" w14:paraId="4EFA2954" w14:textId="77777777">
      <w:pPr>
        <w:widowControl w:val="0"/>
        <w:numPr>
          <w:ilvl w:val="1"/>
          <w:numId w:val="4"/>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Unusual problems requiring specialized sampling procedures, and</w:t>
      </w:r>
    </w:p>
    <w:p w:rsidR="009F0A72" w14:paraId="6E1053B4" w14:textId="77777777">
      <w:pPr>
        <w:widowControl w:val="0"/>
        <w:numPr>
          <w:ilvl w:val="1"/>
          <w:numId w:val="4"/>
        </w:numPr>
        <w:tabs>
          <w:tab w:val="left" w:pos="720"/>
        </w:tabs>
        <w:spacing w:before="120" w:line="240" w:lineRule="auto"/>
        <w:ind w:left="360" w:firstLine="0"/>
        <w:rPr>
          <w:rFonts w:ascii="Noto Sans Symbols" w:eastAsia="Noto Sans Symbols" w:hAnsi="Noto Sans Symbols" w:cs="Noto Sans Symbols"/>
          <w:color w:val="2F5496"/>
          <w:sz w:val="20"/>
          <w:szCs w:val="20"/>
        </w:rPr>
      </w:pPr>
      <w:r>
        <w:rPr>
          <w:rFonts w:ascii="Times New Roman" w:eastAsia="Times New Roman" w:hAnsi="Times New Roman" w:cs="Times New Roman"/>
          <w:sz w:val="24"/>
          <w:szCs w:val="24"/>
        </w:rPr>
        <w:t>Any use of periodic (less frequent than annual) data collection cycles to reduce burden.</w:t>
      </w:r>
    </w:p>
    <w:p w:rsidR="009F0A72" w14:paraId="03681894"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Survey</w:t>
      </w:r>
    </w:p>
    <w:p w:rsidR="009F0A72" w14:paraId="4B83A6BA"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sample size for the survey was determined by the available budget. The contractor NWS selected through a competitive bid process budgeted for collecting 800 responses. As described in Part A, the survey involves assigning respondents to see either new or current NWS tsunami messages in hypothetical scenarios and then asking how they would respond given the information provided. Given the fixed sample size, NWS has calculated the precision for which differences in responses can be detected between groups</w:t>
      </w:r>
      <w:r>
        <w:rPr>
          <w:rFonts w:ascii="Times New Roman" w:eastAsia="Times New Roman" w:hAnsi="Times New Roman" w:cs="Times New Roman"/>
          <w:sz w:val="24"/>
          <w:szCs w:val="24"/>
        </w:rPr>
        <w:t xml:space="preserve"> of respondents who see different NWS messages and the associated statistical power of tests to compare responses.</w:t>
      </w:r>
    </w:p>
    <w:p w:rsidR="009F0A72" w14:paraId="14A019EB"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Statistical methods for stratification and sample selection</w:t>
      </w:r>
    </w:p>
    <w:p w:rsidR="009F0A72" w14:paraId="5D0F18DF"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will work with an online public sample provider to obtain access to a public sample from each state. Respondents will be randomly selected from the online panel to take the survey based on screening criteria and a distribution over the states in the sample. </w:t>
      </w:r>
    </w:p>
    <w:p w:rsidR="009F0A72" w14:paraId="273A0E50"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screening criteria, NWS will use the following:</w:t>
      </w:r>
    </w:p>
    <w:p w:rsidR="009F0A72" w14:paraId="7943CABB" w14:textId="77777777">
      <w:pPr>
        <w:widowControl w:val="0"/>
        <w:numPr>
          <w:ilvl w:val="0"/>
          <w:numId w:val="2"/>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Respondents must be 18 or older</w:t>
      </w:r>
    </w:p>
    <w:p w:rsidR="009F0A72" w14:paraId="38C56690" w14:textId="77777777">
      <w:pPr>
        <w:widowControl w:val="0"/>
        <w:numPr>
          <w:ilvl w:val="0"/>
          <w:numId w:val="2"/>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Respondents must reside in one of the five in-scope states: Alaska, California, Hawai’i, Oregon, and Washington. </w:t>
      </w:r>
    </w:p>
    <w:p w:rsidR="009F0A72" w14:paraId="07FC7B42" w14:textId="77777777">
      <w:pPr>
        <w:widowControl w:val="0"/>
        <w:numPr>
          <w:ilvl w:val="0"/>
          <w:numId w:val="2"/>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Respondents in California, Oregon, Washington, and Alaska must either indicate that they: </w:t>
      </w:r>
    </w:p>
    <w:p w:rsidR="009F0A72" w14:paraId="7C113763" w14:textId="77777777">
      <w:pPr>
        <w:widowControl w:val="0"/>
        <w:numPr>
          <w:ilvl w:val="1"/>
          <w:numId w:val="2"/>
        </w:numPr>
        <w:spacing w:before="161" w:line="240" w:lineRule="auto"/>
        <w:rPr>
          <w:rFonts w:ascii="Courier New" w:eastAsia="Courier New" w:hAnsi="Courier New" w:cs="Courier New"/>
          <w:sz w:val="24"/>
          <w:szCs w:val="24"/>
        </w:rPr>
      </w:pPr>
      <w:r>
        <w:rPr>
          <w:rFonts w:ascii="Times New Roman" w:eastAsia="Times New Roman" w:hAnsi="Times New Roman" w:cs="Times New Roman"/>
          <w:sz w:val="24"/>
          <w:szCs w:val="24"/>
        </w:rPr>
        <w:t>Live within 10 miles of the shoreline </w:t>
      </w:r>
    </w:p>
    <w:p w:rsidR="009F0A72" w14:paraId="3B86DBCF" w14:textId="77777777">
      <w:pPr>
        <w:widowControl w:val="0"/>
        <w:numPr>
          <w:ilvl w:val="1"/>
          <w:numId w:val="2"/>
        </w:numPr>
        <w:spacing w:before="161" w:line="240" w:lineRule="auto"/>
        <w:rPr>
          <w:rFonts w:ascii="Courier New" w:eastAsia="Courier New" w:hAnsi="Courier New" w:cs="Courier New"/>
          <w:sz w:val="24"/>
          <w:szCs w:val="24"/>
        </w:rPr>
      </w:pPr>
      <w:r>
        <w:rPr>
          <w:rFonts w:ascii="Times New Roman" w:eastAsia="Times New Roman" w:hAnsi="Times New Roman" w:cs="Times New Roman"/>
          <w:sz w:val="24"/>
          <w:szCs w:val="24"/>
        </w:rPr>
        <w:t>Travel at least “occasionally” to within 1-2 miles of the shoreline will also be included</w:t>
      </w:r>
    </w:p>
    <w:p w:rsidR="009F0A72" w14:paraId="3FAB5E01" w14:textId="77777777">
      <w:pPr>
        <w:widowControl w:val="0"/>
        <w:numPr>
          <w:ilvl w:val="0"/>
          <w:numId w:val="2"/>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All respondents from Hawai’i will be included</w:t>
      </w:r>
    </w:p>
    <w:p w:rsidR="009F0A72" w14:paraId="2C4222FB"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is also planning to target an adequate number of responses from each in-scope state. To ensure adequate representation from all of the states included in the survey scope, NWS plans to limit the number of responses from California given its size relative to the other four states. NWS notes, however, that the study is not looking to draw conclusions at the state level. Table 2 provides the total population over the age of 18 of each state in the sample. Given that California represents 73 percent of that</w:t>
      </w:r>
      <w:r>
        <w:rPr>
          <w:rFonts w:ascii="Times New Roman" w:eastAsia="Times New Roman" w:hAnsi="Times New Roman" w:cs="Times New Roman"/>
          <w:sz w:val="24"/>
          <w:szCs w:val="24"/>
        </w:rPr>
        <w:t xml:space="preserve"> total, NWS decided to limit the sample from California to 40 percent of the total sample (320 respondents). The remaining 480 respondents were then distributed to the other four states based on their share of population over the age of 18 among those four states. </w:t>
      </w:r>
    </w:p>
    <w:p w:rsidR="009F0A72" w14:paraId="0044D021" w14:textId="77777777">
      <w:pPr>
        <w:widowControl w:val="0"/>
        <w:spacing w:before="161" w:line="240" w:lineRule="auto"/>
        <w:ind w:left="4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 Public Sample Respondent Numbers by State</w:t>
      </w:r>
    </w:p>
    <w:tbl>
      <w:tblPr>
        <w:tblStyle w:val="a0"/>
        <w:tblW w:w="9563" w:type="dxa"/>
        <w:tblInd w:w="0" w:type="dxa"/>
        <w:tblLayout w:type="fixed"/>
        <w:tblLook w:val="0400"/>
      </w:tblPr>
      <w:tblGrid>
        <w:gridCol w:w="1522"/>
        <w:gridCol w:w="1544"/>
        <w:gridCol w:w="1545"/>
        <w:gridCol w:w="1545"/>
        <w:gridCol w:w="1704"/>
        <w:gridCol w:w="1703"/>
      </w:tblGrid>
      <w:tr w14:paraId="6EFD0D35" w14:textId="77777777">
        <w:tblPrEx>
          <w:tblW w:w="9563" w:type="dxa"/>
          <w:tblInd w:w="0" w:type="dxa"/>
          <w:tblLayout w:type="fixed"/>
          <w:tblLook w:val="0400"/>
        </w:tblPrEx>
        <w:trPr>
          <w:trHeight w:val="315"/>
        </w:trPr>
        <w:tc>
          <w:tcPr>
            <w:tcW w:w="1522" w:type="dxa"/>
            <w:vMerge w:val="restart"/>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9F0A72" w14:paraId="6AF12667"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State</w:t>
            </w:r>
          </w:p>
        </w:tc>
        <w:tc>
          <w:tcPr>
            <w:tcW w:w="4634" w:type="dxa"/>
            <w:gridSpan w:val="3"/>
            <w:tcBorders>
              <w:top w:val="single" w:sz="6" w:space="0" w:color="000000"/>
              <w:left w:val="single" w:sz="6" w:space="0" w:color="000000"/>
              <w:bottom w:val="single" w:sz="6" w:space="0" w:color="000000"/>
              <w:right w:val="single" w:sz="6" w:space="0" w:color="000000"/>
            </w:tcBorders>
            <w:shd w:val="clear" w:color="auto" w:fill="D9D9D9"/>
            <w:tcMar>
              <w:top w:w="40" w:type="dxa"/>
              <w:left w:w="0" w:type="dxa"/>
              <w:bottom w:w="40" w:type="dxa"/>
              <w:right w:w="0" w:type="dxa"/>
            </w:tcMar>
            <w:vAlign w:val="center"/>
          </w:tcPr>
          <w:p w:rsidR="009F0A72" w14:paraId="405B21E6"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Population Over Age 18</w:t>
            </w:r>
          </w:p>
        </w:tc>
        <w:tc>
          <w:tcPr>
            <w:tcW w:w="3407" w:type="dxa"/>
            <w:gridSpan w:val="2"/>
            <w:tcBorders>
              <w:top w:val="single" w:sz="6" w:space="0" w:color="000000"/>
              <w:left w:val="single" w:sz="6" w:space="0" w:color="000000"/>
              <w:bottom w:val="single" w:sz="6" w:space="0" w:color="000000"/>
              <w:right w:val="single" w:sz="6" w:space="0" w:color="000000"/>
            </w:tcBorders>
            <w:shd w:val="clear" w:color="auto" w:fill="D9D9D9"/>
            <w:tcMar>
              <w:top w:w="40" w:type="dxa"/>
              <w:left w:w="0" w:type="dxa"/>
              <w:bottom w:w="40" w:type="dxa"/>
              <w:right w:w="0" w:type="dxa"/>
            </w:tcMar>
            <w:vAlign w:val="center"/>
          </w:tcPr>
          <w:p w:rsidR="009F0A72" w14:paraId="03304CC0"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Targeted Sample</w:t>
            </w:r>
          </w:p>
        </w:tc>
      </w:tr>
      <w:tr w14:paraId="6EF59E09" w14:textId="77777777">
        <w:tblPrEx>
          <w:tblW w:w="9563" w:type="dxa"/>
          <w:tblInd w:w="0" w:type="dxa"/>
          <w:tblLayout w:type="fixed"/>
          <w:tblLook w:val="0400"/>
        </w:tblPrEx>
        <w:trPr>
          <w:trHeight w:val="555"/>
        </w:trPr>
        <w:tc>
          <w:tcPr>
            <w:tcW w:w="1522" w:type="dxa"/>
            <w:vMerge/>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9F0A72" w14:paraId="7CF09194" w14:textId="77777777">
            <w:pPr>
              <w:widowControl w:val="0"/>
              <w:rPr>
                <w:rFonts w:ascii="Times New Roman" w:eastAsia="Times New Roman" w:hAnsi="Times New Roman" w:cs="Times New Roman"/>
                <w:sz w:val="20"/>
                <w:szCs w:val="20"/>
              </w:rPr>
            </w:pPr>
          </w:p>
        </w:tc>
        <w:tc>
          <w:tcPr>
            <w:tcW w:w="154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9F0A72" w14:paraId="340DDE1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Number [a]</w:t>
            </w:r>
          </w:p>
        </w:tc>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9F0A72" w14:paraId="130EE86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Percent of Five States</w:t>
            </w:r>
          </w:p>
        </w:tc>
        <w:tc>
          <w:tcPr>
            <w:tcW w:w="1545"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9F0A72" w14:paraId="3DF6D0D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Percent of States Excluding CA</w:t>
            </w:r>
          </w:p>
        </w:tc>
        <w:tc>
          <w:tcPr>
            <w:tcW w:w="1704"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vAlign w:val="center"/>
          </w:tcPr>
          <w:p w:rsidR="009F0A72" w14:paraId="40B7D4D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Respondents</w:t>
            </w:r>
          </w:p>
        </w:tc>
        <w:tc>
          <w:tcPr>
            <w:tcW w:w="1703" w:type="dxa"/>
            <w:tcBorders>
              <w:top w:val="single" w:sz="6" w:space="0" w:color="000000"/>
              <w:left w:val="single" w:sz="6" w:space="0" w:color="000000"/>
              <w:bottom w:val="single" w:sz="6" w:space="0" w:color="000000"/>
              <w:right w:val="single" w:sz="6" w:space="0" w:color="000000"/>
            </w:tcBorders>
            <w:shd w:val="clear" w:color="auto" w:fill="D9D9D9"/>
            <w:tcMar>
              <w:top w:w="40" w:type="dxa"/>
              <w:left w:w="0" w:type="dxa"/>
              <w:bottom w:w="40" w:type="dxa"/>
              <w:right w:w="0" w:type="dxa"/>
            </w:tcMar>
            <w:vAlign w:val="center"/>
          </w:tcPr>
          <w:p w:rsidR="009F0A72" w14:paraId="676D80D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Percent of Sample</w:t>
            </w:r>
          </w:p>
        </w:tc>
      </w:tr>
      <w:tr w14:paraId="4120B31F" w14:textId="77777777">
        <w:tblPrEx>
          <w:tblW w:w="9563" w:type="dxa"/>
          <w:tblInd w:w="0" w:type="dxa"/>
          <w:tblLayout w:type="fixed"/>
          <w:tblLook w:val="0400"/>
        </w:tblPrEx>
        <w:trPr>
          <w:trHeight w:val="315"/>
        </w:trPr>
        <w:tc>
          <w:tcPr>
            <w:tcW w:w="1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5FBCB3DB"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Alaska</w:t>
            </w:r>
          </w:p>
        </w:tc>
        <w:tc>
          <w:tcPr>
            <w:tcW w:w="15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54CCAA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565,186</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4E081AD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7F9F18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17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AB3E94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17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309918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14:paraId="2D64C118" w14:textId="77777777">
        <w:tblPrEx>
          <w:tblW w:w="9563" w:type="dxa"/>
          <w:tblInd w:w="0" w:type="dxa"/>
          <w:tblLayout w:type="fixed"/>
          <w:tblLook w:val="0400"/>
        </w:tblPrEx>
        <w:trPr>
          <w:trHeight w:val="315"/>
        </w:trPr>
        <w:tc>
          <w:tcPr>
            <w:tcW w:w="1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1E848641"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California</w:t>
            </w:r>
          </w:p>
        </w:tc>
        <w:tc>
          <w:tcPr>
            <w:tcW w:w="15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5D1F24D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31,012,711</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0ED5DD1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73.0%</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D8ECA8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9FBEEA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c>
          <w:tcPr>
            <w:tcW w:w="17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40FFB8E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14:paraId="054678BC" w14:textId="77777777">
        <w:tblPrEx>
          <w:tblW w:w="9563" w:type="dxa"/>
          <w:tblInd w:w="0" w:type="dxa"/>
          <w:tblLayout w:type="fixed"/>
          <w:tblLook w:val="0400"/>
        </w:tblPrEx>
        <w:trPr>
          <w:trHeight w:val="315"/>
        </w:trPr>
        <w:tc>
          <w:tcPr>
            <w:tcW w:w="1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0D508D63"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Hawai'i</w:t>
            </w:r>
          </w:p>
        </w:tc>
        <w:tc>
          <w:tcPr>
            <w:tcW w:w="15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64CD65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1,152,797</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CC8D85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01FAB8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7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4A03A5B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17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08FA4C1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14:paraId="1CB356EA" w14:textId="77777777">
        <w:tblPrEx>
          <w:tblW w:w="9563" w:type="dxa"/>
          <w:tblInd w:w="0" w:type="dxa"/>
          <w:tblLayout w:type="fixed"/>
          <w:tblLook w:val="0400"/>
        </w:tblPrEx>
        <w:trPr>
          <w:trHeight w:val="315"/>
        </w:trPr>
        <w:tc>
          <w:tcPr>
            <w:tcW w:w="1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7B927E5D"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Oregon</w:t>
            </w:r>
          </w:p>
        </w:tc>
        <w:tc>
          <w:tcPr>
            <w:tcW w:w="15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E06AD3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3,446,156</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1302BD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500F940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7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00AF9D9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144</w:t>
            </w:r>
          </w:p>
        </w:tc>
        <w:tc>
          <w:tcPr>
            <w:tcW w:w="17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C3DDF7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14:paraId="58D2BDA6" w14:textId="77777777">
        <w:tblPrEx>
          <w:tblW w:w="9563" w:type="dxa"/>
          <w:tblInd w:w="0" w:type="dxa"/>
          <w:tblLayout w:type="fixed"/>
          <w:tblLook w:val="0400"/>
        </w:tblPrEx>
        <w:trPr>
          <w:trHeight w:val="315"/>
        </w:trPr>
        <w:tc>
          <w:tcPr>
            <w:tcW w:w="1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71A1D4F"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Washington</w:t>
            </w:r>
          </w:p>
        </w:tc>
        <w:tc>
          <w:tcPr>
            <w:tcW w:w="15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FE3326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6,303,143</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3A12211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48C509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17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75FD680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264</w:t>
            </w:r>
          </w:p>
        </w:tc>
        <w:tc>
          <w:tcPr>
            <w:tcW w:w="17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158CE24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14:paraId="0E799BFF" w14:textId="77777777">
        <w:tblPrEx>
          <w:tblW w:w="9563" w:type="dxa"/>
          <w:tblInd w:w="0" w:type="dxa"/>
          <w:tblLayout w:type="fixed"/>
          <w:tblLook w:val="0400"/>
        </w:tblPrEx>
        <w:trPr>
          <w:trHeight w:val="315"/>
        </w:trPr>
        <w:tc>
          <w:tcPr>
            <w:tcW w:w="152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27C2780D"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Totals</w:t>
            </w:r>
          </w:p>
        </w:tc>
        <w:tc>
          <w:tcPr>
            <w:tcW w:w="15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6A84500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42,479,993</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70FF1D6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100%</w:t>
            </w:r>
          </w:p>
        </w:tc>
        <w:tc>
          <w:tcPr>
            <w:tcW w:w="15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06187BE6"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p>
        </w:tc>
        <w:tc>
          <w:tcPr>
            <w:tcW w:w="170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7455DAE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800</w:t>
            </w:r>
          </w:p>
        </w:tc>
        <w:tc>
          <w:tcPr>
            <w:tcW w:w="170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rsidR="009F0A72" w14:paraId="1CBCB50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100%</w:t>
            </w:r>
          </w:p>
        </w:tc>
      </w:tr>
    </w:tbl>
    <w:p w:rsidR="009F0A72" w14:paraId="6A623FEE"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w:t>
      </w:r>
      <w:hyperlink r:id="rId5">
        <w:r>
          <w:rPr>
            <w:rFonts w:ascii="Times New Roman" w:eastAsia="Times New Roman" w:hAnsi="Times New Roman" w:cs="Times New Roman"/>
            <w:color w:val="0563C1"/>
            <w:sz w:val="20"/>
            <w:szCs w:val="20"/>
            <w:u w:val="single"/>
          </w:rPr>
          <w:t>https://www.census.gov/data/tables/time-series/demo/popest/2020s-state-detail.html</w:t>
        </w:r>
      </w:hyperlink>
      <w:r>
        <w:rPr>
          <w:rFonts w:ascii="Times New Roman" w:eastAsia="Times New Roman" w:hAnsi="Times New Roman" w:cs="Times New Roman"/>
          <w:sz w:val="20"/>
          <w:szCs w:val="20"/>
        </w:rPr>
        <w:t> </w:t>
      </w:r>
    </w:p>
    <w:p w:rsidR="009F0A72" w14:paraId="563B7370" w14:textId="77777777">
      <w:pPr>
        <w:widowControl w:val="0"/>
        <w:spacing w:before="161" w:line="240" w:lineRule="auto"/>
        <w:ind w:left="400"/>
        <w:rPr>
          <w:rFonts w:ascii="Times New Roman" w:eastAsia="Times New Roman" w:hAnsi="Times New Roman" w:cs="Times New Roman"/>
          <w:sz w:val="24"/>
          <w:szCs w:val="24"/>
        </w:rPr>
      </w:pPr>
    </w:p>
    <w:p w:rsidR="009F0A72" w14:paraId="41C871B2"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Estimation Procedure </w:t>
      </w:r>
    </w:p>
    <w:p w:rsidR="009F0A72" w14:paraId="41BE839E"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noted above, NWS has set the targeted number of complete surveys at 800 based on the budget for the work. NWS will provide a discussion of the obtainable accuracy from this sample in the accuracy section below.</w:t>
      </w:r>
    </w:p>
    <w:p w:rsidR="009F0A72" w14:paraId="44CC28F4" w14:textId="57B5DD6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data collection</w:t>
      </w:r>
      <w:r>
        <w:rPr>
          <w:rFonts w:ascii="Times New Roman" w:eastAsia="Times New Roman" w:hAnsi="Times New Roman" w:cs="Times New Roman"/>
          <w:sz w:val="24"/>
          <w:szCs w:val="24"/>
        </w:rPr>
        <w:t>, NWS will weight the sample respondents based on three population factors: </w:t>
      </w:r>
    </w:p>
    <w:p w:rsidR="009F0A72" w14:paraId="674BE956" w14:textId="77777777">
      <w:pPr>
        <w:widowControl w:val="0"/>
        <w:numPr>
          <w:ilvl w:val="0"/>
          <w:numId w:val="10"/>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State - Given that NWS is over-representing four states (relative to California), re-weighting the data collected to reflect the total population over the five states is warranted.</w:t>
      </w:r>
    </w:p>
    <w:p w:rsidR="009F0A72" w14:paraId="66437A22" w14:textId="77777777">
      <w:pPr>
        <w:widowControl w:val="0"/>
        <w:numPr>
          <w:ilvl w:val="0"/>
          <w:numId w:val="10"/>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Age - Prior work on refining NWS messaging performed by NWS has shown that older respondents tend to be more risk-averse than younger respondents (ERG, 2018).</w:t>
      </w:r>
    </w:p>
    <w:p w:rsidR="009F0A72" w14:paraId="45B147CA" w14:textId="77777777">
      <w:pPr>
        <w:widowControl w:val="0"/>
        <w:numPr>
          <w:ilvl w:val="0"/>
          <w:numId w:val="10"/>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Sex - Prior work on refining NWS messaging performed by NWS has shown that women tend to be more risk-averse than men (ERG, 2018).</w:t>
      </w:r>
    </w:p>
    <w:p w:rsidR="009F0A72" w14:paraId="3D1BD744"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Thus, adjusting for those three factors in the weighting process will allow for more representative data.</w:t>
      </w:r>
    </w:p>
    <w:p w:rsidR="009F0A72" w14:paraId="701E1F19"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Degree of Accuracy</w:t>
      </w:r>
    </w:p>
    <w:p w:rsidR="009F0A72" w14:paraId="4E9BE24A"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is interested in assessing specific aspects of the current tsunami alerting system:</w:t>
      </w:r>
    </w:p>
    <w:p w:rsidR="009F0A72" w14:paraId="4D45136A" w14:textId="77777777">
      <w:pPr>
        <w:widowControl w:val="0"/>
        <w:numPr>
          <w:ilvl w:val="0"/>
          <w:numId w:val="1"/>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use of Tsunami Information Statement to a Tsunami Watch, which may be similar in nature.</w:t>
      </w:r>
    </w:p>
    <w:p w:rsidR="009F0A72" w14:paraId="6E069DE0" w14:textId="77777777">
      <w:pPr>
        <w:widowControl w:val="0"/>
        <w:numPr>
          <w:ilvl w:val="0"/>
          <w:numId w:val="1"/>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New headline language for the Tsunami Advisory to be in line with other work at NWS. </w:t>
      </w:r>
    </w:p>
    <w:p w:rsidR="009F0A72" w14:paraId="0EE38873" w14:textId="77777777">
      <w:pPr>
        <w:widowControl w:val="0"/>
        <w:numPr>
          <w:ilvl w:val="0"/>
          <w:numId w:val="1"/>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use of the term “tsunami emergency” in relation to the current term “tsunami warning”. NWS wants to test whether the use of the word “emergency” performs better than the term “warning” for inland threats.</w:t>
      </w:r>
    </w:p>
    <w:p w:rsidR="009F0A72" w14:paraId="49F650CF" w14:textId="77777777">
      <w:pPr>
        <w:widowControl w:val="0"/>
        <w:numPr>
          <w:ilvl w:val="0"/>
          <w:numId w:val="1"/>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How respondents interpret and act on a “cancellation” of a tsunami alert product.</w:t>
      </w:r>
    </w:p>
    <w:p w:rsidR="009F0A72" w14:paraId="0986F569"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section describes the accuracy NWS can expect based on the comparisons described above and a sample of 800 respondents. </w:t>
      </w:r>
    </w:p>
    <w:p w:rsidR="009F0A72" w14:paraId="19817951"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First, respondents are assigned to testing modules where they will see the different messages. The modules seen by respondents depend on their assignment to a tsunami source location and then to a location for themselves in relation to the shoreline. For tsunami source locations, respondents are either assigned to near-field sources or far-field sources. Near-field sources involve situations in which NWS has less lead-time to issue messages and often involve skipping a Tsunami Information Statement or Watch</w:t>
      </w:r>
      <w:r>
        <w:rPr>
          <w:rFonts w:ascii="Times New Roman" w:eastAsia="Times New Roman" w:hAnsi="Times New Roman" w:cs="Times New Roman"/>
          <w:sz w:val="24"/>
          <w:szCs w:val="24"/>
        </w:rPr>
        <w:t>. NWS has decided to randomly assign 40 percent of respondents to near-field sources and the remaining 60 percent to far-field sources. In terms of respondent location, respondents can be either assigned to a shoreline location (i.e., can easily touch or see the water) or to an inland location. Advisories are only relevant for shoreline locations based on NWS usage. Respondents who are assigned to shoreline locations see the advisory testing module and those assigned to inland locations see the warning/emer</w:t>
      </w:r>
      <w:r>
        <w:rPr>
          <w:rFonts w:ascii="Times New Roman" w:eastAsia="Times New Roman" w:hAnsi="Times New Roman" w:cs="Times New Roman"/>
          <w:sz w:val="24"/>
          <w:szCs w:val="24"/>
        </w:rPr>
        <w:t>gency testing module. Respondents are randomly assigned to either location at 50 percent. All respondents eventually see a cancellation notice. Table 3 provides a crosswalk between respondent assignment and the message testing modules. </w:t>
      </w:r>
      <w:r>
        <w:br w:type="page"/>
      </w:r>
    </w:p>
    <w:p w:rsidR="009F0A72" w14:paraId="1717C66F" w14:textId="77777777">
      <w:pPr>
        <w:widowControl w:val="0"/>
        <w:spacing w:before="161" w:line="240" w:lineRule="auto"/>
        <w:rPr>
          <w:rFonts w:ascii="Times New Roman" w:eastAsia="Times New Roman" w:hAnsi="Times New Roman" w:cs="Times New Roman"/>
          <w:sz w:val="24"/>
          <w:szCs w:val="24"/>
        </w:rPr>
      </w:pPr>
    </w:p>
    <w:p w:rsidR="009F0A72" w14:paraId="06245809" w14:textId="77777777">
      <w:pPr>
        <w:widowControl w:val="0"/>
        <w:spacing w:before="161" w:line="240" w:lineRule="auto"/>
        <w:rPr>
          <w:rFonts w:ascii="Times New Roman" w:eastAsia="Times New Roman" w:hAnsi="Times New Roman" w:cs="Times New Roman"/>
        </w:rPr>
      </w:pPr>
      <w:r>
        <w:rPr>
          <w:rFonts w:ascii="Times New Roman" w:eastAsia="Times New Roman" w:hAnsi="Times New Roman" w:cs="Times New Roman"/>
          <w:b/>
          <w:bCs/>
        </w:rPr>
        <w:t>Table 3. Respondent Assignment to Testing Modules</w:t>
      </w:r>
    </w:p>
    <w:tbl>
      <w:tblPr>
        <w:tblStyle w:val="a1"/>
        <w:tblW w:w="10079" w:type="dxa"/>
        <w:tblInd w:w="0" w:type="dxa"/>
        <w:tblLayout w:type="fixed"/>
        <w:tblLook w:val="0400"/>
      </w:tblPr>
      <w:tblGrid>
        <w:gridCol w:w="1699"/>
        <w:gridCol w:w="1767"/>
        <w:gridCol w:w="1653"/>
        <w:gridCol w:w="1653"/>
        <w:gridCol w:w="1653"/>
        <w:gridCol w:w="1654"/>
      </w:tblGrid>
      <w:tr w14:paraId="50FA49B0" w14:textId="77777777">
        <w:tblPrEx>
          <w:tblW w:w="10079" w:type="dxa"/>
          <w:tblInd w:w="0" w:type="dxa"/>
          <w:tblLayout w:type="fixed"/>
          <w:tblLook w:val="0400"/>
        </w:tblPrEx>
        <w:trPr>
          <w:trHeight w:val="400"/>
        </w:trPr>
        <w:tc>
          <w:tcPr>
            <w:tcW w:w="1699"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3B51FE3A"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Tsunami Source </w:t>
            </w:r>
          </w:p>
        </w:tc>
        <w:tc>
          <w:tcPr>
            <w:tcW w:w="1767"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5392D04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Respondent Location</w:t>
            </w:r>
          </w:p>
        </w:tc>
        <w:tc>
          <w:tcPr>
            <w:tcW w:w="6613"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424E4D5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Message Testing Modules</w:t>
            </w:r>
          </w:p>
        </w:tc>
      </w:tr>
      <w:tr w14:paraId="0206947C" w14:textId="77777777">
        <w:tblPrEx>
          <w:tblW w:w="10079" w:type="dxa"/>
          <w:tblInd w:w="0" w:type="dxa"/>
          <w:tblLayout w:type="fixed"/>
          <w:tblLook w:val="0400"/>
        </w:tblPrEx>
        <w:trPr>
          <w:trHeight w:val="400"/>
        </w:trPr>
        <w:tc>
          <w:tcPr>
            <w:tcW w:w="1699"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2CE9D688" w14:textId="77777777">
            <w:pPr>
              <w:widowControl w:val="0"/>
              <w:rPr>
                <w:rFonts w:ascii="Times New Roman" w:eastAsia="Times New Roman" w:hAnsi="Times New Roman" w:cs="Times New Roman"/>
                <w:sz w:val="20"/>
                <w:szCs w:val="20"/>
              </w:rPr>
            </w:pPr>
          </w:p>
        </w:tc>
        <w:tc>
          <w:tcPr>
            <w:tcW w:w="1767"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21D7E0F8" w14:textId="77777777">
            <w:pPr>
              <w:widowControl w:val="0"/>
              <w:rPr>
                <w:rFonts w:ascii="Times New Roman" w:eastAsia="Times New Roman" w:hAnsi="Times New Roman" w:cs="Times New Roman"/>
                <w:sz w:val="20"/>
                <w:szCs w:val="20"/>
              </w:rPr>
            </w:pPr>
          </w:p>
        </w:tc>
        <w:tc>
          <w:tcPr>
            <w:tcW w:w="165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1DE617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Tsunami Information Statement / Watch</w:t>
            </w:r>
          </w:p>
        </w:tc>
        <w:tc>
          <w:tcPr>
            <w:tcW w:w="165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B4DBDC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Advisory</w:t>
            </w:r>
          </w:p>
        </w:tc>
        <w:tc>
          <w:tcPr>
            <w:tcW w:w="165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075D03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Warning / Emergency</w:t>
            </w:r>
          </w:p>
        </w:tc>
        <w:tc>
          <w:tcPr>
            <w:tcW w:w="165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2C1708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Cancellation</w:t>
            </w:r>
          </w:p>
        </w:tc>
      </w:tr>
      <w:tr w14:paraId="49415C89" w14:textId="77777777">
        <w:tblPrEx>
          <w:tblW w:w="10079" w:type="dxa"/>
          <w:tblInd w:w="0" w:type="dxa"/>
          <w:tblLayout w:type="fixed"/>
          <w:tblLook w:val="0400"/>
        </w:tblPrEx>
        <w:trPr>
          <w:trHeight w:val="400"/>
        </w:trPr>
        <w:tc>
          <w:tcPr>
            <w:tcW w:w="169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17AF764"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Near-field</w:t>
            </w:r>
          </w:p>
        </w:tc>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571A6D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Shoreline</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419C1E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B31497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CDCF036"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2F8437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14:paraId="3B727375" w14:textId="77777777">
        <w:tblPrEx>
          <w:tblW w:w="10079" w:type="dxa"/>
          <w:tblInd w:w="0" w:type="dxa"/>
          <w:tblLayout w:type="fixed"/>
          <w:tblLook w:val="0400"/>
        </w:tblPrEx>
        <w:trPr>
          <w:trHeight w:val="400"/>
        </w:trPr>
        <w:tc>
          <w:tcPr>
            <w:tcW w:w="169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B87DCF7" w14:textId="77777777">
            <w:pPr>
              <w:widowControl w:val="0"/>
              <w:rPr>
                <w:rFonts w:ascii="Times New Roman" w:eastAsia="Times New Roman" w:hAnsi="Times New Roman" w:cs="Times New Roman"/>
                <w:sz w:val="20"/>
                <w:szCs w:val="20"/>
              </w:rPr>
            </w:pPr>
          </w:p>
        </w:tc>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634F0D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Inland</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807F40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429391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C7FCF9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E4BC28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14:paraId="65657A72" w14:textId="77777777">
        <w:tblPrEx>
          <w:tblW w:w="10079" w:type="dxa"/>
          <w:tblInd w:w="0" w:type="dxa"/>
          <w:tblLayout w:type="fixed"/>
          <w:tblLook w:val="0400"/>
        </w:tblPrEx>
        <w:trPr>
          <w:trHeight w:val="400"/>
        </w:trPr>
        <w:tc>
          <w:tcPr>
            <w:tcW w:w="1699"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0C4352F"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Far-field</w:t>
            </w:r>
          </w:p>
        </w:tc>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239123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Shoreline</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27C55B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6F04A6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B6443B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086909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r w14:paraId="56BD502F" w14:textId="77777777">
        <w:tblPrEx>
          <w:tblW w:w="10079" w:type="dxa"/>
          <w:tblInd w:w="0" w:type="dxa"/>
          <w:tblLayout w:type="fixed"/>
          <w:tblLook w:val="0400"/>
        </w:tblPrEx>
        <w:trPr>
          <w:trHeight w:val="400"/>
        </w:trPr>
        <w:tc>
          <w:tcPr>
            <w:tcW w:w="1699"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1174AD9" w14:textId="77777777">
            <w:pPr>
              <w:widowControl w:val="0"/>
              <w:rPr>
                <w:rFonts w:ascii="Times New Roman" w:eastAsia="Times New Roman" w:hAnsi="Times New Roman" w:cs="Times New Roman"/>
                <w:sz w:val="20"/>
                <w:szCs w:val="20"/>
              </w:rPr>
            </w:pPr>
          </w:p>
        </w:tc>
        <w:tc>
          <w:tcPr>
            <w:tcW w:w="1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59F1BB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Inland</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3F7B7E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1576F7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No</w:t>
            </w:r>
          </w:p>
        </w:tc>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25AF70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c>
          <w:tcPr>
            <w:tcW w:w="1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6C38B2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p>
        </w:tc>
      </w:tr>
    </w:tbl>
    <w:p w:rsidR="009F0A72" w14:paraId="37B9FF7B" w14:textId="77777777">
      <w:pPr>
        <w:widowControl w:val="0"/>
        <w:spacing w:before="161" w:line="240" w:lineRule="auto"/>
        <w:ind w:left="400"/>
        <w:rPr>
          <w:rFonts w:ascii="Times New Roman" w:eastAsia="Times New Roman" w:hAnsi="Times New Roman" w:cs="Times New Roman"/>
          <w:sz w:val="24"/>
          <w:szCs w:val="24"/>
        </w:rPr>
      </w:pPr>
    </w:p>
    <w:p w:rsidR="009F0A72" w14:paraId="758AD471"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plans to prompt each respondent with two tsunami event scenarios. Respondents will be assigned to one source-location combination (first scenario), then assigned to a second (different) source-location combination (second scenario). However, the respondent would only see the cancellation notices, following the second scenario. Following the respondent being informed of where they are (shoreline or inland) and the NWS message, the survey asks respondents how likely they are to:</w:t>
      </w:r>
    </w:p>
    <w:p w:rsidR="009F0A72" w14:paraId="6A04ED2F" w14:textId="77777777">
      <w:pPr>
        <w:widowControl w:val="0"/>
        <w:numPr>
          <w:ilvl w:val="0"/>
          <w:numId w:val="9"/>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Remain where they are (remain)</w:t>
      </w:r>
    </w:p>
    <w:p w:rsidR="009F0A72" w14:paraId="5A0C00E9" w14:textId="77777777">
      <w:pPr>
        <w:widowControl w:val="0"/>
        <w:numPr>
          <w:ilvl w:val="0"/>
          <w:numId w:val="9"/>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Seek out additional information (monitor)</w:t>
      </w:r>
    </w:p>
    <w:p w:rsidR="009F0A72" w14:paraId="198BC682" w14:textId="77777777">
      <w:pPr>
        <w:widowControl w:val="0"/>
        <w:numPr>
          <w:ilvl w:val="0"/>
          <w:numId w:val="9"/>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Move back from the shoreline (move back)</w:t>
      </w:r>
      <w:r>
        <w:rPr>
          <w:rFonts w:ascii="Times New Roman" w:eastAsia="Times New Roman" w:hAnsi="Times New Roman" w:cs="Times New Roman"/>
          <w:sz w:val="24"/>
          <w:szCs w:val="24"/>
          <w:vertAlign w:val="superscript"/>
        </w:rPr>
        <w:footnoteReference w:id="2"/>
      </w:r>
    </w:p>
    <w:p w:rsidR="009F0A72" w14:paraId="224B373B" w14:textId="77777777">
      <w:pPr>
        <w:widowControl w:val="0"/>
        <w:numPr>
          <w:ilvl w:val="0"/>
          <w:numId w:val="9"/>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Move out of the “hazard zone” (get safe)</w:t>
      </w:r>
    </w:p>
    <w:p w:rsidR="009F0A72" w14:paraId="3A928948"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Respondents can choose their response from a five-point scale. NWS assessed accuracy based on use of this scale converted to a binary response with the two highest scale points (4 or 5) representing taking a “strong protective action” response and the other three (1, 2, or 3) representing taking a “less protective or no action” response. Precision estimates are based on comparing the percentage in the “strong protective action” categories between respondents who saw different messages. Cancellations use a d</w:t>
      </w:r>
      <w:r>
        <w:rPr>
          <w:rFonts w:ascii="Times New Roman" w:eastAsia="Times New Roman" w:hAnsi="Times New Roman" w:cs="Times New Roman"/>
          <w:sz w:val="24"/>
          <w:szCs w:val="24"/>
        </w:rPr>
        <w:t>ifferent set of items:</w:t>
      </w:r>
    </w:p>
    <w:p w:rsidR="009F0A72" w14:paraId="22A96780" w14:textId="77777777">
      <w:pPr>
        <w:widowControl w:val="0"/>
        <w:numPr>
          <w:ilvl w:val="0"/>
          <w:numId w:val="5"/>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danger of a tsunami has passed (no danger)</w:t>
      </w:r>
    </w:p>
    <w:p w:rsidR="009F0A72" w14:paraId="57F452E5" w14:textId="77777777">
      <w:pPr>
        <w:widowControl w:val="0"/>
        <w:numPr>
          <w:ilvl w:val="0"/>
          <w:numId w:val="5"/>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Continue to monitor the situation (monitor)</w:t>
      </w:r>
    </w:p>
    <w:p w:rsidR="009F0A72" w14:paraId="531CFA46" w14:textId="77777777">
      <w:pPr>
        <w:widowControl w:val="0"/>
        <w:numPr>
          <w:ilvl w:val="0"/>
          <w:numId w:val="5"/>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It is now safe to go to or return to the shore (safe)</w:t>
      </w:r>
    </w:p>
    <w:p w:rsidR="009F0A72" w14:paraId="19BA3C87"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These items are asked using a five-point agreement scale. Once again, for calculating precision, NWS has divided the five-point scale between those indicating a four or five on the scale and those indicating three or below. For cancellations, respondents indicating a four or five for the “no danger” item or the “safe” item reflect a misunderstanding of cancellations (less desired) while a four or five on the “monitor” item represents a desired response to the cancellation. For assessing responses to cancell</w:t>
      </w:r>
      <w:r>
        <w:rPr>
          <w:rFonts w:ascii="Times New Roman" w:eastAsia="Times New Roman" w:hAnsi="Times New Roman" w:cs="Times New Roman"/>
          <w:sz w:val="24"/>
          <w:szCs w:val="24"/>
        </w:rPr>
        <w:t>ations, NWS calculated the precision for each item against a presumed 50 percent value (i.e., worst case scenario). </w:t>
      </w:r>
    </w:p>
    <w:p w:rsidR="009F0A72" w14:paraId="18B0CC81"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degree of accuracy will depend on the number of respondents (800) and the number of responses those respondents provide for each distinct message in each testing module Additionally, some respondents will see “marine and beach warning” as their advisory message; those respondents will also see a prompt for a Tsunami Warning after the advisory message to assess how use of two products with the word “warning” work together. Table 4 provides a breakdown of the number of responses to each distinct message b</w:t>
      </w:r>
      <w:r>
        <w:rPr>
          <w:rFonts w:ascii="Times New Roman" w:eastAsia="Times New Roman" w:hAnsi="Times New Roman" w:cs="Times New Roman"/>
          <w:sz w:val="24"/>
          <w:szCs w:val="24"/>
        </w:rPr>
        <w:t>eing tested. These are calculated by distributing the respondents between the four source-respondent location scenarios, dividing by the number of distinct messages in each module, and then multiplying by two scenarios for each respondent (except for cancellations). For example, 160 respondents are allocated to the near-field/shoreline scenario (800 x 40% x 50%). These 160 respondents are assigned (with equal probability) to one of three distinct messages, so 53.3 responses per message. Since respondents se</w:t>
      </w:r>
      <w:r>
        <w:rPr>
          <w:rFonts w:ascii="Times New Roman" w:eastAsia="Times New Roman" w:hAnsi="Times New Roman" w:cs="Times New Roman"/>
          <w:sz w:val="24"/>
          <w:szCs w:val="24"/>
        </w:rPr>
        <w:t>e two scenarios, we multiply by two to get 107 (after rounding) responses per distinct message. </w:t>
      </w:r>
    </w:p>
    <w:p w:rsidR="009F0A72" w14:paraId="51A232F3" w14:textId="77777777">
      <w:pPr>
        <w:widowControl w:val="0"/>
        <w:spacing w:before="161" w:line="240" w:lineRule="auto"/>
        <w:rPr>
          <w:rFonts w:ascii="Times New Roman" w:eastAsia="Times New Roman" w:hAnsi="Times New Roman" w:cs="Times New Roman"/>
        </w:rPr>
      </w:pPr>
      <w:r>
        <w:rPr>
          <w:rFonts w:ascii="Times New Roman" w:eastAsia="Times New Roman" w:hAnsi="Times New Roman" w:cs="Times New Roman"/>
          <w:b/>
          <w:bCs/>
        </w:rPr>
        <w:t>Table 4. Number of Responses for Distinct Messages</w:t>
      </w:r>
    </w:p>
    <w:tbl>
      <w:tblPr>
        <w:tblStyle w:val="a2"/>
        <w:tblW w:w="10080" w:type="dxa"/>
        <w:tblInd w:w="0" w:type="dxa"/>
        <w:tblLayout w:type="fixed"/>
        <w:tblLook w:val="0400"/>
      </w:tblPr>
      <w:tblGrid>
        <w:gridCol w:w="1641"/>
        <w:gridCol w:w="1594"/>
        <w:gridCol w:w="1711"/>
        <w:gridCol w:w="1711"/>
        <w:gridCol w:w="1711"/>
        <w:gridCol w:w="1712"/>
      </w:tblGrid>
      <w:tr w14:paraId="6D3707C0" w14:textId="77777777">
        <w:tblPrEx>
          <w:tblW w:w="10080" w:type="dxa"/>
          <w:tblInd w:w="0" w:type="dxa"/>
          <w:tblLayout w:type="fixed"/>
          <w:tblLook w:val="0400"/>
        </w:tblPrEx>
        <w:trPr>
          <w:trHeight w:val="400"/>
        </w:trPr>
        <w:tc>
          <w:tcPr>
            <w:tcW w:w="1641"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5689760F"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Tsunami Source Location</w:t>
            </w:r>
          </w:p>
        </w:tc>
        <w:tc>
          <w:tcPr>
            <w:tcW w:w="159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282F8D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Respondent Location</w:t>
            </w:r>
          </w:p>
        </w:tc>
        <w:tc>
          <w:tcPr>
            <w:tcW w:w="6845" w:type="dxa"/>
            <w:gridSpan w:val="4"/>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259200D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Testing Modules</w:t>
            </w:r>
          </w:p>
        </w:tc>
      </w:tr>
      <w:tr w14:paraId="4017D3E6" w14:textId="77777777">
        <w:tblPrEx>
          <w:tblW w:w="10080" w:type="dxa"/>
          <w:tblInd w:w="0" w:type="dxa"/>
          <w:tblLayout w:type="fixed"/>
          <w:tblLook w:val="0400"/>
        </w:tblPrEx>
        <w:trPr>
          <w:trHeight w:val="400"/>
        </w:trPr>
        <w:tc>
          <w:tcPr>
            <w:tcW w:w="1641"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7331542C" w14:textId="77777777">
            <w:pPr>
              <w:widowControl w:val="0"/>
              <w:rPr>
                <w:rFonts w:ascii="Times New Roman" w:eastAsia="Times New Roman" w:hAnsi="Times New Roman" w:cs="Times New Roman"/>
                <w:sz w:val="20"/>
                <w:szCs w:val="20"/>
              </w:rPr>
            </w:pPr>
          </w:p>
        </w:tc>
        <w:tc>
          <w:tcPr>
            <w:tcW w:w="1594"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46770CE7" w14:textId="77777777">
            <w:pPr>
              <w:widowControl w:val="0"/>
              <w:rPr>
                <w:rFonts w:ascii="Times New Roman" w:eastAsia="Times New Roman" w:hAnsi="Times New Roman" w:cs="Times New Roman"/>
                <w:sz w:val="20"/>
                <w:szCs w:val="20"/>
              </w:rPr>
            </w:pPr>
          </w:p>
        </w:tc>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6036C99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Tsunami Information Statement / Watch [a]</w:t>
            </w:r>
          </w:p>
        </w:tc>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30DF9CB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Advisory [a]</w:t>
            </w:r>
          </w:p>
        </w:tc>
        <w:tc>
          <w:tcPr>
            <w:tcW w:w="171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0D8CC91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Warning / Emergency [a]</w:t>
            </w:r>
          </w:p>
        </w:tc>
        <w:tc>
          <w:tcPr>
            <w:tcW w:w="171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6D0A52C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Cancellation [b]</w:t>
            </w:r>
          </w:p>
        </w:tc>
      </w:tr>
      <w:tr w14:paraId="4767F022" w14:textId="77777777">
        <w:tblPrEx>
          <w:tblW w:w="10080" w:type="dxa"/>
          <w:tblInd w:w="0" w:type="dxa"/>
          <w:tblLayout w:type="fixed"/>
          <w:tblLook w:val="0400"/>
        </w:tblPrEx>
        <w:trPr>
          <w:trHeight w:val="400"/>
        </w:trPr>
        <w:tc>
          <w:tcPr>
            <w:tcW w:w="164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D28EC67"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Near-field [c]</w:t>
            </w: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602210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Shoreline [d]</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ABAF6D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19B9CD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9DDF4E6"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 [e]</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308E5E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r>
      <w:tr w14:paraId="75ED1241" w14:textId="77777777">
        <w:tblPrEx>
          <w:tblW w:w="10080" w:type="dxa"/>
          <w:tblInd w:w="0" w:type="dxa"/>
          <w:tblLayout w:type="fixed"/>
          <w:tblLook w:val="0400"/>
        </w:tblPrEx>
        <w:trPr>
          <w:trHeight w:val="400"/>
        </w:trPr>
        <w:tc>
          <w:tcPr>
            <w:tcW w:w="164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9742ACE" w14:textId="77777777">
            <w:pPr>
              <w:widowControl w:val="0"/>
              <w:rPr>
                <w:rFonts w:ascii="Times New Roman" w:eastAsia="Times New Roman" w:hAnsi="Times New Roman" w:cs="Times New Roman"/>
                <w:sz w:val="20"/>
                <w:szCs w:val="20"/>
              </w:rPr>
            </w:pP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89B149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Inland [d]</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07223D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5D615D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10FF8F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CCF409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r>
      <w:tr w14:paraId="2D3376C3" w14:textId="77777777">
        <w:tblPrEx>
          <w:tblW w:w="10080" w:type="dxa"/>
          <w:tblInd w:w="0" w:type="dxa"/>
          <w:tblLayout w:type="fixed"/>
          <w:tblLook w:val="0400"/>
        </w:tblPrEx>
        <w:trPr>
          <w:trHeight w:val="400"/>
        </w:trPr>
        <w:tc>
          <w:tcPr>
            <w:tcW w:w="164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2E23310"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Far-field [c] </w:t>
            </w: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ACDB29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Shoreline [d]</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0486900"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4F0F64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B259E8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160 [e]</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D3F372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r>
      <w:tr w14:paraId="0750B067" w14:textId="77777777">
        <w:tblPrEx>
          <w:tblW w:w="10080" w:type="dxa"/>
          <w:tblInd w:w="0" w:type="dxa"/>
          <w:tblLayout w:type="fixed"/>
          <w:tblLook w:val="0400"/>
        </w:tblPrEx>
        <w:trPr>
          <w:trHeight w:val="400"/>
        </w:trPr>
        <w:tc>
          <w:tcPr>
            <w:tcW w:w="1641"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A5FD51B" w14:textId="77777777">
            <w:pPr>
              <w:widowControl w:val="0"/>
              <w:rPr>
                <w:rFonts w:ascii="Times New Roman" w:eastAsia="Times New Roman" w:hAnsi="Times New Roman" w:cs="Times New Roman"/>
                <w:sz w:val="20"/>
                <w:szCs w:val="20"/>
              </w:rPr>
            </w:pP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97F447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Inland [d]</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272C3B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7CB9461" w14:textId="77777777">
            <w:pPr>
              <w:widowControl w:val="0"/>
              <w:spacing w:line="240" w:lineRule="auto"/>
              <w:jc w:val="center"/>
              <w:rPr>
                <w:rFonts w:ascii="Times New Roman" w:eastAsia="Times New Roman" w:hAnsi="Times New Roman" w:cs="Times New Roman"/>
                <w:sz w:val="20"/>
                <w:szCs w:val="20"/>
              </w:rPr>
            </w:pP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80836F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E31608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r>
      <w:tr w14:paraId="5B7BE336" w14:textId="77777777">
        <w:tblPrEx>
          <w:tblW w:w="10080" w:type="dxa"/>
          <w:tblInd w:w="0" w:type="dxa"/>
          <w:tblLayout w:type="fixed"/>
          <w:tblLook w:val="0400"/>
        </w:tblPrEx>
        <w:tc>
          <w:tcPr>
            <w:tcW w:w="1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D8C09FA"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Totals</w:t>
            </w:r>
          </w:p>
        </w:tc>
        <w:tc>
          <w:tcPr>
            <w:tcW w:w="15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0679C4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1E23AA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480</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EF239F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267</w:t>
            </w:r>
          </w:p>
        </w:tc>
        <w:tc>
          <w:tcPr>
            <w:tcW w:w="17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DA5C1B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Warning: 667</w:t>
            </w:r>
          </w:p>
          <w:p w:rsidR="009F0A72" w14:paraId="0B06852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Emergency: 400</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42E9E4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800</w:t>
            </w:r>
          </w:p>
        </w:tc>
      </w:tr>
    </w:tbl>
    <w:p w:rsidR="009F0A72" w14:paraId="3AC87665"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Each respondent would see two of these testing modules during the survey implementation. </w:t>
      </w:r>
    </w:p>
    <w:p w:rsidR="009F0A72" w14:paraId="3772CA1F"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Respondents would only see the cancellation notice after the second scenario (source-respondent location combination) they are promoted with.</w:t>
      </w:r>
    </w:p>
    <w:p w:rsidR="009F0A72" w14:paraId="49C0E166"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 Forty percent of respondents will be assigned to near-field and 60 percent to far-field.</w:t>
      </w:r>
    </w:p>
    <w:p w:rsidR="009F0A72" w14:paraId="0793F39B"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 Fifty percent of respondents will be assigned to shoreline and to inland. </w:t>
      </w:r>
    </w:p>
    <w:p w:rsidR="009F0A72" w14:paraId="51F523DA"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 Respondents in these scenarios who see the term “marine and beach warning” will also see the Tsunami Warning message to assess discernment between the two terms using the word “warning”.</w:t>
      </w:r>
    </w:p>
    <w:p w:rsidR="009F0A72" w14:paraId="446D31EB" w14:textId="77777777">
      <w:pPr>
        <w:widowControl w:val="0"/>
        <w:spacing w:before="161" w:line="240" w:lineRule="auto"/>
        <w:ind w:left="400"/>
        <w:rPr>
          <w:rFonts w:ascii="Times New Roman" w:eastAsia="Times New Roman" w:hAnsi="Times New Roman" w:cs="Times New Roman"/>
          <w:sz w:val="24"/>
          <w:szCs w:val="24"/>
        </w:rPr>
      </w:pPr>
    </w:p>
    <w:p w:rsidR="009F0A72" w14:paraId="2C20E867" w14:textId="76FB970D">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used the values on the total lines in Table 4 to calculate the obtainable precision for the sample for each testing module. To calculate obtainable precision, NWS used a power analysis/effect size approach (Cohen, 1988). For all the modules except the cancellation</w:t>
      </w:r>
      <w:r>
        <w:rPr>
          <w:rFonts w:ascii="Times New Roman" w:eastAsia="Times New Roman" w:hAnsi="Times New Roman" w:cs="Times New Roman"/>
          <w:sz w:val="24"/>
          <w:szCs w:val="24"/>
        </w:rPr>
        <w:t xml:space="preserve"> module, NWS is testing the reactions to one message against another message. In each case, there is a “base” comparison message defined as:</w:t>
      </w:r>
    </w:p>
    <w:p w:rsidR="009F0A72" w14:paraId="05807DB4" w14:textId="77777777">
      <w:pPr>
        <w:widowControl w:val="0"/>
        <w:numPr>
          <w:ilvl w:val="0"/>
          <w:numId w:val="3"/>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Tsunami Information States / Watch Module - The base message is the Tsunami Information Statement which is being compared to use of a Watch message in the same situation. </w:t>
      </w:r>
    </w:p>
    <w:p w:rsidR="009F0A72" w14:paraId="2D632467" w14:textId="77777777">
      <w:pPr>
        <w:widowControl w:val="0"/>
        <w:numPr>
          <w:ilvl w:val="0"/>
          <w:numId w:val="3"/>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Advisory Module - The base message is the current Advisory being used by NWS which is being compared to two new ways of conveying an Advisory message.</w:t>
      </w:r>
    </w:p>
    <w:p w:rsidR="009F0A72" w14:paraId="4F785E3B" w14:textId="77777777">
      <w:pPr>
        <w:widowControl w:val="0"/>
        <w:numPr>
          <w:ilvl w:val="0"/>
          <w:numId w:val="3"/>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 xml:space="preserve">Warning / Emergency Module - The base message is the Warning which is being compared to a message using “emergency” in the same situation. </w:t>
      </w:r>
    </w:p>
    <w:p w:rsidR="009F0A72" w14:paraId="57C3DCF7"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other messages can be termed “test” messages. Thus, we are looking to detect whether there is a statistically significant difference between test messages and base messages in the sample. Given values for sample size, statistical power, confidence level, and the (assumed) proportion of the base message, we can calculate the obtainable precision of our estimates in terms of a percentage point difference those selecting a “strong protective action” (i.e., a 4 of 5 on the likelihood scale being used) betwe</w:t>
      </w:r>
      <w:r>
        <w:rPr>
          <w:rFonts w:ascii="Times New Roman" w:eastAsia="Times New Roman" w:hAnsi="Times New Roman" w:cs="Times New Roman"/>
          <w:sz w:val="24"/>
          <w:szCs w:val="24"/>
        </w:rPr>
        <w:t>en the test and base messages. These obtainable precision values appear in Table 5. For example, in comparing the reaction in the Tsunami Information Statement / Watch module, we calculate an obtainable precision of 6.6 percentage points if the base message (Tsunami Information Statement) resulted in 40 percent of respondents selecting a “strong protective action.” In other words, if the test message (Watch) resulted in a sample proportion of 46.6 percent or higher selecting a “strong protective action” and</w:t>
      </w:r>
      <w:r>
        <w:rPr>
          <w:rFonts w:ascii="Times New Roman" w:eastAsia="Times New Roman" w:hAnsi="Times New Roman" w:cs="Times New Roman"/>
          <w:sz w:val="24"/>
          <w:szCs w:val="24"/>
        </w:rPr>
        <w:t xml:space="preserve"> the base message had 40 percent selecting the “strong protective action”, we would detect that difference in a hypothesis test with 90 percent confidence. The 80 percent power value tells us we have an 80 percent chance of detecting that difference in the sample if it, in fact, exists in the population. </w:t>
      </w:r>
    </w:p>
    <w:p w:rsidR="009F0A72" w14:paraId="1000E047" w14:textId="77777777">
      <w:pPr>
        <w:widowControl w:val="0"/>
        <w:spacing w:before="161" w:line="240" w:lineRule="auto"/>
        <w:rPr>
          <w:rFonts w:ascii="Times New Roman" w:eastAsia="Times New Roman" w:hAnsi="Times New Roman" w:cs="Times New Roman"/>
        </w:rPr>
      </w:pPr>
      <w:r>
        <w:rPr>
          <w:rFonts w:ascii="Times New Roman" w:eastAsia="Times New Roman" w:hAnsi="Times New Roman" w:cs="Times New Roman"/>
          <w:b/>
          <w:bCs/>
        </w:rPr>
        <w:t>Table 5. Obtainable Precision Estimates</w:t>
      </w:r>
    </w:p>
    <w:tbl>
      <w:tblPr>
        <w:tblStyle w:val="a3"/>
        <w:tblW w:w="10060" w:type="dxa"/>
        <w:tblInd w:w="0" w:type="dxa"/>
        <w:tblLayout w:type="fixed"/>
        <w:tblLook w:val="0400"/>
      </w:tblPr>
      <w:tblGrid>
        <w:gridCol w:w="2194"/>
        <w:gridCol w:w="1846"/>
        <w:gridCol w:w="1886"/>
        <w:gridCol w:w="1283"/>
        <w:gridCol w:w="1283"/>
        <w:gridCol w:w="1568"/>
      </w:tblGrid>
      <w:tr w14:paraId="0662F9D3" w14:textId="77777777">
        <w:tblPrEx>
          <w:tblW w:w="10060" w:type="dxa"/>
          <w:tblInd w:w="0" w:type="dxa"/>
          <w:tblLayout w:type="fixed"/>
          <w:tblLook w:val="0400"/>
        </w:tblPrEx>
        <w:trPr>
          <w:trHeight w:val="400"/>
          <w:tblHeader/>
        </w:trPr>
        <w:tc>
          <w:tcPr>
            <w:tcW w:w="2194"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0CA8B087" w14:textId="77777777">
            <w:pPr>
              <w:widowControl w:val="0"/>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Testing Module</w:t>
            </w:r>
          </w:p>
        </w:tc>
        <w:tc>
          <w:tcPr>
            <w:tcW w:w="184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3E88EF61"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Item [a]</w:t>
            </w:r>
          </w:p>
        </w:tc>
        <w:tc>
          <w:tcPr>
            <w:tcW w:w="1886" w:type="dxa"/>
            <w:vMerge w:val="restart"/>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265428E4"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Respondents Allocated to Each Message [b]</w:t>
            </w:r>
          </w:p>
        </w:tc>
        <w:tc>
          <w:tcPr>
            <w:tcW w:w="4134"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05B185B4"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Estimated Precision at Various Base Message Proportions (Percentage Points)</w:t>
            </w:r>
          </w:p>
        </w:tc>
      </w:tr>
      <w:tr w14:paraId="141808C6" w14:textId="77777777">
        <w:tblPrEx>
          <w:tblW w:w="10060" w:type="dxa"/>
          <w:tblInd w:w="0" w:type="dxa"/>
          <w:tblLayout w:type="fixed"/>
          <w:tblLook w:val="0400"/>
        </w:tblPrEx>
        <w:trPr>
          <w:trHeight w:val="400"/>
          <w:tblHeader/>
        </w:trPr>
        <w:tc>
          <w:tcPr>
            <w:tcW w:w="2194"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1E16C64E" w14:textId="77777777">
            <w:pPr>
              <w:widowControl w:val="0"/>
              <w:rPr>
                <w:rFonts w:ascii="Times New Roman" w:eastAsia="Times New Roman" w:hAnsi="Times New Roman" w:cs="Times New Roman"/>
                <w:b/>
                <w:bCs/>
                <w:sz w:val="20"/>
                <w:szCs w:val="20"/>
              </w:rPr>
            </w:pPr>
          </w:p>
        </w:tc>
        <w:tc>
          <w:tcPr>
            <w:tcW w:w="1846"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6AC27015" w14:textId="77777777">
            <w:pPr>
              <w:widowControl w:val="0"/>
              <w:rPr>
                <w:rFonts w:ascii="Times New Roman" w:eastAsia="Times New Roman" w:hAnsi="Times New Roman" w:cs="Times New Roman"/>
                <w:b/>
                <w:bCs/>
                <w:sz w:val="20"/>
                <w:szCs w:val="20"/>
              </w:rPr>
            </w:pPr>
          </w:p>
        </w:tc>
        <w:tc>
          <w:tcPr>
            <w:tcW w:w="1886" w:type="dxa"/>
            <w:vMerge/>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4052B5FD" w14:textId="77777777">
            <w:pPr>
              <w:widowControl w:val="0"/>
              <w:rPr>
                <w:rFonts w:ascii="Times New Roman" w:eastAsia="Times New Roman" w:hAnsi="Times New Roman" w:cs="Times New Roman"/>
                <w:b/>
                <w:bCs/>
                <w:sz w:val="20"/>
                <w:szCs w:val="20"/>
              </w:rPr>
            </w:pPr>
          </w:p>
        </w:tc>
        <w:tc>
          <w:tcPr>
            <w:tcW w:w="128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401C7504"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w:t>
            </w:r>
          </w:p>
        </w:tc>
        <w:tc>
          <w:tcPr>
            <w:tcW w:w="1283"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1EC1E695"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w:t>
            </w:r>
          </w:p>
        </w:tc>
        <w:tc>
          <w:tcPr>
            <w:tcW w:w="156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rsidR="009F0A72" w14:paraId="0FB7AA96" w14:textId="77777777">
            <w:pPr>
              <w:widowControl w:val="0"/>
              <w:spacing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0.25</w:t>
            </w:r>
          </w:p>
        </w:tc>
      </w:tr>
      <w:tr w14:paraId="4C820BF5" w14:textId="77777777">
        <w:tblPrEx>
          <w:tblW w:w="10060" w:type="dxa"/>
          <w:tblInd w:w="0" w:type="dxa"/>
          <w:tblLayout w:type="fixed"/>
          <w:tblLook w:val="0400"/>
        </w:tblPrEx>
        <w:trPr>
          <w:trHeight w:val="400"/>
        </w:trPr>
        <w:tc>
          <w:tcPr>
            <w:tcW w:w="219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91543F5"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Tsunami Information States / Watch</w:t>
            </w:r>
          </w:p>
        </w:tc>
        <w:tc>
          <w:tcPr>
            <w:tcW w:w="1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FDCF867"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Remain</w:t>
            </w:r>
          </w:p>
          <w:p w:rsidR="009F0A72" w14:paraId="1B325E90"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Monitor</w:t>
            </w:r>
          </w:p>
          <w:p w:rsidR="009F0A72" w14:paraId="7662774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Get safe</w:t>
            </w:r>
          </w:p>
        </w:tc>
        <w:tc>
          <w:tcPr>
            <w:tcW w:w="1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A87BFA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TIS: 480</w:t>
            </w:r>
          </w:p>
          <w:p w:rsidR="009F0A72" w14:paraId="04CF6AA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WAT: 480</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43BDA2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72D785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66F7256"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r>
      <w:tr w14:paraId="0ACF1DD2" w14:textId="77777777">
        <w:tblPrEx>
          <w:tblW w:w="10060" w:type="dxa"/>
          <w:tblInd w:w="0" w:type="dxa"/>
          <w:tblLayout w:type="fixed"/>
          <w:tblLook w:val="0400"/>
        </w:tblPrEx>
        <w:trPr>
          <w:trHeight w:val="400"/>
        </w:trPr>
        <w:tc>
          <w:tcPr>
            <w:tcW w:w="219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411911E" w14:textId="77777777">
            <w:pPr>
              <w:widowControl w:val="0"/>
              <w:rPr>
                <w:rFonts w:ascii="Times New Roman" w:eastAsia="Times New Roman" w:hAnsi="Times New Roman" w:cs="Times New Roman"/>
                <w:sz w:val="20"/>
                <w:szCs w:val="20"/>
              </w:rPr>
            </w:pPr>
          </w:p>
        </w:tc>
        <w:tc>
          <w:tcPr>
            <w:tcW w:w="1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0F900F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Move back [c]</w:t>
            </w:r>
          </w:p>
        </w:tc>
        <w:tc>
          <w:tcPr>
            <w:tcW w:w="1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BA5FD9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TIS: 240</w:t>
            </w:r>
          </w:p>
          <w:p w:rsidR="009F0A72" w14:paraId="79FF1E4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WAT: 240</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B38F350"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62DB3162"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E0256F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14:paraId="0C27FD75" w14:textId="77777777">
        <w:tblPrEx>
          <w:tblW w:w="10060" w:type="dxa"/>
          <w:tblInd w:w="0" w:type="dxa"/>
          <w:tblLayout w:type="fixed"/>
          <w:tblLook w:val="0400"/>
        </w:tblPrEx>
        <w:trPr>
          <w:trHeight w:val="400"/>
        </w:trPr>
        <w:tc>
          <w:tcPr>
            <w:tcW w:w="21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6B7BDD5"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Advisory</w:t>
            </w:r>
          </w:p>
        </w:tc>
        <w:tc>
          <w:tcPr>
            <w:tcW w:w="1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1FA653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Remain</w:t>
            </w:r>
          </w:p>
          <w:p w:rsidR="009F0A72" w14:paraId="4E0A3B8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w:t>
            </w:r>
          </w:p>
          <w:p w:rsidR="009F0A72" w14:paraId="799ACBF6"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Move back</w:t>
            </w:r>
          </w:p>
          <w:p w:rsidR="009F0A72" w14:paraId="428F8A5D"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Get safe</w:t>
            </w:r>
          </w:p>
        </w:tc>
        <w:tc>
          <w:tcPr>
            <w:tcW w:w="1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7BBDE2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ADV0: 267</w:t>
            </w:r>
          </w:p>
          <w:p w:rsidR="009F0A72" w14:paraId="1D45C21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ADV1: 267</w:t>
            </w:r>
          </w:p>
          <w:p w:rsidR="009F0A72" w14:paraId="1833392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ADV2: 267</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0025713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7759DE8"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6378CF9"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14:paraId="0FD5F3F9" w14:textId="77777777">
        <w:tblPrEx>
          <w:tblW w:w="10060" w:type="dxa"/>
          <w:tblInd w:w="0" w:type="dxa"/>
          <w:tblLayout w:type="fixed"/>
          <w:tblLook w:val="0400"/>
        </w:tblPrEx>
        <w:trPr>
          <w:trHeight w:val="400"/>
        </w:trPr>
        <w:tc>
          <w:tcPr>
            <w:tcW w:w="21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533328A"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Warning / Emergency</w:t>
            </w:r>
          </w:p>
        </w:tc>
        <w:tc>
          <w:tcPr>
            <w:tcW w:w="1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826CB7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Remain</w:t>
            </w:r>
          </w:p>
          <w:p w:rsidR="009F0A72" w14:paraId="1357C33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Monitor</w:t>
            </w:r>
          </w:p>
          <w:p w:rsidR="009F0A72" w14:paraId="28E9A113"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Get safe</w:t>
            </w:r>
          </w:p>
        </w:tc>
        <w:tc>
          <w:tcPr>
            <w:tcW w:w="1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5D52C4C"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WRN: 667</w:t>
            </w:r>
          </w:p>
          <w:p w:rsidR="009F0A72" w14:paraId="7E1123A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EMG: 400</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72914815"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4A87310F"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3F71E7CA"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r>
      <w:tr w14:paraId="31E5F150" w14:textId="77777777">
        <w:tblPrEx>
          <w:tblW w:w="10060" w:type="dxa"/>
          <w:tblInd w:w="0" w:type="dxa"/>
          <w:tblLayout w:type="fixed"/>
          <w:tblLook w:val="0400"/>
        </w:tblPrEx>
        <w:trPr>
          <w:trHeight w:val="400"/>
        </w:trPr>
        <w:tc>
          <w:tcPr>
            <w:tcW w:w="21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DFD44CB"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Cancellations [d]</w:t>
            </w:r>
          </w:p>
        </w:tc>
        <w:tc>
          <w:tcPr>
            <w:tcW w:w="1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844CF1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No danger</w:t>
            </w:r>
          </w:p>
          <w:p w:rsidR="009F0A72" w14:paraId="22C9EA7E"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Monitor</w:t>
            </w:r>
          </w:p>
          <w:p w:rsidR="009F0A72" w14:paraId="3735B9A4"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Safe</w:t>
            </w:r>
          </w:p>
        </w:tc>
        <w:tc>
          <w:tcPr>
            <w:tcW w:w="18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31FA890"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CAN: 800</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109269F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2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5BF6FCEB"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9F0A72" w14:paraId="2D51B051" w14:textId="77777777">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rsidR="009F0A72" w14:paraId="5D675464"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 Items in bold are core items in the survey for the specified testing module. </w:t>
      </w:r>
    </w:p>
    <w:p w:rsidR="009F0A72" w14:paraId="601D615C"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 Key to abbreviations: TIS-Tsunami Information Statement, WAT-Watch, ADV0-Current advisory, ADV1-plain language advisory, ADV2-marine and beach warning, WRN-current warning, EMG-emergency, and CAN-cancellation. </w:t>
      </w:r>
    </w:p>
    <w:p w:rsidR="009F0A72" w14:paraId="622CE8E0"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 </w:t>
      </w:r>
      <w:r>
        <w:rPr>
          <w:rFonts w:ascii="Times New Roman" w:eastAsia="Times New Roman" w:hAnsi="Times New Roman" w:cs="Times New Roman"/>
          <w:sz w:val="20"/>
          <w:szCs w:val="20"/>
        </w:rPr>
        <w:t>The</w:t>
      </w:r>
      <w:r>
        <w:rPr>
          <w:rFonts w:ascii="Times New Roman" w:eastAsia="Times New Roman" w:hAnsi="Times New Roman" w:cs="Times New Roman"/>
          <w:sz w:val="20"/>
          <w:szCs w:val="20"/>
        </w:rPr>
        <w:t xml:space="preserve"> “move back” item is only relevant for shoreline respondents.</w:t>
      </w:r>
    </w:p>
    <w:p w:rsidR="009F0A72" w14:paraId="6FEECD23" w14:textId="7777777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 Respondents will only see the cancellation questions following their final scenario.</w:t>
      </w:r>
    </w:p>
    <w:p w:rsidR="009F0A72" w14:paraId="3740A9E8" w14:textId="77777777">
      <w:pPr>
        <w:widowControl w:val="0"/>
        <w:spacing w:before="161" w:line="240" w:lineRule="auto"/>
        <w:ind w:left="400"/>
        <w:rPr>
          <w:rFonts w:ascii="Times New Roman" w:eastAsia="Times New Roman" w:hAnsi="Times New Roman" w:cs="Times New Roman"/>
          <w:sz w:val="24"/>
          <w:szCs w:val="24"/>
        </w:rPr>
      </w:pPr>
    </w:p>
    <w:p w:rsidR="009F0A72" w14:paraId="46C2FC3A"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is satisfied that these values are adequate for purposes of this survey. The largest values for precision are in the Advisory module where, at worst, precision is 9.1 percentage points. A 9.1 percentage point increase would indeed be indicative of a large increase in the number of people taking a “strong protective action.” </w:t>
      </w:r>
    </w:p>
    <w:p w:rsidR="009F0A72" w14:paraId="415319D5"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Unusual Problems Requiring Specialized Sampling Procedures</w:t>
      </w:r>
    </w:p>
    <w:p w:rsidR="009F0A72" w14:paraId="2C12D546"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None are required.</w:t>
      </w:r>
    </w:p>
    <w:p w:rsidR="009F0A72" w14:paraId="698CB08D"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Periodic Data Collection Cycles</w:t>
      </w:r>
    </w:p>
    <w:p w:rsidR="009F0A72" w14:paraId="555DEE0F"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request is for a one-time data collection.</w:t>
      </w:r>
    </w:p>
    <w:p w:rsidR="009F0A72" w14:paraId="0F829151" w14:textId="77777777">
      <w:pPr>
        <w:widowControl w:val="0"/>
        <w:spacing w:before="161" w:line="240" w:lineRule="auto"/>
        <w:ind w:left="400"/>
        <w:rPr>
          <w:rFonts w:ascii="Times New Roman" w:eastAsia="Times New Roman" w:hAnsi="Times New Roman" w:cs="Times New Roman"/>
          <w:sz w:val="24"/>
          <w:szCs w:val="24"/>
        </w:rPr>
      </w:pPr>
    </w:p>
    <w:p w:rsidR="009F0A72" w14:paraId="1F0D7811"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Focus Groups</w:t>
      </w:r>
    </w:p>
    <w:p w:rsidR="009F0A72" w14:paraId="62C3DB06" w14:textId="77777777">
      <w:pPr>
        <w:widowControl w:val="0"/>
        <w:spacing w:before="16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qualitative data collected from focus groups will be analyzed through direct observation of the focus groups by the facilitators themselves, through later observation and analysis of the recordings by other researchers, and through thematic categorization. Our team will employ several strategies to analyze the focus group data, especially as we identify commonalities, shared sentiments, overlapping attitudes, or diverging opinions on the key study topics. Strategies of qualitative analysis may include:</w:t>
      </w:r>
    </w:p>
    <w:p w:rsidR="009F0A72" w14:paraId="0EB64D86" w14:textId="77777777">
      <w:pPr>
        <w:widowControl w:val="0"/>
        <w:numPr>
          <w:ilvl w:val="0"/>
          <w:numId w:val="6"/>
        </w:numPr>
        <w:spacing w:before="161" w:line="240" w:lineRule="auto"/>
        <w:rPr>
          <w:rFonts w:ascii="Noto Sans Symbols" w:eastAsia="Noto Sans Symbols" w:hAnsi="Noto Sans Symbols" w:cs="Noto Sans Symbols"/>
          <w:sz w:val="24"/>
          <w:szCs w:val="24"/>
        </w:rPr>
      </w:pPr>
      <w:r>
        <w:rPr>
          <w:rFonts w:ascii="Times New Roman" w:eastAsia="Times New Roman" w:hAnsi="Times New Roman" w:cs="Times New Roman"/>
          <w:i/>
          <w:iCs/>
          <w:sz w:val="24"/>
          <w:szCs w:val="24"/>
        </w:rPr>
        <w:t xml:space="preserve">Constant comparison analysis </w:t>
      </w:r>
      <w:r>
        <w:rPr>
          <w:rFonts w:ascii="Times New Roman" w:eastAsia="Times New Roman" w:hAnsi="Times New Roman" w:cs="Times New Roman"/>
          <w:sz w:val="24"/>
          <w:szCs w:val="24"/>
        </w:rPr>
        <w:t>to assess whether key themes and concepts that emerge in one group are also present in the other groups (Strauss, 1987).</w:t>
      </w:r>
    </w:p>
    <w:p w:rsidR="009F0A72" w14:paraId="02C8C714" w14:textId="77777777">
      <w:pPr>
        <w:widowControl w:val="0"/>
        <w:numPr>
          <w:ilvl w:val="0"/>
          <w:numId w:val="6"/>
        </w:numPr>
        <w:spacing w:before="161" w:line="240" w:lineRule="auto"/>
        <w:rPr>
          <w:rFonts w:ascii="Noto Sans Symbols" w:eastAsia="Noto Sans Symbols" w:hAnsi="Noto Sans Symbols" w:cs="Noto Sans Symbols"/>
          <w:i/>
          <w:iCs/>
          <w:sz w:val="24"/>
          <w:szCs w:val="24"/>
        </w:rPr>
      </w:pPr>
      <w:r>
        <w:rPr>
          <w:rFonts w:ascii="Times New Roman" w:eastAsia="Times New Roman" w:hAnsi="Times New Roman" w:cs="Times New Roman"/>
          <w:i/>
          <w:iCs/>
          <w:sz w:val="24"/>
          <w:szCs w:val="24"/>
        </w:rPr>
        <w:t xml:space="preserve">Classical content analysis </w:t>
      </w:r>
      <w:r>
        <w:rPr>
          <w:rFonts w:ascii="Times New Roman" w:eastAsia="Times New Roman" w:hAnsi="Times New Roman" w:cs="Times New Roman"/>
          <w:sz w:val="24"/>
          <w:szCs w:val="24"/>
        </w:rPr>
        <w:t>to identify the frequency and occurrences of key words, ideas, and other sentiments that are used by participants (Morgan, 1997).</w:t>
      </w:r>
    </w:p>
    <w:p w:rsidR="009F0A72" w14:paraId="6B8A02FC" w14:textId="77777777">
      <w:pPr>
        <w:widowControl w:val="0"/>
        <w:numPr>
          <w:ilvl w:val="0"/>
          <w:numId w:val="6"/>
        </w:numPr>
        <w:spacing w:before="161" w:line="240" w:lineRule="auto"/>
        <w:rPr>
          <w:rFonts w:ascii="Noto Sans Symbols" w:eastAsia="Noto Sans Symbols" w:hAnsi="Noto Sans Symbols" w:cs="Noto Sans Symbols"/>
          <w:i/>
          <w:iCs/>
          <w:sz w:val="24"/>
          <w:szCs w:val="24"/>
        </w:rPr>
      </w:pPr>
      <w:r>
        <w:rPr>
          <w:rFonts w:ascii="Times New Roman" w:eastAsia="Times New Roman" w:hAnsi="Times New Roman" w:cs="Times New Roman"/>
          <w:i/>
          <w:iCs/>
          <w:sz w:val="24"/>
          <w:szCs w:val="24"/>
        </w:rPr>
        <w:t xml:space="preserve">Keywords-in-context analysis </w:t>
      </w:r>
      <w:r>
        <w:rPr>
          <w:rFonts w:ascii="Times New Roman" w:eastAsia="Times New Roman" w:hAnsi="Times New Roman" w:cs="Times New Roman"/>
          <w:sz w:val="24"/>
          <w:szCs w:val="24"/>
        </w:rPr>
        <w:t>to explore how key words used to describe probabilistic forecasting, job descriptions, communication needs, and other topics related to other overarching themes or impressions.</w:t>
      </w:r>
    </w:p>
    <w:p w:rsidR="009F0A72" w14:paraId="28A16AA6" w14:textId="77777777">
      <w:pPr>
        <w:widowControl w:val="0"/>
        <w:spacing w:before="161" w:line="240" w:lineRule="auto"/>
        <w:rPr>
          <w:rFonts w:ascii="Times New Roman" w:eastAsia="Times New Roman" w:hAnsi="Times New Roman" w:cs="Times New Roman"/>
          <w:sz w:val="24"/>
          <w:szCs w:val="24"/>
        </w:rPr>
      </w:pPr>
    </w:p>
    <w:p w:rsidR="009F0A72" w14:paraId="5385187A" w14:textId="77777777">
      <w:pPr>
        <w:pStyle w:val="Heading1"/>
        <w:keepNext w:val="0"/>
        <w:keepLines w:val="0"/>
        <w:widowControl w:val="0"/>
        <w:numPr>
          <w:ilvl w:val="0"/>
          <w:numId w:val="4"/>
        </w:numPr>
        <w:tabs>
          <w:tab w:val="left" w:pos="360"/>
        </w:tabs>
        <w:spacing w:before="159" w:after="0" w:line="240" w:lineRule="auto"/>
        <w:rPr>
          <w:b/>
          <w:bCs/>
          <w:sz w:val="24"/>
          <w:szCs w:val="24"/>
        </w:rPr>
      </w:pPr>
      <w:r>
        <w:rPr>
          <w:rFonts w:ascii="Times New Roman" w:eastAsia="Times New Roman" w:hAnsi="Times New Roman" w:cs="Times New Roman"/>
          <w:b/>
          <w:bCs/>
          <w:sz w:val="24"/>
          <w:szCs w:val="24"/>
        </w:rPr>
        <w:t>Describe methods to maximize response rates and to deal with issues of non-response. The accuracy and reliability of information collected must be shown to be adequate for intended uses. For collections based on sampling, a special justification must be provided for any collection that will not yield "reliable" data that can be generalized to the universe studied.</w:t>
      </w:r>
    </w:p>
    <w:p w:rsidR="009F0A72" w14:paraId="3408E6AC" w14:textId="77777777">
      <w:pPr>
        <w:widowControl w:val="0"/>
        <w:spacing w:before="158"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Survey</w:t>
      </w:r>
    </w:p>
    <w:p w:rsidR="009F0A72" w14:paraId="548632F8" w14:textId="77777777">
      <w:pPr>
        <w:widowControl w:val="0"/>
        <w:spacing w:before="158"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Maximizing response rates</w:t>
      </w:r>
    </w:p>
    <w:p w:rsidR="009F0A72" w14:paraId="3B5E2FCE" w14:textId="77777777">
      <w:pPr>
        <w:widowControl w:val="0"/>
        <w:spacing w:before="158"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will employ the following to maximize response rates from the sample.</w:t>
      </w:r>
    </w:p>
    <w:p w:rsidR="009F0A72" w14:paraId="275CD844" w14:textId="77777777">
      <w:pPr>
        <w:widowControl w:val="0"/>
        <w:numPr>
          <w:ilvl w:val="0"/>
          <w:numId w:val="11"/>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subject matter (tsunami risk) should have high relevance for the sample respondents. Thus, NWS expects respondents to show interest in taking the survey and providing input.</w:t>
      </w:r>
    </w:p>
    <w:p w:rsidR="009F0A72" w14:paraId="2FE167CB" w14:textId="77777777">
      <w:pPr>
        <w:widowControl w:val="0"/>
        <w:numPr>
          <w:ilvl w:val="0"/>
          <w:numId w:val="11"/>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NWS has developed a survey that minimizes the burden on respondents by using good survey design. This includes developing well-written questions and limiting the number of the questions to the minimum necessary. </w:t>
      </w:r>
    </w:p>
    <w:p w:rsidR="009F0A72" w14:paraId="7557AE56" w14:textId="77777777">
      <w:pPr>
        <w:widowControl w:val="0"/>
        <w:numPr>
          <w:ilvl w:val="0"/>
          <w:numId w:val="11"/>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contractor will ask the sample provider to select respondents from individuals who indicated they are willing to take surveys. Many email survey lists are constructed from individuals who passively opt in to taking surveys (e.g., by agreeing to a terms of service agreement on a web site). The contractor will require the sample provider to use survey lists where those on the list consciously indicated they would be willing to take surveys (i.e., exclude passive opt-ins).</w:t>
      </w:r>
    </w:p>
    <w:p w:rsidR="009F0A72" w14:paraId="3FC8000B" w14:textId="77777777">
      <w:pPr>
        <w:widowControl w:val="0"/>
        <w:numPr>
          <w:ilvl w:val="0"/>
          <w:numId w:val="11"/>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contractor will use multiple prompts to generate responses. The contractor will send a pre-notification email to respondents about the survey, an email that asks the respondent to take the survey, and then two reminder emails.</w:t>
      </w:r>
    </w:p>
    <w:p w:rsidR="009F0A72" w14:paraId="76B687ED" w14:textId="77777777">
      <w:pPr>
        <w:widowControl w:val="0"/>
        <w:spacing w:before="158"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Adequacy for intended uses</w:t>
      </w:r>
    </w:p>
    <w:p w:rsidR="009F0A72" w14:paraId="53897872" w14:textId="77777777">
      <w:pPr>
        <w:widowControl w:val="0"/>
        <w:spacing w:before="158"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these surveys is to get feedback from the public on possible new approaches to presenting tsunami risk information. The key information that the NWS needs are the public’s understanding of the new message approaches and the public’s satisfaction with the new prototypes. The information from these surveys will be used in conjunction with other information being considered by the NWS in how to potentially change tsunami messaging strategies. No decisions are being made solely from the data bein</w:t>
      </w:r>
      <w:r>
        <w:rPr>
          <w:rFonts w:ascii="Times New Roman" w:eastAsia="Times New Roman" w:hAnsi="Times New Roman" w:cs="Times New Roman"/>
          <w:sz w:val="24"/>
          <w:szCs w:val="24"/>
        </w:rPr>
        <w:t>g collected from these surveys. As such, the NWS expects the attainable precision (described above) is more than adequate given the purpose of these data. This is based on several considerations:</w:t>
      </w:r>
    </w:p>
    <w:p w:rsidR="009F0A72" w14:paraId="5BDE963D" w14:textId="77777777">
      <w:pPr>
        <w:widowControl w:val="0"/>
        <w:numPr>
          <w:ilvl w:val="0"/>
          <w:numId w:val="7"/>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surveys involve collecting data from 800 respondents in areas prone to tsunami risk. Each respondent is also asked to provide feedback on two scenarios. Thus, the 800 respondents will provide NWS with 1,600 total assessments of the new message approaches. </w:t>
      </w:r>
    </w:p>
    <w:p w:rsidR="009F0A72" w14:paraId="0536806D" w14:textId="77777777">
      <w:pPr>
        <w:widowControl w:val="0"/>
        <w:numPr>
          <w:ilvl w:val="0"/>
          <w:numId w:val="7"/>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surveys are being implemented in a way that mimics how the NWS warns the public of tsunami risk. </w:t>
      </w:r>
    </w:p>
    <w:p w:rsidR="009F0A72" w14:paraId="16E9760B" w14:textId="77777777">
      <w:pPr>
        <w:widowControl w:val="0"/>
        <w:numPr>
          <w:ilvl w:val="0"/>
          <w:numId w:val="7"/>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The message approaches being tested are “directional” in nature rather than specific. NWS has developed message approaches based on input from interviews with emergency managers and other prior research. The NWS also had meetings with internal staff who are responsible for implementing the current hazard warnings. One outcome from the discussions with internal NWS staff is that before messages are implemented, some customization must be done. This survey will provide information on the types of messages tha</w:t>
      </w:r>
      <w:r>
        <w:rPr>
          <w:rFonts w:ascii="Times New Roman" w:eastAsia="Times New Roman" w:hAnsi="Times New Roman" w:cs="Times New Roman"/>
          <w:sz w:val="24"/>
          <w:szCs w:val="24"/>
        </w:rPr>
        <w:t>t will work better with the public compared to others. </w:t>
      </w:r>
    </w:p>
    <w:p w:rsidR="009F0A72" w14:paraId="1562506D" w14:textId="77777777">
      <w:pPr>
        <w:widowControl w:val="0"/>
        <w:numPr>
          <w:ilvl w:val="0"/>
          <w:numId w:val="7"/>
        </w:numPr>
        <w:spacing w:before="158" w:line="259"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Identifying large differences in public preferences for prototypes is acceptable. As noted above, NWS’s design for the survey allows for detecting at worst nine percentage points in precision on a yes/no style question. If such a difference occurred in the sample that would indicate a clear preference on the part of the public. </w:t>
      </w:r>
    </w:p>
    <w:p w:rsidR="009F0A72" w14:paraId="77B4238F" w14:textId="77777777">
      <w:pPr>
        <w:widowControl w:val="0"/>
        <w:spacing w:before="158"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Focus Groups</w:t>
      </w:r>
    </w:p>
    <w:p w:rsidR="009F0A72" w14:paraId="54C52D78" w14:textId="77777777">
      <w:pPr>
        <w:widowControl w:val="0"/>
        <w:spacing w:before="161"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NWS does not anticipate issues with obtaining focus group participants since NWS will recruit from a set of individuals who regularly work with NWS on tsunami issues. The focus group data are qualitative in nature and will provide detailed feedback from those who use the messaging to make decisions. Thus, NWS expects the focus groups to provide sufficient data and information for NWS’s use. </w:t>
      </w:r>
    </w:p>
    <w:p w:rsidR="009F0A72" w14:paraId="2B6E2CA3" w14:textId="77777777">
      <w:pPr>
        <w:widowControl w:val="0"/>
        <w:spacing w:before="158" w:line="259" w:lineRule="auto"/>
        <w:rPr>
          <w:rFonts w:ascii="Times New Roman" w:eastAsia="Times New Roman" w:hAnsi="Times New Roman" w:cs="Times New Roman"/>
          <w:sz w:val="24"/>
          <w:szCs w:val="24"/>
        </w:rPr>
      </w:pPr>
    </w:p>
    <w:p w:rsidR="009F0A72" w14:paraId="3CB32D1A" w14:textId="77777777">
      <w:pPr>
        <w:pStyle w:val="Heading1"/>
        <w:keepNext w:val="0"/>
        <w:keepLines w:val="0"/>
        <w:widowControl w:val="0"/>
        <w:numPr>
          <w:ilvl w:val="0"/>
          <w:numId w:val="4"/>
        </w:numPr>
        <w:tabs>
          <w:tab w:val="left" w:pos="360"/>
        </w:tabs>
        <w:spacing w:before="183" w:after="0" w:line="240" w:lineRule="auto"/>
        <w:rPr>
          <w:b/>
          <w:bCs/>
          <w:sz w:val="24"/>
          <w:szCs w:val="24"/>
        </w:rPr>
      </w:pPr>
      <w:r>
        <w:rPr>
          <w:rFonts w:ascii="Times New Roman" w:eastAsia="Times New Roman" w:hAnsi="Times New Roman" w:cs="Times New Roman"/>
          <w:b/>
          <w:bCs/>
          <w:sz w:val="24"/>
          <w:szCs w:val="24"/>
        </w:rPr>
        <w:t>Describe any tests of procedures or methods to be undertaken. Testing is encouraged as an effective means of refining collections of information to minimize burden and improve utility. Tests must be approved if they call for answers to identical questions from 10 or more respondents. A proposed test or set of tests may be submitted for approval separately or in combination with the main collection of information.</w:t>
      </w:r>
    </w:p>
    <w:p w:rsidR="009F0A72" w14:paraId="40D607A7" w14:textId="77777777">
      <w:pPr>
        <w:widowControl w:val="0"/>
        <w:spacing w:before="161"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Survey</w:t>
      </w:r>
    </w:p>
    <w:p w:rsidR="009F0A72" w14:paraId="6DF056E6" w14:textId="77777777">
      <w:pPr>
        <w:widowControl w:val="0"/>
        <w:spacing w:before="161"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NWS plans to perform a limited set of pre-tests among the public (less than nine) of the instrument. NWS’s subcontractor for this work will also ask some of its own employees to take the survey as part of its contractual obligations. Finally, and most importantly, this survey was designed based on prior surveys implemented by NWS for similar purposes. In 2018, NWS implemented a series of surveys to collect data to test new prototype messaging for several weather hazards (e.g., winter weather, fire weather, </w:t>
      </w:r>
      <w:r>
        <w:rPr>
          <w:rFonts w:ascii="Times New Roman" w:eastAsia="Times New Roman" w:hAnsi="Times New Roman" w:cs="Times New Roman"/>
          <w:sz w:val="24"/>
          <w:szCs w:val="24"/>
        </w:rPr>
        <w:t>tornadoes). The survey being submitted for approval under this information collection request was designed based on those survey efforts which were successful at informing NWS’s work on refining its messaging for other hazards. Thus, those prior survey efforts and their success is indicative of the projected success of this effort. </w:t>
      </w:r>
    </w:p>
    <w:p w:rsidR="009F0A72" w14:paraId="3842AF77" w14:textId="77777777">
      <w:pPr>
        <w:widowControl w:val="0"/>
        <w:spacing w:before="161"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Focus Groups</w:t>
      </w:r>
    </w:p>
    <w:p w:rsidR="009F0A72" w14:paraId="71523016" w14:textId="77777777">
      <w:pPr>
        <w:widowControl w:val="0"/>
        <w:spacing w:before="161"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pre-testing will be performed for the focus groups. Given the interactive nature, NWS expects to adapt as the groups occur. NWS will also make any necessary adjustments between occurrences of the groups.</w:t>
      </w:r>
    </w:p>
    <w:p w:rsidR="009F0A72" w14:paraId="790B9D3F" w14:textId="77777777">
      <w:pPr>
        <w:widowControl w:val="0"/>
        <w:spacing w:before="161" w:line="259" w:lineRule="auto"/>
        <w:rPr>
          <w:rFonts w:ascii="Times New Roman" w:eastAsia="Times New Roman" w:hAnsi="Times New Roman" w:cs="Times New Roman"/>
          <w:sz w:val="24"/>
          <w:szCs w:val="24"/>
        </w:rPr>
      </w:pPr>
    </w:p>
    <w:p w:rsidR="009F0A72" w14:paraId="4D9C7166" w14:textId="77777777">
      <w:pPr>
        <w:pStyle w:val="Heading1"/>
        <w:keepNext w:val="0"/>
        <w:keepLines w:val="0"/>
        <w:widowControl w:val="0"/>
        <w:numPr>
          <w:ilvl w:val="0"/>
          <w:numId w:val="4"/>
        </w:numPr>
        <w:tabs>
          <w:tab w:val="left" w:pos="360"/>
        </w:tabs>
        <w:spacing w:before="183" w:after="0" w:line="240" w:lineRule="auto"/>
        <w:rPr>
          <w:b/>
          <w:bCs/>
          <w:sz w:val="24"/>
          <w:szCs w:val="24"/>
        </w:rPr>
      </w:pPr>
      <w:r>
        <w:rPr>
          <w:rFonts w:ascii="Times New Roman" w:eastAsia="Times New Roman" w:hAnsi="Times New Roman" w:cs="Times New Roman"/>
          <w:b/>
          <w:bCs/>
          <w:sz w:val="24"/>
          <w:szCs w:val="24"/>
        </w:rPr>
        <w:t>Provide the name and telephone number of individuals consulted on statistical aspects of the design and the name of the agency unit, contractor(s), grantee(s), or other person(s) who will actually collect and/or analyze the information for the agency.</w:t>
      </w:r>
    </w:p>
    <w:p w:rsidR="009F0A72" w14:paraId="05B7251C" w14:textId="77777777">
      <w:pPr>
        <w:widowControl w:val="0"/>
        <w:spacing w:line="240" w:lineRule="auto"/>
        <w:rPr>
          <w:rFonts w:ascii="Times New Roman" w:eastAsia="Times New Roman" w:hAnsi="Times New Roman" w:cs="Times New Roman"/>
          <w:sz w:val="24"/>
          <w:szCs w:val="24"/>
        </w:rPr>
      </w:pPr>
    </w:p>
    <w:p w:rsidR="009F0A72" w14:paraId="5E17487C"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NWS utilized in-house expertise and a contractor in designing the survey and its statistical design, as well as in developing the focus groups. NWS has contracted with Eastern Research Group, Inc. (ERG) of Concord, MA, to design the survey instrument, develop the sampling approach, implement the survey, and analyze the resulting data collected. The survey expert at ERG is Dr. Lou Nadeau (508-735-3608; </w:t>
      </w:r>
      <w:hyperlink r:id="rId6">
        <w:r>
          <w:rPr>
            <w:rFonts w:ascii="Times New Roman" w:eastAsia="Times New Roman" w:hAnsi="Times New Roman" w:cs="Times New Roman"/>
            <w:color w:val="0563C1"/>
            <w:sz w:val="24"/>
            <w:szCs w:val="24"/>
            <w:u w:val="single"/>
          </w:rPr>
          <w:t>lou.nadeau@erg.com</w:t>
        </w:r>
      </w:hyperlink>
      <w:r>
        <w:rPr>
          <w:rFonts w:ascii="Times New Roman" w:eastAsia="Times New Roman" w:hAnsi="Times New Roman" w:cs="Times New Roman"/>
          <w:sz w:val="24"/>
          <w:szCs w:val="24"/>
        </w:rPr>
        <w:t xml:space="preserve">). The NWS experts tasked with overseeing and reviewing ERG’s approach were Dr. Ji Sun Lee (301-349-6175; </w:t>
      </w:r>
      <w:hyperlink r:id="rId7">
        <w:r>
          <w:rPr>
            <w:rFonts w:ascii="Times New Roman" w:eastAsia="Times New Roman" w:hAnsi="Times New Roman" w:cs="Times New Roman"/>
            <w:color w:val="0563C1"/>
            <w:sz w:val="24"/>
            <w:szCs w:val="24"/>
            <w:u w:val="single"/>
          </w:rPr>
          <w:t>jisun.lee@noaa.gov</w:t>
        </w:r>
      </w:hyperlink>
      <w:r>
        <w:rPr>
          <w:rFonts w:ascii="Times New Roman" w:eastAsia="Times New Roman" w:hAnsi="Times New Roman" w:cs="Times New Roman"/>
          <w:sz w:val="24"/>
          <w:szCs w:val="24"/>
        </w:rPr>
        <w:t xml:space="preserve">) and Dr. Danielle Nagle (301-427-6919; </w:t>
      </w:r>
      <w:hyperlink r:id="rId8">
        <w:r>
          <w:rPr>
            <w:rFonts w:ascii="Times New Roman" w:eastAsia="Times New Roman" w:hAnsi="Times New Roman" w:cs="Times New Roman"/>
            <w:color w:val="0563C1"/>
            <w:sz w:val="24"/>
            <w:szCs w:val="24"/>
            <w:u w:val="single"/>
          </w:rPr>
          <w:t>danielle.nagele@noaa.gov</w:t>
        </w:r>
      </w:hyperlink>
      <w:r>
        <w:rPr>
          <w:rFonts w:ascii="Times New Roman" w:eastAsia="Times New Roman" w:hAnsi="Times New Roman" w:cs="Times New Roman"/>
          <w:sz w:val="24"/>
          <w:szCs w:val="24"/>
        </w:rPr>
        <w:t>). </w:t>
      </w:r>
    </w:p>
    <w:p w:rsidR="009F0A72" w14:paraId="3E44A86B"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9F0A72" w14:paraId="6AFDF5DF" w14:textId="77777777">
      <w:pPr>
        <w:widowControl w:val="0"/>
        <w:spacing w:line="240" w:lineRule="auto"/>
        <w:rPr>
          <w:rFonts w:ascii="Times New Roman" w:eastAsia="Times New Roman" w:hAnsi="Times New Roman" w:cs="Times New Roman"/>
          <w:sz w:val="24"/>
          <w:szCs w:val="24"/>
        </w:rPr>
      </w:pPr>
    </w:p>
    <w:p w:rsidR="009F0A72" w14:paraId="2BCE6685" w14:textId="77777777">
      <w:pPr>
        <w:widowControl w:val="0"/>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References</w:t>
      </w:r>
    </w:p>
    <w:p w:rsidR="009F0A72" w14:paraId="283FD58F" w14:textId="77777777">
      <w:pPr>
        <w:widowControl w:val="0"/>
        <w:spacing w:line="240" w:lineRule="auto"/>
        <w:rPr>
          <w:rFonts w:ascii="Times New Roman" w:eastAsia="Times New Roman" w:hAnsi="Times New Roman" w:cs="Times New Roman"/>
          <w:sz w:val="24"/>
          <w:szCs w:val="24"/>
        </w:rPr>
      </w:pPr>
    </w:p>
    <w:p w:rsidR="009F0A72" w14:paraId="33F08F3D"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Cohen, Jacob, 1988. </w:t>
      </w:r>
      <w:r>
        <w:rPr>
          <w:rFonts w:ascii="Times New Roman" w:eastAsia="Times New Roman" w:hAnsi="Times New Roman" w:cs="Times New Roman"/>
          <w:i/>
          <w:iCs/>
          <w:sz w:val="24"/>
          <w:szCs w:val="24"/>
        </w:rPr>
        <w:t>Statistical Power Analysis for the Behavioral Sciences</w:t>
      </w:r>
      <w:r>
        <w:rPr>
          <w:rFonts w:ascii="Times New Roman" w:eastAsia="Times New Roman" w:hAnsi="Times New Roman" w:cs="Times New Roman"/>
          <w:sz w:val="24"/>
          <w:szCs w:val="24"/>
        </w:rPr>
        <w:t>, Lawrence Erlbaum Associates. </w:t>
      </w:r>
    </w:p>
    <w:p w:rsidR="009F0A72" w14:paraId="2EB3EB28" w14:textId="77777777">
      <w:pPr>
        <w:widowControl w:val="0"/>
        <w:spacing w:line="240" w:lineRule="auto"/>
        <w:rPr>
          <w:rFonts w:ascii="Times New Roman" w:eastAsia="Times New Roman" w:hAnsi="Times New Roman" w:cs="Times New Roman"/>
          <w:sz w:val="24"/>
          <w:szCs w:val="24"/>
        </w:rPr>
      </w:pPr>
    </w:p>
    <w:p w:rsidR="009F0A72" w14:paraId="475128C2"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Eastern Research Group, Inc. (ERG), 2018. </w:t>
      </w:r>
      <w:r>
        <w:rPr>
          <w:rFonts w:ascii="Times New Roman" w:eastAsia="Times New Roman" w:hAnsi="Times New Roman" w:cs="Times New Roman"/>
          <w:i/>
          <w:iCs/>
          <w:sz w:val="24"/>
          <w:szCs w:val="24"/>
        </w:rPr>
        <w:t>National Weather Service Hazard Simplification: Public Surve</w:t>
      </w:r>
      <w:r>
        <w:rPr>
          <w:rFonts w:ascii="Times New Roman" w:eastAsia="Times New Roman" w:hAnsi="Times New Roman" w:cs="Times New Roman"/>
          <w:sz w:val="24"/>
          <w:szCs w:val="24"/>
        </w:rPr>
        <w:t>y, Report submitted to NWS, June.</w:t>
      </w:r>
    </w:p>
    <w:p w:rsidR="009F0A72" w14:paraId="0F958268" w14:textId="77777777">
      <w:pPr>
        <w:widowControl w:val="0"/>
        <w:spacing w:line="240" w:lineRule="auto"/>
        <w:rPr>
          <w:rFonts w:ascii="Times New Roman" w:eastAsia="Times New Roman" w:hAnsi="Times New Roman" w:cs="Times New Roman"/>
          <w:sz w:val="24"/>
          <w:szCs w:val="24"/>
        </w:rPr>
      </w:pPr>
    </w:p>
    <w:p w:rsidR="009F0A72" w14:paraId="75B880C8"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Morgan D. L. 1997. </w:t>
      </w:r>
      <w:r>
        <w:rPr>
          <w:rFonts w:ascii="Times New Roman" w:eastAsia="Times New Roman" w:hAnsi="Times New Roman" w:cs="Times New Roman"/>
          <w:i/>
          <w:iCs/>
          <w:sz w:val="24"/>
          <w:szCs w:val="24"/>
        </w:rPr>
        <w:t xml:space="preserve">Focus groups as qualitative research </w:t>
      </w:r>
      <w:r>
        <w:rPr>
          <w:rFonts w:ascii="Times New Roman" w:eastAsia="Times New Roman" w:hAnsi="Times New Roman" w:cs="Times New Roman"/>
          <w:sz w:val="24"/>
          <w:szCs w:val="24"/>
        </w:rPr>
        <w:t>(2nd ed.). Thousand Oaks, CA: Sage.</w:t>
      </w:r>
    </w:p>
    <w:p w:rsidR="009F0A72" w14:paraId="423170EB" w14:textId="77777777">
      <w:pPr>
        <w:widowControl w:val="0"/>
        <w:spacing w:line="240" w:lineRule="auto"/>
        <w:rPr>
          <w:rFonts w:ascii="Times New Roman" w:eastAsia="Times New Roman" w:hAnsi="Times New Roman" w:cs="Times New Roman"/>
          <w:sz w:val="24"/>
          <w:szCs w:val="24"/>
        </w:rPr>
      </w:pPr>
    </w:p>
    <w:p w:rsidR="009F0A72" w14:paraId="7DC5AF60" w14:textId="77777777">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Strauss A. 1987. </w:t>
      </w:r>
      <w:r>
        <w:rPr>
          <w:rFonts w:ascii="Times New Roman" w:eastAsia="Times New Roman" w:hAnsi="Times New Roman" w:cs="Times New Roman"/>
          <w:i/>
          <w:iCs/>
          <w:sz w:val="24"/>
          <w:szCs w:val="24"/>
        </w:rPr>
        <w:t>Qualitative analysis for social scientists</w:t>
      </w:r>
      <w:r>
        <w:rPr>
          <w:rFonts w:ascii="Times New Roman" w:eastAsia="Times New Roman" w:hAnsi="Times New Roman" w:cs="Times New Roman"/>
          <w:sz w:val="24"/>
          <w:szCs w:val="24"/>
        </w:rPr>
        <w:t>. Cambridge, UK: University of Cambridge Press.</w:t>
      </w:r>
    </w:p>
    <w:p w:rsidR="009F0A72" w14:paraId="23E5E512" w14:textId="77777777">
      <w:pPr>
        <w:widowControl w:val="0"/>
        <w:spacing w:line="240" w:lineRule="auto"/>
      </w:pPr>
      <w:r>
        <w:rPr>
          <w:rFonts w:ascii="Times New Roman" w:eastAsia="Times New Roman" w:hAnsi="Times New Roman" w:cs="Times New Roman"/>
          <w:sz w:val="24"/>
          <w:szCs w:val="24"/>
        </w:rPr>
        <w:br/>
        <w:t>Wu, Meng-Jia, Kelly Zhao, and Francisca Fils-</w:t>
      </w:r>
      <w:r>
        <w:rPr>
          <w:rFonts w:ascii="Times New Roman" w:eastAsia="Times New Roman" w:hAnsi="Times New Roman" w:cs="Times New Roman"/>
          <w:sz w:val="24"/>
          <w:szCs w:val="24"/>
        </w:rPr>
        <w:t>Aime</w:t>
      </w:r>
      <w:r>
        <w:rPr>
          <w:rFonts w:ascii="Times New Roman" w:eastAsia="Times New Roman" w:hAnsi="Times New Roman" w:cs="Times New Roman"/>
          <w:sz w:val="24"/>
          <w:szCs w:val="24"/>
        </w:rPr>
        <w:t xml:space="preserve">. 2022. “Response rates of online surveys in published research: A meta-analysis”, </w:t>
      </w:r>
      <w:r>
        <w:rPr>
          <w:rFonts w:ascii="Times New Roman" w:eastAsia="Times New Roman" w:hAnsi="Times New Roman" w:cs="Times New Roman"/>
          <w:i/>
          <w:iCs/>
          <w:sz w:val="24"/>
          <w:szCs w:val="24"/>
        </w:rPr>
        <w:t>Computers in Human Behavior Reports</w:t>
      </w:r>
      <w:r>
        <w:rPr>
          <w:rFonts w:ascii="Times New Roman" w:eastAsia="Times New Roman" w:hAnsi="Times New Roman" w:cs="Times New Roman"/>
          <w:sz w:val="24"/>
          <w:szCs w:val="24"/>
        </w:rPr>
        <w:t xml:space="preserve">, Volume 7, August 2022, 100206, </w:t>
      </w:r>
      <w:hyperlink r:id="rId9">
        <w:r>
          <w:rPr>
            <w:rFonts w:ascii="Times New Roman" w:eastAsia="Times New Roman" w:hAnsi="Times New Roman" w:cs="Times New Roman"/>
            <w:color w:val="0563C1"/>
            <w:sz w:val="24"/>
            <w:szCs w:val="24"/>
            <w:u w:val="single"/>
          </w:rPr>
          <w:t>https://doi.org/10.1016/j.chbr.2022.100206</w:t>
        </w:r>
      </w:hyperlink>
      <w:r>
        <w:rPr>
          <w:rFonts w:ascii="Times New Roman" w:eastAsia="Times New Roman" w:hAnsi="Times New Roman" w:cs="Times New Roman"/>
          <w:sz w:val="24"/>
          <w:szCs w:val="24"/>
        </w:rPr>
        <w:t>.</w:t>
      </w: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C1E688E-1834-4CB3-BBDB-3DA8265F0D61}"/>
  </w:font>
  <w:font w:name="Cambria">
    <w:panose1 w:val="02040503050406030204"/>
    <w:charset w:val="00"/>
    <w:family w:val="roman"/>
    <w:pitch w:val="variable"/>
    <w:sig w:usb0="E00006FF" w:usb1="420024FF" w:usb2="02000000" w:usb3="00000000" w:csb0="0000019F" w:csb1="00000000"/>
    <w:embedRegular r:id="rId2" w:fontKey="{B69E51A8-DB3F-464F-B1BF-3984CFF2C8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F72605" w14:paraId="008BA167" w14:textId="77777777">
      <w:pPr>
        <w:spacing w:line="240" w:lineRule="auto"/>
      </w:pPr>
      <w:r>
        <w:separator/>
      </w:r>
    </w:p>
  </w:footnote>
  <w:footnote w:type="continuationSeparator" w:id="1">
    <w:p w:rsidR="00F72605" w14:paraId="40F54844" w14:textId="77777777">
      <w:pPr>
        <w:spacing w:line="240" w:lineRule="auto"/>
      </w:pPr>
      <w:r>
        <w:continuationSeparator/>
      </w:r>
    </w:p>
  </w:footnote>
  <w:footnote w:id="2">
    <w:p w:rsidR="009F0A72" w14:paraId="0C2E1E63" w14:textId="77777777">
      <w:pPr>
        <w:widowControl w:val="0"/>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“move back” question will only be asked to respondents assigned to a shoreline scenario.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21AA28D4"/>
    <w:multiLevelType w:val="multilevel"/>
    <w:tmpl w:val="265617E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nsid w:val="2F005E81"/>
    <w:multiLevelType w:val="multilevel"/>
    <w:tmpl w:val="996EA8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F3C4AF5"/>
    <w:multiLevelType w:val="multilevel"/>
    <w:tmpl w:val="B7467BA6"/>
    <w:lvl w:ilvl="0">
      <w:start w:val="1"/>
      <w:numFmt w:val="decimal"/>
      <w:lvlText w:val="%1."/>
      <w:lvlJc w:val="left"/>
      <w:pPr>
        <w:ind w:left="400" w:hanging="269"/>
      </w:pPr>
      <w:rPr>
        <w:u w:val="none"/>
      </w:rPr>
    </w:lvl>
    <w:lvl w:ilvl="1">
      <w:start w:val="0"/>
      <w:numFmt w:val="bullet"/>
      <w:lvlText w:val="●"/>
      <w:lvlJc w:val="left"/>
      <w:pPr>
        <w:ind w:left="1120" w:hanging="360"/>
      </w:pPr>
      <w:rPr>
        <w:u w:val="none"/>
      </w:rPr>
    </w:lvl>
    <w:lvl w:ilvl="2">
      <w:start w:val="0"/>
      <w:numFmt w:val="bullet"/>
      <w:lvlText w:val="•"/>
      <w:lvlJc w:val="left"/>
      <w:pPr>
        <w:ind w:left="2273" w:hanging="360"/>
      </w:pPr>
      <w:rPr>
        <w:u w:val="none"/>
      </w:rPr>
    </w:lvl>
    <w:lvl w:ilvl="3">
      <w:start w:val="0"/>
      <w:numFmt w:val="bullet"/>
      <w:lvlText w:val="•"/>
      <w:lvlJc w:val="left"/>
      <w:pPr>
        <w:ind w:left="3426" w:hanging="360"/>
      </w:pPr>
      <w:rPr>
        <w:u w:val="none"/>
      </w:rPr>
    </w:lvl>
    <w:lvl w:ilvl="4">
      <w:start w:val="0"/>
      <w:numFmt w:val="bullet"/>
      <w:lvlText w:val="•"/>
      <w:lvlJc w:val="left"/>
      <w:pPr>
        <w:ind w:left="4580" w:hanging="360"/>
      </w:pPr>
      <w:rPr>
        <w:u w:val="none"/>
      </w:rPr>
    </w:lvl>
    <w:lvl w:ilvl="5">
      <w:start w:val="0"/>
      <w:numFmt w:val="bullet"/>
      <w:lvlText w:val="•"/>
      <w:lvlJc w:val="left"/>
      <w:pPr>
        <w:ind w:left="5733" w:hanging="360"/>
      </w:pPr>
      <w:rPr>
        <w:u w:val="none"/>
      </w:rPr>
    </w:lvl>
    <w:lvl w:ilvl="6">
      <w:start w:val="0"/>
      <w:numFmt w:val="bullet"/>
      <w:lvlText w:val="•"/>
      <w:lvlJc w:val="left"/>
      <w:pPr>
        <w:ind w:left="6886" w:hanging="360"/>
      </w:pPr>
      <w:rPr>
        <w:u w:val="none"/>
      </w:rPr>
    </w:lvl>
    <w:lvl w:ilvl="7">
      <w:start w:val="0"/>
      <w:numFmt w:val="bullet"/>
      <w:lvlText w:val="•"/>
      <w:lvlJc w:val="left"/>
      <w:pPr>
        <w:ind w:left="8040" w:hanging="360"/>
      </w:pPr>
      <w:rPr>
        <w:u w:val="none"/>
      </w:rPr>
    </w:lvl>
    <w:lvl w:ilvl="8">
      <w:start w:val="0"/>
      <w:numFmt w:val="bullet"/>
      <w:lvlText w:val="•"/>
      <w:lvlJc w:val="left"/>
      <w:pPr>
        <w:ind w:left="9193" w:hanging="360"/>
      </w:pPr>
      <w:rPr>
        <w:u w:val="none"/>
      </w:rPr>
    </w:lvl>
  </w:abstractNum>
  <w:abstractNum w:abstractNumId="3">
    <w:nsid w:val="33D941CA"/>
    <w:multiLevelType w:val="multilevel"/>
    <w:tmpl w:val="43127F8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nsid w:val="3B944E91"/>
    <w:multiLevelType w:val="multilevel"/>
    <w:tmpl w:val="D15E9C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nsid w:val="443147AE"/>
    <w:multiLevelType w:val="multilevel"/>
    <w:tmpl w:val="525E7B4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nsid w:val="46B54B49"/>
    <w:multiLevelType w:val="multilevel"/>
    <w:tmpl w:val="FD9028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nsid w:val="631851F3"/>
    <w:multiLevelType w:val="multilevel"/>
    <w:tmpl w:val="3AD2089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nsid w:val="64834B12"/>
    <w:multiLevelType w:val="multilevel"/>
    <w:tmpl w:val="85B2A5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nsid w:val="69830721"/>
    <w:multiLevelType w:val="multilevel"/>
    <w:tmpl w:val="4F7E06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nsid w:val="733B5E0B"/>
    <w:multiLevelType w:val="multilevel"/>
    <w:tmpl w:val="33D25A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2115830403">
    <w:abstractNumId w:val="5"/>
  </w:num>
  <w:num w:numId="2" w16cid:durableId="1284846088">
    <w:abstractNumId w:val="0"/>
  </w:num>
  <w:num w:numId="3" w16cid:durableId="1392383173">
    <w:abstractNumId w:val="3"/>
  </w:num>
  <w:num w:numId="4" w16cid:durableId="948512174">
    <w:abstractNumId w:val="2"/>
  </w:num>
  <w:num w:numId="5" w16cid:durableId="411440045">
    <w:abstractNumId w:val="9"/>
  </w:num>
  <w:num w:numId="6" w16cid:durableId="506864858">
    <w:abstractNumId w:val="6"/>
  </w:num>
  <w:num w:numId="7" w16cid:durableId="1733965051">
    <w:abstractNumId w:val="10"/>
  </w:num>
  <w:num w:numId="8" w16cid:durableId="294988823">
    <w:abstractNumId w:val="1"/>
  </w:num>
  <w:num w:numId="9" w16cid:durableId="1299067494">
    <w:abstractNumId w:val="4"/>
  </w:num>
  <w:num w:numId="10" w16cid:durableId="1528448926">
    <w:abstractNumId w:val="8"/>
  </w:num>
  <w:num w:numId="11" w16cid:durableId="11586142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A72"/>
    <w:rsid w:val="00280F71"/>
    <w:rsid w:val="009F0A72"/>
    <w:rsid w:val="00F7260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83997D1"/>
  <w15:docId w15:val="{806C86FE-669B-4454-99AE-D2FFB0CF9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0"/>
    <w:tblPr>
      <w:tblStyleRowBandSize w:val="1"/>
      <w:tblStyleColBandSize w:val="1"/>
      <w:tblCellMar>
        <w:top w:w="15" w:type="dxa"/>
        <w:left w:w="15" w:type="dxa"/>
        <w:bottom w:w="15" w:type="dxa"/>
        <w:right w:w="15" w:type="dxa"/>
      </w:tblCellMar>
    </w:tblPr>
  </w:style>
  <w:style w:type="table" w:customStyle="1" w:styleId="a0">
    <w:name w:val="a0"/>
    <w:basedOn w:val="TableNormal0"/>
    <w:tblPr>
      <w:tblStyleRowBandSize w:val="1"/>
      <w:tblStyleColBandSize w:val="1"/>
      <w:tblCellMar>
        <w:top w:w="15" w:type="dxa"/>
        <w:left w:w="15" w:type="dxa"/>
        <w:bottom w:w="15" w:type="dxa"/>
        <w:right w:w="15" w:type="dxa"/>
      </w:tblCellMar>
    </w:tblPr>
  </w:style>
  <w:style w:type="table" w:customStyle="1" w:styleId="a1">
    <w:name w:val="a1"/>
    <w:basedOn w:val="TableNormal0"/>
    <w:tblPr>
      <w:tblStyleRowBandSize w:val="1"/>
      <w:tblStyleColBandSize w:val="1"/>
      <w:tblCellMar>
        <w:top w:w="15" w:type="dxa"/>
        <w:left w:w="15" w:type="dxa"/>
        <w:bottom w:w="15" w:type="dxa"/>
        <w:right w:w="15" w:type="dxa"/>
      </w:tblCellMar>
    </w:tblPr>
  </w:style>
  <w:style w:type="table" w:customStyle="1" w:styleId="a2">
    <w:name w:val="a2"/>
    <w:basedOn w:val="TableNormal0"/>
    <w:tblPr>
      <w:tblStyleRowBandSize w:val="1"/>
      <w:tblStyleColBandSize w:val="1"/>
      <w:tblCellMar>
        <w:top w:w="15" w:type="dxa"/>
        <w:left w:w="15" w:type="dxa"/>
        <w:bottom w:w="15" w:type="dxa"/>
        <w:right w:w="15" w:type="dxa"/>
      </w:tblCellMar>
    </w:tblPr>
  </w:style>
  <w:style w:type="table" w:customStyle="1" w:styleId="a3">
    <w:name w:val="a3"/>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hyperlink" Target="https://www.census.gov/data/tables/time-series/demo/popest/2020s-state-detail.html" TargetMode="External" /><Relationship Id="rId6" Type="http://schemas.openxmlformats.org/officeDocument/2006/relationships/hyperlink" Target="mailto:lou.nadeau@erg.com" TargetMode="External" /><Relationship Id="rId7" Type="http://schemas.openxmlformats.org/officeDocument/2006/relationships/hyperlink" Target="mailto:jisun.lee@noaa.gov" TargetMode="External" /><Relationship Id="rId8" Type="http://schemas.openxmlformats.org/officeDocument/2006/relationships/hyperlink" Target="mailto:danielle.nagele@noaa.gov" TargetMode="External" /><Relationship Id="rId9" Type="http://schemas.openxmlformats.org/officeDocument/2006/relationships/hyperlink" Target="https://doi.org/10.1016/j.chbr.2022.100206"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4292</Words>
  <Characters>24468</Characters>
  <Application>Microsoft Office Word</Application>
  <DocSecurity>0</DocSecurity>
  <Lines>203</Lines>
  <Paragraphs>57</Paragraphs>
  <ScaleCrop>false</ScaleCrop>
  <Company>NOAA 1200 CORPSRV</Company>
  <LinksUpToDate>false</LinksUpToDate>
  <CharactersWithSpaces>28703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2025-12-19T16:31:00Z</dcterms:created>
  <dcterms:modified xsi:type="dcterms:W3CDTF">2025-12-19T16:31:00Z</dcterms:modified>
</cp:coreProperties>
</file>