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01FDB" w14:paraId="493534E8" w14:textId="77777777">
      <w:pPr>
        <w:pStyle w:val="Heading1"/>
        <w:spacing w:before="0" w:line="276" w:lineRule="auto"/>
        <w:ind w:left="0"/>
        <w:jc w:val="center"/>
      </w:pPr>
      <w:r>
        <w:t>SUPPORTING STATEMENT</w:t>
      </w:r>
    </w:p>
    <w:p w:rsidR="00201FDB" w14:paraId="193B7323" w14:textId="77777777">
      <w:pPr>
        <w:spacing w:line="276" w:lineRule="auto"/>
        <w:ind w:firstLine="14"/>
        <w:jc w:val="center"/>
        <w:rPr>
          <w:b/>
          <w:bCs/>
        </w:rPr>
      </w:pPr>
      <w:r>
        <w:rPr>
          <w:b/>
          <w:bCs/>
        </w:rPr>
        <w:t>U.S. Department of Commerce</w:t>
      </w:r>
    </w:p>
    <w:p w:rsidR="00201FDB" w14:paraId="18BCCACD" w14:textId="77777777">
      <w:pPr>
        <w:spacing w:line="276" w:lineRule="auto"/>
        <w:ind w:firstLine="14"/>
        <w:jc w:val="center"/>
        <w:rPr>
          <w:b/>
          <w:bCs/>
        </w:rPr>
      </w:pPr>
      <w:r>
        <w:rPr>
          <w:b/>
          <w:bCs/>
        </w:rPr>
        <w:t>National Oceanic &amp; Atmospheric Administration</w:t>
      </w:r>
    </w:p>
    <w:p w:rsidR="00201FDB" w14:paraId="1DBCE015" w14:textId="77777777">
      <w:pPr>
        <w:spacing w:line="276" w:lineRule="auto"/>
        <w:ind w:hanging="6"/>
        <w:jc w:val="center"/>
        <w:rPr>
          <w:b/>
          <w:bCs/>
        </w:rPr>
      </w:pPr>
      <w:r>
        <w:rPr>
          <w:b/>
          <w:bCs/>
        </w:rPr>
        <w:t xml:space="preserve">Generic Clearance </w:t>
      </w:r>
      <w:r>
        <w:rPr>
          <w:b/>
          <w:bCs/>
        </w:rPr>
        <w:t>For</w:t>
      </w:r>
      <w:r>
        <w:rPr>
          <w:b/>
          <w:bCs/>
        </w:rPr>
        <w:t xml:space="preserve"> NWS Risk Communication, Evaluation, and Feedback </w:t>
      </w:r>
    </w:p>
    <w:p w:rsidR="00201FDB" w14:paraId="71ED55A6" w14:textId="77777777">
      <w:pPr>
        <w:spacing w:line="276" w:lineRule="auto"/>
        <w:ind w:hanging="6"/>
        <w:jc w:val="center"/>
        <w:rPr>
          <w:b/>
          <w:bCs/>
        </w:rPr>
      </w:pPr>
      <w:r>
        <w:rPr>
          <w:b/>
          <w:bCs/>
        </w:rPr>
        <w:t>NWS Post-Event Review Surveys, Interviews, and Focus Groups</w:t>
      </w:r>
    </w:p>
    <w:p w:rsidR="00201FDB" w14:paraId="38FBC135" w14:textId="77777777">
      <w:pPr>
        <w:spacing w:line="276" w:lineRule="auto"/>
        <w:ind w:hanging="6"/>
        <w:jc w:val="center"/>
        <w:rPr>
          <w:b/>
          <w:bCs/>
        </w:rPr>
      </w:pPr>
      <w:r>
        <w:rPr>
          <w:b/>
          <w:bCs/>
        </w:rPr>
        <w:t>OMB Control No. 0648-0830</w:t>
      </w:r>
    </w:p>
    <w:p w:rsidR="00201FDB" w14:paraId="2D2FEA7E" w14:textId="77777777">
      <w:pPr>
        <w:pBdr>
          <w:top w:val="nil"/>
          <w:left w:val="nil"/>
          <w:bottom w:val="nil"/>
          <w:right w:val="nil"/>
          <w:between w:val="nil"/>
        </w:pBdr>
        <w:spacing w:before="1"/>
        <w:jc w:val="center"/>
        <w:rPr>
          <w:b/>
          <w:bCs/>
          <w:color w:val="000000"/>
        </w:rPr>
      </w:pPr>
    </w:p>
    <w:p w:rsidR="00201FDB" w14:paraId="2243AE41" w14:textId="77777777">
      <w:pPr>
        <w:pStyle w:val="Heading1"/>
        <w:numPr>
          <w:ilvl w:val="0"/>
          <w:numId w:val="2"/>
        </w:numPr>
        <w:tabs>
          <w:tab w:val="left" w:pos="360"/>
        </w:tabs>
        <w:spacing w:before="197"/>
        <w:ind w:left="0" w:firstLine="0"/>
      </w:pPr>
      <w:r>
        <w:t xml:space="preserve">Explain the circumstances that make the collection of information necessary. Identify any legal or administrative requirements that necessitate the collection. </w:t>
      </w:r>
    </w:p>
    <w:p w:rsidR="00201FDB" w14:paraId="1980BC39" w14:textId="77777777">
      <w:pPr>
        <w:spacing w:before="161"/>
      </w:pPr>
      <w:r>
        <w:t xml:space="preserve">Section 1(b) of Executive Order 12862, “Setting Customer Service Standards,” requires government agencies to “survey customers to determine the kind and quality of services they want and their level of satisfaction with existing services” and Section 1(e) requires agencies “survey front-line employees on barriers to, and ideas for, matching the best in business.”  </w:t>
      </w:r>
    </w:p>
    <w:p w:rsidR="00201FDB" w14:paraId="7AC18A8E" w14:textId="77777777">
      <w:pPr>
        <w:spacing w:before="161"/>
      </w:pPr>
      <w:r>
        <w:t>Section 406 Weather Research and Forecasting Innovation Act of 2017, "Improving NOAA communication of hazardous weather and water events," instructs NOAA to account for the needs of various demographics, vulnerable populations, geographic areas, media partners, and Federal, State, and local government partners who have experienced different weather and water hazards. This includes embracing more interdisciplinary research to improve risk communication.</w:t>
      </w:r>
    </w:p>
    <w:p w:rsidR="00201FDB" w14:paraId="6DED5E19" w14:textId="77777777"/>
    <w:p w:rsidR="00201FDB" w14:paraId="463FD04E" w14:textId="77777777">
      <w:r>
        <w:t>This collection of information is necessary to enable the National Oceanic and Atmospheric Administration’s (NOAA) National Weather Service (NWS) to garner customer and stakeholder feedback in an efficient, timely manner, in accordance with our commitments to improving service delivery and risk communication. The information collected from our customers and stakeholders will allow us to better assess users' experience with NWS’s products and services throughout a variety of hazardous weather events. This fe</w:t>
      </w:r>
      <w:r>
        <w:t>edback will provide insights into customer or stakeholder perceptions, experiences, and expectations, identify issues with service, or focus attention on areas where communication, training, outreach, or changes in operations might improve the delivery of products or services. Results will allow the NWS to better provide impact-based decision support services that save lives, protect property, and promote the national economy.</w:t>
      </w:r>
    </w:p>
    <w:p w:rsidR="00201FDB" w14:paraId="1927177B" w14:textId="77777777"/>
    <w:p w:rsidR="00201FDB" w14:paraId="0BBC86AE" w14:textId="77777777">
      <w:r>
        <w:t>The surveys, interviews, and focus groups are part of the NWS' new Post-Event Review (PER) Toolkit. PERs are the NWS' innovative and modernized replacement for Service Assessments.</w:t>
      </w:r>
    </w:p>
    <w:p w:rsidR="00201FDB" w14:paraId="5A876F24" w14:textId="77777777">
      <w:pPr>
        <w:tabs>
          <w:tab w:val="left" w:pos="360"/>
        </w:tabs>
        <w:rPr>
          <w:color w:val="9900FF"/>
        </w:rPr>
      </w:pPr>
    </w:p>
    <w:p w:rsidR="00201FDB" w14:paraId="18BF9F2F" w14:textId="77777777">
      <w:pPr>
        <w:pStyle w:val="Heading1"/>
        <w:numPr>
          <w:ilvl w:val="0"/>
          <w:numId w:val="2"/>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201FDB" w14:paraId="0A4A7F28" w14:textId="77777777">
      <w:pPr>
        <w:pBdr>
          <w:top w:val="nil"/>
          <w:left w:val="nil"/>
          <w:bottom w:val="nil"/>
          <w:right w:val="nil"/>
          <w:between w:val="nil"/>
        </w:pBdr>
        <w:spacing w:before="7"/>
      </w:pPr>
    </w:p>
    <w:p w:rsidR="00201FDB" w14:paraId="66FCD408" w14:textId="68FD637E">
      <w:pPr>
        <w:pBdr>
          <w:top w:val="nil"/>
          <w:left w:val="nil"/>
          <w:bottom w:val="nil"/>
          <w:right w:val="nil"/>
          <w:between w:val="nil"/>
        </w:pBdr>
        <w:spacing w:before="7"/>
      </w:pPr>
      <w:r>
        <w:t xml:space="preserve">NWS Post-Event Reviews (PER) will collect, analyze, and interpret information gathered through these surveys, interviews, and focus groups to identify how customers and stakeholders used NWS products and services to save lives, property, and enhance the national economies during hazardous weather and water events. PER results will be used to inform improvements to NWS products and services and support the development of </w:t>
      </w:r>
      <w:r w:rsidR="00563103">
        <w:t>impact-based</w:t>
      </w:r>
      <w:r>
        <w:t xml:space="preserve"> forecasts and decision support services. </w:t>
      </w:r>
    </w:p>
    <w:p w:rsidR="00201FDB" w14:paraId="0C5F2115" w14:textId="77777777">
      <w:pPr>
        <w:pBdr>
          <w:top w:val="nil"/>
          <w:left w:val="nil"/>
          <w:bottom w:val="nil"/>
          <w:right w:val="nil"/>
          <w:between w:val="nil"/>
        </w:pBdr>
        <w:spacing w:before="7"/>
      </w:pPr>
    </w:p>
    <w:p w:rsidR="00201FDB" w14:paraId="3884E4DE" w14:textId="77777777">
      <w:pPr>
        <w:pBdr>
          <w:top w:val="nil"/>
          <w:left w:val="nil"/>
          <w:bottom w:val="nil"/>
          <w:right w:val="nil"/>
          <w:between w:val="nil"/>
        </w:pBdr>
        <w:spacing w:before="7"/>
      </w:pPr>
      <w:r>
        <w:t xml:space="preserve">For the purposes of this request, "customers" are individuals, businesses, and community organizations that experienced hazardous weather. "Stakeholders" are Core Partners who have relationships with the NWS, and routinely use NWS information in their hazardous weather decision making processes. NWS Core Partners are further defined in </w:t>
      </w:r>
      <w:hyperlink r:id="rId5">
        <w:r>
          <w:rPr>
            <w:color w:val="1155CC"/>
            <w:u w:val="single"/>
          </w:rPr>
          <w:t>NWSI 10-2401</w:t>
        </w:r>
      </w:hyperlink>
      <w:r>
        <w:t>.</w:t>
      </w:r>
    </w:p>
    <w:p w:rsidR="00201FDB" w14:paraId="5D4CE200" w14:textId="77777777">
      <w:pPr>
        <w:pBdr>
          <w:top w:val="nil"/>
          <w:left w:val="nil"/>
          <w:bottom w:val="nil"/>
          <w:right w:val="nil"/>
          <w:between w:val="nil"/>
        </w:pBdr>
        <w:spacing w:before="7"/>
      </w:pPr>
    </w:p>
    <w:p w:rsidR="00201FDB" w14:paraId="69871388" w14:textId="77777777">
      <w:pPr>
        <w:pBdr>
          <w:top w:val="nil"/>
          <w:left w:val="nil"/>
          <w:bottom w:val="nil"/>
          <w:right w:val="nil"/>
          <w:between w:val="nil"/>
        </w:pBdr>
        <w:spacing w:before="7"/>
      </w:pPr>
      <w:r>
        <w:t>The optional surveys, interviews, and focus groups provide an avenue for customers and stakeholders to provide feedback (if they desire) on the weather and water information they used to make decisions before, during, and after hazardous weather and water events. Survey, interview, and focus group questions will be a mixture of:</w:t>
      </w:r>
    </w:p>
    <w:p w:rsidR="00201FDB" w14:paraId="7E053A12" w14:textId="77777777">
      <w:pPr>
        <w:pBdr>
          <w:top w:val="nil"/>
          <w:left w:val="nil"/>
          <w:bottom w:val="nil"/>
          <w:right w:val="nil"/>
          <w:between w:val="nil"/>
        </w:pBdr>
        <w:spacing w:before="7"/>
      </w:pPr>
    </w:p>
    <w:p w:rsidR="00201FDB" w14:paraId="2991B36F" w14:textId="77777777">
      <w:r>
        <w:t>1) “Quantitative Questions” seeks to obtain respondents' ratings on how the weather or water event affected them and how the event compared to what they expected based on the forecast information they consumed. The rating system is intended to aid the respondents in identifying how much the event impacted them, and will not be used to establish numerical performance goals or as part of any complex statistical analyses.</w:t>
      </w:r>
    </w:p>
    <w:p w:rsidR="00201FDB" w14:paraId="559D7C92" w14:textId="77777777"/>
    <w:p w:rsidR="00201FDB" w14:paraId="15C0BF50" w14:textId="5BDEDAEC">
      <w:r>
        <w:t xml:space="preserve">2) </w:t>
      </w:r>
      <w:r>
        <w:t>“Qualitative Questions” are more focused on who used the product and service, how it was used, the medium or format in which the respondent consumed forecast information, and how the product or service influenced their decision making. The respondent is also given an opportunity to describe how the hazardous weather or water event impacted their household and/or community. The Post-Event Review teams using such questions are able to determine which aspects of the NWS' programs need improvement or have impro</w:t>
      </w:r>
      <w:r>
        <w:t xml:space="preserve">ved.  </w:t>
      </w:r>
    </w:p>
    <w:p w:rsidR="00201FDB" w14:paraId="1E782479" w14:textId="77777777">
      <w:pPr>
        <w:pBdr>
          <w:top w:val="nil"/>
          <w:left w:val="nil"/>
          <w:bottom w:val="nil"/>
          <w:right w:val="nil"/>
          <w:between w:val="nil"/>
        </w:pBdr>
        <w:spacing w:before="7"/>
        <w:rPr>
          <w:b/>
          <w:bCs/>
        </w:rPr>
      </w:pPr>
    </w:p>
    <w:p w:rsidR="00201FDB" w14:paraId="021C0995" w14:textId="77777777">
      <w:pPr>
        <w:pStyle w:val="Heading1"/>
        <w:numPr>
          <w:ilvl w:val="0"/>
          <w:numId w:val="2"/>
        </w:numPr>
        <w:tabs>
          <w:tab w:val="left" w:pos="360"/>
        </w:tabs>
        <w:spacing w:before="197"/>
        <w:ind w:left="0" w:firstLine="0"/>
      </w:pPr>
      <w:r>
        <w:t>Explain any decision to provide any payment or gift to respondents, other than remuneration of contractors or grantees.</w:t>
      </w:r>
    </w:p>
    <w:p w:rsidR="00201FDB" w14:paraId="08A84185" w14:textId="77777777">
      <w:pPr>
        <w:pStyle w:val="Heading1"/>
        <w:tabs>
          <w:tab w:val="left" w:pos="360"/>
        </w:tabs>
        <w:spacing w:before="197"/>
        <w:ind w:left="0"/>
        <w:sectPr>
          <w:footerReference w:type="default" r:id="rId6"/>
          <w:pgSz w:w="12240" w:h="15840"/>
          <w:pgMar w:top="640" w:right="1080" w:bottom="1200" w:left="1080" w:header="0" w:footer="714" w:gutter="0"/>
          <w:pgNumType w:start="1"/>
          <w:cols w:space="720"/>
        </w:sectPr>
      </w:pPr>
      <w:bookmarkStart w:id="0" w:name="_heading=h.nmhjgxrqakat" w:colFirst="0" w:colLast="0"/>
      <w:bookmarkEnd w:id="0"/>
      <w:r>
        <w:rPr>
          <w:b w:val="0"/>
          <w:bCs w:val="0"/>
        </w:rPr>
        <w:t>No payments or gifts will be offered to respondents.</w:t>
      </w:r>
    </w:p>
    <w:p w:rsidR="00201FDB" w14:paraId="39E63B20" w14:textId="77777777">
      <w:pPr>
        <w:spacing w:line="259" w:lineRule="auto"/>
        <w:rPr>
          <w:color w:val="2F5496"/>
        </w:rPr>
      </w:pPr>
    </w:p>
    <w:p w:rsidR="00201FDB" w14:paraId="507700BF"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Provide estimates of the hour burden of the collection of information.</w:t>
      </w:r>
    </w:p>
    <w:p w:rsidR="00201FDB" w14:paraId="006490E8" w14:textId="77777777">
      <w:pPr>
        <w:spacing w:line="259" w:lineRule="auto"/>
        <w:ind w:hanging="43"/>
        <w:jc w:val="center"/>
        <w:rPr>
          <w:b/>
          <w:bCs/>
          <w:color w:val="FF0000"/>
        </w:rPr>
      </w:pPr>
    </w:p>
    <w:tbl>
      <w:tblPr>
        <w:tblStyle w:val="a6"/>
        <w:tblW w:w="14415" w:type="dxa"/>
        <w:tblInd w:w="-140" w:type="dxa"/>
        <w:tblLayout w:type="fixed"/>
        <w:tblLook w:val="0400"/>
      </w:tblPr>
      <w:tblGrid>
        <w:gridCol w:w="3510"/>
        <w:gridCol w:w="1890"/>
        <w:gridCol w:w="1185"/>
        <w:gridCol w:w="1320"/>
        <w:gridCol w:w="1215"/>
        <w:gridCol w:w="1080"/>
        <w:gridCol w:w="1185"/>
        <w:gridCol w:w="1440"/>
        <w:gridCol w:w="1590"/>
      </w:tblGrid>
      <w:tr w14:paraId="047EA0F5" w14:textId="77777777">
        <w:tblPrEx>
          <w:tblW w:w="14415" w:type="dxa"/>
          <w:tblInd w:w="-140" w:type="dxa"/>
          <w:tblLayout w:type="fixed"/>
          <w:tblLook w:val="0400"/>
        </w:tblPrEx>
        <w:trPr>
          <w:trHeight w:val="1365"/>
        </w:trPr>
        <w:tc>
          <w:tcPr>
            <w:tcW w:w="351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201FDB" w14:paraId="2D17CEE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890" w:type="dxa"/>
            <w:tcBorders>
              <w:top w:val="single" w:sz="8" w:space="0" w:color="000000"/>
              <w:left w:val="nil"/>
              <w:bottom w:val="single" w:sz="8" w:space="0" w:color="000000"/>
              <w:right w:val="single" w:sz="8" w:space="0" w:color="000000"/>
            </w:tcBorders>
            <w:shd w:val="clear" w:color="auto" w:fill="BDD7EE"/>
            <w:vAlign w:val="center"/>
          </w:tcPr>
          <w:p w:rsidR="00201FDB" w14:paraId="056842D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201FDB" w14:paraId="0BD9F83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320" w:type="dxa"/>
            <w:tcBorders>
              <w:top w:val="single" w:sz="8" w:space="0" w:color="000000"/>
              <w:left w:val="nil"/>
              <w:bottom w:val="single" w:sz="8" w:space="0" w:color="000000"/>
              <w:right w:val="single" w:sz="8" w:space="0" w:color="000000"/>
            </w:tcBorders>
            <w:shd w:val="clear" w:color="auto" w:fill="BDD7EE"/>
            <w:vAlign w:val="center"/>
          </w:tcPr>
          <w:p w:rsidR="00201FDB" w14:paraId="44135CD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r>
              <w:rPr>
                <w:rFonts w:ascii="Calibri" w:eastAsia="Calibri" w:hAnsi="Calibri" w:cs="Calibri"/>
                <w:b/>
                <w:bCs/>
                <w:color w:val="000000"/>
                <w:sz w:val="16"/>
                <w:szCs w:val="16"/>
              </w:rPr>
              <w:br/>
              <w:t>(b)</w:t>
            </w:r>
          </w:p>
        </w:tc>
        <w:tc>
          <w:tcPr>
            <w:tcW w:w="1215" w:type="dxa"/>
            <w:tcBorders>
              <w:top w:val="single" w:sz="8" w:space="0" w:color="000000"/>
              <w:left w:val="nil"/>
              <w:bottom w:val="single" w:sz="8" w:space="0" w:color="000000"/>
              <w:right w:val="single" w:sz="8" w:space="0" w:color="000000"/>
            </w:tcBorders>
            <w:shd w:val="clear" w:color="auto" w:fill="BDD7EE"/>
            <w:vAlign w:val="center"/>
          </w:tcPr>
          <w:p w:rsidR="00201FDB" w14:paraId="35DCC92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201FDB" w14:paraId="721D56A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r>
              <w:rPr>
                <w:rFonts w:ascii="Calibri" w:eastAsia="Calibri" w:hAnsi="Calibri" w:cs="Calibri"/>
                <w:b/>
                <w:bCs/>
                <w:color w:val="000000"/>
                <w:sz w:val="16"/>
                <w:szCs w:val="16"/>
              </w:rPr>
              <w:br/>
              <w:t>(d)</w:t>
            </w:r>
          </w:p>
        </w:tc>
        <w:tc>
          <w:tcPr>
            <w:tcW w:w="1185" w:type="dxa"/>
            <w:tcBorders>
              <w:top w:val="single" w:sz="8" w:space="0" w:color="000000"/>
              <w:left w:val="nil"/>
              <w:bottom w:val="single" w:sz="8" w:space="0" w:color="000000"/>
              <w:right w:val="single" w:sz="8" w:space="0" w:color="000000"/>
            </w:tcBorders>
            <w:shd w:val="clear" w:color="auto" w:fill="BDD7EE"/>
            <w:vAlign w:val="center"/>
          </w:tcPr>
          <w:p w:rsidR="00201FDB" w14:paraId="6A91FFB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r>
              <w:rPr>
                <w:rFonts w:ascii="Calibri" w:eastAsia="Calibri" w:hAnsi="Calibri" w:cs="Calibri"/>
                <w:b/>
                <w:bCs/>
                <w:color w:val="000000"/>
                <w:sz w:val="16"/>
                <w:szCs w:val="16"/>
              </w:rPr>
              <w:br/>
              <w:t>(</w:t>
            </w:r>
            <w:r>
              <w:rPr>
                <w:rFonts w:ascii="Calibri" w:eastAsia="Calibri" w:hAnsi="Calibri" w:cs="Calibri"/>
                <w:b/>
                <w:bCs/>
                <w:color w:val="000000"/>
                <w:sz w:val="16"/>
                <w:szCs w:val="16"/>
              </w:rPr>
              <w:t>e)  =</w:t>
            </w:r>
            <w:r>
              <w:rPr>
                <w:rFonts w:ascii="Calibri" w:eastAsia="Calibri" w:hAnsi="Calibri" w:cs="Calibri"/>
                <w:b/>
                <w:bCs/>
                <w:color w:val="000000"/>
                <w:sz w:val="16"/>
                <w:szCs w:val="16"/>
              </w:rPr>
              <w:t xml:space="preserve"> (c) x (d)</w:t>
            </w:r>
          </w:p>
        </w:tc>
        <w:tc>
          <w:tcPr>
            <w:tcW w:w="1440" w:type="dxa"/>
            <w:tcBorders>
              <w:top w:val="single" w:sz="8" w:space="0" w:color="000000"/>
              <w:left w:val="nil"/>
              <w:bottom w:val="single" w:sz="8" w:space="0" w:color="000000"/>
              <w:right w:val="single" w:sz="8" w:space="0" w:color="000000"/>
            </w:tcBorders>
            <w:shd w:val="clear" w:color="auto" w:fill="BDD7EE"/>
            <w:vAlign w:val="center"/>
          </w:tcPr>
          <w:p w:rsidR="00201FDB" w14:paraId="7E0BC80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Hourly Wage </w:t>
            </w:r>
            <w:r>
              <w:rPr>
                <w:rFonts w:ascii="Calibri" w:eastAsia="Calibri" w:hAnsi="Calibri" w:cs="Calibri"/>
                <w:b/>
                <w:bCs/>
                <w:color w:val="000000"/>
                <w:sz w:val="16"/>
                <w:szCs w:val="16"/>
              </w:rPr>
              <w:t>Rate  (</w:t>
            </w:r>
            <w:r>
              <w:rPr>
                <w:rFonts w:ascii="Calibri" w:eastAsia="Calibri" w:hAnsi="Calibri" w:cs="Calibri"/>
                <w:b/>
                <w:bCs/>
                <w:color w:val="000000"/>
                <w:sz w:val="16"/>
                <w:szCs w:val="16"/>
              </w:rPr>
              <w:t>for Type of Respondent)</w:t>
            </w:r>
            <w:r>
              <w:rPr>
                <w:rFonts w:ascii="Calibri" w:eastAsia="Calibri" w:hAnsi="Calibri" w:cs="Calibri"/>
                <w:b/>
                <w:bCs/>
                <w:color w:val="000000"/>
                <w:sz w:val="16"/>
                <w:szCs w:val="16"/>
              </w:rPr>
              <w:br/>
              <w:t>(f)</w:t>
            </w:r>
          </w:p>
        </w:tc>
        <w:tc>
          <w:tcPr>
            <w:tcW w:w="1590" w:type="dxa"/>
            <w:tcBorders>
              <w:top w:val="single" w:sz="8" w:space="0" w:color="000000"/>
              <w:left w:val="nil"/>
              <w:bottom w:val="single" w:sz="8" w:space="0" w:color="000000"/>
              <w:right w:val="single" w:sz="8" w:space="0" w:color="000000"/>
            </w:tcBorders>
            <w:shd w:val="clear" w:color="auto" w:fill="BDD7EE"/>
            <w:vAlign w:val="center"/>
          </w:tcPr>
          <w:p w:rsidR="00201FDB" w14:paraId="250679E2" w14:textId="77777777">
            <w:pPr>
              <w:widowControl/>
              <w:ind w:right="-30"/>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6A7EE7A7" w14:textId="77777777">
        <w:tblPrEx>
          <w:tblW w:w="14415" w:type="dxa"/>
          <w:tblInd w:w="-140" w:type="dxa"/>
          <w:tblLayout w:type="fixed"/>
          <w:tblLook w:val="0400"/>
        </w:tblPrEx>
        <w:trPr>
          <w:trHeight w:val="285"/>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08F17FEB" w14:textId="77777777">
            <w:pPr>
              <w:widowControl/>
              <w:rPr>
                <w:rFonts w:ascii="Calibri" w:eastAsia="Calibri" w:hAnsi="Calibri" w:cs="Calibri"/>
                <w:sz w:val="16"/>
                <w:szCs w:val="16"/>
              </w:rPr>
            </w:pPr>
            <w:r>
              <w:rPr>
                <w:rFonts w:ascii="Calibri" w:eastAsia="Calibri" w:hAnsi="Calibri" w:cs="Calibri"/>
                <w:color w:val="000000"/>
                <w:sz w:val="16"/>
                <w:szCs w:val="16"/>
              </w:rPr>
              <w:t> Post-Event Review Community Survey</w:t>
            </w:r>
          </w:p>
        </w:tc>
        <w:tc>
          <w:tcPr>
            <w:tcW w:w="1890" w:type="dxa"/>
            <w:tcBorders>
              <w:top w:val="nil"/>
              <w:left w:val="nil"/>
              <w:bottom w:val="single" w:sz="4" w:space="0" w:color="000000"/>
              <w:right w:val="single" w:sz="4" w:space="0" w:color="000000"/>
            </w:tcBorders>
            <w:shd w:val="clear" w:color="auto" w:fill="auto"/>
            <w:vAlign w:val="bottom"/>
          </w:tcPr>
          <w:p w:rsidR="00201FDB" w14:paraId="33C5149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NWS </w:t>
            </w:r>
            <w:r>
              <w:rPr>
                <w:rFonts w:ascii="Calibri" w:eastAsia="Calibri" w:hAnsi="Calibri" w:cs="Calibri"/>
                <w:sz w:val="16"/>
                <w:szCs w:val="16"/>
              </w:rPr>
              <w:t>C</w:t>
            </w:r>
            <w:r>
              <w:rPr>
                <w:rFonts w:ascii="Calibri" w:eastAsia="Calibri" w:hAnsi="Calibri" w:cs="Calibri"/>
                <w:color w:val="000000"/>
                <w:sz w:val="16"/>
                <w:szCs w:val="16"/>
              </w:rPr>
              <w:t>ustomers</w:t>
            </w:r>
          </w:p>
        </w:tc>
        <w:tc>
          <w:tcPr>
            <w:tcW w:w="1185" w:type="dxa"/>
            <w:tcBorders>
              <w:top w:val="nil"/>
              <w:left w:val="nil"/>
              <w:bottom w:val="single" w:sz="4" w:space="0" w:color="000000"/>
              <w:right w:val="single" w:sz="4" w:space="0" w:color="000000"/>
            </w:tcBorders>
            <w:shd w:val="clear" w:color="auto" w:fill="auto"/>
            <w:vAlign w:val="bottom"/>
          </w:tcPr>
          <w:p w:rsidR="00201FDB" w14:paraId="2AB3C3D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1000</w:t>
            </w:r>
          </w:p>
        </w:tc>
        <w:tc>
          <w:tcPr>
            <w:tcW w:w="1320" w:type="dxa"/>
            <w:tcBorders>
              <w:top w:val="nil"/>
              <w:left w:val="nil"/>
              <w:bottom w:val="single" w:sz="4" w:space="0" w:color="000000"/>
              <w:right w:val="single" w:sz="4" w:space="0" w:color="000000"/>
            </w:tcBorders>
            <w:shd w:val="clear" w:color="auto" w:fill="auto"/>
            <w:vAlign w:val="bottom"/>
          </w:tcPr>
          <w:p w:rsidR="00201FDB" w14:paraId="4D6DDB69"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bottom"/>
          </w:tcPr>
          <w:p w:rsidR="00201FDB" w14:paraId="0A873B17" w14:textId="77777777">
            <w:pPr>
              <w:widowControl/>
              <w:jc w:val="center"/>
              <w:rPr>
                <w:rFonts w:ascii="Calibri" w:eastAsia="Calibri" w:hAnsi="Calibri" w:cs="Calibri"/>
                <w:color w:val="000000"/>
                <w:sz w:val="16"/>
                <w:szCs w:val="16"/>
              </w:rPr>
            </w:pPr>
            <w:r>
              <w:rPr>
                <w:rFonts w:ascii="Calibri" w:eastAsia="Calibri" w:hAnsi="Calibri" w:cs="Calibri"/>
                <w:sz w:val="16"/>
                <w:szCs w:val="16"/>
              </w:rPr>
              <w:t>1000</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201FDB" w14:paraId="00F2A312" w14:textId="77777777">
            <w:pPr>
              <w:widowControl/>
              <w:jc w:val="center"/>
              <w:rPr>
                <w:rFonts w:ascii="Calibri" w:eastAsia="Calibri" w:hAnsi="Calibri" w:cs="Calibri"/>
                <w:color w:val="000000"/>
                <w:sz w:val="16"/>
                <w:szCs w:val="16"/>
              </w:rPr>
            </w:pPr>
            <w:r>
              <w:rPr>
                <w:rFonts w:ascii="Calibri" w:eastAsia="Calibri" w:hAnsi="Calibri" w:cs="Calibri"/>
                <w:sz w:val="16"/>
                <w:szCs w:val="16"/>
              </w:rPr>
              <w:t>10 min</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bottom"/>
          </w:tcPr>
          <w:p w:rsidR="00201FDB" w14:paraId="7766A87A" w14:textId="77777777">
            <w:pPr>
              <w:widowControl/>
              <w:jc w:val="center"/>
              <w:rPr>
                <w:rFonts w:ascii="Calibri" w:eastAsia="Calibri" w:hAnsi="Calibri" w:cs="Calibri"/>
                <w:color w:val="000000"/>
                <w:sz w:val="16"/>
                <w:szCs w:val="16"/>
              </w:rPr>
            </w:pPr>
            <w:r>
              <w:rPr>
                <w:rFonts w:ascii="Calibri" w:eastAsia="Calibri" w:hAnsi="Calibri" w:cs="Calibri"/>
                <w:sz w:val="16"/>
                <w:szCs w:val="16"/>
              </w:rPr>
              <w:t>167</w:t>
            </w:r>
            <w:r>
              <w:rPr>
                <w:rFonts w:ascii="Calibri" w:eastAsia="Calibri" w:hAnsi="Calibri" w:cs="Calibri"/>
                <w:color w:val="000000"/>
                <w:sz w:val="16"/>
                <w:szCs w:val="16"/>
              </w:rPr>
              <w:t> hours</w:t>
            </w:r>
          </w:p>
        </w:tc>
        <w:tc>
          <w:tcPr>
            <w:tcW w:w="1440" w:type="dxa"/>
            <w:tcBorders>
              <w:top w:val="nil"/>
              <w:left w:val="nil"/>
              <w:bottom w:val="single" w:sz="4" w:space="0" w:color="000000"/>
              <w:right w:val="single" w:sz="4" w:space="0" w:color="000000"/>
            </w:tcBorders>
            <w:shd w:val="clear" w:color="auto" w:fill="auto"/>
            <w:vAlign w:val="bottom"/>
          </w:tcPr>
          <w:p w:rsidR="00201FDB" w14:paraId="385A4057" w14:textId="77777777">
            <w:pPr>
              <w:widowControl/>
              <w:jc w:val="center"/>
              <w:rPr>
                <w:rFonts w:ascii="Calibri" w:eastAsia="Calibri" w:hAnsi="Calibri" w:cs="Calibri"/>
                <w:sz w:val="16"/>
                <w:szCs w:val="16"/>
              </w:rPr>
            </w:pPr>
            <w:r>
              <w:rPr>
                <w:rFonts w:ascii="Calibri" w:eastAsia="Calibri" w:hAnsi="Calibri" w:cs="Calibri"/>
                <w:sz w:val="16"/>
                <w:szCs w:val="16"/>
              </w:rPr>
              <w:t>$48.05 </w:t>
            </w:r>
          </w:p>
        </w:tc>
        <w:tc>
          <w:tcPr>
            <w:tcW w:w="1590" w:type="dxa"/>
            <w:tcBorders>
              <w:top w:val="nil"/>
              <w:left w:val="nil"/>
              <w:bottom w:val="single" w:sz="4" w:space="0" w:color="000000"/>
              <w:right w:val="single" w:sz="8" w:space="0" w:color="000000"/>
            </w:tcBorders>
            <w:shd w:val="clear" w:color="auto" w:fill="auto"/>
            <w:vAlign w:val="bottom"/>
          </w:tcPr>
          <w:p w:rsidR="00201FDB" w14:paraId="79631DE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$8,024.35</w:t>
            </w:r>
          </w:p>
        </w:tc>
      </w:tr>
      <w:tr w14:paraId="6D7152F6"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2189EF7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Post-Event Review Core Partner Survey</w:t>
            </w:r>
          </w:p>
        </w:tc>
        <w:tc>
          <w:tcPr>
            <w:tcW w:w="1890" w:type="dxa"/>
            <w:tcBorders>
              <w:top w:val="nil"/>
              <w:left w:val="nil"/>
              <w:bottom w:val="single" w:sz="4" w:space="0" w:color="000000"/>
              <w:right w:val="single" w:sz="4" w:space="0" w:color="000000"/>
            </w:tcBorders>
            <w:shd w:val="clear" w:color="auto" w:fill="auto"/>
            <w:vAlign w:val="bottom"/>
          </w:tcPr>
          <w:p w:rsidR="00201FDB" w14:paraId="43B4CDD2" w14:textId="77777777">
            <w:pPr>
              <w:widowControl/>
              <w:jc w:val="center"/>
              <w:rPr>
                <w:rFonts w:ascii="Calibri" w:eastAsia="Calibri" w:hAnsi="Calibri" w:cs="Calibri"/>
                <w:color w:val="000000"/>
                <w:sz w:val="16"/>
                <w:szCs w:val="16"/>
              </w:rPr>
            </w:pPr>
            <w:r>
              <w:rPr>
                <w:rFonts w:ascii="Calibri" w:eastAsia="Calibri" w:hAnsi="Calibri" w:cs="Calibri"/>
                <w:sz w:val="16"/>
                <w:szCs w:val="16"/>
              </w:rPr>
              <w:t>NWS Stakeholders</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bottom"/>
          </w:tcPr>
          <w:p w:rsidR="00201FDB" w14:paraId="0A48DB77" w14:textId="77777777">
            <w:pPr>
              <w:widowControl/>
              <w:jc w:val="center"/>
              <w:rPr>
                <w:rFonts w:ascii="Calibri" w:eastAsia="Calibri" w:hAnsi="Calibri" w:cs="Calibri"/>
                <w:color w:val="000000"/>
                <w:sz w:val="16"/>
                <w:szCs w:val="16"/>
              </w:rPr>
            </w:pPr>
            <w:r>
              <w:rPr>
                <w:rFonts w:ascii="Calibri" w:eastAsia="Calibri" w:hAnsi="Calibri" w:cs="Calibri"/>
                <w:sz w:val="16"/>
                <w:szCs w:val="16"/>
              </w:rPr>
              <w:t>1000</w:t>
            </w:r>
            <w:r>
              <w:rPr>
                <w:rFonts w:ascii="Calibri" w:eastAsia="Calibri" w:hAnsi="Calibri" w:cs="Calibri"/>
                <w:color w:val="000000"/>
                <w:sz w:val="16"/>
                <w:szCs w:val="16"/>
              </w:rPr>
              <w:t> </w:t>
            </w:r>
          </w:p>
        </w:tc>
        <w:tc>
          <w:tcPr>
            <w:tcW w:w="1320" w:type="dxa"/>
            <w:tcBorders>
              <w:top w:val="nil"/>
              <w:left w:val="nil"/>
              <w:bottom w:val="single" w:sz="4" w:space="0" w:color="000000"/>
              <w:right w:val="single" w:sz="4" w:space="0" w:color="000000"/>
            </w:tcBorders>
            <w:shd w:val="clear" w:color="auto" w:fill="auto"/>
            <w:vAlign w:val="bottom"/>
          </w:tcPr>
          <w:p w:rsidR="00201FDB" w14:paraId="28182678"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bottom"/>
          </w:tcPr>
          <w:p w:rsidR="00201FDB" w14:paraId="418892F3" w14:textId="77777777">
            <w:pPr>
              <w:widowControl/>
              <w:jc w:val="center"/>
              <w:rPr>
                <w:rFonts w:ascii="Calibri" w:eastAsia="Calibri" w:hAnsi="Calibri" w:cs="Calibri"/>
                <w:color w:val="000000"/>
                <w:sz w:val="16"/>
                <w:szCs w:val="16"/>
              </w:rPr>
            </w:pPr>
            <w:r>
              <w:rPr>
                <w:rFonts w:ascii="Calibri" w:eastAsia="Calibri" w:hAnsi="Calibri" w:cs="Calibri"/>
                <w:sz w:val="16"/>
                <w:szCs w:val="16"/>
              </w:rPr>
              <w:t>1000</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201FDB" w14:paraId="2F7A4773" w14:textId="77777777">
            <w:pPr>
              <w:widowControl/>
              <w:jc w:val="center"/>
              <w:rPr>
                <w:rFonts w:ascii="Calibri" w:eastAsia="Calibri" w:hAnsi="Calibri" w:cs="Calibri"/>
                <w:color w:val="000000"/>
                <w:sz w:val="16"/>
                <w:szCs w:val="16"/>
              </w:rPr>
            </w:pPr>
            <w:r>
              <w:rPr>
                <w:rFonts w:ascii="Calibri" w:eastAsia="Calibri" w:hAnsi="Calibri" w:cs="Calibri"/>
                <w:sz w:val="16"/>
                <w:szCs w:val="16"/>
              </w:rPr>
              <w:t>15 min</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bottom"/>
          </w:tcPr>
          <w:p w:rsidR="00201FDB" w14:paraId="0113D21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250 hours</w:t>
            </w:r>
          </w:p>
        </w:tc>
        <w:tc>
          <w:tcPr>
            <w:tcW w:w="1440" w:type="dxa"/>
            <w:tcBorders>
              <w:top w:val="nil"/>
              <w:left w:val="nil"/>
              <w:bottom w:val="single" w:sz="4" w:space="0" w:color="000000"/>
              <w:right w:val="single" w:sz="4" w:space="0" w:color="000000"/>
            </w:tcBorders>
            <w:shd w:val="clear" w:color="auto" w:fill="auto"/>
            <w:vAlign w:val="bottom"/>
          </w:tcPr>
          <w:p w:rsidR="00201FDB" w14:paraId="706F3828" w14:textId="77777777">
            <w:pPr>
              <w:widowControl/>
              <w:jc w:val="center"/>
              <w:rPr>
                <w:rFonts w:ascii="Calibri" w:eastAsia="Calibri" w:hAnsi="Calibri" w:cs="Calibri"/>
                <w:sz w:val="16"/>
                <w:szCs w:val="16"/>
              </w:rPr>
            </w:pPr>
            <w:r>
              <w:rPr>
                <w:rFonts w:ascii="Calibri" w:eastAsia="Calibri" w:hAnsi="Calibri" w:cs="Calibri"/>
                <w:sz w:val="16"/>
                <w:szCs w:val="16"/>
              </w:rPr>
              <w:t> $46.97</w:t>
            </w:r>
          </w:p>
        </w:tc>
        <w:tc>
          <w:tcPr>
            <w:tcW w:w="1590" w:type="dxa"/>
            <w:tcBorders>
              <w:top w:val="nil"/>
              <w:left w:val="nil"/>
              <w:bottom w:val="single" w:sz="4" w:space="0" w:color="000000"/>
              <w:right w:val="single" w:sz="8" w:space="0" w:color="000000"/>
            </w:tcBorders>
            <w:shd w:val="clear" w:color="auto" w:fill="auto"/>
            <w:vAlign w:val="bottom"/>
          </w:tcPr>
          <w:p w:rsidR="00201FDB" w14:paraId="75CA5023" w14:textId="77777777">
            <w:pPr>
              <w:widowControl/>
              <w:jc w:val="center"/>
              <w:rPr>
                <w:rFonts w:ascii="Calibri" w:eastAsia="Calibri" w:hAnsi="Calibri" w:cs="Calibri"/>
                <w:color w:val="000000"/>
                <w:sz w:val="16"/>
                <w:szCs w:val="16"/>
              </w:rPr>
            </w:pPr>
            <w:r>
              <w:rPr>
                <w:rFonts w:ascii="Calibri" w:eastAsia="Calibri" w:hAnsi="Calibri" w:cs="Calibri"/>
                <w:sz w:val="16"/>
                <w:szCs w:val="16"/>
              </w:rPr>
              <w:t>$11,742.50</w:t>
            </w:r>
            <w:r>
              <w:rPr>
                <w:rFonts w:ascii="Calibri" w:eastAsia="Calibri" w:hAnsi="Calibri" w:cs="Calibri"/>
                <w:color w:val="000000"/>
                <w:sz w:val="16"/>
                <w:szCs w:val="16"/>
              </w:rPr>
              <w:t> </w:t>
            </w:r>
          </w:p>
        </w:tc>
      </w:tr>
      <w:tr w14:paraId="279E12B3"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2F88982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Post-Event Review</w:t>
            </w:r>
            <w:r>
              <w:rPr>
                <w:rFonts w:ascii="Calibri" w:eastAsia="Calibri" w:hAnsi="Calibri" w:cs="Calibri"/>
                <w:sz w:val="16"/>
                <w:szCs w:val="16"/>
              </w:rPr>
              <w:t xml:space="preserve"> Community Interviews</w:t>
            </w:r>
          </w:p>
        </w:tc>
        <w:tc>
          <w:tcPr>
            <w:tcW w:w="1890" w:type="dxa"/>
            <w:tcBorders>
              <w:top w:val="nil"/>
              <w:left w:val="nil"/>
              <w:bottom w:val="single" w:sz="4" w:space="0" w:color="000000"/>
              <w:right w:val="single" w:sz="4" w:space="0" w:color="000000"/>
            </w:tcBorders>
            <w:shd w:val="clear" w:color="auto" w:fill="auto"/>
            <w:vAlign w:val="bottom"/>
          </w:tcPr>
          <w:p w:rsidR="00201FDB" w14:paraId="2641386E" w14:textId="77777777">
            <w:pPr>
              <w:widowControl/>
              <w:jc w:val="center"/>
              <w:rPr>
                <w:rFonts w:ascii="Calibri" w:eastAsia="Calibri" w:hAnsi="Calibri" w:cs="Calibri"/>
                <w:color w:val="000000"/>
                <w:sz w:val="16"/>
                <w:szCs w:val="16"/>
              </w:rPr>
            </w:pPr>
            <w:r>
              <w:rPr>
                <w:rFonts w:ascii="Calibri" w:eastAsia="Calibri" w:hAnsi="Calibri" w:cs="Calibri"/>
                <w:sz w:val="16"/>
                <w:szCs w:val="16"/>
              </w:rPr>
              <w:t> NWS Customers</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bottom"/>
          </w:tcPr>
          <w:p w:rsidR="00201FDB" w14:paraId="2F1E92E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400</w:t>
            </w:r>
          </w:p>
        </w:tc>
        <w:tc>
          <w:tcPr>
            <w:tcW w:w="1320" w:type="dxa"/>
            <w:tcBorders>
              <w:top w:val="nil"/>
              <w:left w:val="nil"/>
              <w:bottom w:val="single" w:sz="4" w:space="0" w:color="000000"/>
              <w:right w:val="single" w:sz="4" w:space="0" w:color="000000"/>
            </w:tcBorders>
            <w:shd w:val="clear" w:color="auto" w:fill="auto"/>
            <w:vAlign w:val="bottom"/>
          </w:tcPr>
          <w:p w:rsidR="00201FDB" w14:paraId="42F67193"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r>
              <w:rPr>
                <w:rFonts w:ascii="Calibri" w:eastAsia="Calibri" w:hAnsi="Calibri" w:cs="Calibri"/>
                <w:color w:val="000000"/>
                <w:sz w:val="16"/>
                <w:szCs w:val="16"/>
              </w:rPr>
              <w:t> </w:t>
            </w:r>
          </w:p>
        </w:tc>
        <w:tc>
          <w:tcPr>
            <w:tcW w:w="1215" w:type="dxa"/>
            <w:tcBorders>
              <w:top w:val="nil"/>
              <w:left w:val="nil"/>
              <w:bottom w:val="single" w:sz="4" w:space="0" w:color="000000"/>
              <w:right w:val="single" w:sz="4" w:space="0" w:color="000000"/>
            </w:tcBorders>
            <w:shd w:val="clear" w:color="auto" w:fill="auto"/>
            <w:vAlign w:val="bottom"/>
          </w:tcPr>
          <w:p w:rsidR="00201FDB" w14:paraId="036FDD16" w14:textId="77777777">
            <w:pPr>
              <w:widowControl/>
              <w:jc w:val="center"/>
              <w:rPr>
                <w:rFonts w:ascii="Calibri" w:eastAsia="Calibri" w:hAnsi="Calibri" w:cs="Calibri"/>
                <w:color w:val="000000"/>
                <w:sz w:val="16"/>
                <w:szCs w:val="16"/>
              </w:rPr>
            </w:pPr>
            <w:r>
              <w:rPr>
                <w:rFonts w:ascii="Calibri" w:eastAsia="Calibri" w:hAnsi="Calibri" w:cs="Calibri"/>
                <w:sz w:val="16"/>
                <w:szCs w:val="16"/>
              </w:rPr>
              <w:t>400</w:t>
            </w:r>
            <w:r>
              <w:rPr>
                <w:rFonts w:ascii="Calibri" w:eastAsia="Calibri" w:hAnsi="Calibri" w:cs="Calibri"/>
                <w:color w:val="000000"/>
                <w:sz w:val="16"/>
                <w:szCs w:val="16"/>
              </w:rPr>
              <w:t> </w:t>
            </w:r>
          </w:p>
        </w:tc>
        <w:tc>
          <w:tcPr>
            <w:tcW w:w="1080" w:type="dxa"/>
            <w:tcBorders>
              <w:top w:val="nil"/>
              <w:left w:val="nil"/>
              <w:bottom w:val="single" w:sz="4" w:space="0" w:color="000000"/>
              <w:right w:val="single" w:sz="4" w:space="0" w:color="000000"/>
            </w:tcBorders>
            <w:shd w:val="clear" w:color="auto" w:fill="auto"/>
            <w:vAlign w:val="bottom"/>
          </w:tcPr>
          <w:p w:rsidR="00201FDB" w14:paraId="75814FCF" w14:textId="77777777">
            <w:pPr>
              <w:widowControl/>
              <w:jc w:val="center"/>
              <w:rPr>
                <w:rFonts w:ascii="Calibri" w:eastAsia="Calibri" w:hAnsi="Calibri" w:cs="Calibri"/>
                <w:color w:val="000000"/>
                <w:sz w:val="16"/>
                <w:szCs w:val="16"/>
              </w:rPr>
            </w:pPr>
            <w:r>
              <w:rPr>
                <w:rFonts w:ascii="Calibri" w:eastAsia="Calibri" w:hAnsi="Calibri" w:cs="Calibri"/>
                <w:sz w:val="16"/>
                <w:szCs w:val="16"/>
              </w:rPr>
              <w:t>90 min</w:t>
            </w:r>
            <w:r>
              <w:rPr>
                <w:rFonts w:ascii="Calibri" w:eastAsia="Calibri" w:hAnsi="Calibri" w:cs="Calibri"/>
                <w:color w:val="000000"/>
                <w:sz w:val="16"/>
                <w:szCs w:val="16"/>
              </w:rPr>
              <w:t> </w:t>
            </w:r>
          </w:p>
        </w:tc>
        <w:tc>
          <w:tcPr>
            <w:tcW w:w="1185" w:type="dxa"/>
            <w:tcBorders>
              <w:top w:val="nil"/>
              <w:left w:val="nil"/>
              <w:bottom w:val="single" w:sz="4" w:space="0" w:color="000000"/>
              <w:right w:val="single" w:sz="4" w:space="0" w:color="000000"/>
            </w:tcBorders>
            <w:shd w:val="clear" w:color="auto" w:fill="auto"/>
            <w:vAlign w:val="bottom"/>
          </w:tcPr>
          <w:p w:rsidR="00201FDB" w14:paraId="7CDFA897" w14:textId="77777777">
            <w:pPr>
              <w:widowControl/>
              <w:jc w:val="center"/>
              <w:rPr>
                <w:rFonts w:ascii="Calibri" w:eastAsia="Calibri" w:hAnsi="Calibri" w:cs="Calibri"/>
                <w:color w:val="000000"/>
                <w:sz w:val="16"/>
                <w:szCs w:val="16"/>
              </w:rPr>
            </w:pPr>
            <w:r>
              <w:rPr>
                <w:rFonts w:ascii="Calibri" w:eastAsia="Calibri" w:hAnsi="Calibri" w:cs="Calibri"/>
                <w:sz w:val="16"/>
                <w:szCs w:val="16"/>
              </w:rPr>
              <w:t>600 hours</w:t>
            </w:r>
            <w:r>
              <w:rPr>
                <w:rFonts w:ascii="Calibri" w:eastAsia="Calibri" w:hAnsi="Calibri" w:cs="Calibri"/>
                <w:color w:val="000000"/>
                <w:sz w:val="16"/>
                <w:szCs w:val="16"/>
              </w:rPr>
              <w:t> </w:t>
            </w:r>
          </w:p>
        </w:tc>
        <w:tc>
          <w:tcPr>
            <w:tcW w:w="1440" w:type="dxa"/>
            <w:tcBorders>
              <w:top w:val="nil"/>
              <w:left w:val="nil"/>
              <w:bottom w:val="single" w:sz="4" w:space="0" w:color="000000"/>
              <w:right w:val="single" w:sz="4" w:space="0" w:color="000000"/>
            </w:tcBorders>
            <w:shd w:val="clear" w:color="auto" w:fill="auto"/>
            <w:vAlign w:val="bottom"/>
          </w:tcPr>
          <w:p w:rsidR="00201FDB" w14:paraId="2B539461" w14:textId="77777777">
            <w:pPr>
              <w:widowControl/>
              <w:jc w:val="center"/>
              <w:rPr>
                <w:rFonts w:ascii="Calibri" w:eastAsia="Calibri" w:hAnsi="Calibri" w:cs="Calibri"/>
                <w:sz w:val="16"/>
                <w:szCs w:val="16"/>
              </w:rPr>
            </w:pPr>
            <w:r>
              <w:rPr>
                <w:rFonts w:ascii="Calibri" w:eastAsia="Calibri" w:hAnsi="Calibri" w:cs="Calibri"/>
                <w:sz w:val="16"/>
                <w:szCs w:val="16"/>
              </w:rPr>
              <w:t>$ 48.05</w:t>
            </w:r>
          </w:p>
        </w:tc>
        <w:tc>
          <w:tcPr>
            <w:tcW w:w="1590" w:type="dxa"/>
            <w:tcBorders>
              <w:top w:val="nil"/>
              <w:left w:val="nil"/>
              <w:bottom w:val="single" w:sz="4" w:space="0" w:color="000000"/>
              <w:right w:val="single" w:sz="8" w:space="0" w:color="000000"/>
            </w:tcBorders>
            <w:shd w:val="clear" w:color="auto" w:fill="auto"/>
            <w:vAlign w:val="bottom"/>
          </w:tcPr>
          <w:p w:rsidR="00201FDB" w14:paraId="407019E4" w14:textId="77777777">
            <w:pPr>
              <w:widowControl/>
              <w:jc w:val="center"/>
              <w:rPr>
                <w:rFonts w:ascii="Calibri" w:eastAsia="Calibri" w:hAnsi="Calibri" w:cs="Calibri"/>
                <w:color w:val="000000"/>
                <w:sz w:val="16"/>
                <w:szCs w:val="16"/>
              </w:rPr>
            </w:pPr>
            <w:r>
              <w:rPr>
                <w:rFonts w:ascii="Calibri" w:eastAsia="Calibri" w:hAnsi="Calibri" w:cs="Calibri"/>
                <w:sz w:val="16"/>
                <w:szCs w:val="16"/>
              </w:rPr>
              <w:t>$28,830</w:t>
            </w:r>
            <w:r>
              <w:rPr>
                <w:rFonts w:ascii="Calibri" w:eastAsia="Calibri" w:hAnsi="Calibri" w:cs="Calibri"/>
                <w:color w:val="000000"/>
                <w:sz w:val="16"/>
                <w:szCs w:val="16"/>
              </w:rPr>
              <w:t> </w:t>
            </w:r>
          </w:p>
        </w:tc>
      </w:tr>
      <w:tr w14:paraId="6BB9CD66"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764032D1" w14:textId="77777777">
            <w:pPr>
              <w:widowControl/>
              <w:rPr>
                <w:rFonts w:ascii="Calibri" w:eastAsia="Calibri" w:hAnsi="Calibri" w:cs="Calibri"/>
                <w:color w:val="000000"/>
                <w:sz w:val="16"/>
                <w:szCs w:val="16"/>
              </w:rPr>
            </w:pPr>
            <w:r>
              <w:rPr>
                <w:rFonts w:ascii="Calibri" w:eastAsia="Calibri" w:hAnsi="Calibri" w:cs="Calibri"/>
                <w:sz w:val="16"/>
                <w:szCs w:val="16"/>
              </w:rPr>
              <w:t> Post-Event Review Core Partner Interviews</w:t>
            </w:r>
          </w:p>
        </w:tc>
        <w:tc>
          <w:tcPr>
            <w:tcW w:w="1890" w:type="dxa"/>
            <w:tcBorders>
              <w:top w:val="nil"/>
              <w:left w:val="nil"/>
              <w:bottom w:val="single" w:sz="4" w:space="0" w:color="000000"/>
              <w:right w:val="single" w:sz="4" w:space="0" w:color="000000"/>
            </w:tcBorders>
            <w:shd w:val="clear" w:color="auto" w:fill="auto"/>
            <w:vAlign w:val="bottom"/>
          </w:tcPr>
          <w:p w:rsidR="00201FDB" w14:paraId="17EA7B4F" w14:textId="77777777">
            <w:pPr>
              <w:widowControl/>
              <w:jc w:val="center"/>
              <w:rPr>
                <w:rFonts w:ascii="Calibri" w:eastAsia="Calibri" w:hAnsi="Calibri" w:cs="Calibri"/>
                <w:color w:val="000000"/>
                <w:sz w:val="16"/>
                <w:szCs w:val="16"/>
              </w:rPr>
            </w:pPr>
            <w:r>
              <w:rPr>
                <w:rFonts w:ascii="Calibri" w:eastAsia="Calibri" w:hAnsi="Calibri" w:cs="Calibri"/>
                <w:sz w:val="16"/>
                <w:szCs w:val="16"/>
              </w:rPr>
              <w:t>NWS Stakeholders </w:t>
            </w:r>
          </w:p>
        </w:tc>
        <w:tc>
          <w:tcPr>
            <w:tcW w:w="1185" w:type="dxa"/>
            <w:tcBorders>
              <w:top w:val="nil"/>
              <w:left w:val="nil"/>
              <w:bottom w:val="single" w:sz="4" w:space="0" w:color="000000"/>
              <w:right w:val="single" w:sz="4" w:space="0" w:color="000000"/>
            </w:tcBorders>
            <w:shd w:val="clear" w:color="auto" w:fill="auto"/>
            <w:vAlign w:val="bottom"/>
          </w:tcPr>
          <w:p w:rsidR="00201FDB" w14:paraId="19893116" w14:textId="77777777">
            <w:pPr>
              <w:widowControl/>
              <w:jc w:val="center"/>
              <w:rPr>
                <w:rFonts w:ascii="Calibri" w:eastAsia="Calibri" w:hAnsi="Calibri" w:cs="Calibri"/>
                <w:color w:val="000000"/>
                <w:sz w:val="16"/>
                <w:szCs w:val="16"/>
              </w:rPr>
            </w:pPr>
            <w:r>
              <w:rPr>
                <w:rFonts w:ascii="Calibri" w:eastAsia="Calibri" w:hAnsi="Calibri" w:cs="Calibri"/>
                <w:sz w:val="16"/>
                <w:szCs w:val="16"/>
              </w:rPr>
              <w:t>400</w:t>
            </w:r>
          </w:p>
        </w:tc>
        <w:tc>
          <w:tcPr>
            <w:tcW w:w="1320" w:type="dxa"/>
            <w:tcBorders>
              <w:top w:val="nil"/>
              <w:left w:val="nil"/>
              <w:bottom w:val="single" w:sz="4" w:space="0" w:color="000000"/>
              <w:right w:val="single" w:sz="4" w:space="0" w:color="000000"/>
            </w:tcBorders>
            <w:shd w:val="clear" w:color="auto" w:fill="auto"/>
            <w:vAlign w:val="bottom"/>
          </w:tcPr>
          <w:p w:rsidR="00201FDB" w14:paraId="3F2CD2FD"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15" w:type="dxa"/>
            <w:tcBorders>
              <w:top w:val="nil"/>
              <w:left w:val="nil"/>
              <w:bottom w:val="single" w:sz="4" w:space="0" w:color="000000"/>
              <w:right w:val="single" w:sz="4" w:space="0" w:color="000000"/>
            </w:tcBorders>
            <w:shd w:val="clear" w:color="auto" w:fill="auto"/>
            <w:vAlign w:val="bottom"/>
          </w:tcPr>
          <w:p w:rsidR="00201FDB" w14:paraId="35A6FE04" w14:textId="77777777">
            <w:pPr>
              <w:widowControl/>
              <w:jc w:val="center"/>
              <w:rPr>
                <w:rFonts w:ascii="Calibri" w:eastAsia="Calibri" w:hAnsi="Calibri" w:cs="Calibri"/>
                <w:color w:val="000000"/>
                <w:sz w:val="16"/>
                <w:szCs w:val="16"/>
              </w:rPr>
            </w:pPr>
            <w:r>
              <w:rPr>
                <w:rFonts w:ascii="Calibri" w:eastAsia="Calibri" w:hAnsi="Calibri" w:cs="Calibri"/>
                <w:sz w:val="16"/>
                <w:szCs w:val="16"/>
              </w:rPr>
              <w:t>400</w:t>
            </w:r>
          </w:p>
        </w:tc>
        <w:tc>
          <w:tcPr>
            <w:tcW w:w="1080" w:type="dxa"/>
            <w:tcBorders>
              <w:top w:val="nil"/>
              <w:left w:val="nil"/>
              <w:bottom w:val="single" w:sz="4" w:space="0" w:color="000000"/>
              <w:right w:val="single" w:sz="4" w:space="0" w:color="000000"/>
            </w:tcBorders>
            <w:shd w:val="clear" w:color="auto" w:fill="auto"/>
            <w:vAlign w:val="bottom"/>
          </w:tcPr>
          <w:p w:rsidR="00201FDB" w14:paraId="626BAB94" w14:textId="77777777">
            <w:pPr>
              <w:widowControl/>
              <w:jc w:val="center"/>
              <w:rPr>
                <w:rFonts w:ascii="Calibri" w:eastAsia="Calibri" w:hAnsi="Calibri" w:cs="Calibri"/>
                <w:color w:val="000000"/>
                <w:sz w:val="16"/>
                <w:szCs w:val="16"/>
              </w:rPr>
            </w:pPr>
            <w:r>
              <w:rPr>
                <w:rFonts w:ascii="Calibri" w:eastAsia="Calibri" w:hAnsi="Calibri" w:cs="Calibri"/>
                <w:sz w:val="16"/>
                <w:szCs w:val="16"/>
              </w:rPr>
              <w:t>120 min</w:t>
            </w:r>
          </w:p>
        </w:tc>
        <w:tc>
          <w:tcPr>
            <w:tcW w:w="1185" w:type="dxa"/>
            <w:tcBorders>
              <w:top w:val="nil"/>
              <w:left w:val="nil"/>
              <w:bottom w:val="single" w:sz="4" w:space="0" w:color="000000"/>
              <w:right w:val="single" w:sz="4" w:space="0" w:color="000000"/>
            </w:tcBorders>
            <w:shd w:val="clear" w:color="auto" w:fill="auto"/>
            <w:vAlign w:val="bottom"/>
          </w:tcPr>
          <w:p w:rsidR="00201FDB" w14:paraId="57A23B95" w14:textId="77777777">
            <w:pPr>
              <w:widowControl/>
              <w:jc w:val="center"/>
              <w:rPr>
                <w:rFonts w:ascii="Calibri" w:eastAsia="Calibri" w:hAnsi="Calibri" w:cs="Calibri"/>
                <w:color w:val="000000"/>
                <w:sz w:val="16"/>
                <w:szCs w:val="16"/>
              </w:rPr>
            </w:pPr>
            <w:r>
              <w:rPr>
                <w:rFonts w:ascii="Calibri" w:eastAsia="Calibri" w:hAnsi="Calibri" w:cs="Calibri"/>
                <w:sz w:val="16"/>
                <w:szCs w:val="16"/>
              </w:rPr>
              <w:t>800 hours</w:t>
            </w:r>
          </w:p>
        </w:tc>
        <w:tc>
          <w:tcPr>
            <w:tcW w:w="1440" w:type="dxa"/>
            <w:tcBorders>
              <w:top w:val="nil"/>
              <w:left w:val="nil"/>
              <w:bottom w:val="single" w:sz="4" w:space="0" w:color="000000"/>
              <w:right w:val="single" w:sz="4" w:space="0" w:color="000000"/>
            </w:tcBorders>
            <w:shd w:val="clear" w:color="auto" w:fill="auto"/>
            <w:vAlign w:val="bottom"/>
          </w:tcPr>
          <w:p w:rsidR="00201FDB" w14:paraId="05D4B5C6" w14:textId="77777777">
            <w:pPr>
              <w:widowControl/>
              <w:jc w:val="center"/>
              <w:rPr>
                <w:rFonts w:ascii="Calibri" w:eastAsia="Calibri" w:hAnsi="Calibri" w:cs="Calibri"/>
                <w:sz w:val="16"/>
                <w:szCs w:val="16"/>
              </w:rPr>
            </w:pPr>
            <w:r>
              <w:rPr>
                <w:rFonts w:ascii="Calibri" w:eastAsia="Calibri" w:hAnsi="Calibri" w:cs="Calibri"/>
                <w:sz w:val="16"/>
                <w:szCs w:val="16"/>
              </w:rPr>
              <w:t>$46.97</w:t>
            </w:r>
          </w:p>
        </w:tc>
        <w:tc>
          <w:tcPr>
            <w:tcW w:w="1590" w:type="dxa"/>
            <w:tcBorders>
              <w:top w:val="nil"/>
              <w:left w:val="nil"/>
              <w:bottom w:val="single" w:sz="4" w:space="0" w:color="000000"/>
              <w:right w:val="single" w:sz="8" w:space="0" w:color="000000"/>
            </w:tcBorders>
            <w:shd w:val="clear" w:color="auto" w:fill="auto"/>
            <w:vAlign w:val="bottom"/>
          </w:tcPr>
          <w:p w:rsidR="00201FDB" w14:paraId="4C4E1CF5" w14:textId="77777777">
            <w:pPr>
              <w:widowControl/>
              <w:jc w:val="center"/>
              <w:rPr>
                <w:rFonts w:ascii="Calibri" w:eastAsia="Calibri" w:hAnsi="Calibri" w:cs="Calibri"/>
                <w:color w:val="000000"/>
                <w:sz w:val="16"/>
                <w:szCs w:val="16"/>
              </w:rPr>
            </w:pPr>
            <w:r>
              <w:rPr>
                <w:rFonts w:ascii="Calibri" w:eastAsia="Calibri" w:hAnsi="Calibri" w:cs="Calibri"/>
                <w:sz w:val="16"/>
                <w:szCs w:val="16"/>
              </w:rPr>
              <w:t>$37,576</w:t>
            </w:r>
          </w:p>
        </w:tc>
      </w:tr>
      <w:tr w14:paraId="52038396"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5209BF8F" w14:textId="77777777">
            <w:pPr>
              <w:widowControl/>
              <w:rPr>
                <w:rFonts w:ascii="Calibri" w:eastAsia="Calibri" w:hAnsi="Calibri" w:cs="Calibri"/>
                <w:color w:val="000000"/>
                <w:sz w:val="16"/>
                <w:szCs w:val="16"/>
              </w:rPr>
            </w:pPr>
            <w:r>
              <w:rPr>
                <w:rFonts w:ascii="Calibri" w:eastAsia="Calibri" w:hAnsi="Calibri" w:cs="Calibri"/>
                <w:sz w:val="16"/>
                <w:szCs w:val="16"/>
              </w:rPr>
              <w:t>Post-Event Review Community Focus Groups</w:t>
            </w:r>
          </w:p>
        </w:tc>
        <w:tc>
          <w:tcPr>
            <w:tcW w:w="1890" w:type="dxa"/>
            <w:tcBorders>
              <w:top w:val="nil"/>
              <w:left w:val="nil"/>
              <w:bottom w:val="single" w:sz="4" w:space="0" w:color="000000"/>
              <w:right w:val="single" w:sz="4" w:space="0" w:color="000000"/>
            </w:tcBorders>
            <w:shd w:val="clear" w:color="auto" w:fill="auto"/>
            <w:vAlign w:val="bottom"/>
          </w:tcPr>
          <w:p w:rsidR="00201FDB" w14:paraId="5B06B461" w14:textId="77777777">
            <w:pPr>
              <w:widowControl/>
              <w:jc w:val="center"/>
              <w:rPr>
                <w:rFonts w:ascii="Calibri" w:eastAsia="Calibri" w:hAnsi="Calibri" w:cs="Calibri"/>
                <w:color w:val="000000"/>
                <w:sz w:val="16"/>
                <w:szCs w:val="16"/>
              </w:rPr>
            </w:pPr>
            <w:r>
              <w:rPr>
                <w:rFonts w:ascii="Calibri" w:eastAsia="Calibri" w:hAnsi="Calibri" w:cs="Calibri"/>
                <w:sz w:val="16"/>
                <w:szCs w:val="16"/>
              </w:rPr>
              <w:t> NWS Customers</w:t>
            </w:r>
          </w:p>
        </w:tc>
        <w:tc>
          <w:tcPr>
            <w:tcW w:w="1185" w:type="dxa"/>
            <w:tcBorders>
              <w:top w:val="nil"/>
              <w:left w:val="nil"/>
              <w:bottom w:val="single" w:sz="4" w:space="0" w:color="000000"/>
              <w:right w:val="single" w:sz="4" w:space="0" w:color="000000"/>
            </w:tcBorders>
            <w:shd w:val="clear" w:color="auto" w:fill="auto"/>
            <w:vAlign w:val="bottom"/>
          </w:tcPr>
          <w:p w:rsidR="00201FDB" w14:paraId="2B42C881" w14:textId="77777777">
            <w:pPr>
              <w:widowControl/>
              <w:jc w:val="center"/>
              <w:rPr>
                <w:rFonts w:ascii="Calibri" w:eastAsia="Calibri" w:hAnsi="Calibri" w:cs="Calibri"/>
                <w:color w:val="000000"/>
                <w:sz w:val="16"/>
                <w:szCs w:val="16"/>
              </w:rPr>
            </w:pPr>
            <w:r>
              <w:rPr>
                <w:rFonts w:ascii="Calibri" w:eastAsia="Calibri" w:hAnsi="Calibri" w:cs="Calibri"/>
                <w:sz w:val="16"/>
                <w:szCs w:val="16"/>
              </w:rPr>
              <w:t>200</w:t>
            </w:r>
          </w:p>
        </w:tc>
        <w:tc>
          <w:tcPr>
            <w:tcW w:w="1320" w:type="dxa"/>
            <w:tcBorders>
              <w:top w:val="nil"/>
              <w:left w:val="nil"/>
              <w:bottom w:val="single" w:sz="4" w:space="0" w:color="000000"/>
              <w:right w:val="single" w:sz="4" w:space="0" w:color="000000"/>
            </w:tcBorders>
            <w:shd w:val="clear" w:color="auto" w:fill="auto"/>
            <w:vAlign w:val="bottom"/>
          </w:tcPr>
          <w:p w:rsidR="00201FDB" w14:paraId="3C12B97B"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15" w:type="dxa"/>
            <w:tcBorders>
              <w:top w:val="nil"/>
              <w:left w:val="nil"/>
              <w:bottom w:val="single" w:sz="4" w:space="0" w:color="000000"/>
              <w:right w:val="single" w:sz="4" w:space="0" w:color="000000"/>
            </w:tcBorders>
            <w:shd w:val="clear" w:color="auto" w:fill="auto"/>
            <w:vAlign w:val="bottom"/>
          </w:tcPr>
          <w:p w:rsidR="00201FDB" w14:paraId="35627B80" w14:textId="77777777">
            <w:pPr>
              <w:widowControl/>
              <w:jc w:val="center"/>
              <w:rPr>
                <w:rFonts w:ascii="Calibri" w:eastAsia="Calibri" w:hAnsi="Calibri" w:cs="Calibri"/>
                <w:color w:val="000000"/>
                <w:sz w:val="16"/>
                <w:szCs w:val="16"/>
              </w:rPr>
            </w:pPr>
            <w:r>
              <w:rPr>
                <w:rFonts w:ascii="Calibri" w:eastAsia="Calibri" w:hAnsi="Calibri" w:cs="Calibri"/>
                <w:sz w:val="16"/>
                <w:szCs w:val="16"/>
              </w:rPr>
              <w:t>200</w:t>
            </w:r>
          </w:p>
        </w:tc>
        <w:tc>
          <w:tcPr>
            <w:tcW w:w="1080" w:type="dxa"/>
            <w:tcBorders>
              <w:top w:val="nil"/>
              <w:left w:val="nil"/>
              <w:bottom w:val="single" w:sz="4" w:space="0" w:color="000000"/>
              <w:right w:val="single" w:sz="4" w:space="0" w:color="000000"/>
            </w:tcBorders>
            <w:shd w:val="clear" w:color="auto" w:fill="auto"/>
            <w:vAlign w:val="bottom"/>
          </w:tcPr>
          <w:p w:rsidR="00201FDB" w14:paraId="1E28B2D9" w14:textId="77777777">
            <w:pPr>
              <w:widowControl/>
              <w:jc w:val="center"/>
              <w:rPr>
                <w:rFonts w:ascii="Calibri" w:eastAsia="Calibri" w:hAnsi="Calibri" w:cs="Calibri"/>
                <w:color w:val="000000"/>
                <w:sz w:val="16"/>
                <w:szCs w:val="16"/>
              </w:rPr>
            </w:pPr>
            <w:r>
              <w:rPr>
                <w:rFonts w:ascii="Calibri" w:eastAsia="Calibri" w:hAnsi="Calibri" w:cs="Calibri"/>
                <w:sz w:val="16"/>
                <w:szCs w:val="16"/>
              </w:rPr>
              <w:t>90 min</w:t>
            </w:r>
          </w:p>
        </w:tc>
        <w:tc>
          <w:tcPr>
            <w:tcW w:w="1185" w:type="dxa"/>
            <w:tcBorders>
              <w:top w:val="nil"/>
              <w:left w:val="nil"/>
              <w:bottom w:val="single" w:sz="4" w:space="0" w:color="000000"/>
              <w:right w:val="single" w:sz="4" w:space="0" w:color="000000"/>
            </w:tcBorders>
            <w:shd w:val="clear" w:color="auto" w:fill="auto"/>
            <w:vAlign w:val="bottom"/>
          </w:tcPr>
          <w:p w:rsidR="00201FDB" w14:paraId="1A61DE0A" w14:textId="77777777">
            <w:pPr>
              <w:widowControl/>
              <w:jc w:val="center"/>
              <w:rPr>
                <w:rFonts w:ascii="Calibri" w:eastAsia="Calibri" w:hAnsi="Calibri" w:cs="Calibri"/>
                <w:color w:val="000000"/>
                <w:sz w:val="16"/>
                <w:szCs w:val="16"/>
              </w:rPr>
            </w:pPr>
            <w:r>
              <w:rPr>
                <w:rFonts w:ascii="Calibri" w:eastAsia="Calibri" w:hAnsi="Calibri" w:cs="Calibri"/>
                <w:sz w:val="16"/>
                <w:szCs w:val="16"/>
              </w:rPr>
              <w:t>300 hours</w:t>
            </w:r>
          </w:p>
        </w:tc>
        <w:tc>
          <w:tcPr>
            <w:tcW w:w="1440" w:type="dxa"/>
            <w:tcBorders>
              <w:top w:val="nil"/>
              <w:left w:val="nil"/>
              <w:bottom w:val="single" w:sz="4" w:space="0" w:color="000000"/>
              <w:right w:val="single" w:sz="4" w:space="0" w:color="000000"/>
            </w:tcBorders>
            <w:shd w:val="clear" w:color="auto" w:fill="auto"/>
            <w:vAlign w:val="bottom"/>
          </w:tcPr>
          <w:p w:rsidR="00201FDB" w14:paraId="378FE9BE" w14:textId="77777777">
            <w:pPr>
              <w:widowControl/>
              <w:jc w:val="center"/>
              <w:rPr>
                <w:rFonts w:ascii="Calibri" w:eastAsia="Calibri" w:hAnsi="Calibri" w:cs="Calibri"/>
                <w:sz w:val="16"/>
                <w:szCs w:val="16"/>
              </w:rPr>
            </w:pPr>
            <w:r>
              <w:rPr>
                <w:rFonts w:ascii="Calibri" w:eastAsia="Calibri" w:hAnsi="Calibri" w:cs="Calibri"/>
                <w:sz w:val="16"/>
                <w:szCs w:val="16"/>
              </w:rPr>
              <w:t>$48.05</w:t>
            </w:r>
          </w:p>
        </w:tc>
        <w:tc>
          <w:tcPr>
            <w:tcW w:w="1590" w:type="dxa"/>
            <w:tcBorders>
              <w:top w:val="nil"/>
              <w:left w:val="nil"/>
              <w:bottom w:val="single" w:sz="4" w:space="0" w:color="000000"/>
              <w:right w:val="single" w:sz="8" w:space="0" w:color="000000"/>
            </w:tcBorders>
            <w:shd w:val="clear" w:color="auto" w:fill="auto"/>
            <w:vAlign w:val="bottom"/>
          </w:tcPr>
          <w:p w:rsidR="00201FDB" w14:paraId="2706FC23" w14:textId="77777777">
            <w:pPr>
              <w:widowControl/>
              <w:jc w:val="center"/>
              <w:rPr>
                <w:rFonts w:ascii="Calibri" w:eastAsia="Calibri" w:hAnsi="Calibri" w:cs="Calibri"/>
                <w:color w:val="000000"/>
                <w:sz w:val="16"/>
                <w:szCs w:val="16"/>
              </w:rPr>
            </w:pPr>
            <w:r>
              <w:rPr>
                <w:rFonts w:ascii="Calibri" w:eastAsia="Calibri" w:hAnsi="Calibri" w:cs="Calibri"/>
                <w:sz w:val="16"/>
                <w:szCs w:val="16"/>
              </w:rPr>
              <w:t>$14,415</w:t>
            </w:r>
          </w:p>
        </w:tc>
      </w:tr>
      <w:tr w14:paraId="11880575" w14:textId="77777777">
        <w:tblPrEx>
          <w:tblW w:w="14415" w:type="dxa"/>
          <w:tblInd w:w="-140" w:type="dxa"/>
          <w:tblLayout w:type="fixed"/>
          <w:tblLook w:val="0400"/>
        </w:tblPrEx>
        <w:trPr>
          <w:trHeight w:val="300"/>
        </w:trPr>
        <w:tc>
          <w:tcPr>
            <w:tcW w:w="3510" w:type="dxa"/>
            <w:tcBorders>
              <w:top w:val="nil"/>
              <w:left w:val="single" w:sz="8" w:space="0" w:color="000000"/>
              <w:bottom w:val="single" w:sz="4" w:space="0" w:color="000000"/>
              <w:right w:val="single" w:sz="4" w:space="0" w:color="000000"/>
            </w:tcBorders>
            <w:shd w:val="clear" w:color="auto" w:fill="auto"/>
            <w:vAlign w:val="bottom"/>
          </w:tcPr>
          <w:p w:rsidR="00201FDB" w14:paraId="6BDBE629" w14:textId="77777777">
            <w:pPr>
              <w:widowControl/>
              <w:rPr>
                <w:rFonts w:ascii="Calibri" w:eastAsia="Calibri" w:hAnsi="Calibri" w:cs="Calibri"/>
                <w:sz w:val="16"/>
                <w:szCs w:val="16"/>
              </w:rPr>
            </w:pPr>
            <w:r>
              <w:rPr>
                <w:rFonts w:ascii="Calibri" w:eastAsia="Calibri" w:hAnsi="Calibri" w:cs="Calibri"/>
                <w:sz w:val="16"/>
                <w:szCs w:val="16"/>
              </w:rPr>
              <w:t>Post-Event Review Stakeholder Focus Groups</w:t>
            </w:r>
          </w:p>
        </w:tc>
        <w:tc>
          <w:tcPr>
            <w:tcW w:w="1890" w:type="dxa"/>
            <w:tcBorders>
              <w:top w:val="nil"/>
              <w:left w:val="nil"/>
              <w:bottom w:val="single" w:sz="4" w:space="0" w:color="000000"/>
              <w:right w:val="single" w:sz="4" w:space="0" w:color="000000"/>
            </w:tcBorders>
            <w:shd w:val="clear" w:color="auto" w:fill="auto"/>
            <w:vAlign w:val="bottom"/>
          </w:tcPr>
          <w:p w:rsidR="00201FDB" w14:paraId="6E199679" w14:textId="77777777">
            <w:pPr>
              <w:widowControl/>
              <w:jc w:val="center"/>
              <w:rPr>
                <w:rFonts w:ascii="Calibri" w:eastAsia="Calibri" w:hAnsi="Calibri" w:cs="Calibri"/>
                <w:sz w:val="16"/>
                <w:szCs w:val="16"/>
              </w:rPr>
            </w:pPr>
            <w:r>
              <w:rPr>
                <w:rFonts w:ascii="Calibri" w:eastAsia="Calibri" w:hAnsi="Calibri" w:cs="Calibri"/>
                <w:sz w:val="16"/>
                <w:szCs w:val="16"/>
              </w:rPr>
              <w:t>NWS Stakeholders</w:t>
            </w:r>
          </w:p>
        </w:tc>
        <w:tc>
          <w:tcPr>
            <w:tcW w:w="1185" w:type="dxa"/>
            <w:tcBorders>
              <w:top w:val="nil"/>
              <w:left w:val="nil"/>
              <w:bottom w:val="single" w:sz="4" w:space="0" w:color="000000"/>
              <w:right w:val="single" w:sz="4" w:space="0" w:color="000000"/>
            </w:tcBorders>
            <w:shd w:val="clear" w:color="auto" w:fill="auto"/>
            <w:vAlign w:val="bottom"/>
          </w:tcPr>
          <w:p w:rsidR="00201FDB" w14:paraId="66AE893B" w14:textId="77777777">
            <w:pPr>
              <w:widowControl/>
              <w:jc w:val="center"/>
              <w:rPr>
                <w:rFonts w:ascii="Calibri" w:eastAsia="Calibri" w:hAnsi="Calibri" w:cs="Calibri"/>
                <w:sz w:val="16"/>
                <w:szCs w:val="16"/>
              </w:rPr>
            </w:pPr>
            <w:r>
              <w:rPr>
                <w:rFonts w:ascii="Calibri" w:eastAsia="Calibri" w:hAnsi="Calibri" w:cs="Calibri"/>
                <w:sz w:val="16"/>
                <w:szCs w:val="16"/>
              </w:rPr>
              <w:t>200</w:t>
            </w:r>
          </w:p>
        </w:tc>
        <w:tc>
          <w:tcPr>
            <w:tcW w:w="1320" w:type="dxa"/>
            <w:tcBorders>
              <w:top w:val="nil"/>
              <w:left w:val="nil"/>
              <w:bottom w:val="single" w:sz="4" w:space="0" w:color="000000"/>
              <w:right w:val="single" w:sz="4" w:space="0" w:color="000000"/>
            </w:tcBorders>
            <w:shd w:val="clear" w:color="auto" w:fill="auto"/>
            <w:vAlign w:val="bottom"/>
          </w:tcPr>
          <w:p w:rsidR="00201FDB" w14:paraId="50D37E37" w14:textId="77777777">
            <w:pPr>
              <w:widowControl/>
              <w:jc w:val="center"/>
              <w:rPr>
                <w:rFonts w:ascii="Calibri" w:eastAsia="Calibri" w:hAnsi="Calibri" w:cs="Calibri"/>
                <w:sz w:val="16"/>
                <w:szCs w:val="16"/>
              </w:rPr>
            </w:pPr>
            <w:r>
              <w:rPr>
                <w:rFonts w:ascii="Calibri" w:eastAsia="Calibri" w:hAnsi="Calibri" w:cs="Calibri"/>
                <w:sz w:val="16"/>
                <w:szCs w:val="16"/>
              </w:rPr>
              <w:t>1</w:t>
            </w:r>
          </w:p>
        </w:tc>
        <w:tc>
          <w:tcPr>
            <w:tcW w:w="1215" w:type="dxa"/>
            <w:tcBorders>
              <w:top w:val="nil"/>
              <w:left w:val="nil"/>
              <w:bottom w:val="single" w:sz="4" w:space="0" w:color="000000"/>
              <w:right w:val="single" w:sz="4" w:space="0" w:color="000000"/>
            </w:tcBorders>
            <w:shd w:val="clear" w:color="auto" w:fill="auto"/>
            <w:vAlign w:val="bottom"/>
          </w:tcPr>
          <w:p w:rsidR="00201FDB" w14:paraId="5C9DDF64" w14:textId="77777777">
            <w:pPr>
              <w:widowControl/>
              <w:jc w:val="center"/>
              <w:rPr>
                <w:rFonts w:ascii="Calibri" w:eastAsia="Calibri" w:hAnsi="Calibri" w:cs="Calibri"/>
                <w:sz w:val="16"/>
                <w:szCs w:val="16"/>
              </w:rPr>
            </w:pPr>
            <w:r>
              <w:rPr>
                <w:rFonts w:ascii="Calibri" w:eastAsia="Calibri" w:hAnsi="Calibri" w:cs="Calibri"/>
                <w:sz w:val="16"/>
                <w:szCs w:val="16"/>
              </w:rPr>
              <w:t>200</w:t>
            </w:r>
          </w:p>
        </w:tc>
        <w:tc>
          <w:tcPr>
            <w:tcW w:w="1080" w:type="dxa"/>
            <w:tcBorders>
              <w:top w:val="nil"/>
              <w:left w:val="nil"/>
              <w:bottom w:val="single" w:sz="4" w:space="0" w:color="000000"/>
              <w:right w:val="single" w:sz="4" w:space="0" w:color="000000"/>
            </w:tcBorders>
            <w:shd w:val="clear" w:color="auto" w:fill="auto"/>
            <w:vAlign w:val="bottom"/>
          </w:tcPr>
          <w:p w:rsidR="00201FDB" w14:paraId="2F8FF03F" w14:textId="77777777">
            <w:pPr>
              <w:widowControl/>
              <w:jc w:val="center"/>
              <w:rPr>
                <w:rFonts w:ascii="Calibri" w:eastAsia="Calibri" w:hAnsi="Calibri" w:cs="Calibri"/>
                <w:sz w:val="16"/>
                <w:szCs w:val="16"/>
              </w:rPr>
            </w:pPr>
            <w:r>
              <w:rPr>
                <w:rFonts w:ascii="Calibri" w:eastAsia="Calibri" w:hAnsi="Calibri" w:cs="Calibri"/>
                <w:sz w:val="16"/>
                <w:szCs w:val="16"/>
              </w:rPr>
              <w:t>120 min</w:t>
            </w:r>
          </w:p>
        </w:tc>
        <w:tc>
          <w:tcPr>
            <w:tcW w:w="1185" w:type="dxa"/>
            <w:tcBorders>
              <w:top w:val="nil"/>
              <w:left w:val="nil"/>
              <w:bottom w:val="single" w:sz="4" w:space="0" w:color="000000"/>
              <w:right w:val="single" w:sz="4" w:space="0" w:color="000000"/>
            </w:tcBorders>
            <w:shd w:val="clear" w:color="auto" w:fill="auto"/>
            <w:vAlign w:val="bottom"/>
          </w:tcPr>
          <w:p w:rsidR="00201FDB" w14:paraId="40007076" w14:textId="77777777">
            <w:pPr>
              <w:widowControl/>
              <w:jc w:val="center"/>
              <w:rPr>
                <w:rFonts w:ascii="Calibri" w:eastAsia="Calibri" w:hAnsi="Calibri" w:cs="Calibri"/>
                <w:sz w:val="16"/>
                <w:szCs w:val="16"/>
              </w:rPr>
            </w:pPr>
            <w:r>
              <w:rPr>
                <w:rFonts w:ascii="Calibri" w:eastAsia="Calibri" w:hAnsi="Calibri" w:cs="Calibri"/>
                <w:sz w:val="16"/>
                <w:szCs w:val="16"/>
              </w:rPr>
              <w:t>400 hours</w:t>
            </w:r>
          </w:p>
        </w:tc>
        <w:tc>
          <w:tcPr>
            <w:tcW w:w="1440" w:type="dxa"/>
            <w:tcBorders>
              <w:top w:val="nil"/>
              <w:left w:val="nil"/>
              <w:bottom w:val="single" w:sz="4" w:space="0" w:color="000000"/>
              <w:right w:val="single" w:sz="4" w:space="0" w:color="000000"/>
            </w:tcBorders>
            <w:shd w:val="clear" w:color="auto" w:fill="auto"/>
            <w:vAlign w:val="bottom"/>
          </w:tcPr>
          <w:p w:rsidR="00201FDB" w14:paraId="6BE734F5" w14:textId="77777777">
            <w:pPr>
              <w:widowControl/>
              <w:jc w:val="center"/>
              <w:rPr>
                <w:rFonts w:ascii="Calibri" w:eastAsia="Calibri" w:hAnsi="Calibri" w:cs="Calibri"/>
                <w:sz w:val="16"/>
                <w:szCs w:val="16"/>
              </w:rPr>
            </w:pPr>
            <w:r>
              <w:rPr>
                <w:rFonts w:ascii="Calibri" w:eastAsia="Calibri" w:hAnsi="Calibri" w:cs="Calibri"/>
                <w:sz w:val="16"/>
                <w:szCs w:val="16"/>
              </w:rPr>
              <w:t>$46.97</w:t>
            </w:r>
          </w:p>
        </w:tc>
        <w:tc>
          <w:tcPr>
            <w:tcW w:w="1590" w:type="dxa"/>
            <w:tcBorders>
              <w:top w:val="nil"/>
              <w:left w:val="nil"/>
              <w:bottom w:val="single" w:sz="4" w:space="0" w:color="000000"/>
              <w:right w:val="single" w:sz="8" w:space="0" w:color="000000"/>
            </w:tcBorders>
            <w:shd w:val="clear" w:color="auto" w:fill="auto"/>
            <w:vAlign w:val="bottom"/>
          </w:tcPr>
          <w:p w:rsidR="00201FDB" w14:paraId="1FE78FE5" w14:textId="77777777">
            <w:pPr>
              <w:widowControl/>
              <w:jc w:val="center"/>
              <w:rPr>
                <w:rFonts w:ascii="Calibri" w:eastAsia="Calibri" w:hAnsi="Calibri" w:cs="Calibri"/>
                <w:color w:val="000000"/>
                <w:sz w:val="16"/>
                <w:szCs w:val="16"/>
              </w:rPr>
            </w:pPr>
            <w:r>
              <w:rPr>
                <w:rFonts w:ascii="Calibri" w:eastAsia="Calibri" w:hAnsi="Calibri" w:cs="Calibri"/>
                <w:sz w:val="16"/>
                <w:szCs w:val="16"/>
              </w:rPr>
              <w:t>$18,788</w:t>
            </w:r>
          </w:p>
        </w:tc>
      </w:tr>
      <w:tr w14:paraId="5D556D03" w14:textId="77777777">
        <w:tblPrEx>
          <w:tblW w:w="14415" w:type="dxa"/>
          <w:tblInd w:w="-140" w:type="dxa"/>
          <w:tblLayout w:type="fixed"/>
          <w:tblLook w:val="0400"/>
        </w:tblPrEx>
        <w:trPr>
          <w:trHeight w:val="615"/>
        </w:trPr>
        <w:tc>
          <w:tcPr>
            <w:tcW w:w="3510" w:type="dxa"/>
            <w:tcBorders>
              <w:top w:val="nil"/>
              <w:left w:val="single" w:sz="8" w:space="0" w:color="000000"/>
              <w:bottom w:val="single" w:sz="8" w:space="0" w:color="000000"/>
              <w:right w:val="single" w:sz="8" w:space="0" w:color="000000"/>
            </w:tcBorders>
            <w:shd w:val="clear" w:color="auto" w:fill="DDEBF7"/>
            <w:vAlign w:val="bottom"/>
          </w:tcPr>
          <w:p w:rsidR="00201FDB" w14:paraId="2A461500" w14:textId="77777777">
            <w:pPr>
              <w:widowControl/>
              <w:rPr>
                <w:rFonts w:ascii="Calibri" w:eastAsia="Calibri" w:hAnsi="Calibri" w:cs="Calibri"/>
                <w:b/>
                <w:bCs/>
                <w:color w:val="000000"/>
              </w:rPr>
            </w:pPr>
            <w:r>
              <w:rPr>
                <w:rFonts w:ascii="Calibri" w:eastAsia="Calibri" w:hAnsi="Calibri" w:cs="Calibri"/>
                <w:b/>
                <w:bCs/>
                <w:color w:val="000000"/>
              </w:rPr>
              <w:t>Totals</w:t>
            </w:r>
          </w:p>
        </w:tc>
        <w:tc>
          <w:tcPr>
            <w:tcW w:w="1890" w:type="dxa"/>
            <w:tcBorders>
              <w:top w:val="nil"/>
              <w:left w:val="nil"/>
              <w:bottom w:val="single" w:sz="8" w:space="0" w:color="000000"/>
              <w:right w:val="single" w:sz="8" w:space="0" w:color="000000"/>
            </w:tcBorders>
            <w:shd w:val="clear" w:color="auto" w:fill="000000"/>
            <w:vAlign w:val="bottom"/>
          </w:tcPr>
          <w:p w:rsidR="00201FDB" w14:paraId="5DA05D04"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185" w:type="dxa"/>
            <w:tcBorders>
              <w:top w:val="nil"/>
              <w:left w:val="nil"/>
              <w:bottom w:val="single" w:sz="8" w:space="0" w:color="000000"/>
              <w:right w:val="single" w:sz="8" w:space="0" w:color="000000"/>
            </w:tcBorders>
            <w:shd w:val="clear" w:color="auto" w:fill="000000"/>
            <w:vAlign w:val="bottom"/>
          </w:tcPr>
          <w:p w:rsidR="00201FDB" w14:paraId="6C1D4F3F"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320" w:type="dxa"/>
            <w:tcBorders>
              <w:top w:val="nil"/>
              <w:left w:val="nil"/>
              <w:bottom w:val="single" w:sz="8" w:space="0" w:color="000000"/>
              <w:right w:val="single" w:sz="8" w:space="0" w:color="000000"/>
            </w:tcBorders>
            <w:shd w:val="clear" w:color="auto" w:fill="000000"/>
            <w:vAlign w:val="bottom"/>
          </w:tcPr>
          <w:p w:rsidR="00201FDB" w14:paraId="3B761A33"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215" w:type="dxa"/>
            <w:tcBorders>
              <w:top w:val="nil"/>
              <w:left w:val="nil"/>
              <w:bottom w:val="single" w:sz="8" w:space="0" w:color="000000"/>
              <w:right w:val="single" w:sz="8" w:space="0" w:color="000000"/>
            </w:tcBorders>
            <w:shd w:val="clear" w:color="auto" w:fill="DDEBF7"/>
            <w:vAlign w:val="bottom"/>
          </w:tcPr>
          <w:p w:rsidR="00201FDB" w14:paraId="3CD7E92C" w14:textId="77777777">
            <w:pPr>
              <w:widowControl/>
              <w:rPr>
                <w:rFonts w:ascii="Calibri" w:eastAsia="Calibri" w:hAnsi="Calibri" w:cs="Calibri"/>
                <w:b/>
                <w:bCs/>
                <w:color w:val="000000"/>
              </w:rPr>
            </w:pPr>
            <w:r>
              <w:rPr>
                <w:rFonts w:ascii="Calibri" w:eastAsia="Calibri" w:hAnsi="Calibri" w:cs="Calibri"/>
                <w:b/>
                <w:bCs/>
                <w:color w:val="000000"/>
              </w:rPr>
              <w:t> 3,200</w:t>
            </w:r>
          </w:p>
        </w:tc>
        <w:tc>
          <w:tcPr>
            <w:tcW w:w="1080" w:type="dxa"/>
            <w:tcBorders>
              <w:top w:val="nil"/>
              <w:left w:val="nil"/>
              <w:bottom w:val="single" w:sz="8" w:space="0" w:color="000000"/>
              <w:right w:val="single" w:sz="8" w:space="0" w:color="000000"/>
            </w:tcBorders>
            <w:shd w:val="clear" w:color="auto" w:fill="000000"/>
            <w:vAlign w:val="bottom"/>
          </w:tcPr>
          <w:p w:rsidR="00201FDB" w14:paraId="4219243C"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185" w:type="dxa"/>
            <w:tcBorders>
              <w:top w:val="nil"/>
              <w:left w:val="nil"/>
              <w:bottom w:val="single" w:sz="8" w:space="0" w:color="000000"/>
              <w:right w:val="single" w:sz="8" w:space="0" w:color="000000"/>
            </w:tcBorders>
            <w:shd w:val="clear" w:color="auto" w:fill="DDEBF7"/>
            <w:vAlign w:val="bottom"/>
          </w:tcPr>
          <w:p w:rsidR="00201FDB" w14:paraId="598FF72C" w14:textId="77777777">
            <w:pPr>
              <w:widowControl/>
              <w:rPr>
                <w:rFonts w:ascii="Calibri" w:eastAsia="Calibri" w:hAnsi="Calibri" w:cs="Calibri"/>
                <w:b/>
                <w:bCs/>
                <w:color w:val="000000"/>
              </w:rPr>
            </w:pPr>
            <w:r>
              <w:rPr>
                <w:rFonts w:ascii="Calibri" w:eastAsia="Calibri" w:hAnsi="Calibri" w:cs="Calibri"/>
                <w:b/>
                <w:bCs/>
                <w:color w:val="000000"/>
              </w:rPr>
              <w:t> 2,517</w:t>
            </w:r>
          </w:p>
        </w:tc>
        <w:tc>
          <w:tcPr>
            <w:tcW w:w="1440" w:type="dxa"/>
            <w:tcBorders>
              <w:top w:val="nil"/>
              <w:left w:val="nil"/>
              <w:bottom w:val="single" w:sz="8" w:space="0" w:color="000000"/>
              <w:right w:val="single" w:sz="8" w:space="0" w:color="000000"/>
            </w:tcBorders>
            <w:shd w:val="clear" w:color="auto" w:fill="000000"/>
            <w:vAlign w:val="bottom"/>
          </w:tcPr>
          <w:p w:rsidR="00201FDB" w14:paraId="030A49F9"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590" w:type="dxa"/>
            <w:tcBorders>
              <w:top w:val="nil"/>
              <w:left w:val="nil"/>
              <w:bottom w:val="single" w:sz="8" w:space="0" w:color="000000"/>
              <w:right w:val="single" w:sz="8" w:space="0" w:color="000000"/>
            </w:tcBorders>
            <w:shd w:val="clear" w:color="auto" w:fill="DDEBF7"/>
            <w:vAlign w:val="bottom"/>
          </w:tcPr>
          <w:p w:rsidR="00201FDB" w14:paraId="3CC49A04" w14:textId="77777777">
            <w:pPr>
              <w:widowControl/>
              <w:rPr>
                <w:rFonts w:ascii="Calibri" w:eastAsia="Calibri" w:hAnsi="Calibri" w:cs="Calibri"/>
                <w:b/>
                <w:bCs/>
                <w:color w:val="000000"/>
              </w:rPr>
            </w:pPr>
            <w:r>
              <w:rPr>
                <w:rFonts w:ascii="Calibri" w:eastAsia="Calibri" w:hAnsi="Calibri" w:cs="Calibri"/>
                <w:b/>
                <w:bCs/>
                <w:color w:val="000000"/>
              </w:rPr>
              <w:t> $119,375.85</w:t>
            </w:r>
          </w:p>
        </w:tc>
      </w:tr>
    </w:tbl>
    <w:p w:rsidR="00201FDB" w14:paraId="3143E99A" w14:textId="77777777">
      <w:pPr>
        <w:spacing w:line="259" w:lineRule="auto"/>
        <w:rPr>
          <w:b/>
          <w:bCs/>
          <w:color w:val="FF0000"/>
        </w:rPr>
      </w:pPr>
    </w:p>
    <w:p w:rsidR="00201FDB" w14:paraId="156586CC" w14:textId="77777777">
      <w:pPr>
        <w:spacing w:line="259" w:lineRule="auto"/>
        <w:ind w:hanging="43"/>
      </w:pPr>
      <w:r>
        <w:t>These numbers assume two types of Respondents:</w:t>
      </w:r>
    </w:p>
    <w:p w:rsidR="00201FDB" w14:paraId="72F10F61" w14:textId="77777777">
      <w:pPr>
        <w:numPr>
          <w:ilvl w:val="0"/>
          <w:numId w:val="1"/>
        </w:numPr>
        <w:spacing w:line="259" w:lineRule="auto"/>
      </w:pPr>
      <w:r>
        <w:t>Customers are 'Individuals/households'. As such, the Total Compensation Cost for Civilian Workers was used. (</w:t>
      </w:r>
      <w:hyperlink r:id="rId7">
        <w:r>
          <w:rPr>
            <w:color w:val="1155CC"/>
            <w:u w:val="single"/>
          </w:rPr>
          <w:t>https://www.bls.gov/news.release/ecec.t02.htm</w:t>
        </w:r>
      </w:hyperlink>
      <w:r>
        <w:rPr>
          <w:b/>
          <w:bCs/>
        </w:rPr>
        <w:t>)</w:t>
      </w:r>
    </w:p>
    <w:p w:rsidR="00201FDB" w14:paraId="24E80330" w14:textId="77777777">
      <w:pPr>
        <w:numPr>
          <w:ilvl w:val="0"/>
          <w:numId w:val="1"/>
        </w:numPr>
        <w:spacing w:line="259" w:lineRule="auto"/>
        <w:sectPr>
          <w:pgSz w:w="15840" w:h="12240" w:orient="landscape"/>
          <w:pgMar w:top="640" w:right="1080" w:bottom="1200" w:left="1080" w:header="0" w:footer="714" w:gutter="0"/>
          <w:cols w:space="720"/>
        </w:sectPr>
      </w:pPr>
      <w:r>
        <w:t xml:space="preserve">Stakeholders are 'Emergency Management Directors'. The hourly wage rate was obtained from the BLS Occupational Employment and Wage Statistics (OEWS) Profile for an Emergency Management Director at </w:t>
      </w:r>
      <w:hyperlink r:id="rId8">
        <w:r>
          <w:rPr>
            <w:color w:val="0000FF"/>
            <w:u w:val="single"/>
          </w:rPr>
          <w:t>https://data.bls.gov/oesprofile/</w:t>
        </w:r>
      </w:hyperlink>
      <w:r>
        <w:t>.</w:t>
      </w:r>
    </w:p>
    <w:p w:rsidR="00201FDB" w14:paraId="73CF0128" w14:textId="77777777">
      <w:pPr>
        <w:spacing w:line="259" w:lineRule="auto"/>
        <w:ind w:hanging="43"/>
        <w:rPr>
          <w:b/>
          <w:bCs/>
          <w:highlight w:val="yellow"/>
        </w:rPr>
      </w:pPr>
    </w:p>
    <w:p w:rsidR="00201FDB" w14:paraId="676C48A0"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 xml:space="preserve">Provide estimates of annualized cost to the Federal government. </w:t>
      </w:r>
    </w:p>
    <w:p w:rsidR="00201FDB" w14:paraId="402B0DF2" w14:textId="77777777">
      <w:pPr>
        <w:pBdr>
          <w:top w:val="nil"/>
          <w:left w:val="nil"/>
          <w:bottom w:val="nil"/>
          <w:right w:val="nil"/>
          <w:between w:val="nil"/>
        </w:pBdr>
        <w:spacing w:before="9" w:after="1"/>
        <w:rPr>
          <w:b/>
          <w:bCs/>
          <w:color w:val="000000"/>
        </w:rPr>
      </w:pPr>
    </w:p>
    <w:tbl>
      <w:tblPr>
        <w:tblStyle w:val="a7"/>
        <w:tblW w:w="8240" w:type="dxa"/>
        <w:tblInd w:w="-140" w:type="dxa"/>
        <w:tblLayout w:type="fixed"/>
        <w:tblLook w:val="0400"/>
      </w:tblPr>
      <w:tblGrid>
        <w:gridCol w:w="2280"/>
        <w:gridCol w:w="1120"/>
        <w:gridCol w:w="1140"/>
        <w:gridCol w:w="1120"/>
        <w:gridCol w:w="1280"/>
        <w:gridCol w:w="1300"/>
      </w:tblGrid>
      <w:tr w14:paraId="4A6A2F36" w14:textId="77777777">
        <w:tblPrEx>
          <w:tblW w:w="8240" w:type="dxa"/>
          <w:tblInd w:w="-140"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201FDB" w14:paraId="4EC2E55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20" w:type="dxa"/>
            <w:tcBorders>
              <w:top w:val="single" w:sz="8" w:space="0" w:color="000000"/>
              <w:left w:val="nil"/>
              <w:bottom w:val="nil"/>
              <w:right w:val="single" w:sz="8" w:space="0" w:color="000000"/>
            </w:tcBorders>
            <w:shd w:val="clear" w:color="auto" w:fill="BDD7EE"/>
            <w:vAlign w:val="center"/>
          </w:tcPr>
          <w:p w:rsidR="00201FDB" w14:paraId="25E6029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201FDB" w14:paraId="03FD501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20" w:type="dxa"/>
            <w:tcBorders>
              <w:top w:val="single" w:sz="8" w:space="0" w:color="000000"/>
              <w:left w:val="nil"/>
              <w:bottom w:val="nil"/>
              <w:right w:val="single" w:sz="8" w:space="0" w:color="000000"/>
            </w:tcBorders>
            <w:shd w:val="clear" w:color="auto" w:fill="BDD7EE"/>
            <w:vAlign w:val="center"/>
          </w:tcPr>
          <w:p w:rsidR="00201FDB" w14:paraId="27F64CE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280" w:type="dxa"/>
            <w:tcBorders>
              <w:top w:val="single" w:sz="8" w:space="0" w:color="000000"/>
              <w:left w:val="nil"/>
              <w:bottom w:val="nil"/>
              <w:right w:val="single" w:sz="8" w:space="0" w:color="000000"/>
            </w:tcBorders>
            <w:shd w:val="clear" w:color="auto" w:fill="BDD7EE"/>
            <w:vAlign w:val="center"/>
          </w:tcPr>
          <w:p w:rsidR="00201FDB" w14:paraId="2EF1563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300" w:type="dxa"/>
            <w:tcBorders>
              <w:top w:val="single" w:sz="8" w:space="0" w:color="000000"/>
              <w:left w:val="nil"/>
              <w:bottom w:val="nil"/>
              <w:right w:val="single" w:sz="8" w:space="0" w:color="000000"/>
            </w:tcBorders>
            <w:shd w:val="clear" w:color="auto" w:fill="BDD7EE"/>
            <w:vAlign w:val="center"/>
          </w:tcPr>
          <w:p w:rsidR="00201FDB" w14:paraId="7B85786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5C43F44B" w14:textId="77777777">
        <w:tblPrEx>
          <w:tblW w:w="8240" w:type="dxa"/>
          <w:tblInd w:w="-140" w:type="dxa"/>
          <w:tblLayout w:type="fixed"/>
          <w:tblLook w:val="0400"/>
        </w:tblPrEx>
        <w:trPr>
          <w:trHeight w:val="358"/>
        </w:trPr>
        <w:tc>
          <w:tcPr>
            <w:tcW w:w="2280" w:type="dxa"/>
            <w:tcBorders>
              <w:top w:val="single" w:sz="4" w:space="0" w:color="000000"/>
              <w:left w:val="single" w:sz="8" w:space="0" w:color="000000"/>
              <w:bottom w:val="single" w:sz="4" w:space="0" w:color="000000"/>
              <w:right w:val="single" w:sz="8" w:space="0" w:color="000000"/>
            </w:tcBorders>
            <w:shd w:val="clear" w:color="auto" w:fill="auto"/>
            <w:vAlign w:val="bottom"/>
          </w:tcPr>
          <w:p w:rsidR="00201FDB" w14:paraId="66A2123E"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201FDB" w14:paraId="72A2B66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GS-14</w:t>
            </w:r>
          </w:p>
        </w:tc>
        <w:tc>
          <w:tcPr>
            <w:tcW w:w="1140" w:type="dxa"/>
            <w:tcBorders>
              <w:top w:val="single" w:sz="4" w:space="0" w:color="000000"/>
              <w:left w:val="nil"/>
              <w:bottom w:val="single" w:sz="4" w:space="0" w:color="000000"/>
              <w:right w:val="single" w:sz="4" w:space="0" w:color="000000"/>
            </w:tcBorders>
            <w:shd w:val="clear" w:color="auto" w:fill="auto"/>
            <w:vAlign w:val="bottom"/>
          </w:tcPr>
          <w:p w:rsidR="00201FDB" w14:paraId="673B899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211,703</w:t>
            </w:r>
          </w:p>
        </w:tc>
        <w:tc>
          <w:tcPr>
            <w:tcW w:w="1120" w:type="dxa"/>
            <w:tcBorders>
              <w:top w:val="single" w:sz="4" w:space="0" w:color="000000"/>
              <w:left w:val="nil"/>
              <w:bottom w:val="single" w:sz="4" w:space="0" w:color="000000"/>
              <w:right w:val="single" w:sz="4" w:space="0" w:color="000000"/>
            </w:tcBorders>
            <w:shd w:val="clear" w:color="auto" w:fill="auto"/>
            <w:vAlign w:val="bottom"/>
          </w:tcPr>
          <w:p w:rsidR="00201FDB" w14:paraId="721B5F4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10</w:t>
            </w:r>
          </w:p>
        </w:tc>
        <w:tc>
          <w:tcPr>
            <w:tcW w:w="1280" w:type="dxa"/>
            <w:tcBorders>
              <w:top w:val="single" w:sz="4" w:space="0" w:color="000000"/>
              <w:left w:val="nil"/>
              <w:bottom w:val="single" w:sz="4" w:space="0" w:color="000000"/>
              <w:right w:val="single" w:sz="4" w:space="0" w:color="000000"/>
            </w:tcBorders>
            <w:shd w:val="clear" w:color="auto" w:fill="808080"/>
            <w:vAlign w:val="bottom"/>
          </w:tcPr>
          <w:p w:rsidR="00201FDB" w14:paraId="1F22B0F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4" w:space="0" w:color="000000"/>
              <w:left w:val="nil"/>
              <w:bottom w:val="single" w:sz="4" w:space="0" w:color="000000"/>
              <w:right w:val="single" w:sz="8" w:space="0" w:color="000000"/>
            </w:tcBorders>
            <w:shd w:val="clear" w:color="auto" w:fill="auto"/>
            <w:vAlign w:val="bottom"/>
          </w:tcPr>
          <w:p w:rsidR="00201FDB" w14:paraId="10EC820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$21,170.25</w:t>
            </w:r>
          </w:p>
        </w:tc>
      </w:tr>
      <w:tr w14:paraId="5760A649"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201FDB" w14:paraId="35FFC73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120" w:type="dxa"/>
            <w:tcBorders>
              <w:top w:val="nil"/>
              <w:left w:val="nil"/>
              <w:bottom w:val="single" w:sz="4" w:space="0" w:color="000000"/>
              <w:right w:val="single" w:sz="4" w:space="0" w:color="000000"/>
            </w:tcBorders>
            <w:shd w:val="clear" w:color="auto" w:fill="auto"/>
            <w:vAlign w:val="bottom"/>
          </w:tcPr>
          <w:p w:rsidR="00201FDB" w14:paraId="308AB7B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GS-13</w:t>
            </w:r>
          </w:p>
        </w:tc>
        <w:tc>
          <w:tcPr>
            <w:tcW w:w="1140" w:type="dxa"/>
            <w:tcBorders>
              <w:top w:val="nil"/>
              <w:left w:val="nil"/>
              <w:bottom w:val="single" w:sz="4" w:space="0" w:color="000000"/>
              <w:right w:val="single" w:sz="4" w:space="0" w:color="000000"/>
            </w:tcBorders>
            <w:shd w:val="clear" w:color="auto" w:fill="auto"/>
            <w:vAlign w:val="bottom"/>
          </w:tcPr>
          <w:p w:rsidR="00201FDB" w14:paraId="54B6B16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179153</w:t>
            </w:r>
          </w:p>
        </w:tc>
        <w:tc>
          <w:tcPr>
            <w:tcW w:w="1120" w:type="dxa"/>
            <w:tcBorders>
              <w:top w:val="nil"/>
              <w:left w:val="nil"/>
              <w:bottom w:val="single" w:sz="4" w:space="0" w:color="000000"/>
              <w:right w:val="single" w:sz="4" w:space="0" w:color="000000"/>
            </w:tcBorders>
            <w:shd w:val="clear" w:color="auto" w:fill="auto"/>
            <w:vAlign w:val="bottom"/>
          </w:tcPr>
          <w:p w:rsidR="00201FDB" w14:paraId="7FC1D3E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30</w:t>
            </w:r>
          </w:p>
        </w:tc>
        <w:tc>
          <w:tcPr>
            <w:tcW w:w="1280" w:type="dxa"/>
            <w:tcBorders>
              <w:top w:val="nil"/>
              <w:left w:val="nil"/>
              <w:bottom w:val="single" w:sz="4" w:space="0" w:color="000000"/>
              <w:right w:val="single" w:sz="4" w:space="0" w:color="000000"/>
            </w:tcBorders>
            <w:shd w:val="clear" w:color="auto" w:fill="808080"/>
            <w:vAlign w:val="bottom"/>
          </w:tcPr>
          <w:p w:rsidR="00201FDB" w14:paraId="49EA2F7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201FDB" w14:paraId="382AA74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$53,745.75</w:t>
            </w:r>
          </w:p>
        </w:tc>
      </w:tr>
      <w:tr w14:paraId="2A0D48BE" w14:textId="77777777">
        <w:tblPrEx>
          <w:tblW w:w="8240" w:type="dxa"/>
          <w:tblInd w:w="-140"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shd w:val="clear" w:color="auto" w:fill="auto"/>
            <w:vAlign w:val="bottom"/>
          </w:tcPr>
          <w:p w:rsidR="00201FDB" w14:paraId="31D827A5"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120" w:type="dxa"/>
            <w:tcBorders>
              <w:top w:val="nil"/>
              <w:left w:val="nil"/>
              <w:bottom w:val="single" w:sz="4" w:space="0" w:color="000000"/>
              <w:right w:val="single" w:sz="4" w:space="0" w:color="000000"/>
            </w:tcBorders>
            <w:shd w:val="clear" w:color="auto" w:fill="808080"/>
            <w:vAlign w:val="bottom"/>
          </w:tcPr>
          <w:p w:rsidR="00201FDB" w14:paraId="4C75B8B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auto"/>
            <w:vAlign w:val="bottom"/>
          </w:tcPr>
          <w:p w:rsidR="00201FDB" w14:paraId="5B3BFAC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auto"/>
            <w:vAlign w:val="bottom"/>
          </w:tcPr>
          <w:p w:rsidR="00201FDB" w14:paraId="27117EC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auto"/>
            <w:vAlign w:val="bottom"/>
          </w:tcPr>
          <w:p w:rsidR="00201FDB" w14:paraId="6538D51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201FDB" w14:paraId="5053631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324B1AD1" w14:textId="77777777">
        <w:tblPrEx>
          <w:tblW w:w="8240" w:type="dxa"/>
          <w:tblInd w:w="-140"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shd w:val="clear" w:color="auto" w:fill="auto"/>
            <w:vAlign w:val="bottom"/>
          </w:tcPr>
          <w:p w:rsidR="00201FDB" w14:paraId="5AAC5D44"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120" w:type="dxa"/>
            <w:tcBorders>
              <w:top w:val="nil"/>
              <w:left w:val="nil"/>
              <w:bottom w:val="single" w:sz="4" w:space="0" w:color="000000"/>
              <w:right w:val="single" w:sz="4" w:space="0" w:color="000000"/>
            </w:tcBorders>
            <w:shd w:val="clear" w:color="auto" w:fill="808080"/>
            <w:vAlign w:val="bottom"/>
          </w:tcPr>
          <w:p w:rsidR="00201FDB" w14:paraId="2182D50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201FDB" w14:paraId="3333CA9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201FDB" w14:paraId="64EF89D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201FDB" w14:paraId="5487395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201FDB" w14:paraId="62B0C38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5D5B3D0D" w14:textId="77777777">
        <w:tblPrEx>
          <w:tblW w:w="8240" w:type="dxa"/>
          <w:tblInd w:w="-140" w:type="dxa"/>
          <w:tblLayout w:type="fixed"/>
          <w:tblLook w:val="0400"/>
        </w:tblPrEx>
        <w:trPr>
          <w:trHeight w:val="313"/>
        </w:trPr>
        <w:tc>
          <w:tcPr>
            <w:tcW w:w="2280" w:type="dxa"/>
            <w:tcBorders>
              <w:top w:val="nil"/>
              <w:left w:val="single" w:sz="8" w:space="0" w:color="000000"/>
              <w:bottom w:val="nil"/>
              <w:right w:val="single" w:sz="8" w:space="0" w:color="000000"/>
            </w:tcBorders>
            <w:shd w:val="clear" w:color="auto" w:fill="auto"/>
            <w:vAlign w:val="center"/>
          </w:tcPr>
          <w:p w:rsidR="00201FDB" w14:paraId="0650A3E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 xml:space="preserve">Other Costs: </w:t>
            </w:r>
          </w:p>
        </w:tc>
        <w:tc>
          <w:tcPr>
            <w:tcW w:w="1120" w:type="dxa"/>
            <w:tcBorders>
              <w:top w:val="nil"/>
              <w:left w:val="nil"/>
              <w:bottom w:val="single" w:sz="4" w:space="0" w:color="000000"/>
              <w:right w:val="single" w:sz="4" w:space="0" w:color="000000"/>
            </w:tcBorders>
            <w:shd w:val="clear" w:color="auto" w:fill="808080"/>
            <w:vAlign w:val="bottom"/>
          </w:tcPr>
          <w:p w:rsidR="00201FDB" w14:paraId="5EACEF4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201FDB" w14:paraId="2B640AC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nil"/>
              <w:left w:val="nil"/>
              <w:bottom w:val="single" w:sz="4" w:space="0" w:color="000000"/>
              <w:right w:val="single" w:sz="4" w:space="0" w:color="000000"/>
            </w:tcBorders>
            <w:shd w:val="clear" w:color="auto" w:fill="808080"/>
            <w:vAlign w:val="bottom"/>
          </w:tcPr>
          <w:p w:rsidR="00201FDB" w14:paraId="37FF210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nil"/>
              <w:left w:val="nil"/>
              <w:bottom w:val="single" w:sz="4" w:space="0" w:color="000000"/>
              <w:right w:val="single" w:sz="4" w:space="0" w:color="000000"/>
            </w:tcBorders>
            <w:shd w:val="clear" w:color="auto" w:fill="808080"/>
            <w:vAlign w:val="bottom"/>
          </w:tcPr>
          <w:p w:rsidR="00201FDB" w14:paraId="51A3F3F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nil"/>
              <w:left w:val="nil"/>
              <w:bottom w:val="single" w:sz="4" w:space="0" w:color="000000"/>
              <w:right w:val="single" w:sz="8" w:space="0" w:color="000000"/>
            </w:tcBorders>
            <w:shd w:val="clear" w:color="auto" w:fill="auto"/>
            <w:vAlign w:val="bottom"/>
          </w:tcPr>
          <w:p w:rsidR="00201FDB" w14:paraId="19D361C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77EB5511" w14:textId="77777777">
        <w:tblPrEx>
          <w:tblW w:w="8240" w:type="dxa"/>
          <w:tblInd w:w="-14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201FDB" w14:paraId="1041FE2F"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20" w:type="dxa"/>
            <w:tcBorders>
              <w:top w:val="single" w:sz="8" w:space="0" w:color="000000"/>
              <w:left w:val="nil"/>
              <w:bottom w:val="single" w:sz="8" w:space="0" w:color="000000"/>
              <w:right w:val="single" w:sz="8" w:space="0" w:color="000000"/>
            </w:tcBorders>
            <w:shd w:val="clear" w:color="auto" w:fill="808080"/>
            <w:vAlign w:val="bottom"/>
          </w:tcPr>
          <w:p w:rsidR="00201FDB" w14:paraId="4EC0F81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201FDB" w14:paraId="5BFB3C5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0" w:type="dxa"/>
            <w:tcBorders>
              <w:top w:val="single" w:sz="8" w:space="0" w:color="000000"/>
              <w:left w:val="nil"/>
              <w:bottom w:val="single" w:sz="8" w:space="0" w:color="000000"/>
              <w:right w:val="single" w:sz="8" w:space="0" w:color="000000"/>
            </w:tcBorders>
            <w:shd w:val="clear" w:color="auto" w:fill="757171"/>
            <w:vAlign w:val="bottom"/>
          </w:tcPr>
          <w:p w:rsidR="00201FDB" w14:paraId="50478EB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80" w:type="dxa"/>
            <w:tcBorders>
              <w:top w:val="single" w:sz="8" w:space="0" w:color="000000"/>
              <w:left w:val="nil"/>
              <w:bottom w:val="single" w:sz="8" w:space="0" w:color="000000"/>
              <w:right w:val="single" w:sz="8" w:space="0" w:color="000000"/>
            </w:tcBorders>
            <w:shd w:val="clear" w:color="auto" w:fill="DDEBF7"/>
            <w:vAlign w:val="bottom"/>
          </w:tcPr>
          <w:p w:rsidR="00201FDB" w14:paraId="643B78B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00" w:type="dxa"/>
            <w:tcBorders>
              <w:top w:val="single" w:sz="8" w:space="0" w:color="000000"/>
              <w:left w:val="nil"/>
              <w:bottom w:val="single" w:sz="8" w:space="0" w:color="000000"/>
              <w:right w:val="single" w:sz="8" w:space="0" w:color="000000"/>
            </w:tcBorders>
            <w:shd w:val="clear" w:color="auto" w:fill="DDEBF7"/>
            <w:vAlign w:val="bottom"/>
          </w:tcPr>
          <w:p w:rsidR="00201FDB" w14:paraId="5892198F" w14:textId="77777777">
            <w:pPr>
              <w:widowControl/>
              <w:rPr>
                <w:rFonts w:ascii="Calibri" w:eastAsia="Calibri" w:hAnsi="Calibri" w:cs="Calibri"/>
                <w:b/>
                <w:bCs/>
                <w:color w:val="000000"/>
                <w:sz w:val="16"/>
                <w:szCs w:val="16"/>
              </w:rPr>
            </w:pPr>
            <w:r>
              <w:rPr>
                <w:rFonts w:ascii="Calibri" w:eastAsia="Calibri" w:hAnsi="Calibri" w:cs="Calibri"/>
                <w:color w:val="000000"/>
                <w:sz w:val="16"/>
                <w:szCs w:val="16"/>
              </w:rPr>
              <w:t> </w:t>
            </w:r>
            <w:r>
              <w:rPr>
                <w:rFonts w:ascii="Calibri" w:eastAsia="Calibri" w:hAnsi="Calibri" w:cs="Calibri"/>
                <w:b/>
                <w:bCs/>
                <w:color w:val="000000"/>
                <w:sz w:val="16"/>
                <w:szCs w:val="16"/>
              </w:rPr>
              <w:t>$74,916</w:t>
            </w:r>
          </w:p>
        </w:tc>
      </w:tr>
    </w:tbl>
    <w:p w:rsidR="00201FDB" w14:paraId="1A2B7061" w14:textId="77777777">
      <w:pPr>
        <w:pBdr>
          <w:top w:val="nil"/>
          <w:left w:val="nil"/>
          <w:bottom w:val="nil"/>
          <w:right w:val="nil"/>
          <w:between w:val="nil"/>
        </w:pBdr>
        <w:spacing w:before="9" w:after="1"/>
        <w:rPr>
          <w:b/>
          <w:bCs/>
          <w:color w:val="000000"/>
        </w:rPr>
      </w:pPr>
    </w:p>
    <w:p w:rsidR="00201FDB" w14:paraId="0F82EED1" w14:textId="77777777">
      <w:pPr>
        <w:pBdr>
          <w:top w:val="nil"/>
          <w:left w:val="nil"/>
          <w:bottom w:val="nil"/>
          <w:right w:val="nil"/>
          <w:between w:val="nil"/>
        </w:pBdr>
        <w:spacing w:before="9" w:after="1"/>
        <w:rPr>
          <w:color w:val="000000"/>
        </w:rPr>
      </w:pPr>
      <w:r>
        <w:rPr>
          <w:color w:val="000000"/>
        </w:rPr>
        <w:t xml:space="preserve">The </w:t>
      </w:r>
      <w:hyperlink r:id="rId9">
        <w:r>
          <w:rPr>
            <w:color w:val="0000FF"/>
            <w:u w:val="single"/>
          </w:rPr>
          <w:t>General Schedule</w:t>
        </w:r>
      </w:hyperlink>
      <w:r>
        <w:rPr>
          <w:color w:val="000000"/>
        </w:rPr>
        <w:t xml:space="preserve"> (GS) </w:t>
      </w:r>
      <w:r>
        <w:t>for the Rest of the U.S. locality Step 5</w:t>
      </w:r>
      <w:r>
        <w:rPr>
          <w:color w:val="000000"/>
        </w:rPr>
        <w:t xml:space="preserve"> was used to determine the base salary for the positions.  The Rest of U.S. locality was used since NOAA employees are geographically dispersed.  A multiplier of 1.5 was applied to calculate the loaded salary.  The Level of Effort represents the estimated percentage of time an individual will spend on this collection (% of Effort = # of Hours spent on this collection / 2080 hours).</w:t>
      </w:r>
    </w:p>
    <w:p w:rsidR="00201FDB" w14:paraId="2D107688" w14:textId="77777777">
      <w:pPr>
        <w:pBdr>
          <w:top w:val="nil"/>
          <w:left w:val="nil"/>
          <w:bottom w:val="nil"/>
          <w:right w:val="nil"/>
          <w:between w:val="nil"/>
        </w:pBdr>
        <w:spacing w:before="9" w:after="1"/>
        <w:rPr>
          <w:b/>
          <w:bCs/>
          <w:color w:val="000000"/>
        </w:rPr>
      </w:pPr>
    </w:p>
    <w:p w:rsidR="00201FDB" w14:paraId="6BA0187E" w14:textId="77777777">
      <w:pPr>
        <w:numPr>
          <w:ilvl w:val="0"/>
          <w:numId w:val="2"/>
        </w:numPr>
        <w:pBdr>
          <w:top w:val="nil"/>
          <w:left w:val="nil"/>
          <w:bottom w:val="nil"/>
          <w:right w:val="nil"/>
          <w:between w:val="nil"/>
        </w:pBdr>
        <w:tabs>
          <w:tab w:val="left" w:pos="360"/>
        </w:tabs>
        <w:spacing w:before="80"/>
        <w:ind w:left="0" w:firstLine="0"/>
        <w:rPr>
          <w:b/>
          <w:bCs/>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201FDB" w14:paraId="77D898D9" w14:textId="77777777">
      <w:pPr>
        <w:spacing w:before="160"/>
        <w:rPr>
          <w:color w:val="2F5496"/>
        </w:rPr>
      </w:pPr>
      <w:r>
        <w:t>No results from this data collection effort will be published. The NWS will not perform complex analytical techniques or develop statistics or reports on the results of this collection activity. These PERs are solely for internal purposes and designed to provide feedback following weather and water events.</w:t>
      </w:r>
    </w:p>
    <w:p w:rsidR="00201FDB" w14:paraId="4B6CBF6F" w14:textId="77777777">
      <w:pPr>
        <w:pBdr>
          <w:top w:val="nil"/>
          <w:left w:val="nil"/>
          <w:bottom w:val="nil"/>
          <w:right w:val="nil"/>
          <w:between w:val="nil"/>
        </w:pBdr>
        <w:spacing w:before="160"/>
        <w:rPr>
          <w:color w:val="2F5496"/>
        </w:rPr>
      </w:pPr>
    </w:p>
    <w:p w:rsidR="00201FDB" w14:paraId="25F8CFE1" w14:textId="77777777">
      <w:pPr>
        <w:spacing w:before="221" w:after="240" w:line="259" w:lineRule="auto"/>
        <w:jc w:val="both"/>
      </w:pPr>
      <w:r>
        <w:t>Checklist:</w:t>
      </w:r>
    </w:p>
    <w:tbl>
      <w:tblPr>
        <w:tblStyle w:val="a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95"/>
        <w:gridCol w:w="990"/>
        <w:gridCol w:w="985"/>
      </w:tblGrid>
      <w:tr w14:paraId="6460C6B6" w14:textId="77777777">
        <w:tblPrEx>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8095" w:type="dxa"/>
            <w:shd w:val="clear" w:color="auto" w:fill="000000"/>
          </w:tcPr>
          <w:p w:rsidR="00201FDB" w14:paraId="554BBA50" w14:textId="77777777">
            <w:pPr>
              <w:rPr>
                <w:rFonts w:ascii="Calibri" w:eastAsia="Calibri" w:hAnsi="Calibri" w:cs="Calibri"/>
                <w:sz w:val="22"/>
                <w:szCs w:val="22"/>
              </w:rPr>
            </w:pPr>
          </w:p>
        </w:tc>
        <w:tc>
          <w:tcPr>
            <w:tcW w:w="990" w:type="dxa"/>
          </w:tcPr>
          <w:p w:rsidR="00201FDB" w14:paraId="55376527" w14:textId="77777777">
            <w:pPr>
              <w:jc w:val="center"/>
              <w:rPr>
                <w:rFonts w:ascii="Calibri" w:eastAsia="Calibri" w:hAnsi="Calibri" w:cs="Calibri"/>
                <w:b/>
                <w:bCs/>
                <w:sz w:val="22"/>
                <w:szCs w:val="22"/>
              </w:rPr>
            </w:pPr>
            <w:r>
              <w:rPr>
                <w:rFonts w:ascii="Calibri" w:eastAsia="Calibri" w:hAnsi="Calibri" w:cs="Calibri"/>
                <w:b/>
                <w:bCs/>
                <w:sz w:val="22"/>
                <w:szCs w:val="22"/>
              </w:rPr>
              <w:t>YES</w:t>
            </w:r>
          </w:p>
        </w:tc>
        <w:tc>
          <w:tcPr>
            <w:tcW w:w="985" w:type="dxa"/>
          </w:tcPr>
          <w:p w:rsidR="00201FDB" w14:paraId="49307E0E" w14:textId="77777777">
            <w:pPr>
              <w:jc w:val="center"/>
              <w:rPr>
                <w:rFonts w:ascii="Calibri" w:eastAsia="Calibri" w:hAnsi="Calibri" w:cs="Calibri"/>
                <w:b/>
                <w:bCs/>
                <w:sz w:val="22"/>
                <w:szCs w:val="22"/>
              </w:rPr>
            </w:pPr>
            <w:r>
              <w:rPr>
                <w:rFonts w:ascii="Calibri" w:eastAsia="Calibri" w:hAnsi="Calibri" w:cs="Calibri"/>
                <w:b/>
                <w:bCs/>
                <w:sz w:val="22"/>
                <w:szCs w:val="22"/>
              </w:rPr>
              <w:t>NO</w:t>
            </w:r>
          </w:p>
        </w:tc>
      </w:tr>
      <w:tr w14:paraId="0D704EF5" w14:textId="77777777">
        <w:tblPrEx>
          <w:tblW w:w="10070" w:type="dxa"/>
          <w:tblLayout w:type="fixed"/>
          <w:tblLook w:val="0400"/>
        </w:tblPrEx>
        <w:tc>
          <w:tcPr>
            <w:tcW w:w="8095" w:type="dxa"/>
          </w:tcPr>
          <w:p w:rsidR="00201FDB" w14:paraId="6FB415F9" w14:textId="77777777">
            <w:pPr>
              <w:spacing w:before="60" w:after="60"/>
              <w:rPr>
                <w:rFonts w:ascii="Calibri" w:eastAsia="Calibri" w:hAnsi="Calibri" w:cs="Calibri"/>
                <w:sz w:val="22"/>
                <w:szCs w:val="22"/>
              </w:rPr>
            </w:pPr>
            <w:r>
              <w:rPr>
                <w:rFonts w:ascii="Calibri" w:eastAsia="Calibri" w:hAnsi="Calibri" w:cs="Calibri"/>
                <w:sz w:val="22"/>
                <w:szCs w:val="22"/>
              </w:rPr>
              <w:t>Do the collection instrument(s) (e.g., form, script) contain the OMB Control Number (</w:t>
            </w:r>
            <w:r>
              <w:rPr>
                <w:rFonts w:ascii="Calibri" w:eastAsia="Calibri" w:hAnsi="Calibri" w:cs="Calibri"/>
                <w:b/>
                <w:bCs/>
                <w:sz w:val="22"/>
                <w:szCs w:val="22"/>
              </w:rPr>
              <w:t>0648-0830</w:t>
            </w:r>
            <w:r>
              <w:rPr>
                <w:rFonts w:ascii="Calibri" w:eastAsia="Calibri" w:hAnsi="Calibri" w:cs="Calibri"/>
                <w:sz w:val="22"/>
                <w:szCs w:val="22"/>
              </w:rPr>
              <w:t>) and Expiration Date (</w:t>
            </w:r>
            <w:r>
              <w:rPr>
                <w:rFonts w:ascii="Calibri" w:eastAsia="Calibri" w:hAnsi="Calibri" w:cs="Calibri"/>
                <w:b/>
                <w:bCs/>
                <w:sz w:val="22"/>
                <w:szCs w:val="22"/>
              </w:rPr>
              <w:t>6/30/2028</w:t>
            </w:r>
            <w:r>
              <w:rPr>
                <w:rFonts w:ascii="Calibri" w:eastAsia="Calibri" w:hAnsi="Calibri" w:cs="Calibri"/>
                <w:sz w:val="22"/>
                <w:szCs w:val="22"/>
              </w:rPr>
              <w:t>) on the first page?</w:t>
            </w:r>
          </w:p>
        </w:tc>
        <w:tc>
          <w:tcPr>
            <w:tcW w:w="990" w:type="dxa"/>
          </w:tcPr>
          <w:p w:rsidR="00201FDB" w14:paraId="6ABBD3D6" w14:textId="77777777">
            <w:pPr>
              <w:jc w:val="center"/>
              <w:rPr>
                <w:rFonts w:ascii="Calibri" w:eastAsia="Calibri" w:hAnsi="Calibri" w:cs="Calibri"/>
                <w:sz w:val="22"/>
                <w:szCs w:val="22"/>
              </w:rPr>
            </w:pPr>
            <w:r>
              <w:rPr>
                <w:rFonts w:ascii="Calibri" w:eastAsia="Calibri" w:hAnsi="Calibri" w:cs="Calibri"/>
                <w:sz w:val="22"/>
                <w:szCs w:val="22"/>
              </w:rPr>
              <w:t>X</w:t>
            </w:r>
          </w:p>
        </w:tc>
        <w:tc>
          <w:tcPr>
            <w:tcW w:w="985" w:type="dxa"/>
          </w:tcPr>
          <w:p w:rsidR="00201FDB" w14:paraId="42BAA59D" w14:textId="77777777">
            <w:pPr>
              <w:jc w:val="center"/>
              <w:rPr>
                <w:rFonts w:ascii="Calibri" w:eastAsia="Calibri" w:hAnsi="Calibri" w:cs="Calibri"/>
                <w:sz w:val="22"/>
                <w:szCs w:val="22"/>
              </w:rPr>
            </w:pPr>
          </w:p>
        </w:tc>
      </w:tr>
      <w:tr w14:paraId="73777741" w14:textId="77777777">
        <w:tblPrEx>
          <w:tblW w:w="10070" w:type="dxa"/>
          <w:tblLayout w:type="fixed"/>
          <w:tblLook w:val="0400"/>
        </w:tblPrEx>
        <w:tc>
          <w:tcPr>
            <w:tcW w:w="8095" w:type="dxa"/>
          </w:tcPr>
          <w:p w:rsidR="00201FDB" w14:paraId="2891B518" w14:textId="77777777">
            <w:pPr>
              <w:spacing w:before="60" w:after="60"/>
              <w:rPr>
                <w:rFonts w:ascii="Calibri" w:eastAsia="Calibri" w:hAnsi="Calibri" w:cs="Calibri"/>
                <w:sz w:val="22"/>
                <w:szCs w:val="22"/>
              </w:rPr>
            </w:pPr>
            <w:r>
              <w:rPr>
                <w:rFonts w:ascii="Calibri" w:eastAsia="Calibri" w:hAnsi="Calibri" w:cs="Calibri"/>
                <w:sz w:val="22"/>
                <w:szCs w:val="22"/>
              </w:rPr>
              <w:t xml:space="preserve">Do the collection instrument(s) contain a </w:t>
            </w:r>
            <w:r>
              <w:rPr>
                <w:rFonts w:ascii="Calibri" w:eastAsia="Calibri" w:hAnsi="Calibri" w:cs="Calibri"/>
                <w:b/>
                <w:bCs/>
                <w:sz w:val="22"/>
                <w:szCs w:val="22"/>
              </w:rPr>
              <w:t>PRA Burden Statement</w:t>
            </w:r>
            <w:r>
              <w:rPr>
                <w:rFonts w:ascii="Calibri" w:eastAsia="Calibri" w:hAnsi="Calibri" w:cs="Calibri"/>
                <w:sz w:val="22"/>
                <w:szCs w:val="22"/>
              </w:rPr>
              <w:t>?</w:t>
            </w:r>
          </w:p>
        </w:tc>
        <w:tc>
          <w:tcPr>
            <w:tcW w:w="990" w:type="dxa"/>
          </w:tcPr>
          <w:p w:rsidR="00201FDB" w14:paraId="78DD1403" w14:textId="77777777">
            <w:pPr>
              <w:jc w:val="center"/>
              <w:rPr>
                <w:rFonts w:ascii="Calibri" w:eastAsia="Calibri" w:hAnsi="Calibri" w:cs="Calibri"/>
                <w:sz w:val="22"/>
                <w:szCs w:val="22"/>
              </w:rPr>
            </w:pPr>
            <w:r>
              <w:rPr>
                <w:rFonts w:ascii="Calibri" w:eastAsia="Calibri" w:hAnsi="Calibri" w:cs="Calibri"/>
                <w:sz w:val="22"/>
                <w:szCs w:val="22"/>
              </w:rPr>
              <w:t>X</w:t>
            </w:r>
          </w:p>
        </w:tc>
        <w:tc>
          <w:tcPr>
            <w:tcW w:w="985" w:type="dxa"/>
          </w:tcPr>
          <w:p w:rsidR="00201FDB" w14:paraId="54559D11" w14:textId="77777777">
            <w:pPr>
              <w:jc w:val="center"/>
              <w:rPr>
                <w:rFonts w:ascii="Calibri" w:eastAsia="Calibri" w:hAnsi="Calibri" w:cs="Calibri"/>
                <w:sz w:val="22"/>
                <w:szCs w:val="22"/>
              </w:rPr>
            </w:pPr>
          </w:p>
        </w:tc>
      </w:tr>
      <w:tr w14:paraId="0E1D17B5" w14:textId="77777777">
        <w:tblPrEx>
          <w:tblW w:w="10070" w:type="dxa"/>
          <w:tblLayout w:type="fixed"/>
          <w:tblLook w:val="0400"/>
        </w:tblPrEx>
        <w:tc>
          <w:tcPr>
            <w:tcW w:w="8095" w:type="dxa"/>
          </w:tcPr>
          <w:p w:rsidR="00201FDB" w14:paraId="4926EFE6" w14:textId="77777777">
            <w:pPr>
              <w:spacing w:before="60" w:after="60"/>
              <w:rPr>
                <w:rFonts w:ascii="Calibri" w:eastAsia="Calibri" w:hAnsi="Calibri" w:cs="Calibri"/>
                <w:sz w:val="22"/>
                <w:szCs w:val="22"/>
              </w:rPr>
            </w:pPr>
            <w:r>
              <w:rPr>
                <w:rFonts w:ascii="Calibri" w:eastAsia="Calibri" w:hAnsi="Calibri" w:cs="Calibri"/>
                <w:sz w:val="22"/>
                <w:szCs w:val="22"/>
              </w:rPr>
              <w:t xml:space="preserve">Does this collection collect </w:t>
            </w:r>
            <w:r>
              <w:rPr>
                <w:rFonts w:ascii="Calibri" w:eastAsia="Calibri" w:hAnsi="Calibri" w:cs="Calibri"/>
                <w:b/>
                <w:bCs/>
                <w:sz w:val="22"/>
                <w:szCs w:val="22"/>
              </w:rPr>
              <w:t>PII</w:t>
            </w:r>
            <w:r>
              <w:rPr>
                <w:rFonts w:ascii="Calibri" w:eastAsia="Calibri" w:hAnsi="Calibri" w:cs="Calibri"/>
                <w:sz w:val="22"/>
                <w:szCs w:val="22"/>
              </w:rPr>
              <w:t xml:space="preserve"> (including names or email addresses)?</w:t>
            </w:r>
          </w:p>
        </w:tc>
        <w:tc>
          <w:tcPr>
            <w:tcW w:w="990" w:type="dxa"/>
          </w:tcPr>
          <w:p w:rsidR="00201FDB" w14:paraId="75CE2AFC" w14:textId="77777777">
            <w:pPr>
              <w:jc w:val="center"/>
              <w:rPr>
                <w:rFonts w:ascii="Calibri" w:eastAsia="Calibri" w:hAnsi="Calibri" w:cs="Calibri"/>
                <w:sz w:val="22"/>
                <w:szCs w:val="22"/>
              </w:rPr>
            </w:pPr>
          </w:p>
        </w:tc>
        <w:tc>
          <w:tcPr>
            <w:tcW w:w="985" w:type="dxa"/>
          </w:tcPr>
          <w:p w:rsidR="00201FDB" w14:paraId="0153FCFD" w14:textId="77777777">
            <w:pPr>
              <w:jc w:val="center"/>
              <w:rPr>
                <w:rFonts w:ascii="Calibri" w:eastAsia="Calibri" w:hAnsi="Calibri" w:cs="Calibri"/>
                <w:sz w:val="22"/>
                <w:szCs w:val="22"/>
              </w:rPr>
            </w:pPr>
            <w:r>
              <w:rPr>
                <w:rFonts w:ascii="Calibri" w:eastAsia="Calibri" w:hAnsi="Calibri" w:cs="Calibri"/>
                <w:sz w:val="22"/>
                <w:szCs w:val="22"/>
              </w:rPr>
              <w:t>X</w:t>
            </w:r>
          </w:p>
        </w:tc>
      </w:tr>
      <w:tr w14:paraId="0A9BE0A9" w14:textId="77777777">
        <w:tblPrEx>
          <w:tblW w:w="10070" w:type="dxa"/>
          <w:tblLayout w:type="fixed"/>
          <w:tblLook w:val="0400"/>
        </w:tblPrEx>
        <w:tc>
          <w:tcPr>
            <w:tcW w:w="8095" w:type="dxa"/>
            <w:tcBorders>
              <w:bottom w:val="single" w:sz="4" w:space="0" w:color="000000"/>
            </w:tcBorders>
          </w:tcPr>
          <w:p w:rsidR="00201FDB" w14:paraId="0D232B2A" w14:textId="77777777">
            <w:pPr>
              <w:spacing w:before="60" w:after="60"/>
              <w:rPr>
                <w:rFonts w:ascii="Calibri" w:eastAsia="Calibri" w:hAnsi="Calibri" w:cs="Calibri"/>
                <w:sz w:val="22"/>
                <w:szCs w:val="22"/>
              </w:rPr>
            </w:pPr>
            <w:r>
              <w:rPr>
                <w:rFonts w:ascii="Calibri" w:eastAsia="Calibri" w:hAnsi="Calibri" w:cs="Calibri"/>
                <w:sz w:val="22"/>
                <w:szCs w:val="22"/>
              </w:rPr>
              <w:t>Will responses from an individual be retrieved by the respondent’s name or some other identifier specifically linked to that individual?</w:t>
            </w:r>
          </w:p>
        </w:tc>
        <w:tc>
          <w:tcPr>
            <w:tcW w:w="990" w:type="dxa"/>
            <w:tcBorders>
              <w:bottom w:val="single" w:sz="4" w:space="0" w:color="000000"/>
            </w:tcBorders>
          </w:tcPr>
          <w:p w:rsidR="00201FDB" w14:paraId="193B8FE9" w14:textId="77777777">
            <w:pPr>
              <w:jc w:val="center"/>
              <w:rPr>
                <w:rFonts w:ascii="Calibri" w:eastAsia="Calibri" w:hAnsi="Calibri" w:cs="Calibri"/>
                <w:sz w:val="22"/>
                <w:szCs w:val="22"/>
              </w:rPr>
            </w:pPr>
          </w:p>
        </w:tc>
        <w:tc>
          <w:tcPr>
            <w:tcW w:w="985" w:type="dxa"/>
            <w:tcBorders>
              <w:bottom w:val="single" w:sz="4" w:space="0" w:color="000000"/>
            </w:tcBorders>
          </w:tcPr>
          <w:p w:rsidR="00201FDB" w14:paraId="1D0CAED5" w14:textId="77777777">
            <w:pPr>
              <w:jc w:val="center"/>
              <w:rPr>
                <w:rFonts w:ascii="Calibri" w:eastAsia="Calibri" w:hAnsi="Calibri" w:cs="Calibri"/>
                <w:sz w:val="22"/>
                <w:szCs w:val="22"/>
              </w:rPr>
            </w:pPr>
            <w:r>
              <w:rPr>
                <w:rFonts w:ascii="Calibri" w:eastAsia="Calibri" w:hAnsi="Calibri" w:cs="Calibri"/>
                <w:sz w:val="22"/>
                <w:szCs w:val="22"/>
              </w:rPr>
              <w:t>X</w:t>
            </w:r>
          </w:p>
        </w:tc>
      </w:tr>
      <w:tr w14:paraId="2105B31C" w14:textId="77777777">
        <w:tblPrEx>
          <w:tblW w:w="10070" w:type="dxa"/>
          <w:tblLayout w:type="fixed"/>
          <w:tblLook w:val="0400"/>
        </w:tblPrEx>
        <w:tc>
          <w:tcPr>
            <w:tcW w:w="8095" w:type="dxa"/>
            <w:tcBorders>
              <w:bottom w:val="single" w:sz="4" w:space="0" w:color="000000"/>
            </w:tcBorders>
          </w:tcPr>
          <w:p w:rsidR="00201FDB" w14:paraId="190662DD" w14:textId="77777777">
            <w:pPr>
              <w:spacing w:before="60" w:after="60"/>
              <w:rPr>
                <w:rFonts w:ascii="Calibri" w:eastAsia="Calibri" w:hAnsi="Calibri" w:cs="Calibri"/>
                <w:sz w:val="22"/>
                <w:szCs w:val="22"/>
              </w:rPr>
            </w:pPr>
            <w:r>
              <w:rPr>
                <w:rFonts w:ascii="Calibri" w:eastAsia="Calibri" w:hAnsi="Calibri" w:cs="Calibri"/>
                <w:sz w:val="22"/>
                <w:szCs w:val="22"/>
              </w:rPr>
              <w:t xml:space="preserve">Do the collection instrument(s) contain a </w:t>
            </w:r>
            <w:r>
              <w:rPr>
                <w:rFonts w:ascii="Calibri" w:eastAsia="Calibri" w:hAnsi="Calibri" w:cs="Calibri"/>
                <w:b/>
                <w:bCs/>
                <w:sz w:val="22"/>
                <w:szCs w:val="22"/>
              </w:rPr>
              <w:t>Privacy Act Statement</w:t>
            </w:r>
            <w:r>
              <w:rPr>
                <w:rFonts w:ascii="Calibri" w:eastAsia="Calibri" w:hAnsi="Calibri" w:cs="Calibri"/>
                <w:sz w:val="22"/>
                <w:szCs w:val="22"/>
              </w:rPr>
              <w:t xml:space="preserve"> (PAS)?  (required if collecting PII)</w:t>
            </w:r>
          </w:p>
        </w:tc>
        <w:tc>
          <w:tcPr>
            <w:tcW w:w="990" w:type="dxa"/>
            <w:tcBorders>
              <w:bottom w:val="single" w:sz="4" w:space="0" w:color="000000"/>
            </w:tcBorders>
          </w:tcPr>
          <w:p w:rsidR="00201FDB" w14:paraId="250B819B" w14:textId="77777777">
            <w:pPr>
              <w:jc w:val="center"/>
              <w:rPr>
                <w:rFonts w:ascii="Calibri" w:eastAsia="Calibri" w:hAnsi="Calibri" w:cs="Calibri"/>
                <w:sz w:val="22"/>
                <w:szCs w:val="22"/>
              </w:rPr>
            </w:pPr>
          </w:p>
        </w:tc>
        <w:tc>
          <w:tcPr>
            <w:tcW w:w="985" w:type="dxa"/>
            <w:tcBorders>
              <w:bottom w:val="single" w:sz="4" w:space="0" w:color="000000"/>
            </w:tcBorders>
          </w:tcPr>
          <w:p w:rsidR="00201FDB" w14:paraId="4577D3D0" w14:textId="77777777">
            <w:pPr>
              <w:jc w:val="center"/>
              <w:rPr>
                <w:rFonts w:ascii="Calibri" w:eastAsia="Calibri" w:hAnsi="Calibri" w:cs="Calibri"/>
                <w:sz w:val="22"/>
                <w:szCs w:val="22"/>
              </w:rPr>
            </w:pPr>
            <w:r>
              <w:rPr>
                <w:rFonts w:ascii="Calibri" w:eastAsia="Calibri" w:hAnsi="Calibri" w:cs="Calibri"/>
                <w:sz w:val="22"/>
                <w:szCs w:val="22"/>
              </w:rPr>
              <w:t>X</w:t>
            </w:r>
          </w:p>
        </w:tc>
      </w:tr>
    </w:tbl>
    <w:p w:rsidR="00201FDB" w14:paraId="72B5018D" w14:textId="77777777">
      <w:pPr>
        <w:spacing w:before="221" w:line="259" w:lineRule="auto"/>
        <w:jc w:val="both"/>
      </w:pPr>
    </w:p>
    <w:sectPr>
      <w:pgSz w:w="12240" w:h="15840"/>
      <w:pgMar w:top="640" w:right="1080" w:bottom="1200" w:left="1080"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3F03C30-A9F2-44C8-8289-EC00D9C31E5A}"/>
  </w:font>
  <w:font w:name="Georgia">
    <w:panose1 w:val="02040502050405020303"/>
    <w:charset w:val="00"/>
    <w:family w:val="roman"/>
    <w:pitch w:val="variable"/>
    <w:sig w:usb0="00000287" w:usb1="00000000" w:usb2="00000000" w:usb3="00000000" w:csb0="0000009F" w:csb1="00000000"/>
    <w:embedItalic r:id="rId2" w:fontKey="{B5858D22-AD40-4F87-A3CA-18EC3B5CD0AB}"/>
  </w:font>
  <w:font w:name="Calibri">
    <w:panose1 w:val="020F0502020204030204"/>
    <w:charset w:val="00"/>
    <w:family w:val="swiss"/>
    <w:pitch w:val="variable"/>
    <w:sig w:usb0="E4002EFF" w:usb1="C200247B" w:usb2="00000009" w:usb3="00000000" w:csb0="000001FF" w:csb1="00000000"/>
    <w:embedRegular r:id="rId3" w:fontKey="{3C9DDC37-1F91-4ACB-8F87-1D68735DE81B}"/>
    <w:embedBold r:id="rId4" w:fontKey="{57A1BDF4-1BE3-48F9-A0A5-500493DB3BA0}"/>
  </w:font>
  <w:font w:name="Cambria">
    <w:panose1 w:val="02040503050406030204"/>
    <w:charset w:val="00"/>
    <w:family w:val="roman"/>
    <w:pitch w:val="variable"/>
    <w:sig w:usb0="E00006FF" w:usb1="420024FF" w:usb2="02000000" w:usb3="00000000" w:csb0="0000019F" w:csb1="00000000"/>
    <w:embedRegular r:id="rId5" w:fontKey="{BD29DD18-73C4-49E5-AC8A-2E8623252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01FDB" w14:paraId="6A27ECD2" w14:textId="77777777">
    <w:pPr>
      <w:pBdr>
        <w:top w:val="nil"/>
        <w:left w:val="nil"/>
        <w:bottom w:val="nil"/>
        <w:right w:val="nil"/>
        <w:between w:val="nil"/>
      </w:pBdr>
      <w:spacing w:line="14" w:lineRule="auto"/>
      <w:rPr>
        <w:color w:val="000000"/>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055C34"/>
    <w:multiLevelType w:val="multilevel"/>
    <w:tmpl w:val="E03AA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545454C"/>
    <w:multiLevelType w:val="multilevel"/>
    <w:tmpl w:val="6DE2E79E"/>
    <w:lvl w:ilvl="0">
      <w:start w:val="1"/>
      <w:numFmt w:val="decimal"/>
      <w:lvlText w:val="%1."/>
      <w:lvlJc w:val="left"/>
      <w:pPr>
        <w:ind w:left="400" w:hanging="269"/>
      </w:pPr>
      <w:rPr>
        <w:rFonts w:ascii="Arial" w:eastAsia="Arial" w:hAnsi="Arial" w:cs="Arial"/>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1919439470">
    <w:abstractNumId w:val="0"/>
  </w:num>
  <w:num w:numId="2" w16cid:durableId="2042320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FDB"/>
    <w:rsid w:val="00201FDB"/>
    <w:rsid w:val="00563103"/>
    <w:rsid w:val="00A76084"/>
    <w:rsid w:val="00F34F4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0E89A0"/>
  <w15:docId w15:val="{3EB43C48-E47C-417D-9EFF-2034DBF1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0" w:type="dxa"/>
        <w:left w:w="0" w:type="dxa"/>
        <w:bottom w:w="0" w:type="dxa"/>
        <w:right w:w="0" w:type="dxa"/>
      </w:tblCellMar>
    </w:tbl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6671C6"/>
    <w:rPr>
      <w:color w:val="605E5C"/>
      <w:shd w:val="clear" w:color="auto" w:fill="E1DFDD"/>
    </w:rPr>
  </w:style>
  <w:style w:type="table" w:styleId="TableGrid">
    <w:name w:val="Table Grid"/>
    <w:basedOn w:val="TableNormal"/>
    <w:uiPriority w:val="39"/>
    <w:rsid w:val="0037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weather.gov/media/directives/010_pdfs/pd01024001curr.pdf" TargetMode="External" /><Relationship Id="rId6" Type="http://schemas.openxmlformats.org/officeDocument/2006/relationships/footer" Target="footer1.xml" /><Relationship Id="rId7" Type="http://schemas.openxmlformats.org/officeDocument/2006/relationships/hyperlink" Target="https://www.bls.gov/news.release/ecec.t02.htm" TargetMode="External" /><Relationship Id="rId8" Type="http://schemas.openxmlformats.org/officeDocument/2006/relationships/hyperlink" Target="https://data.bls.gov/oesprofile/" TargetMode="External" /><Relationship Id="rId9" Type="http://schemas.openxmlformats.org/officeDocument/2006/relationships/hyperlink" Target="https://www.opm.gov/policy-data-oversight/pay-leave/salaries-wages/salary-tables/pdf/2025/RUS.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39fFZD5BNma/kxI85ONxMH/OQ==">CgMxLjAyDmgubm1oamd4cnFha2F0OABqMgoUc3VnZ2VzdC5pbHMxOWVmcGVnNTQSGkJlbGVtIExvcGV6IC0gTk9BQSBGZWRlcmFsajIKFHN1Z2dlc3QuM3YxeXlkb2N5dHkwEhpCZWxlbSBMb3BleiAtIE5PQUEgRmVkZXJhbGoyChRzdWdnZXN0LmIyYzAwbzlieHlndxIaQmVsZW0gTG9wZXogLSBOT0FBIEZlZGVyYWxyITFCU1dFOFE2YnVIaHljR1R6aXNlcXUwX2hBYUtjUnN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NOAA 1200 CORPSRV</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2</cp:revision>
  <dcterms:created xsi:type="dcterms:W3CDTF">2025-06-24T13:54:00Z</dcterms:created>
  <dcterms:modified xsi:type="dcterms:W3CDTF">2026-01-16T21:40:00Z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