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4407" w14:paraId="00000001" w14:textId="77777777">
      <w:pPr>
        <w:pStyle w:val="Heading1"/>
        <w:ind w:left="0"/>
        <w:jc w:val="center"/>
      </w:pPr>
      <w:r>
        <w:t>SUPPORTING STATEMENT</w:t>
      </w:r>
    </w:p>
    <w:p w:rsidR="000F4407" w14:paraId="00000002" w14:textId="77777777">
      <w:pPr>
        <w:spacing w:before="22" w:line="259" w:lineRule="auto"/>
        <w:ind w:firstLine="14"/>
        <w:jc w:val="center"/>
        <w:rPr>
          <w:b/>
          <w:bCs/>
        </w:rPr>
      </w:pPr>
      <w:r>
        <w:rPr>
          <w:b/>
          <w:bCs/>
        </w:rPr>
        <w:t>U.S. Department of Commerce</w:t>
      </w:r>
    </w:p>
    <w:p w:rsidR="000F4407" w14:paraId="00000003" w14:textId="77777777">
      <w:pPr>
        <w:spacing w:before="22" w:line="259" w:lineRule="auto"/>
        <w:ind w:firstLine="14"/>
        <w:jc w:val="center"/>
        <w:rPr>
          <w:b/>
          <w:bCs/>
        </w:rPr>
      </w:pPr>
      <w:r>
        <w:rPr>
          <w:b/>
          <w:bCs/>
        </w:rPr>
        <w:t>National Oceanic &amp; Atmospheric Administration</w:t>
      </w:r>
    </w:p>
    <w:p w:rsidR="000F4407" w14:paraId="00000004" w14:textId="77777777">
      <w:pPr>
        <w:spacing w:line="259" w:lineRule="auto"/>
        <w:ind w:hanging="6"/>
        <w:jc w:val="center"/>
        <w:rPr>
          <w:b/>
          <w:bCs/>
        </w:rPr>
      </w:pPr>
      <w:r>
        <w:rPr>
          <w:b/>
          <w:bCs/>
        </w:rPr>
        <w:t xml:space="preserve">Generic Clearance </w:t>
      </w:r>
      <w:r>
        <w:rPr>
          <w:b/>
          <w:bCs/>
        </w:rPr>
        <w:t>For</w:t>
      </w:r>
      <w:r>
        <w:rPr>
          <w:b/>
          <w:bCs/>
        </w:rPr>
        <w:t xml:space="preserve"> NWS Risk Communication, Evaluation, and Feedback</w:t>
      </w:r>
    </w:p>
    <w:p w:rsidR="000F4407" w14:paraId="00000005" w14:textId="77777777">
      <w:pPr>
        <w:spacing w:line="276" w:lineRule="auto"/>
        <w:ind w:hanging="6"/>
        <w:jc w:val="center"/>
        <w:rPr>
          <w:b/>
          <w:bCs/>
        </w:rPr>
      </w:pPr>
      <w:r>
        <w:rPr>
          <w:b/>
          <w:bCs/>
        </w:rPr>
        <w:t>NWS Post-Event Review Surveys, Interviews, and Focus Groups</w:t>
      </w:r>
    </w:p>
    <w:p w:rsidR="000F4407" w14:paraId="00000006" w14:textId="77777777">
      <w:pPr>
        <w:spacing w:line="259" w:lineRule="auto"/>
        <w:ind w:hanging="6"/>
        <w:jc w:val="center"/>
        <w:rPr>
          <w:b/>
          <w:bCs/>
        </w:rPr>
      </w:pPr>
      <w:r>
        <w:rPr>
          <w:b/>
          <w:bCs/>
        </w:rPr>
        <w:t>OMB Control No. 0648-0830</w:t>
      </w:r>
    </w:p>
    <w:p w:rsidR="000F4407" w14:paraId="00000007" w14:textId="77777777">
      <w:pPr>
        <w:spacing w:before="80"/>
        <w:rPr>
          <w:b/>
          <w:bCs/>
          <w:color w:val="FF0000"/>
        </w:rPr>
      </w:pPr>
    </w:p>
    <w:p w:rsidR="000F4407" w14:paraId="00000008" w14:textId="77777777">
      <w:pPr>
        <w:spacing w:before="161"/>
        <w:rPr>
          <w:b/>
          <w:bCs/>
        </w:rPr>
      </w:pPr>
      <w:r>
        <w:rPr>
          <w:b/>
          <w:bCs/>
        </w:rPr>
        <w:t>B. Collections of Information Employing Statistical Methods</w:t>
      </w:r>
    </w:p>
    <w:p w:rsidR="000F4407" w14:paraId="00000009" w14:textId="77777777">
      <w:pPr>
        <w:pStyle w:val="Heading1"/>
        <w:numPr>
          <w:ilvl w:val="0"/>
          <w:numId w:val="1"/>
        </w:numPr>
        <w:tabs>
          <w:tab w:val="left" w:pos="360"/>
        </w:tabs>
        <w:spacing w:before="185"/>
        <w:ind w:left="0" w:firstLine="0"/>
      </w:pPr>
      <w: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0F4407" w14:paraId="0000000A" w14:textId="1B083E01">
      <w:pPr>
        <w:spacing w:before="161"/>
      </w:pPr>
      <w:r>
        <w:t>NWS Post-Event Reviews (PERs) will use surveys, interviews, and focus groups to gather respondents' experiences with particular hazardous weather and water events. PERs' two respondent universes contain 1) customers who are members of the public (i.e., households and individuals) who experienced the hazardous weather or water event and 2) stakeholders who are NWS Core Partners (e.g., federal, state, and local government units, media, emergency managers, etc.) whose area of responsibility was also impacted by the hazardous weather or water event the PER team is reviewing.</w:t>
      </w:r>
    </w:p>
    <w:p w:rsidR="000F4407" w14:paraId="0000000B" w14:textId="77777777"/>
    <w:p w:rsidR="000F4407" w14:paraId="0000000C" w14:textId="77777777">
      <w:r>
        <w:t xml:space="preserve">Each PER team will conduct Event Research where the team reviews local NWS operational unit(s) reported weather impacts, shift logs, </w:t>
      </w:r>
      <w:r>
        <w:t>NWSChat</w:t>
      </w:r>
      <w:r>
        <w:t xml:space="preserve"> history, and Core Partner lists and then uses this information to determine which customer and stakeholder groups they should contact. For stakeholder participation, PER teams will use established NWS operational relationships to request stakeholder participation in surveys, interviews, and/or focus groups at the stakeholders' convenience. This correspondence will take place via email. Stakeholder respondents are professionals that commonly use NWS products/services and have established professional relationships with their local NWS operational unit. Therefore, we anticipate Stakeholder participation in surveys, interviews, and focus groups to be at least 80 percent. </w:t>
      </w:r>
    </w:p>
    <w:p w:rsidR="000F4407" w14:paraId="0000000D" w14:textId="77777777">
      <w:r>
        <w:t xml:space="preserve"> </w:t>
      </w:r>
    </w:p>
    <w:p w:rsidR="000F4407" w14:paraId="0000000E" w14:textId="77777777">
      <w:r>
        <w:t xml:space="preserve">Participation from customers who are a member of the public will be requested via NWS operational units' social media, Core Partners sharing materials such as links to surveys or putting the PER team in contact with community organizations that may want to host an interview or focus group, and/or the PER team handing out surveys to community members at locations identified during the Event Research. Previous PER efforts revealed that passing out survey QR codes and paper surveys have higher response rates when distributed in locations locals frequent vs. more tourist and visitor locations. </w:t>
      </w:r>
    </w:p>
    <w:p w:rsidR="000F4407" w14:paraId="0000000F" w14:textId="77777777"/>
    <w:p w:rsidR="000F4407" w14:paraId="00000010" w14:textId="263F76C5">
      <w:r>
        <w:t xml:space="preserve">To ensure we are sampling only customers that experienced the weather or water event, the second survey question asks the participant if they were in the PER location of interest during the event. Since these surveys will be open to anyone in the location of interest, the sampling strategy is most closely aligned with voluntary response sampling. It’s expected that response rates be lowered because some may not want to relive potentially difficult experiences and/or be willing to participate in a government survey. To account for this and increase response rates, the PER team will use mixed methods (e.g., survey, interview, focus groups, etc.) to obtain a wide range of customer experiences. </w:t>
      </w:r>
    </w:p>
    <w:p w:rsidR="000F4407" w14:paraId="00000011" w14:textId="77777777">
      <w:pPr>
        <w:spacing w:before="161"/>
        <w:rPr>
          <w:b/>
          <w:bCs/>
        </w:rPr>
      </w:pPr>
    </w:p>
    <w:p w:rsidR="000F4407" w14:paraId="00000012" w14:textId="77777777">
      <w:pPr>
        <w:pStyle w:val="Heading1"/>
        <w:numPr>
          <w:ilvl w:val="0"/>
          <w:numId w:val="1"/>
        </w:numPr>
        <w:tabs>
          <w:tab w:val="left" w:pos="360"/>
        </w:tabs>
        <w:ind w:left="0" w:firstLine="0"/>
      </w:pPr>
      <w:r>
        <w:t>Describe the procedures for the collection of information including:</w:t>
      </w:r>
    </w:p>
    <w:p w:rsidR="000F4407" w14:paraId="00000013" w14:textId="77777777">
      <w:pPr>
        <w:numPr>
          <w:ilvl w:val="1"/>
          <w:numId w:val="1"/>
        </w:numPr>
        <w:pBdr>
          <w:top w:val="nil"/>
          <w:left w:val="nil"/>
          <w:bottom w:val="nil"/>
          <w:right w:val="nil"/>
          <w:between w:val="nil"/>
        </w:pBdr>
        <w:tabs>
          <w:tab w:val="left" w:pos="720"/>
        </w:tabs>
        <w:spacing w:before="120"/>
        <w:ind w:left="360" w:firstLine="0"/>
      </w:pPr>
      <w:r>
        <w:rPr>
          <w:color w:val="000000"/>
        </w:rPr>
        <w:t>Statistical methodology for stratification and sample selection,</w:t>
      </w:r>
    </w:p>
    <w:p w:rsidR="000F4407" w14:paraId="00000014" w14:textId="77777777">
      <w:pPr>
        <w:numPr>
          <w:ilvl w:val="1"/>
          <w:numId w:val="1"/>
        </w:numPr>
        <w:pBdr>
          <w:top w:val="nil"/>
          <w:left w:val="nil"/>
          <w:bottom w:val="nil"/>
          <w:right w:val="nil"/>
          <w:between w:val="nil"/>
        </w:pBdr>
        <w:tabs>
          <w:tab w:val="left" w:pos="720"/>
        </w:tabs>
        <w:spacing w:before="120"/>
        <w:ind w:left="360" w:firstLine="0"/>
      </w:pPr>
      <w:r>
        <w:rPr>
          <w:color w:val="000000"/>
        </w:rPr>
        <w:t>Estimation procedure,</w:t>
      </w:r>
    </w:p>
    <w:p w:rsidR="000F4407" w14:paraId="00000015" w14:textId="77777777">
      <w:pPr>
        <w:numPr>
          <w:ilvl w:val="1"/>
          <w:numId w:val="1"/>
        </w:numPr>
        <w:pBdr>
          <w:top w:val="nil"/>
          <w:left w:val="nil"/>
          <w:bottom w:val="nil"/>
          <w:right w:val="nil"/>
          <w:between w:val="nil"/>
        </w:pBdr>
        <w:tabs>
          <w:tab w:val="left" w:pos="720"/>
        </w:tabs>
        <w:spacing w:before="120"/>
        <w:ind w:left="360" w:firstLine="0"/>
      </w:pPr>
      <w:r>
        <w:rPr>
          <w:color w:val="000000"/>
        </w:rPr>
        <w:t>Degree of accuracy needed for the purpose described in the justification,</w:t>
      </w:r>
    </w:p>
    <w:p w:rsidR="000F4407" w14:paraId="00000016" w14:textId="77777777">
      <w:pPr>
        <w:numPr>
          <w:ilvl w:val="1"/>
          <w:numId w:val="1"/>
        </w:numPr>
        <w:pBdr>
          <w:top w:val="nil"/>
          <w:left w:val="nil"/>
          <w:bottom w:val="nil"/>
          <w:right w:val="nil"/>
          <w:between w:val="nil"/>
        </w:pBdr>
        <w:tabs>
          <w:tab w:val="left" w:pos="720"/>
        </w:tabs>
        <w:spacing w:before="120"/>
        <w:ind w:left="360" w:firstLine="0"/>
      </w:pPr>
      <w:r>
        <w:rPr>
          <w:color w:val="000000"/>
        </w:rPr>
        <w:t>Unusual problems requiring specialized sampling procedures, and</w:t>
      </w:r>
    </w:p>
    <w:p w:rsidR="000F4407" w14:paraId="00000017" w14:textId="77777777">
      <w:pPr>
        <w:numPr>
          <w:ilvl w:val="1"/>
          <w:numId w:val="1"/>
        </w:numPr>
        <w:pBdr>
          <w:top w:val="nil"/>
          <w:left w:val="nil"/>
          <w:bottom w:val="nil"/>
          <w:right w:val="nil"/>
          <w:between w:val="nil"/>
        </w:pBdr>
        <w:tabs>
          <w:tab w:val="left" w:pos="720"/>
        </w:tabs>
        <w:spacing w:before="120"/>
        <w:ind w:left="360" w:firstLine="0"/>
      </w:pPr>
      <w:r>
        <w:rPr>
          <w:color w:val="000000"/>
        </w:rPr>
        <w:t>Any use of periodic (less frequent than annual) data collection cycles to reduce burden.</w:t>
      </w:r>
    </w:p>
    <w:p w:rsidR="000F4407" w14:paraId="00000018" w14:textId="1E160B0A">
      <w:pPr>
        <w:tabs>
          <w:tab w:val="left" w:pos="720"/>
        </w:tabs>
        <w:spacing w:before="120"/>
      </w:pPr>
      <w:r>
        <w:rPr>
          <w:u w:val="single"/>
        </w:rPr>
        <w:t>Statistical methodology</w:t>
      </w:r>
      <w:r>
        <w:t xml:space="preserve"> </w:t>
      </w:r>
      <w:r w:rsidR="005B4D5D">
        <w:t>–</w:t>
      </w:r>
      <w:r>
        <w:t xml:space="preserve"> </w:t>
      </w:r>
      <w:r w:rsidR="005B4D5D">
        <w:t>No statistical sampling methodology will be used and r</w:t>
      </w:r>
      <w:r>
        <w:t>esults will not be used to make statements representative of the universe of study, to produce statistical descriptions (careful, repeatable measurements), or to generalize the data beyond the scope of the sample.</w:t>
      </w:r>
    </w:p>
    <w:p w:rsidR="000F4407" w14:paraId="00000019" w14:textId="77777777">
      <w:pPr>
        <w:tabs>
          <w:tab w:val="left" w:pos="720"/>
        </w:tabs>
        <w:spacing w:before="120"/>
      </w:pPr>
      <w:r>
        <w:rPr>
          <w:u w:val="single"/>
        </w:rPr>
        <w:t>Estimation procedure</w:t>
      </w:r>
      <w:r>
        <w:t xml:space="preserve"> - The NWS does not need to extrapolate the results to the population and will therefore not need to estimate population parameters from the collected data. This also means that the accuracy of the estimates is not meaningful to calculate.</w:t>
      </w:r>
    </w:p>
    <w:p w:rsidR="000F4407" w14:paraId="0000001A" w14:textId="77777777">
      <w:pPr>
        <w:tabs>
          <w:tab w:val="left" w:pos="720"/>
        </w:tabs>
        <w:spacing w:before="120"/>
      </w:pPr>
      <w:r>
        <w:rPr>
          <w:u w:val="single"/>
        </w:rPr>
        <w:t>Degree of accuracy needed</w:t>
      </w:r>
      <w:r>
        <w:t xml:space="preserve"> - The surveys, interviews, and focus groups are tools used by the PER teams to inform improvements to NWS operations, products, and services, and to better understand customer and stakeholder experiences. The accuracy, reliability, and applicability of the results of these collections are adequate for their purpose. The samples associated with this collection are not subjected to the same scrutiny as scientifically drawn samples where estimates are published in an academic journal.</w:t>
      </w:r>
    </w:p>
    <w:p w:rsidR="000F4407" w14:paraId="0000001B" w14:textId="77777777">
      <w:pPr>
        <w:tabs>
          <w:tab w:val="left" w:pos="720"/>
        </w:tabs>
        <w:spacing w:before="120"/>
      </w:pPr>
      <w:r>
        <w:rPr>
          <w:u w:val="single"/>
        </w:rPr>
        <w:t>Unusual problems requiring specialized sampling procedures</w:t>
      </w:r>
      <w:r>
        <w:t xml:space="preserve"> - None</w:t>
      </w:r>
    </w:p>
    <w:p w:rsidR="000F4407" w14:paraId="0000001C" w14:textId="77777777">
      <w:pPr>
        <w:tabs>
          <w:tab w:val="left" w:pos="720"/>
        </w:tabs>
        <w:spacing w:before="120"/>
      </w:pPr>
      <w:r>
        <w:rPr>
          <w:u w:val="single"/>
        </w:rPr>
        <w:t>Any use of periodic (less frequent than annual) data collection cycles to reduce burden</w:t>
      </w:r>
      <w:r>
        <w:t xml:space="preserve"> - Not applicable</w:t>
      </w:r>
    </w:p>
    <w:p w:rsidR="000F4407" w14:paraId="0000001D" w14:textId="77777777">
      <w:pPr>
        <w:pBdr>
          <w:top w:val="nil"/>
          <w:left w:val="nil"/>
          <w:bottom w:val="nil"/>
          <w:right w:val="nil"/>
          <w:between w:val="nil"/>
        </w:pBdr>
        <w:spacing w:before="221" w:line="259" w:lineRule="auto"/>
        <w:rPr>
          <w:color w:val="1F4E79"/>
        </w:rPr>
      </w:pPr>
    </w:p>
    <w:p w:rsidR="000F4407" w14:paraId="0000001E" w14:textId="77777777">
      <w:pPr>
        <w:pStyle w:val="Heading1"/>
        <w:numPr>
          <w:ilvl w:val="0"/>
          <w:numId w:val="1"/>
        </w:numPr>
        <w:tabs>
          <w:tab w:val="left" w:pos="360"/>
        </w:tabs>
        <w:spacing w:before="159"/>
        <w:ind w:left="0" w:firstLine="0"/>
      </w:pPr>
      <w: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0F4407" w14:paraId="0000001F" w14:textId="77777777">
      <w:pPr>
        <w:spacing w:before="161"/>
      </w:pPr>
      <w:r>
        <w:t>Information collected under this generic clearance will not yield generalizable quantitative findings; but the results will provide useful customer and stakeholder input. The information collected will be used to inform Post-Event Reviews (PERs) which will be used to understand how customers and stakeholders consume weather and water data, use the information in their hazardous weather decision making, and understand weather and water impacts. These results will allow the NWS to inform improvements to its products and services.</w:t>
      </w:r>
    </w:p>
    <w:p w:rsidR="000F4407" w14:paraId="00000020" w14:textId="77777777"/>
    <w:p w:rsidR="000F4407" w14:paraId="00000021" w14:textId="77777777">
      <w:r>
        <w:t xml:space="preserve">The PER teams will maximize response rates by using local NWS operational units' contact lists, social media, and </w:t>
      </w:r>
      <w:r>
        <w:t>NWSChat</w:t>
      </w:r>
      <w:r>
        <w:t xml:space="preserve"> accounts to recruit participants for surveys, interviews, and focus groups. For non-stakeholder, members of the public, the team will also recruit at locations locals frequent. Data collection protocols will state that all questions are optional. </w:t>
      </w:r>
    </w:p>
    <w:p w:rsidR="000F4407" w14:paraId="00000022" w14:textId="77777777">
      <w:pPr>
        <w:pStyle w:val="Heading1"/>
        <w:numPr>
          <w:ilvl w:val="0"/>
          <w:numId w:val="1"/>
        </w:numPr>
        <w:tabs>
          <w:tab w:val="left" w:pos="360"/>
        </w:tabs>
        <w:spacing w:before="183"/>
        <w:ind w:left="0" w:firstLine="0"/>
      </w:pPr>
      <w: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0F4407" w14:paraId="00000023" w14:textId="77777777">
      <w:pPr>
        <w:pBdr>
          <w:top w:val="nil"/>
          <w:left w:val="nil"/>
          <w:bottom w:val="nil"/>
          <w:right w:val="nil"/>
          <w:between w:val="nil"/>
        </w:pBdr>
        <w:spacing w:line="259" w:lineRule="auto"/>
        <w:rPr>
          <w:color w:val="2F5496"/>
        </w:rPr>
      </w:pPr>
    </w:p>
    <w:p w:rsidR="000F4407" w14:paraId="00000024" w14:textId="77777777">
      <w:pPr>
        <w:pBdr>
          <w:top w:val="nil"/>
          <w:left w:val="nil"/>
          <w:bottom w:val="nil"/>
          <w:right w:val="nil"/>
          <w:between w:val="nil"/>
        </w:pBdr>
        <w:spacing w:line="259" w:lineRule="auto"/>
      </w:pPr>
      <w:r>
        <w:t xml:space="preserve">The NWS Office of Science and Technology Integration contracted </w:t>
      </w:r>
      <w:r>
        <w:t>Abt</w:t>
      </w:r>
      <w:r>
        <w:t xml:space="preserve"> Global to create and test the </w:t>
      </w:r>
      <w:r>
        <w:t xml:space="preserve">survey, interview, and focus group questions. </w:t>
      </w:r>
      <w:r>
        <w:t>Abt</w:t>
      </w:r>
      <w:r>
        <w:t xml:space="preserve"> Global tested their protocols on fewer than 10 respondents during each of their five case studies. </w:t>
      </w:r>
      <w:r>
        <w:t>Abt</w:t>
      </w:r>
      <w:r>
        <w:t xml:space="preserve"> Global used their Event Research protocol to identify which communities and NWS Core Partners they would interact with and reported their results through regularly scheduled meetings with the NWS and written final case study reports. </w:t>
      </w:r>
      <w:r>
        <w:t>Abt</w:t>
      </w:r>
      <w:r>
        <w:t xml:space="preserve"> Global refined the surveys, interview, and focus group questions and administration procedures after each of the five case studies.</w:t>
      </w:r>
    </w:p>
    <w:p w:rsidR="000F4407" w14:paraId="00000025" w14:textId="77777777">
      <w:pPr>
        <w:pBdr>
          <w:top w:val="nil"/>
          <w:left w:val="nil"/>
          <w:bottom w:val="nil"/>
          <w:right w:val="nil"/>
          <w:between w:val="nil"/>
        </w:pBdr>
        <w:spacing w:line="259" w:lineRule="auto"/>
      </w:pPr>
    </w:p>
    <w:p w:rsidR="000F4407" w14:paraId="00000026" w14:textId="77777777">
      <w:pPr>
        <w:pBdr>
          <w:top w:val="nil"/>
          <w:left w:val="nil"/>
          <w:bottom w:val="nil"/>
          <w:right w:val="nil"/>
          <w:between w:val="nil"/>
        </w:pBdr>
        <w:spacing w:line="259" w:lineRule="auto"/>
      </w:pPr>
      <w:r>
        <w:t xml:space="preserve">The Service Delivery Evaluation (SDE) Program and Service Assessment Program Manager further refined the questions based on their social science expertise and experience with NWS Core Partners. Case studies were conducted internally by the NWS SDE PER team to ensure that </w:t>
      </w:r>
      <w:r>
        <w:t>Abt</w:t>
      </w:r>
      <w:r>
        <w:t xml:space="preserve"> Global generated instruments could be used with NWS stakeholders. As a result, the PER team refined PER instruments to enhance utility and application of the materials for future PER events.</w:t>
      </w:r>
    </w:p>
    <w:p w:rsidR="000F4407" w14:paraId="00000027" w14:textId="77777777">
      <w:pPr>
        <w:pBdr>
          <w:top w:val="nil"/>
          <w:left w:val="nil"/>
          <w:bottom w:val="nil"/>
          <w:right w:val="nil"/>
          <w:between w:val="nil"/>
        </w:pBdr>
        <w:spacing w:before="161" w:line="259" w:lineRule="auto"/>
        <w:rPr>
          <w:color w:val="2F5496"/>
        </w:rPr>
      </w:pPr>
    </w:p>
    <w:p w:rsidR="000F4407" w14:paraId="00000028" w14:textId="77777777">
      <w:pPr>
        <w:pStyle w:val="Heading1"/>
        <w:numPr>
          <w:ilvl w:val="0"/>
          <w:numId w:val="1"/>
        </w:numPr>
        <w:tabs>
          <w:tab w:val="left" w:pos="360"/>
        </w:tabs>
        <w:spacing w:before="183"/>
        <w:ind w:left="0" w:firstLine="0"/>
      </w:pPr>
      <w:r>
        <w:t>Provide the name and telephone number of individuals consulted on statistical aspects of the design and the name of the agency unit, contractor(s), grantee(s), or other person(s) who will actually collect and/or analyze the information for the agency.</w:t>
      </w:r>
    </w:p>
    <w:p w:rsidR="000F4407" w14:paraId="00000029" w14:textId="77777777"/>
    <w:p w:rsidR="000F4407" w14:paraId="0000002A" w14:textId="77777777">
      <w:pPr>
        <w:tabs>
          <w:tab w:val="left" w:pos="720"/>
        </w:tabs>
        <w:spacing w:before="120"/>
      </w:pPr>
      <w:r>
        <w:t>Results will not be used to make statements representative of the universe of study, to produce statistical descriptions (careful, repeatable measurements), or to generalize the data beyond the scope of the sample. With that in mind, there was not a need to consult on the statistical aspects of the design. The following people are points of contact for the NWS Post-Event Review customer and stakeholder surveys, interviews, and focus groups:</w:t>
      </w:r>
    </w:p>
    <w:p w:rsidR="000F4407" w14:paraId="0000002B" w14:textId="77777777"/>
    <w:p w:rsidR="000F4407" w14:paraId="0000002C" w14:textId="77777777">
      <w:pPr>
        <w:spacing w:line="259" w:lineRule="auto"/>
      </w:pPr>
      <w:r>
        <w:t>Service Delivery Evaluation Program Social Scientist: Valerie Were, Ph.D.</w:t>
      </w:r>
    </w:p>
    <w:p w:rsidR="000F4407" w14:paraId="0000002D" w14:textId="77777777">
      <w:pPr>
        <w:spacing w:line="259" w:lineRule="auto"/>
      </w:pPr>
      <w:r>
        <w:t xml:space="preserve">Service Delivery Evaluation Program </w:t>
      </w:r>
      <w:r>
        <w:t>Program</w:t>
      </w:r>
      <w:r>
        <w:t xml:space="preserve"> Director: Ji Sun Lee</w:t>
      </w:r>
    </w:p>
    <w:p w:rsidR="000F4407" w14:paraId="0000002E" w14:textId="77777777">
      <w:pPr>
        <w:spacing w:line="259" w:lineRule="auto"/>
      </w:pPr>
      <w:r>
        <w:t>Service Delivery Evaluation Program Evaluation &amp; Metrics Lead: Belem G López, Ph.D.</w:t>
      </w:r>
    </w:p>
    <w:p w:rsidR="000F4407" w14:paraId="0000002F" w14:textId="77777777">
      <w:pPr>
        <w:spacing w:line="259" w:lineRule="auto"/>
      </w:pPr>
      <w:r>
        <w:t xml:space="preserve">Service Assessment Program Manager: Jamie </w:t>
      </w:r>
      <w:r>
        <w:t>Enderlen</w:t>
      </w:r>
    </w:p>
    <w:p w:rsidR="000F4407" w14:paraId="00000030" w14:textId="77777777">
      <w:pPr>
        <w:rPr>
          <w:color w:val="9900FF"/>
        </w:rPr>
      </w:pPr>
    </w:p>
    <w:p w:rsidR="000F4407" w14:paraId="00000031" w14:textId="77777777">
      <w:pPr>
        <w:rPr>
          <w:color w:val="9900FF"/>
        </w:rPr>
      </w:pPr>
    </w:p>
    <w:sectPr>
      <w:pgSz w:w="12240" w:h="15840"/>
      <w:pgMar w:top="640" w:right="1080" w:bottom="1200" w:left="1080" w:header="0" w:footer="101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6B90F7C-3672-494C-8D5F-86ABD88C31F9}"/>
  </w:font>
  <w:font w:name="Calibri Light">
    <w:panose1 w:val="020F0302020204030204"/>
    <w:charset w:val="00"/>
    <w:family w:val="swiss"/>
    <w:pitch w:val="variable"/>
    <w:sig w:usb0="E4002EFF" w:usb1="C200247B" w:usb2="00000009" w:usb3="00000000" w:csb0="000001FF" w:csb1="00000000"/>
    <w:embedRegular r:id="rId2" w:fontKey="{53BCD12E-C2E7-4D3F-B41C-1956942AF24E}"/>
  </w:font>
  <w:font w:name="Calibri">
    <w:panose1 w:val="020F0502020204030204"/>
    <w:charset w:val="00"/>
    <w:family w:val="swiss"/>
    <w:pitch w:val="variable"/>
    <w:sig w:usb0="E4002EFF" w:usb1="C200247B" w:usb2="00000009" w:usb3="00000000" w:csb0="000001FF" w:csb1="00000000"/>
    <w:embedRegular r:id="rId3" w:fontKey="{4D0D75DC-CEAB-4C2F-BFF9-A76B981A515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6D586D"/>
    <w:multiLevelType w:val="multilevel"/>
    <w:tmpl w:val="51326CD0"/>
    <w:lvl w:ilvl="0">
      <w:start w:val="1"/>
      <w:numFmt w:val="decimal"/>
      <w:lvlText w:val="%1."/>
      <w:lvlJc w:val="left"/>
      <w:pPr>
        <w:ind w:left="400" w:hanging="269"/>
      </w:pPr>
      <w:rPr>
        <w:rFonts w:ascii="Arial" w:eastAsia="Arial" w:hAnsi="Arial" w:cs="Arial"/>
        <w:b/>
        <w:bCs/>
        <w:sz w:val="24"/>
        <w:szCs w:val="24"/>
      </w:rPr>
    </w:lvl>
    <w:lvl w:ilvl="1">
      <w:start w:val="0"/>
      <w:numFmt w:val="bullet"/>
      <w:lvlText w:val="●"/>
      <w:lvlJc w:val="left"/>
      <w:pPr>
        <w:ind w:left="1120" w:hanging="360"/>
      </w:pPr>
      <w:rPr>
        <w:rFonts w:ascii="Noto Sans Symbols" w:eastAsia="Noto Sans Symbols" w:hAnsi="Noto Sans Symbols" w:cs="Noto Sans Symbols"/>
        <w:color w:val="2F5496"/>
        <w:sz w:val="20"/>
        <w:szCs w:val="20"/>
      </w:rPr>
    </w:lvl>
    <w:lvl w:ilvl="2">
      <w:start w:val="0"/>
      <w:numFmt w:val="bullet"/>
      <w:lvlText w:val="•"/>
      <w:lvlJc w:val="left"/>
      <w:pPr>
        <w:ind w:left="2273" w:hanging="360"/>
      </w:pPr>
    </w:lvl>
    <w:lvl w:ilvl="3">
      <w:start w:val="0"/>
      <w:numFmt w:val="bullet"/>
      <w:lvlText w:val="•"/>
      <w:lvlJc w:val="left"/>
      <w:pPr>
        <w:ind w:left="3426" w:hanging="360"/>
      </w:pPr>
    </w:lvl>
    <w:lvl w:ilvl="4">
      <w:start w:val="0"/>
      <w:numFmt w:val="bullet"/>
      <w:lvlText w:val="•"/>
      <w:lvlJc w:val="left"/>
      <w:pPr>
        <w:ind w:left="4580" w:hanging="360"/>
      </w:pPr>
    </w:lvl>
    <w:lvl w:ilvl="5">
      <w:start w:val="0"/>
      <w:numFmt w:val="bullet"/>
      <w:lvlText w:val="•"/>
      <w:lvlJc w:val="left"/>
      <w:pPr>
        <w:ind w:left="5733" w:hanging="360"/>
      </w:pPr>
    </w:lvl>
    <w:lvl w:ilvl="6">
      <w:start w:val="0"/>
      <w:numFmt w:val="bullet"/>
      <w:lvlText w:val="•"/>
      <w:lvlJc w:val="left"/>
      <w:pPr>
        <w:ind w:left="6886" w:hanging="360"/>
      </w:pPr>
    </w:lvl>
    <w:lvl w:ilvl="7">
      <w:start w:val="0"/>
      <w:numFmt w:val="bullet"/>
      <w:lvlText w:val="•"/>
      <w:lvlJc w:val="left"/>
      <w:pPr>
        <w:ind w:left="8040" w:hanging="360"/>
      </w:pPr>
    </w:lvl>
    <w:lvl w:ilvl="8">
      <w:start w:val="0"/>
      <w:numFmt w:val="bullet"/>
      <w:lvlText w:val="•"/>
      <w:lvlJc w:val="left"/>
      <w:pPr>
        <w:ind w:left="9193" w:hanging="360"/>
      </w:pPr>
    </w:lvl>
  </w:abstractNum>
  <w:num w:numId="1" w16cid:durableId="95906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407"/>
    <w:rsid w:val="000B3557"/>
    <w:rsid w:val="000F4407"/>
    <w:rsid w:val="00117D6D"/>
    <w:rsid w:val="004E25F5"/>
    <w:rsid w:val="005B4D5D"/>
    <w:rsid w:val="0083576C"/>
    <w:rsid w:val="00F34F43"/>
    <w:rsid w:val="00F458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CC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80"/>
      <w:ind w:left="4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1"/>
    <w:rsid w:val="00892544"/>
    <w:rPr>
      <w:rFonts w:ascii="Arial" w:eastAsia="Arial" w:hAnsi="Arial" w:cs="Arial"/>
      <w:b/>
      <w:bCs/>
      <w:sz w:val="24"/>
      <w:szCs w:val="24"/>
      <w:lang w:bidi="en-US"/>
    </w:rPr>
  </w:style>
  <w:style w:type="paragraph" w:styleId="BodyText">
    <w:name w:val="Body Text"/>
    <w:basedOn w:val="Normal"/>
    <w:link w:val="BodyTextChar"/>
    <w:uiPriority w:val="1"/>
    <w:qFormat/>
    <w:rsid w:val="00892544"/>
    <w:pPr>
      <w:spacing w:before="161"/>
      <w:ind w:left="400"/>
    </w:pPr>
  </w:style>
  <w:style w:type="character" w:customStyle="1" w:styleId="BodyTextChar">
    <w:name w:val="Body Text Char"/>
    <w:basedOn w:val="DefaultParagraphFont"/>
    <w:link w:val="BodyText"/>
    <w:uiPriority w:val="1"/>
    <w:rsid w:val="00892544"/>
    <w:rPr>
      <w:rFonts w:ascii="Arial" w:eastAsia="Arial" w:hAnsi="Arial" w:cs="Arial"/>
      <w:sz w:val="24"/>
      <w:szCs w:val="24"/>
      <w:lang w:bidi="en-US"/>
    </w:rPr>
  </w:style>
  <w:style w:type="paragraph" w:styleId="ListParagraph">
    <w:name w:val="List Paragraph"/>
    <w:basedOn w:val="Normal"/>
    <w:uiPriority w:val="1"/>
    <w:qFormat/>
    <w:rsid w:val="00892544"/>
    <w:pPr>
      <w:spacing w:before="161"/>
      <w:ind w:left="1120" w:hanging="360"/>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5B4D5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HD6Db4IkxZSS9l0itnV9jNDV1Q==">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1345</Words>
  <Characters>7671</Characters>
  <Application>Microsoft Office Word</Application>
  <DocSecurity>0</DocSecurity>
  <Lines>63</Lines>
  <Paragraphs>17</Paragraphs>
  <ScaleCrop>false</ScaleCrop>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2026-01-20T21:56:00Z</dcterms:created>
  <dcterms:modified xsi:type="dcterms:W3CDTF">2026-01-20T21:56:00Z</dcterms:modified>
</cp:coreProperties>
</file>