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232932" w:rsidP="0093611D" w14:paraId="2034781D" w14:textId="77777777">
      <w:pPr>
        <w:spacing w:line="240" w:lineRule="auto"/>
        <w:jc w:val="center"/>
        <w:rPr>
          <w:rFonts w:ascii="Times New Roman" w:hAnsi="Times New Roman" w:cs="Times New Roman"/>
          <w:b/>
          <w:bCs/>
          <w:sz w:val="24"/>
          <w:szCs w:val="24"/>
        </w:rPr>
      </w:pPr>
      <w:r w:rsidRPr="00232932">
        <w:rPr>
          <w:rFonts w:ascii="Times New Roman" w:hAnsi="Times New Roman" w:cs="Times New Roman"/>
          <w:b/>
          <w:bCs/>
          <w:sz w:val="24"/>
          <w:szCs w:val="24"/>
        </w:rPr>
        <w:t>Generic Clearance for Usability Data Collections</w:t>
      </w:r>
    </w:p>
    <w:p w:rsidR="0093611D" w:rsidP="0093611D" w14:paraId="59DB96B6" w14:textId="4EF9AEA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232932">
        <w:rPr>
          <w:rFonts w:ascii="Times New Roman" w:hAnsi="Times New Roman" w:cs="Times New Roman"/>
          <w:b/>
          <w:bCs/>
          <w:sz w:val="24"/>
          <w:szCs w:val="24"/>
        </w:rPr>
        <w:t>0043</w:t>
      </w:r>
    </w:p>
    <w:p w:rsidR="0093611D" w:rsidRPr="0093611D" w:rsidP="0093611D" w14:paraId="5831A945" w14:textId="77777777">
      <w:pPr>
        <w:spacing w:line="240" w:lineRule="auto"/>
        <w:jc w:val="center"/>
        <w:rPr>
          <w:rFonts w:ascii="Times New Roman" w:hAnsi="Times New Roman" w:cs="Times New Roman"/>
          <w:b/>
          <w:bCs/>
          <w:sz w:val="24"/>
          <w:szCs w:val="24"/>
        </w:rPr>
      </w:pP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3611D" w:rsidRPr="0093611D" w:rsidP="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D9270D" w:rsidP="00D9270D" w14:paraId="3294C584" w14:textId="77777777">
      <w:pPr>
        <w:spacing w:line="240" w:lineRule="auto"/>
        <w:rPr>
          <w:rFonts w:ascii="Times New Roman" w:hAnsi="Times New Roman" w:cs="Times New Roman"/>
          <w:sz w:val="24"/>
          <w:szCs w:val="24"/>
        </w:rPr>
      </w:pPr>
      <w:r w:rsidRPr="00D9270D">
        <w:rPr>
          <w:rFonts w:ascii="Times New Roman" w:hAnsi="Times New Roman" w:cs="Times New Roman"/>
          <w:sz w:val="24"/>
          <w:szCs w:val="24"/>
        </w:rPr>
        <w:t>T</w:t>
      </w:r>
      <w:r w:rsidRPr="00D9270D">
        <w:rPr>
          <w:rFonts w:ascii="Times New Roman" w:hAnsi="Times New Roman" w:cs="Times New Roman"/>
          <w:sz w:val="24"/>
          <w:szCs w:val="24"/>
        </w:rPr>
        <w:t>he National Institute of Standards and Technology (NIST), a non-regulatory agency of the Department of Commerce (DOC), proposes to conduct a variety of usability data collections under this generic collection.</w:t>
      </w:r>
    </w:p>
    <w:p w:rsidR="0093611D" w:rsidRPr="00D9270D" w:rsidP="00D9270D" w14:paraId="717F0800" w14:textId="0FB840C8">
      <w:pPr>
        <w:spacing w:line="240" w:lineRule="auto"/>
        <w:rPr>
          <w:rFonts w:ascii="Times New Roman" w:hAnsi="Times New Roman" w:cs="Times New Roman"/>
          <w:sz w:val="24"/>
          <w:szCs w:val="24"/>
        </w:rPr>
      </w:pPr>
      <w:r w:rsidRPr="00D9270D">
        <w:rPr>
          <w:rFonts w:ascii="Times New Roman" w:hAnsi="Times New Roman" w:cs="Times New Roman"/>
          <w:sz w:val="24"/>
          <w:szCs w:val="24"/>
        </w:rPr>
        <w:t xml:space="preserve">The data collections will be designed to determine requirements and evaluate the usability and utility of NIST research for measurement and standardization work.  These data collections efforts may include, but may not be limited to electronic methodologies, empirical studies, video and audio collections, interviews, and questionnaires.  </w:t>
      </w:r>
      <w:r w:rsidR="00CB57DD">
        <w:rPr>
          <w:rFonts w:ascii="Times New Roman" w:hAnsi="Times New Roman" w:cs="Times New Roman"/>
          <w:sz w:val="24"/>
          <w:szCs w:val="24"/>
        </w:rPr>
        <w:t>T</w:t>
      </w:r>
      <w:r w:rsidRPr="00D9270D">
        <w:rPr>
          <w:rFonts w:ascii="Times New Roman" w:hAnsi="Times New Roman" w:cs="Times New Roman"/>
          <w:sz w:val="24"/>
          <w:szCs w:val="24"/>
        </w:rPr>
        <w:t>his includes narrative information explaining the purpose, scope, and benefit(s) of this data collection request.</w:t>
      </w:r>
      <w:r w:rsidRPr="0093611D">
        <w:rPr>
          <w:rFonts w:ascii="Times New Roman" w:hAnsi="Times New Roman" w:cs="Times New Roman"/>
          <w:b/>
          <w:bCs/>
          <w:sz w:val="24"/>
          <w:szCs w:val="24"/>
        </w:rPr>
        <w:t xml:space="preserve"> </w:t>
      </w:r>
    </w:p>
    <w:p w:rsidR="0093611D" w:rsidRPr="0093611D" w:rsidP="0093611D" w14:paraId="3162DF70" w14:textId="77777777">
      <w:pPr>
        <w:spacing w:line="240" w:lineRule="auto"/>
        <w:rPr>
          <w:rFonts w:ascii="Times New Roman" w:hAnsi="Times New Roman" w:cs="Times New Roman"/>
          <w:b/>
          <w:bCs/>
          <w:sz w:val="24"/>
          <w:szCs w:val="24"/>
        </w:rPr>
      </w:pP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RPr="0093611D" w:rsidP="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2932" w:rsidRPr="00D9270D" w:rsidP="00232932" w14:paraId="6DF0FBCC" w14:textId="77777777">
      <w:pPr>
        <w:spacing w:after="0" w:line="240" w:lineRule="auto"/>
        <w:rPr>
          <w:rFonts w:ascii="Times New Roman" w:eastAsia="Times New Roman" w:hAnsi="Times New Roman" w:cs="Times New Roman"/>
          <w:sz w:val="24"/>
          <w:szCs w:val="20"/>
        </w:rPr>
      </w:pPr>
    </w:p>
    <w:p w:rsidR="00232932" w:rsidRPr="00232932" w:rsidP="00232932" w14:paraId="50F8B76C" w14:textId="494AECAB">
      <w:pPr>
        <w:spacing w:after="0" w:line="240" w:lineRule="auto"/>
        <w:rPr>
          <w:rFonts w:ascii="Times New Roman" w:eastAsia="Times New Roman" w:hAnsi="Times New Roman" w:cs="Times New Roman"/>
          <w:sz w:val="24"/>
          <w:szCs w:val="20"/>
        </w:rPr>
      </w:pPr>
      <w:bookmarkStart w:id="0" w:name="_Hlk99444645"/>
      <w:r>
        <w:rPr>
          <w:rFonts w:ascii="Times New Roman" w:eastAsia="Times New Roman" w:hAnsi="Times New Roman" w:cs="Times New Roman"/>
          <w:sz w:val="24"/>
          <w:szCs w:val="20"/>
        </w:rPr>
        <w:t>T</w:t>
      </w:r>
      <w:r w:rsidRPr="00D9270D">
        <w:rPr>
          <w:rFonts w:ascii="Times New Roman" w:eastAsia="Times New Roman" w:hAnsi="Times New Roman" w:cs="Times New Roman"/>
          <w:sz w:val="24"/>
          <w:szCs w:val="20"/>
        </w:rPr>
        <w:t>he National Institute of Standards and Technology (NIST), a non-regulatory agency of the Department of Commerce (DOC), proposes to conduct a variety of usability data collections under this generic collection.</w:t>
      </w:r>
      <w:r w:rsidRPr="00232932">
        <w:rPr>
          <w:rFonts w:ascii="Times New Roman" w:eastAsia="Times New Roman" w:hAnsi="Times New Roman" w:cs="Times New Roman"/>
          <w:sz w:val="24"/>
          <w:szCs w:val="20"/>
        </w:rPr>
        <w:t xml:space="preserve">  </w:t>
      </w:r>
    </w:p>
    <w:p w:rsidR="00232932" w:rsidRPr="00232932" w:rsidP="00232932" w14:paraId="70A17CE1" w14:textId="77777777">
      <w:pPr>
        <w:spacing w:after="0" w:line="240" w:lineRule="auto"/>
        <w:rPr>
          <w:rFonts w:ascii="Times New Roman" w:eastAsia="Times New Roman" w:hAnsi="Times New Roman" w:cs="Times New Roman"/>
          <w:sz w:val="24"/>
          <w:szCs w:val="20"/>
        </w:rPr>
      </w:pPr>
    </w:p>
    <w:p w:rsidR="00232932" w:rsidRPr="00B22C1F" w:rsidP="00232932" w14:paraId="7E40AAFC" w14:textId="77777777">
      <w:pPr>
        <w:spacing w:after="0" w:line="240" w:lineRule="auto"/>
        <w:rPr>
          <w:rFonts w:ascii="Times New Roman" w:eastAsia="Times New Roman" w:hAnsi="Times New Roman" w:cs="Times New Roman"/>
          <w:sz w:val="24"/>
          <w:szCs w:val="20"/>
        </w:rPr>
      </w:pPr>
      <w:r w:rsidRPr="00232932">
        <w:rPr>
          <w:rFonts w:ascii="Times New Roman" w:eastAsia="Times New Roman" w:hAnsi="Times New Roman" w:cs="Times New Roman"/>
          <w:sz w:val="24"/>
          <w:szCs w:val="20"/>
        </w:rPr>
        <w:t xml:space="preserve">The data collections will be designed to determine requirements and evaluate the usability and utility of NIST research for measurement and standardization work.  These data collections </w:t>
      </w:r>
      <w:r w:rsidRPr="00B22C1F">
        <w:rPr>
          <w:rFonts w:ascii="Times New Roman" w:eastAsia="Times New Roman" w:hAnsi="Times New Roman" w:cs="Times New Roman"/>
          <w:sz w:val="24"/>
          <w:szCs w:val="20"/>
        </w:rPr>
        <w:t xml:space="preserve">efforts may include, but may not be limited to electronic methodologies, empirical studies, video and audio collections, interviews, and questionnaires.   </w:t>
      </w:r>
    </w:p>
    <w:bookmarkEnd w:id="0"/>
    <w:p w:rsidR="00232932" w:rsidRPr="00B22C1F" w:rsidP="00232932" w14:paraId="11EC9171" w14:textId="77777777">
      <w:pPr>
        <w:spacing w:after="0" w:line="240" w:lineRule="auto"/>
        <w:rPr>
          <w:rFonts w:ascii="Times New Roman" w:eastAsia="Times New Roman" w:hAnsi="Times New Roman" w:cs="Times New Roman"/>
          <w:sz w:val="24"/>
          <w:szCs w:val="20"/>
        </w:rPr>
      </w:pPr>
    </w:p>
    <w:p w:rsidR="00232932" w:rsidRPr="00232932" w:rsidP="00232932" w14:paraId="265121E0" w14:textId="77777777">
      <w:pPr>
        <w:spacing w:after="0" w:line="240" w:lineRule="auto"/>
        <w:rPr>
          <w:rFonts w:ascii="Times New Roman" w:eastAsia="Times New Roman" w:hAnsi="Times New Roman" w:cs="Times New Roman"/>
          <w:sz w:val="24"/>
          <w:szCs w:val="20"/>
        </w:rPr>
      </w:pPr>
      <w:r w:rsidRPr="00B22C1F">
        <w:rPr>
          <w:rFonts w:ascii="Times New Roman" w:eastAsia="Times New Roman" w:hAnsi="Times New Roman" w:cs="Times New Roman"/>
          <w:sz w:val="24"/>
          <w:szCs w:val="20"/>
        </w:rPr>
        <w:t>NIST will limit its inquiries to data collections</w:t>
      </w:r>
      <w:r w:rsidRPr="00232932">
        <w:rPr>
          <w:rFonts w:ascii="Times New Roman" w:eastAsia="Times New Roman" w:hAnsi="Times New Roman" w:cs="Times New Roman"/>
          <w:sz w:val="24"/>
          <w:szCs w:val="20"/>
        </w:rPr>
        <w:t xml:space="preserve"> that solicit strictly voluntary opinions and information and will not – under this PRA clearance request – collect information that is required (mandatory) or regulated.  </w:t>
      </w:r>
    </w:p>
    <w:p w:rsidR="00232932" w:rsidRPr="00232932" w:rsidP="00232932" w14:paraId="118D4E38" w14:textId="77777777">
      <w:pPr>
        <w:spacing w:after="0" w:line="240" w:lineRule="auto"/>
        <w:rPr>
          <w:rFonts w:ascii="Times New Roman" w:eastAsia="Times New Roman" w:hAnsi="Times New Roman" w:cs="Times New Roman"/>
          <w:b/>
          <w:sz w:val="24"/>
          <w:szCs w:val="20"/>
        </w:rPr>
      </w:pPr>
    </w:p>
    <w:p w:rsidR="00232932" w:rsidRPr="00232932" w:rsidP="00232932" w14:paraId="74FE6487" w14:textId="77777777">
      <w:pPr>
        <w:spacing w:after="0" w:line="240" w:lineRule="auto"/>
        <w:rPr>
          <w:rFonts w:ascii="Times New Roman" w:eastAsia="Times New Roman" w:hAnsi="Times New Roman" w:cs="Times New Roman"/>
          <w:b/>
          <w:bCs/>
          <w:sz w:val="24"/>
          <w:szCs w:val="20"/>
        </w:rPr>
      </w:pPr>
      <w:r w:rsidRPr="00232932">
        <w:rPr>
          <w:rFonts w:ascii="Times New Roman" w:eastAsia="Times New Roman" w:hAnsi="Times New Roman" w:cs="Times New Roman"/>
          <w:sz w:val="24"/>
          <w:szCs w:val="20"/>
        </w:rPr>
        <w:t>For each proposed request using the generic clearance, NIST will submit the actual instrument and any related documents (letters, emails to respondents, scripts, etc.) to OMB along with responses to the following questions:</w:t>
      </w:r>
    </w:p>
    <w:p w:rsidR="00232932" w:rsidRPr="00232932" w:rsidP="00232932" w14:paraId="5E6372FF" w14:textId="77777777">
      <w:pPr>
        <w:spacing w:after="0" w:line="240" w:lineRule="auto"/>
        <w:ind w:firstLine="720"/>
        <w:rPr>
          <w:rFonts w:ascii="Times New Roman" w:eastAsia="Times New Roman" w:hAnsi="Times New Roman" w:cs="Times New Roman"/>
          <w:b/>
          <w:bCs/>
          <w:sz w:val="24"/>
          <w:szCs w:val="20"/>
        </w:rPr>
      </w:pPr>
    </w:p>
    <w:p w:rsidR="00232932" w:rsidRPr="00200203" w:rsidP="00232932" w14:paraId="283F8677" w14:textId="77777777">
      <w:pPr>
        <w:spacing w:after="0" w:line="240" w:lineRule="auto"/>
        <w:ind w:firstLine="720"/>
        <w:rPr>
          <w:rFonts w:ascii="Times New Roman" w:eastAsia="Times New Roman" w:hAnsi="Times New Roman" w:cs="Times New Roman"/>
          <w:sz w:val="24"/>
          <w:szCs w:val="20"/>
        </w:rPr>
      </w:pPr>
      <w:r w:rsidRPr="00200203">
        <w:rPr>
          <w:rFonts w:ascii="Times New Roman" w:eastAsia="Times New Roman" w:hAnsi="Times New Roman" w:cs="Times New Roman"/>
          <w:sz w:val="24"/>
          <w:szCs w:val="20"/>
        </w:rPr>
        <w:t>1.  Explain who will be surveyed and why the group is appropriate to survey.</w:t>
      </w:r>
    </w:p>
    <w:p w:rsidR="00232932" w:rsidRPr="00200203" w:rsidP="00232932" w14:paraId="2816574D" w14:textId="77777777">
      <w:pPr>
        <w:spacing w:after="0" w:line="240" w:lineRule="auto"/>
        <w:rPr>
          <w:rFonts w:ascii="Times New Roman" w:eastAsia="Times New Roman" w:hAnsi="Times New Roman" w:cs="Times New Roman"/>
          <w:sz w:val="24"/>
          <w:szCs w:val="20"/>
        </w:rPr>
      </w:pPr>
    </w:p>
    <w:p w:rsidR="00232932" w:rsidRPr="00200203" w:rsidP="00232932" w14:paraId="7C1FF72A" w14:textId="77777777">
      <w:pPr>
        <w:spacing w:after="0" w:line="240" w:lineRule="auto"/>
        <w:ind w:left="720"/>
        <w:rPr>
          <w:rFonts w:ascii="Times New Roman" w:eastAsia="Times New Roman" w:hAnsi="Times New Roman" w:cs="Times New Roman"/>
          <w:sz w:val="24"/>
          <w:szCs w:val="20"/>
        </w:rPr>
      </w:pPr>
      <w:r w:rsidRPr="00200203">
        <w:rPr>
          <w:rFonts w:ascii="Times New Roman" w:eastAsia="Times New Roman" w:hAnsi="Times New Roman" w:cs="Times New Roman"/>
          <w:sz w:val="24"/>
          <w:szCs w:val="20"/>
        </w:rPr>
        <w:t>2.  Explain how the survey was developed including consultation with interested parties, pre-testing, and responses to suggestions for improvement.</w:t>
      </w:r>
    </w:p>
    <w:p w:rsidR="00232932" w:rsidRPr="00200203" w:rsidP="00232932" w14:paraId="715A106C" w14:textId="77777777">
      <w:pPr>
        <w:spacing w:after="0" w:line="240" w:lineRule="auto"/>
        <w:rPr>
          <w:rFonts w:ascii="Times New Roman" w:eastAsia="Times New Roman" w:hAnsi="Times New Roman" w:cs="Times New Roman"/>
          <w:sz w:val="24"/>
          <w:szCs w:val="20"/>
        </w:rPr>
      </w:pPr>
    </w:p>
    <w:p w:rsidR="00232932" w:rsidRPr="00BE1BEB" w:rsidP="00232932" w14:paraId="2734FD57" w14:textId="77777777">
      <w:pPr>
        <w:spacing w:after="0" w:line="240" w:lineRule="auto"/>
        <w:ind w:left="720"/>
        <w:rPr>
          <w:rFonts w:ascii="Times New Roman" w:eastAsia="Times New Roman" w:hAnsi="Times New Roman" w:cs="Times New Roman"/>
          <w:sz w:val="24"/>
          <w:szCs w:val="20"/>
        </w:rPr>
      </w:pPr>
      <w:r w:rsidRPr="00200203">
        <w:rPr>
          <w:rFonts w:ascii="Times New Roman" w:eastAsia="Times New Roman" w:hAnsi="Times New Roman" w:cs="Times New Roman"/>
          <w:sz w:val="24"/>
          <w:szCs w:val="20"/>
        </w:rPr>
        <w:t xml:space="preserve">3.  Explain how the survey will be conducted, how customers will be sampled if fewer than all customers will be surveyed, expected response rate, and actions your agency </w:t>
      </w:r>
      <w:r w:rsidRPr="00BE1BEB">
        <w:rPr>
          <w:rFonts w:ascii="Times New Roman" w:eastAsia="Times New Roman" w:hAnsi="Times New Roman" w:cs="Times New Roman"/>
          <w:sz w:val="24"/>
          <w:szCs w:val="20"/>
        </w:rPr>
        <w:t>plans to take to improve the response rate.</w:t>
      </w:r>
    </w:p>
    <w:p w:rsidR="00232932" w:rsidRPr="00BE1BEB" w:rsidP="00232932" w14:paraId="36E7C10E" w14:textId="77777777">
      <w:pPr>
        <w:spacing w:after="0" w:line="240" w:lineRule="auto"/>
        <w:ind w:left="720"/>
        <w:rPr>
          <w:rFonts w:ascii="Times New Roman" w:eastAsia="Times New Roman" w:hAnsi="Times New Roman" w:cs="Times New Roman"/>
          <w:sz w:val="24"/>
          <w:szCs w:val="20"/>
        </w:rPr>
      </w:pPr>
    </w:p>
    <w:p w:rsidR="00232932" w:rsidRPr="00BE1BEB" w:rsidP="00232932" w14:paraId="73E616BE" w14:textId="77777777">
      <w:pPr>
        <w:spacing w:after="0" w:line="240" w:lineRule="auto"/>
        <w:ind w:left="720"/>
        <w:rPr>
          <w:rFonts w:ascii="Times New Roman" w:eastAsia="Times New Roman" w:hAnsi="Times New Roman" w:cs="Times New Roman"/>
          <w:sz w:val="24"/>
          <w:szCs w:val="20"/>
        </w:rPr>
      </w:pPr>
      <w:r w:rsidRPr="00BE1BEB">
        <w:rPr>
          <w:rFonts w:ascii="Times New Roman" w:eastAsia="Times New Roman" w:hAnsi="Times New Roman" w:cs="Times New Roman"/>
          <w:sz w:val="24"/>
          <w:szCs w:val="20"/>
        </w:rPr>
        <w:t>4.  Describe how the results of the survey will be analyzed and used to generalize the results to the entire customer population.</w:t>
      </w:r>
    </w:p>
    <w:p w:rsidR="00232932" w:rsidRPr="00BE1BEB" w:rsidP="00232932" w14:paraId="5D035D00" w14:textId="77777777">
      <w:pPr>
        <w:spacing w:after="0" w:line="240" w:lineRule="auto"/>
        <w:rPr>
          <w:rFonts w:ascii="Times New Roman" w:eastAsia="Times New Roman" w:hAnsi="Times New Roman" w:cs="Times New Roman"/>
          <w:bCs/>
          <w:sz w:val="24"/>
          <w:szCs w:val="20"/>
        </w:rPr>
      </w:pPr>
    </w:p>
    <w:p w:rsidR="00232932" w:rsidRPr="00B22C1F" w:rsidP="00232932" w14:paraId="6513AB14" w14:textId="77777777">
      <w:pPr>
        <w:spacing w:after="0" w:line="240" w:lineRule="auto"/>
        <w:rPr>
          <w:rFonts w:ascii="Times New Roman" w:eastAsia="Times New Roman" w:hAnsi="Times New Roman" w:cs="Times New Roman"/>
          <w:bCs/>
          <w:sz w:val="24"/>
          <w:szCs w:val="20"/>
        </w:rPr>
      </w:pPr>
      <w:r w:rsidRPr="00B22C1F">
        <w:rPr>
          <w:rFonts w:ascii="Times New Roman" w:eastAsia="Times New Roman" w:hAnsi="Times New Roman" w:cs="Times New Roman"/>
          <w:bCs/>
          <w:sz w:val="24"/>
          <w:szCs w:val="20"/>
        </w:rPr>
        <w:t>The following collections have been previously approved, are ongoing, and are part of this request.</w:t>
      </w:r>
    </w:p>
    <w:p w:rsidR="00232932" w:rsidRPr="00B22C1F" w:rsidP="00232932" w14:paraId="3E97158D" w14:textId="5B0065A4">
      <w:pPr>
        <w:spacing w:after="0" w:line="240" w:lineRule="auto"/>
        <w:rPr>
          <w:rFonts w:ascii="Times New Roman" w:eastAsia="Times New Roman" w:hAnsi="Times New Roman" w:cs="Times New Roman"/>
          <w:bCs/>
          <w:sz w:val="24"/>
          <w:szCs w:val="20"/>
        </w:rPr>
      </w:pPr>
    </w:p>
    <w:p w:rsidR="00B22C1F" w:rsidP="00232932" w14:paraId="1EFEE1C9" w14:textId="7AA95048">
      <w:pPr>
        <w:spacing w:after="0" w:line="240" w:lineRule="auto"/>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National Safety Council Survey Results and Analysis</w:t>
      </w:r>
    </w:p>
    <w:p w:rsidR="004576C5" w:rsidP="00232932" w14:paraId="35DAF8F6" w14:textId="3A931FF0">
      <w:pPr>
        <w:spacing w:after="0" w:line="240" w:lineRule="auto"/>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Assessing the Effectiveness of Facial Features and Developing Calibrated Facial Proficiency</w:t>
      </w:r>
    </w:p>
    <w:p w:rsidR="004576C5" w:rsidP="00232932" w14:paraId="3A12F0D1" w14:textId="49DDB8D8">
      <w:pPr>
        <w:spacing w:after="0" w:line="240" w:lineRule="auto"/>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Cybersecurity Supply Chain Survey Tool</w:t>
      </w:r>
    </w:p>
    <w:p w:rsidR="004576C5" w:rsidP="00232932" w14:paraId="6DE21FA5" w14:textId="083EA13E">
      <w:pPr>
        <w:spacing w:after="0" w:line="240" w:lineRule="auto"/>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OSAC Forensic Science Service Provider Standards Implementation Survey</w:t>
      </w:r>
    </w:p>
    <w:p w:rsidR="00AC656B" w:rsidP="00AC656B" w14:paraId="6672286F" w14:textId="77777777">
      <w:pPr>
        <w:spacing w:after="0" w:line="240" w:lineRule="auto"/>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Research on People’s Perceptions of Phishing Email Cues Clickers Study</w:t>
      </w:r>
    </w:p>
    <w:p w:rsidR="004576C5" w:rsidP="00232932" w14:paraId="088E5A48" w14:textId="2AA38BFD">
      <w:pPr>
        <w:spacing w:after="0" w:line="240" w:lineRule="auto"/>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Research on People’s Perceptions of Phishing Email Cues Non-Clickers Non-Reporters Study</w:t>
      </w:r>
    </w:p>
    <w:p w:rsidR="004576C5" w:rsidP="00232932" w14:paraId="655B75FD" w14:textId="77C359A9">
      <w:pPr>
        <w:spacing w:after="0" w:line="240" w:lineRule="auto"/>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Research on People’s Perceptions of Phishing Email Cues Reporters Study</w:t>
      </w:r>
    </w:p>
    <w:p w:rsidR="004576C5" w:rsidP="00232932" w14:paraId="4DAC079B" w14:textId="5CE1FC9B">
      <w:pPr>
        <w:spacing w:after="0" w:line="240" w:lineRule="auto"/>
        <w:rPr>
          <w:rFonts w:ascii="Times New Roman" w:eastAsia="Times New Roman" w:hAnsi="Times New Roman" w:cs="Times New Roman"/>
          <w:bCs/>
          <w:sz w:val="24"/>
          <w:szCs w:val="20"/>
        </w:rPr>
      </w:pPr>
      <w:r w:rsidRPr="00AC656B">
        <w:rPr>
          <w:rFonts w:ascii="Times New Roman" w:eastAsia="Times New Roman" w:hAnsi="Times New Roman" w:cs="Times New Roman"/>
          <w:bCs/>
          <w:sz w:val="24"/>
          <w:szCs w:val="20"/>
        </w:rPr>
        <w:t>Human-Centered Cybersecurity</w:t>
      </w:r>
    </w:p>
    <w:p w:rsidR="004576C5" w:rsidP="00232932" w14:paraId="20F4A9B1" w14:textId="5426C5A2">
      <w:pPr>
        <w:spacing w:after="0" w:line="240" w:lineRule="auto"/>
        <w:rPr>
          <w:rFonts w:ascii="Times New Roman" w:eastAsia="Times New Roman" w:hAnsi="Times New Roman" w:cs="Times New Roman"/>
          <w:bCs/>
          <w:sz w:val="24"/>
          <w:szCs w:val="20"/>
        </w:rPr>
      </w:pPr>
      <w:r w:rsidRPr="00AC656B">
        <w:rPr>
          <w:rFonts w:ascii="Times New Roman" w:eastAsia="Times New Roman" w:hAnsi="Times New Roman" w:cs="Times New Roman"/>
          <w:bCs/>
          <w:sz w:val="24"/>
          <w:szCs w:val="20"/>
        </w:rPr>
        <w:t>Digital Twins for Public Safety Training</w:t>
      </w:r>
      <w:r>
        <w:rPr>
          <w:rFonts w:ascii="Times New Roman" w:eastAsia="Times New Roman" w:hAnsi="Times New Roman" w:cs="Times New Roman"/>
          <w:bCs/>
          <w:sz w:val="24"/>
          <w:szCs w:val="20"/>
        </w:rPr>
        <w:t>: HazMat Use Case</w:t>
      </w:r>
    </w:p>
    <w:p w:rsidR="0093611D" w:rsidRPr="00B22C1F" w:rsidP="0093611D" w14:paraId="400C90AC" w14:textId="77777777">
      <w:pPr>
        <w:spacing w:line="240" w:lineRule="auto"/>
      </w:pPr>
    </w:p>
    <w:p w:rsidR="0093611D" w:rsidRPr="00BE1BEB" w:rsidP="0093611D" w14:paraId="3D16FF76" w14:textId="77777777">
      <w:pPr>
        <w:spacing w:line="240" w:lineRule="auto"/>
        <w:rPr>
          <w:rFonts w:ascii="Times New Roman" w:hAnsi="Times New Roman" w:cs="Times New Roman"/>
          <w:b/>
          <w:bCs/>
          <w:sz w:val="24"/>
          <w:szCs w:val="24"/>
        </w:rPr>
      </w:pPr>
      <w:r w:rsidRPr="00B22C1F">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8332F9" w:rsidP="008332F9" w14:paraId="0F2158B7" w14:textId="1CE41032">
      <w:pPr>
        <w:spacing w:after="0" w:line="240" w:lineRule="auto"/>
        <w:rPr>
          <w:rFonts w:ascii="Times New Roman" w:eastAsia="Times New Roman" w:hAnsi="Times New Roman" w:cs="Times New Roman"/>
          <w:sz w:val="24"/>
          <w:szCs w:val="24"/>
        </w:rPr>
      </w:pPr>
      <w:r w:rsidRPr="00301512">
        <w:rPr>
          <w:rFonts w:ascii="Times New Roman" w:eastAsia="Times New Roman" w:hAnsi="Times New Roman" w:cs="Times New Roman"/>
          <w:sz w:val="24"/>
          <w:szCs w:val="24"/>
        </w:rPr>
        <w:t xml:space="preserve">The core mission of the National Institute of Standards and Technology (NIST) is to promote U.S. innovation and industrial competitiveness by advancing measurement science, standards, and technology in ways that enhance economic security and improve our quality of life. </w:t>
      </w:r>
      <w:r>
        <w:rPr>
          <w:rFonts w:ascii="Times New Roman" w:eastAsia="Times New Roman" w:hAnsi="Times New Roman" w:cs="Times New Roman"/>
          <w:sz w:val="24"/>
          <w:szCs w:val="24"/>
        </w:rPr>
        <w:t xml:space="preserve">In line with this mission, </w:t>
      </w:r>
      <w:r w:rsidRPr="00301512">
        <w:rPr>
          <w:rFonts w:ascii="Times New Roman" w:eastAsia="Times New Roman" w:hAnsi="Times New Roman" w:cs="Times New Roman"/>
          <w:sz w:val="24"/>
          <w:szCs w:val="24"/>
        </w:rPr>
        <w:t xml:space="preserve">NIST proposes to conduct a number of data collection efforts directly related to </w:t>
      </w:r>
      <w:r>
        <w:rPr>
          <w:rFonts w:ascii="Times New Roman" w:eastAsia="Times New Roman" w:hAnsi="Times New Roman" w:cs="Times New Roman"/>
          <w:sz w:val="24"/>
          <w:szCs w:val="24"/>
        </w:rPr>
        <w:t>usability data</w:t>
      </w:r>
      <w:r w:rsidRPr="00301512">
        <w:rPr>
          <w:rFonts w:ascii="Times New Roman" w:eastAsia="Times New Roman" w:hAnsi="Times New Roman" w:cs="Times New Roman"/>
          <w:sz w:val="24"/>
          <w:szCs w:val="24"/>
        </w:rPr>
        <w:t xml:space="preserve"> across individuals, institutions, and communities relevant to key research areas of the agency. The use of </w:t>
      </w:r>
      <w:r>
        <w:rPr>
          <w:rFonts w:ascii="Times New Roman" w:eastAsia="Times New Roman" w:hAnsi="Times New Roman" w:cs="Times New Roman"/>
          <w:sz w:val="24"/>
          <w:szCs w:val="24"/>
        </w:rPr>
        <w:t>usability data</w:t>
      </w:r>
      <w:r w:rsidRPr="00301512">
        <w:rPr>
          <w:rFonts w:ascii="Times New Roman" w:eastAsia="Times New Roman" w:hAnsi="Times New Roman" w:cs="Times New Roman"/>
          <w:sz w:val="24"/>
          <w:szCs w:val="24"/>
        </w:rPr>
        <w:t xml:space="preserve"> science is critical to further the mission of NIST to promote U.S. innovation and industrial competitiveness. </w:t>
      </w:r>
    </w:p>
    <w:p w:rsidR="008332F9" w:rsidP="00FB20EC" w14:paraId="6AC127D0" w14:textId="77777777">
      <w:pPr>
        <w:spacing w:after="0" w:line="240" w:lineRule="auto"/>
        <w:rPr>
          <w:rFonts w:ascii="Times New Roman" w:eastAsia="Times New Roman" w:hAnsi="Times New Roman" w:cs="Times New Roman"/>
          <w:sz w:val="24"/>
          <w:szCs w:val="20"/>
        </w:rPr>
      </w:pPr>
    </w:p>
    <w:p w:rsidR="00FB20EC" w:rsidRPr="00FB20EC" w:rsidP="00FB20EC" w14:paraId="7CD6D638" w14:textId="5636CAB2">
      <w:pPr>
        <w:spacing w:after="0" w:line="240" w:lineRule="auto"/>
        <w:rPr>
          <w:rFonts w:ascii="Times New Roman" w:eastAsia="Times New Roman" w:hAnsi="Times New Roman" w:cs="Times New Roman"/>
          <w:sz w:val="24"/>
          <w:szCs w:val="20"/>
        </w:rPr>
      </w:pPr>
      <w:r w:rsidRPr="00BE1BEB">
        <w:rPr>
          <w:rFonts w:ascii="Times New Roman" w:eastAsia="Times New Roman" w:hAnsi="Times New Roman" w:cs="Times New Roman"/>
          <w:sz w:val="24"/>
          <w:szCs w:val="20"/>
        </w:rPr>
        <w:t>Data collected by NIST researchers will be</w:t>
      </w:r>
      <w:r w:rsidR="008332F9">
        <w:rPr>
          <w:rFonts w:ascii="Times New Roman" w:eastAsia="Times New Roman" w:hAnsi="Times New Roman" w:cs="Times New Roman"/>
          <w:sz w:val="24"/>
          <w:szCs w:val="20"/>
        </w:rPr>
        <w:t xml:space="preserve"> also</w:t>
      </w:r>
      <w:r w:rsidRPr="00BE1BEB">
        <w:rPr>
          <w:rFonts w:ascii="Times New Roman" w:eastAsia="Times New Roman" w:hAnsi="Times New Roman" w:cs="Times New Roman"/>
          <w:sz w:val="24"/>
          <w:szCs w:val="20"/>
        </w:rPr>
        <w:t xml:space="preserve"> used to help</w:t>
      </w:r>
      <w:r w:rsidRPr="00FB20EC">
        <w:rPr>
          <w:rFonts w:ascii="Times New Roman" w:eastAsia="Times New Roman" w:hAnsi="Times New Roman" w:cs="Times New Roman"/>
          <w:sz w:val="24"/>
          <w:szCs w:val="20"/>
        </w:rPr>
        <w:t xml:space="preserve"> plan the direction of future research.  The information collected will not be directly disseminated to the public, but aspects or portions of the information collected may be used to support research published in various journals and conferences</w:t>
      </w:r>
      <w:r w:rsidRPr="00FA5AB5">
        <w:rPr>
          <w:rFonts w:ascii="Times New Roman" w:eastAsia="Times New Roman" w:hAnsi="Times New Roman" w:cs="Times New Roman"/>
          <w:sz w:val="24"/>
          <w:szCs w:val="20"/>
        </w:rPr>
        <w:t>.  There will be no attribution to individuals in the analyzed data.  Since the data collected from this collection may involve Human Subjects, these individual collection efforts will need to be vetted through and approved by the NIST Institutional Review Board (IRB) as needed or required.</w:t>
      </w:r>
    </w:p>
    <w:p w:rsidR="0093611D" w:rsidRPr="0093611D" w:rsidP="0093611D" w14:paraId="365317B4" w14:textId="77777777">
      <w:pPr>
        <w:spacing w:line="240" w:lineRule="auto"/>
        <w:rPr>
          <w:rFonts w:ascii="Times New Roman" w:hAnsi="Times New Roman" w:cs="Times New Roman"/>
          <w:b/>
          <w:bCs/>
          <w:sz w:val="24"/>
          <w:szCs w:val="24"/>
        </w:rPr>
      </w:pPr>
    </w:p>
    <w:p w:rsidR="0093611D" w:rsidRPr="0093611D" w:rsidP="0093611D" w14:paraId="2CC112F5" w14:textId="2951641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forms of information technology, e.g., permitting electronic submission of responses, and the basis for the decision for adopting this means of collection. </w:t>
      </w:r>
      <w:r w:rsidRPr="00986EE2">
        <w:rPr>
          <w:rFonts w:ascii="Times New Roman" w:hAnsi="Times New Roman" w:cs="Times New Roman"/>
          <w:b/>
          <w:bCs/>
          <w:sz w:val="24"/>
          <w:szCs w:val="24"/>
        </w:rPr>
        <w:t>Also describe any consideration of using information technology to reduce burden.</w:t>
      </w:r>
    </w:p>
    <w:p w:rsidR="00FB20EC" w:rsidRPr="00FB20EC" w:rsidP="00FB20EC" w14:paraId="0B80C32B" w14:textId="5E0B347F">
      <w:pPr>
        <w:spacing w:after="0" w:line="240" w:lineRule="auto"/>
        <w:rPr>
          <w:rFonts w:ascii="Times New Roman" w:eastAsia="Times New Roman" w:hAnsi="Times New Roman" w:cs="Times New Roman"/>
          <w:sz w:val="24"/>
          <w:szCs w:val="20"/>
        </w:rPr>
      </w:pPr>
      <w:r w:rsidRPr="00FB20EC">
        <w:rPr>
          <w:rFonts w:ascii="Times New Roman" w:eastAsia="Times New Roman" w:hAnsi="Times New Roman" w:cs="Times New Roman"/>
          <w:sz w:val="24"/>
          <w:szCs w:val="20"/>
        </w:rPr>
        <w:t xml:space="preserve">Whenever possible, improved information technology will be used to reduce burden on NIST’s customers.  In addition to traditional data collection methods, NIST will, whenever possible, offer electronic response options via the NIST Internet </w:t>
      </w:r>
      <w:r w:rsidRPr="00FA5AB5">
        <w:rPr>
          <w:rFonts w:ascii="Times New Roman" w:eastAsia="Times New Roman" w:hAnsi="Times New Roman" w:cs="Times New Roman"/>
          <w:sz w:val="24"/>
          <w:szCs w:val="20"/>
        </w:rPr>
        <w:t>website</w:t>
      </w:r>
      <w:r w:rsidR="008332F9">
        <w:rPr>
          <w:rFonts w:ascii="Times New Roman" w:eastAsia="Times New Roman" w:hAnsi="Times New Roman" w:cs="Times New Roman"/>
          <w:sz w:val="24"/>
          <w:szCs w:val="20"/>
        </w:rPr>
        <w:t>.</w:t>
      </w:r>
      <w:r w:rsidRPr="00FB20EC">
        <w:rPr>
          <w:rFonts w:ascii="Times New Roman" w:eastAsia="Times New Roman" w:hAnsi="Times New Roman" w:cs="Times New Roman"/>
          <w:sz w:val="24"/>
          <w:szCs w:val="20"/>
        </w:rPr>
        <w:t xml:space="preserve">  </w:t>
      </w:r>
    </w:p>
    <w:p w:rsidR="00FB20EC" w:rsidRPr="00FB20EC" w:rsidP="00FB20EC" w14:paraId="65CBEF5B" w14:textId="77777777">
      <w:pPr>
        <w:spacing w:after="0" w:line="240" w:lineRule="auto"/>
        <w:rPr>
          <w:rFonts w:ascii="Times New Roman" w:eastAsia="Times New Roman" w:hAnsi="Times New Roman" w:cs="Times New Roman"/>
          <w:sz w:val="24"/>
          <w:szCs w:val="20"/>
        </w:rPr>
      </w:pPr>
    </w:p>
    <w:p w:rsidR="00FB20EC" w:rsidRPr="00FB20EC" w:rsidP="00FB20EC" w14:paraId="5BAA72BD" w14:textId="77777777">
      <w:pPr>
        <w:spacing w:after="0" w:line="240" w:lineRule="auto"/>
        <w:rPr>
          <w:rFonts w:ascii="Times New Roman" w:eastAsia="Times New Roman" w:hAnsi="Times New Roman" w:cs="Times New Roman"/>
          <w:sz w:val="24"/>
          <w:szCs w:val="20"/>
        </w:rPr>
      </w:pPr>
      <w:r w:rsidRPr="00FB20EC">
        <w:rPr>
          <w:rFonts w:ascii="Times New Roman" w:eastAsia="Times New Roman" w:hAnsi="Times New Roman" w:cs="Times New Roman"/>
          <w:sz w:val="24"/>
          <w:szCs w:val="20"/>
        </w:rPr>
        <w:t>The planned use of transactional and electronic web site surveys will substantially contribute to the number of projected responses and associated burden hours.</w:t>
      </w:r>
    </w:p>
    <w:p w:rsidR="0093611D" w:rsidRPr="0093611D" w:rsidP="0093611D" w14:paraId="06010E2F" w14:textId="77777777">
      <w:pPr>
        <w:spacing w:line="240" w:lineRule="auto"/>
        <w:rPr>
          <w:rFonts w:ascii="Times New Roman" w:hAnsi="Times New Roman" w:cs="Times New Roman"/>
          <w:b/>
          <w:bCs/>
          <w:sz w:val="24"/>
          <w:szCs w:val="24"/>
        </w:rPr>
      </w:pP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1B066C" w:rsidRPr="001B066C" w:rsidP="001B066C" w14:paraId="567B606E" w14:textId="77777777">
      <w:pPr>
        <w:spacing w:after="0" w:line="240" w:lineRule="auto"/>
        <w:rPr>
          <w:rFonts w:ascii="Times New Roman" w:eastAsia="Times New Roman" w:hAnsi="Times New Roman" w:cs="Times New Roman"/>
          <w:sz w:val="24"/>
          <w:szCs w:val="20"/>
        </w:rPr>
      </w:pPr>
      <w:r w:rsidRPr="001B066C">
        <w:rPr>
          <w:rFonts w:ascii="Times New Roman" w:eastAsia="Times New Roman" w:hAnsi="Times New Roman" w:cs="Times New Roman"/>
          <w:sz w:val="24"/>
          <w:szCs w:val="20"/>
        </w:rPr>
        <w:t xml:space="preserve">NIST has an internal review process that will examine each survey or data collection effort to be conducted under this generic clearance – to prevent internal duplication of effort and to ensure that appropriate data collection instruments are developed.  NIST is confident that the procedures in place ensure that there will be no duplication.  Due the nature of NIST’s unique mission and programs no similar data exists.  </w:t>
      </w:r>
    </w:p>
    <w:p w:rsidR="001B066C" w:rsidRPr="001B066C" w:rsidP="001B066C" w14:paraId="562F46CF" w14:textId="77777777">
      <w:pPr>
        <w:spacing w:after="0" w:line="240" w:lineRule="auto"/>
        <w:rPr>
          <w:rFonts w:ascii="Times New Roman" w:eastAsia="Times New Roman" w:hAnsi="Times New Roman" w:cs="Times New Roman"/>
          <w:sz w:val="24"/>
          <w:szCs w:val="20"/>
        </w:rPr>
      </w:pPr>
    </w:p>
    <w:p w:rsidR="0093611D" w:rsidRPr="0093611D" w:rsidP="001B066C" w14:paraId="503030F2" w14:textId="7F4CA5A7">
      <w:pPr>
        <w:spacing w:line="240" w:lineRule="auto"/>
        <w:rPr>
          <w:rFonts w:ascii="Times New Roman" w:hAnsi="Times New Roman" w:cs="Times New Roman"/>
          <w:b/>
          <w:bCs/>
          <w:sz w:val="24"/>
          <w:szCs w:val="24"/>
        </w:rPr>
      </w:pPr>
      <w:r w:rsidRPr="001B066C">
        <w:rPr>
          <w:rFonts w:ascii="Times New Roman" w:eastAsia="Times New Roman" w:hAnsi="Times New Roman" w:cs="Times New Roman"/>
          <w:sz w:val="24"/>
          <w:szCs w:val="20"/>
        </w:rPr>
        <w:t>Individuals participating in these types of usability data collection efforts may be asked to sign an informed consent document (meaning participants are informed of the data collection and are providing their consent to participate) and no individual will be surveyed more than once for the same research study.</w:t>
      </w:r>
      <w:r w:rsidR="00DE10B6">
        <w:rPr>
          <w:rFonts w:ascii="Times New Roman" w:eastAsia="Times New Roman" w:hAnsi="Times New Roman" w:cs="Times New Roman"/>
          <w:sz w:val="24"/>
          <w:szCs w:val="20"/>
        </w:rPr>
        <w:br/>
      </w: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A71470" w:rsidRPr="00A71470" w:rsidP="00A71470" w14:paraId="6FDFCC78" w14:textId="4ECBCF47">
      <w:pPr>
        <w:spacing w:after="0" w:line="240" w:lineRule="auto"/>
        <w:rPr>
          <w:rFonts w:ascii="Times New Roman" w:eastAsia="Times New Roman" w:hAnsi="Times New Roman" w:cs="Times New Roman"/>
          <w:sz w:val="24"/>
          <w:szCs w:val="20"/>
        </w:rPr>
      </w:pPr>
      <w:r w:rsidRPr="00A71470">
        <w:rPr>
          <w:rFonts w:ascii="Times New Roman" w:eastAsia="Times New Roman" w:hAnsi="Times New Roman" w:cs="Times New Roman"/>
          <w:sz w:val="24"/>
          <w:szCs w:val="20"/>
        </w:rPr>
        <w:t>Some small businesses and other small entities may be involved in these efforts, but NIST will keep the burden to them-as well as on any business, organization, or individual-at a minimum by asking for opinions on a strictly voluntary basis and by asking for only the minimum amount of information needed to evaluate usability and utility of NIST research for measurement and standardization work.</w:t>
      </w:r>
      <w:r>
        <w:rPr>
          <w:rFonts w:ascii="Times New Roman" w:eastAsia="Times New Roman" w:hAnsi="Times New Roman" w:cs="Times New Roman"/>
          <w:sz w:val="24"/>
          <w:szCs w:val="20"/>
        </w:rPr>
        <w:br/>
      </w:r>
    </w:p>
    <w:p w:rsidR="00A71470" w:rsidRPr="00A71470" w:rsidP="00A71470" w14:paraId="77B3FBB2" w14:textId="77777777">
      <w:pPr>
        <w:spacing w:after="0" w:line="240" w:lineRule="auto"/>
        <w:rPr>
          <w:rFonts w:ascii="Times New Roman" w:eastAsia="Times New Roman" w:hAnsi="Times New Roman" w:cs="Times New Roman"/>
          <w:b/>
          <w:sz w:val="24"/>
          <w:szCs w:val="20"/>
        </w:rPr>
      </w:pP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A71470" w:rsidRPr="00A71470" w:rsidP="00A71470" w14:paraId="37A6766B" w14:textId="77777777">
      <w:pPr>
        <w:spacing w:after="0" w:line="240" w:lineRule="auto"/>
        <w:rPr>
          <w:rFonts w:ascii="Times New Roman" w:eastAsia="Times New Roman" w:hAnsi="Times New Roman" w:cs="Times New Roman"/>
          <w:sz w:val="24"/>
          <w:szCs w:val="20"/>
        </w:rPr>
      </w:pPr>
      <w:r w:rsidRPr="00A71470">
        <w:rPr>
          <w:rFonts w:ascii="Times New Roman" w:eastAsia="Times New Roman" w:hAnsi="Times New Roman" w:cs="Times New Roman"/>
          <w:sz w:val="24"/>
          <w:szCs w:val="20"/>
        </w:rPr>
        <w:t xml:space="preserve">If these surveys and other data collections were conducted less frequently or not conducted, NIST researchers would not have important information that may hinder the future direction and scope of NIST research as well as achieving NIST’s mission.  </w:t>
      </w:r>
    </w:p>
    <w:p w:rsidR="0093611D" w:rsidRPr="0093611D" w:rsidP="0093611D" w14:paraId="79434D3C" w14:textId="77777777">
      <w:pPr>
        <w:spacing w:line="240" w:lineRule="auto"/>
        <w:rPr>
          <w:rFonts w:ascii="Times New Roman" w:hAnsi="Times New Roman" w:cs="Times New Roman"/>
          <w:b/>
          <w:bCs/>
          <w:sz w:val="24"/>
          <w:szCs w:val="24"/>
        </w:rPr>
      </w:pP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8E2ED6" w:rsidRPr="008E2ED6" w:rsidP="008E2ED6" w14:paraId="6D72B25A" w14:textId="77777777">
      <w:pPr>
        <w:spacing w:after="0" w:line="240" w:lineRule="auto"/>
        <w:rPr>
          <w:rFonts w:ascii="Times New Roman" w:eastAsia="Times New Roman" w:hAnsi="Times New Roman" w:cs="Times New Roman"/>
          <w:b/>
          <w:sz w:val="24"/>
          <w:szCs w:val="20"/>
        </w:rPr>
      </w:pPr>
      <w:r w:rsidRPr="00FA5AB5">
        <w:rPr>
          <w:rFonts w:ascii="Times New Roman" w:eastAsia="Times New Roman" w:hAnsi="Times New Roman" w:cs="Times New Roman"/>
          <w:sz w:val="24"/>
          <w:szCs w:val="20"/>
        </w:rPr>
        <w:t>The data collections conducted under this generic clearance will be conducted in accordance with the guidelines stated in 5 CFR 1320.05.</w:t>
      </w:r>
    </w:p>
    <w:p w:rsidR="0093611D" w:rsidRPr="0093611D" w:rsidP="0093611D" w14:paraId="79C993AB" w14:textId="77777777">
      <w:pPr>
        <w:spacing w:line="240" w:lineRule="auto"/>
        <w:rPr>
          <w:rFonts w:ascii="Times New Roman" w:hAnsi="Times New Roman" w:cs="Times New Roman"/>
          <w:b/>
          <w:bCs/>
          <w:sz w:val="24"/>
          <w:szCs w:val="24"/>
        </w:rPr>
      </w:pPr>
    </w:p>
    <w:p w:rsidR="00DA22AC" w:rsidRPr="00747505" w:rsidP="00DA22AC" w14:paraId="283BE865" w14:textId="77777777">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894C98">
        <w:rPr>
          <w:rFonts w:ascii="Times New Roman" w:hAnsi="Times New Roman" w:cs="Times New Roman"/>
          <w:b/>
          <w:bCs/>
          <w:sz w:val="24"/>
          <w:szCs w:val="24"/>
        </w:rPr>
        <w:t>received in response to that notice and describe actions taken by the agency in response to</w:t>
      </w:r>
      <w:r w:rsidRPr="00894C98" w:rsidR="00653682">
        <w:rPr>
          <w:rFonts w:ascii="Times New Roman" w:hAnsi="Times New Roman" w:cs="Times New Roman"/>
          <w:b/>
          <w:bCs/>
          <w:sz w:val="24"/>
          <w:szCs w:val="24"/>
        </w:rPr>
        <w:t xml:space="preserve"> </w:t>
      </w:r>
      <w:r w:rsidRPr="00894C98">
        <w:rPr>
          <w:rFonts w:ascii="Times New Roman" w:hAnsi="Times New Roman" w:cs="Times New Roman"/>
          <w:b/>
          <w:bCs/>
          <w:sz w:val="24"/>
          <w:szCs w:val="24"/>
        </w:rPr>
        <w:t xml:space="preserve">these comments. </w:t>
      </w:r>
      <w:r w:rsidRPr="00894C98">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w:t>
      </w:r>
      <w:r w:rsidRPr="00DA22AC">
        <w:rPr>
          <w:rFonts w:ascii="Times New Roman" w:hAnsi="Times New Roman" w:cs="Times New Roman"/>
          <w:b/>
          <w:sz w:val="24"/>
          <w:szCs w:val="24"/>
        </w:rPr>
        <w:t xml:space="preserve"> may be circumstances that may preclude consultation in a specific situation. These circumstances </w:t>
      </w:r>
      <w:r w:rsidRPr="00747505">
        <w:rPr>
          <w:rFonts w:ascii="Times New Roman" w:hAnsi="Times New Roman" w:cs="Times New Roman"/>
          <w:b/>
          <w:sz w:val="24"/>
          <w:szCs w:val="24"/>
        </w:rPr>
        <w:t>should be explained.</w:t>
      </w:r>
    </w:p>
    <w:p w:rsidR="00191773" w:rsidRPr="00747505" w:rsidP="00191773" w14:paraId="5298C005" w14:textId="2C3F6A89">
      <w:pPr>
        <w:spacing w:after="0" w:line="240" w:lineRule="auto"/>
        <w:rPr>
          <w:rFonts w:ascii="Times New Roman" w:eastAsia="Times New Roman" w:hAnsi="Times New Roman" w:cs="Times New Roman"/>
          <w:sz w:val="24"/>
          <w:szCs w:val="20"/>
        </w:rPr>
      </w:pPr>
      <w:r w:rsidRPr="00747505">
        <w:rPr>
          <w:rFonts w:ascii="Times New Roman" w:eastAsia="Times New Roman" w:hAnsi="Times New Roman" w:cs="Times New Roman"/>
          <w:sz w:val="24"/>
          <w:szCs w:val="20"/>
        </w:rPr>
        <w:t xml:space="preserve">A 60-day Federal Register Notice soliciting public comment was published on </w:t>
      </w:r>
      <w:r w:rsidR="002B21B1">
        <w:rPr>
          <w:rFonts w:ascii="Times New Roman" w:eastAsia="Times New Roman" w:hAnsi="Times New Roman" w:cs="Times New Roman"/>
          <w:sz w:val="24"/>
          <w:szCs w:val="20"/>
        </w:rPr>
        <w:t>April 15, 2025</w:t>
      </w:r>
      <w:r w:rsidRPr="00747505">
        <w:rPr>
          <w:rFonts w:ascii="Times New Roman" w:eastAsia="Times New Roman" w:hAnsi="Times New Roman" w:cs="Times New Roman"/>
          <w:sz w:val="24"/>
          <w:szCs w:val="20"/>
        </w:rPr>
        <w:t>,</w:t>
      </w:r>
      <w:r w:rsidR="002B21B1">
        <w:rPr>
          <w:rFonts w:ascii="Times New Roman" w:eastAsia="Times New Roman" w:hAnsi="Times New Roman" w:cs="Times New Roman"/>
          <w:sz w:val="24"/>
          <w:szCs w:val="20"/>
        </w:rPr>
        <w:t xml:space="preserve"> Vol. 90, Number 71, Pages 15696-15697</w:t>
      </w:r>
      <w:r w:rsidRPr="00747505">
        <w:rPr>
          <w:rFonts w:ascii="Times New Roman" w:eastAsia="Times New Roman" w:hAnsi="Times New Roman" w:cs="Times New Roman"/>
          <w:sz w:val="24"/>
          <w:szCs w:val="20"/>
        </w:rPr>
        <w:t xml:space="preserve">.  </w:t>
      </w:r>
      <w:r w:rsidR="002B21B1">
        <w:rPr>
          <w:rFonts w:ascii="Times New Roman" w:eastAsia="Times New Roman" w:hAnsi="Times New Roman" w:cs="Times New Roman"/>
          <w:sz w:val="24"/>
          <w:szCs w:val="20"/>
        </w:rPr>
        <w:t>No comments received.</w:t>
      </w:r>
      <w:r w:rsidRPr="00747505">
        <w:rPr>
          <w:rFonts w:ascii="Times New Roman" w:eastAsia="Times New Roman" w:hAnsi="Times New Roman" w:cs="Times New Roman"/>
          <w:sz w:val="24"/>
          <w:szCs w:val="20"/>
        </w:rPr>
        <w:t xml:space="preserve"> </w:t>
      </w:r>
      <w:r w:rsidRPr="00747505">
        <w:rPr>
          <w:rFonts w:ascii="Times New Roman" w:eastAsia="Times New Roman" w:hAnsi="Times New Roman" w:cs="Times New Roman"/>
          <w:sz w:val="24"/>
          <w:szCs w:val="20"/>
        </w:rPr>
        <w:tab/>
      </w:r>
    </w:p>
    <w:p w:rsidR="00191773" w:rsidRPr="00747505" w:rsidP="00191773" w14:paraId="490B72FB" w14:textId="77777777">
      <w:pPr>
        <w:spacing w:after="0" w:line="240" w:lineRule="auto"/>
        <w:rPr>
          <w:rFonts w:ascii="Times New Roman" w:eastAsia="Times New Roman" w:hAnsi="Times New Roman" w:cs="Times New Roman"/>
          <w:sz w:val="24"/>
          <w:szCs w:val="20"/>
        </w:rPr>
      </w:pPr>
    </w:p>
    <w:p w:rsidR="00191773" w:rsidRPr="00191773" w:rsidP="00191773" w14:paraId="5746E7FD" w14:textId="62822984">
      <w:pPr>
        <w:spacing w:after="0" w:line="240" w:lineRule="auto"/>
        <w:rPr>
          <w:rFonts w:ascii="Times New Roman" w:eastAsia="Times New Roman" w:hAnsi="Times New Roman" w:cs="Times New Roman"/>
          <w:sz w:val="24"/>
          <w:szCs w:val="20"/>
        </w:rPr>
      </w:pPr>
      <w:r w:rsidRPr="00747505">
        <w:rPr>
          <w:rFonts w:ascii="Times New Roman" w:eastAsia="Times New Roman" w:hAnsi="Times New Roman" w:cs="Times New Roman"/>
          <w:sz w:val="24"/>
          <w:szCs w:val="20"/>
        </w:rPr>
        <w:t xml:space="preserve">A 30-day Federal Register Notice soliciting public comment was published on </w:t>
      </w:r>
      <w:r w:rsidR="002B21B1">
        <w:rPr>
          <w:rFonts w:ascii="Times New Roman" w:eastAsia="Times New Roman" w:hAnsi="Times New Roman" w:cs="Times New Roman"/>
          <w:sz w:val="24"/>
          <w:szCs w:val="20"/>
        </w:rPr>
        <w:t>June 25, 2025</w:t>
      </w:r>
      <w:r w:rsidR="001D60B8">
        <w:rPr>
          <w:rFonts w:ascii="Times New Roman" w:eastAsia="Times New Roman" w:hAnsi="Times New Roman" w:cs="Times New Roman"/>
          <w:sz w:val="24"/>
          <w:szCs w:val="20"/>
        </w:rPr>
        <w:t xml:space="preserve">, </w:t>
      </w:r>
      <w:r w:rsidR="002B21B1">
        <w:rPr>
          <w:rFonts w:ascii="Times New Roman" w:eastAsia="Times New Roman" w:hAnsi="Times New Roman" w:cs="Times New Roman"/>
          <w:sz w:val="24"/>
          <w:szCs w:val="20"/>
        </w:rPr>
        <w:t>Vol. 90, Number 120, Page 26982</w:t>
      </w:r>
      <w:r w:rsidRPr="00747505">
        <w:rPr>
          <w:rFonts w:ascii="Times New Roman" w:eastAsia="Times New Roman" w:hAnsi="Times New Roman" w:cs="Times New Roman"/>
          <w:sz w:val="24"/>
          <w:szCs w:val="20"/>
        </w:rPr>
        <w:t>.</w:t>
      </w:r>
    </w:p>
    <w:p w:rsidR="0093611D" w:rsidP="0093611D" w14:paraId="502B9E3A" w14:textId="05347926">
      <w:pPr>
        <w:spacing w:line="240" w:lineRule="auto"/>
        <w:rPr>
          <w:rFonts w:ascii="Times New Roman" w:hAnsi="Times New Roman" w:cs="Times New Roman"/>
          <w:b/>
          <w:bCs/>
          <w:sz w:val="24"/>
          <w:szCs w:val="24"/>
        </w:rPr>
      </w:pPr>
    </w:p>
    <w:p w:rsidR="00894C98" w:rsidRPr="007F3715" w:rsidP="00894C98" w14:paraId="48F58F2D" w14:textId="77777777">
      <w:pPr>
        <w:spacing w:after="0" w:line="240" w:lineRule="auto"/>
        <w:rPr>
          <w:rFonts w:ascii="Times New Roman" w:eastAsia="Times New Roman" w:hAnsi="Times New Roman" w:cs="Times New Roman"/>
        </w:rPr>
      </w:pPr>
      <w:r w:rsidRPr="007F3715">
        <w:rPr>
          <w:rFonts w:ascii="Times New Roman" w:eastAsia="Times New Roman" w:hAnsi="Times New Roman" w:cs="Times New Roman"/>
          <w:sz w:val="24"/>
          <w:szCs w:val="24"/>
        </w:rPr>
        <w:t xml:space="preserve">NIST will consult with various research groups and stakeholders from whom information is to be obtained or those who must compile records at least once every 3 years. </w:t>
      </w:r>
    </w:p>
    <w:p w:rsidR="00894C98" w:rsidRPr="0093611D" w:rsidP="0093611D" w14:paraId="49186C0A" w14:textId="77777777">
      <w:pPr>
        <w:spacing w:line="240" w:lineRule="auto"/>
        <w:rPr>
          <w:rFonts w:ascii="Times New Roman" w:hAnsi="Times New Roman" w:cs="Times New Roman"/>
          <w:b/>
          <w:bCs/>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A70B56" w:rsidRPr="00A70B56" w:rsidP="00A70B56" w14:paraId="7D4D1ECA" w14:textId="17E55EF3">
      <w:pPr>
        <w:spacing w:after="0" w:line="240" w:lineRule="auto"/>
        <w:rPr>
          <w:rFonts w:ascii="Times New Roman" w:eastAsia="Times New Roman" w:hAnsi="Times New Roman" w:cs="Times New Roman"/>
          <w:sz w:val="24"/>
          <w:szCs w:val="20"/>
        </w:rPr>
      </w:pPr>
      <w:r w:rsidRPr="00A70B56">
        <w:rPr>
          <w:rFonts w:ascii="Times New Roman" w:eastAsia="Times New Roman" w:hAnsi="Times New Roman" w:cs="Times New Roman"/>
          <w:bCs/>
          <w:sz w:val="24"/>
          <w:szCs w:val="20"/>
        </w:rPr>
        <w:t xml:space="preserve">NIST will not provide any payment or gift to respondents to any written, telephone, comment card, or other such information collection.  However, if respondents must leave their home or place of business to travel to a specific location, NIST will, on a case-by-case basis, consider a </w:t>
      </w:r>
      <w:r w:rsidRPr="00A70B56">
        <w:rPr>
          <w:rFonts w:ascii="Times New Roman" w:eastAsia="Times New Roman" w:hAnsi="Times New Roman" w:cs="Times New Roman"/>
          <w:bCs/>
          <w:sz w:val="24"/>
          <w:szCs w:val="20"/>
        </w:rPr>
        <w:t>modest remuneration for the participant’s travel expenses.  In such cases, the remuneration may range from $</w:t>
      </w:r>
      <w:r w:rsidR="006F16D0">
        <w:rPr>
          <w:rFonts w:ascii="Times New Roman" w:eastAsia="Times New Roman" w:hAnsi="Times New Roman" w:cs="Times New Roman"/>
          <w:bCs/>
          <w:sz w:val="24"/>
          <w:szCs w:val="20"/>
        </w:rPr>
        <w:t>50</w:t>
      </w:r>
      <w:r w:rsidRPr="00A70B56">
        <w:rPr>
          <w:rFonts w:ascii="Times New Roman" w:eastAsia="Times New Roman" w:hAnsi="Times New Roman" w:cs="Times New Roman"/>
          <w:bCs/>
          <w:sz w:val="24"/>
          <w:szCs w:val="20"/>
        </w:rPr>
        <w:t>-$</w:t>
      </w:r>
      <w:r w:rsidR="006F16D0">
        <w:rPr>
          <w:rFonts w:ascii="Times New Roman" w:eastAsia="Times New Roman" w:hAnsi="Times New Roman" w:cs="Times New Roman"/>
          <w:bCs/>
          <w:sz w:val="24"/>
          <w:szCs w:val="20"/>
        </w:rPr>
        <w:t>100</w:t>
      </w:r>
      <w:r w:rsidRPr="00A70B56">
        <w:rPr>
          <w:rFonts w:ascii="Times New Roman" w:eastAsia="Times New Roman" w:hAnsi="Times New Roman" w:cs="Times New Roman"/>
          <w:bCs/>
          <w:sz w:val="24"/>
          <w:szCs w:val="20"/>
        </w:rPr>
        <w:t xml:space="preserve"> per individual, dependent on the data collection and the level and length of participation required of the participants.  </w:t>
      </w:r>
    </w:p>
    <w:p w:rsidR="00A70B56" w:rsidRPr="00A70B56" w:rsidP="00A70B56" w14:paraId="12A31795" w14:textId="77777777">
      <w:pPr>
        <w:spacing w:after="0" w:line="240" w:lineRule="auto"/>
        <w:rPr>
          <w:rFonts w:ascii="Times New Roman" w:eastAsia="Times New Roman" w:hAnsi="Times New Roman" w:cs="Times New Roman"/>
          <w:sz w:val="24"/>
          <w:szCs w:val="20"/>
        </w:rPr>
      </w:pPr>
    </w:p>
    <w:p w:rsidR="00A70B56" w:rsidRPr="00B22C1F" w:rsidP="00A70B56" w14:paraId="15CC6DB2" w14:textId="1DC23041">
      <w:pPr>
        <w:spacing w:after="0" w:line="240" w:lineRule="auto"/>
        <w:rPr>
          <w:rFonts w:ascii="Times New Roman" w:eastAsia="Times New Roman" w:hAnsi="Times New Roman" w:cs="Times New Roman"/>
          <w:sz w:val="24"/>
          <w:szCs w:val="20"/>
        </w:rPr>
      </w:pPr>
      <w:r w:rsidRPr="00A70B56">
        <w:rPr>
          <w:rFonts w:ascii="Times New Roman" w:eastAsia="Times New Roman" w:hAnsi="Times New Roman" w:cs="Times New Roman"/>
          <w:sz w:val="24"/>
          <w:szCs w:val="20"/>
        </w:rPr>
        <w:t>Respondents that participate in information collections conducted in a “laboratory” type</w:t>
      </w:r>
      <w:r w:rsidR="00CA727B">
        <w:rPr>
          <w:rFonts w:ascii="Times New Roman" w:eastAsia="Times New Roman" w:hAnsi="Times New Roman" w:cs="Times New Roman"/>
          <w:sz w:val="24"/>
          <w:szCs w:val="20"/>
        </w:rPr>
        <w:t xml:space="preserve"> </w:t>
      </w:r>
      <w:r w:rsidRPr="00A70B56">
        <w:rPr>
          <w:rFonts w:ascii="Times New Roman" w:eastAsia="Times New Roman" w:hAnsi="Times New Roman" w:cs="Times New Roman"/>
          <w:sz w:val="24"/>
          <w:szCs w:val="20"/>
        </w:rPr>
        <w:t xml:space="preserve">setting (such as in-depth interviews, and usability testing, etc.) under this clearance may receive a small stipend to offset the cost of travel expenses.  This practice has proven effective when recruiting subjects to </w:t>
      </w:r>
      <w:r w:rsidRPr="00CA727B">
        <w:rPr>
          <w:rFonts w:ascii="Times New Roman" w:eastAsia="Times New Roman" w:hAnsi="Times New Roman" w:cs="Times New Roman"/>
          <w:sz w:val="24"/>
          <w:szCs w:val="20"/>
        </w:rPr>
        <w:t xml:space="preserve">participate in specific research and is employed by other Federal cognitive </w:t>
      </w:r>
      <w:r w:rsidRPr="00B22C1F">
        <w:rPr>
          <w:rFonts w:ascii="Times New Roman" w:eastAsia="Times New Roman" w:hAnsi="Times New Roman" w:cs="Times New Roman"/>
          <w:sz w:val="24"/>
          <w:szCs w:val="20"/>
        </w:rPr>
        <w:t>laboratories.  The average incentive for participation in a one-on-one interview or usability is approximately $</w:t>
      </w:r>
      <w:r w:rsidRPr="00B22C1F" w:rsidR="00CA727B">
        <w:rPr>
          <w:rFonts w:ascii="Times New Roman" w:eastAsia="Times New Roman" w:hAnsi="Times New Roman" w:cs="Times New Roman"/>
          <w:sz w:val="24"/>
          <w:szCs w:val="20"/>
        </w:rPr>
        <w:t>5</w:t>
      </w:r>
      <w:r w:rsidRPr="00B22C1F">
        <w:rPr>
          <w:rFonts w:ascii="Times New Roman" w:eastAsia="Times New Roman" w:hAnsi="Times New Roman" w:cs="Times New Roman"/>
          <w:sz w:val="24"/>
          <w:szCs w:val="20"/>
        </w:rPr>
        <w:t xml:space="preserve">0.    </w:t>
      </w:r>
    </w:p>
    <w:p w:rsidR="0093611D" w:rsidRPr="00B22C1F" w:rsidP="0093611D" w14:paraId="2FA2A6F1" w14:textId="77777777">
      <w:pPr>
        <w:spacing w:line="240" w:lineRule="auto"/>
        <w:rPr>
          <w:rFonts w:ascii="Times New Roman" w:hAnsi="Times New Roman" w:cs="Times New Roman"/>
          <w:b/>
          <w:bCs/>
          <w:sz w:val="24"/>
          <w:szCs w:val="24"/>
        </w:rPr>
      </w:pPr>
    </w:p>
    <w:p w:rsidR="001225B9" w:rsidRPr="00B22C1F" w:rsidP="008332F9" w14:paraId="0D0AE7B6" w14:textId="4AACF0C8">
      <w:pPr>
        <w:spacing w:line="240" w:lineRule="auto"/>
        <w:rPr>
          <w:rFonts w:ascii="Times New Roman" w:hAnsi="Times New Roman" w:cs="Times New Roman"/>
          <w:b/>
          <w:bCs/>
          <w:sz w:val="24"/>
          <w:szCs w:val="24"/>
        </w:rPr>
      </w:pPr>
      <w:r w:rsidRPr="00B22C1F">
        <w:rPr>
          <w:rFonts w:ascii="Times New Roman" w:hAnsi="Times New Roman" w:cs="Times New Roman"/>
          <w:b/>
          <w:bCs/>
          <w:sz w:val="24"/>
          <w:szCs w:val="24"/>
        </w:rPr>
        <w:t>10. 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8332F9" w:rsidRPr="008332F9" w:rsidP="008332F9" w14:paraId="5521B159" w14:textId="7E429447">
      <w:pPr>
        <w:pStyle w:val="normalindent2"/>
        <w:ind w:left="0"/>
        <w:rPr>
          <w:rFonts w:ascii="Times New Roman" w:hAnsi="Times New Roman" w:cs="Times New Roman"/>
          <w:bCs/>
          <w:sz w:val="24"/>
          <w:szCs w:val="24"/>
        </w:rPr>
      </w:pPr>
      <w:r w:rsidRPr="00B22C1F">
        <w:rPr>
          <w:rFonts w:ascii="Times New Roman" w:hAnsi="Times New Roman" w:cs="Times New Roman"/>
          <w:bCs/>
          <w:sz w:val="24"/>
          <w:szCs w:val="24"/>
        </w:rPr>
        <w:t>Should information collections trigger Privacy Act (as defined by the provisions of The Privacy Act of 1974, amended 5 U.S.</w:t>
      </w:r>
      <w:r w:rsidRPr="008332F9">
        <w:rPr>
          <w:rFonts w:ascii="Times New Roman" w:hAnsi="Times New Roman" w:cs="Times New Roman"/>
          <w:bCs/>
          <w:sz w:val="24"/>
          <w:szCs w:val="24"/>
        </w:rPr>
        <w:t>C. § 552a) and require System of Record Notice (SORN) coverage, disclosure of the information will be subject to all the published routine uses as identified in the cited System of Record Notice.</w:t>
      </w:r>
      <w:r w:rsidR="00B22C1F">
        <w:rPr>
          <w:rFonts w:ascii="Times New Roman" w:hAnsi="Times New Roman" w:cs="Times New Roman"/>
          <w:bCs/>
          <w:sz w:val="24"/>
          <w:szCs w:val="24"/>
        </w:rPr>
        <w:br/>
      </w:r>
      <w:r w:rsidR="00B22C1F">
        <w:rPr>
          <w:rFonts w:ascii="Times New Roman" w:hAnsi="Times New Roman" w:cs="Times New Roman"/>
          <w:bCs/>
          <w:sz w:val="24"/>
          <w:szCs w:val="24"/>
        </w:rPr>
        <w:br/>
      </w:r>
      <w:r w:rsidRPr="008332F9">
        <w:rPr>
          <w:rFonts w:ascii="Times New Roman" w:hAnsi="Times New Roman" w:cs="Times New Roman"/>
          <w:bCs/>
          <w:sz w:val="24"/>
          <w:szCs w:val="24"/>
        </w:rPr>
        <w:t xml:space="preserve">Additionally, in accordance with the privacy provisions of the E-Government Act of 2002, if a Privacy Impact Assessment </w:t>
      </w:r>
      <w:r w:rsidR="00C4727D">
        <w:rPr>
          <w:rFonts w:ascii="Times New Roman" w:hAnsi="Times New Roman" w:cs="Times New Roman"/>
          <w:bCs/>
          <w:sz w:val="24"/>
          <w:szCs w:val="24"/>
        </w:rPr>
        <w:t xml:space="preserve">(PIA) </w:t>
      </w:r>
      <w:r w:rsidRPr="008332F9">
        <w:rPr>
          <w:rFonts w:ascii="Times New Roman" w:hAnsi="Times New Roman" w:cs="Times New Roman"/>
          <w:bCs/>
          <w:sz w:val="24"/>
          <w:szCs w:val="24"/>
        </w:rPr>
        <w:t xml:space="preserve">is required, citation </w:t>
      </w:r>
      <w:r w:rsidR="00C4727D">
        <w:rPr>
          <w:rFonts w:ascii="Times New Roman" w:hAnsi="Times New Roman" w:cs="Times New Roman"/>
          <w:bCs/>
          <w:sz w:val="24"/>
          <w:szCs w:val="24"/>
        </w:rPr>
        <w:t xml:space="preserve">and a copy of the PIA </w:t>
      </w:r>
      <w:r w:rsidRPr="008332F9">
        <w:rPr>
          <w:rFonts w:ascii="Times New Roman" w:hAnsi="Times New Roman" w:cs="Times New Roman"/>
          <w:bCs/>
          <w:sz w:val="24"/>
          <w:szCs w:val="24"/>
        </w:rPr>
        <w:t>will be provided in the submission.</w:t>
      </w:r>
    </w:p>
    <w:p w:rsidR="0093611D" w:rsidRPr="0093611D" w:rsidP="0093611D" w14:paraId="157E82C1" w14:textId="77777777">
      <w:pPr>
        <w:spacing w:line="240" w:lineRule="auto"/>
        <w:rPr>
          <w:rFonts w:ascii="Times New Roman" w:hAnsi="Times New Roman" w:cs="Times New Roman"/>
          <w:b/>
          <w:bCs/>
          <w:sz w:val="24"/>
          <w:szCs w:val="24"/>
        </w:rPr>
      </w:pP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43BBB" w:rsidRPr="00743BBB" w:rsidP="00743BBB" w14:paraId="3747F6F9" w14:textId="22935927">
      <w:pPr>
        <w:spacing w:after="0" w:line="240" w:lineRule="auto"/>
        <w:rPr>
          <w:rFonts w:ascii="Times New Roman" w:eastAsia="Times New Roman" w:hAnsi="Times New Roman" w:cs="Times New Roman"/>
          <w:sz w:val="24"/>
          <w:szCs w:val="20"/>
        </w:rPr>
      </w:pPr>
      <w:r w:rsidRPr="00986EE2">
        <w:rPr>
          <w:rFonts w:ascii="Times New Roman" w:eastAsia="Times New Roman" w:hAnsi="Times New Roman" w:cs="Times New Roman"/>
          <w:sz w:val="24"/>
          <w:szCs w:val="20"/>
        </w:rPr>
        <w:t>No sensitive data will be collected.</w:t>
      </w:r>
    </w:p>
    <w:p w:rsidR="0093611D" w:rsidRPr="0093611D" w:rsidP="0093611D" w14:paraId="6BC2A0AC" w14:textId="77777777">
      <w:pPr>
        <w:spacing w:line="240" w:lineRule="auto"/>
        <w:rPr>
          <w:rFonts w:ascii="Times New Roman" w:hAnsi="Times New Roman" w:cs="Times New Roman"/>
          <w:b/>
          <w:bCs/>
          <w:sz w:val="24"/>
          <w:szCs w:val="24"/>
        </w:rPr>
      </w:pPr>
    </w:p>
    <w:p w:rsidR="0093611D" w:rsidRPr="0093611D" w:rsidP="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4F2C67" w:rsidP="004F2C67" w14:paraId="4CB34BC5" w14:textId="280399A5">
      <w:pPr>
        <w:spacing w:after="0" w:line="240" w:lineRule="auto"/>
        <w:rPr>
          <w:rFonts w:ascii="Times New Roman" w:eastAsia="Times New Roman" w:hAnsi="Times New Roman" w:cs="Times New Roman"/>
          <w:sz w:val="24"/>
          <w:szCs w:val="20"/>
        </w:rPr>
      </w:pPr>
      <w:r w:rsidRPr="002245D0">
        <w:rPr>
          <w:rFonts w:ascii="Times New Roman" w:eastAsia="Times New Roman" w:hAnsi="Times New Roman" w:cs="Times New Roman"/>
          <w:sz w:val="24"/>
          <w:szCs w:val="20"/>
        </w:rPr>
        <w:t xml:space="preserve">The total estimated number of possible respondents for the three-year period is </w:t>
      </w:r>
      <w:r>
        <w:rPr>
          <w:rFonts w:ascii="Times New Roman" w:eastAsia="Times New Roman" w:hAnsi="Times New Roman" w:cs="Times New Roman"/>
          <w:sz w:val="24"/>
          <w:szCs w:val="20"/>
        </w:rPr>
        <w:t>150</w:t>
      </w:r>
      <w:r w:rsidRPr="002245D0">
        <w:rPr>
          <w:rFonts w:ascii="Times New Roman" w:eastAsia="Times New Roman" w:hAnsi="Times New Roman" w:cs="Times New Roman"/>
          <w:sz w:val="24"/>
          <w:szCs w:val="20"/>
        </w:rPr>
        <w:t>,000, and the estimated number of burden hours is 1</w:t>
      </w:r>
      <w:r>
        <w:rPr>
          <w:rFonts w:ascii="Times New Roman" w:eastAsia="Times New Roman" w:hAnsi="Times New Roman" w:cs="Times New Roman"/>
          <w:sz w:val="24"/>
          <w:szCs w:val="20"/>
        </w:rPr>
        <w:t>00</w:t>
      </w:r>
      <w:r w:rsidRPr="002245D0">
        <w:rPr>
          <w:rFonts w:ascii="Times New Roman" w:eastAsia="Times New Roman" w:hAnsi="Times New Roman" w:cs="Times New Roman"/>
          <w:sz w:val="24"/>
          <w:szCs w:val="20"/>
        </w:rPr>
        <w:t>,000.  Below is a table of approved collections continuing with this renewal:</w:t>
      </w:r>
    </w:p>
    <w:p w:rsidR="008D52A4" w:rsidP="004F2C67" w14:paraId="4D827804" w14:textId="77777777">
      <w:pPr>
        <w:spacing w:after="0" w:line="240" w:lineRule="auto"/>
        <w:rPr>
          <w:rFonts w:ascii="Times New Roman" w:eastAsia="Times New Roman" w:hAnsi="Times New Roman" w:cs="Times New Roman"/>
          <w:sz w:val="24"/>
          <w:szCs w:val="20"/>
        </w:rPr>
      </w:pPr>
    </w:p>
    <w:tbl>
      <w:tblPr>
        <w:tblW w:w="8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75"/>
        <w:gridCol w:w="1404"/>
        <w:gridCol w:w="1980"/>
        <w:gridCol w:w="1530"/>
      </w:tblGrid>
      <w:tr w14:paraId="78ECB51D" w14:textId="77777777" w:rsidTr="008D52A4">
        <w:tblPrEx>
          <w:tblW w:w="8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775" w:type="dxa"/>
            <w:tcBorders>
              <w:bottom w:val="single" w:sz="4" w:space="0" w:color="auto"/>
            </w:tcBorders>
          </w:tcPr>
          <w:p w:rsidR="008D52A4" w:rsidRPr="008D52A4" w:rsidP="008D52A4" w14:paraId="1491BE2C" w14:textId="77777777">
            <w:pPr>
              <w:spacing w:after="0" w:line="240" w:lineRule="auto"/>
              <w:rPr>
                <w:rFonts w:ascii="Calibri" w:eastAsia="Calibri" w:hAnsi="Calibri" w:cs="Calibri"/>
                <w:b/>
              </w:rPr>
            </w:pPr>
            <w:r w:rsidRPr="008D52A4">
              <w:rPr>
                <w:rFonts w:ascii="Calibri" w:eastAsia="Calibri" w:hAnsi="Calibri" w:cs="Calibri"/>
                <w:b/>
              </w:rPr>
              <w:t>Information Collection</w:t>
            </w:r>
          </w:p>
        </w:tc>
        <w:tc>
          <w:tcPr>
            <w:tcW w:w="1404" w:type="dxa"/>
          </w:tcPr>
          <w:p w:rsidR="008D52A4" w:rsidRPr="008D52A4" w:rsidP="008D52A4" w14:paraId="36394C5E" w14:textId="77777777">
            <w:pPr>
              <w:spacing w:after="0" w:line="240" w:lineRule="auto"/>
              <w:rPr>
                <w:rFonts w:ascii="Calibri" w:eastAsia="Calibri" w:hAnsi="Calibri" w:cs="Calibri"/>
                <w:b/>
              </w:rPr>
            </w:pPr>
            <w:r w:rsidRPr="008D52A4">
              <w:rPr>
                <w:rFonts w:ascii="Calibri" w:eastAsia="Calibri" w:hAnsi="Calibri" w:cs="Calibri"/>
                <w:b/>
              </w:rPr>
              <w:t># of Respondents</w:t>
            </w:r>
          </w:p>
        </w:tc>
        <w:tc>
          <w:tcPr>
            <w:tcW w:w="1980" w:type="dxa"/>
          </w:tcPr>
          <w:p w:rsidR="008D52A4" w:rsidRPr="008D52A4" w:rsidP="008D52A4" w14:paraId="4F337655" w14:textId="77777777">
            <w:pPr>
              <w:spacing w:after="0" w:line="240" w:lineRule="auto"/>
              <w:rPr>
                <w:rFonts w:ascii="Calibri" w:eastAsia="Calibri" w:hAnsi="Calibri" w:cs="Calibri"/>
                <w:b/>
              </w:rPr>
            </w:pPr>
            <w:r w:rsidRPr="008D52A4">
              <w:rPr>
                <w:rFonts w:ascii="Calibri" w:eastAsia="Calibri" w:hAnsi="Calibri" w:cs="Calibri"/>
                <w:b/>
              </w:rPr>
              <w:t>Time per response</w:t>
            </w:r>
          </w:p>
        </w:tc>
        <w:tc>
          <w:tcPr>
            <w:tcW w:w="1530" w:type="dxa"/>
          </w:tcPr>
          <w:p w:rsidR="008D52A4" w:rsidRPr="008D52A4" w:rsidP="008D52A4" w14:paraId="044F7FF6" w14:textId="77777777">
            <w:pPr>
              <w:spacing w:after="0" w:line="240" w:lineRule="auto"/>
              <w:rPr>
                <w:rFonts w:ascii="Calibri" w:eastAsia="Calibri" w:hAnsi="Calibri" w:cs="Calibri"/>
                <w:b/>
              </w:rPr>
            </w:pPr>
            <w:r w:rsidRPr="008D52A4">
              <w:rPr>
                <w:rFonts w:ascii="Calibri" w:eastAsia="Calibri" w:hAnsi="Calibri" w:cs="Calibri"/>
                <w:b/>
              </w:rPr>
              <w:t>Burden hours</w:t>
            </w:r>
          </w:p>
        </w:tc>
      </w:tr>
      <w:tr w14:paraId="0F49B256" w14:textId="77777777" w:rsidTr="008D52A4">
        <w:tblPrEx>
          <w:tblW w:w="8689" w:type="dxa"/>
          <w:tblLayout w:type="fixed"/>
          <w:tblLook w:val="0400"/>
        </w:tblPrEx>
        <w:tc>
          <w:tcPr>
            <w:tcW w:w="3775" w:type="dxa"/>
            <w:tcBorders>
              <w:top w:val="single" w:sz="4" w:space="0" w:color="auto"/>
              <w:left w:val="single" w:sz="4" w:space="0" w:color="auto"/>
              <w:bottom w:val="single" w:sz="4" w:space="0" w:color="auto"/>
              <w:right w:val="single" w:sz="4" w:space="0" w:color="auto"/>
            </w:tcBorders>
            <w:tcMar>
              <w:top w:w="20" w:type="dxa"/>
              <w:left w:w="20" w:type="dxa"/>
              <w:bottom w:w="100" w:type="dxa"/>
              <w:right w:w="20" w:type="dxa"/>
            </w:tcMar>
            <w:vAlign w:val="bottom"/>
          </w:tcPr>
          <w:p w:rsidR="008D52A4" w:rsidRPr="008D52A4" w:rsidP="008D52A4" w14:paraId="414941AF" w14:textId="344C8D13">
            <w:pPr>
              <w:spacing w:after="0" w:line="240" w:lineRule="auto"/>
              <w:rPr>
                <w:rFonts w:ascii="Calibri" w:eastAsia="Calibri" w:hAnsi="Calibri" w:cs="Calibri"/>
                <w:sz w:val="18"/>
                <w:szCs w:val="18"/>
              </w:rPr>
            </w:pPr>
            <w:r w:rsidRPr="008D52A4">
              <w:rPr>
                <w:rFonts w:ascii="Calibri" w:eastAsia="Calibri" w:hAnsi="Calibri" w:cs="Calibri"/>
              </w:rPr>
              <w:t>National Safety Council Survey Results and Analysis</w:t>
            </w:r>
          </w:p>
        </w:tc>
        <w:tc>
          <w:tcPr>
            <w:tcW w:w="1404" w:type="dxa"/>
            <w:tcBorders>
              <w:left w:val="single" w:sz="4" w:space="0" w:color="auto"/>
            </w:tcBorders>
          </w:tcPr>
          <w:p w:rsidR="008D52A4" w:rsidRPr="008D52A4" w:rsidP="008D52A4" w14:paraId="3269B223" w14:textId="45F1CD46">
            <w:pPr>
              <w:spacing w:after="0" w:line="240" w:lineRule="auto"/>
              <w:jc w:val="center"/>
              <w:rPr>
                <w:rFonts w:ascii="Calibri" w:eastAsia="Calibri" w:hAnsi="Calibri" w:cs="Calibri"/>
              </w:rPr>
            </w:pPr>
            <w:r>
              <w:rPr>
                <w:rFonts w:ascii="Calibri" w:eastAsia="Calibri" w:hAnsi="Calibri" w:cs="Calibri"/>
              </w:rPr>
              <w:t>1817</w:t>
            </w:r>
          </w:p>
        </w:tc>
        <w:tc>
          <w:tcPr>
            <w:tcW w:w="1980" w:type="dxa"/>
          </w:tcPr>
          <w:p w:rsidR="008D52A4" w:rsidRPr="008D52A4" w:rsidP="008D52A4" w14:paraId="1BE3C135" w14:textId="77777777">
            <w:pPr>
              <w:spacing w:after="0" w:line="240" w:lineRule="auto"/>
              <w:jc w:val="center"/>
              <w:rPr>
                <w:rFonts w:ascii="Calibri" w:eastAsia="Calibri" w:hAnsi="Calibri" w:cs="Calibri"/>
              </w:rPr>
            </w:pPr>
            <w:r w:rsidRPr="008D52A4">
              <w:rPr>
                <w:rFonts w:ascii="Calibri" w:eastAsia="Calibri" w:hAnsi="Calibri" w:cs="Calibri"/>
              </w:rPr>
              <w:t>20 minutes</w:t>
            </w:r>
          </w:p>
        </w:tc>
        <w:tc>
          <w:tcPr>
            <w:tcW w:w="1530" w:type="dxa"/>
          </w:tcPr>
          <w:p w:rsidR="008D52A4" w:rsidRPr="008D52A4" w:rsidP="008D52A4" w14:paraId="0B77D597" w14:textId="4A6FCC7C">
            <w:pPr>
              <w:spacing w:after="0" w:line="240" w:lineRule="auto"/>
              <w:jc w:val="center"/>
              <w:rPr>
                <w:rFonts w:ascii="Calibri" w:eastAsia="Calibri" w:hAnsi="Calibri" w:cs="Calibri"/>
              </w:rPr>
            </w:pPr>
            <w:r>
              <w:rPr>
                <w:rFonts w:ascii="Calibri" w:eastAsia="Calibri" w:hAnsi="Calibri" w:cs="Calibri"/>
              </w:rPr>
              <w:t>606</w:t>
            </w:r>
          </w:p>
        </w:tc>
      </w:tr>
      <w:tr w14:paraId="4345C75E" w14:textId="77777777" w:rsidTr="008D52A4">
        <w:tblPrEx>
          <w:tblW w:w="8689" w:type="dxa"/>
          <w:tblLayout w:type="fixed"/>
          <w:tblLook w:val="0400"/>
        </w:tblPrEx>
        <w:tc>
          <w:tcPr>
            <w:tcW w:w="3775" w:type="dxa"/>
            <w:tcBorders>
              <w:top w:val="single" w:sz="4" w:space="0" w:color="auto"/>
              <w:left w:val="single" w:sz="4" w:space="0" w:color="auto"/>
              <w:bottom w:val="single" w:sz="4" w:space="0" w:color="auto"/>
              <w:right w:val="single" w:sz="4" w:space="0" w:color="auto"/>
            </w:tcBorders>
            <w:tcMar>
              <w:top w:w="20" w:type="dxa"/>
              <w:left w:w="20" w:type="dxa"/>
              <w:bottom w:w="100" w:type="dxa"/>
              <w:right w:w="20" w:type="dxa"/>
            </w:tcMar>
            <w:vAlign w:val="bottom"/>
          </w:tcPr>
          <w:p w:rsidR="008D52A4" w:rsidRPr="008D52A4" w:rsidP="008D52A4" w14:paraId="79FE21FB" w14:textId="1CB3BA28">
            <w:pPr>
              <w:spacing w:after="0" w:line="240" w:lineRule="auto"/>
              <w:rPr>
                <w:rFonts w:ascii="Calibri" w:eastAsia="Calibri" w:hAnsi="Calibri" w:cs="Calibri"/>
                <w:sz w:val="18"/>
                <w:szCs w:val="18"/>
              </w:rPr>
            </w:pPr>
            <w:r w:rsidRPr="008D52A4">
              <w:rPr>
                <w:rFonts w:ascii="Calibri" w:eastAsia="Calibri" w:hAnsi="Calibri" w:cs="Calibri"/>
              </w:rPr>
              <w:t>Assessing the Effectiveness of Facial Features and Developing Calibrated Facial Proficiency Tests</w:t>
            </w:r>
          </w:p>
        </w:tc>
        <w:tc>
          <w:tcPr>
            <w:tcW w:w="1404" w:type="dxa"/>
            <w:tcBorders>
              <w:left w:val="single" w:sz="4" w:space="0" w:color="auto"/>
            </w:tcBorders>
          </w:tcPr>
          <w:p w:rsidR="008D52A4" w:rsidRPr="008D52A4" w:rsidP="008D52A4" w14:paraId="256AA627" w14:textId="3A0E4BBB">
            <w:pPr>
              <w:spacing w:after="0" w:line="240" w:lineRule="auto"/>
              <w:jc w:val="center"/>
              <w:rPr>
                <w:rFonts w:ascii="Calibri" w:eastAsia="Calibri" w:hAnsi="Calibri" w:cs="Calibri"/>
              </w:rPr>
            </w:pPr>
            <w:r>
              <w:rPr>
                <w:rFonts w:ascii="Calibri" w:eastAsia="Calibri" w:hAnsi="Calibri" w:cs="Calibri"/>
              </w:rPr>
              <w:t>90</w:t>
            </w:r>
          </w:p>
        </w:tc>
        <w:tc>
          <w:tcPr>
            <w:tcW w:w="1980" w:type="dxa"/>
          </w:tcPr>
          <w:p w:rsidR="008D52A4" w:rsidRPr="008D52A4" w:rsidP="008D52A4" w14:paraId="0774E556" w14:textId="447A6781">
            <w:pPr>
              <w:spacing w:after="0" w:line="240" w:lineRule="auto"/>
              <w:jc w:val="center"/>
              <w:rPr>
                <w:rFonts w:ascii="Calibri" w:eastAsia="Calibri" w:hAnsi="Calibri" w:cs="Calibri"/>
              </w:rPr>
            </w:pPr>
            <w:r>
              <w:rPr>
                <w:rFonts w:ascii="Calibri" w:eastAsia="Calibri" w:hAnsi="Calibri" w:cs="Calibri"/>
              </w:rPr>
              <w:t>30 minutes</w:t>
            </w:r>
          </w:p>
        </w:tc>
        <w:tc>
          <w:tcPr>
            <w:tcW w:w="1530" w:type="dxa"/>
          </w:tcPr>
          <w:p w:rsidR="008D52A4" w:rsidRPr="008D52A4" w:rsidP="008D52A4" w14:paraId="2A8ECC71" w14:textId="36768FB6">
            <w:pPr>
              <w:spacing w:after="0" w:line="240" w:lineRule="auto"/>
              <w:jc w:val="center"/>
              <w:rPr>
                <w:rFonts w:ascii="Calibri" w:eastAsia="Calibri" w:hAnsi="Calibri" w:cs="Calibri"/>
              </w:rPr>
            </w:pPr>
            <w:r>
              <w:rPr>
                <w:rFonts w:ascii="Calibri" w:eastAsia="Calibri" w:hAnsi="Calibri" w:cs="Calibri"/>
              </w:rPr>
              <w:t>45</w:t>
            </w:r>
          </w:p>
        </w:tc>
      </w:tr>
      <w:tr w14:paraId="3423E5A8" w14:textId="77777777" w:rsidTr="008D52A4">
        <w:tblPrEx>
          <w:tblW w:w="8689" w:type="dxa"/>
          <w:tblLayout w:type="fixed"/>
          <w:tblLook w:val="0400"/>
        </w:tblPrEx>
        <w:tc>
          <w:tcPr>
            <w:tcW w:w="3775" w:type="dxa"/>
            <w:tcBorders>
              <w:top w:val="single" w:sz="4" w:space="0" w:color="auto"/>
              <w:left w:val="single" w:sz="4" w:space="0" w:color="auto"/>
              <w:bottom w:val="single" w:sz="4" w:space="0" w:color="auto"/>
              <w:right w:val="single" w:sz="4" w:space="0" w:color="auto"/>
            </w:tcBorders>
            <w:tcMar>
              <w:top w:w="20" w:type="dxa"/>
              <w:left w:w="20" w:type="dxa"/>
              <w:bottom w:w="100" w:type="dxa"/>
              <w:right w:w="20" w:type="dxa"/>
            </w:tcMar>
            <w:vAlign w:val="bottom"/>
          </w:tcPr>
          <w:p w:rsidR="008D52A4" w:rsidRPr="008D52A4" w:rsidP="008D52A4" w14:paraId="436E9EF8" w14:textId="3E8FED85">
            <w:pPr>
              <w:spacing w:after="0" w:line="240" w:lineRule="auto"/>
              <w:rPr>
                <w:rFonts w:ascii="Calibri" w:eastAsia="Calibri" w:hAnsi="Calibri" w:cs="Calibri"/>
                <w:sz w:val="18"/>
                <w:szCs w:val="18"/>
              </w:rPr>
            </w:pPr>
            <w:r w:rsidRPr="008D52A4">
              <w:rPr>
                <w:rFonts w:ascii="Calibri" w:eastAsia="Calibri" w:hAnsi="Calibri" w:cs="Calibri"/>
              </w:rPr>
              <w:t>Cybersecurity Supply Chain Survey Tool</w:t>
            </w:r>
          </w:p>
        </w:tc>
        <w:tc>
          <w:tcPr>
            <w:tcW w:w="1404" w:type="dxa"/>
            <w:tcBorders>
              <w:left w:val="single" w:sz="4" w:space="0" w:color="auto"/>
            </w:tcBorders>
          </w:tcPr>
          <w:p w:rsidR="008D52A4" w:rsidRPr="008D52A4" w:rsidP="008D52A4" w14:paraId="05D5642B" w14:textId="65EFBCC4">
            <w:pPr>
              <w:spacing w:after="0" w:line="240" w:lineRule="auto"/>
              <w:jc w:val="center"/>
              <w:rPr>
                <w:rFonts w:ascii="Calibri" w:eastAsia="Calibri" w:hAnsi="Calibri" w:cs="Calibri"/>
              </w:rPr>
            </w:pPr>
            <w:r>
              <w:rPr>
                <w:rFonts w:ascii="Calibri" w:eastAsia="Calibri" w:hAnsi="Calibri" w:cs="Calibri"/>
              </w:rPr>
              <w:t>200</w:t>
            </w:r>
          </w:p>
        </w:tc>
        <w:tc>
          <w:tcPr>
            <w:tcW w:w="1980" w:type="dxa"/>
          </w:tcPr>
          <w:p w:rsidR="008D52A4" w:rsidRPr="008D52A4" w:rsidP="008D52A4" w14:paraId="66707174" w14:textId="6D72E963">
            <w:pPr>
              <w:spacing w:after="0" w:line="240" w:lineRule="auto"/>
              <w:jc w:val="center"/>
              <w:rPr>
                <w:rFonts w:ascii="Calibri" w:eastAsia="Calibri" w:hAnsi="Calibri" w:cs="Calibri"/>
              </w:rPr>
            </w:pPr>
            <w:r>
              <w:rPr>
                <w:rFonts w:ascii="Calibri" w:eastAsia="Calibri" w:hAnsi="Calibri" w:cs="Calibri"/>
              </w:rPr>
              <w:t>40 minutes</w:t>
            </w:r>
          </w:p>
        </w:tc>
        <w:tc>
          <w:tcPr>
            <w:tcW w:w="1530" w:type="dxa"/>
          </w:tcPr>
          <w:p w:rsidR="008D52A4" w:rsidRPr="008D52A4" w:rsidP="008D52A4" w14:paraId="02BD52F3" w14:textId="036041B2">
            <w:pPr>
              <w:spacing w:after="0" w:line="240" w:lineRule="auto"/>
              <w:jc w:val="center"/>
              <w:rPr>
                <w:rFonts w:ascii="Calibri" w:eastAsia="Calibri" w:hAnsi="Calibri" w:cs="Calibri"/>
              </w:rPr>
            </w:pPr>
            <w:r>
              <w:rPr>
                <w:rFonts w:ascii="Calibri" w:eastAsia="Calibri" w:hAnsi="Calibri" w:cs="Calibri"/>
              </w:rPr>
              <w:t>133</w:t>
            </w:r>
          </w:p>
        </w:tc>
      </w:tr>
      <w:tr w14:paraId="1F83BC0D" w14:textId="77777777" w:rsidTr="00A15260">
        <w:tblPrEx>
          <w:tblW w:w="8689" w:type="dxa"/>
          <w:tblLayout w:type="fixed"/>
          <w:tblLook w:val="0400"/>
        </w:tblPrEx>
        <w:tc>
          <w:tcPr>
            <w:tcW w:w="3775" w:type="dxa"/>
            <w:tcBorders>
              <w:top w:val="single" w:sz="4" w:space="0" w:color="auto"/>
              <w:left w:val="single" w:sz="4" w:space="0" w:color="auto"/>
              <w:bottom w:val="single" w:sz="4" w:space="0" w:color="auto"/>
              <w:right w:val="single" w:sz="4" w:space="0" w:color="auto"/>
            </w:tcBorders>
            <w:tcMar>
              <w:top w:w="20" w:type="dxa"/>
              <w:left w:w="20" w:type="dxa"/>
              <w:bottom w:w="100" w:type="dxa"/>
              <w:right w:w="20" w:type="dxa"/>
            </w:tcMar>
            <w:vAlign w:val="bottom"/>
          </w:tcPr>
          <w:p w:rsidR="008D52A4" w:rsidRPr="008D52A4" w:rsidP="008D52A4" w14:paraId="666A8279" w14:textId="7FBBD712">
            <w:pPr>
              <w:spacing w:after="0" w:line="240" w:lineRule="auto"/>
              <w:rPr>
                <w:rFonts w:ascii="Calibri" w:eastAsia="Calibri" w:hAnsi="Calibri" w:cs="Calibri"/>
                <w:sz w:val="18"/>
                <w:szCs w:val="18"/>
              </w:rPr>
            </w:pPr>
            <w:r w:rsidRPr="008D52A4">
              <w:rPr>
                <w:rFonts w:ascii="Calibri" w:eastAsia="Calibri" w:hAnsi="Calibri" w:cs="Calibri"/>
              </w:rPr>
              <w:t>Organization of Scientific Area Committees for Forensic Science (OSAC) Forensic Science Service Provider Standards Implementation Survey</w:t>
            </w:r>
          </w:p>
        </w:tc>
        <w:tc>
          <w:tcPr>
            <w:tcW w:w="1404" w:type="dxa"/>
            <w:tcBorders>
              <w:left w:val="single" w:sz="4" w:space="0" w:color="auto"/>
            </w:tcBorders>
          </w:tcPr>
          <w:p w:rsidR="008D52A4" w:rsidRPr="008D52A4" w:rsidP="008D52A4" w14:paraId="1F1C3CFE" w14:textId="484CFE43">
            <w:pPr>
              <w:spacing w:after="0" w:line="240" w:lineRule="auto"/>
              <w:jc w:val="center"/>
              <w:rPr>
                <w:rFonts w:ascii="Calibri" w:eastAsia="Calibri" w:hAnsi="Calibri" w:cs="Calibri"/>
              </w:rPr>
            </w:pPr>
            <w:r>
              <w:rPr>
                <w:rFonts w:ascii="Calibri" w:eastAsia="Calibri" w:hAnsi="Calibri" w:cs="Calibri"/>
              </w:rPr>
              <w:t>1,000</w:t>
            </w:r>
          </w:p>
        </w:tc>
        <w:tc>
          <w:tcPr>
            <w:tcW w:w="1980" w:type="dxa"/>
          </w:tcPr>
          <w:p w:rsidR="008D52A4" w:rsidRPr="008D52A4" w:rsidP="008D52A4" w14:paraId="195C985E" w14:textId="2CAC5F3B">
            <w:pPr>
              <w:spacing w:after="0" w:line="240" w:lineRule="auto"/>
              <w:jc w:val="center"/>
              <w:rPr>
                <w:rFonts w:ascii="Calibri" w:eastAsia="Calibri" w:hAnsi="Calibri" w:cs="Calibri"/>
              </w:rPr>
            </w:pPr>
            <w:r>
              <w:rPr>
                <w:rFonts w:ascii="Calibri" w:eastAsia="Calibri" w:hAnsi="Calibri" w:cs="Calibri"/>
              </w:rPr>
              <w:t>30 minutes</w:t>
            </w:r>
          </w:p>
        </w:tc>
        <w:tc>
          <w:tcPr>
            <w:tcW w:w="1530" w:type="dxa"/>
          </w:tcPr>
          <w:p w:rsidR="008D52A4" w:rsidRPr="008D52A4" w:rsidP="008D52A4" w14:paraId="104E1B8D" w14:textId="68596B3B">
            <w:pPr>
              <w:spacing w:after="0" w:line="240" w:lineRule="auto"/>
              <w:jc w:val="center"/>
              <w:rPr>
                <w:rFonts w:ascii="Calibri" w:eastAsia="Calibri" w:hAnsi="Calibri" w:cs="Calibri"/>
              </w:rPr>
            </w:pPr>
            <w:r>
              <w:rPr>
                <w:rFonts w:ascii="Calibri" w:eastAsia="Calibri" w:hAnsi="Calibri" w:cs="Calibri"/>
              </w:rPr>
              <w:t>500</w:t>
            </w:r>
          </w:p>
        </w:tc>
      </w:tr>
      <w:tr w14:paraId="260666ED" w14:textId="77777777" w:rsidTr="00A15260">
        <w:tblPrEx>
          <w:tblW w:w="8689" w:type="dxa"/>
          <w:tblLayout w:type="fixed"/>
          <w:tblLook w:val="0400"/>
        </w:tblPrEx>
        <w:tc>
          <w:tcPr>
            <w:tcW w:w="3775" w:type="dxa"/>
            <w:tcBorders>
              <w:top w:val="single" w:sz="4" w:space="0" w:color="auto"/>
              <w:left w:val="single" w:sz="4" w:space="0" w:color="auto"/>
              <w:bottom w:val="single" w:sz="4" w:space="0" w:color="auto"/>
              <w:right w:val="single" w:sz="4" w:space="0" w:color="auto"/>
            </w:tcBorders>
            <w:tcMar>
              <w:top w:w="20" w:type="dxa"/>
              <w:left w:w="20" w:type="dxa"/>
              <w:bottom w:w="100" w:type="dxa"/>
              <w:right w:w="20" w:type="dxa"/>
            </w:tcMar>
            <w:vAlign w:val="bottom"/>
          </w:tcPr>
          <w:p w:rsidR="008D52A4" w:rsidRPr="008D52A4" w:rsidP="008D52A4" w14:paraId="64FCA9E1" w14:textId="1B3F089A">
            <w:pPr>
              <w:spacing w:after="0" w:line="240" w:lineRule="auto"/>
              <w:rPr>
                <w:rFonts w:ascii="Calibri" w:eastAsia="Calibri" w:hAnsi="Calibri" w:cs="Calibri"/>
                <w:sz w:val="18"/>
                <w:szCs w:val="18"/>
              </w:rPr>
            </w:pPr>
            <w:r w:rsidRPr="00BD593B">
              <w:rPr>
                <w:rFonts w:ascii="Calibri" w:eastAsia="Calibri" w:hAnsi="Calibri" w:cs="Calibri"/>
              </w:rPr>
              <w:t>Research on People's Perceptions of Phishing Email Cues Clickers Study</w:t>
            </w:r>
          </w:p>
        </w:tc>
        <w:tc>
          <w:tcPr>
            <w:tcW w:w="1404" w:type="dxa"/>
            <w:tcBorders>
              <w:left w:val="single" w:sz="4" w:space="0" w:color="auto"/>
            </w:tcBorders>
          </w:tcPr>
          <w:p w:rsidR="008D52A4" w:rsidRPr="008D52A4" w:rsidP="008D52A4" w14:paraId="4C0E17FF" w14:textId="7919482F">
            <w:pPr>
              <w:spacing w:after="0" w:line="240" w:lineRule="auto"/>
              <w:jc w:val="center"/>
              <w:rPr>
                <w:rFonts w:ascii="Calibri" w:eastAsia="Calibri" w:hAnsi="Calibri" w:cs="Calibri"/>
              </w:rPr>
            </w:pPr>
            <w:r>
              <w:rPr>
                <w:rFonts w:ascii="Calibri" w:eastAsia="Calibri" w:hAnsi="Calibri" w:cs="Calibri"/>
              </w:rPr>
              <w:t>7,000</w:t>
            </w:r>
          </w:p>
        </w:tc>
        <w:tc>
          <w:tcPr>
            <w:tcW w:w="1980" w:type="dxa"/>
          </w:tcPr>
          <w:p w:rsidR="008D52A4" w:rsidRPr="008D52A4" w:rsidP="008D52A4" w14:paraId="53BB63C2" w14:textId="577ECE89">
            <w:pPr>
              <w:spacing w:after="0" w:line="240" w:lineRule="auto"/>
              <w:jc w:val="center"/>
              <w:rPr>
                <w:rFonts w:ascii="Calibri" w:eastAsia="Calibri" w:hAnsi="Calibri" w:cs="Calibri"/>
              </w:rPr>
            </w:pPr>
            <w:r>
              <w:rPr>
                <w:rFonts w:ascii="Calibri" w:eastAsia="Calibri" w:hAnsi="Calibri" w:cs="Calibri"/>
              </w:rPr>
              <w:t>15 minutes</w:t>
            </w:r>
          </w:p>
        </w:tc>
        <w:tc>
          <w:tcPr>
            <w:tcW w:w="1530" w:type="dxa"/>
          </w:tcPr>
          <w:p w:rsidR="008D52A4" w:rsidRPr="008D52A4" w:rsidP="008D52A4" w14:paraId="56EEE650" w14:textId="69FB046A">
            <w:pPr>
              <w:spacing w:after="0" w:line="240" w:lineRule="auto"/>
              <w:jc w:val="center"/>
              <w:rPr>
                <w:rFonts w:ascii="Calibri" w:eastAsia="Calibri" w:hAnsi="Calibri" w:cs="Calibri"/>
              </w:rPr>
            </w:pPr>
            <w:r>
              <w:rPr>
                <w:rFonts w:ascii="Calibri" w:eastAsia="Calibri" w:hAnsi="Calibri" w:cs="Calibri"/>
              </w:rPr>
              <w:t>1,750</w:t>
            </w:r>
          </w:p>
        </w:tc>
      </w:tr>
      <w:tr w14:paraId="0FA1D6FA" w14:textId="77777777" w:rsidTr="00A15260">
        <w:tblPrEx>
          <w:tblW w:w="8689" w:type="dxa"/>
          <w:tblLayout w:type="fixed"/>
          <w:tblLook w:val="0400"/>
        </w:tblPrEx>
        <w:tc>
          <w:tcPr>
            <w:tcW w:w="3775" w:type="dxa"/>
            <w:tcBorders>
              <w:top w:val="single" w:sz="4" w:space="0" w:color="auto"/>
              <w:left w:val="single" w:sz="4" w:space="0" w:color="auto"/>
              <w:bottom w:val="single" w:sz="4" w:space="0" w:color="auto"/>
              <w:right w:val="single" w:sz="4" w:space="0" w:color="auto"/>
            </w:tcBorders>
            <w:tcMar>
              <w:top w:w="20" w:type="dxa"/>
              <w:left w:w="20" w:type="dxa"/>
              <w:bottom w:w="100" w:type="dxa"/>
              <w:right w:w="20" w:type="dxa"/>
            </w:tcMar>
            <w:vAlign w:val="bottom"/>
          </w:tcPr>
          <w:p w:rsidR="008D52A4" w:rsidRPr="008D52A4" w:rsidP="008D52A4" w14:paraId="561E7C4B" w14:textId="24A3414F">
            <w:pPr>
              <w:spacing w:after="0" w:line="240" w:lineRule="auto"/>
              <w:rPr>
                <w:rFonts w:ascii="Calibri" w:eastAsia="Calibri" w:hAnsi="Calibri" w:cs="Calibri"/>
                <w:sz w:val="18"/>
                <w:szCs w:val="18"/>
              </w:rPr>
            </w:pPr>
            <w:r w:rsidRPr="00A15260">
              <w:rPr>
                <w:rFonts w:ascii="Calibri" w:eastAsia="Calibri" w:hAnsi="Calibri" w:cs="Calibri"/>
              </w:rPr>
              <w:t>Research on People's Perceptions of Phishing Email Cues Non-Clickers Non-Reporters Study</w:t>
            </w:r>
          </w:p>
        </w:tc>
        <w:tc>
          <w:tcPr>
            <w:tcW w:w="1404" w:type="dxa"/>
            <w:tcBorders>
              <w:left w:val="single" w:sz="4" w:space="0" w:color="auto"/>
            </w:tcBorders>
          </w:tcPr>
          <w:p w:rsidR="008D52A4" w:rsidRPr="008D52A4" w:rsidP="008D52A4" w14:paraId="6A932196" w14:textId="643D7E9A">
            <w:pPr>
              <w:spacing w:after="0" w:line="240" w:lineRule="auto"/>
              <w:jc w:val="center"/>
              <w:rPr>
                <w:rFonts w:ascii="Calibri" w:eastAsia="Calibri" w:hAnsi="Calibri" w:cs="Calibri"/>
              </w:rPr>
            </w:pPr>
            <w:r>
              <w:rPr>
                <w:rFonts w:ascii="Calibri" w:eastAsia="Calibri" w:hAnsi="Calibri" w:cs="Calibri"/>
              </w:rPr>
              <w:t>7,000</w:t>
            </w:r>
          </w:p>
        </w:tc>
        <w:tc>
          <w:tcPr>
            <w:tcW w:w="1980" w:type="dxa"/>
          </w:tcPr>
          <w:p w:rsidR="008D52A4" w:rsidRPr="008D52A4" w:rsidP="008D52A4" w14:paraId="297C5741" w14:textId="18ED2B6C">
            <w:pPr>
              <w:spacing w:after="0" w:line="240" w:lineRule="auto"/>
              <w:jc w:val="center"/>
              <w:rPr>
                <w:rFonts w:ascii="Calibri" w:eastAsia="Calibri" w:hAnsi="Calibri" w:cs="Calibri"/>
              </w:rPr>
            </w:pPr>
            <w:r>
              <w:rPr>
                <w:rFonts w:ascii="Calibri" w:eastAsia="Calibri" w:hAnsi="Calibri" w:cs="Calibri"/>
              </w:rPr>
              <w:t>15 minutes</w:t>
            </w:r>
          </w:p>
        </w:tc>
        <w:tc>
          <w:tcPr>
            <w:tcW w:w="1530" w:type="dxa"/>
          </w:tcPr>
          <w:p w:rsidR="008D52A4" w:rsidRPr="008D52A4" w:rsidP="008D52A4" w14:paraId="222C1156" w14:textId="72BF92C0">
            <w:pPr>
              <w:spacing w:after="0" w:line="240" w:lineRule="auto"/>
              <w:jc w:val="center"/>
              <w:rPr>
                <w:rFonts w:ascii="Calibri" w:eastAsia="Calibri" w:hAnsi="Calibri" w:cs="Calibri"/>
              </w:rPr>
            </w:pPr>
            <w:r>
              <w:rPr>
                <w:rFonts w:ascii="Calibri" w:eastAsia="Calibri" w:hAnsi="Calibri" w:cs="Calibri"/>
              </w:rPr>
              <w:t>1,750</w:t>
            </w:r>
          </w:p>
        </w:tc>
      </w:tr>
      <w:tr w14:paraId="00118CEA" w14:textId="77777777" w:rsidTr="00BB695A">
        <w:tblPrEx>
          <w:tblW w:w="8689" w:type="dxa"/>
          <w:tblLayout w:type="fixed"/>
          <w:tblLook w:val="0400"/>
        </w:tblPrEx>
        <w:tc>
          <w:tcPr>
            <w:tcW w:w="3775" w:type="dxa"/>
            <w:tcBorders>
              <w:top w:val="single" w:sz="4" w:space="0" w:color="auto"/>
              <w:left w:val="single" w:sz="4" w:space="0" w:color="auto"/>
              <w:bottom w:val="single" w:sz="4" w:space="0" w:color="auto"/>
              <w:right w:val="single" w:sz="4" w:space="0" w:color="auto"/>
            </w:tcBorders>
            <w:tcMar>
              <w:top w:w="20" w:type="dxa"/>
              <w:left w:w="20" w:type="dxa"/>
              <w:bottom w:w="100" w:type="dxa"/>
              <w:right w:w="20" w:type="dxa"/>
            </w:tcMar>
            <w:vAlign w:val="bottom"/>
          </w:tcPr>
          <w:p w:rsidR="008D52A4" w:rsidRPr="008D52A4" w:rsidP="008D52A4" w14:paraId="5C4E5E3E" w14:textId="6B4E93D5">
            <w:pPr>
              <w:spacing w:after="0" w:line="240" w:lineRule="auto"/>
              <w:rPr>
                <w:rFonts w:ascii="Calibri" w:eastAsia="Calibri" w:hAnsi="Calibri" w:cs="Calibri"/>
                <w:sz w:val="18"/>
                <w:szCs w:val="18"/>
              </w:rPr>
            </w:pPr>
            <w:r w:rsidRPr="00A15260">
              <w:rPr>
                <w:rFonts w:ascii="Calibri" w:eastAsia="Calibri" w:hAnsi="Calibri" w:cs="Calibri"/>
              </w:rPr>
              <w:t>Research on People's Perceptions of Phishing Email Cues Reporters Study</w:t>
            </w:r>
          </w:p>
        </w:tc>
        <w:tc>
          <w:tcPr>
            <w:tcW w:w="1404" w:type="dxa"/>
            <w:tcBorders>
              <w:left w:val="single" w:sz="4" w:space="0" w:color="auto"/>
            </w:tcBorders>
          </w:tcPr>
          <w:p w:rsidR="008D52A4" w:rsidRPr="008D52A4" w:rsidP="008D52A4" w14:paraId="4582524E" w14:textId="7B5028DB">
            <w:pPr>
              <w:spacing w:after="0" w:line="240" w:lineRule="auto"/>
              <w:jc w:val="center"/>
              <w:rPr>
                <w:rFonts w:ascii="Calibri" w:eastAsia="Calibri" w:hAnsi="Calibri" w:cs="Calibri"/>
              </w:rPr>
            </w:pPr>
            <w:r>
              <w:rPr>
                <w:rFonts w:ascii="Calibri" w:eastAsia="Calibri" w:hAnsi="Calibri" w:cs="Calibri"/>
              </w:rPr>
              <w:t>7,000</w:t>
            </w:r>
          </w:p>
        </w:tc>
        <w:tc>
          <w:tcPr>
            <w:tcW w:w="1980" w:type="dxa"/>
          </w:tcPr>
          <w:p w:rsidR="008D52A4" w:rsidRPr="008D52A4" w:rsidP="008D52A4" w14:paraId="339C55C0" w14:textId="1DB6BD0E">
            <w:pPr>
              <w:spacing w:after="0" w:line="240" w:lineRule="auto"/>
              <w:jc w:val="center"/>
              <w:rPr>
                <w:rFonts w:ascii="Calibri" w:eastAsia="Calibri" w:hAnsi="Calibri" w:cs="Calibri"/>
              </w:rPr>
            </w:pPr>
            <w:r>
              <w:rPr>
                <w:rFonts w:ascii="Calibri" w:eastAsia="Calibri" w:hAnsi="Calibri" w:cs="Calibri"/>
              </w:rPr>
              <w:t>15 minutes</w:t>
            </w:r>
          </w:p>
        </w:tc>
        <w:tc>
          <w:tcPr>
            <w:tcW w:w="1530" w:type="dxa"/>
          </w:tcPr>
          <w:p w:rsidR="008D52A4" w:rsidRPr="008D52A4" w:rsidP="008D52A4" w14:paraId="0F92714F" w14:textId="4F3C6644">
            <w:pPr>
              <w:spacing w:after="0" w:line="240" w:lineRule="auto"/>
              <w:jc w:val="center"/>
              <w:rPr>
                <w:rFonts w:ascii="Calibri" w:eastAsia="Calibri" w:hAnsi="Calibri" w:cs="Calibri"/>
              </w:rPr>
            </w:pPr>
            <w:r>
              <w:rPr>
                <w:rFonts w:ascii="Calibri" w:eastAsia="Calibri" w:hAnsi="Calibri" w:cs="Calibri"/>
              </w:rPr>
              <w:t>1,750</w:t>
            </w:r>
          </w:p>
        </w:tc>
      </w:tr>
      <w:tr w14:paraId="58E68B75" w14:textId="77777777" w:rsidTr="00BB695A">
        <w:tblPrEx>
          <w:tblW w:w="8689" w:type="dxa"/>
          <w:tblLayout w:type="fixed"/>
          <w:tblLook w:val="0400"/>
        </w:tblPrEx>
        <w:tc>
          <w:tcPr>
            <w:tcW w:w="3775" w:type="dxa"/>
            <w:tcBorders>
              <w:top w:val="single" w:sz="4" w:space="0" w:color="auto"/>
              <w:left w:val="single" w:sz="4" w:space="0" w:color="auto"/>
              <w:bottom w:val="single" w:sz="4" w:space="0" w:color="auto"/>
              <w:right w:val="single" w:sz="4" w:space="0" w:color="auto"/>
            </w:tcBorders>
            <w:tcMar>
              <w:top w:w="20" w:type="dxa"/>
              <w:left w:w="20" w:type="dxa"/>
              <w:bottom w:w="100" w:type="dxa"/>
              <w:right w:w="20" w:type="dxa"/>
            </w:tcMar>
            <w:vAlign w:val="bottom"/>
          </w:tcPr>
          <w:p w:rsidR="008D52A4" w:rsidRPr="008D52A4" w:rsidP="008D52A4" w14:paraId="0824CD31" w14:textId="217B6A99">
            <w:pPr>
              <w:spacing w:after="0" w:line="240" w:lineRule="auto"/>
              <w:rPr>
                <w:rFonts w:ascii="Calibri" w:eastAsia="Calibri" w:hAnsi="Calibri" w:cs="Calibri"/>
              </w:rPr>
            </w:pPr>
            <w:r w:rsidRPr="00DE5B26">
              <w:rPr>
                <w:rFonts w:ascii="Calibri" w:eastAsia="Calibri" w:hAnsi="Calibri" w:cs="Calibri"/>
              </w:rPr>
              <w:t>Human-Centered Cybersecurity</w:t>
            </w:r>
          </w:p>
        </w:tc>
        <w:tc>
          <w:tcPr>
            <w:tcW w:w="1404" w:type="dxa"/>
            <w:tcBorders>
              <w:left w:val="single" w:sz="4" w:space="0" w:color="auto"/>
            </w:tcBorders>
          </w:tcPr>
          <w:p w:rsidR="008D52A4" w:rsidRPr="008D52A4" w:rsidP="008D52A4" w14:paraId="06E07957" w14:textId="37FE4E22">
            <w:pPr>
              <w:spacing w:after="0" w:line="240" w:lineRule="auto"/>
              <w:jc w:val="center"/>
              <w:rPr>
                <w:rFonts w:ascii="Calibri" w:eastAsia="Calibri" w:hAnsi="Calibri" w:cs="Calibri"/>
              </w:rPr>
            </w:pPr>
            <w:r>
              <w:rPr>
                <w:rFonts w:ascii="Calibri" w:eastAsia="Calibri" w:hAnsi="Calibri" w:cs="Calibri"/>
              </w:rPr>
              <w:t>800</w:t>
            </w:r>
          </w:p>
        </w:tc>
        <w:tc>
          <w:tcPr>
            <w:tcW w:w="1980" w:type="dxa"/>
          </w:tcPr>
          <w:p w:rsidR="008D52A4" w:rsidRPr="008D52A4" w:rsidP="008D52A4" w14:paraId="6C9BBC58" w14:textId="37E32F14">
            <w:pPr>
              <w:spacing w:after="0" w:line="240" w:lineRule="auto"/>
              <w:jc w:val="center"/>
              <w:rPr>
                <w:rFonts w:ascii="Calibri" w:eastAsia="Calibri" w:hAnsi="Calibri" w:cs="Calibri"/>
              </w:rPr>
            </w:pPr>
            <w:r>
              <w:rPr>
                <w:rFonts w:ascii="Calibri" w:eastAsia="Calibri" w:hAnsi="Calibri" w:cs="Calibri"/>
              </w:rPr>
              <w:t>15 minutes</w:t>
            </w:r>
          </w:p>
        </w:tc>
        <w:tc>
          <w:tcPr>
            <w:tcW w:w="1530" w:type="dxa"/>
          </w:tcPr>
          <w:p w:rsidR="008D52A4" w:rsidRPr="008D52A4" w:rsidP="008D52A4" w14:paraId="2D956F96" w14:textId="081C45CC">
            <w:pPr>
              <w:spacing w:after="0" w:line="240" w:lineRule="auto"/>
              <w:jc w:val="center"/>
              <w:rPr>
                <w:rFonts w:ascii="Calibri" w:eastAsia="Calibri" w:hAnsi="Calibri" w:cs="Calibri"/>
              </w:rPr>
            </w:pPr>
            <w:r>
              <w:rPr>
                <w:rFonts w:ascii="Calibri" w:eastAsia="Calibri" w:hAnsi="Calibri" w:cs="Calibri"/>
              </w:rPr>
              <w:t>200</w:t>
            </w:r>
          </w:p>
        </w:tc>
      </w:tr>
      <w:tr w14:paraId="61659FDE" w14:textId="77777777" w:rsidTr="00BB695A">
        <w:tblPrEx>
          <w:tblW w:w="8689" w:type="dxa"/>
          <w:tblLayout w:type="fixed"/>
          <w:tblLook w:val="0400"/>
        </w:tblPrEx>
        <w:tc>
          <w:tcPr>
            <w:tcW w:w="3775" w:type="dxa"/>
            <w:tcBorders>
              <w:top w:val="single" w:sz="4" w:space="0" w:color="auto"/>
              <w:left w:val="single" w:sz="4" w:space="0" w:color="auto"/>
              <w:bottom w:val="single" w:sz="4" w:space="0" w:color="auto"/>
              <w:right w:val="single" w:sz="4" w:space="0" w:color="auto"/>
            </w:tcBorders>
            <w:tcMar>
              <w:top w:w="20" w:type="dxa"/>
              <w:left w:w="20" w:type="dxa"/>
              <w:bottom w:w="100" w:type="dxa"/>
              <w:right w:w="20" w:type="dxa"/>
            </w:tcMar>
            <w:vAlign w:val="bottom"/>
          </w:tcPr>
          <w:p w:rsidR="008D52A4" w:rsidRPr="008D52A4" w:rsidP="008D52A4" w14:paraId="6D5D28D3" w14:textId="025F0E46">
            <w:pPr>
              <w:spacing w:after="0" w:line="240" w:lineRule="auto"/>
              <w:rPr>
                <w:rFonts w:ascii="Calibri" w:eastAsia="Calibri" w:hAnsi="Calibri" w:cs="Calibri"/>
                <w:sz w:val="18"/>
                <w:szCs w:val="18"/>
              </w:rPr>
            </w:pPr>
            <w:r w:rsidRPr="00BB695A">
              <w:rPr>
                <w:rFonts w:ascii="Calibri" w:eastAsia="Calibri" w:hAnsi="Calibri" w:cs="Calibri"/>
              </w:rPr>
              <w:t>Digital Twins for Public Safety Training: HazMat Use Case</w:t>
            </w:r>
          </w:p>
        </w:tc>
        <w:tc>
          <w:tcPr>
            <w:tcW w:w="1404" w:type="dxa"/>
            <w:tcBorders>
              <w:left w:val="single" w:sz="4" w:space="0" w:color="auto"/>
            </w:tcBorders>
          </w:tcPr>
          <w:p w:rsidR="008D52A4" w:rsidRPr="008D52A4" w:rsidP="008D52A4" w14:paraId="29F41180" w14:textId="6F6DDF1C">
            <w:pPr>
              <w:spacing w:after="0" w:line="240" w:lineRule="auto"/>
              <w:jc w:val="center"/>
              <w:rPr>
                <w:rFonts w:ascii="Calibri" w:eastAsia="Calibri" w:hAnsi="Calibri" w:cs="Calibri"/>
              </w:rPr>
            </w:pPr>
            <w:r>
              <w:rPr>
                <w:rFonts w:ascii="Calibri" w:eastAsia="Calibri" w:hAnsi="Calibri" w:cs="Calibri"/>
              </w:rPr>
              <w:t>54</w:t>
            </w:r>
          </w:p>
        </w:tc>
        <w:tc>
          <w:tcPr>
            <w:tcW w:w="1980" w:type="dxa"/>
          </w:tcPr>
          <w:p w:rsidR="008D52A4" w:rsidRPr="008D52A4" w:rsidP="008D52A4" w14:paraId="1350363E" w14:textId="78091B57">
            <w:pPr>
              <w:spacing w:after="0" w:line="240" w:lineRule="auto"/>
              <w:jc w:val="center"/>
              <w:rPr>
                <w:rFonts w:ascii="Calibri" w:eastAsia="Calibri" w:hAnsi="Calibri" w:cs="Calibri"/>
              </w:rPr>
            </w:pPr>
            <w:r>
              <w:rPr>
                <w:rFonts w:ascii="Calibri" w:eastAsia="Calibri" w:hAnsi="Calibri" w:cs="Calibri"/>
              </w:rPr>
              <w:t>25 minutes</w:t>
            </w:r>
          </w:p>
        </w:tc>
        <w:tc>
          <w:tcPr>
            <w:tcW w:w="1530" w:type="dxa"/>
          </w:tcPr>
          <w:p w:rsidR="008D52A4" w:rsidRPr="008D52A4" w:rsidP="008D52A4" w14:paraId="073D9ABB" w14:textId="7A798C83">
            <w:pPr>
              <w:spacing w:after="0" w:line="240" w:lineRule="auto"/>
              <w:jc w:val="center"/>
              <w:rPr>
                <w:rFonts w:ascii="Calibri" w:eastAsia="Calibri" w:hAnsi="Calibri" w:cs="Calibri"/>
              </w:rPr>
            </w:pPr>
            <w:r>
              <w:rPr>
                <w:rFonts w:ascii="Calibri" w:eastAsia="Calibri" w:hAnsi="Calibri" w:cs="Calibri"/>
              </w:rPr>
              <w:t>23</w:t>
            </w:r>
          </w:p>
        </w:tc>
      </w:tr>
      <w:tr w14:paraId="16BA7BA7" w14:textId="77777777" w:rsidTr="00464414">
        <w:tblPrEx>
          <w:tblW w:w="8689" w:type="dxa"/>
          <w:tblLayout w:type="fixed"/>
          <w:tblLook w:val="0400"/>
        </w:tblPrEx>
        <w:tc>
          <w:tcPr>
            <w:tcW w:w="3775" w:type="dxa"/>
          </w:tcPr>
          <w:p w:rsidR="008D52A4" w:rsidRPr="008D52A4" w:rsidP="008D52A4" w14:paraId="4503E636" w14:textId="77777777">
            <w:pPr>
              <w:spacing w:after="0" w:line="240" w:lineRule="auto"/>
              <w:rPr>
                <w:rFonts w:ascii="Calibri" w:eastAsia="Calibri" w:hAnsi="Calibri" w:cs="Calibri"/>
                <w:b/>
                <w:sz w:val="28"/>
                <w:szCs w:val="28"/>
              </w:rPr>
            </w:pPr>
            <w:r w:rsidRPr="008D52A4">
              <w:rPr>
                <w:rFonts w:ascii="Calibri" w:eastAsia="Calibri" w:hAnsi="Calibri" w:cs="Calibri"/>
                <w:b/>
                <w:sz w:val="28"/>
                <w:szCs w:val="28"/>
              </w:rPr>
              <w:t>TOTALS</w:t>
            </w:r>
          </w:p>
        </w:tc>
        <w:tc>
          <w:tcPr>
            <w:tcW w:w="1404" w:type="dxa"/>
          </w:tcPr>
          <w:p w:rsidR="008D52A4" w:rsidRPr="008D52A4" w:rsidP="008D52A4" w14:paraId="41A38959" w14:textId="4217EF99">
            <w:pPr>
              <w:spacing w:after="0" w:line="240" w:lineRule="auto"/>
              <w:jc w:val="center"/>
              <w:rPr>
                <w:rFonts w:ascii="Calibri" w:eastAsia="Calibri" w:hAnsi="Calibri" w:cs="Calibri"/>
                <w:b/>
                <w:sz w:val="28"/>
                <w:szCs w:val="28"/>
              </w:rPr>
            </w:pPr>
            <w:r w:rsidRPr="00BB695A">
              <w:rPr>
                <w:rFonts w:ascii="Calibri" w:eastAsia="Calibri" w:hAnsi="Calibri" w:cs="Calibri"/>
                <w:b/>
                <w:sz w:val="28"/>
                <w:szCs w:val="28"/>
              </w:rPr>
              <w:t>24</w:t>
            </w:r>
            <w:r>
              <w:rPr>
                <w:rFonts w:ascii="Calibri" w:eastAsia="Calibri" w:hAnsi="Calibri" w:cs="Calibri"/>
                <w:b/>
                <w:sz w:val="28"/>
                <w:szCs w:val="28"/>
              </w:rPr>
              <w:t>,</w:t>
            </w:r>
            <w:r w:rsidRPr="00BB695A">
              <w:rPr>
                <w:rFonts w:ascii="Calibri" w:eastAsia="Calibri" w:hAnsi="Calibri" w:cs="Calibri"/>
                <w:b/>
                <w:sz w:val="28"/>
                <w:szCs w:val="28"/>
              </w:rPr>
              <w:t>961</w:t>
            </w:r>
          </w:p>
        </w:tc>
        <w:tc>
          <w:tcPr>
            <w:tcW w:w="1980" w:type="dxa"/>
          </w:tcPr>
          <w:p w:rsidR="008D52A4" w:rsidRPr="008D52A4" w:rsidP="008D52A4" w14:paraId="39D8EC1B" w14:textId="66B67DA3">
            <w:pPr>
              <w:spacing w:after="0" w:line="240" w:lineRule="auto"/>
              <w:jc w:val="center"/>
              <w:rPr>
                <w:rFonts w:ascii="Calibri" w:eastAsia="Calibri" w:hAnsi="Calibri" w:cs="Calibri"/>
                <w:b/>
                <w:sz w:val="28"/>
                <w:szCs w:val="28"/>
              </w:rPr>
            </w:pPr>
            <w:r>
              <w:rPr>
                <w:rFonts w:ascii="Calibri" w:eastAsia="Calibri" w:hAnsi="Calibri" w:cs="Calibri"/>
                <w:b/>
                <w:sz w:val="28"/>
                <w:szCs w:val="28"/>
              </w:rPr>
              <w:t>15</w:t>
            </w:r>
            <w:r w:rsidRPr="008D52A4">
              <w:rPr>
                <w:rFonts w:ascii="Calibri" w:eastAsia="Calibri" w:hAnsi="Calibri" w:cs="Calibri"/>
                <w:b/>
                <w:sz w:val="28"/>
                <w:szCs w:val="28"/>
              </w:rPr>
              <w:t>-</w:t>
            </w:r>
            <w:r>
              <w:rPr>
                <w:rFonts w:ascii="Calibri" w:eastAsia="Calibri" w:hAnsi="Calibri" w:cs="Calibri"/>
                <w:b/>
                <w:sz w:val="28"/>
                <w:szCs w:val="28"/>
              </w:rPr>
              <w:t>40</w:t>
            </w:r>
            <w:r w:rsidRPr="008D52A4">
              <w:rPr>
                <w:rFonts w:ascii="Calibri" w:eastAsia="Calibri" w:hAnsi="Calibri" w:cs="Calibri"/>
                <w:b/>
                <w:sz w:val="28"/>
                <w:szCs w:val="28"/>
              </w:rPr>
              <w:t xml:space="preserve"> min</w:t>
            </w:r>
          </w:p>
        </w:tc>
        <w:tc>
          <w:tcPr>
            <w:tcW w:w="1530" w:type="dxa"/>
          </w:tcPr>
          <w:p w:rsidR="008D52A4" w:rsidRPr="008D52A4" w:rsidP="008D52A4" w14:paraId="51E69A4E" w14:textId="04D0B34B">
            <w:pPr>
              <w:spacing w:after="0" w:line="240" w:lineRule="auto"/>
              <w:jc w:val="center"/>
              <w:rPr>
                <w:rFonts w:ascii="Calibri" w:eastAsia="Calibri" w:hAnsi="Calibri" w:cs="Calibri"/>
                <w:b/>
                <w:sz w:val="28"/>
                <w:szCs w:val="28"/>
              </w:rPr>
            </w:pPr>
            <w:r>
              <w:rPr>
                <w:rFonts w:ascii="Calibri" w:eastAsia="Calibri" w:hAnsi="Calibri" w:cs="Calibri"/>
                <w:b/>
                <w:sz w:val="28"/>
                <w:szCs w:val="28"/>
              </w:rPr>
              <w:t>6,757</w:t>
            </w:r>
          </w:p>
        </w:tc>
      </w:tr>
    </w:tbl>
    <w:p w:rsidR="008D52A4" w:rsidRPr="004F2C67" w:rsidP="004F2C67" w14:paraId="277C06BC" w14:textId="77777777">
      <w:pPr>
        <w:spacing w:after="0" w:line="240" w:lineRule="auto"/>
        <w:rPr>
          <w:rFonts w:ascii="Times New Roman" w:eastAsia="Times New Roman" w:hAnsi="Times New Roman" w:cs="Times New Roman"/>
          <w:sz w:val="24"/>
          <w:szCs w:val="20"/>
        </w:rPr>
      </w:pPr>
    </w:p>
    <w:p w:rsidR="0093611D" w:rsidRPr="0093611D" w:rsidP="0093611D" w14:paraId="61830E72" w14:textId="77777777">
      <w:pPr>
        <w:spacing w:line="240" w:lineRule="auto"/>
        <w:rPr>
          <w:rFonts w:ascii="Times New Roman" w:hAnsi="Times New Roman" w:cs="Times New Roman"/>
          <w:b/>
          <w:bCs/>
          <w:sz w:val="24"/>
          <w:szCs w:val="24"/>
        </w:rPr>
      </w:pPr>
    </w:p>
    <w:p w:rsidR="0093611D" w:rsidRPr="0093611D" w:rsidP="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08606F" w:rsidRPr="00363FF7" w:rsidP="0008606F" w14:paraId="063E1DDA" w14:textId="68F5D30B">
      <w:pPr>
        <w:spacing w:after="0" w:line="240" w:lineRule="auto"/>
        <w:rPr>
          <w:rFonts w:ascii="Times New Roman" w:eastAsia="Times New Roman" w:hAnsi="Times New Roman" w:cs="Times New Roman"/>
          <w:sz w:val="24"/>
          <w:szCs w:val="24"/>
        </w:rPr>
      </w:pPr>
      <w:r w:rsidRPr="00363FF7">
        <w:rPr>
          <w:rFonts w:ascii="Times New Roman" w:eastAsia="Times New Roman" w:hAnsi="Times New Roman" w:cs="Times New Roman"/>
          <w:sz w:val="24"/>
          <w:szCs w:val="24"/>
        </w:rPr>
        <w:t xml:space="preserve">There are no known out-of-pocket costs to the respondents or record keepers that participate in these information collections.  </w:t>
      </w:r>
    </w:p>
    <w:p w:rsidR="0093611D" w:rsidRPr="0093611D" w:rsidP="0093611D" w14:paraId="316460A9" w14:textId="39AE3CA4">
      <w:pPr>
        <w:spacing w:line="240" w:lineRule="auto"/>
        <w:rPr>
          <w:rFonts w:ascii="Times New Roman" w:hAnsi="Times New Roman" w:cs="Times New Roman"/>
          <w:b/>
          <w:bCs/>
          <w:sz w:val="24"/>
          <w:szCs w:val="24"/>
        </w:rPr>
      </w:pPr>
      <w:r>
        <w:rPr>
          <w:rFonts w:ascii="Times New Roman" w:eastAsia="Times New Roman" w:hAnsi="Times New Roman" w:cs="Times New Roman"/>
          <w:sz w:val="24"/>
          <w:szCs w:val="20"/>
        </w:rPr>
        <w:br/>
      </w: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DF5D6E" w:rsidP="00B70F11" w14:paraId="5FA30F84" w14:textId="77777777">
      <w:pPr>
        <w:spacing w:after="0" w:line="240" w:lineRule="auto"/>
        <w:rPr>
          <w:rFonts w:ascii="Times New Roman" w:eastAsia="Times New Roman" w:hAnsi="Times New Roman" w:cs="Times New Roman"/>
          <w:sz w:val="24"/>
          <w:szCs w:val="24"/>
        </w:rPr>
      </w:pPr>
      <w:r w:rsidRPr="00B70F11">
        <w:rPr>
          <w:rFonts w:ascii="Times New Roman" w:eastAsia="Times New Roman" w:hAnsi="Times New Roman" w:cs="Times New Roman"/>
          <w:sz w:val="24"/>
          <w:szCs w:val="24"/>
        </w:rPr>
        <w:t>This is an umbrella submission.</w:t>
      </w:r>
      <w:r w:rsidR="00747505">
        <w:rPr>
          <w:rFonts w:ascii="Times New Roman" w:eastAsia="Times New Roman" w:hAnsi="Times New Roman" w:cs="Times New Roman"/>
          <w:sz w:val="24"/>
          <w:szCs w:val="24"/>
        </w:rPr>
        <w:t xml:space="preserve">  </w:t>
      </w:r>
    </w:p>
    <w:p w:rsidR="00DF5D6E" w:rsidP="00B70F11" w14:paraId="5FE289CA" w14:textId="77777777">
      <w:pPr>
        <w:spacing w:after="0" w:line="240" w:lineRule="auto"/>
        <w:rPr>
          <w:rFonts w:ascii="Times New Roman" w:eastAsia="Times New Roman" w:hAnsi="Times New Roman" w:cs="Times New Roman"/>
          <w:sz w:val="24"/>
          <w:szCs w:val="24"/>
        </w:rPr>
      </w:pPr>
    </w:p>
    <w:p w:rsidR="00DF5D6E" w:rsidP="00DF5D6E" w14:paraId="10CCE280" w14:textId="358D2B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Generic Clearance will involve NIST employees that will devote a portion of their time, aside from normal duties, to plan, coordinate, administer, or monitor the overall types of individual information collections to be conducted.  NIST estimates that it would involve an annual estimated total of 120 hours and an estimated cost $13,920 per year.  </w:t>
      </w:r>
    </w:p>
    <w:p w:rsidR="00DF5D6E" w:rsidP="00DF5D6E" w14:paraId="4EA79CC6" w14:textId="77777777">
      <w:pPr>
        <w:spacing w:after="0" w:line="240" w:lineRule="auto"/>
        <w:rPr>
          <w:rFonts w:ascii="Times New Roman" w:eastAsia="Times New Roman" w:hAnsi="Times New Roman" w:cs="Times New Roman"/>
          <w:sz w:val="24"/>
          <w:szCs w:val="24"/>
        </w:rPr>
      </w:pPr>
    </w:p>
    <w:p w:rsidR="00DF5D6E" w:rsidP="00DF5D6E" w14:paraId="2D3A0313" w14:textId="77E4DF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NIST is estimating an additional $20,000 for potential renumeration costs related to information collections (as stated in question 9 of this supporting statement).  </w:t>
      </w:r>
    </w:p>
    <w:p w:rsidR="00DF5D6E" w:rsidP="00DF5D6E" w14:paraId="1F1A135B" w14:textId="77777777">
      <w:pPr>
        <w:spacing w:after="0" w:line="240" w:lineRule="auto"/>
        <w:rPr>
          <w:rFonts w:ascii="Times New Roman" w:eastAsia="Times New Roman" w:hAnsi="Times New Roman" w:cs="Times New Roman"/>
          <w:sz w:val="24"/>
          <w:szCs w:val="24"/>
        </w:rPr>
      </w:pPr>
    </w:p>
    <w:p w:rsidR="00DF5D6E" w:rsidP="00DF5D6E" w14:paraId="46654F2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NIST will describe individual cost estimates for each individual information collection request made.  For example, if NIST determines that a Contractor will be involved in the collection efforts, those specific costs will be described.  </w:t>
      </w:r>
    </w:p>
    <w:p w:rsidR="00DF5D6E" w:rsidP="00DF5D6E" w14:paraId="379A040D" w14:textId="77777777">
      <w:pPr>
        <w:spacing w:line="240" w:lineRule="auto"/>
        <w:rPr>
          <w:rFonts w:ascii="Times New Roman" w:eastAsia="Times New Roman" w:hAnsi="Times New Roman" w:cs="Times New Roman"/>
          <w:b/>
          <w:sz w:val="24"/>
          <w:szCs w:val="24"/>
        </w:rPr>
      </w:pPr>
    </w:p>
    <w:p w:rsidR="0093611D" w:rsidRPr="0093611D" w:rsidP="00F05862"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93611D" w:rsidRPr="0093611D" w:rsidP="00F05862" w14:paraId="5030613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007D1C3D" w:rsidRPr="00553B1E" w:rsidP="00553B1E" w14:paraId="09FAE0E4" w14:textId="78923F33">
      <w:pPr>
        <w:spacing w:after="0" w:line="240" w:lineRule="auto"/>
        <w:rPr>
          <w:rFonts w:ascii="Times New Roman" w:eastAsia="Times New Roman" w:hAnsi="Times New Roman" w:cs="Times New Roman"/>
          <w:sz w:val="24"/>
          <w:szCs w:val="20"/>
        </w:rPr>
      </w:pPr>
      <w:r w:rsidRPr="0062244B">
        <w:rPr>
          <w:rFonts w:ascii="Times New Roman" w:hAnsi="Times New Roman" w:cs="Times New Roman"/>
          <w:sz w:val="24"/>
          <w:szCs w:val="24"/>
        </w:rPr>
        <w:t>There are no changes to the information collection since the last OMB approval.</w:t>
      </w:r>
    </w:p>
    <w:p w:rsidR="0093611D" w:rsidRPr="0093611D" w:rsidP="0093611D" w14:paraId="6B0D5D2E" w14:textId="34917662">
      <w:pPr>
        <w:spacing w:line="240" w:lineRule="auto"/>
        <w:rPr>
          <w:rFonts w:ascii="Times New Roman" w:hAnsi="Times New Roman" w:cs="Times New Roman"/>
          <w:b/>
          <w:bCs/>
          <w:sz w:val="24"/>
          <w:szCs w:val="24"/>
        </w:rPr>
      </w:pPr>
    </w:p>
    <w:p w:rsidR="0093611D" w:rsidRPr="0093611D" w:rsidP="00F05862"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3611D" w:rsidRPr="00F76470" w:rsidP="0093611D" w14:paraId="30551F31" w14:textId="31A18FF8">
      <w:pPr>
        <w:spacing w:line="240" w:lineRule="auto"/>
        <w:rPr>
          <w:rFonts w:ascii="Times New Roman" w:hAnsi="Times New Roman" w:cs="Times New Roman"/>
          <w:b/>
          <w:bCs/>
          <w:sz w:val="24"/>
          <w:szCs w:val="24"/>
        </w:rPr>
      </w:pPr>
      <w:r w:rsidRPr="00F76470">
        <w:rPr>
          <w:rFonts w:ascii="Times New Roman" w:hAnsi="Times New Roman" w:cs="Times New Roman"/>
          <w:bCs/>
          <w:sz w:val="24"/>
          <w:szCs w:val="24"/>
        </w:rPr>
        <w:t xml:space="preserve">The results of the data collections may be used in papers published in research journals and presented at conferences. </w:t>
      </w:r>
      <w:r w:rsidRPr="00F76470">
        <w:rPr>
          <w:rFonts w:ascii="Times New Roman" w:hAnsi="Times New Roman" w:cs="Times New Roman"/>
          <w:sz w:val="24"/>
          <w:szCs w:val="24"/>
        </w:rPr>
        <w:t xml:space="preserve"> There will be no attribution to individuals in the analyzed data.  </w:t>
      </w:r>
      <w:r w:rsidRPr="00F76470">
        <w:rPr>
          <w:rFonts w:ascii="Times New Roman" w:hAnsi="Times New Roman" w:cs="Times New Roman"/>
        </w:rPr>
        <w:br/>
      </w: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F76470" w:rsidP="00F76470" w14:paraId="2D179C7A" w14:textId="19B1FCC6">
      <w:pPr>
        <w:spacing w:after="0" w:line="240" w:lineRule="auto"/>
        <w:rPr>
          <w:rFonts w:ascii="Times New Roman" w:eastAsia="Times New Roman" w:hAnsi="Times New Roman" w:cs="Times New Roman"/>
          <w:sz w:val="24"/>
          <w:szCs w:val="20"/>
        </w:rPr>
      </w:pPr>
      <w:r w:rsidRPr="00F76470">
        <w:rPr>
          <w:rFonts w:ascii="Times New Roman" w:eastAsia="Times New Roman" w:hAnsi="Times New Roman" w:cs="Times New Roman"/>
          <w:sz w:val="24"/>
          <w:szCs w:val="20"/>
        </w:rPr>
        <w:t>All written and electronic material will display the expiration date of the OMB approval of the information collection.   All written and electronic surveys (with the exception of transactional surveys in the form of business reply cards where space will not permit) will also display the following notification:</w:t>
      </w:r>
    </w:p>
    <w:p w:rsidR="009853A0" w:rsidP="00F76470" w14:paraId="5C3AE93B" w14:textId="5B126A34">
      <w:pPr>
        <w:spacing w:after="0" w:line="240" w:lineRule="auto"/>
        <w:rPr>
          <w:rFonts w:ascii="Times New Roman" w:eastAsia="Times New Roman" w:hAnsi="Times New Roman" w:cs="Times New Roman"/>
          <w:sz w:val="24"/>
          <w:szCs w:val="20"/>
        </w:rPr>
      </w:pPr>
    </w:p>
    <w:p w:rsidR="009853A0" w:rsidRPr="00F76470" w:rsidP="009853A0" w14:paraId="6C812AB3" w14:textId="7E3E6409">
      <w:pPr>
        <w:spacing w:after="0" w:line="240" w:lineRule="auto"/>
        <w:ind w:left="720"/>
        <w:rPr>
          <w:rFonts w:ascii="Times New Roman" w:eastAsia="Times New Roman" w:hAnsi="Times New Roman" w:cs="Times New Roman"/>
          <w:sz w:val="24"/>
          <w:szCs w:val="20"/>
        </w:rPr>
      </w:pPr>
      <w:r w:rsidRPr="009853A0">
        <w:rPr>
          <w:rFonts w:ascii="Times New Roman" w:eastAsia="Times New Roman" w:hAnsi="Times New Roman" w:cs="Times New Roman"/>
          <w:sz w:val="24"/>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w:t>
      </w:r>
      <w:r>
        <w:rPr>
          <w:rFonts w:ascii="Times New Roman" w:eastAsia="Times New Roman" w:hAnsi="Times New Roman" w:cs="Times New Roman"/>
          <w:sz w:val="24"/>
          <w:szCs w:val="20"/>
        </w:rPr>
        <w:t>43</w:t>
      </w:r>
      <w:r w:rsidRPr="009853A0">
        <w:rPr>
          <w:rFonts w:ascii="Times New Roman" w:eastAsia="Times New Roman" w:hAnsi="Times New Roman" w:cs="Times New Roman"/>
          <w:sz w:val="24"/>
          <w:szCs w:val="20"/>
        </w:rPr>
        <w:t>.  Without this approval, we could not conduct this survey/information collection.  Public reporting for this information collection is estimated to be approximately ___ minutes/hours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National Institute of Standards and Technology (NIST) at: address, Attn: Title/POC Name, and email if desired.</w:t>
      </w:r>
    </w:p>
    <w:p w:rsidR="0093611D" w:rsidRPr="0093611D" w:rsidP="0093611D" w14:paraId="5A34E35F" w14:textId="77777777">
      <w:pPr>
        <w:spacing w:line="240" w:lineRule="auto"/>
        <w:rPr>
          <w:rFonts w:ascii="Times New Roman" w:hAnsi="Times New Roman" w:cs="Times New Roman"/>
          <w:b/>
          <w:bCs/>
          <w:sz w:val="24"/>
          <w:szCs w:val="24"/>
        </w:rPr>
      </w:pPr>
    </w:p>
    <w:p w:rsidR="0073310B" w:rsidP="0093611D" w14:paraId="3A03A7BA" w14:textId="6050FEBB">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CE17C0" w:rsidP="00CE17C0" w14:paraId="28CFF316" w14:textId="281767A3">
      <w:pPr>
        <w:pStyle w:val="Level1"/>
        <w:widowControl/>
        <w:tabs>
          <w:tab w:val="left" w:pos="540"/>
          <w:tab w:val="left" w:pos="1980"/>
          <w:tab w:val="left" w:pos="2520"/>
          <w:tab w:val="left" w:pos="3600"/>
          <w:tab w:val="left" w:pos="4320"/>
          <w:tab w:val="left" w:pos="5040"/>
          <w:tab w:val="left" w:pos="5850"/>
          <w:tab w:val="left" w:pos="7560"/>
          <w:tab w:val="left" w:pos="8370"/>
          <w:tab w:val="left" w:pos="8640"/>
          <w:tab w:val="right" w:pos="9360"/>
        </w:tabs>
      </w:pPr>
      <w:r w:rsidRPr="009853A0">
        <w:rPr>
          <w:bCs/>
        </w:rPr>
        <w:t>NIST does not require any exceptions.</w:t>
      </w:r>
      <w:r>
        <w:rPr>
          <w:bCs/>
        </w:rPr>
        <w:t xml:space="preserve"> </w:t>
      </w:r>
    </w:p>
    <w:p w:rsidR="00CE17C0" w:rsidRPr="0093611D" w:rsidP="0093611D" w14:paraId="112DE5A7" w14:textId="77777777">
      <w:pPr>
        <w:spacing w:line="24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615213133">
    <w:abstractNumId w:val="0"/>
  </w:num>
  <w:num w:numId="2" w16cid:durableId="97255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8606F"/>
    <w:rsid w:val="001225B9"/>
    <w:rsid w:val="00191773"/>
    <w:rsid w:val="001B066C"/>
    <w:rsid w:val="001D60B8"/>
    <w:rsid w:val="00200203"/>
    <w:rsid w:val="002245D0"/>
    <w:rsid w:val="00232932"/>
    <w:rsid w:val="002347DE"/>
    <w:rsid w:val="002B21B1"/>
    <w:rsid w:val="002D22C0"/>
    <w:rsid w:val="00301512"/>
    <w:rsid w:val="00351ADD"/>
    <w:rsid w:val="00363FF7"/>
    <w:rsid w:val="00370796"/>
    <w:rsid w:val="003D73FB"/>
    <w:rsid w:val="004576C5"/>
    <w:rsid w:val="00465EFD"/>
    <w:rsid w:val="00481FA3"/>
    <w:rsid w:val="004C07BF"/>
    <w:rsid w:val="004C2D9F"/>
    <w:rsid w:val="004E2E98"/>
    <w:rsid w:val="004F2C67"/>
    <w:rsid w:val="00553B1E"/>
    <w:rsid w:val="005C1F5B"/>
    <w:rsid w:val="00605D0F"/>
    <w:rsid w:val="0062154E"/>
    <w:rsid w:val="0062244B"/>
    <w:rsid w:val="00632142"/>
    <w:rsid w:val="00653682"/>
    <w:rsid w:val="006F0CB2"/>
    <w:rsid w:val="006F16D0"/>
    <w:rsid w:val="0073310B"/>
    <w:rsid w:val="00743BBB"/>
    <w:rsid w:val="007453EA"/>
    <w:rsid w:val="00747505"/>
    <w:rsid w:val="007D1C3D"/>
    <w:rsid w:val="007D6A9E"/>
    <w:rsid w:val="007F3715"/>
    <w:rsid w:val="008332F9"/>
    <w:rsid w:val="00894C98"/>
    <w:rsid w:val="008D52A4"/>
    <w:rsid w:val="008E2ED6"/>
    <w:rsid w:val="0093611D"/>
    <w:rsid w:val="009853A0"/>
    <w:rsid w:val="00986EE2"/>
    <w:rsid w:val="00A15260"/>
    <w:rsid w:val="00A70B56"/>
    <w:rsid w:val="00A71470"/>
    <w:rsid w:val="00AC656B"/>
    <w:rsid w:val="00B22C1F"/>
    <w:rsid w:val="00B34256"/>
    <w:rsid w:val="00B70F11"/>
    <w:rsid w:val="00BB695A"/>
    <w:rsid w:val="00BD593B"/>
    <w:rsid w:val="00BE1BEB"/>
    <w:rsid w:val="00C4727D"/>
    <w:rsid w:val="00C75F63"/>
    <w:rsid w:val="00CA6EF9"/>
    <w:rsid w:val="00CA727B"/>
    <w:rsid w:val="00CB57DD"/>
    <w:rsid w:val="00CE17C0"/>
    <w:rsid w:val="00D57CCC"/>
    <w:rsid w:val="00D9270D"/>
    <w:rsid w:val="00DA22AC"/>
    <w:rsid w:val="00DE10B6"/>
    <w:rsid w:val="00DE5B26"/>
    <w:rsid w:val="00DF5D6E"/>
    <w:rsid w:val="00E341D4"/>
    <w:rsid w:val="00F05862"/>
    <w:rsid w:val="00F76470"/>
    <w:rsid w:val="00FA5AB5"/>
    <w:rsid w:val="00FB20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paragraph" w:customStyle="1" w:styleId="normalindent2">
    <w:name w:val="normalindent2"/>
    <w:basedOn w:val="Normal"/>
    <w:rsid w:val="001225B9"/>
    <w:pPr>
      <w:spacing w:after="120" w:line="240" w:lineRule="auto"/>
      <w:ind w:left="720"/>
    </w:pPr>
    <w:rPr>
      <w:rFonts w:ascii="Arial" w:eastAsia="Arial Unicode MS" w:hAnsi="Arial" w:cs="Arial"/>
    </w:rPr>
  </w:style>
  <w:style w:type="paragraph" w:customStyle="1" w:styleId="Level1">
    <w:name w:val="Level 1"/>
    <w:basedOn w:val="Normal"/>
    <w:rsid w:val="00CE17C0"/>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576C5"/>
    <w:rPr>
      <w:sz w:val="16"/>
      <w:szCs w:val="16"/>
    </w:rPr>
  </w:style>
  <w:style w:type="paragraph" w:styleId="CommentText">
    <w:name w:val="annotation text"/>
    <w:basedOn w:val="Normal"/>
    <w:link w:val="CommentTextChar"/>
    <w:uiPriority w:val="99"/>
    <w:unhideWhenUsed/>
    <w:rsid w:val="004576C5"/>
    <w:pPr>
      <w:spacing w:line="240" w:lineRule="auto"/>
    </w:pPr>
    <w:rPr>
      <w:sz w:val="20"/>
      <w:szCs w:val="20"/>
    </w:rPr>
  </w:style>
  <w:style w:type="character" w:customStyle="1" w:styleId="CommentTextChar">
    <w:name w:val="Comment Text Char"/>
    <w:basedOn w:val="DefaultParagraphFont"/>
    <w:link w:val="CommentText"/>
    <w:uiPriority w:val="99"/>
    <w:rsid w:val="004576C5"/>
    <w:rPr>
      <w:sz w:val="20"/>
      <w:szCs w:val="20"/>
    </w:rPr>
  </w:style>
  <w:style w:type="paragraph" w:styleId="CommentSubject">
    <w:name w:val="annotation subject"/>
    <w:basedOn w:val="CommentText"/>
    <w:next w:val="CommentText"/>
    <w:link w:val="CommentSubjectChar"/>
    <w:uiPriority w:val="99"/>
    <w:semiHidden/>
    <w:unhideWhenUsed/>
    <w:rsid w:val="004576C5"/>
    <w:rPr>
      <w:b/>
      <w:bCs/>
    </w:rPr>
  </w:style>
  <w:style w:type="character" w:customStyle="1" w:styleId="CommentSubjectChar">
    <w:name w:val="Comment Subject Char"/>
    <w:basedOn w:val="CommentTextChar"/>
    <w:link w:val="CommentSubject"/>
    <w:uiPriority w:val="99"/>
    <w:semiHidden/>
    <w:rsid w:val="004576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7</cp:revision>
  <dcterms:created xsi:type="dcterms:W3CDTF">2025-06-25T17:39:00Z</dcterms:created>
  <dcterms:modified xsi:type="dcterms:W3CDTF">2025-06-25T17:52:00Z</dcterms:modified>
</cp:coreProperties>
</file>