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C45431" w14:paraId="22E2A2EC" w14:textId="32B3AD30">
      <w:pPr>
        <w:widowControl/>
        <w:autoSpaceDE/>
        <w:autoSpaceDN/>
        <w:adjustRightInd/>
        <w:rPr>
          <w:rFonts w:ascii="Arial" w:hAnsi="Arial" w:cs="Arial"/>
          <w:b/>
          <w:bCs/>
          <w:sz w:val="32"/>
          <w:szCs w:val="32"/>
        </w:rPr>
      </w:pPr>
    </w:p>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C45431" w:rsidP="00CE5AA9" w14:paraId="22E2A2F0" w14:textId="0AA548F4">
      <w:pPr>
        <w:tabs>
          <w:tab w:val="center" w:pos="4680"/>
        </w:tabs>
        <w:spacing w:before="120"/>
        <w:jc w:val="center"/>
        <w:rPr>
          <w:rFonts w:ascii="Arial" w:hAnsi="Arial" w:cs="Arial"/>
          <w:b/>
          <w:bCs/>
          <w:sz w:val="32"/>
          <w:szCs w:val="32"/>
        </w:rPr>
      </w:pPr>
      <w:r w:rsidRPr="00FE7283">
        <w:rPr>
          <w:rFonts w:ascii="Arial" w:hAnsi="Arial" w:cs="Arial"/>
          <w:b/>
          <w:bCs/>
          <w:sz w:val="32"/>
          <w:szCs w:val="32"/>
        </w:rPr>
        <w:t>Be The Match® Patient Support Center Survey</w:t>
      </w:r>
    </w:p>
    <w:p w:rsidR="00BA1A0C" w:rsidRPr="00C45431" w:rsidP="00CE5AA9" w14:paraId="22E2A2F1" w14:textId="30CCBEFF">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w:t>
      </w:r>
      <w:r w:rsidRPr="00816F46">
        <w:rPr>
          <w:rFonts w:ascii="Arial" w:hAnsi="Arial" w:cs="Arial"/>
          <w:b/>
          <w:bCs/>
          <w:sz w:val="32"/>
          <w:szCs w:val="32"/>
        </w:rPr>
        <w:t xml:space="preserve">. </w:t>
      </w:r>
      <w:r w:rsidRPr="00816F46" w:rsidR="00FE7283">
        <w:rPr>
          <w:rFonts w:ascii="Arial" w:hAnsi="Arial" w:cs="Arial"/>
          <w:b/>
          <w:bCs/>
          <w:sz w:val="32"/>
          <w:szCs w:val="32"/>
        </w:rPr>
        <w:t>0906–0004-REVISION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4A767E" w:rsidRPr="00711C19" w:rsidP="00711C19" w14:paraId="15975D8A" w14:textId="29C479A4">
      <w:pPr>
        <w:spacing w:before="120"/>
        <w:rPr>
          <w:rFonts w:ascii="Arial" w:hAnsi="Arial" w:cs="Arial"/>
          <w:sz w:val="24"/>
        </w:rPr>
      </w:pPr>
      <w:r w:rsidRPr="00711C19">
        <w:rPr>
          <w:rFonts w:ascii="Arial" w:hAnsi="Arial" w:cs="Arial"/>
          <w:sz w:val="24"/>
        </w:rPr>
        <w:t xml:space="preserve">The Health Resources and Services Administration (HRSA) currently has approval under the generic clearance, Office of Management and Budget (OMB) Control No. 0915-0212, to conduct customer satisfaction surveys and focus groups. </w:t>
      </w:r>
      <w:r w:rsidRPr="00711C19" w:rsidR="006C6CD1">
        <w:rPr>
          <w:rFonts w:ascii="Arial" w:hAnsi="Arial" w:cs="Arial"/>
          <w:sz w:val="24"/>
        </w:rPr>
        <w:t xml:space="preserve"> </w:t>
      </w:r>
      <w:r w:rsidRPr="00711C19">
        <w:rPr>
          <w:rFonts w:ascii="Arial" w:hAnsi="Arial" w:cs="Arial"/>
          <w:sz w:val="24"/>
        </w:rPr>
        <w:t>This is a request for Office of Management and Budget (OMB) approval of a voluntary customer satisfaction survey titled, Be The Match</w:t>
      </w:r>
      <w:r w:rsidRPr="00711C19">
        <w:rPr>
          <w:rFonts w:ascii="Arial" w:hAnsi="Arial" w:cs="Arial"/>
          <w:sz w:val="24"/>
          <w:vertAlign w:val="superscript"/>
        </w:rPr>
        <w:t>®</w:t>
      </w:r>
      <w:r w:rsidRPr="00711C19">
        <w:rPr>
          <w:rFonts w:ascii="Arial" w:hAnsi="Arial" w:cs="Arial"/>
          <w:sz w:val="24"/>
        </w:rPr>
        <w:t xml:space="preserve"> Patient Support Center Survey, under the Health Resources and Services Administration’s (HRSA) generic clearance. </w:t>
      </w:r>
      <w:r w:rsidRPr="00711C19" w:rsidR="006C6CD1">
        <w:rPr>
          <w:rFonts w:ascii="Arial" w:hAnsi="Arial" w:cs="Arial"/>
          <w:sz w:val="24"/>
        </w:rPr>
        <w:t xml:space="preserve"> </w:t>
      </w:r>
      <w:r w:rsidRPr="00711C19">
        <w:rPr>
          <w:rFonts w:ascii="Arial" w:hAnsi="Arial" w:cs="Arial"/>
          <w:sz w:val="24"/>
        </w:rPr>
        <w:t xml:space="preserve">The C.W. Bill Young Cell Transplantation Program (CWBYCTP) was established by the Stem Cell Therapeutic and Research Act of 2005 (Public Law 109 - 129) and was most recently reauthorized in 2021 (S. 288 (117th): Transplant Act of 2021). </w:t>
      </w:r>
      <w:r w:rsidRPr="00711C19" w:rsidR="006C6CD1">
        <w:rPr>
          <w:rFonts w:ascii="Arial" w:hAnsi="Arial" w:cs="Arial"/>
          <w:sz w:val="24"/>
        </w:rPr>
        <w:t xml:space="preserve"> </w:t>
      </w:r>
      <w:r w:rsidRPr="00711C19">
        <w:rPr>
          <w:rFonts w:ascii="Arial" w:hAnsi="Arial" w:cs="Arial"/>
          <w:sz w:val="24"/>
        </w:rPr>
        <w:t>The CWBYCTP Office of Patient Advocacy is operated by the National Marrow Donor Program</w:t>
      </w:r>
      <w:r w:rsidRPr="00711C19">
        <w:rPr>
          <w:rFonts w:ascii="Arial" w:hAnsi="Arial" w:cs="Arial"/>
          <w:sz w:val="24"/>
          <w:vertAlign w:val="superscript"/>
        </w:rPr>
        <w:t>®</w:t>
      </w:r>
      <w:r w:rsidRPr="00711C19">
        <w:rPr>
          <w:rFonts w:ascii="Arial" w:hAnsi="Arial" w:cs="Arial"/>
          <w:sz w:val="24"/>
        </w:rPr>
        <w:t xml:space="preserve"> (NMDP) which operates publicly as Be The Match</w:t>
      </w:r>
      <w:r w:rsidRPr="00711C19">
        <w:rPr>
          <w:rFonts w:ascii="Arial" w:hAnsi="Arial" w:cs="Arial"/>
          <w:sz w:val="24"/>
          <w:vertAlign w:val="superscript"/>
        </w:rPr>
        <w:t>®</w:t>
      </w:r>
      <w:r w:rsidRPr="00711C19">
        <w:rPr>
          <w:rFonts w:ascii="Arial" w:hAnsi="Arial" w:cs="Arial"/>
          <w:sz w:val="24"/>
        </w:rPr>
        <w:t>. NMDP has explicit requirements to conduct surveys of patient satisfaction</w:t>
      </w:r>
      <w:r w:rsidRPr="00711C19" w:rsidR="00226A6D">
        <w:rPr>
          <w:rFonts w:ascii="Arial" w:hAnsi="Arial" w:cs="Arial"/>
          <w:sz w:val="24"/>
        </w:rPr>
        <w:t xml:space="preserve">. </w:t>
      </w:r>
      <w:r w:rsidRPr="00711C19" w:rsidR="006C6CD1">
        <w:rPr>
          <w:rFonts w:ascii="Arial" w:hAnsi="Arial" w:cs="Arial"/>
          <w:sz w:val="24"/>
        </w:rPr>
        <w:t xml:space="preserve"> </w:t>
      </w:r>
      <w:r w:rsidRPr="00711C19">
        <w:rPr>
          <w:rFonts w:ascii="Arial" w:hAnsi="Arial" w:cs="Arial"/>
          <w:sz w:val="24"/>
        </w:rPr>
        <w:t xml:space="preserve">As such, NMDP will elicit feedback from marrow and cord blood transplant patients, caregivers, and family members who had contact with the Be The Match Patient Support Center for navigation services, educational information, and support. </w:t>
      </w:r>
      <w:r w:rsidRPr="00711C19" w:rsidR="006C6CD1">
        <w:rPr>
          <w:rFonts w:ascii="Arial" w:hAnsi="Arial" w:cs="Arial"/>
          <w:sz w:val="24"/>
        </w:rPr>
        <w:t xml:space="preserve"> </w:t>
      </w:r>
      <w:r w:rsidRPr="00711C19">
        <w:rPr>
          <w:rFonts w:ascii="Arial" w:hAnsi="Arial" w:cs="Arial"/>
          <w:sz w:val="24"/>
        </w:rPr>
        <w:t xml:space="preserve">The survey also includes demographic questions to determine </w:t>
      </w:r>
      <w:r w:rsidR="001A764C">
        <w:rPr>
          <w:rFonts w:ascii="Arial" w:hAnsi="Arial" w:cs="Arial"/>
          <w:sz w:val="24"/>
        </w:rPr>
        <w:t xml:space="preserve">the </w:t>
      </w:r>
      <w:r w:rsidRPr="00711C19">
        <w:rPr>
          <w:rFonts w:ascii="Arial" w:hAnsi="Arial" w:cs="Arial"/>
          <w:sz w:val="24"/>
        </w:rPr>
        <w:t xml:space="preserve">representativeness of </w:t>
      </w:r>
      <w:r w:rsidR="001A764C">
        <w:rPr>
          <w:rFonts w:ascii="Arial" w:hAnsi="Arial" w:cs="Arial"/>
          <w:sz w:val="24"/>
        </w:rPr>
        <w:t xml:space="preserve">the </w:t>
      </w:r>
      <w:r w:rsidRPr="00711C19">
        <w:rPr>
          <w:rFonts w:ascii="Arial" w:hAnsi="Arial" w:cs="Arial"/>
          <w:sz w:val="24"/>
        </w:rPr>
        <w:t xml:space="preserve">findings. </w:t>
      </w:r>
      <w:r w:rsidRPr="00711C19" w:rsidR="006C6CD1">
        <w:rPr>
          <w:rFonts w:ascii="Arial" w:hAnsi="Arial" w:cs="Arial"/>
          <w:sz w:val="24"/>
        </w:rPr>
        <w:t xml:space="preserve"> </w:t>
      </w:r>
      <w:r w:rsidRPr="00711C19">
        <w:rPr>
          <w:rFonts w:ascii="Arial" w:hAnsi="Arial" w:cs="Arial"/>
          <w:sz w:val="24"/>
        </w:rPr>
        <w:t>The objectives of the survey are to 1) Determine the level of satisfaction with existing services of the Patient Support Center and 2) Determine areas for improvement and opportunities for the development of new programs and services.</w:t>
      </w:r>
    </w:p>
    <w:p w:rsidR="004A767E" w:rsidRPr="00F573D5" w:rsidP="00F573D5" w14:paraId="764EC8A5" w14:textId="77635DD0">
      <w:pPr>
        <w:spacing w:before="120"/>
        <w:rPr>
          <w:rFonts w:ascii="Arial" w:hAnsi="Arial" w:cs="Arial"/>
          <w:sz w:val="24"/>
        </w:rPr>
      </w:pPr>
      <w:r w:rsidRPr="00F573D5">
        <w:rPr>
          <w:rFonts w:ascii="Arial" w:hAnsi="Arial" w:cs="Arial"/>
          <w:sz w:val="24"/>
        </w:rPr>
        <w:t>This collection of information helps fulfill the requirements of</w:t>
      </w:r>
      <w:r w:rsidRPr="00F573D5">
        <w:rPr>
          <w:rFonts w:ascii="Arial" w:hAnsi="Arial" w:cs="Arial"/>
          <w:sz w:val="24"/>
        </w:rPr>
        <w:t xml:space="preserve"> </w:t>
      </w:r>
      <w:r w:rsidRPr="00F573D5">
        <w:rPr>
          <w:rFonts w:ascii="Arial" w:hAnsi="Arial" w:cs="Arial"/>
          <w:sz w:val="24"/>
        </w:rPr>
        <w:t xml:space="preserve">Executive Order 12862, “Setting Customer Service Standards,” which </w:t>
      </w:r>
      <w:r w:rsidRPr="00F573D5" w:rsidR="000A6365">
        <w:rPr>
          <w:rFonts w:ascii="Arial" w:hAnsi="Arial" w:cs="Arial"/>
          <w:sz w:val="24"/>
        </w:rPr>
        <w:t xml:space="preserve">requires agencies that provide significant services directly to the public to identify and gather feedback from customers; establish service standards and measure performance against those standards; and benchmark customer service performance against the best customer experience provided in the private sector.” </w:t>
      </w:r>
      <w:r w:rsidRPr="00F573D5" w:rsidR="004A3489">
        <w:rPr>
          <w:rFonts w:ascii="Arial" w:hAnsi="Arial" w:cs="Arial"/>
          <w:sz w:val="24"/>
        </w:rPr>
        <w:t xml:space="preserve"> </w:t>
      </w:r>
      <w:r w:rsidRPr="00F573D5">
        <w:rPr>
          <w:rFonts w:ascii="Arial" w:hAnsi="Arial" w:cs="Arial"/>
          <w:sz w:val="24"/>
        </w:rPr>
        <w:t xml:space="preserve">Executive Order 12862 </w:t>
      </w:r>
      <w:r w:rsidRPr="00F573D5" w:rsidR="000A6365">
        <w:rPr>
          <w:rFonts w:ascii="Arial" w:hAnsi="Arial" w:cs="Arial"/>
          <w:sz w:val="24"/>
        </w:rPr>
        <w:t xml:space="preserve">also states that “Strengthening the democratic process requires providing direct lines of feedback and mechanisms for engaging the American people in the design and improvement </w:t>
      </w:r>
      <w:r w:rsidRPr="00C15925" w:rsidR="000A6365">
        <w:rPr>
          <w:rFonts w:ascii="Arial" w:hAnsi="Arial" w:cs="Arial"/>
          <w:color w:val="548DD4" w:themeColor="text2" w:themeTint="99"/>
          <w:sz w:val="24"/>
        </w:rPr>
        <w:t xml:space="preserve">of Federal Government programs, </w:t>
      </w:r>
      <w:r w:rsidRPr="00F573D5" w:rsidR="000A6365">
        <w:rPr>
          <w:rFonts w:ascii="Arial" w:hAnsi="Arial" w:cs="Arial"/>
          <w:sz w:val="24"/>
        </w:rPr>
        <w:t xml:space="preserve">processes, and services.” </w:t>
      </w:r>
      <w:r w:rsidRPr="00F573D5" w:rsidR="004A3489">
        <w:rPr>
          <w:rFonts w:ascii="Arial" w:hAnsi="Arial" w:cs="Arial"/>
          <w:sz w:val="24"/>
        </w:rPr>
        <w:t xml:space="preserve"> </w:t>
      </w:r>
      <w:r w:rsidRPr="00F573D5" w:rsidR="000A6365">
        <w:rPr>
          <w:rFonts w:ascii="Arial" w:hAnsi="Arial" w:cs="Arial"/>
          <w:sz w:val="24"/>
        </w:rPr>
        <w:t xml:space="preserve">This survey aims to gather that feedback and measure performance to improve customer experience and performance. </w:t>
      </w:r>
    </w:p>
    <w:p w:rsidR="00FE7283" w:rsidRPr="00F573D5" w:rsidP="00F573D5" w14:paraId="293243DA" w14:textId="049B1113">
      <w:pPr>
        <w:spacing w:before="120"/>
        <w:rPr>
          <w:rFonts w:ascii="Arial" w:hAnsi="Arial" w:cs="Arial"/>
          <w:sz w:val="24"/>
        </w:rPr>
      </w:pPr>
      <w:r w:rsidRPr="00F573D5">
        <w:rPr>
          <w:rFonts w:ascii="Arial" w:hAnsi="Arial" w:cs="Arial"/>
          <w:sz w:val="24"/>
        </w:rPr>
        <w:t xml:space="preserve">There are revisions to the survey since the prior approval. </w:t>
      </w:r>
      <w:r w:rsidRPr="00F573D5" w:rsidR="004A3489">
        <w:rPr>
          <w:rFonts w:ascii="Arial" w:hAnsi="Arial" w:cs="Arial"/>
          <w:sz w:val="24"/>
        </w:rPr>
        <w:t xml:space="preserve"> </w:t>
      </w:r>
      <w:r w:rsidRPr="00F573D5" w:rsidR="00C15925">
        <w:rPr>
          <w:rFonts w:ascii="Arial" w:hAnsi="Arial" w:cs="Arial"/>
          <w:sz w:val="24"/>
        </w:rPr>
        <w:t>The revisions are</w:t>
      </w:r>
      <w:r w:rsidRPr="00F573D5">
        <w:rPr>
          <w:rFonts w:ascii="Arial" w:hAnsi="Arial" w:cs="Arial"/>
          <w:sz w:val="24"/>
        </w:rPr>
        <w:t xml:space="preserve"> changes to the order that questions are asked in the survey. </w:t>
      </w:r>
      <w:r w:rsidRPr="00F573D5" w:rsidR="004A3489">
        <w:rPr>
          <w:rFonts w:ascii="Arial" w:hAnsi="Arial" w:cs="Arial"/>
          <w:sz w:val="24"/>
        </w:rPr>
        <w:t xml:space="preserve"> </w:t>
      </w:r>
      <w:r w:rsidRPr="00F573D5">
        <w:rPr>
          <w:rFonts w:ascii="Arial" w:hAnsi="Arial" w:cs="Arial"/>
          <w:sz w:val="24"/>
        </w:rPr>
        <w:t>There are no changes to the instructions, frequency of collection, or use of the information</w:t>
      </w:r>
      <w:r w:rsidRPr="00F573D5" w:rsidR="00C15925">
        <w:rPr>
          <w:rFonts w:ascii="Arial" w:hAnsi="Arial" w:cs="Arial"/>
          <w:sz w:val="24"/>
        </w:rPr>
        <w:t>.</w:t>
      </w:r>
    </w:p>
    <w:p w:rsidR="009B3794" w:rsidRPr="00C45431" w:rsidP="00CA3DA6"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9B3794" w:rsidRPr="00C45431" w:rsidP="00FE7283" w14:paraId="22E2A2FF" w14:textId="63E92471">
      <w:pPr>
        <w:widowControl/>
        <w:autoSpaceDE/>
        <w:autoSpaceDN/>
        <w:adjustRightInd/>
        <w:spacing w:before="120"/>
        <w:rPr>
          <w:rFonts w:ascii="Arial" w:hAnsi="Arial" w:cs="Arial"/>
          <w:b/>
          <w:color w:val="000000"/>
          <w:sz w:val="24"/>
        </w:rPr>
      </w:pPr>
      <w:r w:rsidRPr="00604A3B">
        <w:rPr>
          <w:rFonts w:ascii="Arial" w:hAnsi="Arial" w:cs="Arial"/>
          <w:bCs/>
          <w:sz w:val="24"/>
        </w:rPr>
        <w:t xml:space="preserve">Barriers restricting access to </w:t>
      </w:r>
      <w:r w:rsidRPr="00604A3B" w:rsidR="003F1BD6">
        <w:rPr>
          <w:rFonts w:ascii="Arial" w:hAnsi="Arial" w:cs="Arial"/>
          <w:bCs/>
          <w:sz w:val="24"/>
        </w:rPr>
        <w:t xml:space="preserve">marrow and cord blood </w:t>
      </w:r>
      <w:r w:rsidRPr="00604A3B">
        <w:rPr>
          <w:rFonts w:ascii="Arial" w:hAnsi="Arial" w:cs="Arial"/>
          <w:bCs/>
          <w:sz w:val="24"/>
        </w:rPr>
        <w:t xml:space="preserve">transplant-related care and educational information are multi-factorial. </w:t>
      </w:r>
      <w:r w:rsidRPr="00604A3B" w:rsidR="004A3489">
        <w:rPr>
          <w:rFonts w:ascii="Arial" w:hAnsi="Arial" w:cs="Arial"/>
          <w:bCs/>
          <w:sz w:val="24"/>
        </w:rPr>
        <w:t xml:space="preserve"> </w:t>
      </w:r>
      <w:r w:rsidRPr="00604A3B" w:rsidR="003F1BD6">
        <w:rPr>
          <w:rFonts w:ascii="Arial" w:hAnsi="Arial" w:cs="Arial"/>
          <w:bCs/>
          <w:sz w:val="24"/>
        </w:rPr>
        <w:t>The CWBYCTP Office of Patient Advocacy works to help patients overcome barriers by providing access to programs, information</w:t>
      </w:r>
      <w:r w:rsidR="001A764C">
        <w:rPr>
          <w:rFonts w:ascii="Arial" w:hAnsi="Arial" w:cs="Arial"/>
          <w:bCs/>
          <w:sz w:val="24"/>
        </w:rPr>
        <w:t>,</w:t>
      </w:r>
      <w:r w:rsidRPr="00604A3B" w:rsidR="003F1BD6">
        <w:rPr>
          <w:rFonts w:ascii="Arial" w:hAnsi="Arial" w:cs="Arial"/>
          <w:bCs/>
          <w:sz w:val="24"/>
        </w:rPr>
        <w:t xml:space="preserve"> and services related to transplant</w:t>
      </w:r>
      <w:r w:rsidR="001A764C">
        <w:rPr>
          <w:rFonts w:ascii="Arial" w:hAnsi="Arial" w:cs="Arial"/>
          <w:bCs/>
          <w:sz w:val="24"/>
        </w:rPr>
        <w:t>s</w:t>
      </w:r>
      <w:r w:rsidRPr="00604A3B" w:rsidR="003F1BD6">
        <w:rPr>
          <w:rFonts w:ascii="Arial" w:hAnsi="Arial" w:cs="Arial"/>
          <w:bCs/>
          <w:sz w:val="24"/>
        </w:rPr>
        <w:t xml:space="preserve">. </w:t>
      </w:r>
      <w:r w:rsidRPr="00604A3B" w:rsidR="004A3489">
        <w:rPr>
          <w:rFonts w:ascii="Arial" w:hAnsi="Arial" w:cs="Arial"/>
          <w:bCs/>
          <w:sz w:val="24"/>
        </w:rPr>
        <w:t xml:space="preserve"> </w:t>
      </w:r>
      <w:r w:rsidRPr="00604A3B">
        <w:rPr>
          <w:rFonts w:ascii="Arial" w:hAnsi="Arial" w:cs="Arial"/>
          <w:bCs/>
          <w:sz w:val="24"/>
        </w:rPr>
        <w:t xml:space="preserve">Feedback from participants is essential to understand the changing needs for services and information as well as to demonstrate the effectiveness of existing services. </w:t>
      </w:r>
      <w:r w:rsidRPr="00604A3B" w:rsidR="004A3489">
        <w:rPr>
          <w:rFonts w:ascii="Arial" w:hAnsi="Arial" w:cs="Arial"/>
          <w:bCs/>
          <w:sz w:val="24"/>
        </w:rPr>
        <w:t xml:space="preserve"> </w:t>
      </w:r>
      <w:r w:rsidRPr="00604A3B">
        <w:rPr>
          <w:rFonts w:ascii="Arial" w:hAnsi="Arial" w:cs="Arial"/>
          <w:bCs/>
          <w:sz w:val="24"/>
        </w:rPr>
        <w:t xml:space="preserve">The primary use for information gathered through the survey is to determine the helpfulness of participants’ initial contact with the Be The Match </w:t>
      </w:r>
      <w:r w:rsidRPr="00604A3B" w:rsidR="003F1BD6">
        <w:rPr>
          <w:rFonts w:ascii="Arial" w:hAnsi="Arial" w:cs="Arial"/>
          <w:bCs/>
          <w:sz w:val="24"/>
        </w:rPr>
        <w:t>Patient Support Center</w:t>
      </w:r>
      <w:r w:rsidRPr="00604A3B">
        <w:rPr>
          <w:rFonts w:ascii="Arial" w:hAnsi="Arial" w:cs="Arial"/>
          <w:bCs/>
          <w:sz w:val="24"/>
        </w:rPr>
        <w:t xml:space="preserve"> and to identify areas for improvement in the delivery of services. </w:t>
      </w:r>
      <w:r w:rsidRPr="00604A3B" w:rsidR="000E331C">
        <w:rPr>
          <w:rFonts w:ascii="Arial" w:hAnsi="Arial" w:cs="Arial"/>
          <w:bCs/>
          <w:sz w:val="24"/>
        </w:rPr>
        <w:t xml:space="preserve"> </w:t>
      </w:r>
      <w:r w:rsidRPr="00604A3B">
        <w:rPr>
          <w:rFonts w:ascii="Arial" w:hAnsi="Arial" w:cs="Arial"/>
          <w:bCs/>
          <w:sz w:val="24"/>
        </w:rPr>
        <w:t xml:space="preserve">Stakeholders (i.e., program managers, </w:t>
      </w:r>
      <w:r w:rsidRPr="00604A3B" w:rsidR="003F1BD6">
        <w:rPr>
          <w:rFonts w:ascii="Arial" w:hAnsi="Arial" w:cs="Arial"/>
          <w:bCs/>
          <w:sz w:val="24"/>
        </w:rPr>
        <w:t>NMDP</w:t>
      </w:r>
      <w:r w:rsidRPr="00604A3B">
        <w:rPr>
          <w:rFonts w:ascii="Arial" w:hAnsi="Arial" w:cs="Arial"/>
          <w:bCs/>
          <w:sz w:val="24"/>
        </w:rPr>
        <w:t xml:space="preserve"> leadership, and HRSA) use this evaluation data </w:t>
      </w:r>
      <w:r w:rsidRPr="00604A3B" w:rsidR="00B96556">
        <w:rPr>
          <w:rFonts w:ascii="Arial" w:hAnsi="Arial" w:cs="Arial"/>
          <w:bCs/>
          <w:sz w:val="24"/>
        </w:rPr>
        <w:t xml:space="preserve">to </w:t>
      </w:r>
      <w:r w:rsidRPr="00604A3B">
        <w:rPr>
          <w:rFonts w:ascii="Arial" w:hAnsi="Arial" w:cs="Arial"/>
          <w:bCs/>
          <w:sz w:val="24"/>
        </w:rPr>
        <w:t xml:space="preserve">make program </w:t>
      </w:r>
      <w:r w:rsidRPr="00604A3B" w:rsidR="00B96556">
        <w:rPr>
          <w:rFonts w:ascii="Arial" w:hAnsi="Arial" w:cs="Arial"/>
          <w:bCs/>
          <w:sz w:val="24"/>
        </w:rPr>
        <w:t xml:space="preserve">improvements </w:t>
      </w:r>
      <w:r w:rsidRPr="00604A3B">
        <w:rPr>
          <w:rFonts w:ascii="Arial" w:hAnsi="Arial" w:cs="Arial"/>
          <w:bCs/>
          <w:sz w:val="24"/>
        </w:rPr>
        <w:t>and</w:t>
      </w:r>
      <w:r w:rsidRPr="00604A3B" w:rsidR="003F1BD6">
        <w:rPr>
          <w:rFonts w:ascii="Arial" w:hAnsi="Arial" w:cs="Arial"/>
          <w:bCs/>
          <w:sz w:val="24"/>
        </w:rPr>
        <w:t xml:space="preserve"> inform</w:t>
      </w:r>
      <w:r w:rsidRPr="00604A3B">
        <w:rPr>
          <w:rFonts w:ascii="Arial" w:hAnsi="Arial" w:cs="Arial"/>
          <w:bCs/>
          <w:sz w:val="24"/>
        </w:rPr>
        <w:t xml:space="preserve"> resource allocation decisions. </w:t>
      </w:r>
      <w:r w:rsidRPr="00604A3B" w:rsidR="000E331C">
        <w:rPr>
          <w:rFonts w:ascii="Arial" w:hAnsi="Arial" w:cs="Arial"/>
          <w:bCs/>
          <w:sz w:val="24"/>
        </w:rPr>
        <w:t xml:space="preserve"> </w:t>
      </w:r>
      <w:r w:rsidRPr="00604A3B" w:rsidR="00FB2D40">
        <w:rPr>
          <w:rFonts w:ascii="Arial" w:hAnsi="Arial" w:cs="Arial"/>
          <w:bCs/>
          <w:sz w:val="24"/>
        </w:rPr>
        <w:t xml:space="preserve">Feedback acquired through the survey showed that the services provided by the Patient Support Center benefit patients throughout their treatment. </w:t>
      </w:r>
      <w:r w:rsidRPr="00604A3B" w:rsidR="000E331C">
        <w:rPr>
          <w:rFonts w:ascii="Arial" w:hAnsi="Arial" w:cs="Arial"/>
          <w:bCs/>
          <w:sz w:val="24"/>
        </w:rPr>
        <w:t xml:space="preserve"> </w:t>
      </w:r>
      <w:r w:rsidRPr="00604A3B" w:rsidR="00FB2D40">
        <w:rPr>
          <w:rFonts w:ascii="Arial" w:hAnsi="Arial" w:cs="Arial"/>
          <w:bCs/>
          <w:sz w:val="24"/>
        </w:rPr>
        <w:t xml:space="preserve">These results have led to greater investment in patient services programs including proactive outreach to support more patients. </w:t>
      </w:r>
      <w:r w:rsidRPr="00604A3B" w:rsidR="000E331C">
        <w:rPr>
          <w:rFonts w:ascii="Arial" w:hAnsi="Arial" w:cs="Arial"/>
          <w:bCs/>
          <w:sz w:val="24"/>
        </w:rPr>
        <w:t xml:space="preserve"> </w:t>
      </w:r>
      <w:r w:rsidRPr="00604A3B" w:rsidR="00FB2D40">
        <w:rPr>
          <w:rFonts w:ascii="Arial" w:hAnsi="Arial" w:cs="Arial"/>
          <w:bCs/>
          <w:sz w:val="24"/>
        </w:rPr>
        <w:t xml:space="preserve">Survey results have also led to </w:t>
      </w:r>
      <w:r w:rsidR="001A764C">
        <w:rPr>
          <w:rFonts w:ascii="Arial" w:hAnsi="Arial" w:cs="Arial"/>
          <w:bCs/>
          <w:sz w:val="24"/>
        </w:rPr>
        <w:t xml:space="preserve">the </w:t>
      </w:r>
      <w:r w:rsidRPr="00604A3B" w:rsidR="00FB2D40">
        <w:rPr>
          <w:rFonts w:ascii="Arial" w:hAnsi="Arial" w:cs="Arial"/>
          <w:bCs/>
          <w:sz w:val="24"/>
        </w:rPr>
        <w:t>development of additional post-transplant survivorship services</w:t>
      </w:r>
      <w:r w:rsidR="00CD5FBB">
        <w:rPr>
          <w:rFonts w:ascii="Arial" w:hAnsi="Arial" w:cs="Arial"/>
          <w:bCs/>
          <w:sz w:val="24"/>
        </w:rPr>
        <w:t>.</w:t>
      </w:r>
    </w:p>
    <w:p w:rsidR="009B3794" w:rsidRPr="00C45431" w:rsidP="00CA3DA6"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921411" w:rsidRPr="00C45431" w:rsidP="00FE7283" w14:paraId="493E92FB" w14:textId="0227F7CB">
      <w:pPr>
        <w:widowControl/>
        <w:spacing w:before="120"/>
        <w:rPr>
          <w:rFonts w:ascii="Arial" w:hAnsi="Arial" w:cs="Arial"/>
          <w:sz w:val="24"/>
        </w:rPr>
      </w:pPr>
      <w:r w:rsidRPr="00921411">
        <w:rPr>
          <w:rFonts w:ascii="Arial" w:hAnsi="Arial" w:cs="Arial"/>
          <w:sz w:val="24"/>
        </w:rPr>
        <w:t xml:space="preserve">The </w:t>
      </w:r>
      <w:r w:rsidRPr="00921411" w:rsidR="002B5E68">
        <w:rPr>
          <w:rFonts w:ascii="Arial" w:hAnsi="Arial" w:cs="Arial"/>
          <w:sz w:val="24"/>
        </w:rPr>
        <w:t xml:space="preserve">Be The Match Patient Support Center Survey is </w:t>
      </w:r>
      <w:r w:rsidRPr="00921411" w:rsidR="00226A6D">
        <w:rPr>
          <w:rFonts w:ascii="Arial" w:hAnsi="Arial" w:cs="Arial"/>
          <w:sz w:val="24"/>
        </w:rPr>
        <w:t xml:space="preserve">a </w:t>
      </w:r>
      <w:r w:rsidRPr="00921411">
        <w:rPr>
          <w:rFonts w:ascii="Arial" w:hAnsi="Arial" w:cs="Arial"/>
          <w:sz w:val="24"/>
        </w:rPr>
        <w:t>web-based survey</w:t>
      </w:r>
      <w:r w:rsidRPr="00921411" w:rsidR="002B5E68">
        <w:rPr>
          <w:rFonts w:ascii="Arial" w:hAnsi="Arial" w:cs="Arial"/>
          <w:sz w:val="24"/>
        </w:rPr>
        <w:t xml:space="preserve"> </w:t>
      </w:r>
      <w:r w:rsidRPr="00921411" w:rsidR="00C15925">
        <w:rPr>
          <w:rFonts w:ascii="Arial" w:hAnsi="Arial" w:cs="Arial"/>
          <w:sz w:val="24"/>
        </w:rPr>
        <w:t xml:space="preserve">designed </w:t>
      </w:r>
      <w:r w:rsidRPr="00921411">
        <w:rPr>
          <w:rFonts w:ascii="Arial" w:hAnsi="Arial" w:cs="Arial"/>
          <w:sz w:val="24"/>
        </w:rPr>
        <w:t>to reduce respondent burden (508 compliant).</w:t>
      </w:r>
      <w:r w:rsidRPr="00921411" w:rsidR="00226A6D">
        <w:rPr>
          <w:rFonts w:ascii="Arial" w:hAnsi="Arial" w:cs="Arial"/>
          <w:sz w:val="24"/>
        </w:rPr>
        <w:t xml:space="preserve"> </w:t>
      </w:r>
      <w:r w:rsidRPr="00921411" w:rsidR="000E331C">
        <w:rPr>
          <w:rFonts w:ascii="Arial" w:hAnsi="Arial" w:cs="Arial"/>
          <w:sz w:val="24"/>
        </w:rPr>
        <w:t xml:space="preserve"> </w:t>
      </w:r>
      <w:r w:rsidRPr="00921411" w:rsidR="00226A6D">
        <w:rPr>
          <w:rFonts w:ascii="Arial" w:hAnsi="Arial" w:cs="Arial"/>
          <w:sz w:val="24"/>
        </w:rPr>
        <w:t>All responses (100%) are collected through electronic submission.</w:t>
      </w:r>
      <w:r w:rsidRPr="00921411">
        <w:rPr>
          <w:rFonts w:ascii="Arial" w:hAnsi="Arial" w:cs="Arial"/>
          <w:sz w:val="24"/>
        </w:rPr>
        <w:t xml:space="preserve"> </w:t>
      </w:r>
      <w:r w:rsidRPr="00921411" w:rsidR="000E331C">
        <w:rPr>
          <w:rFonts w:ascii="Arial" w:hAnsi="Arial" w:cs="Arial"/>
          <w:sz w:val="24"/>
        </w:rPr>
        <w:t xml:space="preserve"> </w:t>
      </w:r>
      <w:r w:rsidRPr="00921411">
        <w:rPr>
          <w:rFonts w:ascii="Arial" w:hAnsi="Arial" w:cs="Arial"/>
          <w:sz w:val="24"/>
        </w:rPr>
        <w:t xml:space="preserve">This technology allows reminders to be sent only to non-responders which reduces the number of contacts during the time of decision-making and treatment. </w:t>
      </w:r>
    </w:p>
    <w:p w:rsidR="009B3794" w:rsidRPr="00C45431" w:rsidP="00CA3DA6" w14:paraId="22E2A30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FE7283" w:rsidRPr="002E6B42" w:rsidP="00CA3DA6" w14:paraId="22EEAD9B" w14:textId="64E04587">
      <w:pPr>
        <w:spacing w:before="120"/>
        <w:rPr>
          <w:rFonts w:ascii="Arial" w:hAnsi="Arial" w:cs="Arial"/>
          <w:sz w:val="24"/>
        </w:rPr>
      </w:pPr>
      <w:r w:rsidRPr="002E6B42">
        <w:rPr>
          <w:rFonts w:ascii="Arial" w:hAnsi="Arial" w:cs="Arial"/>
          <w:sz w:val="24"/>
        </w:rPr>
        <w:t>The Be the Match Patient Support Center Survey does not duplicate any other information collection tool.</w:t>
      </w:r>
      <w:r w:rsidRPr="002E6B42">
        <w:rPr>
          <w:rFonts w:ascii="Arial" w:hAnsi="Arial" w:cs="Arial"/>
          <w:sz w:val="24"/>
        </w:rPr>
        <w:t xml:space="preserve"> </w:t>
      </w:r>
      <w:r w:rsidRPr="002E6B42" w:rsidR="000E331C">
        <w:rPr>
          <w:rFonts w:ascii="Arial" w:hAnsi="Arial" w:cs="Arial"/>
          <w:sz w:val="24"/>
        </w:rPr>
        <w:t xml:space="preserve"> </w:t>
      </w:r>
      <w:r w:rsidRPr="002E6B42">
        <w:rPr>
          <w:rFonts w:ascii="Arial" w:hAnsi="Arial" w:cs="Arial"/>
          <w:sz w:val="24"/>
        </w:rPr>
        <w:t xml:space="preserve">None of the questions are present on other evaluation instruments. </w:t>
      </w:r>
      <w:r w:rsidRPr="002E6B42" w:rsidR="000E331C">
        <w:rPr>
          <w:rFonts w:ascii="Arial" w:hAnsi="Arial" w:cs="Arial"/>
          <w:sz w:val="24"/>
        </w:rPr>
        <w:t xml:space="preserve"> </w:t>
      </w:r>
      <w:r w:rsidRPr="002E6B42">
        <w:rPr>
          <w:rFonts w:ascii="Arial" w:hAnsi="Arial" w:cs="Arial"/>
          <w:sz w:val="24"/>
        </w:rPr>
        <w:t xml:space="preserve">The proposed survey is unique </w:t>
      </w:r>
      <w:r w:rsidR="001A764C">
        <w:rPr>
          <w:rFonts w:ascii="Arial" w:hAnsi="Arial" w:cs="Arial"/>
          <w:sz w:val="24"/>
        </w:rPr>
        <w:t>in</w:t>
      </w:r>
      <w:r w:rsidRPr="002E6B42" w:rsidR="001A764C">
        <w:rPr>
          <w:rFonts w:ascii="Arial" w:hAnsi="Arial" w:cs="Arial"/>
          <w:sz w:val="24"/>
        </w:rPr>
        <w:t xml:space="preserve"> </w:t>
      </w:r>
      <w:r w:rsidRPr="002E6B42">
        <w:rPr>
          <w:rFonts w:ascii="Arial" w:hAnsi="Arial" w:cs="Arial"/>
          <w:sz w:val="24"/>
        </w:rPr>
        <w:t xml:space="preserve">capturing feedback that will measure the navigation program objectives. </w:t>
      </w:r>
    </w:p>
    <w:p w:rsidR="009B3794" w:rsidRPr="00C45431" w:rsidP="00CA3DA6"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FE7283" w:rsidRPr="00242429" w:rsidP="00FE7283" w14:paraId="05EB8F21" w14:textId="7D48189E">
      <w:pPr>
        <w:spacing w:before="120"/>
        <w:rPr>
          <w:rFonts w:ascii="Arial" w:hAnsi="Arial" w:cs="Arial"/>
          <w:bCs/>
          <w:sz w:val="24"/>
        </w:rPr>
      </w:pPr>
      <w:r w:rsidRPr="00242429">
        <w:rPr>
          <w:rFonts w:ascii="Arial" w:hAnsi="Arial" w:cs="Arial"/>
          <w:bCs/>
          <w:sz w:val="24"/>
        </w:rPr>
        <w:t xml:space="preserve">No small </w:t>
      </w:r>
      <w:r w:rsidRPr="00242429" w:rsidR="003030E1">
        <w:rPr>
          <w:rFonts w:ascii="Arial" w:hAnsi="Arial" w:cs="Arial"/>
          <w:bCs/>
          <w:sz w:val="24"/>
        </w:rPr>
        <w:t xml:space="preserve">businesses or other small </w:t>
      </w:r>
      <w:r w:rsidRPr="00242429">
        <w:rPr>
          <w:rFonts w:ascii="Arial" w:hAnsi="Arial" w:cs="Arial"/>
          <w:bCs/>
          <w:sz w:val="24"/>
        </w:rPr>
        <w:t>entities will be involved in this s</w:t>
      </w:r>
      <w:r w:rsidRPr="00242429" w:rsidR="003030E1">
        <w:rPr>
          <w:rFonts w:ascii="Arial" w:hAnsi="Arial" w:cs="Arial"/>
          <w:bCs/>
          <w:sz w:val="24"/>
        </w:rPr>
        <w:t>urvey</w:t>
      </w:r>
      <w:r w:rsidRPr="00242429">
        <w:rPr>
          <w:rFonts w:ascii="Arial" w:hAnsi="Arial" w:cs="Arial"/>
          <w:bCs/>
          <w:sz w:val="24"/>
        </w:rPr>
        <w:t xml:space="preserve">. </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346C78" w:rsidRPr="009C14C4" w:rsidP="00FE7283" w14:paraId="766DED0D" w14:textId="38B976D6">
      <w:pPr>
        <w:widowControl/>
        <w:autoSpaceDE/>
        <w:autoSpaceDN/>
        <w:adjustRightInd/>
        <w:spacing w:before="120"/>
        <w:rPr>
          <w:rFonts w:ascii="Arial" w:hAnsi="Arial" w:cs="Arial"/>
          <w:bCs/>
          <w:sz w:val="24"/>
        </w:rPr>
      </w:pPr>
      <w:r w:rsidRPr="009C14C4">
        <w:rPr>
          <w:rFonts w:ascii="Arial" w:hAnsi="Arial" w:cs="Arial"/>
          <w:bCs/>
          <w:sz w:val="24"/>
        </w:rPr>
        <w:t xml:space="preserve">The survey informs program development and resource allocation but does not significantly impact program delivery as patient satisfaction has remained consistently </w:t>
      </w:r>
      <w:r w:rsidRPr="009C14C4">
        <w:rPr>
          <w:rFonts w:ascii="Arial" w:hAnsi="Arial" w:cs="Arial"/>
          <w:bCs/>
          <w:sz w:val="24"/>
        </w:rPr>
        <w:t xml:space="preserve">high through each contract cycle. </w:t>
      </w:r>
      <w:r w:rsidRPr="009C14C4" w:rsidR="000E331C">
        <w:rPr>
          <w:rFonts w:ascii="Arial" w:hAnsi="Arial" w:cs="Arial"/>
          <w:bCs/>
          <w:sz w:val="24"/>
        </w:rPr>
        <w:t xml:space="preserve"> </w:t>
      </w:r>
      <w:r w:rsidRPr="009C14C4">
        <w:rPr>
          <w:rFonts w:ascii="Arial" w:hAnsi="Arial" w:cs="Arial"/>
          <w:bCs/>
          <w:sz w:val="24"/>
        </w:rPr>
        <w:t xml:space="preserve">Providing participants with the ability to provide direct feedback to the program remains important. </w:t>
      </w:r>
    </w:p>
    <w:p w:rsidR="009B3794" w:rsidRPr="009C14C4" w:rsidP="00FE7283" w14:paraId="22E2A311" w14:textId="5259DA12">
      <w:pPr>
        <w:widowControl/>
        <w:autoSpaceDE/>
        <w:autoSpaceDN/>
        <w:adjustRightInd/>
        <w:spacing w:before="120"/>
        <w:rPr>
          <w:rFonts w:ascii="Arial" w:hAnsi="Arial" w:cs="Arial"/>
          <w:sz w:val="24"/>
        </w:rPr>
      </w:pPr>
      <w:r w:rsidRPr="009C14C4">
        <w:rPr>
          <w:rFonts w:ascii="Arial" w:hAnsi="Arial" w:cs="Arial"/>
          <w:bCs/>
          <w:sz w:val="24"/>
        </w:rPr>
        <w:t>T</w:t>
      </w:r>
      <w:r w:rsidRPr="009C14C4" w:rsidR="00FE7283">
        <w:rPr>
          <w:rFonts w:ascii="Arial" w:hAnsi="Arial" w:cs="Arial"/>
          <w:bCs/>
          <w:sz w:val="24"/>
        </w:rPr>
        <w:t xml:space="preserve">o reduce burden, each patient, caregiver, or family member will be administered the survey one time only, even when multiple contacts between the Patient Support Center and the participant occur. </w:t>
      </w:r>
      <w:r w:rsidRPr="009C14C4" w:rsidR="000E331C">
        <w:rPr>
          <w:rFonts w:ascii="Arial" w:hAnsi="Arial" w:cs="Arial"/>
          <w:bCs/>
          <w:sz w:val="24"/>
        </w:rPr>
        <w:t xml:space="preserve"> </w:t>
      </w:r>
      <w:r w:rsidRPr="009C14C4" w:rsidR="00FE7283">
        <w:rPr>
          <w:rFonts w:ascii="Arial" w:hAnsi="Arial" w:cs="Arial"/>
          <w:bCs/>
          <w:sz w:val="24"/>
        </w:rPr>
        <w:t xml:space="preserve">If the participant contacts the Patient Support Center and the survey was administered </w:t>
      </w:r>
      <w:r w:rsidRPr="009C14C4" w:rsidR="00346C78">
        <w:rPr>
          <w:rFonts w:ascii="Arial" w:hAnsi="Arial" w:cs="Arial"/>
          <w:bCs/>
          <w:sz w:val="24"/>
        </w:rPr>
        <w:t>one</w:t>
      </w:r>
      <w:r w:rsidRPr="009C14C4" w:rsidR="00FE7283">
        <w:rPr>
          <w:rFonts w:ascii="Arial" w:hAnsi="Arial" w:cs="Arial"/>
          <w:bCs/>
          <w:sz w:val="24"/>
        </w:rPr>
        <w:t xml:space="preserve"> or more years previously, the participant will receive another survey. </w:t>
      </w:r>
      <w:r w:rsidRPr="009C14C4" w:rsidR="000E331C">
        <w:rPr>
          <w:rFonts w:ascii="Arial" w:hAnsi="Arial" w:cs="Arial"/>
          <w:bCs/>
          <w:sz w:val="24"/>
        </w:rPr>
        <w:t xml:space="preserve"> </w:t>
      </w:r>
      <w:r w:rsidR="001A764C">
        <w:rPr>
          <w:rFonts w:ascii="Arial" w:hAnsi="Arial" w:cs="Arial"/>
          <w:bCs/>
          <w:sz w:val="24"/>
        </w:rPr>
        <w:t>Available resources, services, and delivery methods will likely</w:t>
      </w:r>
      <w:r w:rsidRPr="009C14C4" w:rsidR="00FE7283">
        <w:rPr>
          <w:rFonts w:ascii="Arial" w:hAnsi="Arial" w:cs="Arial"/>
          <w:bCs/>
          <w:sz w:val="24"/>
        </w:rPr>
        <w:t xml:space="preserve"> have </w:t>
      </w:r>
      <w:r w:rsidRPr="009C14C4">
        <w:rPr>
          <w:rFonts w:ascii="Arial" w:hAnsi="Arial" w:cs="Arial"/>
          <w:bCs/>
          <w:sz w:val="24"/>
        </w:rPr>
        <w:t>changed,</w:t>
      </w:r>
      <w:r w:rsidRPr="009C14C4" w:rsidR="00FE7283">
        <w:rPr>
          <w:rFonts w:ascii="Arial" w:hAnsi="Arial" w:cs="Arial"/>
          <w:bCs/>
          <w:sz w:val="24"/>
        </w:rPr>
        <w:t xml:space="preserve"> and new feedback will be important for evaluating the effectiveness of the services. </w:t>
      </w:r>
      <w:r w:rsidRPr="009C14C4" w:rsidR="000E331C">
        <w:rPr>
          <w:rFonts w:ascii="Arial" w:hAnsi="Arial" w:cs="Arial"/>
          <w:bCs/>
          <w:sz w:val="24"/>
        </w:rPr>
        <w:t xml:space="preserve"> </w:t>
      </w:r>
      <w:r w:rsidRPr="009C14C4" w:rsidR="00FE7283">
        <w:rPr>
          <w:rFonts w:ascii="Arial" w:hAnsi="Arial" w:cs="Arial"/>
          <w:bCs/>
          <w:sz w:val="24"/>
        </w:rPr>
        <w:t>If the information is collected less frequently</w:t>
      </w:r>
      <w:r w:rsidRPr="009C14C4" w:rsidR="005A29F0">
        <w:rPr>
          <w:rFonts w:ascii="Arial" w:hAnsi="Arial" w:cs="Arial"/>
          <w:bCs/>
          <w:sz w:val="24"/>
        </w:rPr>
        <w:t>,</w:t>
      </w:r>
      <w:r w:rsidRPr="009C14C4" w:rsidR="00FE7283">
        <w:rPr>
          <w:rFonts w:ascii="Arial" w:hAnsi="Arial" w:cs="Arial"/>
          <w:bCs/>
          <w:sz w:val="24"/>
        </w:rPr>
        <w:t xml:space="preserve"> program managers will not have accurate data to effectively improve existing programs or develop new programs to meet the needs of the participant population.</w:t>
      </w:r>
      <w:r w:rsidRPr="009C14C4">
        <w:rPr>
          <w:rFonts w:ascii="Arial" w:hAnsi="Arial" w:cs="Arial"/>
          <w:sz w:val="24"/>
        </w:rPr>
        <w:tab/>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 xml:space="preserve">Special Circumstances Relating to the </w:t>
      </w:r>
      <w:bookmarkStart w:id="0" w:name="_Hlk129331511"/>
      <w:r w:rsidRPr="00C45431">
        <w:rPr>
          <w:rFonts w:ascii="Arial" w:hAnsi="Arial" w:cs="Arial"/>
          <w:b/>
          <w:sz w:val="24"/>
          <w:u w:val="single"/>
        </w:rPr>
        <w:t>Guidelines of 5 CFR 1320.5</w:t>
      </w:r>
      <w:bookmarkEnd w:id="0"/>
    </w:p>
    <w:p w:rsidR="00FE7283" w:rsidRPr="00C45431" w:rsidP="00FE7283" w14:paraId="34B0E97A" w14:textId="5C0FCEA3">
      <w:pPr>
        <w:widowControl/>
        <w:spacing w:before="120"/>
        <w:rPr>
          <w:rFonts w:ascii="Arial" w:hAnsi="Arial" w:cs="Arial"/>
          <w:b/>
          <w:sz w:val="24"/>
        </w:rPr>
      </w:pPr>
      <w:r w:rsidRPr="00C26A57">
        <w:rPr>
          <w:rFonts w:ascii="Arial" w:hAnsi="Arial" w:cs="Arial"/>
          <w:bCs/>
          <w:sz w:val="24"/>
        </w:rPr>
        <w:t xml:space="preserve">The request </w:t>
      </w:r>
      <w:bookmarkStart w:id="1" w:name="_Hlk129331539"/>
      <w:r w:rsidRPr="00C26A57">
        <w:rPr>
          <w:rFonts w:ascii="Arial" w:hAnsi="Arial" w:cs="Arial"/>
          <w:bCs/>
          <w:sz w:val="24"/>
        </w:rPr>
        <w:t>fully complies with the regulation</w:t>
      </w:r>
      <w:bookmarkEnd w:id="1"/>
      <w:r w:rsidRPr="00C26A57">
        <w:rPr>
          <w:rFonts w:ascii="Arial" w:hAnsi="Arial" w:cs="Arial"/>
          <w:bCs/>
          <w:sz w:val="24"/>
        </w:rPr>
        <w:t>.</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FE7283" w:rsidP="00FE7283" w14:paraId="1F6F67A9" w14:textId="7BF339E7">
      <w:pPr>
        <w:spacing w:before="120"/>
        <w:rPr>
          <w:rFonts w:ascii="Arial" w:hAnsi="Arial" w:cs="Arial"/>
          <w:bCs/>
          <w:sz w:val="24"/>
        </w:rPr>
      </w:pPr>
      <w:r w:rsidRPr="00C26A57">
        <w:rPr>
          <w:rFonts w:ascii="Arial" w:hAnsi="Arial" w:cs="Arial"/>
          <w:bCs/>
          <w:sz w:val="24"/>
        </w:rPr>
        <w:t xml:space="preserve">A 60-day Federal Register Notice published in the </w:t>
      </w:r>
      <w:r w:rsidRPr="00C26A57">
        <w:rPr>
          <w:rFonts w:ascii="Arial" w:hAnsi="Arial" w:cs="Arial"/>
          <w:bCs/>
          <w:i/>
          <w:iCs/>
          <w:sz w:val="24"/>
        </w:rPr>
        <w:t>Federal Register</w:t>
      </w:r>
      <w:r w:rsidRPr="00C26A57">
        <w:rPr>
          <w:rFonts w:ascii="Arial" w:hAnsi="Arial" w:cs="Arial"/>
          <w:bCs/>
          <w:sz w:val="24"/>
        </w:rPr>
        <w:t xml:space="preserve"> on March 2</w:t>
      </w:r>
      <w:r w:rsidRPr="00C26A57" w:rsidR="003030E1">
        <w:rPr>
          <w:rFonts w:ascii="Arial" w:hAnsi="Arial" w:cs="Arial"/>
          <w:bCs/>
          <w:sz w:val="24"/>
        </w:rPr>
        <w:t>,</w:t>
      </w:r>
      <w:r w:rsidRPr="00C26A57">
        <w:rPr>
          <w:rFonts w:ascii="Arial" w:hAnsi="Arial" w:cs="Arial"/>
          <w:bCs/>
          <w:sz w:val="24"/>
        </w:rPr>
        <w:t xml:space="preserve"> 2023, vol. 88, No. 41; pp. 13130-31</w:t>
      </w:r>
      <w:r w:rsidRPr="00C26A57" w:rsidR="005A29F0">
        <w:rPr>
          <w:rFonts w:ascii="Arial" w:hAnsi="Arial" w:cs="Arial"/>
          <w:bCs/>
          <w:sz w:val="24"/>
        </w:rPr>
        <w:t xml:space="preserve">, </w:t>
      </w:r>
      <w:r w:rsidRPr="00C26A57" w:rsidR="00AC0471">
        <w:rPr>
          <w:rFonts w:ascii="Arial" w:hAnsi="Arial" w:cs="Arial"/>
          <w:bCs/>
          <w:sz w:val="24"/>
        </w:rPr>
        <w:t>and</w:t>
      </w:r>
      <w:r w:rsidRPr="00C26A57" w:rsidR="0042797A">
        <w:rPr>
          <w:rFonts w:ascii="Arial" w:hAnsi="Arial" w:cs="Arial"/>
          <w:bCs/>
          <w:sz w:val="24"/>
        </w:rPr>
        <w:t xml:space="preserve"> closed on</w:t>
      </w:r>
      <w:r w:rsidRPr="00C26A57" w:rsidR="005A29F0">
        <w:rPr>
          <w:rFonts w:ascii="Arial" w:hAnsi="Arial" w:cs="Arial"/>
          <w:bCs/>
          <w:sz w:val="24"/>
        </w:rPr>
        <w:t xml:space="preserve"> May 1, 2023</w:t>
      </w:r>
      <w:r w:rsidRPr="00C26A57">
        <w:rPr>
          <w:rFonts w:ascii="Arial" w:hAnsi="Arial" w:cs="Arial"/>
          <w:bCs/>
          <w:sz w:val="24"/>
        </w:rPr>
        <w:t xml:space="preserve">. </w:t>
      </w:r>
      <w:r w:rsidRPr="00C26A57" w:rsidR="005A29F0">
        <w:rPr>
          <w:rFonts w:ascii="Arial" w:hAnsi="Arial" w:cs="Arial"/>
          <w:bCs/>
          <w:sz w:val="24"/>
        </w:rPr>
        <w:t xml:space="preserve"> </w:t>
      </w:r>
      <w:r w:rsidRPr="00C26A57">
        <w:rPr>
          <w:rFonts w:ascii="Arial" w:hAnsi="Arial" w:cs="Arial"/>
          <w:bCs/>
          <w:sz w:val="24"/>
        </w:rPr>
        <w:t>There were no public comments.</w:t>
      </w:r>
    </w:p>
    <w:p w:rsidR="00E36256" w:rsidRPr="00C26A57" w:rsidP="00FE7283" w14:paraId="3D0148A1" w14:textId="4024168C">
      <w:pPr>
        <w:spacing w:before="120"/>
        <w:rPr>
          <w:rFonts w:ascii="Arial" w:hAnsi="Arial" w:cs="Arial"/>
          <w:bCs/>
          <w:sz w:val="24"/>
        </w:rPr>
      </w:pPr>
      <w:r w:rsidRPr="00C26A57">
        <w:rPr>
          <w:rFonts w:ascii="Arial" w:hAnsi="Arial" w:cs="Arial"/>
          <w:bCs/>
          <w:sz w:val="24"/>
        </w:rPr>
        <w:t xml:space="preserve">A 60-day Federal Register Notice published in the </w:t>
      </w:r>
      <w:r w:rsidRPr="00C26A57">
        <w:rPr>
          <w:rFonts w:ascii="Arial" w:hAnsi="Arial" w:cs="Arial"/>
          <w:bCs/>
          <w:i/>
          <w:iCs/>
          <w:sz w:val="24"/>
        </w:rPr>
        <w:t>Federal Register</w:t>
      </w:r>
      <w:r w:rsidRPr="00C26A57">
        <w:rPr>
          <w:rFonts w:ascii="Arial" w:hAnsi="Arial" w:cs="Arial"/>
          <w:bCs/>
          <w:sz w:val="24"/>
        </w:rPr>
        <w:t xml:space="preserve"> </w:t>
      </w:r>
      <w:r>
        <w:rPr>
          <w:rFonts w:ascii="Arial" w:hAnsi="Arial" w:cs="Arial"/>
          <w:bCs/>
          <w:sz w:val="24"/>
        </w:rPr>
        <w:t>on June 14, 2023</w:t>
      </w:r>
      <w:r w:rsidRPr="00C26A57">
        <w:rPr>
          <w:rFonts w:ascii="Arial" w:hAnsi="Arial" w:cs="Arial"/>
          <w:bCs/>
          <w:sz w:val="24"/>
        </w:rPr>
        <w:t xml:space="preserve">, vol. 88, No. </w:t>
      </w:r>
      <w:r>
        <w:rPr>
          <w:rFonts w:ascii="Arial" w:hAnsi="Arial" w:cs="Arial"/>
          <w:bCs/>
          <w:sz w:val="24"/>
        </w:rPr>
        <w:t>114</w:t>
      </w:r>
      <w:r w:rsidRPr="00C26A57">
        <w:rPr>
          <w:rFonts w:ascii="Arial" w:hAnsi="Arial" w:cs="Arial"/>
          <w:bCs/>
          <w:sz w:val="24"/>
        </w:rPr>
        <w:t xml:space="preserve">; pp. </w:t>
      </w:r>
      <w:r w:rsidRPr="00E36256">
        <w:rPr>
          <w:rFonts w:ascii="Arial" w:hAnsi="Arial" w:cs="Arial"/>
          <w:bCs/>
          <w:sz w:val="24"/>
        </w:rPr>
        <w:t>38872</w:t>
      </w:r>
      <w:r w:rsidRPr="00C26A57">
        <w:rPr>
          <w:rFonts w:ascii="Arial" w:hAnsi="Arial" w:cs="Arial"/>
          <w:bCs/>
          <w:sz w:val="24"/>
        </w:rPr>
        <w:t>-</w:t>
      </w:r>
      <w:r>
        <w:rPr>
          <w:rFonts w:ascii="Arial" w:hAnsi="Arial" w:cs="Arial"/>
          <w:bCs/>
          <w:sz w:val="24"/>
        </w:rPr>
        <w:t>73.</w:t>
      </w:r>
    </w:p>
    <w:p w:rsidR="00DE3A45" w:rsidRPr="00C45431" w:rsidP="00CA3DA6" w14:paraId="22E2A321" w14:textId="77777777">
      <w:pPr>
        <w:spacing w:before="120"/>
        <w:rPr>
          <w:rFonts w:ascii="Arial" w:hAnsi="Arial" w:cs="Arial"/>
          <w:b/>
          <w:sz w:val="28"/>
          <w:szCs w:val="28"/>
        </w:rPr>
      </w:pPr>
      <w:r w:rsidRPr="00C45431">
        <w:rPr>
          <w:rFonts w:ascii="Arial" w:hAnsi="Arial" w:cs="Arial"/>
          <w:b/>
          <w:sz w:val="28"/>
          <w:szCs w:val="28"/>
        </w:rPr>
        <w:t>Section 8B:</w:t>
      </w:r>
    </w:p>
    <w:p w:rsidR="00C52523" w:rsidRPr="00071122" w:rsidP="00FE7283" w14:paraId="53B07617" w14:textId="5DB5D617">
      <w:pPr>
        <w:spacing w:before="120"/>
        <w:rPr>
          <w:rFonts w:ascii="Arial" w:hAnsi="Arial" w:cs="Arial"/>
          <w:bCs/>
          <w:sz w:val="24"/>
        </w:rPr>
      </w:pPr>
      <w:r w:rsidRPr="00071122">
        <w:rPr>
          <w:rFonts w:ascii="Arial" w:hAnsi="Arial" w:cs="Arial"/>
          <w:bCs/>
          <w:sz w:val="24"/>
        </w:rPr>
        <w:t xml:space="preserve">This survey was not developed with outside consultation from any agency. </w:t>
      </w:r>
      <w:r w:rsidRPr="00071122" w:rsidR="005A29F0">
        <w:rPr>
          <w:rFonts w:ascii="Arial" w:hAnsi="Arial" w:cs="Arial"/>
          <w:bCs/>
          <w:sz w:val="24"/>
        </w:rPr>
        <w:t xml:space="preserve"> </w:t>
      </w:r>
      <w:r w:rsidRPr="00071122">
        <w:rPr>
          <w:rFonts w:ascii="Arial" w:hAnsi="Arial" w:cs="Arial"/>
          <w:bCs/>
          <w:sz w:val="24"/>
        </w:rPr>
        <w:t xml:space="preserve">It was developed internally by </w:t>
      </w:r>
      <w:r w:rsidRPr="00071122" w:rsidR="00816F46">
        <w:rPr>
          <w:rFonts w:ascii="Arial" w:hAnsi="Arial" w:cs="Arial"/>
          <w:bCs/>
          <w:sz w:val="24"/>
        </w:rPr>
        <w:t>NMDP Health Services Research</w:t>
      </w:r>
      <w:r w:rsidRPr="00071122">
        <w:rPr>
          <w:rFonts w:ascii="Arial" w:hAnsi="Arial" w:cs="Arial"/>
          <w:bCs/>
          <w:sz w:val="24"/>
        </w:rPr>
        <w:t xml:space="preserve"> staff and P</w:t>
      </w:r>
      <w:r w:rsidRPr="00071122" w:rsidR="00816F46">
        <w:rPr>
          <w:rFonts w:ascii="Arial" w:hAnsi="Arial" w:cs="Arial"/>
          <w:bCs/>
          <w:sz w:val="24"/>
        </w:rPr>
        <w:t xml:space="preserve">atient </w:t>
      </w:r>
      <w:r w:rsidRPr="00071122">
        <w:rPr>
          <w:rFonts w:ascii="Arial" w:hAnsi="Arial" w:cs="Arial"/>
          <w:bCs/>
          <w:sz w:val="24"/>
        </w:rPr>
        <w:t>S</w:t>
      </w:r>
      <w:r w:rsidRPr="00071122" w:rsidR="00816F46">
        <w:rPr>
          <w:rFonts w:ascii="Arial" w:hAnsi="Arial" w:cs="Arial"/>
          <w:bCs/>
          <w:sz w:val="24"/>
        </w:rPr>
        <w:t xml:space="preserve">upport </w:t>
      </w:r>
      <w:r w:rsidRPr="00071122">
        <w:rPr>
          <w:rFonts w:ascii="Arial" w:hAnsi="Arial" w:cs="Arial"/>
          <w:bCs/>
          <w:sz w:val="24"/>
        </w:rPr>
        <w:t>C</w:t>
      </w:r>
      <w:r w:rsidRPr="00071122" w:rsidR="00816F46">
        <w:rPr>
          <w:rFonts w:ascii="Arial" w:hAnsi="Arial" w:cs="Arial"/>
          <w:bCs/>
          <w:sz w:val="24"/>
        </w:rPr>
        <w:t>enter</w:t>
      </w:r>
      <w:r w:rsidRPr="00071122">
        <w:rPr>
          <w:rFonts w:ascii="Arial" w:hAnsi="Arial" w:cs="Arial"/>
          <w:bCs/>
          <w:sz w:val="24"/>
        </w:rPr>
        <w:t xml:space="preserve"> managers.</w:t>
      </w:r>
    </w:p>
    <w:p w:rsidR="00120F41" w:rsidRPr="00FE7283" w:rsidP="00FE7283" w14:paraId="10B1C56B" w14:textId="65773BD9">
      <w:pPr>
        <w:spacing w:before="120"/>
        <w:rPr>
          <w:rFonts w:ascii="Arial" w:hAnsi="Arial" w:cs="Arial"/>
          <w:bCs/>
          <w:color w:val="FF0000"/>
          <w:sz w:val="24"/>
        </w:rPr>
      </w:pPr>
      <w:r>
        <w:rPr>
          <w:rFonts w:ascii="Arial" w:hAnsi="Arial" w:cs="Arial"/>
          <w:bCs/>
          <w:sz w:val="24"/>
        </w:rPr>
        <w:t>Opportunities</w:t>
      </w:r>
      <w:r w:rsidRPr="00071122">
        <w:rPr>
          <w:rFonts w:ascii="Arial" w:hAnsi="Arial" w:cs="Arial"/>
          <w:bCs/>
          <w:sz w:val="24"/>
        </w:rPr>
        <w:t xml:space="preserve"> for public comment </w:t>
      </w:r>
      <w:r w:rsidRPr="00071122" w:rsidR="00A71A0E">
        <w:rPr>
          <w:rFonts w:ascii="Arial" w:hAnsi="Arial" w:cs="Arial"/>
          <w:bCs/>
          <w:sz w:val="24"/>
        </w:rPr>
        <w:t>have been</w:t>
      </w:r>
      <w:r w:rsidRPr="00071122">
        <w:rPr>
          <w:rFonts w:ascii="Arial" w:hAnsi="Arial" w:cs="Arial"/>
          <w:bCs/>
          <w:sz w:val="24"/>
        </w:rPr>
        <w:t xml:space="preserve"> posted in the Federal Register every three years</w:t>
      </w:r>
      <w:r w:rsidRPr="00071122" w:rsidR="00A71A0E">
        <w:rPr>
          <w:rFonts w:ascii="Arial" w:hAnsi="Arial" w:cs="Arial"/>
          <w:bCs/>
          <w:sz w:val="24"/>
        </w:rPr>
        <w:t xml:space="preserve"> (most recently in 2017 and 2020)</w:t>
      </w:r>
      <w:r w:rsidRPr="00071122">
        <w:rPr>
          <w:rFonts w:ascii="Arial" w:hAnsi="Arial" w:cs="Arial"/>
          <w:bCs/>
          <w:sz w:val="24"/>
        </w:rPr>
        <w:t xml:space="preserve">. </w:t>
      </w:r>
      <w:r w:rsidRPr="00071122" w:rsidR="005A29F0">
        <w:rPr>
          <w:rFonts w:ascii="Arial" w:hAnsi="Arial" w:cs="Arial"/>
          <w:bCs/>
          <w:sz w:val="24"/>
        </w:rPr>
        <w:t xml:space="preserve"> </w:t>
      </w:r>
      <w:r w:rsidRPr="00071122">
        <w:rPr>
          <w:rFonts w:ascii="Arial" w:hAnsi="Arial" w:cs="Arial"/>
          <w:bCs/>
          <w:sz w:val="24"/>
        </w:rPr>
        <w:t xml:space="preserve">There have </w:t>
      </w:r>
      <w:r w:rsidRPr="00071122" w:rsidR="00A71A0E">
        <w:rPr>
          <w:rFonts w:ascii="Arial" w:hAnsi="Arial" w:cs="Arial"/>
          <w:bCs/>
          <w:sz w:val="24"/>
        </w:rPr>
        <w:t>been no public comments received</w:t>
      </w:r>
      <w:r w:rsidRPr="00071122" w:rsidR="003030E1">
        <w:rPr>
          <w:rFonts w:ascii="Arial" w:hAnsi="Arial" w:cs="Arial"/>
          <w:bCs/>
          <w:sz w:val="24"/>
        </w:rPr>
        <w:t xml:space="preserve"> in previous years</w:t>
      </w:r>
      <w:r w:rsidRPr="00071122" w:rsidR="00A71A0E">
        <w:rPr>
          <w:rFonts w:ascii="Arial" w:hAnsi="Arial" w:cs="Arial"/>
          <w:bCs/>
          <w:sz w:val="24"/>
        </w:rPr>
        <w:t xml:space="preserve">. </w:t>
      </w:r>
      <w:r w:rsidRPr="00120F41">
        <w:rPr>
          <w:rFonts w:ascii="Arial" w:hAnsi="Arial" w:cs="Arial"/>
          <w:bCs/>
          <w:color w:val="FF0000"/>
          <w:sz w:val="24"/>
        </w:rPr>
        <w:t xml:space="preserve">   </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FE7283" w:rsidRPr="00C45431" w:rsidP="00FE7283" w14:paraId="696C7B52" w14:textId="2A3FDE9B">
      <w:pPr>
        <w:spacing w:before="120"/>
        <w:rPr>
          <w:rFonts w:ascii="Arial" w:hAnsi="Arial" w:cs="Arial"/>
          <w:b/>
          <w:sz w:val="24"/>
        </w:rPr>
      </w:pPr>
      <w:r w:rsidRPr="00AA6784">
        <w:rPr>
          <w:rFonts w:ascii="Arial" w:hAnsi="Arial" w:cs="Arial"/>
          <w:bCs/>
          <w:sz w:val="24"/>
        </w:rPr>
        <w:t xml:space="preserve">Respondents will not receive any payments or gifts. </w:t>
      </w:r>
    </w:p>
    <w:p w:rsidR="009B3794" w:rsidRPr="00C45431"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9A1C7E" w:rsidRPr="00C938E3" w:rsidP="009A1C7E" w14:paraId="588A5CE7" w14:textId="6F4BB3ED">
      <w:pPr>
        <w:widowControl/>
        <w:spacing w:before="120"/>
        <w:rPr>
          <w:rFonts w:ascii="Arial" w:hAnsi="Arial" w:cs="Arial"/>
          <w:sz w:val="24"/>
        </w:rPr>
      </w:pPr>
      <w:r w:rsidRPr="00C938E3">
        <w:rPr>
          <w:rFonts w:ascii="Arial" w:hAnsi="Arial" w:cs="Arial"/>
          <w:sz w:val="24"/>
        </w:rPr>
        <w:t xml:space="preserve">This collection of information will involve names and email addresses </w:t>
      </w:r>
      <w:r w:rsidR="001A764C">
        <w:rPr>
          <w:rFonts w:ascii="Arial" w:hAnsi="Arial" w:cs="Arial"/>
          <w:sz w:val="24"/>
        </w:rPr>
        <w:t>to administer</w:t>
      </w:r>
      <w:r w:rsidRPr="00C938E3">
        <w:rPr>
          <w:rFonts w:ascii="Arial" w:hAnsi="Arial" w:cs="Arial"/>
          <w:sz w:val="24"/>
        </w:rPr>
        <w:t xml:space="preserve"> the survey only and will fully comply with the Privacy Act. </w:t>
      </w:r>
      <w:r w:rsidRPr="00C938E3" w:rsidR="005A29F0">
        <w:rPr>
          <w:rFonts w:ascii="Arial" w:hAnsi="Arial" w:cs="Arial"/>
          <w:sz w:val="24"/>
        </w:rPr>
        <w:t xml:space="preserve"> </w:t>
      </w:r>
      <w:r w:rsidRPr="00C938E3">
        <w:rPr>
          <w:rFonts w:ascii="Arial" w:hAnsi="Arial" w:cs="Arial"/>
          <w:sz w:val="24"/>
        </w:rPr>
        <w:t>Separate databases are used for participant names and addresses and survey responses. Demographic information will be available in both database</w:t>
      </w:r>
      <w:r w:rsidR="001A764C">
        <w:rPr>
          <w:rFonts w:ascii="Arial" w:hAnsi="Arial" w:cs="Arial"/>
          <w:sz w:val="24"/>
        </w:rPr>
        <w:t>s</w:t>
      </w:r>
      <w:r w:rsidRPr="00C938E3">
        <w:rPr>
          <w:rFonts w:ascii="Arial" w:hAnsi="Arial" w:cs="Arial"/>
          <w:sz w:val="24"/>
        </w:rPr>
        <w:t xml:space="preserve"> but not used to link survey responses. </w:t>
      </w:r>
      <w:r w:rsidRPr="00C938E3" w:rsidR="005A29F0">
        <w:rPr>
          <w:rFonts w:ascii="Arial" w:hAnsi="Arial" w:cs="Arial"/>
          <w:sz w:val="24"/>
        </w:rPr>
        <w:t xml:space="preserve"> </w:t>
      </w:r>
      <w:r w:rsidRPr="00C938E3">
        <w:rPr>
          <w:rFonts w:ascii="Arial" w:hAnsi="Arial" w:cs="Arial"/>
          <w:sz w:val="24"/>
        </w:rPr>
        <w:t xml:space="preserve">A unique identifier is assigned to each participant for survey response tracking only. </w:t>
      </w:r>
      <w:r w:rsidRPr="00C938E3" w:rsidR="005A29F0">
        <w:rPr>
          <w:rFonts w:ascii="Arial" w:hAnsi="Arial" w:cs="Arial"/>
          <w:sz w:val="24"/>
        </w:rPr>
        <w:t xml:space="preserve"> </w:t>
      </w:r>
      <w:r w:rsidRPr="00C938E3" w:rsidR="00605A5B">
        <w:rPr>
          <w:rFonts w:ascii="Arial" w:hAnsi="Arial" w:cs="Arial"/>
          <w:sz w:val="24"/>
        </w:rPr>
        <w:t xml:space="preserve">Participation </w:t>
      </w:r>
      <w:r w:rsidRPr="00C938E3" w:rsidR="00605A5B">
        <w:rPr>
          <w:rFonts w:ascii="Arial" w:hAnsi="Arial" w:cs="Arial"/>
          <w:sz w:val="24"/>
        </w:rPr>
        <w:t xml:space="preserve">is fully </w:t>
      </w:r>
      <w:r w:rsidRPr="00C938E3">
        <w:rPr>
          <w:rFonts w:ascii="Arial" w:hAnsi="Arial" w:cs="Arial"/>
          <w:sz w:val="24"/>
        </w:rPr>
        <w:t>voluntary,</w:t>
      </w:r>
      <w:r w:rsidRPr="00C938E3" w:rsidR="00605A5B">
        <w:rPr>
          <w:rFonts w:ascii="Arial" w:hAnsi="Arial" w:cs="Arial"/>
          <w:sz w:val="24"/>
        </w:rPr>
        <w:t xml:space="preserve"> and responses are kept confidential to the extent allowed by law. Survey responses are not linked to personally identifying information, such as name and email address. </w:t>
      </w:r>
      <w:r w:rsidRPr="00C938E3" w:rsidR="005A29F0">
        <w:rPr>
          <w:rFonts w:ascii="Arial" w:hAnsi="Arial" w:cs="Arial"/>
          <w:sz w:val="24"/>
        </w:rPr>
        <w:t xml:space="preserve"> </w:t>
      </w:r>
      <w:r w:rsidRPr="00C938E3" w:rsidR="00605A5B">
        <w:rPr>
          <w:rFonts w:ascii="Arial" w:hAnsi="Arial" w:cs="Arial"/>
          <w:sz w:val="24"/>
        </w:rPr>
        <w:t xml:space="preserve">Participants will be assured that their decision whether or not to participate or their responses will not have any effect on their medical care. </w:t>
      </w:r>
      <w:r w:rsidRPr="00C938E3" w:rsidR="005A29F0">
        <w:rPr>
          <w:rFonts w:ascii="Arial" w:hAnsi="Arial" w:cs="Arial"/>
          <w:sz w:val="24"/>
        </w:rPr>
        <w:t xml:space="preserve"> </w:t>
      </w:r>
      <w:r w:rsidRPr="00C938E3" w:rsidR="00605A5B">
        <w:rPr>
          <w:rFonts w:ascii="Arial" w:hAnsi="Arial" w:cs="Arial"/>
          <w:sz w:val="24"/>
        </w:rPr>
        <w:t>Completed surveys are stored electronically on a secure server at NMDP</w:t>
      </w:r>
      <w:r w:rsidRPr="00C938E3">
        <w:rPr>
          <w:rFonts w:ascii="Arial" w:hAnsi="Arial" w:cs="Arial"/>
          <w:sz w:val="24"/>
        </w:rPr>
        <w:t xml:space="preserve"> </w:t>
      </w:r>
      <w:r w:rsidRPr="00C938E3" w:rsidR="00605A5B">
        <w:rPr>
          <w:rFonts w:ascii="Arial" w:hAnsi="Arial" w:cs="Arial"/>
          <w:sz w:val="24"/>
        </w:rPr>
        <w:t>for up to</w:t>
      </w:r>
      <w:r w:rsidRPr="00C938E3">
        <w:rPr>
          <w:rFonts w:ascii="Arial" w:hAnsi="Arial" w:cs="Arial"/>
          <w:sz w:val="24"/>
        </w:rPr>
        <w:t xml:space="preserve"> 3</w:t>
      </w:r>
      <w:r w:rsidRPr="00C938E3" w:rsidR="00605A5B">
        <w:rPr>
          <w:rFonts w:ascii="Arial" w:hAnsi="Arial" w:cs="Arial"/>
          <w:sz w:val="24"/>
        </w:rPr>
        <w:t xml:space="preserve"> years for trend analyses and are then destroyed.</w:t>
      </w:r>
    </w:p>
    <w:p w:rsidR="009A1C7E" w:rsidRPr="00C938E3" w:rsidP="009A1C7E" w14:paraId="3459125F" w14:textId="46428036">
      <w:pPr>
        <w:widowControl/>
        <w:spacing w:before="120"/>
        <w:rPr>
          <w:rFonts w:ascii="Arial" w:hAnsi="Arial" w:cs="Arial"/>
          <w:sz w:val="24"/>
        </w:rPr>
      </w:pPr>
      <w:r w:rsidRPr="00C938E3">
        <w:rPr>
          <w:rFonts w:ascii="Arial" w:hAnsi="Arial" w:cs="Arial"/>
          <w:sz w:val="24"/>
        </w:rPr>
        <w:t xml:space="preserve">The Patient Satisfaction Survey does not meet the regulatory definition of research, because the intent is to improve/evaluate an internal program. Therefore, there is no IRB determination or records for this survey. This is based on this definition of research from OHRP: §46.102 </w:t>
      </w:r>
      <w:r w:rsidRPr="00C938E3" w:rsidR="00CD75A4">
        <w:rPr>
          <w:rFonts w:ascii="Arial" w:hAnsi="Arial" w:cs="Arial"/>
          <w:sz w:val="24"/>
        </w:rPr>
        <w:t>“</w:t>
      </w:r>
      <w:r w:rsidRPr="00C938E3">
        <w:rPr>
          <w:rFonts w:ascii="Arial" w:hAnsi="Arial" w:cs="Arial"/>
          <w:b/>
          <w:bCs/>
          <w:sz w:val="24"/>
        </w:rPr>
        <w:t>Definitions for purposes of this policy.</w:t>
      </w:r>
      <w:r w:rsidRPr="00C938E3">
        <w:rPr>
          <w:rFonts w:ascii="Arial" w:hAnsi="Arial" w:cs="Arial"/>
          <w:sz w:val="24"/>
        </w:rPr>
        <w:t xml:space="preserve"> (l) Research means a systematic investigation, including research development, testing, and evaluation, designed to develop or contribute to generalizable knowledge. Activities that meet this definition constitute research for purposes of this policy, whether or not they are conducted or supported under a program that is considered research for other purposes. For example, some demonstration and service programs may include research activities. </w:t>
      </w:r>
      <w:hyperlink r:id="rId8" w:anchor="46.102" w:history="1">
        <w:r w:rsidRPr="00C938E3" w:rsidR="00CD75A4">
          <w:rPr>
            <w:rStyle w:val="Hyperlink"/>
            <w:rFonts w:ascii="Arial" w:hAnsi="Arial" w:cs="Arial"/>
            <w:color w:val="auto"/>
            <w:sz w:val="24"/>
          </w:rPr>
          <w:t>https://www.hhs.gov/ohrp/regulations-and-policy/regulations/45-cfr-46/revised-common-rule-regulatory-text/index.html#46.102</w:t>
        </w:r>
      </w:hyperlink>
      <w:r w:rsidRPr="00C938E3" w:rsidR="00707FFB">
        <w:rPr>
          <w:rFonts w:ascii="Arial" w:hAnsi="Arial" w:cs="Arial"/>
          <w:sz w:val="24"/>
        </w:rPr>
        <w:t>.</w:t>
      </w:r>
      <w:r w:rsidRPr="00C938E3" w:rsidR="00CD75A4">
        <w:rPr>
          <w:rFonts w:ascii="Arial" w:hAnsi="Arial" w:cs="Arial"/>
          <w:sz w:val="24"/>
        </w:rPr>
        <w:t xml:space="preserve">” </w:t>
      </w:r>
    </w:p>
    <w:p w:rsidR="009A1C7E" w:rsidRPr="00A71A0E" w:rsidP="00605A5B" w14:paraId="33F3F6DF" w14:textId="003D6DDD">
      <w:pPr>
        <w:widowControl/>
        <w:spacing w:before="120"/>
        <w:rPr>
          <w:rFonts w:ascii="Arial" w:hAnsi="Arial" w:cs="Arial"/>
          <w:color w:val="4F81BD" w:themeColor="accent1"/>
          <w:sz w:val="24"/>
        </w:rPr>
      </w:pPr>
      <w:r w:rsidRPr="00C938E3">
        <w:rPr>
          <w:rFonts w:ascii="Arial" w:hAnsi="Arial" w:cs="Arial"/>
          <w:sz w:val="24"/>
        </w:rPr>
        <w:t xml:space="preserve">There is no official waiver letter to provide as the NMDP IRB does not issue official determination letters for activities they do not have jurisdiction over (in this case, non-research activities). However, this response was reviewed by NMDP IRB staff and the regulatory language was provided by them both at the time of the OMB submission as well as confirmed in response to this question. Additionally, NMDP’s IRB Administrator and Organizational Official for the IRB </w:t>
      </w:r>
      <w:r w:rsidRPr="00C938E3" w:rsidR="00CD021B">
        <w:rPr>
          <w:rFonts w:ascii="Arial" w:hAnsi="Arial" w:cs="Arial"/>
          <w:sz w:val="24"/>
        </w:rPr>
        <w:t>has determined</w:t>
      </w:r>
      <w:r w:rsidRPr="00C938E3">
        <w:rPr>
          <w:rFonts w:ascii="Arial" w:hAnsi="Arial" w:cs="Arial"/>
          <w:sz w:val="24"/>
        </w:rPr>
        <w:t xml:space="preserve"> this survey does not require IRB oversight based on the regulatory definition of research.  </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8201B1" w:rsidRPr="00605A5B" w:rsidP="00605A5B" w14:paraId="08CCFFC2" w14:textId="24ED27FD">
      <w:pPr>
        <w:widowControl/>
        <w:spacing w:before="120"/>
        <w:rPr>
          <w:rFonts w:ascii="Arial" w:hAnsi="Arial" w:cs="Arial"/>
          <w:color w:val="FF0000"/>
          <w:sz w:val="24"/>
        </w:rPr>
      </w:pPr>
      <w:r w:rsidRPr="007E2BA1">
        <w:rPr>
          <w:rFonts w:ascii="Arial" w:hAnsi="Arial" w:cs="Arial"/>
          <w:sz w:val="24"/>
        </w:rPr>
        <w:t xml:space="preserve">The survey does not include sensitive questions </w:t>
      </w:r>
      <w:r w:rsidRPr="007E2BA1" w:rsidR="00C245DB">
        <w:rPr>
          <w:rFonts w:ascii="Arial" w:hAnsi="Arial" w:cs="Arial"/>
          <w:sz w:val="24"/>
        </w:rPr>
        <w:t>related to</w:t>
      </w:r>
      <w:r w:rsidRPr="007E2BA1">
        <w:rPr>
          <w:rFonts w:ascii="Arial" w:hAnsi="Arial" w:cs="Arial"/>
          <w:sz w:val="24"/>
        </w:rPr>
        <w:t xml:space="preserve"> sexual </w:t>
      </w:r>
      <w:r w:rsidRPr="007E2BA1" w:rsidR="0092115B">
        <w:rPr>
          <w:rFonts w:ascii="Arial" w:hAnsi="Arial" w:cs="Arial"/>
          <w:sz w:val="24"/>
        </w:rPr>
        <w:t>behavior and attitudes</w:t>
      </w:r>
      <w:r w:rsidRPr="007E2BA1">
        <w:rPr>
          <w:rFonts w:ascii="Arial" w:hAnsi="Arial" w:cs="Arial"/>
          <w:sz w:val="24"/>
        </w:rPr>
        <w:t>, alcohol or drug use, religious preferences,</w:t>
      </w:r>
      <w:r w:rsidRPr="007E2BA1" w:rsidR="0092115B">
        <w:rPr>
          <w:rFonts w:ascii="Arial" w:hAnsi="Arial" w:cs="Arial"/>
          <w:sz w:val="24"/>
        </w:rPr>
        <w:t xml:space="preserve"> or other matters that are considered private. </w:t>
      </w:r>
      <w:r w:rsidRPr="007E2BA1" w:rsidR="005A29F0">
        <w:rPr>
          <w:rFonts w:ascii="Arial" w:hAnsi="Arial" w:cs="Arial"/>
          <w:sz w:val="24"/>
        </w:rPr>
        <w:t xml:space="preserve"> </w:t>
      </w:r>
      <w:r w:rsidRPr="007E2BA1" w:rsidR="00351130">
        <w:rPr>
          <w:rFonts w:ascii="Arial" w:hAnsi="Arial" w:cs="Arial"/>
          <w:sz w:val="24"/>
        </w:rPr>
        <w:t>The survey</w:t>
      </w:r>
      <w:r w:rsidRPr="007E2BA1">
        <w:rPr>
          <w:rFonts w:ascii="Arial" w:hAnsi="Arial" w:cs="Arial"/>
          <w:sz w:val="24"/>
        </w:rPr>
        <w:t xml:space="preserve"> does </w:t>
      </w:r>
      <w:r w:rsidRPr="007E2BA1" w:rsidR="0092115B">
        <w:rPr>
          <w:rFonts w:ascii="Arial" w:hAnsi="Arial" w:cs="Arial"/>
          <w:sz w:val="24"/>
        </w:rPr>
        <w:t>not</w:t>
      </w:r>
      <w:r w:rsidRPr="007E2BA1">
        <w:rPr>
          <w:rFonts w:ascii="Arial" w:hAnsi="Arial" w:cs="Arial"/>
          <w:sz w:val="24"/>
        </w:rPr>
        <w:t xml:space="preserve"> request </w:t>
      </w:r>
      <w:r w:rsidRPr="007E2BA1" w:rsidR="0092115B">
        <w:rPr>
          <w:rFonts w:ascii="Arial" w:hAnsi="Arial" w:cs="Arial"/>
          <w:sz w:val="24"/>
        </w:rPr>
        <w:t xml:space="preserve">the </w:t>
      </w:r>
      <w:r w:rsidRPr="007E2BA1">
        <w:rPr>
          <w:rFonts w:ascii="Arial" w:hAnsi="Arial" w:cs="Arial"/>
          <w:sz w:val="24"/>
        </w:rPr>
        <w:t>respondent</w:t>
      </w:r>
      <w:r w:rsidRPr="007E2BA1" w:rsidR="0092115B">
        <w:rPr>
          <w:rFonts w:ascii="Arial" w:hAnsi="Arial" w:cs="Arial"/>
          <w:sz w:val="24"/>
        </w:rPr>
        <w:t>’</w:t>
      </w:r>
      <w:r w:rsidRPr="007E2BA1">
        <w:rPr>
          <w:rFonts w:ascii="Arial" w:hAnsi="Arial" w:cs="Arial"/>
          <w:sz w:val="24"/>
        </w:rPr>
        <w:t>s social security number (SSN).</w:t>
      </w:r>
      <w:r w:rsidRPr="007E2BA1" w:rsidR="005A29F0">
        <w:rPr>
          <w:rFonts w:ascii="Arial" w:hAnsi="Arial" w:cs="Arial"/>
          <w:sz w:val="24"/>
        </w:rPr>
        <w:t xml:space="preserve"> </w:t>
      </w:r>
      <w:r w:rsidRPr="007E2BA1">
        <w:rPr>
          <w:rFonts w:ascii="Arial" w:hAnsi="Arial" w:cs="Arial"/>
          <w:sz w:val="24"/>
        </w:rPr>
        <w:t xml:space="preserve"> </w:t>
      </w:r>
      <w:r w:rsidRPr="007E2BA1" w:rsidR="0092115B">
        <w:rPr>
          <w:rFonts w:ascii="Arial" w:hAnsi="Arial" w:cs="Arial"/>
          <w:sz w:val="24"/>
        </w:rPr>
        <w:t>The survey does ask for demographic information including</w:t>
      </w:r>
      <w:r w:rsidRPr="007E2BA1">
        <w:rPr>
          <w:rFonts w:ascii="Arial" w:hAnsi="Arial" w:cs="Arial"/>
          <w:sz w:val="24"/>
        </w:rPr>
        <w:t xml:space="preserve"> race</w:t>
      </w:r>
      <w:r w:rsidRPr="007E2BA1" w:rsidR="0092115B">
        <w:rPr>
          <w:rFonts w:ascii="Arial" w:hAnsi="Arial" w:cs="Arial"/>
          <w:sz w:val="24"/>
        </w:rPr>
        <w:t>,</w:t>
      </w:r>
      <w:r w:rsidRPr="007E2BA1">
        <w:rPr>
          <w:rFonts w:ascii="Arial" w:hAnsi="Arial" w:cs="Arial"/>
          <w:sz w:val="24"/>
        </w:rPr>
        <w:t xml:space="preserve"> ethnicity, gender, age</w:t>
      </w:r>
      <w:r w:rsidRPr="007E2BA1" w:rsidR="0092115B">
        <w:rPr>
          <w:rFonts w:ascii="Arial" w:hAnsi="Arial" w:cs="Arial"/>
          <w:sz w:val="24"/>
        </w:rPr>
        <w:t xml:space="preserve"> group, and education level</w:t>
      </w:r>
      <w:r w:rsidRPr="007E2BA1">
        <w:rPr>
          <w:rFonts w:ascii="Arial" w:hAnsi="Arial" w:cs="Arial"/>
          <w:sz w:val="24"/>
        </w:rPr>
        <w:t xml:space="preserve">. </w:t>
      </w:r>
      <w:r w:rsidRPr="007E2BA1" w:rsidR="005A29F0">
        <w:rPr>
          <w:rFonts w:ascii="Arial" w:hAnsi="Arial" w:cs="Arial"/>
          <w:sz w:val="24"/>
        </w:rPr>
        <w:t xml:space="preserve"> </w:t>
      </w:r>
      <w:r w:rsidRPr="007E2BA1">
        <w:rPr>
          <w:rFonts w:ascii="Arial" w:hAnsi="Arial" w:cs="Arial"/>
          <w:sz w:val="24"/>
        </w:rPr>
        <w:t>The</w:t>
      </w:r>
      <w:r w:rsidRPr="007E2BA1" w:rsidR="0092115B">
        <w:rPr>
          <w:rFonts w:ascii="Arial" w:hAnsi="Arial" w:cs="Arial"/>
          <w:sz w:val="24"/>
        </w:rPr>
        <w:t>se</w:t>
      </w:r>
      <w:r w:rsidRPr="007E2BA1">
        <w:rPr>
          <w:rFonts w:ascii="Arial" w:hAnsi="Arial" w:cs="Arial"/>
          <w:sz w:val="24"/>
        </w:rPr>
        <w:t xml:space="preserve"> data </w:t>
      </w:r>
      <w:r w:rsidRPr="007E2BA1" w:rsidR="0092115B">
        <w:rPr>
          <w:rFonts w:ascii="Arial" w:hAnsi="Arial" w:cs="Arial"/>
          <w:sz w:val="24"/>
        </w:rPr>
        <w:t>are</w:t>
      </w:r>
      <w:r w:rsidRPr="007E2BA1">
        <w:rPr>
          <w:rFonts w:ascii="Arial" w:hAnsi="Arial" w:cs="Arial"/>
          <w:sz w:val="24"/>
        </w:rPr>
        <w:t xml:space="preserve"> important for characterizing </w:t>
      </w:r>
      <w:r w:rsidRPr="007E2BA1" w:rsidR="0092115B">
        <w:rPr>
          <w:rFonts w:ascii="Arial" w:hAnsi="Arial" w:cs="Arial"/>
          <w:sz w:val="24"/>
        </w:rPr>
        <w:t xml:space="preserve">responses </w:t>
      </w:r>
      <w:r w:rsidRPr="007E2BA1">
        <w:rPr>
          <w:rFonts w:ascii="Arial" w:hAnsi="Arial" w:cs="Arial"/>
          <w:sz w:val="24"/>
        </w:rPr>
        <w:t>to understand if support needs vary by segment. Demographic questions are optional and</w:t>
      </w:r>
      <w:r w:rsidRPr="007E2BA1" w:rsidR="0092115B">
        <w:rPr>
          <w:rFonts w:ascii="Arial" w:hAnsi="Arial" w:cs="Arial"/>
          <w:sz w:val="24"/>
        </w:rPr>
        <w:t xml:space="preserve"> </w:t>
      </w:r>
      <w:r w:rsidRPr="007E2BA1">
        <w:rPr>
          <w:rFonts w:ascii="Arial" w:hAnsi="Arial" w:cs="Arial"/>
          <w:sz w:val="24"/>
        </w:rPr>
        <w:t>include a “Prefer not to answer” response option.</w:t>
      </w:r>
      <w:r w:rsidRPr="007E2BA1" w:rsidR="0092115B">
        <w:rPr>
          <w:rFonts w:ascii="Arial" w:hAnsi="Arial" w:cs="Arial"/>
          <w:sz w:val="24"/>
        </w:rPr>
        <w:t xml:space="preserve"> </w:t>
      </w:r>
      <w:r w:rsidRPr="007E2BA1" w:rsidR="005A29F0">
        <w:rPr>
          <w:rFonts w:ascii="Arial" w:hAnsi="Arial" w:cs="Arial"/>
          <w:sz w:val="24"/>
        </w:rPr>
        <w:t xml:space="preserve"> </w:t>
      </w:r>
      <w:r w:rsidRPr="007E2BA1" w:rsidR="0092115B">
        <w:rPr>
          <w:rFonts w:ascii="Arial" w:hAnsi="Arial" w:cs="Arial"/>
          <w:sz w:val="24"/>
        </w:rPr>
        <w:t>Respondents are informed that answers</w:t>
      </w:r>
      <w:r w:rsidRPr="007E2BA1" w:rsidR="00A71A0E">
        <w:rPr>
          <w:rFonts w:ascii="Arial" w:hAnsi="Arial" w:cs="Arial"/>
          <w:sz w:val="24"/>
        </w:rPr>
        <w:t xml:space="preserve"> to these questions</w:t>
      </w:r>
      <w:r w:rsidRPr="007E2BA1" w:rsidR="0092115B">
        <w:rPr>
          <w:rFonts w:ascii="Arial" w:hAnsi="Arial" w:cs="Arial"/>
          <w:sz w:val="24"/>
        </w:rPr>
        <w:t xml:space="preserve"> are confidential.</w:t>
      </w:r>
    </w:p>
    <w:p w:rsidR="009B3794" w:rsidRPr="00C45431" w:rsidP="00CA3DA6" w14:paraId="22E2A33C"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605A5B" w:rsidP="00605A5B" w14:paraId="25706B09" w14:textId="31234C31">
      <w:pPr>
        <w:widowControl/>
        <w:spacing w:before="120"/>
        <w:rPr>
          <w:rFonts w:ascii="Arial" w:hAnsi="Arial" w:cs="Arial"/>
          <w:sz w:val="24"/>
        </w:rPr>
      </w:pPr>
      <w:r w:rsidRPr="007E2BA1">
        <w:rPr>
          <w:rFonts w:ascii="Arial" w:hAnsi="Arial" w:cs="Arial"/>
          <w:sz w:val="24"/>
        </w:rPr>
        <w:t xml:space="preserve">Respondents will include all patients, caregivers, and family members who have contact with the Patient Support Center via phone or email for </w:t>
      </w:r>
      <w:r w:rsidRPr="007E2BA1" w:rsidR="00A71A0E">
        <w:rPr>
          <w:rFonts w:ascii="Arial" w:hAnsi="Arial" w:cs="Arial"/>
          <w:sz w:val="24"/>
        </w:rPr>
        <w:t>bone marrow or cord blood transplant</w:t>
      </w:r>
      <w:r w:rsidRPr="007E2BA1">
        <w:rPr>
          <w:rFonts w:ascii="Arial" w:hAnsi="Arial" w:cs="Arial"/>
          <w:sz w:val="24"/>
        </w:rPr>
        <w:t xml:space="preserve"> navigation services and support. </w:t>
      </w:r>
    </w:p>
    <w:p w:rsidR="00CD5FBB" w:rsidP="00605A5B" w14:paraId="322EB18B" w14:textId="445DEEBF">
      <w:pPr>
        <w:widowControl/>
        <w:spacing w:before="120"/>
        <w:rPr>
          <w:rFonts w:ascii="Arial" w:hAnsi="Arial" w:cs="Arial"/>
          <w:sz w:val="24"/>
        </w:rPr>
      </w:pPr>
    </w:p>
    <w:p w:rsidR="00CD5FBB" w:rsidP="00605A5B" w14:paraId="629CF9A4" w14:textId="3B21E3C4">
      <w:pPr>
        <w:widowControl/>
        <w:spacing w:before="120"/>
        <w:rPr>
          <w:rFonts w:ascii="Arial" w:hAnsi="Arial" w:cs="Arial"/>
          <w:sz w:val="24"/>
        </w:rPr>
      </w:pPr>
    </w:p>
    <w:p w:rsidR="00CD5FBB" w:rsidRPr="007E2BA1" w:rsidP="00605A5B" w14:paraId="1E2BB238" w14:textId="77777777">
      <w:pPr>
        <w:widowControl/>
        <w:spacing w:before="120"/>
        <w:rPr>
          <w:rFonts w:ascii="Arial" w:hAnsi="Arial" w:cs="Arial"/>
          <w:sz w:val="24"/>
        </w:rPr>
      </w:pPr>
    </w:p>
    <w:p w:rsidR="00605A5B" w:rsidRPr="00C45431" w:rsidP="00605A5B" w14:paraId="7F081F70" w14:textId="77777777">
      <w:pPr>
        <w:widowControl/>
        <w:spacing w:before="120"/>
        <w:rPr>
          <w:rFonts w:ascii="Arial" w:hAnsi="Arial" w:cs="Arial"/>
          <w:sz w:val="24"/>
        </w:rPr>
      </w:pPr>
    </w:p>
    <w:p w:rsidR="009B3794" w:rsidRPr="00C45431" w:rsidP="00CA3DA6" w14:paraId="22E2A33F" w14:textId="77777777">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874"/>
        <w:gridCol w:w="1737"/>
        <w:gridCol w:w="1603"/>
        <w:gridCol w:w="1364"/>
        <w:gridCol w:w="1061"/>
      </w:tblGrid>
      <w:tr w14:paraId="22E2A351" w14:textId="77777777" w:rsidTr="00C525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874"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1737" w:type="dxa"/>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061" w:type="dxa"/>
          </w:tcPr>
          <w:p w:rsidR="00CA3DA6"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C52523">
        <w:tblPrEx>
          <w:tblW w:w="0" w:type="auto"/>
          <w:tblLook w:val="01E0"/>
        </w:tblPrEx>
        <w:trPr>
          <w:trHeight w:val="679"/>
        </w:trPr>
        <w:tc>
          <w:tcPr>
            <w:tcW w:w="1603" w:type="dxa"/>
          </w:tcPr>
          <w:p w:rsidR="00C52523" w:rsidRPr="00C52523" w:rsidP="00CA3DA6" w14:paraId="22E2A352" w14:textId="0F44C9ED">
            <w:pPr>
              <w:widowControl/>
              <w:tabs>
                <w:tab w:val="num" w:pos="1080"/>
              </w:tabs>
              <w:spacing w:before="120"/>
              <w:rPr>
                <w:rFonts w:ascii="Arial" w:hAnsi="Arial" w:cs="Arial"/>
                <w:sz w:val="24"/>
              </w:rPr>
            </w:pPr>
            <w:r w:rsidRPr="00C52523">
              <w:rPr>
                <w:rFonts w:ascii="Arial" w:hAnsi="Arial" w:cs="Arial"/>
                <w:sz w:val="24"/>
              </w:rPr>
              <w:t>Patient/ Caregiver/ Family Member</w:t>
            </w:r>
          </w:p>
        </w:tc>
        <w:tc>
          <w:tcPr>
            <w:tcW w:w="874" w:type="dxa"/>
          </w:tcPr>
          <w:p w:rsidR="00CA3DA6" w:rsidRPr="00C45431" w:rsidP="00CA3DA6" w14:paraId="22E2A353" w14:textId="77777777">
            <w:pPr>
              <w:widowControl/>
              <w:tabs>
                <w:tab w:val="num" w:pos="1080"/>
              </w:tabs>
              <w:spacing w:before="120"/>
              <w:rPr>
                <w:rFonts w:ascii="Arial" w:hAnsi="Arial" w:cs="Arial"/>
                <w:b/>
                <w:bCs/>
                <w:sz w:val="24"/>
              </w:rPr>
            </w:pPr>
            <w:r w:rsidRPr="00C45431">
              <w:rPr>
                <w:rFonts w:ascii="Arial" w:hAnsi="Arial" w:cs="Arial"/>
                <w:sz w:val="24"/>
              </w:rPr>
              <w:t>Form A</w:t>
            </w:r>
          </w:p>
        </w:tc>
        <w:tc>
          <w:tcPr>
            <w:tcW w:w="1737" w:type="dxa"/>
          </w:tcPr>
          <w:p w:rsidR="00CA3DA6" w:rsidRPr="00C52523" w:rsidP="00C52523" w14:paraId="22E2A354" w14:textId="0F969B95">
            <w:pPr>
              <w:widowControl/>
              <w:tabs>
                <w:tab w:val="num" w:pos="1080"/>
              </w:tabs>
              <w:spacing w:before="120"/>
              <w:jc w:val="right"/>
              <w:rPr>
                <w:rFonts w:ascii="Arial" w:hAnsi="Arial" w:cs="Arial"/>
                <w:sz w:val="24"/>
              </w:rPr>
            </w:pPr>
            <w:r w:rsidRPr="00C52523">
              <w:rPr>
                <w:rFonts w:ascii="Arial" w:hAnsi="Arial" w:cs="Arial"/>
                <w:sz w:val="24"/>
              </w:rPr>
              <w:t>900</w:t>
            </w:r>
          </w:p>
        </w:tc>
        <w:tc>
          <w:tcPr>
            <w:tcW w:w="1603" w:type="dxa"/>
          </w:tcPr>
          <w:p w:rsidR="00CA3DA6" w:rsidRPr="00C52523" w:rsidP="00C52523" w14:paraId="22E2A355" w14:textId="3B2C1A47">
            <w:pPr>
              <w:widowControl/>
              <w:tabs>
                <w:tab w:val="num" w:pos="1080"/>
              </w:tabs>
              <w:spacing w:before="120"/>
              <w:jc w:val="right"/>
              <w:rPr>
                <w:rFonts w:ascii="Arial" w:hAnsi="Arial" w:cs="Arial"/>
                <w:sz w:val="24"/>
              </w:rPr>
            </w:pPr>
            <w:r w:rsidRPr="00C52523">
              <w:rPr>
                <w:rFonts w:ascii="Arial" w:hAnsi="Arial" w:cs="Arial"/>
                <w:sz w:val="24"/>
              </w:rPr>
              <w:t>1</w:t>
            </w:r>
          </w:p>
        </w:tc>
        <w:tc>
          <w:tcPr>
            <w:tcW w:w="1364" w:type="dxa"/>
          </w:tcPr>
          <w:p w:rsidR="00CA3DA6" w:rsidRPr="00C52523" w:rsidP="00C52523" w14:paraId="22E2A356" w14:textId="6B1DF691">
            <w:pPr>
              <w:widowControl/>
              <w:tabs>
                <w:tab w:val="num" w:pos="1080"/>
              </w:tabs>
              <w:spacing w:before="120"/>
              <w:jc w:val="right"/>
              <w:rPr>
                <w:rFonts w:ascii="Arial" w:hAnsi="Arial" w:cs="Arial"/>
                <w:sz w:val="24"/>
              </w:rPr>
            </w:pPr>
            <w:r w:rsidRPr="00C52523">
              <w:rPr>
                <w:rFonts w:ascii="Arial" w:hAnsi="Arial" w:cs="Arial"/>
                <w:sz w:val="24"/>
              </w:rPr>
              <w:t>0.17</w:t>
            </w:r>
          </w:p>
        </w:tc>
        <w:tc>
          <w:tcPr>
            <w:tcW w:w="1061" w:type="dxa"/>
          </w:tcPr>
          <w:p w:rsidR="00CA3DA6" w:rsidRPr="00C52523" w:rsidP="00C52523" w14:paraId="22E2A357" w14:textId="627E84BF">
            <w:pPr>
              <w:widowControl/>
              <w:tabs>
                <w:tab w:val="num" w:pos="1080"/>
              </w:tabs>
              <w:spacing w:before="120"/>
              <w:jc w:val="right"/>
              <w:rPr>
                <w:rFonts w:ascii="Arial" w:hAnsi="Arial" w:cs="Arial"/>
                <w:sz w:val="24"/>
              </w:rPr>
            </w:pPr>
            <w:r w:rsidRPr="00C52523">
              <w:rPr>
                <w:rFonts w:ascii="Arial" w:hAnsi="Arial" w:cs="Arial"/>
                <w:sz w:val="24"/>
              </w:rPr>
              <w:t>1</w:t>
            </w:r>
            <w:r w:rsidRPr="00C52523">
              <w:rPr>
                <w:rFonts w:ascii="Arial" w:hAnsi="Arial" w:cs="Arial"/>
                <w:sz w:val="24"/>
              </w:rPr>
              <w:t>5</w:t>
            </w:r>
            <w:r w:rsidRPr="00C52523">
              <w:rPr>
                <w:rFonts w:ascii="Arial" w:hAnsi="Arial" w:cs="Arial"/>
                <w:sz w:val="24"/>
              </w:rPr>
              <w:t>3</w:t>
            </w:r>
          </w:p>
        </w:tc>
      </w:tr>
      <w:tr w14:paraId="22E2A368" w14:textId="77777777" w:rsidTr="00C52523">
        <w:tblPrEx>
          <w:tblW w:w="0" w:type="auto"/>
          <w:tblLook w:val="01E0"/>
        </w:tblPrEx>
        <w:trPr>
          <w:trHeight w:val="815"/>
        </w:trPr>
        <w:tc>
          <w:tcPr>
            <w:tcW w:w="1603" w:type="dxa"/>
          </w:tcPr>
          <w:p w:rsidR="00CA3DA6" w:rsidRPr="00C52523" w:rsidP="00CA3DA6" w14:paraId="22E2A361" w14:textId="77777777">
            <w:pPr>
              <w:widowControl/>
              <w:tabs>
                <w:tab w:val="num" w:pos="1080"/>
              </w:tabs>
              <w:spacing w:before="120"/>
              <w:rPr>
                <w:rFonts w:ascii="Arial" w:hAnsi="Arial" w:cs="Arial"/>
                <w:sz w:val="24"/>
              </w:rPr>
            </w:pPr>
            <w:r w:rsidRPr="00C52523">
              <w:rPr>
                <w:rFonts w:ascii="Arial" w:hAnsi="Arial" w:cs="Arial"/>
                <w:sz w:val="24"/>
              </w:rPr>
              <w:t>Total</w:t>
            </w:r>
          </w:p>
        </w:tc>
        <w:tc>
          <w:tcPr>
            <w:tcW w:w="874" w:type="dxa"/>
          </w:tcPr>
          <w:p w:rsidR="00CA3DA6" w:rsidRPr="00C45431" w:rsidP="00CA3DA6" w14:paraId="22E2A362" w14:textId="77777777">
            <w:pPr>
              <w:widowControl/>
              <w:tabs>
                <w:tab w:val="num" w:pos="1080"/>
              </w:tabs>
              <w:spacing w:before="120"/>
              <w:rPr>
                <w:rFonts w:ascii="Arial" w:hAnsi="Arial" w:cs="Arial"/>
                <w:sz w:val="24"/>
              </w:rPr>
            </w:pPr>
          </w:p>
        </w:tc>
        <w:tc>
          <w:tcPr>
            <w:tcW w:w="1737" w:type="dxa"/>
          </w:tcPr>
          <w:p w:rsidR="00CA3DA6" w:rsidRPr="00C52523" w:rsidP="00C52523" w14:paraId="22E2A363" w14:textId="47F45FBF">
            <w:pPr>
              <w:widowControl/>
              <w:tabs>
                <w:tab w:val="num" w:pos="1080"/>
              </w:tabs>
              <w:spacing w:before="120"/>
              <w:jc w:val="right"/>
              <w:rPr>
                <w:rFonts w:ascii="Arial" w:hAnsi="Arial" w:cs="Arial"/>
                <w:sz w:val="24"/>
              </w:rPr>
            </w:pPr>
            <w:r w:rsidRPr="00C52523">
              <w:rPr>
                <w:rFonts w:ascii="Arial" w:hAnsi="Arial" w:cs="Arial"/>
                <w:sz w:val="24"/>
              </w:rPr>
              <w:t>900</w:t>
            </w:r>
          </w:p>
        </w:tc>
        <w:tc>
          <w:tcPr>
            <w:tcW w:w="1603" w:type="dxa"/>
          </w:tcPr>
          <w:p w:rsidR="00CA3DA6" w:rsidRPr="00C52523" w:rsidP="00C52523" w14:paraId="22E2A364" w14:textId="050A084B">
            <w:pPr>
              <w:widowControl/>
              <w:tabs>
                <w:tab w:val="num" w:pos="1080"/>
              </w:tabs>
              <w:spacing w:before="120"/>
              <w:jc w:val="right"/>
              <w:rPr>
                <w:rFonts w:ascii="Arial" w:hAnsi="Arial" w:cs="Arial"/>
                <w:sz w:val="24"/>
              </w:rPr>
            </w:pPr>
            <w:r w:rsidRPr="00C52523">
              <w:rPr>
                <w:rFonts w:ascii="Arial" w:hAnsi="Arial" w:cs="Arial"/>
                <w:sz w:val="24"/>
              </w:rPr>
              <w:t>1</w:t>
            </w:r>
          </w:p>
        </w:tc>
        <w:tc>
          <w:tcPr>
            <w:tcW w:w="1364" w:type="dxa"/>
          </w:tcPr>
          <w:p w:rsidR="00CA3DA6" w:rsidRPr="00C52523" w:rsidP="00C52523" w14:paraId="22E2A365" w14:textId="64C4479D">
            <w:pPr>
              <w:widowControl/>
              <w:tabs>
                <w:tab w:val="num" w:pos="1080"/>
              </w:tabs>
              <w:spacing w:before="120"/>
              <w:jc w:val="right"/>
              <w:rPr>
                <w:rFonts w:ascii="Arial" w:hAnsi="Arial" w:cs="Arial"/>
                <w:sz w:val="24"/>
              </w:rPr>
            </w:pPr>
            <w:r w:rsidRPr="00C52523">
              <w:rPr>
                <w:rFonts w:ascii="Arial" w:hAnsi="Arial" w:cs="Arial"/>
                <w:sz w:val="24"/>
              </w:rPr>
              <w:t>0.17</w:t>
            </w:r>
          </w:p>
        </w:tc>
        <w:tc>
          <w:tcPr>
            <w:tcW w:w="1061" w:type="dxa"/>
          </w:tcPr>
          <w:p w:rsidR="00CA3DA6" w:rsidRPr="00C52523" w:rsidP="00C52523" w14:paraId="22E2A366" w14:textId="2EA0F509">
            <w:pPr>
              <w:widowControl/>
              <w:tabs>
                <w:tab w:val="num" w:pos="1080"/>
              </w:tabs>
              <w:spacing w:before="120"/>
              <w:jc w:val="right"/>
              <w:rPr>
                <w:rFonts w:ascii="Arial" w:hAnsi="Arial" w:cs="Arial"/>
                <w:sz w:val="24"/>
              </w:rPr>
            </w:pPr>
            <w:r w:rsidRPr="00C52523">
              <w:rPr>
                <w:rFonts w:ascii="Arial" w:hAnsi="Arial" w:cs="Arial"/>
                <w:sz w:val="24"/>
              </w:rPr>
              <w:t>153</w:t>
            </w:r>
          </w:p>
          <w:p w:rsidR="00CA3DA6" w:rsidRPr="00C52523" w:rsidP="00C52523" w14:paraId="22E2A367" w14:textId="77777777">
            <w:pPr>
              <w:widowControl/>
              <w:tabs>
                <w:tab w:val="num" w:pos="1080"/>
              </w:tabs>
              <w:spacing w:before="120"/>
              <w:jc w:val="right"/>
              <w:rPr>
                <w:rFonts w:ascii="Arial" w:hAnsi="Arial" w:cs="Arial"/>
                <w:sz w:val="24"/>
              </w:rPr>
            </w:pPr>
          </w:p>
        </w:tc>
      </w:tr>
    </w:tbl>
    <w:p w:rsidR="009B3794" w:rsidRPr="00C45431" w:rsidP="00CA3DA6" w14:paraId="22E2A369" w14:textId="77777777">
      <w:pPr>
        <w:widowControl/>
        <w:tabs>
          <w:tab w:val="num" w:pos="1080"/>
        </w:tabs>
        <w:spacing w:before="120"/>
        <w:rPr>
          <w:rFonts w:ascii="Arial" w:hAnsi="Arial" w:cs="Arial"/>
          <w:b/>
          <w:bCs/>
          <w:sz w:val="24"/>
        </w:rPr>
      </w:pPr>
    </w:p>
    <w:p w:rsidR="00D92E1D" w:rsidRPr="00C45431" w:rsidP="00CA3DA6" w14:paraId="22E2A36A" w14:textId="77777777">
      <w:pPr>
        <w:widowControl/>
        <w:tabs>
          <w:tab w:val="num" w:pos="1080"/>
        </w:tabs>
        <w:spacing w:before="120"/>
        <w:ind w:left="2160"/>
        <w:rPr>
          <w:rFonts w:ascii="Arial" w:hAnsi="Arial" w:cs="Arial"/>
          <w:sz w:val="24"/>
        </w:rPr>
      </w:pPr>
    </w:p>
    <w:p w:rsidR="00D92E1D" w:rsidRPr="00C45431" w:rsidP="00CA3DA6" w14:paraId="22E2A36B" w14:textId="77777777">
      <w:pPr>
        <w:widowControl/>
        <w:tabs>
          <w:tab w:val="num" w:pos="1080"/>
        </w:tabs>
        <w:spacing w:before="120"/>
        <w:ind w:left="2160"/>
        <w:rPr>
          <w:rFonts w:ascii="Arial" w:hAnsi="Arial" w:cs="Arial"/>
          <w:sz w:val="24"/>
        </w:rPr>
      </w:pPr>
    </w:p>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A5066F" w:rsidRPr="00A5066F" w:rsidP="00A5066F" w14:paraId="0A6A0504" w14:textId="0D60C3EC">
      <w:pPr>
        <w:pStyle w:val="BodyTextIndent"/>
        <w:spacing w:before="120"/>
        <w:ind w:left="0"/>
        <w:rPr>
          <w:rFonts w:ascii="Arial" w:hAnsi="Arial" w:cs="Arial"/>
          <w:bCs/>
        </w:rPr>
      </w:pPr>
      <w:r w:rsidRPr="001675E9">
        <w:rPr>
          <w:rFonts w:ascii="Arial" w:hAnsi="Arial" w:cs="Arial"/>
          <w:bCs/>
        </w:rPr>
        <w:t>Other than their time, there is no cost to respondents.</w:t>
      </w:r>
      <w:r w:rsidRPr="00A5066F">
        <w:rPr>
          <w:rFonts w:ascii="Arial" w:hAnsi="Arial" w:cs="Arial"/>
          <w:bCs/>
        </w:rPr>
        <w:t xml:space="preserve"> </w:t>
      </w:r>
    </w:p>
    <w:p w:rsidR="009B3794" w:rsidRPr="00C45431" w:rsidP="00545C98" w14:paraId="22E2A395" w14:textId="77777777">
      <w:pPr>
        <w:numPr>
          <w:ilvl w:val="0"/>
          <w:numId w:val="2"/>
        </w:numPr>
        <w:tabs>
          <w:tab w:val="num" w:pos="360"/>
          <w:tab w:val="clear" w:pos="1080"/>
        </w:tabs>
        <w:spacing w:before="240" w:after="240"/>
        <w:ind w:left="360"/>
        <w:rPr>
          <w:rFonts w:ascii="Arial" w:hAnsi="Arial" w:cs="Arial"/>
          <w:b/>
          <w:sz w:val="24"/>
        </w:rPr>
      </w:pPr>
      <w:r w:rsidRPr="00C45431">
        <w:rPr>
          <w:rFonts w:ascii="Arial" w:hAnsi="Arial" w:cs="Arial"/>
          <w:b/>
          <w:sz w:val="24"/>
          <w:u w:val="single"/>
        </w:rPr>
        <w:t>Annualized Cost to Federal Government</w:t>
      </w:r>
    </w:p>
    <w:p w:rsidR="00381DE5" w:rsidRPr="00381DE5" w:rsidP="00CD5FBB" w14:paraId="653D93F1" w14:textId="506630A8">
      <w:pPr>
        <w:spacing w:after="240"/>
        <w:rPr>
          <w:rStyle w:val="BodyTextFi"/>
          <w:rFonts w:ascii="Arial" w:hAnsi="Arial" w:cs="Arial"/>
          <w:color w:val="4F81BD" w:themeColor="accent1"/>
          <w:sz w:val="24"/>
        </w:rPr>
      </w:pPr>
      <w:r w:rsidRPr="00545C98">
        <w:rPr>
          <w:rStyle w:val="BodyTextFi"/>
          <w:rFonts w:ascii="Arial" w:hAnsi="Arial" w:cs="Arial"/>
          <w:sz w:val="24"/>
        </w:rPr>
        <w:t>P</w:t>
      </w:r>
      <w:r w:rsidR="008E538D">
        <w:rPr>
          <w:rStyle w:val="BodyTextFi"/>
          <w:rFonts w:ascii="Arial" w:hAnsi="Arial" w:cs="Arial"/>
          <w:sz w:val="24"/>
        </w:rPr>
        <w:t>atient</w:t>
      </w:r>
      <w:r w:rsidR="00A02A65">
        <w:rPr>
          <w:rStyle w:val="BodyTextFi"/>
          <w:rFonts w:ascii="Arial" w:hAnsi="Arial" w:cs="Arial"/>
          <w:sz w:val="24"/>
        </w:rPr>
        <w:t xml:space="preserve"> Support Center</w:t>
      </w:r>
      <w:r w:rsidRPr="00545C98">
        <w:rPr>
          <w:rStyle w:val="BodyTextFi"/>
          <w:rFonts w:ascii="Arial" w:hAnsi="Arial" w:cs="Arial"/>
          <w:sz w:val="24"/>
        </w:rPr>
        <w:t xml:space="preserve"> staff will administer the surveys. </w:t>
      </w:r>
      <w:r w:rsidRPr="00545C98" w:rsidR="005A29F0">
        <w:rPr>
          <w:rStyle w:val="BodyTextFi"/>
          <w:rFonts w:ascii="Arial" w:hAnsi="Arial" w:cs="Arial"/>
          <w:sz w:val="24"/>
        </w:rPr>
        <w:t xml:space="preserve"> </w:t>
      </w:r>
      <w:r w:rsidRPr="00545C98">
        <w:rPr>
          <w:rStyle w:val="BodyTextFi"/>
          <w:rFonts w:ascii="Arial" w:hAnsi="Arial" w:cs="Arial"/>
          <w:sz w:val="24"/>
        </w:rPr>
        <w:t xml:space="preserve">The estimated annual cost to the government is $6,903, which includes effort from: Surveys will be administered by the NMDP </w:t>
      </w:r>
      <w:r w:rsidR="008E538D">
        <w:rPr>
          <w:rStyle w:val="BodyTextFi"/>
          <w:rFonts w:ascii="Arial" w:hAnsi="Arial" w:cs="Arial"/>
          <w:sz w:val="24"/>
        </w:rPr>
        <w:t>Patient Support Center</w:t>
      </w:r>
      <w:r w:rsidRPr="00545C98">
        <w:rPr>
          <w:rStyle w:val="BodyTextFi"/>
          <w:rFonts w:ascii="Arial" w:hAnsi="Arial" w:cs="Arial"/>
          <w:sz w:val="24"/>
        </w:rPr>
        <w:t xml:space="preserve"> staff which includes effort from a Patient Services Coordinator (.06 FTE, $2,311), Program Analyst (.01 FTE, $951) and Patient Services leadership (.04 FTE, $3,641).</w:t>
      </w:r>
    </w:p>
    <w:p w:rsidR="00381DE5" w:rsidRPr="00777E28" w:rsidP="00381DE5" w14:paraId="066162AA" w14:textId="77777777">
      <w:pPr>
        <w:rPr>
          <w:rStyle w:val="BodyTextFi"/>
          <w:rFonts w:ascii="Arial" w:hAnsi="Arial" w:cs="Arial"/>
          <w:sz w:val="24"/>
        </w:rPr>
      </w:pPr>
      <w:r w:rsidRPr="00777E28">
        <w:rPr>
          <w:rStyle w:val="BodyTextFi"/>
          <w:rFonts w:ascii="Arial" w:hAnsi="Arial" w:cs="Arial"/>
          <w:sz w:val="24"/>
        </w:rPr>
        <w:t>(</w:t>
      </w:r>
      <w:r w:rsidRPr="00777E28">
        <w:rPr>
          <w:rFonts w:ascii="Arial" w:hAnsi="Arial" w:cs="Arial"/>
          <w:sz w:val="24"/>
        </w:rPr>
        <w:t xml:space="preserve">Based on May 2021 National Occupation and Wage Statistics </w:t>
      </w:r>
      <w:hyperlink r:id="rId9" w:anchor="43-0000" w:history="1">
        <w:r w:rsidRPr="00777E28">
          <w:rPr>
            <w:rStyle w:val="Hyperlink"/>
            <w:rFonts w:ascii="Arial" w:hAnsi="Arial" w:cs="Arial"/>
            <w:color w:val="auto"/>
            <w:sz w:val="24"/>
          </w:rPr>
          <w:t>https://www.bls.gov/oes/current/oes_nat.htm#43-0000</w:t>
        </w:r>
      </w:hyperlink>
      <w:r w:rsidRPr="00777E28">
        <w:rPr>
          <w:rFonts w:ascii="Arial" w:hAnsi="Arial" w:cs="Arial"/>
          <w:sz w:val="24"/>
        </w:rPr>
        <w:t xml:space="preserve">) </w:t>
      </w:r>
    </w:p>
    <w:p w:rsidR="00381DE5" w:rsidRPr="00777E28" w:rsidP="00381DE5" w14:paraId="6112CCA0" w14:textId="77777777">
      <w:pPr>
        <w:rPr>
          <w:rStyle w:val="BodyTextFi"/>
          <w:rFonts w:ascii="Arial" w:hAnsi="Arial" w:cs="Arial"/>
          <w:sz w:val="24"/>
        </w:rPr>
      </w:pPr>
    </w:p>
    <w:p w:rsidR="000B153F" w:rsidRPr="00381DE5" w:rsidP="00CD5FBB" w14:paraId="6D76F228" w14:textId="5448E357">
      <w:pPr>
        <w:rPr>
          <w:rFonts w:ascii="Arial" w:hAnsi="Arial" w:cs="Arial"/>
          <w:bCs/>
          <w:color w:val="4F81BD" w:themeColor="accent1"/>
        </w:rPr>
      </w:pPr>
      <w:r w:rsidRPr="00777E28">
        <w:rPr>
          <w:rStyle w:val="BodyTextFi"/>
          <w:rFonts w:ascii="Arial" w:hAnsi="Arial" w:cs="Arial"/>
          <w:sz w:val="24"/>
        </w:rPr>
        <w:t xml:space="preserve">The contract task that supports this collection is for approximately $ </w:t>
      </w:r>
      <w:r w:rsidRPr="00777E28">
        <w:rPr>
          <w:rStyle w:val="BodyTextFi"/>
          <w:rFonts w:ascii="Arial" w:hAnsi="Arial" w:cs="Arial"/>
          <w:sz w:val="24"/>
          <w:u w:val="single"/>
        </w:rPr>
        <w:t>6,903</w:t>
      </w:r>
      <w:r w:rsidRPr="00777E28">
        <w:rPr>
          <w:rStyle w:val="BodyTextFi"/>
          <w:rFonts w:ascii="Arial" w:hAnsi="Arial" w:cs="Arial"/>
          <w:sz w:val="24"/>
        </w:rPr>
        <w:t xml:space="preserve"> per year. </w:t>
      </w:r>
    </w:p>
    <w:p w:rsidR="009B3794" w:rsidRPr="00C45431" w:rsidP="00CA3DA6" w14:paraId="22E2A398"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0B153F" w:rsidRPr="00C45431" w:rsidP="00CA3DA6" w14:paraId="7D28E807" w14:textId="24EBDA62">
      <w:pPr>
        <w:pStyle w:val="BodyTextIndent"/>
        <w:spacing w:before="120"/>
        <w:ind w:left="360"/>
        <w:rPr>
          <w:rFonts w:ascii="Arial" w:hAnsi="Arial" w:cs="Arial"/>
        </w:rPr>
      </w:pPr>
      <w:r w:rsidRPr="0081669B">
        <w:rPr>
          <w:rFonts w:ascii="Arial" w:hAnsi="Arial" w:cs="Arial"/>
        </w:rPr>
        <w:t xml:space="preserve">Prior estimates for the number of respondents were too high. </w:t>
      </w:r>
      <w:r w:rsidRPr="0081669B" w:rsidR="005A29F0">
        <w:rPr>
          <w:rFonts w:ascii="Arial" w:hAnsi="Arial" w:cs="Arial"/>
        </w:rPr>
        <w:t xml:space="preserve"> </w:t>
      </w:r>
      <w:r w:rsidRPr="0081669B">
        <w:rPr>
          <w:rFonts w:ascii="Arial" w:hAnsi="Arial" w:cs="Arial"/>
        </w:rPr>
        <w:t xml:space="preserve">The estimated number of survey responses has been adjusted based on response rates over the past two years and the number of responses during the first quarter of FY23. </w:t>
      </w:r>
      <w:r w:rsidRPr="0081669B" w:rsidR="005A29F0">
        <w:rPr>
          <w:rFonts w:ascii="Arial" w:hAnsi="Arial" w:cs="Arial"/>
        </w:rPr>
        <w:t xml:space="preserve"> </w:t>
      </w:r>
      <w:r w:rsidRPr="0081669B">
        <w:rPr>
          <w:rFonts w:ascii="Arial" w:hAnsi="Arial" w:cs="Arial"/>
        </w:rPr>
        <w:t>Changes in the process have been made and created efficiencies in the distribution of the survey thereby reducing the cost to implement the survey.</w:t>
      </w:r>
    </w:p>
    <w:p w:rsidR="009B3794" w:rsidRPr="00C45431" w:rsidP="00CA3DA6" w14:paraId="22E2A3A0"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0B153F" w:rsidRPr="00C75358" w:rsidP="00CA3DA6" w14:paraId="2BC2A7B0" w14:textId="133B70DD">
      <w:pPr>
        <w:spacing w:before="120"/>
        <w:ind w:left="360"/>
        <w:rPr>
          <w:rFonts w:ascii="Arial" w:hAnsi="Arial" w:cs="Arial"/>
          <w:bCs/>
          <w:sz w:val="24"/>
        </w:rPr>
      </w:pPr>
      <w:bookmarkStart w:id="2" w:name="_Hlk129274139"/>
      <w:r w:rsidRPr="00C75358">
        <w:rPr>
          <w:rFonts w:ascii="Arial" w:hAnsi="Arial" w:cs="Arial"/>
          <w:bCs/>
          <w:sz w:val="24"/>
        </w:rPr>
        <w:t xml:space="preserve">Surveys will be administered on an ongoing basis to all individuals who receive </w:t>
      </w:r>
      <w:r w:rsidRPr="00C75358" w:rsidR="00D92CCC">
        <w:rPr>
          <w:rFonts w:ascii="Arial" w:hAnsi="Arial" w:cs="Arial"/>
          <w:bCs/>
          <w:sz w:val="24"/>
        </w:rPr>
        <w:t>services from the Patient Support Center</w:t>
      </w:r>
      <w:r w:rsidRPr="00C75358" w:rsidR="00132A94">
        <w:rPr>
          <w:rFonts w:ascii="Arial" w:hAnsi="Arial" w:cs="Arial"/>
          <w:bCs/>
          <w:sz w:val="24"/>
        </w:rPr>
        <w:t xml:space="preserve">; </w:t>
      </w:r>
      <w:r w:rsidRPr="00C75358" w:rsidR="00D8041B">
        <w:rPr>
          <w:rFonts w:ascii="Arial" w:hAnsi="Arial" w:cs="Arial"/>
          <w:bCs/>
          <w:sz w:val="24"/>
        </w:rPr>
        <w:t xml:space="preserve">there is </w:t>
      </w:r>
      <w:r w:rsidRPr="00C75358" w:rsidR="00132A94">
        <w:rPr>
          <w:rFonts w:ascii="Arial" w:hAnsi="Arial" w:cs="Arial"/>
          <w:bCs/>
          <w:sz w:val="24"/>
        </w:rPr>
        <w:t xml:space="preserve">no statistical sampling </w:t>
      </w:r>
      <w:r w:rsidRPr="00C75358" w:rsidR="00D8041B">
        <w:rPr>
          <w:rFonts w:ascii="Arial" w:hAnsi="Arial" w:cs="Arial"/>
          <w:bCs/>
          <w:sz w:val="24"/>
        </w:rPr>
        <w:t>to select survey respondents.</w:t>
      </w:r>
      <w:r w:rsidRPr="00C75358" w:rsidR="00132A94">
        <w:rPr>
          <w:rFonts w:ascii="Arial" w:hAnsi="Arial" w:cs="Arial"/>
          <w:bCs/>
          <w:sz w:val="24"/>
        </w:rPr>
        <w:t xml:space="preserve"> </w:t>
      </w:r>
      <w:bookmarkEnd w:id="2"/>
      <w:r w:rsidRPr="00C75358" w:rsidR="005A29F0">
        <w:rPr>
          <w:rFonts w:ascii="Arial" w:hAnsi="Arial" w:cs="Arial"/>
          <w:bCs/>
          <w:sz w:val="24"/>
        </w:rPr>
        <w:t xml:space="preserve"> </w:t>
      </w:r>
      <w:r w:rsidRPr="00C75358">
        <w:rPr>
          <w:rFonts w:ascii="Arial" w:hAnsi="Arial" w:cs="Arial"/>
          <w:bCs/>
          <w:sz w:val="24"/>
        </w:rPr>
        <w:t xml:space="preserve">NMDP Patient Services staff will administer, collect, analyze and report survey results to stakeholders. </w:t>
      </w:r>
      <w:r w:rsidRPr="00C75358" w:rsidR="005A29F0">
        <w:rPr>
          <w:rFonts w:ascii="Arial" w:hAnsi="Arial" w:cs="Arial"/>
          <w:bCs/>
          <w:sz w:val="24"/>
        </w:rPr>
        <w:t xml:space="preserve"> </w:t>
      </w:r>
      <w:r w:rsidRPr="00C75358">
        <w:rPr>
          <w:rFonts w:ascii="Arial" w:hAnsi="Arial" w:cs="Arial"/>
          <w:bCs/>
          <w:sz w:val="24"/>
        </w:rPr>
        <w:t xml:space="preserve">Ongoing data collection will utilize </w:t>
      </w:r>
      <w:r w:rsidRPr="00C75358">
        <w:rPr>
          <w:rFonts w:ascii="Arial" w:hAnsi="Arial" w:cs="Arial"/>
          <w:bCs/>
          <w:sz w:val="24"/>
        </w:rPr>
        <w:t>web-based survey</w:t>
      </w:r>
      <w:r w:rsidRPr="00C75358">
        <w:rPr>
          <w:rFonts w:ascii="Arial" w:hAnsi="Arial" w:cs="Arial"/>
          <w:bCs/>
          <w:sz w:val="24"/>
        </w:rPr>
        <w:t xml:space="preserve"> software </w:t>
      </w:r>
      <w:r w:rsidRPr="00C75358">
        <w:rPr>
          <w:rFonts w:ascii="Arial" w:hAnsi="Arial" w:cs="Arial"/>
          <w:bCs/>
          <w:sz w:val="24"/>
        </w:rPr>
        <w:t xml:space="preserve">which will be </w:t>
      </w:r>
      <w:r w:rsidRPr="00C75358">
        <w:rPr>
          <w:rFonts w:ascii="Arial" w:hAnsi="Arial" w:cs="Arial"/>
          <w:bCs/>
          <w:sz w:val="24"/>
        </w:rPr>
        <w:t>entered and stored in a secure Excel database</w:t>
      </w:r>
      <w:r w:rsidRPr="00C75358">
        <w:rPr>
          <w:rFonts w:ascii="Arial" w:hAnsi="Arial" w:cs="Arial"/>
          <w:bCs/>
          <w:sz w:val="24"/>
        </w:rPr>
        <w:t>.</w:t>
      </w:r>
      <w:r w:rsidRPr="00C75358">
        <w:rPr>
          <w:rFonts w:ascii="Arial" w:hAnsi="Arial" w:cs="Arial"/>
          <w:bCs/>
          <w:sz w:val="24"/>
        </w:rPr>
        <w:t xml:space="preserve"> </w:t>
      </w:r>
      <w:r w:rsidRPr="00C75358">
        <w:rPr>
          <w:rFonts w:ascii="Arial" w:hAnsi="Arial" w:cs="Arial"/>
          <w:bCs/>
          <w:sz w:val="24"/>
        </w:rPr>
        <w:t>Responses will be</w:t>
      </w:r>
      <w:r w:rsidRPr="00C75358">
        <w:rPr>
          <w:rFonts w:ascii="Arial" w:hAnsi="Arial" w:cs="Arial"/>
          <w:bCs/>
          <w:sz w:val="24"/>
        </w:rPr>
        <w:t xml:space="preserve"> analyzed using Excel</w:t>
      </w:r>
      <w:r w:rsidRPr="00C75358" w:rsidR="00EA527A">
        <w:rPr>
          <w:rFonts w:ascii="Arial" w:hAnsi="Arial" w:cs="Arial"/>
          <w:bCs/>
          <w:sz w:val="24"/>
        </w:rPr>
        <w:t>,</w:t>
      </w:r>
      <w:r w:rsidRPr="00C75358">
        <w:rPr>
          <w:rFonts w:ascii="Arial" w:hAnsi="Arial" w:cs="Arial"/>
          <w:bCs/>
          <w:sz w:val="24"/>
        </w:rPr>
        <w:t xml:space="preserve"> SPSS</w:t>
      </w:r>
      <w:r w:rsidR="001A764C">
        <w:rPr>
          <w:rFonts w:ascii="Arial" w:hAnsi="Arial" w:cs="Arial"/>
          <w:bCs/>
          <w:sz w:val="24"/>
        </w:rPr>
        <w:t>,</w:t>
      </w:r>
      <w:r w:rsidRPr="00C75358">
        <w:rPr>
          <w:rFonts w:ascii="Arial" w:hAnsi="Arial" w:cs="Arial"/>
          <w:bCs/>
          <w:sz w:val="24"/>
        </w:rPr>
        <w:t xml:space="preserve"> and/or SAS. </w:t>
      </w:r>
      <w:r w:rsidRPr="00C75358" w:rsidR="005A29F0">
        <w:rPr>
          <w:rFonts w:ascii="Arial" w:hAnsi="Arial" w:cs="Arial"/>
          <w:bCs/>
          <w:sz w:val="24"/>
        </w:rPr>
        <w:t xml:space="preserve"> </w:t>
      </w:r>
      <w:r w:rsidRPr="00C75358">
        <w:rPr>
          <w:rFonts w:ascii="Arial" w:hAnsi="Arial" w:cs="Arial"/>
          <w:bCs/>
          <w:sz w:val="24"/>
        </w:rPr>
        <w:t>Narrative information from the surveys will be summarized and examined using</w:t>
      </w:r>
      <w:r w:rsidRPr="00C75358">
        <w:rPr>
          <w:rFonts w:ascii="Arial" w:hAnsi="Arial" w:cs="Arial"/>
          <w:bCs/>
          <w:sz w:val="24"/>
        </w:rPr>
        <w:t xml:space="preserve"> descriptive analysis and/or modeling of survey data. </w:t>
      </w:r>
      <w:r w:rsidRPr="00C75358" w:rsidR="005A29F0">
        <w:rPr>
          <w:rFonts w:ascii="Arial" w:hAnsi="Arial" w:cs="Arial"/>
          <w:bCs/>
          <w:sz w:val="24"/>
        </w:rPr>
        <w:t xml:space="preserve"> </w:t>
      </w:r>
      <w:r w:rsidRPr="00C75358" w:rsidR="00816F46">
        <w:rPr>
          <w:rFonts w:ascii="Arial" w:hAnsi="Arial" w:cs="Arial"/>
          <w:bCs/>
          <w:sz w:val="24"/>
        </w:rPr>
        <w:t xml:space="preserve">The survey data will be analyzed quarterly and annually, and results will be shared with program managers and HRSA. </w:t>
      </w:r>
      <w:r w:rsidRPr="00C75358" w:rsidR="005A29F0">
        <w:rPr>
          <w:rFonts w:ascii="Arial" w:hAnsi="Arial" w:cs="Arial"/>
          <w:bCs/>
          <w:sz w:val="24"/>
        </w:rPr>
        <w:t xml:space="preserve"> </w:t>
      </w:r>
      <w:r w:rsidRPr="00C75358" w:rsidR="00816F46">
        <w:rPr>
          <w:rFonts w:ascii="Arial" w:hAnsi="Arial" w:cs="Arial"/>
          <w:bCs/>
          <w:sz w:val="24"/>
        </w:rPr>
        <w:t>Feedback indicating a need for improvement will be reviewed by program managers biannually and implementation of resulting program changes or additions will be documented.</w:t>
      </w:r>
      <w:r w:rsidRPr="00C75358" w:rsidR="000E6D4C">
        <w:rPr>
          <w:rFonts w:ascii="Arial" w:hAnsi="Arial" w:cs="Arial"/>
          <w:bCs/>
          <w:sz w:val="24"/>
        </w:rPr>
        <w:t xml:space="preserve"> </w:t>
      </w:r>
      <w:r w:rsidRPr="00C75358">
        <w:rPr>
          <w:rFonts w:ascii="Arial" w:hAnsi="Arial" w:cs="Arial"/>
          <w:bCs/>
          <w:sz w:val="24"/>
        </w:rPr>
        <w:t xml:space="preserve">Findings will only be used for </w:t>
      </w:r>
      <w:r w:rsidRPr="00C75358">
        <w:rPr>
          <w:rFonts w:ascii="Arial" w:hAnsi="Arial" w:cs="Arial"/>
          <w:bCs/>
          <w:sz w:val="24"/>
        </w:rPr>
        <w:t xml:space="preserve">internal </w:t>
      </w:r>
      <w:r w:rsidRPr="00C75358">
        <w:rPr>
          <w:rFonts w:ascii="Arial" w:hAnsi="Arial" w:cs="Arial"/>
          <w:bCs/>
          <w:sz w:val="24"/>
        </w:rPr>
        <w:t>program improvement and will not be generaliz</w:t>
      </w:r>
      <w:r w:rsidRPr="00C75358">
        <w:rPr>
          <w:rFonts w:ascii="Arial" w:hAnsi="Arial" w:cs="Arial"/>
          <w:bCs/>
          <w:sz w:val="24"/>
        </w:rPr>
        <w:t xml:space="preserve">ed to the public. </w:t>
      </w:r>
      <w:r w:rsidRPr="00C75358" w:rsidR="005A29F0">
        <w:rPr>
          <w:rFonts w:ascii="Arial" w:hAnsi="Arial" w:cs="Arial"/>
          <w:bCs/>
          <w:sz w:val="24"/>
        </w:rPr>
        <w:t xml:space="preserve"> </w:t>
      </w:r>
      <w:r w:rsidRPr="00C75358">
        <w:rPr>
          <w:rFonts w:ascii="Arial" w:hAnsi="Arial" w:cs="Arial"/>
          <w:bCs/>
          <w:sz w:val="24"/>
        </w:rPr>
        <w:t>There are no plans to publish the survey results</w:t>
      </w:r>
      <w:r w:rsidRPr="00C75358">
        <w:rPr>
          <w:rFonts w:ascii="Arial" w:hAnsi="Arial" w:cs="Arial"/>
          <w:bCs/>
          <w:sz w:val="24"/>
        </w:rPr>
        <w:t>. We request a 3-year clearance for this survey.</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0B153F" w:rsidRPr="00384D1C" w:rsidP="00CA3DA6" w14:paraId="201C99AB" w14:textId="189D13E3">
      <w:pPr>
        <w:pStyle w:val="BodyTextIndent"/>
        <w:spacing w:before="120"/>
        <w:ind w:left="360"/>
        <w:rPr>
          <w:rFonts w:ascii="Arial" w:hAnsi="Arial" w:cs="Arial"/>
          <w:bCs/>
        </w:rPr>
      </w:pPr>
      <w:r w:rsidRPr="00384D1C">
        <w:rPr>
          <w:rFonts w:ascii="Arial" w:hAnsi="Arial" w:cs="Arial"/>
          <w:bCs/>
        </w:rPr>
        <w:t>No exemption is requested.</w:t>
      </w:r>
      <w:r w:rsidRPr="00384D1C" w:rsidR="005A29F0">
        <w:rPr>
          <w:rFonts w:ascii="Arial" w:hAnsi="Arial" w:cs="Arial"/>
          <w:bCs/>
        </w:rPr>
        <w:t xml:space="preserve"> </w:t>
      </w:r>
      <w:r w:rsidRPr="00384D1C">
        <w:rPr>
          <w:rFonts w:ascii="Arial" w:hAnsi="Arial" w:cs="Arial"/>
          <w:bCs/>
        </w:rPr>
        <w:t xml:space="preserve"> The expiration date will be displayed. </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0B153F" w:rsidRPr="00DB66B2" w:rsidP="00CA3DA6" w14:paraId="1F3E1A78" w14:textId="07952CEB">
      <w:pPr>
        <w:pStyle w:val="BodyTextIndent"/>
        <w:spacing w:before="120"/>
        <w:ind w:left="360"/>
        <w:rPr>
          <w:rFonts w:ascii="Arial" w:hAnsi="Arial" w:cs="Arial"/>
          <w:bCs/>
        </w:rPr>
      </w:pPr>
      <w:r w:rsidRPr="00DB66B2">
        <w:rPr>
          <w:rFonts w:ascii="Arial" w:hAnsi="Arial" w:cs="Arial"/>
          <w:bCs/>
        </w:rPr>
        <w:t xml:space="preserve">There are no exceptions to the certification. </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4">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0">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2">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801387187">
    <w:abstractNumId w:val="42"/>
  </w:num>
  <w:num w:numId="2" w16cid:durableId="729500559">
    <w:abstractNumId w:val="21"/>
  </w:num>
  <w:num w:numId="3" w16cid:durableId="454637364">
    <w:abstractNumId w:val="14"/>
  </w:num>
  <w:num w:numId="4" w16cid:durableId="1470709570">
    <w:abstractNumId w:val="38"/>
  </w:num>
  <w:num w:numId="5" w16cid:durableId="1285699026">
    <w:abstractNumId w:val="41"/>
  </w:num>
  <w:num w:numId="6" w16cid:durableId="1500460809">
    <w:abstractNumId w:val="9"/>
  </w:num>
  <w:num w:numId="7" w16cid:durableId="1011225810">
    <w:abstractNumId w:val="34"/>
  </w:num>
  <w:num w:numId="8" w16cid:durableId="2005477220">
    <w:abstractNumId w:val="17"/>
  </w:num>
  <w:num w:numId="9" w16cid:durableId="56055274">
    <w:abstractNumId w:val="25"/>
  </w:num>
  <w:num w:numId="10" w16cid:durableId="1002898358">
    <w:abstractNumId w:val="19"/>
  </w:num>
  <w:num w:numId="11" w16cid:durableId="1108114028">
    <w:abstractNumId w:val="8"/>
  </w:num>
  <w:num w:numId="12" w16cid:durableId="829492059">
    <w:abstractNumId w:val="24"/>
  </w:num>
  <w:num w:numId="13" w16cid:durableId="829828716">
    <w:abstractNumId w:val="20"/>
  </w:num>
  <w:num w:numId="14" w16cid:durableId="336424154">
    <w:abstractNumId w:val="22"/>
  </w:num>
  <w:num w:numId="15" w16cid:durableId="685206988">
    <w:abstractNumId w:val="7"/>
  </w:num>
  <w:num w:numId="16" w16cid:durableId="2064672430">
    <w:abstractNumId w:val="0"/>
  </w:num>
  <w:num w:numId="17" w16cid:durableId="60909306">
    <w:abstractNumId w:val="1"/>
  </w:num>
  <w:num w:numId="18" w16cid:durableId="437530652">
    <w:abstractNumId w:val="15"/>
  </w:num>
  <w:num w:numId="19" w16cid:durableId="1279338256">
    <w:abstractNumId w:val="33"/>
  </w:num>
  <w:num w:numId="20" w16cid:durableId="2134858388">
    <w:abstractNumId w:val="31"/>
  </w:num>
  <w:num w:numId="21" w16cid:durableId="1815027456">
    <w:abstractNumId w:val="18"/>
  </w:num>
  <w:num w:numId="22" w16cid:durableId="521289079">
    <w:abstractNumId w:val="37"/>
  </w:num>
  <w:num w:numId="23" w16cid:durableId="1877815096">
    <w:abstractNumId w:val="29"/>
  </w:num>
  <w:num w:numId="24" w16cid:durableId="166793459">
    <w:abstractNumId w:val="30"/>
  </w:num>
  <w:num w:numId="25" w16cid:durableId="394668981">
    <w:abstractNumId w:val="40"/>
  </w:num>
  <w:num w:numId="26" w16cid:durableId="865754047">
    <w:abstractNumId w:val="36"/>
  </w:num>
  <w:num w:numId="27" w16cid:durableId="868492325">
    <w:abstractNumId w:val="3"/>
  </w:num>
  <w:num w:numId="28" w16cid:durableId="1840389534">
    <w:abstractNumId w:val="16"/>
  </w:num>
  <w:num w:numId="29" w16cid:durableId="1317609760">
    <w:abstractNumId w:val="39"/>
  </w:num>
  <w:num w:numId="30" w16cid:durableId="1993218674">
    <w:abstractNumId w:val="35"/>
  </w:num>
  <w:num w:numId="31" w16cid:durableId="215630002">
    <w:abstractNumId w:val="32"/>
  </w:num>
  <w:num w:numId="32" w16cid:durableId="615259668">
    <w:abstractNumId w:val="10"/>
  </w:num>
  <w:num w:numId="33" w16cid:durableId="265190368">
    <w:abstractNumId w:val="2"/>
  </w:num>
  <w:num w:numId="34" w16cid:durableId="1413505116">
    <w:abstractNumId w:val="26"/>
  </w:num>
  <w:num w:numId="35" w16cid:durableId="1259362476">
    <w:abstractNumId w:val="12"/>
  </w:num>
  <w:num w:numId="36" w16cid:durableId="527913384">
    <w:abstractNumId w:val="11"/>
  </w:num>
  <w:num w:numId="37" w16cid:durableId="354306947">
    <w:abstractNumId w:val="13"/>
  </w:num>
  <w:num w:numId="38" w16cid:durableId="895094437">
    <w:abstractNumId w:val="4"/>
  </w:num>
  <w:num w:numId="39" w16cid:durableId="1537699648">
    <w:abstractNumId w:val="28"/>
  </w:num>
  <w:num w:numId="40" w16cid:durableId="1937051766">
    <w:abstractNumId w:val="6"/>
  </w:num>
  <w:num w:numId="41" w16cid:durableId="74479647">
    <w:abstractNumId w:val="27"/>
  </w:num>
  <w:num w:numId="42" w16cid:durableId="1289242307">
    <w:abstractNumId w:val="23"/>
  </w:num>
  <w:num w:numId="43" w16cid:durableId="1469014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71122"/>
    <w:rsid w:val="0007730D"/>
    <w:rsid w:val="000A1206"/>
    <w:rsid w:val="000A520F"/>
    <w:rsid w:val="000A6365"/>
    <w:rsid w:val="000B153F"/>
    <w:rsid w:val="000E331C"/>
    <w:rsid w:val="000E6D4C"/>
    <w:rsid w:val="00120F41"/>
    <w:rsid w:val="001325B2"/>
    <w:rsid w:val="00132A94"/>
    <w:rsid w:val="001675E9"/>
    <w:rsid w:val="001920C3"/>
    <w:rsid w:val="001A764C"/>
    <w:rsid w:val="001D4856"/>
    <w:rsid w:val="002118B4"/>
    <w:rsid w:val="00226A6D"/>
    <w:rsid w:val="0022737C"/>
    <w:rsid w:val="00242429"/>
    <w:rsid w:val="002640E7"/>
    <w:rsid w:val="002754B8"/>
    <w:rsid w:val="00280E1C"/>
    <w:rsid w:val="00281924"/>
    <w:rsid w:val="002872C4"/>
    <w:rsid w:val="002B5E68"/>
    <w:rsid w:val="002E6B42"/>
    <w:rsid w:val="003030E1"/>
    <w:rsid w:val="00322313"/>
    <w:rsid w:val="00346C78"/>
    <w:rsid w:val="00351130"/>
    <w:rsid w:val="00364E11"/>
    <w:rsid w:val="00381DE5"/>
    <w:rsid w:val="00384D1C"/>
    <w:rsid w:val="00391E16"/>
    <w:rsid w:val="003A1EE6"/>
    <w:rsid w:val="003D23B1"/>
    <w:rsid w:val="003F1BD6"/>
    <w:rsid w:val="00411B98"/>
    <w:rsid w:val="0042797A"/>
    <w:rsid w:val="00472847"/>
    <w:rsid w:val="004746CA"/>
    <w:rsid w:val="00490720"/>
    <w:rsid w:val="004A325F"/>
    <w:rsid w:val="004A3489"/>
    <w:rsid w:val="004A767E"/>
    <w:rsid w:val="004E687D"/>
    <w:rsid w:val="00503BAB"/>
    <w:rsid w:val="00545C98"/>
    <w:rsid w:val="005A29F0"/>
    <w:rsid w:val="005D7625"/>
    <w:rsid w:val="005E1765"/>
    <w:rsid w:val="00604A3B"/>
    <w:rsid w:val="00605A5B"/>
    <w:rsid w:val="00610992"/>
    <w:rsid w:val="00624019"/>
    <w:rsid w:val="00627FFD"/>
    <w:rsid w:val="00647E42"/>
    <w:rsid w:val="00651346"/>
    <w:rsid w:val="00675BEE"/>
    <w:rsid w:val="00680D76"/>
    <w:rsid w:val="006B0B34"/>
    <w:rsid w:val="006C18DA"/>
    <w:rsid w:val="006C6CD1"/>
    <w:rsid w:val="00707FFB"/>
    <w:rsid w:val="00711C19"/>
    <w:rsid w:val="0073114C"/>
    <w:rsid w:val="0076180A"/>
    <w:rsid w:val="00763F75"/>
    <w:rsid w:val="00777E28"/>
    <w:rsid w:val="00795943"/>
    <w:rsid w:val="007C22E4"/>
    <w:rsid w:val="007E2BA1"/>
    <w:rsid w:val="007F047A"/>
    <w:rsid w:val="008002AB"/>
    <w:rsid w:val="0081669B"/>
    <w:rsid w:val="00816F46"/>
    <w:rsid w:val="008201B1"/>
    <w:rsid w:val="00843198"/>
    <w:rsid w:val="00873684"/>
    <w:rsid w:val="008B04CA"/>
    <w:rsid w:val="008D2D67"/>
    <w:rsid w:val="008E538D"/>
    <w:rsid w:val="00900069"/>
    <w:rsid w:val="0092115B"/>
    <w:rsid w:val="00921411"/>
    <w:rsid w:val="00935E77"/>
    <w:rsid w:val="00950525"/>
    <w:rsid w:val="009A1C7E"/>
    <w:rsid w:val="009A6A18"/>
    <w:rsid w:val="009B3794"/>
    <w:rsid w:val="009B7E4D"/>
    <w:rsid w:val="009C14C4"/>
    <w:rsid w:val="009C49BB"/>
    <w:rsid w:val="00A01BF1"/>
    <w:rsid w:val="00A02A65"/>
    <w:rsid w:val="00A1688A"/>
    <w:rsid w:val="00A504B9"/>
    <w:rsid w:val="00A5066F"/>
    <w:rsid w:val="00A71A0E"/>
    <w:rsid w:val="00A92CAB"/>
    <w:rsid w:val="00A939AC"/>
    <w:rsid w:val="00AA6784"/>
    <w:rsid w:val="00AC0471"/>
    <w:rsid w:val="00AE7154"/>
    <w:rsid w:val="00B24F8C"/>
    <w:rsid w:val="00B655C6"/>
    <w:rsid w:val="00B656A0"/>
    <w:rsid w:val="00B96556"/>
    <w:rsid w:val="00BA1A0C"/>
    <w:rsid w:val="00BD539C"/>
    <w:rsid w:val="00BE01AF"/>
    <w:rsid w:val="00BE723E"/>
    <w:rsid w:val="00BF2F34"/>
    <w:rsid w:val="00C15925"/>
    <w:rsid w:val="00C17F2E"/>
    <w:rsid w:val="00C245DB"/>
    <w:rsid w:val="00C26A57"/>
    <w:rsid w:val="00C33247"/>
    <w:rsid w:val="00C45431"/>
    <w:rsid w:val="00C52523"/>
    <w:rsid w:val="00C6216F"/>
    <w:rsid w:val="00C74B86"/>
    <w:rsid w:val="00C75358"/>
    <w:rsid w:val="00C938E3"/>
    <w:rsid w:val="00CA3DA6"/>
    <w:rsid w:val="00CB071B"/>
    <w:rsid w:val="00CD021B"/>
    <w:rsid w:val="00CD36E7"/>
    <w:rsid w:val="00CD5FBB"/>
    <w:rsid w:val="00CD75A4"/>
    <w:rsid w:val="00CE5AA9"/>
    <w:rsid w:val="00D11CA3"/>
    <w:rsid w:val="00D46313"/>
    <w:rsid w:val="00D56CC2"/>
    <w:rsid w:val="00D66341"/>
    <w:rsid w:val="00D74B86"/>
    <w:rsid w:val="00D8041B"/>
    <w:rsid w:val="00D92CCC"/>
    <w:rsid w:val="00D92E1D"/>
    <w:rsid w:val="00DB66B2"/>
    <w:rsid w:val="00DE0E7E"/>
    <w:rsid w:val="00DE3A45"/>
    <w:rsid w:val="00E00CEE"/>
    <w:rsid w:val="00E203FA"/>
    <w:rsid w:val="00E34A1F"/>
    <w:rsid w:val="00E36256"/>
    <w:rsid w:val="00E37115"/>
    <w:rsid w:val="00E87554"/>
    <w:rsid w:val="00E962DB"/>
    <w:rsid w:val="00EA527A"/>
    <w:rsid w:val="00EC38CD"/>
    <w:rsid w:val="00ED18EA"/>
    <w:rsid w:val="00EE0343"/>
    <w:rsid w:val="00EE3F12"/>
    <w:rsid w:val="00EE529C"/>
    <w:rsid w:val="00F4221E"/>
    <w:rsid w:val="00F573D5"/>
    <w:rsid w:val="00F67816"/>
    <w:rsid w:val="00F71848"/>
    <w:rsid w:val="00FB2D40"/>
    <w:rsid w:val="00FE6C30"/>
    <w:rsid w:val="00FE7283"/>
    <w:rsid w:val="00FF5CEF"/>
  </w:rsids>
  <w:docVars>
    <w:docVar w:name="__Grammarly_42___1" w:val="H4sIAAAAAAAEAKtWcslP9kxRslIyNDY2srCwNDQzNjM1MDIwsDRV0lEKTi0uzszPAykwrAUAiL8iG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A71A0E"/>
    <w:rPr>
      <w:sz w:val="16"/>
      <w:szCs w:val="16"/>
    </w:rPr>
  </w:style>
  <w:style w:type="paragraph" w:styleId="CommentText">
    <w:name w:val="annotation text"/>
    <w:basedOn w:val="Normal"/>
    <w:link w:val="CommentTextChar"/>
    <w:semiHidden/>
    <w:unhideWhenUsed/>
    <w:rsid w:val="00A71A0E"/>
    <w:rPr>
      <w:szCs w:val="20"/>
    </w:rPr>
  </w:style>
  <w:style w:type="character" w:customStyle="1" w:styleId="CommentTextChar">
    <w:name w:val="Comment Text Char"/>
    <w:basedOn w:val="DefaultParagraphFont"/>
    <w:link w:val="CommentText"/>
    <w:semiHidden/>
    <w:rsid w:val="00A71A0E"/>
  </w:style>
  <w:style w:type="paragraph" w:styleId="CommentSubject">
    <w:name w:val="annotation subject"/>
    <w:basedOn w:val="CommentText"/>
    <w:next w:val="CommentText"/>
    <w:link w:val="CommentSubjectChar"/>
    <w:semiHidden/>
    <w:unhideWhenUsed/>
    <w:rsid w:val="00A71A0E"/>
    <w:rPr>
      <w:b/>
      <w:bCs/>
    </w:rPr>
  </w:style>
  <w:style w:type="character" w:customStyle="1" w:styleId="CommentSubjectChar">
    <w:name w:val="Comment Subject Char"/>
    <w:basedOn w:val="CommentTextChar"/>
    <w:link w:val="CommentSubject"/>
    <w:semiHidden/>
    <w:rsid w:val="00A71A0E"/>
    <w:rPr>
      <w:b/>
      <w:bCs/>
    </w:rPr>
  </w:style>
  <w:style w:type="character" w:customStyle="1" w:styleId="BodyTextFi">
    <w:name w:val="Body Text Fi"/>
    <w:rsid w:val="00381DE5"/>
  </w:style>
  <w:style w:type="paragraph" w:styleId="Revision">
    <w:name w:val="Revision"/>
    <w:hidden/>
    <w:uiPriority w:val="99"/>
    <w:semiHidden/>
    <w:rsid w:val="000A520F"/>
    <w:rPr>
      <w:szCs w:val="24"/>
    </w:rPr>
  </w:style>
  <w:style w:type="character" w:styleId="UnresolvedMention">
    <w:name w:val="Unresolved Mention"/>
    <w:basedOn w:val="DefaultParagraphFont"/>
    <w:uiPriority w:val="99"/>
    <w:semiHidden/>
    <w:unhideWhenUsed/>
    <w:rsid w:val="00CD75A4"/>
    <w:rPr>
      <w:color w:val="605E5C"/>
      <w:shd w:val="clear" w:color="auto" w:fill="E1DFDD"/>
    </w:rPr>
  </w:style>
  <w:style w:type="paragraph" w:styleId="Header">
    <w:name w:val="header"/>
    <w:basedOn w:val="Normal"/>
    <w:link w:val="HeaderChar"/>
    <w:unhideWhenUsed/>
    <w:rsid w:val="00BD539C"/>
    <w:pPr>
      <w:tabs>
        <w:tab w:val="center" w:pos="4680"/>
        <w:tab w:val="right" w:pos="9360"/>
      </w:tabs>
    </w:pPr>
  </w:style>
  <w:style w:type="character" w:customStyle="1" w:styleId="HeaderChar">
    <w:name w:val="Header Char"/>
    <w:basedOn w:val="DefaultParagraphFont"/>
    <w:link w:val="Header"/>
    <w:rsid w:val="00BD539C"/>
    <w:rPr>
      <w:szCs w:val="24"/>
    </w:rPr>
  </w:style>
  <w:style w:type="paragraph" w:styleId="Footer">
    <w:name w:val="footer"/>
    <w:basedOn w:val="Normal"/>
    <w:link w:val="FooterChar"/>
    <w:unhideWhenUsed/>
    <w:rsid w:val="00BD539C"/>
    <w:pPr>
      <w:tabs>
        <w:tab w:val="center" w:pos="4680"/>
        <w:tab w:val="right" w:pos="9360"/>
      </w:tabs>
    </w:pPr>
  </w:style>
  <w:style w:type="character" w:customStyle="1" w:styleId="FooterChar">
    <w:name w:val="Footer Char"/>
    <w:basedOn w:val="DefaultParagraphFont"/>
    <w:link w:val="Footer"/>
    <w:rsid w:val="00BD53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hs.gov/ohrp/regulations-and-policy/regulations/45-cfr-46/revised-common-rule-regulatory-text/index.htm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ae0f925-a78b-4f93-b0e5-451dcac5f217">QPVJESM53SK4-1767020924-48684</_dlc_DocId>
    <_dlc_DocIdUrl xmlns="dae0f925-a78b-4f93-b0e5-451dcac5f217">
      <Url>https://nih.sharepoint.com/sites/HRSA-HSB/Team/dot/_layouts/15/DocIdRedir.aspx?ID=QPVJESM53SK4-1767020924-48684</Url>
      <Description>QPVJESM53SK4-1767020924-48684</Description>
    </_dlc_DocIdUrl>
    <TaxCatchAll xmlns="dae0f925-a78b-4f93-b0e5-451dcac5f217" xsi:nil="true"/>
    <lcf76f155ced4ddcb4097134ff3c332f xmlns="6fecf0f2-feef-4eb2-bbd5-7e9975a06720">
      <Terms xmlns="http://schemas.microsoft.com/office/infopath/2007/PartnerControls"/>
    </lcf76f155ced4ddcb4097134ff3c332f>
    <_dlc_DocIdPersistId xmlns="dae0f925-a78b-4f93-b0e5-451dcac5f2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4"/>
    <ds:schemaRef ds:uri="dae0f925-a78b-4f93-b0e5-451dcac5f217"/>
    <ds:schemaRef ds:uri="6fecf0f2-feef-4eb2-bbd5-7e9975a06720"/>
  </ds:schemaRefs>
</ds:datastoreItem>
</file>

<file path=customXml/itemProps2.xml><?xml version="1.0" encoding="utf-8"?>
<ds:datastoreItem xmlns:ds="http://schemas.openxmlformats.org/officeDocument/2006/customXml" ds:itemID="{483D0050-6ABD-46A1-B138-C9E4886F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FF8E49D2-A1CD-4F41-BFF3-B815222EAAEE}">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1929</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03152023-Attachment D-Supporting Statement A_OPA PSC Survey_OMB 0906-0004</vt:lpstr>
    </vt:vector>
  </TitlesOfParts>
  <Company>CMS</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03152023-Attachment D-Supporting Statement A_OPA PSC Survey_OMB 0906-0004</dc:title>
  <dc:creator>Jodi.Duckhorn</dc:creator>
  <cp:lastModifiedBy>Cooper, Laura (HRSA)</cp:lastModifiedBy>
  <cp:revision>11</cp:revision>
  <cp:lastPrinted>2010-10-14T13:41:00Z</cp:lastPrinted>
  <dcterms:created xsi:type="dcterms:W3CDTF">2023-06-01T15:48:00Z</dcterms:created>
  <dcterms:modified xsi:type="dcterms:W3CDTF">2023-06-14T13:07:00Z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de891acbd97581d9a3dde9ba5ac1b527826b35f1331a716717d51b4083f50379</vt:lpwstr>
  </property>
  <property fmtid="{D5CDD505-2E9C-101B-9397-08002B2CF9AE}" pid="4" name="ItemRetentionFormula">
    <vt:lpwstr/>
  </property>
  <property fmtid="{D5CDD505-2E9C-101B-9397-08002B2CF9AE}" pid="5" name="MediaServiceImageTags">
    <vt:lpwstr/>
  </property>
  <property fmtid="{D5CDD505-2E9C-101B-9397-08002B2CF9AE}" pid="6" name="Order">
    <vt:r8>4666900</vt:r8>
  </property>
  <property fmtid="{D5CDD505-2E9C-101B-9397-08002B2CF9AE}" pid="7" name="_dlc_DocIdItemGuid">
    <vt:lpwstr>f28f1e1e-0cd3-4d2b-b8d3-88d17a687a4d</vt:lpwstr>
  </property>
  <property fmtid="{D5CDD505-2E9C-101B-9397-08002B2CF9AE}" pid="8" name="_dlc_policyId">
    <vt:lpwstr/>
  </property>
</Properties>
</file>