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666A" w:rsidRPr="00D8666A" w:rsidP="00D8666A" w14:paraId="733B26BD" w14:textId="77777777">
      <w:pPr>
        <w:keepNext/>
        <w:widowControl/>
        <w:tabs>
          <w:tab w:val="left" w:pos="1890"/>
        </w:tabs>
        <w:autoSpaceDE/>
        <w:autoSpaceDN/>
        <w:adjustRightInd/>
        <w:spacing w:line="232" w:lineRule="auto"/>
        <w:ind w:left="1080" w:hanging="1080"/>
        <w:jc w:val="center"/>
        <w:outlineLvl w:val="6"/>
      </w:pPr>
    </w:p>
    <w:p w:rsidR="00D8666A" w:rsidRPr="00D8666A" w:rsidP="00D8666A" w14:paraId="3F4A0896" w14:textId="77777777">
      <w:pPr>
        <w:keepNext/>
        <w:widowControl/>
        <w:tabs>
          <w:tab w:val="left" w:pos="1890"/>
        </w:tabs>
        <w:autoSpaceDE/>
        <w:autoSpaceDN/>
        <w:adjustRightInd/>
        <w:spacing w:line="232" w:lineRule="auto"/>
        <w:ind w:left="1080" w:hanging="1080"/>
        <w:jc w:val="center"/>
        <w:outlineLvl w:val="6"/>
      </w:pPr>
    </w:p>
    <w:p w:rsidR="00D8666A" w:rsidRPr="00D8666A" w:rsidP="00D8666A" w14:paraId="163839F0" w14:textId="77777777">
      <w:pPr>
        <w:keepNext/>
        <w:widowControl/>
        <w:tabs>
          <w:tab w:val="left" w:pos="1890"/>
        </w:tabs>
        <w:autoSpaceDE/>
        <w:autoSpaceDN/>
        <w:adjustRightInd/>
        <w:spacing w:line="232" w:lineRule="auto"/>
        <w:ind w:left="1080" w:hanging="1080"/>
        <w:jc w:val="center"/>
        <w:outlineLvl w:val="6"/>
      </w:pPr>
    </w:p>
    <w:p w:rsidR="00D8666A" w:rsidRPr="00D8666A" w:rsidP="00D8666A" w14:paraId="06135EB1" w14:textId="77777777">
      <w:pPr>
        <w:keepNext/>
        <w:widowControl/>
        <w:tabs>
          <w:tab w:val="left" w:pos="1890"/>
        </w:tabs>
        <w:autoSpaceDE/>
        <w:autoSpaceDN/>
        <w:adjustRightInd/>
        <w:spacing w:line="232" w:lineRule="auto"/>
        <w:ind w:left="1080" w:hanging="1080"/>
        <w:jc w:val="center"/>
        <w:outlineLvl w:val="6"/>
      </w:pPr>
    </w:p>
    <w:p w:rsidR="00D8666A" w:rsidRPr="00ED54CE" w:rsidP="00D8666A" w14:paraId="3024701D" w14:textId="77777777">
      <w:pPr>
        <w:keepNext/>
        <w:widowControl/>
        <w:tabs>
          <w:tab w:val="left" w:pos="1890"/>
        </w:tabs>
        <w:autoSpaceDE/>
        <w:autoSpaceDN/>
        <w:adjustRightInd/>
        <w:spacing w:line="232" w:lineRule="auto"/>
        <w:ind w:left="1080" w:hanging="1080"/>
        <w:jc w:val="center"/>
        <w:outlineLvl w:val="6"/>
      </w:pPr>
      <w:r w:rsidRPr="00ED54CE">
        <w:t>Information Collection Request</w:t>
      </w:r>
    </w:p>
    <w:p w:rsidR="00D8666A" w:rsidRPr="00ED54CE" w:rsidP="00D8666A" w14:paraId="00EDCAC7" w14:textId="77777777">
      <w:pPr>
        <w:widowControl/>
        <w:autoSpaceDE/>
        <w:autoSpaceDN/>
        <w:adjustRightInd/>
        <w:jc w:val="center"/>
      </w:pPr>
    </w:p>
    <w:p w:rsidR="00D8666A" w:rsidRPr="00ED54CE" w:rsidP="00D8666A" w14:paraId="3D88D749" w14:textId="77777777">
      <w:pPr>
        <w:widowControl/>
        <w:autoSpaceDE/>
        <w:autoSpaceDN/>
        <w:adjustRightInd/>
        <w:jc w:val="center"/>
      </w:pPr>
    </w:p>
    <w:p w:rsidR="00D8666A" w:rsidRPr="00ED54CE" w:rsidP="00D8666A" w14:paraId="45B7DEB1" w14:textId="77777777">
      <w:pPr>
        <w:widowControl/>
        <w:autoSpaceDE/>
        <w:autoSpaceDN/>
        <w:adjustRightInd/>
        <w:jc w:val="center"/>
      </w:pPr>
    </w:p>
    <w:p w:rsidR="00D8666A" w:rsidRPr="00ED54CE" w:rsidP="00D8666A" w14:paraId="39E70312" w14:textId="77777777">
      <w:pPr>
        <w:widowControl/>
        <w:autoSpaceDE/>
        <w:autoSpaceDN/>
        <w:adjustRightInd/>
        <w:jc w:val="center"/>
      </w:pPr>
    </w:p>
    <w:p w:rsidR="00D8666A" w:rsidRPr="00ED54CE" w:rsidP="00D8666A" w14:paraId="7B55FD9E" w14:textId="215F56A0">
      <w:pPr>
        <w:widowControl/>
        <w:autoSpaceDE/>
        <w:autoSpaceDN/>
        <w:adjustRightInd/>
      </w:pPr>
    </w:p>
    <w:p w:rsidR="00BF7364" w:rsidRPr="00ED54CE" w:rsidP="00D8666A" w14:paraId="618B0D05" w14:textId="77777777">
      <w:pPr>
        <w:widowControl/>
        <w:autoSpaceDE/>
        <w:autoSpaceDN/>
        <w:adjustRightInd/>
      </w:pPr>
    </w:p>
    <w:p w:rsidR="00D8666A" w:rsidRPr="00ED54CE" w:rsidP="00D8666A" w14:paraId="2CEFA1FE" w14:textId="77777777">
      <w:pPr>
        <w:widowControl/>
        <w:autoSpaceDE/>
        <w:autoSpaceDN/>
        <w:adjustRightInd/>
      </w:pPr>
    </w:p>
    <w:p w:rsidR="00D8666A" w:rsidRPr="00ED54CE" w:rsidP="00D8666A" w14:paraId="0026500A" w14:textId="5885023F">
      <w:pPr>
        <w:keepNext/>
        <w:widowControl/>
        <w:tabs>
          <w:tab w:val="left" w:pos="1890"/>
        </w:tabs>
        <w:autoSpaceDE/>
        <w:autoSpaceDN/>
        <w:adjustRightInd/>
        <w:spacing w:line="232" w:lineRule="auto"/>
        <w:ind w:left="1080" w:hanging="1080"/>
        <w:jc w:val="center"/>
        <w:outlineLvl w:val="6"/>
        <w:rPr>
          <w:b/>
        </w:rPr>
      </w:pPr>
      <w:r w:rsidRPr="00ED54CE">
        <w:rPr>
          <w:b/>
        </w:rPr>
        <w:t>NATIONAL YOUTH TOBACCO SURVEY, 202</w:t>
      </w:r>
      <w:r w:rsidRPr="00ED54CE" w:rsidR="00BF7364">
        <w:rPr>
          <w:b/>
        </w:rPr>
        <w:t>4</w:t>
      </w:r>
      <w:r w:rsidRPr="00ED54CE">
        <w:rPr>
          <w:b/>
        </w:rPr>
        <w:t xml:space="preserve"> - 202</w:t>
      </w:r>
      <w:r w:rsidRPr="00ED54CE" w:rsidR="00BF7364">
        <w:rPr>
          <w:b/>
        </w:rPr>
        <w:t>6</w:t>
      </w:r>
    </w:p>
    <w:p w:rsidR="00D8666A" w:rsidRPr="00ED54CE" w:rsidP="00D8666A" w14:paraId="58D93D0A" w14:textId="77777777">
      <w:pPr>
        <w:widowControl/>
        <w:autoSpaceDE/>
        <w:autoSpaceDN/>
        <w:adjustRightInd/>
      </w:pPr>
    </w:p>
    <w:p w:rsidR="00D8666A" w:rsidRPr="00ED54CE" w:rsidP="00D8666A" w14:paraId="21078553" w14:textId="719C2B72">
      <w:pPr>
        <w:widowControl/>
        <w:autoSpaceDE/>
        <w:autoSpaceDN/>
        <w:adjustRightInd/>
        <w:jc w:val="center"/>
      </w:pPr>
      <w:r w:rsidRPr="00ED54CE">
        <w:t xml:space="preserve">OMB No. 0920-0621 </w:t>
      </w:r>
    </w:p>
    <w:p w:rsidR="00D8666A" w:rsidRPr="00ED54CE" w:rsidP="00D8666A" w14:paraId="3892771A" w14:textId="77777777">
      <w:pPr>
        <w:widowControl/>
        <w:autoSpaceDE/>
        <w:autoSpaceDN/>
        <w:adjustRightInd/>
      </w:pPr>
    </w:p>
    <w:p w:rsidR="00D8666A" w:rsidRPr="00ED54CE" w:rsidP="00D8666A" w14:paraId="65EFF1E4" w14:textId="77777777">
      <w:pPr>
        <w:widowControl/>
        <w:autoSpaceDE/>
        <w:autoSpaceDN/>
        <w:adjustRightInd/>
      </w:pPr>
    </w:p>
    <w:p w:rsidR="00D8666A" w:rsidRPr="00ED54CE" w:rsidP="00D8666A" w14:paraId="411FA2AD" w14:textId="77777777">
      <w:pPr>
        <w:widowControl/>
        <w:autoSpaceDE/>
        <w:autoSpaceDN/>
        <w:adjustRightInd/>
      </w:pPr>
    </w:p>
    <w:p w:rsidR="00D8666A" w:rsidRPr="00ED54CE" w:rsidP="00D8666A" w14:paraId="75B0A16F" w14:textId="77777777">
      <w:pPr>
        <w:widowControl/>
        <w:autoSpaceDE/>
        <w:autoSpaceDN/>
        <w:adjustRightInd/>
      </w:pPr>
    </w:p>
    <w:p w:rsidR="00D8666A" w:rsidRPr="00ED54CE" w:rsidP="00D8666A" w14:paraId="142E1052" w14:textId="77777777">
      <w:pPr>
        <w:widowControl/>
        <w:autoSpaceDE/>
        <w:autoSpaceDN/>
        <w:adjustRightInd/>
      </w:pPr>
    </w:p>
    <w:p w:rsidR="00D8666A" w:rsidRPr="00ED54CE" w:rsidP="00D8666A" w14:paraId="4634C9F8" w14:textId="77777777">
      <w:pPr>
        <w:keepNext/>
        <w:widowControl/>
        <w:autoSpaceDE/>
        <w:autoSpaceDN/>
        <w:adjustRightInd/>
        <w:spacing w:line="232" w:lineRule="auto"/>
        <w:ind w:left="1080" w:hanging="1080"/>
        <w:jc w:val="center"/>
        <w:outlineLvl w:val="6"/>
      </w:pPr>
      <w:r w:rsidRPr="00ED54CE">
        <w:rPr>
          <w:b/>
        </w:rPr>
        <w:t xml:space="preserve">SUPPORTING STATEMENT: PART </w:t>
      </w:r>
      <w:r w:rsidRPr="00ED54CE" w:rsidR="008530B2">
        <w:rPr>
          <w:b/>
        </w:rPr>
        <w:t>B</w:t>
      </w:r>
      <w:r w:rsidRPr="00ED54CE">
        <w:cr/>
      </w:r>
      <w:r w:rsidRPr="00ED54CE">
        <w:cr/>
      </w:r>
    </w:p>
    <w:p w:rsidR="00D8666A" w:rsidRPr="00ED54CE" w:rsidP="00D8666A" w14:paraId="72350110" w14:textId="77777777">
      <w:pPr>
        <w:keepNext/>
        <w:widowControl/>
        <w:autoSpaceDE/>
        <w:autoSpaceDN/>
        <w:adjustRightInd/>
        <w:spacing w:line="232" w:lineRule="auto"/>
        <w:ind w:left="1080" w:hanging="1080"/>
        <w:jc w:val="center"/>
        <w:outlineLvl w:val="6"/>
        <w:rPr>
          <w:b/>
        </w:rPr>
      </w:pPr>
    </w:p>
    <w:p w:rsidR="00D8666A" w:rsidRPr="00ED54CE" w:rsidP="00D8666A" w14:paraId="7676B813" w14:textId="77777777">
      <w:pPr>
        <w:keepNext/>
        <w:widowControl/>
        <w:autoSpaceDE/>
        <w:autoSpaceDN/>
        <w:adjustRightInd/>
        <w:spacing w:line="232" w:lineRule="auto"/>
        <w:ind w:left="1080" w:hanging="1080"/>
        <w:jc w:val="center"/>
        <w:outlineLvl w:val="6"/>
        <w:rPr>
          <w:b/>
        </w:rPr>
      </w:pPr>
    </w:p>
    <w:p w:rsidR="00D8666A" w:rsidRPr="00ED54CE" w:rsidP="00D8666A" w14:paraId="43809515" w14:textId="77777777">
      <w:pPr>
        <w:widowControl/>
        <w:autoSpaceDE/>
        <w:autoSpaceDN/>
        <w:adjustRightInd/>
      </w:pPr>
    </w:p>
    <w:p w:rsidR="00D8666A" w:rsidRPr="00ED54CE" w:rsidP="00D8666A" w14:paraId="36E41AED" w14:textId="77777777">
      <w:pPr>
        <w:keepNext/>
        <w:widowControl/>
        <w:autoSpaceDE/>
        <w:autoSpaceDN/>
        <w:adjustRightInd/>
        <w:spacing w:line="232" w:lineRule="auto"/>
        <w:ind w:left="1080" w:hanging="1080"/>
        <w:jc w:val="center"/>
        <w:outlineLvl w:val="6"/>
        <w:rPr>
          <w:b/>
        </w:rPr>
      </w:pPr>
    </w:p>
    <w:p w:rsidR="00D8666A" w:rsidRPr="00ED54CE" w:rsidP="00D8666A" w14:paraId="67E9B6D5" w14:textId="77777777">
      <w:pPr>
        <w:keepNext/>
        <w:widowControl/>
        <w:autoSpaceDE/>
        <w:autoSpaceDN/>
        <w:adjustRightInd/>
        <w:spacing w:line="232" w:lineRule="auto"/>
        <w:ind w:left="1080" w:hanging="1080"/>
        <w:jc w:val="center"/>
        <w:outlineLvl w:val="6"/>
        <w:rPr>
          <w:b/>
        </w:rPr>
      </w:pPr>
      <w:r w:rsidRPr="00ED54CE">
        <w:rPr>
          <w:b/>
        </w:rPr>
        <w:t>Submitted by:</w:t>
      </w:r>
    </w:p>
    <w:p w:rsidR="00D8666A" w:rsidRPr="00ED54CE" w:rsidP="00D8666A" w14:paraId="0C180730" w14:textId="337C81EF">
      <w:pPr>
        <w:keepNext/>
        <w:widowControl/>
        <w:autoSpaceDE/>
        <w:autoSpaceDN/>
        <w:adjustRightInd/>
        <w:spacing w:line="232" w:lineRule="auto"/>
        <w:ind w:left="1080" w:hanging="1080"/>
        <w:jc w:val="center"/>
        <w:outlineLvl w:val="6"/>
      </w:pPr>
      <w:r w:rsidRPr="00ED54CE">
        <w:t>Dr. Ahmed Jamal</w:t>
      </w:r>
      <w:r w:rsidRPr="00ED54CE" w:rsidR="00905915">
        <w:t>, M.B.B.S, M.P.H</w:t>
      </w:r>
    </w:p>
    <w:p w:rsidR="00D8666A" w:rsidRPr="00ED54CE" w:rsidP="00D8666A" w14:paraId="10D86EF1" w14:textId="77777777">
      <w:pPr>
        <w:keepNext/>
        <w:widowControl/>
        <w:autoSpaceDE/>
        <w:autoSpaceDN/>
        <w:adjustRightInd/>
        <w:spacing w:line="232" w:lineRule="auto"/>
        <w:ind w:left="1080" w:hanging="1080"/>
        <w:jc w:val="center"/>
        <w:outlineLvl w:val="6"/>
      </w:pPr>
      <w:r w:rsidRPr="00ED54CE">
        <w:t xml:space="preserve">Centers for Disease Control and Prevention </w:t>
      </w:r>
    </w:p>
    <w:p w:rsidR="00D8666A" w:rsidRPr="00ED54CE" w:rsidP="00D8666A" w14:paraId="5A24D75C" w14:textId="77777777">
      <w:pPr>
        <w:keepNext/>
        <w:widowControl/>
        <w:autoSpaceDE/>
        <w:autoSpaceDN/>
        <w:adjustRightInd/>
        <w:spacing w:line="232" w:lineRule="auto"/>
        <w:ind w:left="1080" w:hanging="1080"/>
        <w:jc w:val="center"/>
        <w:outlineLvl w:val="6"/>
      </w:pPr>
      <w:r w:rsidRPr="00ED54CE">
        <w:t xml:space="preserve">Office on Smoking and Health </w:t>
      </w:r>
    </w:p>
    <w:p w:rsidR="00D8666A" w:rsidRPr="00ED54CE" w:rsidP="00D8666A" w14:paraId="5266CD05" w14:textId="77777777">
      <w:pPr>
        <w:keepNext/>
        <w:widowControl/>
        <w:autoSpaceDE/>
        <w:autoSpaceDN/>
        <w:adjustRightInd/>
        <w:spacing w:line="232" w:lineRule="auto"/>
        <w:ind w:left="1080" w:hanging="1080"/>
        <w:jc w:val="center"/>
        <w:outlineLvl w:val="6"/>
      </w:pPr>
      <w:r w:rsidRPr="00ED54CE">
        <w:t xml:space="preserve">Epidemiology Branch </w:t>
      </w:r>
    </w:p>
    <w:p w:rsidR="00D8666A" w:rsidRPr="00ED54CE" w:rsidP="00D8666A" w14:paraId="4CD42889" w14:textId="77777777">
      <w:pPr>
        <w:keepNext/>
        <w:widowControl/>
        <w:autoSpaceDE/>
        <w:autoSpaceDN/>
        <w:adjustRightInd/>
        <w:spacing w:line="232" w:lineRule="auto"/>
        <w:ind w:left="1080" w:hanging="1080"/>
        <w:jc w:val="center"/>
        <w:outlineLvl w:val="6"/>
      </w:pPr>
      <w:r w:rsidRPr="00ED54CE">
        <w:t xml:space="preserve">4770 Buford Highway NE, MS-S107-7 </w:t>
      </w:r>
    </w:p>
    <w:p w:rsidR="00D8666A" w:rsidRPr="00ED54CE" w:rsidP="00D8666A" w14:paraId="0223E2F2" w14:textId="77777777">
      <w:pPr>
        <w:keepNext/>
        <w:widowControl/>
        <w:autoSpaceDE/>
        <w:autoSpaceDN/>
        <w:adjustRightInd/>
        <w:spacing w:line="232" w:lineRule="auto"/>
        <w:ind w:left="1080" w:hanging="1080"/>
        <w:jc w:val="center"/>
        <w:outlineLvl w:val="6"/>
      </w:pPr>
      <w:r w:rsidRPr="00ED54CE">
        <w:t xml:space="preserve">Atlanta, GA 30341 </w:t>
      </w:r>
    </w:p>
    <w:p w:rsidR="00D8666A" w:rsidRPr="00ED54CE" w:rsidP="00D8666A" w14:paraId="35C602DB" w14:textId="4B8CFC40">
      <w:pPr>
        <w:keepNext/>
        <w:widowControl/>
        <w:autoSpaceDE/>
        <w:autoSpaceDN/>
        <w:adjustRightInd/>
        <w:spacing w:line="232" w:lineRule="auto"/>
        <w:ind w:left="1080" w:hanging="1080"/>
        <w:jc w:val="center"/>
        <w:outlineLvl w:val="6"/>
      </w:pPr>
      <w:r w:rsidRPr="00ED54CE">
        <w:t xml:space="preserve">Phone: </w:t>
      </w:r>
      <w:r w:rsidRPr="00ED54CE" w:rsidR="00AD3E17">
        <w:t>770-488-5077</w:t>
      </w:r>
    </w:p>
    <w:p w:rsidR="00D8666A" w:rsidRPr="00ED54CE" w:rsidP="00D8666A" w14:paraId="08685418" w14:textId="120796A0">
      <w:pPr>
        <w:keepNext/>
        <w:widowControl/>
        <w:autoSpaceDE/>
        <w:autoSpaceDN/>
        <w:adjustRightInd/>
        <w:spacing w:line="232" w:lineRule="auto"/>
        <w:ind w:left="1080" w:hanging="1080"/>
        <w:jc w:val="center"/>
        <w:outlineLvl w:val="6"/>
      </w:pPr>
      <w:r w:rsidRPr="00ED54CE">
        <w:t xml:space="preserve">Fax: </w:t>
      </w:r>
      <w:r w:rsidRPr="00ED54CE" w:rsidR="00AD3E17">
        <w:t>770-488-5848</w:t>
      </w:r>
    </w:p>
    <w:p w:rsidR="00D8666A" w:rsidRPr="00ED54CE" w:rsidP="00D8666A" w14:paraId="256EE09B" w14:textId="7A84F60F">
      <w:pPr>
        <w:keepNext/>
        <w:widowControl/>
        <w:autoSpaceDE/>
        <w:autoSpaceDN/>
        <w:adjustRightInd/>
        <w:spacing w:line="232" w:lineRule="auto"/>
        <w:ind w:left="1080" w:hanging="1080"/>
        <w:jc w:val="center"/>
        <w:outlineLvl w:val="6"/>
        <w:rPr>
          <w:b/>
        </w:rPr>
      </w:pPr>
      <w:r w:rsidRPr="00ED54CE">
        <w:t xml:space="preserve">E-mail: </w:t>
      </w:r>
      <w:r w:rsidRPr="00ED54CE" w:rsidR="00AD3E17">
        <w:t>AJamal@cdc.gov</w:t>
      </w:r>
    </w:p>
    <w:p w:rsidR="00D8666A" w:rsidRPr="00ED54CE" w:rsidP="00D8666A" w14:paraId="29AB6384" w14:textId="77777777">
      <w:pPr>
        <w:widowControl/>
        <w:autoSpaceDE/>
        <w:autoSpaceDN/>
        <w:adjustRightInd/>
      </w:pPr>
    </w:p>
    <w:p w:rsidR="00D8666A" w:rsidRPr="00ED54CE" w:rsidP="00D8666A" w14:paraId="2F158430" w14:textId="77777777">
      <w:pPr>
        <w:widowControl/>
        <w:autoSpaceDE/>
        <w:autoSpaceDN/>
        <w:adjustRightInd/>
      </w:pPr>
    </w:p>
    <w:p w:rsidR="00D8666A" w:rsidRPr="00ED54CE" w:rsidP="00D8666A" w14:paraId="677CF8FB" w14:textId="77777777">
      <w:pPr>
        <w:widowControl/>
        <w:autoSpaceDE/>
        <w:autoSpaceDN/>
        <w:adjustRightInd/>
        <w:jc w:val="center"/>
      </w:pPr>
    </w:p>
    <w:p w:rsidR="00D8666A" w:rsidRPr="00ED54CE" w:rsidP="00D8666A" w14:paraId="4068A354" w14:textId="77777777">
      <w:pPr>
        <w:widowControl/>
        <w:autoSpaceDE/>
        <w:autoSpaceDN/>
        <w:adjustRightInd/>
        <w:jc w:val="center"/>
      </w:pPr>
    </w:p>
    <w:p w:rsidR="00D8666A" w:rsidRPr="00ED54CE" w:rsidP="00D8666A" w14:paraId="094EA7CF" w14:textId="77777777">
      <w:pPr>
        <w:widowControl/>
        <w:autoSpaceDE/>
        <w:autoSpaceDN/>
        <w:adjustRightInd/>
        <w:jc w:val="center"/>
      </w:pPr>
    </w:p>
    <w:p w:rsidR="00D8666A" w:rsidRPr="00ED54CE" w:rsidP="00D8666A" w14:paraId="29885EF5" w14:textId="77777777">
      <w:pPr>
        <w:widowControl/>
        <w:autoSpaceDE/>
        <w:autoSpaceDN/>
        <w:adjustRightInd/>
        <w:jc w:val="center"/>
      </w:pPr>
    </w:p>
    <w:p w:rsidR="00D8666A" w:rsidRPr="00ED54CE" w:rsidP="00D8666A" w14:paraId="3F407998" w14:textId="4EC9C971">
      <w:pPr>
        <w:widowControl/>
        <w:autoSpaceDE/>
        <w:autoSpaceDN/>
        <w:adjustRightInd/>
        <w:jc w:val="center"/>
      </w:pPr>
      <w:r>
        <w:t>December 18</w:t>
      </w:r>
      <w:r w:rsidRPr="00ED54CE" w:rsidR="00222723">
        <w:t>, 202</w:t>
      </w:r>
      <w:r w:rsidRPr="00ED54CE" w:rsidR="00BF7364">
        <w:t>3</w:t>
      </w:r>
    </w:p>
    <w:p w:rsidR="00D8666A" w:rsidRPr="00ED54CE" w:rsidP="00D8666A" w14:paraId="2785995B" w14:textId="77777777">
      <w:pPr>
        <w:widowControl/>
        <w:autoSpaceDE/>
        <w:autoSpaceDN/>
        <w:adjustRightInd/>
        <w:jc w:val="center"/>
      </w:pPr>
    </w:p>
    <w:p w:rsidR="00EE43A4" w:rsidRPr="00ED54CE" w:rsidP="00BB2FEC" w14:paraId="4B59096E" w14:textId="77777777">
      <w:pPr>
        <w:jc w:val="center"/>
        <w:rPr>
          <w:b/>
        </w:rPr>
      </w:pPr>
      <w:r w:rsidRPr="00ED54CE">
        <w:rPr>
          <w:b/>
          <w:bCs/>
        </w:rPr>
        <w:br w:type="page"/>
      </w:r>
      <w:r w:rsidRPr="00ED54CE">
        <w:rPr>
          <w:b/>
        </w:rPr>
        <w:t>TABLE OF CONTENTS</w:t>
      </w:r>
    </w:p>
    <w:p w:rsidR="00EE43A4" w:rsidRPr="00ED54CE" w:rsidP="00BB2FEC" w14:paraId="31CBA4D7" w14:textId="77777777">
      <w:pPr>
        <w:rPr>
          <w:rStyle w:val="Heading31"/>
          <w:color w:val="000000"/>
        </w:rPr>
      </w:pPr>
    </w:p>
    <w:p w:rsidR="00EE43A4" w:rsidRPr="00ED54CE" w:rsidP="00BB2FEC" w14:paraId="6C7FAAD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1"/>
          <w:color w:val="000000"/>
        </w:rPr>
      </w:pPr>
      <w:r w:rsidRPr="00ED54CE">
        <w:rPr>
          <w:rStyle w:val="Footer1"/>
          <w:b/>
          <w:color w:val="000000"/>
        </w:rPr>
        <w:t>B</w:t>
      </w:r>
      <w:r w:rsidRPr="00ED54CE" w:rsidR="00A315CB">
        <w:rPr>
          <w:rStyle w:val="Footer1"/>
          <w:b/>
          <w:color w:val="000000"/>
        </w:rPr>
        <w:t xml:space="preserve">. </w:t>
      </w:r>
      <w:r w:rsidRPr="00ED54CE">
        <w:rPr>
          <w:rStyle w:val="Footer1"/>
          <w:b/>
          <w:color w:val="000000"/>
        </w:rPr>
        <w:t>COLLECTIONS OF INFORMATION EMPLOYING STATISTICAL METHODS</w:t>
      </w:r>
    </w:p>
    <w:p w:rsidR="00EE43A4" w:rsidRPr="00ED54CE" w:rsidP="00BB2FEC" w14:paraId="78C8D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color w:val="000000"/>
        </w:rPr>
      </w:pPr>
    </w:p>
    <w:p w:rsidR="00A2789B" w:rsidRPr="00ED54CE" w:rsidP="00BB2FEC" w14:paraId="4D006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ED54CE">
        <w:rPr>
          <w:rStyle w:val="Footer1"/>
          <w:color w:val="000000"/>
        </w:rPr>
        <w:t>B.</w:t>
      </w:r>
      <w:r w:rsidRPr="00ED54CE" w:rsidR="00EE43A4">
        <w:rPr>
          <w:rStyle w:val="Footer1"/>
          <w:color w:val="000000"/>
        </w:rPr>
        <w:t>1</w:t>
      </w:r>
      <w:r w:rsidRPr="00ED54CE" w:rsidR="000529D7">
        <w:rPr>
          <w:rStyle w:val="Footer1"/>
          <w:color w:val="000000"/>
        </w:rPr>
        <w:t>.</w:t>
      </w:r>
      <w:r w:rsidRPr="00ED54CE" w:rsidR="00EE43A4">
        <w:rPr>
          <w:rStyle w:val="Footer1"/>
          <w:color w:val="000000"/>
        </w:rPr>
        <w:tab/>
      </w:r>
      <w:r w:rsidRPr="00ED54CE" w:rsidR="00EE43A4">
        <w:rPr>
          <w:rStyle w:val="Footer1"/>
          <w:bCs/>
          <w:color w:val="000000"/>
        </w:rPr>
        <w:t>Respondent Universe and Sampling Methods</w:t>
      </w:r>
      <w:r w:rsidRPr="00ED54CE" w:rsidR="00EE43A4">
        <w:rPr>
          <w:rStyle w:val="Footer1"/>
          <w:bCs/>
          <w:color w:val="000000"/>
        </w:rPr>
        <w:tab/>
      </w:r>
    </w:p>
    <w:p w:rsidR="00B62B75" w:rsidRPr="00ED54CE" w:rsidP="00BB2FEC" w14:paraId="2329C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2789B" w:rsidRPr="00ED54CE" w:rsidP="00BB2FEC" w14:paraId="14AF20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ED54CE">
        <w:rPr>
          <w:rStyle w:val="Footer1"/>
          <w:bCs/>
          <w:color w:val="000000"/>
        </w:rPr>
        <w:t>B.</w:t>
      </w:r>
      <w:r w:rsidRPr="00ED54CE" w:rsidR="00EE43A4">
        <w:rPr>
          <w:rStyle w:val="Footer1"/>
          <w:bCs/>
          <w:color w:val="000000"/>
        </w:rPr>
        <w:t>2</w:t>
      </w:r>
      <w:r w:rsidRPr="00ED54CE" w:rsidR="000529D7">
        <w:rPr>
          <w:rStyle w:val="Footer1"/>
          <w:bCs/>
          <w:color w:val="000000"/>
        </w:rPr>
        <w:t>.</w:t>
      </w:r>
      <w:r w:rsidRPr="00ED54CE" w:rsidR="00EE43A4">
        <w:rPr>
          <w:rStyle w:val="Footer1"/>
          <w:bCs/>
          <w:color w:val="000000"/>
        </w:rPr>
        <w:tab/>
        <w:t>Procedures for the Collection of Information</w:t>
      </w:r>
      <w:r w:rsidRPr="00ED54CE" w:rsidR="00EE43A4">
        <w:rPr>
          <w:rStyle w:val="Footer1"/>
          <w:bCs/>
          <w:color w:val="000000"/>
        </w:rPr>
        <w:tab/>
      </w:r>
      <w:r w:rsidRPr="00ED54CE" w:rsidR="00EE43A4">
        <w:rPr>
          <w:rStyle w:val="Footer1"/>
          <w:bCs/>
          <w:color w:val="000000"/>
        </w:rPr>
        <w:tab/>
      </w:r>
    </w:p>
    <w:p w:rsidR="00EE43A4" w:rsidRPr="00ED54CE" w:rsidP="00BB2FEC" w14:paraId="1D6C05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ED54CE">
        <w:rPr>
          <w:rStyle w:val="Footer1"/>
          <w:bCs/>
          <w:color w:val="000000"/>
        </w:rPr>
        <w:tab/>
      </w:r>
      <w:r w:rsidRPr="00ED54CE">
        <w:rPr>
          <w:rStyle w:val="Footer1"/>
          <w:bCs/>
          <w:color w:val="000000"/>
        </w:rPr>
        <w:tab/>
      </w:r>
      <w:r w:rsidRPr="00ED54CE">
        <w:rPr>
          <w:rStyle w:val="Footer1"/>
          <w:bCs/>
          <w:color w:val="000000"/>
        </w:rPr>
        <w:tab/>
      </w:r>
      <w:r w:rsidRPr="00ED54CE">
        <w:rPr>
          <w:rStyle w:val="Footer1"/>
          <w:bCs/>
          <w:color w:val="000000"/>
        </w:rPr>
        <w:tab/>
      </w:r>
      <w:r w:rsidRPr="00ED54CE">
        <w:rPr>
          <w:rStyle w:val="Footer1"/>
          <w:bCs/>
          <w:color w:val="000000"/>
        </w:rPr>
        <w:tab/>
      </w:r>
    </w:p>
    <w:p w:rsidR="00A2789B" w:rsidRPr="00ED54CE" w:rsidP="00BB2FEC" w14:paraId="540ACE7D"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sidRPr="00ED54CE">
        <w:rPr>
          <w:bCs/>
          <w:color w:val="000000"/>
        </w:rPr>
        <w:t>B.</w:t>
      </w:r>
      <w:r w:rsidRPr="00ED54CE" w:rsidR="00EE43A4">
        <w:rPr>
          <w:bCs/>
          <w:color w:val="000000"/>
        </w:rPr>
        <w:t>3.</w:t>
      </w:r>
      <w:r w:rsidRPr="00ED54CE" w:rsidR="00EE43A4">
        <w:rPr>
          <w:bCs/>
          <w:color w:val="000000"/>
        </w:rPr>
        <w:tab/>
        <w:t>Methods to Maximize Response Rates and Deal with Nonresponse</w:t>
      </w:r>
      <w:r w:rsidRPr="00ED54CE" w:rsidR="00EE43A4">
        <w:rPr>
          <w:bCs/>
          <w:color w:val="000000"/>
        </w:rPr>
        <w:tab/>
      </w:r>
      <w:r w:rsidRPr="00ED54CE" w:rsidR="00EE43A4">
        <w:rPr>
          <w:bCs/>
          <w:color w:val="000000"/>
        </w:rPr>
        <w:tab/>
      </w:r>
    </w:p>
    <w:p w:rsidR="00EE43A4" w:rsidRPr="00ED54CE" w:rsidP="00BB2FEC" w14:paraId="3DA07A8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sidRPr="00ED54CE">
        <w:rPr>
          <w:bCs/>
          <w:color w:val="000000"/>
        </w:rPr>
        <w:tab/>
      </w:r>
    </w:p>
    <w:p w:rsidR="00EE43A4" w:rsidRPr="00ED54CE" w:rsidP="00BB2FEC" w14:paraId="5089AD8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ED54CE">
        <w:rPr>
          <w:bCs/>
          <w:color w:val="000000"/>
        </w:rPr>
        <w:t>B.</w:t>
      </w:r>
      <w:r w:rsidRPr="00ED54CE">
        <w:rPr>
          <w:bCs/>
          <w:color w:val="000000"/>
        </w:rPr>
        <w:t>4.</w:t>
      </w:r>
      <w:r w:rsidRPr="00ED54CE">
        <w:rPr>
          <w:bCs/>
          <w:color w:val="000000"/>
        </w:rPr>
        <w:tab/>
        <w:t>Tests of Procedures or Methods to be Undertaken</w:t>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p>
    <w:p w:rsidR="006B74F5" w:rsidRPr="00ED54CE" w:rsidP="00BB2FEC" w14:paraId="4CD363D2"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00EE43A4" w:rsidRPr="00ED54CE" w:rsidP="00BF7364" w14:paraId="109F902C" w14:textId="4016158F">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ED54CE">
        <w:rPr>
          <w:bCs/>
          <w:color w:val="000000"/>
        </w:rPr>
        <w:t>B.5</w:t>
      </w:r>
      <w:r w:rsidRPr="00ED54CE">
        <w:rPr>
          <w:rStyle w:val="Footer1"/>
          <w:bCs/>
          <w:color w:val="000000"/>
        </w:rPr>
        <w:t xml:space="preserve"> </w:t>
      </w:r>
      <w:r w:rsidRPr="00ED54CE">
        <w:rPr>
          <w:rStyle w:val="Footer1"/>
          <w:bCs/>
          <w:color w:val="000000"/>
        </w:rPr>
        <w:tab/>
      </w:r>
      <w:r w:rsidRPr="00ED54CE">
        <w:rPr>
          <w:bCs/>
          <w:color w:val="000000"/>
        </w:rPr>
        <w:t xml:space="preserve">Individuals Consulted on Statistical Aspects and Individuals Collecting and/or </w:t>
      </w:r>
    </w:p>
    <w:p w:rsidR="00EE43A4" w:rsidRPr="00ED54CE" w:rsidP="00BB2FEC" w14:paraId="546AA101"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sidRPr="00ED54CE">
        <w:rPr>
          <w:bCs/>
          <w:color w:val="000000"/>
        </w:rPr>
        <w:tab/>
      </w:r>
      <w:r w:rsidRPr="00ED54CE">
        <w:rPr>
          <w:bCs/>
          <w:color w:val="000000"/>
        </w:rPr>
        <w:tab/>
        <w:t>Analyzing Data</w:t>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r w:rsidRPr="00ED54CE">
        <w:rPr>
          <w:bCs/>
          <w:color w:val="000000"/>
        </w:rPr>
        <w:tab/>
      </w:r>
    </w:p>
    <w:p w:rsidR="00B62B75" w:rsidRPr="00ED54CE" w:rsidP="00BB2FEC" w14:paraId="19AF85F9" w14:textId="77777777">
      <w:pPr>
        <w:pStyle w:val="Level9"/>
        <w:widowControl/>
        <w:ind w:right="-270"/>
        <w:rPr>
          <w:color w:val="000000"/>
        </w:rPr>
      </w:pPr>
    </w:p>
    <w:p w:rsidR="00EE43A4" w:rsidRPr="00ED54CE" w:rsidP="00BB2FEC" w14:paraId="7DB3566E" w14:textId="77777777">
      <w:pPr>
        <w:pStyle w:val="Level9"/>
        <w:widowControl/>
        <w:ind w:right="-270"/>
        <w:rPr>
          <w:b w:val="0"/>
          <w:bCs/>
        </w:rPr>
      </w:pPr>
      <w:r w:rsidRPr="00ED54CE">
        <w:rPr>
          <w:color w:val="000000"/>
        </w:rPr>
        <w:t>REFERENCES</w:t>
      </w:r>
      <w:r w:rsidRPr="00ED54CE">
        <w:rPr>
          <w:b w:val="0"/>
          <w:bCs/>
        </w:rPr>
        <w:t xml:space="preserve"> </w:t>
      </w:r>
    </w:p>
    <w:p w:rsidR="00EE43A4" w:rsidRPr="00ED54CE" w:rsidP="00BB2FEC" w14:paraId="6407A3E8" w14:textId="77777777"/>
    <w:p w:rsidR="00EE43A4" w:rsidRPr="00ED54CE" w:rsidP="00BB2FEC" w14:paraId="1427F57E"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ED54CE">
        <w:rPr>
          <w:bCs/>
          <w:color w:val="000000"/>
        </w:rPr>
        <w:tab/>
      </w:r>
      <w:r w:rsidRPr="00ED54CE">
        <w:rPr>
          <w:bCs/>
          <w:color w:val="000000"/>
        </w:rPr>
        <w:tab/>
      </w:r>
    </w:p>
    <w:p w:rsidR="002B188B" w:rsidRPr="00ED54CE" w:rsidP="002B188B" w14:paraId="5C01A010" w14:textId="2E6806CC">
      <w:pPr>
        <w:pStyle w:val="Level9"/>
        <w:widowControl/>
        <w:ind w:right="-270"/>
        <w:jc w:val="center"/>
        <w:rPr>
          <w:rStyle w:val="Footer10"/>
          <w:bCs/>
          <w:szCs w:val="24"/>
        </w:rPr>
      </w:pPr>
      <w:r w:rsidRPr="00ED54CE">
        <w:rPr>
          <w:rStyle w:val="Footer1"/>
          <w:bCs/>
        </w:rPr>
        <w:br w:type="page"/>
      </w:r>
    </w:p>
    <w:p w:rsidR="00A759FC" w:rsidRPr="00ED54CE" w:rsidP="00A759FC" w14:paraId="7B024982" w14:textId="77777777">
      <w:pPr>
        <w:pStyle w:val="Level9"/>
        <w:widowControl/>
        <w:ind w:right="-270"/>
        <w:jc w:val="center"/>
        <w:rPr>
          <w:rStyle w:val="Footer10"/>
          <w:bCs/>
          <w:szCs w:val="24"/>
        </w:rPr>
      </w:pPr>
      <w:bookmarkStart w:id="0" w:name="_Hlk59047996"/>
      <w:r w:rsidRPr="00ED54CE">
        <w:rPr>
          <w:rStyle w:val="Footer10"/>
          <w:bCs/>
          <w:szCs w:val="24"/>
        </w:rPr>
        <w:t>LIST OF ATTACHMENTS</w:t>
      </w:r>
    </w:p>
    <w:p w:rsidR="00A759FC" w:rsidRPr="00ED54CE" w:rsidP="00A759FC" w14:paraId="21CAFD49" w14:textId="77777777">
      <w:pPr>
        <w:pStyle w:val="Level9"/>
        <w:widowControl/>
        <w:ind w:right="-270"/>
        <w:jc w:val="center"/>
        <w:rPr>
          <w:rStyle w:val="Footer10"/>
          <w:bCs/>
          <w:szCs w:val="24"/>
        </w:rPr>
      </w:pPr>
    </w:p>
    <w:p w:rsidR="00A759FC" w:rsidRPr="00ED54CE" w:rsidP="00A759FC" w14:paraId="03639325" w14:textId="71C9A8C4">
      <w:r w:rsidRPr="00ED54CE">
        <w:t>A1</w:t>
      </w:r>
      <w:r w:rsidRPr="00ED54CE" w:rsidR="009E0195">
        <w:t>.</w:t>
      </w:r>
      <w:r w:rsidRPr="00ED54CE">
        <w:tab/>
        <w:t>Authorizing Legislation</w:t>
      </w:r>
    </w:p>
    <w:p w:rsidR="00A759FC" w:rsidRPr="00ED54CE" w:rsidP="00A759FC" w14:paraId="1E1099B5" w14:textId="77777777"/>
    <w:p w:rsidR="00A759FC" w:rsidRPr="00ED54CE" w:rsidP="00A759FC" w14:paraId="7DE56F1F" w14:textId="605C6BE6">
      <w:r w:rsidRPr="00ED54CE">
        <w:t>A2</w:t>
      </w:r>
      <w:r w:rsidRPr="00ED54CE" w:rsidR="009E0195">
        <w:t>.</w:t>
      </w:r>
      <w:r w:rsidRPr="00ED54CE">
        <w:tab/>
        <w:t xml:space="preserve">Federal Register Notice </w:t>
      </w:r>
    </w:p>
    <w:p w:rsidR="00A759FC" w:rsidRPr="00ED54CE" w:rsidP="00A759FC" w14:paraId="65E4E535" w14:textId="77777777"/>
    <w:p w:rsidR="00A759FC" w:rsidRPr="00ED54CE" w:rsidP="00A759FC" w14:paraId="193A004B" w14:textId="54A44AC4">
      <w:r w:rsidRPr="00ED54CE">
        <w:t>A3</w:t>
      </w:r>
      <w:r w:rsidRPr="00ED54CE" w:rsidR="009E0195">
        <w:t>.</w:t>
      </w:r>
      <w:r w:rsidRPr="00ED54CE">
        <w:tab/>
        <w:t>Federal Register Notice Comments and Agency Responses</w:t>
      </w:r>
    </w:p>
    <w:p w:rsidR="00A759FC" w:rsidRPr="00ED54CE" w:rsidP="00A759FC" w14:paraId="6129EF26" w14:textId="77777777"/>
    <w:p w:rsidR="00A759FC" w:rsidRPr="00ED54CE" w:rsidP="00A759FC" w14:paraId="20C85D99" w14:textId="77777777">
      <w:r w:rsidRPr="00ED54CE">
        <w:t>B.</w:t>
      </w:r>
      <w:r w:rsidRPr="00ED54CE">
        <w:tab/>
        <w:t>State Tobacco Control Reports that Cite National Youth Tobacco Survey Data</w:t>
      </w:r>
    </w:p>
    <w:p w:rsidR="00A759FC" w:rsidRPr="00ED54CE" w:rsidP="00A759FC" w14:paraId="41BB736D" w14:textId="77777777"/>
    <w:p w:rsidR="00A759FC" w:rsidRPr="00ED54CE" w:rsidP="00A759FC" w14:paraId="4F47E2F4" w14:textId="77777777">
      <w:r w:rsidRPr="00ED54CE">
        <w:t xml:space="preserve">C. </w:t>
      </w:r>
      <w:r w:rsidRPr="00ED54CE">
        <w:tab/>
        <w:t>Publications from Prior Cycles of the National Youth Tobacco Survey</w:t>
      </w:r>
      <w:r w:rsidRPr="00ED54CE">
        <w:t xml:space="preserve"> </w:t>
      </w:r>
    </w:p>
    <w:p w:rsidR="00A759FC" w:rsidRPr="00ED54CE" w:rsidP="00A759FC" w14:paraId="13DA99FD" w14:textId="77777777">
      <w:pPr>
        <w:rPr>
          <w:rStyle w:val="Footer10"/>
        </w:rPr>
      </w:pPr>
    </w:p>
    <w:p w:rsidR="00A759FC" w:rsidRPr="00ED54CE" w:rsidP="00A759FC" w14:paraId="44522F3D" w14:textId="3DD536D7">
      <w:pPr>
        <w:spacing w:after="160" w:line="259" w:lineRule="auto"/>
        <w:rPr>
          <w:rStyle w:val="Footer10"/>
          <w:bCs/>
        </w:rPr>
      </w:pPr>
      <w:r w:rsidRPr="00ED54CE">
        <w:rPr>
          <w:rStyle w:val="Footer10"/>
          <w:bCs/>
        </w:rPr>
        <w:t>D1</w:t>
      </w:r>
      <w:r w:rsidRPr="00ED54CE" w:rsidR="009E0195">
        <w:rPr>
          <w:rStyle w:val="Footer10"/>
          <w:bCs/>
        </w:rPr>
        <w:t>.</w:t>
      </w:r>
      <w:r w:rsidRPr="00ED54CE">
        <w:rPr>
          <w:rStyle w:val="Footer10"/>
          <w:bCs/>
        </w:rPr>
        <w:tab/>
        <w:t xml:space="preserve">State Recruitment Materials </w:t>
      </w:r>
      <w:r w:rsidRPr="00ED54CE">
        <w:rPr>
          <w:bCs/>
        </w:rPr>
        <w:t>for the National Youth Tobacco Survey</w:t>
      </w:r>
    </w:p>
    <w:p w:rsidR="00A759FC" w:rsidRPr="00ED54CE" w:rsidP="00A759FC" w14:paraId="1FEB1712" w14:textId="37A5B6B0">
      <w:pPr>
        <w:spacing w:after="160" w:line="259" w:lineRule="auto"/>
        <w:rPr>
          <w:rStyle w:val="Footer10"/>
          <w:bCs/>
        </w:rPr>
      </w:pPr>
      <w:r w:rsidRPr="00ED54CE">
        <w:rPr>
          <w:rStyle w:val="Footer10"/>
          <w:bCs/>
        </w:rPr>
        <w:t>D2</w:t>
      </w:r>
      <w:r w:rsidRPr="00ED54CE" w:rsidR="009E0195">
        <w:rPr>
          <w:rStyle w:val="Footer10"/>
          <w:bCs/>
        </w:rPr>
        <w:t>.</w:t>
      </w:r>
      <w:r w:rsidRPr="00ED54CE">
        <w:rPr>
          <w:rStyle w:val="Footer10"/>
          <w:bCs/>
        </w:rPr>
        <w:tab/>
      </w:r>
      <w:r w:rsidRPr="00ED54CE">
        <w:rPr>
          <w:bCs/>
        </w:rPr>
        <w:t>State-level Recruitment Script for the National Youth Tobacco Survey</w:t>
      </w:r>
    </w:p>
    <w:p w:rsidR="00A759FC" w:rsidRPr="00ED54CE" w:rsidP="00A759FC" w14:paraId="18E0D433" w14:textId="6B5E5CF2">
      <w:pPr>
        <w:spacing w:after="160" w:line="259" w:lineRule="auto"/>
        <w:rPr>
          <w:bCs/>
        </w:rPr>
      </w:pPr>
      <w:r w:rsidRPr="00ED54CE">
        <w:rPr>
          <w:bCs/>
        </w:rPr>
        <w:t>E1</w:t>
      </w:r>
      <w:r w:rsidRPr="00ED54CE" w:rsidR="009E0195">
        <w:rPr>
          <w:bCs/>
        </w:rPr>
        <w:t>.</w:t>
      </w:r>
      <w:r w:rsidRPr="00ED54CE">
        <w:rPr>
          <w:bCs/>
        </w:rPr>
        <w:tab/>
        <w:t>District-Level Recruitment Letter for the National Youth Tobacco Survey</w:t>
      </w:r>
    </w:p>
    <w:p w:rsidR="00A759FC" w:rsidRPr="00ED54CE" w:rsidP="00A759FC" w14:paraId="04396706" w14:textId="1E20960B">
      <w:pPr>
        <w:spacing w:after="160" w:line="259" w:lineRule="auto"/>
        <w:rPr>
          <w:rStyle w:val="Footer10"/>
          <w:bCs/>
        </w:rPr>
      </w:pPr>
      <w:r w:rsidRPr="00ED54CE">
        <w:rPr>
          <w:bCs/>
        </w:rPr>
        <w:t>E2</w:t>
      </w:r>
      <w:r w:rsidRPr="00ED54CE" w:rsidR="009E0195">
        <w:rPr>
          <w:bCs/>
        </w:rPr>
        <w:t>.</w:t>
      </w:r>
      <w:r w:rsidRPr="00ED54CE">
        <w:rPr>
          <w:bCs/>
        </w:rPr>
        <w:tab/>
        <w:t>District-level Recruitment Script for the National Youth Tobacco Survey</w:t>
      </w:r>
    </w:p>
    <w:p w:rsidR="00A759FC" w:rsidRPr="00ED54CE" w:rsidP="00A759FC" w14:paraId="2931F107" w14:textId="6328EDA6">
      <w:pPr>
        <w:spacing w:after="160" w:line="259" w:lineRule="auto"/>
        <w:rPr>
          <w:rStyle w:val="Footer10"/>
          <w:bCs/>
        </w:rPr>
      </w:pPr>
      <w:r w:rsidRPr="00ED54CE">
        <w:rPr>
          <w:rStyle w:val="Footer10"/>
          <w:bCs/>
        </w:rPr>
        <w:t>F1</w:t>
      </w:r>
      <w:r w:rsidRPr="00ED54CE" w:rsidR="009E0195">
        <w:rPr>
          <w:rStyle w:val="Footer10"/>
          <w:bCs/>
        </w:rPr>
        <w:t>.</w:t>
      </w:r>
      <w:r w:rsidRPr="00ED54CE">
        <w:rPr>
          <w:rStyle w:val="Footer10"/>
          <w:bCs/>
        </w:rPr>
        <w:tab/>
        <w:t xml:space="preserve">School-Level Recruitment Letter and Flyer </w:t>
      </w:r>
      <w:r w:rsidRPr="00ED54CE">
        <w:rPr>
          <w:bCs/>
        </w:rPr>
        <w:t>for the National Youth Tobacco Survey</w:t>
      </w:r>
    </w:p>
    <w:p w:rsidR="00A759FC" w:rsidRPr="00ED54CE" w:rsidP="00A759FC" w14:paraId="7BF85495" w14:textId="3431E859">
      <w:pPr>
        <w:spacing w:after="160" w:line="259" w:lineRule="auto"/>
        <w:rPr>
          <w:rStyle w:val="Footer10"/>
          <w:bCs/>
        </w:rPr>
      </w:pPr>
      <w:r w:rsidRPr="00ED54CE">
        <w:rPr>
          <w:rStyle w:val="Footer10"/>
          <w:bCs/>
        </w:rPr>
        <w:t>F2</w:t>
      </w:r>
      <w:r w:rsidRPr="00ED54CE" w:rsidR="009E0195">
        <w:rPr>
          <w:rStyle w:val="Footer10"/>
          <w:bCs/>
        </w:rPr>
        <w:t>.</w:t>
      </w:r>
      <w:r w:rsidRPr="00ED54CE">
        <w:rPr>
          <w:rStyle w:val="Footer10"/>
          <w:bCs/>
        </w:rPr>
        <w:tab/>
        <w:t xml:space="preserve">School-Level Follow-up Emails </w:t>
      </w:r>
      <w:r w:rsidRPr="00ED54CE">
        <w:rPr>
          <w:bCs/>
        </w:rPr>
        <w:t>for the National Youth Tobacco Survey</w:t>
      </w:r>
    </w:p>
    <w:p w:rsidR="00A759FC" w:rsidRPr="00ED54CE" w:rsidP="00A759FC" w14:paraId="00D1DD6E" w14:textId="79AB7F83">
      <w:pPr>
        <w:spacing w:after="160" w:line="259" w:lineRule="auto"/>
        <w:rPr>
          <w:bCs/>
        </w:rPr>
      </w:pPr>
      <w:r w:rsidRPr="00ED54CE">
        <w:rPr>
          <w:rStyle w:val="Footer10"/>
          <w:bCs/>
        </w:rPr>
        <w:t>F3</w:t>
      </w:r>
      <w:r w:rsidRPr="00ED54CE" w:rsidR="009E0195">
        <w:rPr>
          <w:rStyle w:val="Footer10"/>
          <w:bCs/>
        </w:rPr>
        <w:t>.</w:t>
      </w:r>
      <w:r w:rsidRPr="00ED54CE">
        <w:rPr>
          <w:rStyle w:val="Footer10"/>
          <w:bCs/>
        </w:rPr>
        <w:tab/>
        <w:t xml:space="preserve">School-level Recruitment Script </w:t>
      </w:r>
      <w:r w:rsidRPr="00ED54CE">
        <w:rPr>
          <w:bCs/>
        </w:rPr>
        <w:t>for the National Youth Tobacco Survey</w:t>
      </w:r>
    </w:p>
    <w:p w:rsidR="00A759FC" w:rsidRPr="00ED54CE" w:rsidP="00A759FC" w14:paraId="0E287DD6" w14:textId="4347B4FB">
      <w:pPr>
        <w:spacing w:after="160" w:line="259" w:lineRule="auto"/>
        <w:rPr>
          <w:rStyle w:val="Footer10"/>
          <w:bCs/>
        </w:rPr>
      </w:pPr>
      <w:r w:rsidRPr="00ED54CE">
        <w:rPr>
          <w:bCs/>
        </w:rPr>
        <w:t>F4</w:t>
      </w:r>
      <w:r w:rsidRPr="00ED54CE" w:rsidR="009E0195">
        <w:rPr>
          <w:bCs/>
        </w:rPr>
        <w:t>.</w:t>
      </w:r>
      <w:r w:rsidRPr="00ED54CE">
        <w:rPr>
          <w:bCs/>
        </w:rPr>
        <w:tab/>
        <w:t>Refusal Conversion Letter for the National Youth Tobacco Survey</w:t>
      </w:r>
    </w:p>
    <w:p w:rsidR="00A759FC" w:rsidRPr="00ED54CE" w:rsidP="00A759FC" w14:paraId="4270290D" w14:textId="77777777">
      <w:r w:rsidRPr="00ED54CE">
        <w:t>G1.</w:t>
      </w:r>
      <w:r w:rsidRPr="00ED54CE">
        <w:tab/>
        <w:t>School Coordinator Letter for the National Youth Tobacco Survey</w:t>
      </w:r>
    </w:p>
    <w:p w:rsidR="00A759FC" w:rsidRPr="00ED54CE" w:rsidP="00A759FC" w14:paraId="63E3A070" w14:textId="77777777">
      <w:pPr>
        <w:ind w:left="720" w:hanging="720"/>
      </w:pPr>
    </w:p>
    <w:p w:rsidR="00A759FC" w:rsidRPr="00ED54CE" w:rsidP="00A759FC" w14:paraId="2E8EE093" w14:textId="77777777">
      <w:pPr>
        <w:ind w:left="720" w:hanging="720"/>
      </w:pPr>
      <w:r w:rsidRPr="00ED54CE">
        <w:t>G2.</w:t>
      </w:r>
      <w:r w:rsidRPr="00ED54CE">
        <w:tab/>
        <w:t xml:space="preserve">School Coordinator Instructions for the National Youth Tobacco Survey </w:t>
      </w:r>
    </w:p>
    <w:p w:rsidR="00A759FC" w:rsidRPr="00ED54CE" w:rsidP="00A759FC" w14:paraId="3A4A32DB" w14:textId="77777777">
      <w:pPr>
        <w:ind w:left="720" w:hanging="720"/>
      </w:pPr>
    </w:p>
    <w:p w:rsidR="00A759FC" w:rsidRPr="00ED54CE" w:rsidP="00A759FC" w14:paraId="4B8DD207" w14:textId="30F6ECB5">
      <w:pPr>
        <w:ind w:left="720" w:hanging="720"/>
      </w:pPr>
      <w:r w:rsidRPr="00ED54CE">
        <w:t>G3</w:t>
      </w:r>
      <w:r w:rsidRPr="00ED54CE" w:rsidR="009E0195">
        <w:t>.</w:t>
      </w:r>
      <w:r w:rsidRPr="00ED54CE">
        <w:tab/>
        <w:t xml:space="preserve">School Coordinator Class Sampling Instructions </w:t>
      </w:r>
      <w:r w:rsidRPr="00ED54CE">
        <w:rPr>
          <w:bCs/>
        </w:rPr>
        <w:t>for the National Youth Tobacco Survey</w:t>
      </w:r>
    </w:p>
    <w:p w:rsidR="00A759FC" w:rsidRPr="00ED54CE" w:rsidP="00A759FC" w14:paraId="1ABF218C" w14:textId="77777777">
      <w:pPr>
        <w:ind w:left="720" w:hanging="720"/>
      </w:pPr>
    </w:p>
    <w:p w:rsidR="00A759FC" w:rsidRPr="00ED54CE" w:rsidP="00A759FC" w14:paraId="3176CAE2" w14:textId="0BE3A856">
      <w:pPr>
        <w:ind w:left="720" w:hanging="720"/>
      </w:pPr>
      <w:r w:rsidRPr="00ED54CE">
        <w:t>G4</w:t>
      </w:r>
      <w:r w:rsidRPr="00ED54CE" w:rsidR="009E0195">
        <w:t>.</w:t>
      </w:r>
      <w:r w:rsidRPr="00ED54CE">
        <w:tab/>
        <w:t xml:space="preserve">School Coordinator Notification of Selected Classrooms </w:t>
      </w:r>
      <w:r w:rsidRPr="00ED54CE">
        <w:rPr>
          <w:bCs/>
        </w:rPr>
        <w:t>for the National Youth Tobacco Survey</w:t>
      </w:r>
    </w:p>
    <w:p w:rsidR="00A759FC" w:rsidRPr="00ED54CE" w:rsidP="00A759FC" w14:paraId="3551FD78" w14:textId="77777777">
      <w:pPr>
        <w:ind w:left="720" w:hanging="720"/>
      </w:pPr>
    </w:p>
    <w:p w:rsidR="00A759FC" w:rsidRPr="00ED54CE" w:rsidP="00A759FC" w14:paraId="2575B55E" w14:textId="7E682291">
      <w:pPr>
        <w:ind w:left="720" w:hanging="720"/>
      </w:pPr>
      <w:r w:rsidRPr="00ED54CE">
        <w:t>G5</w:t>
      </w:r>
      <w:r w:rsidRPr="00ED54CE" w:rsidR="009E0195">
        <w:t>.</w:t>
      </w:r>
      <w:r w:rsidRPr="00ED54CE">
        <w:tab/>
        <w:t xml:space="preserve">School Coordinator Reminder of Upcoming Session </w:t>
      </w:r>
      <w:r w:rsidRPr="00ED54CE">
        <w:rPr>
          <w:bCs/>
        </w:rPr>
        <w:t>for the National Youth Tobacco Survey</w:t>
      </w:r>
    </w:p>
    <w:p w:rsidR="00A759FC" w:rsidRPr="00ED54CE" w:rsidP="00A759FC" w14:paraId="2FBBA9A5" w14:textId="77777777">
      <w:pPr>
        <w:ind w:left="720" w:hanging="720"/>
      </w:pPr>
    </w:p>
    <w:p w:rsidR="00A759FC" w:rsidRPr="00ED54CE" w:rsidP="00A759FC" w14:paraId="4D67F841" w14:textId="7C0313AD">
      <w:pPr>
        <w:ind w:left="720" w:hanging="720"/>
      </w:pPr>
      <w:r w:rsidRPr="00ED54CE">
        <w:t>G6</w:t>
      </w:r>
      <w:r w:rsidRPr="00ED54CE" w:rsidR="009E0195">
        <w:t>.</w:t>
      </w:r>
      <w:r w:rsidRPr="00ED54CE">
        <w:tab/>
        <w:t xml:space="preserve">School coordinator Logistics Coordination Call Script </w:t>
      </w:r>
      <w:r w:rsidRPr="00ED54CE">
        <w:rPr>
          <w:bCs/>
        </w:rPr>
        <w:t>for the National Youth Tobacco Survey</w:t>
      </w:r>
    </w:p>
    <w:p w:rsidR="00A759FC" w:rsidRPr="00ED54CE" w:rsidP="00A759FC" w14:paraId="28ABC33C" w14:textId="77777777">
      <w:pPr>
        <w:ind w:left="720" w:hanging="720"/>
      </w:pPr>
    </w:p>
    <w:p w:rsidR="00A759FC" w:rsidRPr="00ED54CE" w:rsidP="00A759FC" w14:paraId="606DA4AB" w14:textId="77777777">
      <w:pPr>
        <w:ind w:left="720" w:hanging="720"/>
      </w:pPr>
      <w:r w:rsidRPr="00ED54CE">
        <w:t>H1.</w:t>
      </w:r>
      <w:r w:rsidRPr="00ED54CE">
        <w:tab/>
        <w:t>National Youth Tobacco Survey Questionnaire</w:t>
      </w:r>
    </w:p>
    <w:p w:rsidR="00A759FC" w:rsidRPr="00ED54CE" w:rsidP="00A759FC" w14:paraId="69532616" w14:textId="77777777">
      <w:pPr>
        <w:ind w:left="720" w:hanging="720"/>
      </w:pPr>
    </w:p>
    <w:p w:rsidR="00A759FC" w:rsidRPr="00ED54CE" w:rsidP="00A759FC" w14:paraId="35E8FE66" w14:textId="77777777">
      <w:pPr>
        <w:ind w:left="720" w:hanging="720"/>
      </w:pPr>
      <w:r w:rsidRPr="00ED54CE">
        <w:t>H2.</w:t>
      </w:r>
      <w:r w:rsidRPr="00ED54CE">
        <w:tab/>
        <w:t xml:space="preserve">Parental Permission Form (Active) and Fact Sheet (English Version) </w:t>
      </w:r>
      <w:r w:rsidRPr="00ED54CE">
        <w:rPr>
          <w:bCs/>
        </w:rPr>
        <w:t>for the National Youth Tobacco Survey</w:t>
      </w:r>
    </w:p>
    <w:p w:rsidR="00A759FC" w:rsidRPr="00ED54CE" w:rsidP="00A759FC" w14:paraId="467451D1" w14:textId="77777777">
      <w:pPr>
        <w:ind w:left="720" w:hanging="720"/>
        <w:jc w:val="both"/>
      </w:pPr>
    </w:p>
    <w:p w:rsidR="00A759FC" w:rsidRPr="00ED54CE" w:rsidP="00A759FC" w14:paraId="777392B1" w14:textId="77777777">
      <w:pPr>
        <w:ind w:left="720" w:hanging="720"/>
      </w:pPr>
      <w:r w:rsidRPr="00ED54CE">
        <w:t>H3.</w:t>
      </w:r>
      <w:r w:rsidRPr="00ED54CE">
        <w:tab/>
        <w:t xml:space="preserve">Parental Permission Form (Passive) and Fact Sheet (English Version) </w:t>
      </w:r>
      <w:r w:rsidRPr="00ED54CE">
        <w:rPr>
          <w:bCs/>
        </w:rPr>
        <w:t xml:space="preserve">for the National </w:t>
      </w:r>
      <w:r w:rsidRPr="00ED54CE">
        <w:rPr>
          <w:bCs/>
        </w:rPr>
        <w:t>Youth Tobacco Survey</w:t>
      </w:r>
    </w:p>
    <w:p w:rsidR="00A759FC" w:rsidRPr="00ED54CE" w:rsidP="00A759FC" w14:paraId="27CF935A" w14:textId="77777777">
      <w:pPr>
        <w:ind w:left="720" w:hanging="720"/>
        <w:jc w:val="both"/>
      </w:pPr>
    </w:p>
    <w:p w:rsidR="00A759FC" w:rsidRPr="00ED54CE" w:rsidP="00A759FC" w14:paraId="6154B1B2" w14:textId="77777777">
      <w:pPr>
        <w:ind w:left="720" w:hanging="720"/>
      </w:pPr>
      <w:r w:rsidRPr="00ED54CE">
        <w:t>H4.</w:t>
      </w:r>
      <w:r w:rsidRPr="00ED54CE">
        <w:tab/>
        <w:t xml:space="preserve">Parental Permission Form (Active) and Fact Sheet (Spanish Version) </w:t>
      </w:r>
      <w:r w:rsidRPr="00ED54CE">
        <w:rPr>
          <w:bCs/>
        </w:rPr>
        <w:t>for the National Youth Tobacco Survey</w:t>
      </w:r>
    </w:p>
    <w:p w:rsidR="00A759FC" w:rsidRPr="00ED54CE" w:rsidP="00A759FC" w14:paraId="0931D6E1" w14:textId="77777777">
      <w:pPr>
        <w:ind w:left="720" w:hanging="720"/>
      </w:pPr>
    </w:p>
    <w:p w:rsidR="00A759FC" w:rsidRPr="00ED54CE" w:rsidP="00A759FC" w14:paraId="580D27B7" w14:textId="77777777">
      <w:pPr>
        <w:ind w:left="720" w:hanging="720"/>
      </w:pPr>
      <w:r w:rsidRPr="00ED54CE">
        <w:t>H5.</w:t>
      </w:r>
      <w:r w:rsidRPr="00ED54CE">
        <w:tab/>
        <w:t xml:space="preserve">Parental Permission Form (Passive) and Fact Sheet (Spanish Version) </w:t>
      </w:r>
      <w:r w:rsidRPr="00ED54CE">
        <w:rPr>
          <w:bCs/>
        </w:rPr>
        <w:t>for the National Youth Tobacco Survey</w:t>
      </w:r>
    </w:p>
    <w:p w:rsidR="00A759FC" w:rsidRPr="00ED54CE" w:rsidP="00A759FC" w14:paraId="0BB9773E" w14:textId="77777777">
      <w:pPr>
        <w:ind w:left="720" w:hanging="720"/>
      </w:pPr>
    </w:p>
    <w:p w:rsidR="00A759FC" w:rsidRPr="00ED54CE" w:rsidP="00A759FC" w14:paraId="65203E3E" w14:textId="1D16CF8F">
      <w:pPr>
        <w:tabs>
          <w:tab w:val="left" w:pos="360"/>
        </w:tabs>
      </w:pPr>
      <w:r w:rsidRPr="00ED54CE">
        <w:t>I1</w:t>
      </w:r>
      <w:r w:rsidRPr="00ED54CE" w:rsidR="009E0195">
        <w:t>.</w:t>
      </w:r>
      <w:r w:rsidRPr="00ED54CE">
        <w:tab/>
      </w:r>
      <w:r w:rsidRPr="00ED54CE">
        <w:tab/>
        <w:t xml:space="preserve">Teacher Proctor Instructions </w:t>
      </w:r>
      <w:r w:rsidRPr="00ED54CE">
        <w:rPr>
          <w:bCs/>
        </w:rPr>
        <w:t>for the National Youth Tobacco Survey</w:t>
      </w:r>
    </w:p>
    <w:p w:rsidR="00A759FC" w:rsidRPr="00ED54CE" w:rsidP="00A759FC" w14:paraId="2100BD9F" w14:textId="77777777">
      <w:pPr>
        <w:tabs>
          <w:tab w:val="left" w:pos="360"/>
        </w:tabs>
      </w:pPr>
    </w:p>
    <w:p w:rsidR="00A759FC" w:rsidRPr="00ED54CE" w:rsidP="00A759FC" w14:paraId="34774239" w14:textId="0F25503B">
      <w:pPr>
        <w:tabs>
          <w:tab w:val="left" w:pos="360"/>
        </w:tabs>
        <w:ind w:left="720" w:hanging="720"/>
      </w:pPr>
      <w:r w:rsidRPr="00ED54CE">
        <w:t>I2</w:t>
      </w:r>
      <w:r w:rsidRPr="00ED54CE" w:rsidR="009E0195">
        <w:t>.</w:t>
      </w:r>
      <w:r w:rsidRPr="00ED54CE">
        <w:tab/>
      </w:r>
      <w:r w:rsidRPr="00ED54CE">
        <w:tab/>
        <w:t xml:space="preserve">Teacher Proctor Questionnaire Administration Script </w:t>
      </w:r>
      <w:r w:rsidRPr="00ED54CE">
        <w:rPr>
          <w:bCs/>
        </w:rPr>
        <w:t>for the National Youth Tobacco Survey</w:t>
      </w:r>
    </w:p>
    <w:p w:rsidR="00A759FC" w:rsidRPr="00ED54CE" w:rsidP="00A759FC" w14:paraId="5E3446CB" w14:textId="77777777">
      <w:pPr>
        <w:tabs>
          <w:tab w:val="left" w:pos="360"/>
        </w:tabs>
      </w:pPr>
    </w:p>
    <w:p w:rsidR="00A759FC" w:rsidRPr="00ED54CE" w:rsidP="00A759FC" w14:paraId="168CBB88" w14:textId="2583B284">
      <w:pPr>
        <w:tabs>
          <w:tab w:val="left" w:pos="360"/>
        </w:tabs>
        <w:ind w:left="720" w:hanging="720"/>
      </w:pPr>
      <w:r w:rsidRPr="00ED54CE">
        <w:t>I3</w:t>
      </w:r>
      <w:r w:rsidRPr="00ED54CE" w:rsidR="009E0195">
        <w:t>.</w:t>
      </w:r>
      <w:r w:rsidRPr="00ED54CE">
        <w:tab/>
      </w:r>
      <w:r w:rsidRPr="00ED54CE">
        <w:tab/>
        <w:t xml:space="preserve">School Coordinator Teacher Proctor URL Access Code Email </w:t>
      </w:r>
      <w:r w:rsidRPr="00ED54CE">
        <w:rPr>
          <w:bCs/>
        </w:rPr>
        <w:t>for the National Youth Tobacco Survey</w:t>
      </w:r>
    </w:p>
    <w:p w:rsidR="00A759FC" w:rsidRPr="00ED54CE" w:rsidP="00A759FC" w14:paraId="30030575" w14:textId="77777777">
      <w:pPr>
        <w:tabs>
          <w:tab w:val="left" w:pos="360"/>
        </w:tabs>
      </w:pPr>
    </w:p>
    <w:p w:rsidR="00A759FC" w:rsidRPr="00ED54CE" w:rsidP="00A759FC" w14:paraId="7EF5240E" w14:textId="48642594">
      <w:pPr>
        <w:tabs>
          <w:tab w:val="left" w:pos="360"/>
        </w:tabs>
      </w:pPr>
      <w:r w:rsidRPr="00ED54CE">
        <w:t>I4</w:t>
      </w:r>
      <w:r w:rsidRPr="00ED54CE" w:rsidR="009E0195">
        <w:t>.</w:t>
      </w:r>
      <w:r w:rsidRPr="00ED54CE">
        <w:tab/>
      </w:r>
      <w:r w:rsidRPr="00ED54CE">
        <w:tab/>
        <w:t xml:space="preserve">Teacher Class Participation Form </w:t>
      </w:r>
      <w:r w:rsidRPr="00ED54CE">
        <w:rPr>
          <w:bCs/>
        </w:rPr>
        <w:t>for the National Youth Tobacco Survey</w:t>
      </w:r>
    </w:p>
    <w:p w:rsidR="00A759FC" w:rsidRPr="00ED54CE" w:rsidP="00A759FC" w14:paraId="1D752307" w14:textId="77777777">
      <w:pPr>
        <w:tabs>
          <w:tab w:val="left" w:pos="360"/>
        </w:tabs>
      </w:pPr>
    </w:p>
    <w:p w:rsidR="00A759FC" w:rsidRPr="00ED54CE" w:rsidP="00A759FC" w14:paraId="31CD736C" w14:textId="77777777">
      <w:pPr>
        <w:tabs>
          <w:tab w:val="left" w:pos="360"/>
        </w:tabs>
      </w:pPr>
      <w:r w:rsidRPr="00ED54CE">
        <w:t>J.</w:t>
      </w:r>
      <w:r w:rsidRPr="00ED54CE">
        <w:tab/>
      </w:r>
      <w:r w:rsidRPr="00ED54CE">
        <w:tab/>
        <w:t xml:space="preserve">CDC IRB Documentation </w:t>
      </w:r>
      <w:r w:rsidRPr="00ED54CE">
        <w:rPr>
          <w:bCs/>
        </w:rPr>
        <w:t>for the National Youth Tobacco Survey</w:t>
      </w:r>
    </w:p>
    <w:p w:rsidR="00A759FC" w:rsidRPr="00ED54CE" w:rsidP="00A759FC" w14:paraId="31D1D2B2" w14:textId="77777777">
      <w:pPr>
        <w:tabs>
          <w:tab w:val="left" w:pos="360"/>
        </w:tabs>
      </w:pPr>
    </w:p>
    <w:p w:rsidR="00A759FC" w:rsidRPr="00ED54CE" w:rsidP="00A759FC" w14:paraId="598CD60C" w14:textId="77777777">
      <w:pPr>
        <w:tabs>
          <w:tab w:val="left" w:pos="360"/>
        </w:tabs>
      </w:pPr>
      <w:r w:rsidRPr="00ED54CE">
        <w:t>K.</w:t>
      </w:r>
      <w:r w:rsidRPr="00ED54CE">
        <w:tab/>
      </w:r>
      <w:r w:rsidRPr="00ED54CE">
        <w:tab/>
        <w:t xml:space="preserve">Sample Table Shells </w:t>
      </w:r>
      <w:r w:rsidRPr="00ED54CE">
        <w:rPr>
          <w:bCs/>
        </w:rPr>
        <w:t>for the National Youth Tobacco Survey</w:t>
      </w:r>
    </w:p>
    <w:p w:rsidR="00A759FC" w:rsidRPr="00ED54CE" w:rsidP="00A759FC" w14:paraId="0AFC6CF8" w14:textId="77777777">
      <w:pPr>
        <w:tabs>
          <w:tab w:val="left" w:pos="360"/>
        </w:tabs>
      </w:pPr>
    </w:p>
    <w:p w:rsidR="00A759FC" w:rsidRPr="00ED54CE" w:rsidP="00A759FC" w14:paraId="10ED1B12" w14:textId="77777777">
      <w:pPr>
        <w:tabs>
          <w:tab w:val="left" w:pos="360"/>
        </w:tabs>
      </w:pPr>
      <w:r w:rsidRPr="00ED54CE">
        <w:t>L.</w:t>
      </w:r>
      <w:r w:rsidRPr="00ED54CE">
        <w:tab/>
      </w:r>
      <w:r w:rsidRPr="00ED54CE">
        <w:tab/>
        <w:t xml:space="preserve">Detailed Sampling Plan </w:t>
      </w:r>
      <w:r w:rsidRPr="00ED54CE">
        <w:rPr>
          <w:bCs/>
        </w:rPr>
        <w:t>for the National Youth Tobacco Survey</w:t>
      </w:r>
    </w:p>
    <w:p w:rsidR="00A759FC" w:rsidRPr="00ED54CE" w:rsidP="00A759FC" w14:paraId="7334451F" w14:textId="77777777">
      <w:pPr>
        <w:tabs>
          <w:tab w:val="left" w:pos="360"/>
        </w:tabs>
      </w:pPr>
    </w:p>
    <w:p w:rsidR="00A759FC" w:rsidP="00A759FC" w14:paraId="374CB052" w14:textId="54200129">
      <w:pPr>
        <w:tabs>
          <w:tab w:val="left" w:pos="360"/>
        </w:tabs>
        <w:rPr>
          <w:bCs/>
        </w:rPr>
      </w:pPr>
      <w:r w:rsidRPr="00ED54CE">
        <w:t>M</w:t>
      </w:r>
      <w:r w:rsidRPr="00ED54CE" w:rsidR="009E0195">
        <w:t>.</w:t>
      </w:r>
      <w:r w:rsidRPr="00ED54CE">
        <w:tab/>
      </w:r>
      <w:r w:rsidRPr="00ED54CE">
        <w:tab/>
        <w:t xml:space="preserve">2024 Psychometric Testing Plan </w:t>
      </w:r>
      <w:r w:rsidRPr="00ED54CE">
        <w:rPr>
          <w:bCs/>
        </w:rPr>
        <w:t>for the National Youth Tobacco Survey</w:t>
      </w:r>
    </w:p>
    <w:p w:rsidR="006168D2" w:rsidP="00A759FC" w14:paraId="6AD95703" w14:textId="77777777">
      <w:pPr>
        <w:tabs>
          <w:tab w:val="left" w:pos="360"/>
        </w:tabs>
        <w:rPr>
          <w:bCs/>
        </w:rPr>
      </w:pPr>
    </w:p>
    <w:p w:rsidR="006168D2" w:rsidP="006168D2" w14:paraId="05BA162C" w14:textId="77777777">
      <w:pPr>
        <w:tabs>
          <w:tab w:val="left" w:pos="360"/>
        </w:tabs>
        <w:rPr>
          <w:bCs/>
        </w:rPr>
      </w:pPr>
      <w:r>
        <w:rPr>
          <w:bCs/>
        </w:rPr>
        <w:t>N1.</w:t>
      </w:r>
      <w:r>
        <w:rPr>
          <w:bCs/>
        </w:rPr>
        <w:tab/>
      </w:r>
      <w:r>
        <w:rPr>
          <w:bCs/>
        </w:rPr>
        <w:tab/>
        <w:t>Parent Consent for Youth Cognitive testing</w:t>
      </w:r>
    </w:p>
    <w:p w:rsidR="006168D2" w:rsidP="006168D2" w14:paraId="4EF15260" w14:textId="77777777">
      <w:pPr>
        <w:tabs>
          <w:tab w:val="left" w:pos="360"/>
        </w:tabs>
        <w:rPr>
          <w:bCs/>
        </w:rPr>
      </w:pPr>
    </w:p>
    <w:p w:rsidR="006168D2" w:rsidP="006168D2" w14:paraId="1AF21627" w14:textId="77777777">
      <w:pPr>
        <w:tabs>
          <w:tab w:val="left" w:pos="360"/>
        </w:tabs>
        <w:rPr>
          <w:bCs/>
        </w:rPr>
      </w:pPr>
      <w:r>
        <w:rPr>
          <w:bCs/>
        </w:rPr>
        <w:t>N2.</w:t>
      </w:r>
      <w:r>
        <w:rPr>
          <w:bCs/>
        </w:rPr>
        <w:tab/>
      </w:r>
      <w:r>
        <w:rPr>
          <w:bCs/>
        </w:rPr>
        <w:tab/>
        <w:t>Invitation Letter to Youth Screener</w:t>
      </w:r>
    </w:p>
    <w:p w:rsidR="006168D2" w:rsidP="006168D2" w14:paraId="54489183" w14:textId="77777777">
      <w:pPr>
        <w:tabs>
          <w:tab w:val="left" w:pos="360"/>
        </w:tabs>
        <w:rPr>
          <w:bCs/>
        </w:rPr>
      </w:pPr>
    </w:p>
    <w:p w:rsidR="006168D2" w:rsidP="006168D2" w14:paraId="7F032308" w14:textId="77777777">
      <w:pPr>
        <w:tabs>
          <w:tab w:val="left" w:pos="360"/>
        </w:tabs>
        <w:rPr>
          <w:bCs/>
        </w:rPr>
      </w:pPr>
      <w:r>
        <w:rPr>
          <w:bCs/>
        </w:rPr>
        <w:t>N3.</w:t>
      </w:r>
      <w:r>
        <w:rPr>
          <w:bCs/>
        </w:rPr>
        <w:tab/>
      </w:r>
      <w:r>
        <w:rPr>
          <w:bCs/>
        </w:rPr>
        <w:tab/>
        <w:t>Youth Consent Form</w:t>
      </w:r>
    </w:p>
    <w:p w:rsidR="006168D2" w:rsidP="006168D2" w14:paraId="3663DEF2" w14:textId="77777777">
      <w:pPr>
        <w:tabs>
          <w:tab w:val="left" w:pos="360"/>
        </w:tabs>
        <w:rPr>
          <w:bCs/>
        </w:rPr>
      </w:pPr>
    </w:p>
    <w:p w:rsidR="006168D2" w:rsidP="006168D2" w14:paraId="306CB944" w14:textId="77777777">
      <w:pPr>
        <w:tabs>
          <w:tab w:val="left" w:pos="360"/>
        </w:tabs>
        <w:rPr>
          <w:bCs/>
        </w:rPr>
      </w:pPr>
      <w:r>
        <w:rPr>
          <w:bCs/>
        </w:rPr>
        <w:t xml:space="preserve">N4.    </w:t>
      </w:r>
      <w:r>
        <w:rPr>
          <w:bCs/>
        </w:rPr>
        <w:tab/>
        <w:t>Cognitive Testing Screener</w:t>
      </w:r>
    </w:p>
    <w:p w:rsidR="006168D2" w:rsidP="006168D2" w14:paraId="560C26E4" w14:textId="77777777">
      <w:pPr>
        <w:tabs>
          <w:tab w:val="left" w:pos="360"/>
        </w:tabs>
        <w:rPr>
          <w:bCs/>
        </w:rPr>
      </w:pPr>
    </w:p>
    <w:p w:rsidR="006168D2" w:rsidRPr="0071364A" w:rsidP="006168D2" w14:paraId="2B3CD3B8" w14:textId="77777777">
      <w:pPr>
        <w:tabs>
          <w:tab w:val="left" w:pos="360"/>
        </w:tabs>
        <w:rPr>
          <w:bCs/>
        </w:rPr>
      </w:pPr>
      <w:r>
        <w:rPr>
          <w:bCs/>
        </w:rPr>
        <w:t>N5.</w:t>
      </w:r>
      <w:r>
        <w:rPr>
          <w:bCs/>
        </w:rPr>
        <w:tab/>
      </w:r>
      <w:r>
        <w:rPr>
          <w:bCs/>
        </w:rPr>
        <w:tab/>
        <w:t>Cognitive Interview Questionnaire</w:t>
      </w:r>
    </w:p>
    <w:p w:rsidR="006168D2" w:rsidRPr="00ED54CE" w:rsidP="00A759FC" w14:paraId="728AA9DF" w14:textId="77777777">
      <w:pPr>
        <w:tabs>
          <w:tab w:val="left" w:pos="360"/>
        </w:tabs>
        <w:rPr>
          <w:bCs/>
        </w:rPr>
      </w:pPr>
    </w:p>
    <w:p w:rsidR="00914E58" w:rsidRPr="00ED54CE" w:rsidP="00914E58" w14:paraId="1C249345" w14:textId="4AF85787">
      <w:pPr>
        <w:tabs>
          <w:tab w:val="left" w:pos="360"/>
        </w:tabs>
      </w:pPr>
    </w:p>
    <w:bookmarkEnd w:id="0"/>
    <w:p w:rsidR="00815C5B" w:rsidRPr="00ED54CE" w:rsidP="00815C5B" w14:paraId="262967A4" w14:textId="77777777">
      <w:pPr>
        <w:tabs>
          <w:tab w:val="left" w:pos="360"/>
        </w:tabs>
        <w:rPr>
          <w:b/>
        </w:rPr>
      </w:pPr>
    </w:p>
    <w:p w:rsidR="00387F17" w:rsidRPr="00ED54CE" w14:paraId="5D120CF2" w14:textId="77777777">
      <w:pPr>
        <w:widowControl/>
        <w:autoSpaceDE/>
        <w:autoSpaceDN/>
        <w:adjustRightInd/>
        <w:rPr>
          <w:b/>
        </w:rPr>
      </w:pPr>
      <w:r w:rsidRPr="00ED54CE">
        <w:rPr>
          <w:b/>
        </w:rPr>
        <w:br w:type="page"/>
      </w:r>
    </w:p>
    <w:p w:rsidR="00815C5B" w:rsidRPr="00ED54CE" w:rsidP="00815C5B" w14:paraId="1D79CB3B" w14:textId="6C9CF93A">
      <w:pPr>
        <w:tabs>
          <w:tab w:val="left" w:pos="360"/>
        </w:tabs>
        <w:rPr>
          <w:b/>
        </w:rPr>
      </w:pPr>
      <w:r w:rsidRPr="00ED54CE">
        <w:rPr>
          <w:b/>
        </w:rPr>
        <w:t>LIST OF TABLES</w:t>
      </w:r>
    </w:p>
    <w:p w:rsidR="00815C5B" w:rsidRPr="00ED54CE" w:rsidP="00815C5B" w14:paraId="6476694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5C5B" w:rsidRPr="00ED54CE" w:rsidP="00815C5B" w14:paraId="2DB2AB21" w14:textId="40F2E3B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D54CE">
        <w:t>Table A.</w:t>
      </w:r>
      <w:r w:rsidRPr="00ED54CE" w:rsidR="00F54D82">
        <w:t>1</w:t>
      </w:r>
      <w:r w:rsidRPr="00ED54CE">
        <w:t>: Consultants for 202</w:t>
      </w:r>
      <w:r w:rsidRPr="00ED54CE" w:rsidR="00BF7364">
        <w:t>4</w:t>
      </w:r>
      <w:r w:rsidRPr="00ED54CE">
        <w:t>-202</w:t>
      </w:r>
      <w:r w:rsidRPr="00ED54CE" w:rsidR="00BF7364">
        <w:t>6</w:t>
      </w:r>
      <w:r w:rsidRPr="00ED54CE">
        <w:t xml:space="preserve"> NYTS</w:t>
      </w:r>
    </w:p>
    <w:p w:rsidR="00815C5B" w:rsidRPr="00ED54CE" w:rsidP="00815C5B" w14:paraId="3A5BEA01" w14:textId="3DD3D67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D54CE">
        <w:rPr>
          <w:bCs/>
        </w:rPr>
        <w:t>Table A.</w:t>
      </w:r>
      <w:r w:rsidRPr="00ED54CE" w:rsidR="00F54D82">
        <w:rPr>
          <w:bCs/>
        </w:rPr>
        <w:t>2</w:t>
      </w:r>
      <w:r w:rsidRPr="00ED54CE">
        <w:rPr>
          <w:bCs/>
        </w:rPr>
        <w:t>: Access Controls</w:t>
      </w:r>
    </w:p>
    <w:p w:rsidR="00815C5B" w:rsidRPr="00ED54CE" w:rsidP="00815C5B" w14:paraId="732CFA1B" w14:textId="063097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0"/>
        </w:rPr>
      </w:pPr>
      <w:r w:rsidRPr="00ED54CE">
        <w:t>Table A.</w:t>
      </w:r>
      <w:r w:rsidRPr="00ED54CE" w:rsidR="00F54D82">
        <w:t>3</w:t>
      </w:r>
      <w:r w:rsidRPr="00ED54CE">
        <w:t xml:space="preserve">a: </w:t>
      </w:r>
      <w:r w:rsidRPr="00ED54CE">
        <w:rPr>
          <w:rStyle w:val="Footer10"/>
        </w:rPr>
        <w:t>Estimated Annualized Burden Hours</w:t>
      </w:r>
    </w:p>
    <w:p w:rsidR="00815C5B" w:rsidRPr="00ED54CE" w:rsidP="00815C5B" w14:paraId="1F83E488" w14:textId="3ED48C11">
      <w:pPr>
        <w:keepNext/>
        <w:keepLines/>
      </w:pPr>
      <w:r w:rsidRPr="00ED54CE">
        <w:t>Table A.</w:t>
      </w:r>
      <w:r w:rsidRPr="00ED54CE" w:rsidR="00F54D82">
        <w:t>3</w:t>
      </w:r>
      <w:r w:rsidRPr="00ED54CE">
        <w:t>b: Annualized Estimated Cost to Respondents</w:t>
      </w:r>
    </w:p>
    <w:p w:rsidR="00815C5B" w:rsidRPr="00ED54CE" w:rsidP="00815C5B" w14:paraId="21E2FFAA" w14:textId="7B0E428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0"/>
        </w:rPr>
      </w:pPr>
      <w:r w:rsidRPr="00ED54CE">
        <w:rPr>
          <w:rStyle w:val="Footer10"/>
        </w:rPr>
        <w:t>Table A.4: Annualized Study Cost</w:t>
      </w:r>
    </w:p>
    <w:p w:rsidR="00815C5B" w:rsidRPr="00ED54CE" w:rsidP="00815C5B" w14:paraId="1C76D076" w14:textId="6D1B84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er10"/>
        </w:rPr>
      </w:pPr>
      <w:r w:rsidRPr="00ED54CE">
        <w:rPr>
          <w:rStyle w:val="Footer10"/>
        </w:rPr>
        <w:t>Table A.5: Annualized Estimates of Respondents and Burden, 202</w:t>
      </w:r>
      <w:r w:rsidRPr="00ED54CE" w:rsidR="00BF7364">
        <w:rPr>
          <w:rStyle w:val="Footer10"/>
        </w:rPr>
        <w:t>4</w:t>
      </w:r>
      <w:r w:rsidRPr="00ED54CE">
        <w:rPr>
          <w:rStyle w:val="Footer10"/>
        </w:rPr>
        <w:t>-2</w:t>
      </w:r>
      <w:r w:rsidRPr="00ED54CE" w:rsidR="00BF7364">
        <w:rPr>
          <w:rStyle w:val="Footer10"/>
        </w:rPr>
        <w:t>026</w:t>
      </w:r>
      <w:r w:rsidRPr="00ED54CE">
        <w:rPr>
          <w:rStyle w:val="Footer10"/>
        </w:rPr>
        <w:t xml:space="preserve"> NYTS</w:t>
      </w:r>
    </w:p>
    <w:p w:rsidR="00815C5B" w:rsidRPr="00ED54CE" w:rsidP="00815C5B" w14:paraId="1527FF15" w14:textId="53AC3B5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Cs/>
        </w:rPr>
      </w:pPr>
      <w:r w:rsidRPr="00ED54CE">
        <w:rPr>
          <w:bCs/>
        </w:rPr>
        <w:t>Table A.6: Schedule of Activities for 202</w:t>
      </w:r>
      <w:r w:rsidRPr="00ED54CE" w:rsidR="00BF7364">
        <w:rPr>
          <w:bCs/>
        </w:rPr>
        <w:t>4-2026</w:t>
      </w:r>
      <w:r w:rsidRPr="00ED54CE">
        <w:rPr>
          <w:bCs/>
        </w:rPr>
        <w:t xml:space="preserve"> NYTS</w:t>
      </w:r>
    </w:p>
    <w:p w:rsidR="00815C5B" w:rsidRPr="00ED54CE" w:rsidP="00811E49" w14:paraId="32871D62" w14:textId="22E9B29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D54CE">
        <w:rPr>
          <w:bCs/>
        </w:rPr>
        <w:t xml:space="preserve">Table B.1: </w:t>
      </w:r>
      <w:r w:rsidRPr="00ED54CE">
        <w:t>Major Means of Quality Control</w:t>
      </w:r>
    </w:p>
    <w:p w:rsidR="00815C5B" w:rsidRPr="00ED54CE" w:rsidP="00815C5B" w14:paraId="047EF9CB" w14:textId="77777777">
      <w:pPr>
        <w:pStyle w:val="Level9"/>
        <w:widowControl/>
        <w:ind w:right="-270"/>
        <w:rPr>
          <w:rStyle w:val="Footer10"/>
          <w:bCs/>
          <w:szCs w:val="24"/>
        </w:rPr>
      </w:pPr>
    </w:p>
    <w:p w:rsidR="00392111" w:rsidRPr="00ED54CE" w:rsidP="00DE3975" w14:paraId="16419546" w14:textId="77777777">
      <w:pPr>
        <w:pStyle w:val="Level9"/>
        <w:widowControl/>
        <w:ind w:right="-270"/>
        <w:rPr>
          <w:szCs w:val="24"/>
        </w:rPr>
      </w:pPr>
      <w:r w:rsidRPr="00ED54CE">
        <w:br w:type="page"/>
      </w:r>
      <w:r w:rsidRPr="00ED54CE">
        <w:rPr>
          <w:szCs w:val="24"/>
        </w:rPr>
        <w:t>B. COLLECTIONS OF INFORMATION EMPLOYING STATISTICAL METHODS</w:t>
      </w:r>
    </w:p>
    <w:p w:rsidR="000C5AF3" w:rsidRPr="00ED54CE" w:rsidP="00DE3975" w14:paraId="6D085E91" w14:textId="77777777">
      <w:pPr>
        <w:pStyle w:val="Level9"/>
        <w:widowControl/>
        <w:ind w:right="-270"/>
        <w:rPr>
          <w:szCs w:val="24"/>
        </w:rPr>
      </w:pPr>
    </w:p>
    <w:p w:rsidR="0002210B" w:rsidRPr="00ED54CE" w:rsidP="0002210B" w14:paraId="7520CD18" w14:textId="4B376F75">
      <w:pPr>
        <w:pStyle w:val="BodyText"/>
        <w:spacing w:after="0"/>
        <w:ind w:firstLine="0"/>
        <w:rPr>
          <w:color w:val="000000"/>
          <w:lang w:val="en-US"/>
        </w:rPr>
      </w:pPr>
      <w:bookmarkStart w:id="1" w:name="OLE_LINK1"/>
      <w:bookmarkStart w:id="2" w:name="OLE_LINK2"/>
      <w:r w:rsidRPr="00ED54CE">
        <w:rPr>
          <w:color w:val="000000"/>
          <w:lang w:val="en-US"/>
        </w:rPr>
        <w:t xml:space="preserve">As of 2019, the NYTS is administered through electronic data collection. The questionnaire incorporates skip logic to tailor the questionnaire based on respondents’ tobacco product use behaviors. Thus, respondents are not asked to respond to questions that do not apply to them, reducing overall respondent burden. Non-branded product images are included in the electronic questionnaire to improve product recognition and recall. Overall, these changes improve validity of response and enhance data quality. </w:t>
      </w:r>
    </w:p>
    <w:p w:rsidR="00BC0914" w:rsidRPr="00ED54CE" w:rsidP="00BF2BF3" w14:paraId="651DB9BB" w14:textId="77777777">
      <w:pPr>
        <w:pStyle w:val="BodyText"/>
        <w:spacing w:after="0"/>
        <w:ind w:firstLine="0"/>
        <w:rPr>
          <w:color w:val="000000"/>
          <w:lang w:val="en-US"/>
        </w:rPr>
      </w:pPr>
    </w:p>
    <w:p w:rsidR="00D01C9A" w:rsidRPr="00ED54CE" w:rsidP="00541822" w14:paraId="4766DC7A" w14:textId="7AB5F644">
      <w:pPr>
        <w:pStyle w:val="BodyText"/>
        <w:ind w:firstLine="0"/>
        <w:rPr>
          <w:sz w:val="23"/>
          <w:szCs w:val="23"/>
        </w:rPr>
      </w:pPr>
      <w:r w:rsidRPr="00ED54CE">
        <w:rPr>
          <w:color w:val="000000"/>
          <w:lang w:val="en-US"/>
        </w:rPr>
        <w:t>Since 2021, the NYTS has been administered electronically using a pre-programmed web-based survey</w:t>
      </w:r>
      <w:r w:rsidRPr="00ED54CE" w:rsidR="009C6094">
        <w:rPr>
          <w:color w:val="000000"/>
          <w:lang w:val="en-US"/>
        </w:rPr>
        <w:t>.</w:t>
      </w:r>
      <w:r w:rsidRPr="00ED54CE" w:rsidR="00541822">
        <w:rPr>
          <w:color w:val="000000"/>
          <w:lang w:val="en-US"/>
        </w:rPr>
        <w:t xml:space="preserve"> </w:t>
      </w:r>
      <w:r w:rsidRPr="00ED54CE">
        <w:t>P</w:t>
      </w:r>
      <w:r w:rsidRPr="00ED54CE">
        <w:rPr>
          <w:sz w:val="23"/>
          <w:szCs w:val="23"/>
        </w:rPr>
        <w:t xml:space="preserve">articipating students access the survey through a URL. </w:t>
      </w:r>
    </w:p>
    <w:p w:rsidR="00E7009C" w:rsidRPr="00ED54CE" w:rsidP="0036110B" w14:paraId="06EFE759" w14:textId="56CE2D62">
      <w:pPr>
        <w:pStyle w:val="BodyText"/>
        <w:ind w:firstLine="0"/>
      </w:pPr>
      <w:r w:rsidRPr="00ED54CE">
        <w:rPr>
          <w:color w:val="000000"/>
          <w:lang w:val="en-US"/>
        </w:rPr>
        <w:t xml:space="preserve">There were no changes of mode of administration between 2021 and the 2024-2026 NYTS. </w:t>
      </w:r>
      <w:r w:rsidRPr="00ED54CE" w:rsidR="009C6094">
        <w:rPr>
          <w:color w:val="000000"/>
          <w:lang w:val="en-US"/>
        </w:rPr>
        <w:t xml:space="preserve">The </w:t>
      </w:r>
      <w:r w:rsidRPr="00ED54CE" w:rsidR="00B861D4">
        <w:rPr>
          <w:color w:val="000000"/>
          <w:lang w:val="en-US"/>
        </w:rPr>
        <w:t>202</w:t>
      </w:r>
      <w:r w:rsidRPr="00ED54CE">
        <w:rPr>
          <w:color w:val="000000"/>
          <w:lang w:val="en-US"/>
        </w:rPr>
        <w:t>4</w:t>
      </w:r>
      <w:r w:rsidRPr="00ED54CE" w:rsidR="00B861D4">
        <w:rPr>
          <w:color w:val="000000"/>
          <w:lang w:val="en-US"/>
        </w:rPr>
        <w:t>-202</w:t>
      </w:r>
      <w:r w:rsidRPr="00ED54CE">
        <w:rPr>
          <w:color w:val="000000"/>
          <w:lang w:val="en-US"/>
        </w:rPr>
        <w:t>6</w:t>
      </w:r>
      <w:r w:rsidRPr="00ED54CE" w:rsidR="00B861D4">
        <w:rPr>
          <w:color w:val="000000"/>
          <w:lang w:val="en-US"/>
        </w:rPr>
        <w:t xml:space="preserve"> NYTS will</w:t>
      </w:r>
      <w:r w:rsidRPr="00ED54CE" w:rsidR="00E16B22">
        <w:rPr>
          <w:color w:val="000000"/>
          <w:lang w:val="en-US"/>
        </w:rPr>
        <w:t xml:space="preserve"> use</w:t>
      </w:r>
      <w:r w:rsidRPr="00ED54CE" w:rsidR="007C74AA">
        <w:rPr>
          <w:color w:val="000000"/>
          <w:lang w:val="en-US"/>
        </w:rPr>
        <w:t xml:space="preserve"> </w:t>
      </w:r>
      <w:r w:rsidRPr="00ED54CE" w:rsidR="00B861D4">
        <w:rPr>
          <w:color w:val="000000"/>
          <w:lang w:val="en-US"/>
        </w:rPr>
        <w:t xml:space="preserve">the </w:t>
      </w:r>
      <w:r w:rsidRPr="0096055C" w:rsidR="00B861D4">
        <w:rPr>
          <w:color w:val="000000"/>
          <w:lang w:val="en-US"/>
        </w:rPr>
        <w:t>general sampling design framework used in the previous cycles</w:t>
      </w:r>
      <w:r w:rsidRPr="0096055C">
        <w:rPr>
          <w:color w:val="000000"/>
          <w:lang w:val="en-US"/>
        </w:rPr>
        <w:t>.</w:t>
      </w:r>
      <w:r w:rsidRPr="00ED54CE" w:rsidR="00B861D4">
        <w:rPr>
          <w:color w:val="000000"/>
          <w:lang w:val="en-US"/>
        </w:rPr>
        <w:t xml:space="preserve"> </w:t>
      </w:r>
      <w:r w:rsidRPr="00ED54CE" w:rsidR="00727DC0">
        <w:rPr>
          <w:color w:val="000000"/>
          <w:lang w:val="en-US"/>
        </w:rPr>
        <w:t>T</w:t>
      </w:r>
      <w:r w:rsidRPr="00ED54CE" w:rsidR="00263938">
        <w:t>his</w:t>
      </w:r>
      <w:r w:rsidRPr="00ED54CE" w:rsidR="00263938">
        <w:t xml:space="preserve"> </w:t>
      </w:r>
      <w:r w:rsidRPr="00ED54CE" w:rsidR="00727DC0">
        <w:rPr>
          <w:lang w:val="en-US"/>
        </w:rPr>
        <w:t>survey</w:t>
      </w:r>
      <w:r w:rsidRPr="00ED54CE" w:rsidR="00263938">
        <w:t xml:space="preserve"> will </w:t>
      </w:r>
      <w:r w:rsidRPr="00ED54CE" w:rsidR="00E16B22">
        <w:rPr>
          <w:lang w:val="en-US"/>
        </w:rPr>
        <w:t xml:space="preserve">be </w:t>
      </w:r>
      <w:r w:rsidRPr="00ED54CE" w:rsidR="00263938">
        <w:t xml:space="preserve">a repeat cross-sectional design to develop </w:t>
      </w:r>
      <w:r w:rsidR="00394C6A">
        <w:rPr>
          <w:lang w:val="en-US"/>
        </w:rPr>
        <w:t xml:space="preserve">annual </w:t>
      </w:r>
      <w:r w:rsidRPr="00ED54CE" w:rsidR="00263938">
        <w:t xml:space="preserve">national estimates of tobacco </w:t>
      </w:r>
      <w:r w:rsidRPr="00ED54CE" w:rsidR="004630F9">
        <w:rPr>
          <w:lang w:val="en-US"/>
        </w:rPr>
        <w:t xml:space="preserve">product </w:t>
      </w:r>
      <w:r w:rsidRPr="00ED54CE" w:rsidR="00263938">
        <w:t xml:space="preserve">use behaviors and </w:t>
      </w:r>
      <w:r w:rsidRPr="00ED54CE" w:rsidR="00E16B22">
        <w:rPr>
          <w:lang w:val="en-US"/>
        </w:rPr>
        <w:t xml:space="preserve">correlates </w:t>
      </w:r>
      <w:r w:rsidRPr="00ED54CE" w:rsidR="00263938">
        <w:t xml:space="preserve">among </w:t>
      </w:r>
      <w:r w:rsidRPr="00ED54CE" w:rsidR="00F733BF">
        <w:rPr>
          <w:lang w:val="en-US"/>
        </w:rPr>
        <w:t xml:space="preserve">U.S. </w:t>
      </w:r>
      <w:r w:rsidRPr="00ED54CE" w:rsidR="00263938">
        <w:t xml:space="preserve">students enrolled in grades 6-12. </w:t>
      </w:r>
    </w:p>
    <w:p w:rsidR="000C5AF3" w:rsidRPr="00ED54CE" w:rsidP="00BF2BF3" w14:paraId="3AFB0E12" w14:textId="2693BE34">
      <w:pPr>
        <w:pStyle w:val="BodyText"/>
        <w:spacing w:after="0"/>
        <w:ind w:firstLine="0"/>
        <w:rPr>
          <w:lang w:val="en-US"/>
        </w:rPr>
      </w:pPr>
    </w:p>
    <w:bookmarkEnd w:id="1"/>
    <w:bookmarkEnd w:id="2"/>
    <w:p w:rsidR="00392111" w:rsidRPr="00ED54CE" w:rsidP="00BF2BF3" w14:paraId="4C578994" w14:textId="77777777">
      <w:pPr>
        <w:pStyle w:val="Heading2"/>
        <w:spacing w:before="0" w:after="0"/>
        <w:rPr>
          <w:rFonts w:ascii="Times New Roman" w:hAnsi="Times New Roman"/>
          <w:i w:val="0"/>
          <w:sz w:val="24"/>
          <w:szCs w:val="24"/>
          <w:u w:val="single"/>
        </w:rPr>
      </w:pPr>
      <w:r w:rsidRPr="00ED54CE">
        <w:rPr>
          <w:rFonts w:ascii="Times New Roman" w:hAnsi="Times New Roman"/>
          <w:i w:val="0"/>
          <w:sz w:val="24"/>
          <w:szCs w:val="24"/>
        </w:rPr>
        <w:t>B.1</w:t>
      </w:r>
      <w:r w:rsidRPr="00ED54CE">
        <w:rPr>
          <w:rFonts w:ascii="Times New Roman" w:hAnsi="Times New Roman"/>
          <w:i w:val="0"/>
          <w:sz w:val="24"/>
          <w:szCs w:val="24"/>
        </w:rPr>
        <w:tab/>
      </w:r>
      <w:r w:rsidRPr="00ED54CE">
        <w:rPr>
          <w:rFonts w:ascii="Times New Roman" w:hAnsi="Times New Roman"/>
          <w:i w:val="0"/>
          <w:sz w:val="24"/>
          <w:szCs w:val="24"/>
          <w:u w:val="single"/>
        </w:rPr>
        <w:t>RESPONDENT UNIVERSE AND SAMPLING METHODS</w:t>
      </w:r>
    </w:p>
    <w:p w:rsidR="00392111" w:rsidRPr="00ED54CE" w:rsidP="007E6CC4" w14:paraId="5545BFB7" w14:textId="77777777"/>
    <w:p w:rsidR="00EB7614" w:rsidRPr="00ED54CE" w:rsidP="00EB7614" w14:paraId="24445AD9" w14:textId="5A70E82F">
      <w:pPr>
        <w:pStyle w:val="BodyText"/>
        <w:ind w:firstLine="0"/>
      </w:pPr>
      <w:r w:rsidRPr="00ED54CE">
        <w:t xml:space="preserve">The universe for the study will consist of </w:t>
      </w:r>
      <w:r w:rsidRPr="00ED54CE">
        <w:rPr>
          <w:lang w:val="en-US"/>
        </w:rPr>
        <w:t>students in 6</w:t>
      </w:r>
      <w:r w:rsidRPr="00ED54CE">
        <w:rPr>
          <w:vertAlign w:val="superscript"/>
          <w:lang w:val="en-US"/>
        </w:rPr>
        <w:t>th</w:t>
      </w:r>
      <w:r w:rsidRPr="00ED54CE">
        <w:rPr>
          <w:lang w:val="en-US"/>
        </w:rPr>
        <w:t xml:space="preserve"> through 12</w:t>
      </w:r>
      <w:r w:rsidRPr="00ED54CE">
        <w:rPr>
          <w:vertAlign w:val="superscript"/>
          <w:lang w:val="en-US"/>
        </w:rPr>
        <w:t>th</w:t>
      </w:r>
      <w:r w:rsidRPr="00ED54CE">
        <w:rPr>
          <w:lang w:val="en-US"/>
        </w:rPr>
        <w:t xml:space="preserve"> grade that attend </w:t>
      </w:r>
      <w:r w:rsidRPr="00ED54CE">
        <w:t xml:space="preserve">public and </w:t>
      </w:r>
      <w:r w:rsidRPr="00ED54CE">
        <w:rPr>
          <w:lang w:val="en-US"/>
        </w:rPr>
        <w:t>private</w:t>
      </w:r>
      <w:r w:rsidRPr="00ED54CE">
        <w:t xml:space="preserve"> school</w:t>
      </w:r>
      <w:r w:rsidRPr="00ED54CE">
        <w:rPr>
          <w:lang w:val="en-US"/>
        </w:rPr>
        <w:t>s</w:t>
      </w:r>
      <w:r w:rsidRPr="00ED54CE">
        <w:t xml:space="preserve"> in the 50 </w:t>
      </w:r>
      <w:r w:rsidRPr="00ED54CE">
        <w:rPr>
          <w:lang w:val="en-US"/>
        </w:rPr>
        <w:t xml:space="preserve">U.S. </w:t>
      </w:r>
      <w:r w:rsidRPr="00ED54CE">
        <w:t xml:space="preserve">States and the District of Columbia. </w:t>
      </w:r>
      <w:r w:rsidRPr="00ED54CE">
        <w:rPr>
          <w:lang w:val="en-US"/>
        </w:rPr>
        <w:t xml:space="preserve">Private schools will include </w:t>
      </w:r>
      <w:r w:rsidRPr="0096055C">
        <w:rPr>
          <w:lang w:val="en-US"/>
        </w:rPr>
        <w:t>both religious and non-religious schools</w:t>
      </w:r>
      <w:r w:rsidRPr="00ED54CE">
        <w:t xml:space="preserve">. </w:t>
      </w:r>
    </w:p>
    <w:p w:rsidR="00EB7614" w:rsidRPr="00ED54CE" w:rsidP="00EB7614" w14:paraId="6D5DEFDA" w14:textId="2901F2B6">
      <w:r w:rsidRPr="00ED54CE">
        <w:t xml:space="preserve">The sampling frame combines the Common Core of Data </w:t>
      </w:r>
      <w:r w:rsidR="002F28DB">
        <w:t xml:space="preserve">and </w:t>
      </w:r>
      <w:r w:rsidR="00C4584E">
        <w:t xml:space="preserve">the Private School Survey (PSS) </w:t>
      </w:r>
      <w:r w:rsidRPr="00ED54CE">
        <w:t xml:space="preserve">from the </w:t>
      </w:r>
      <w:r w:rsidRPr="00ED54CE">
        <w:rPr>
          <w:sz w:val="23"/>
          <w:szCs w:val="23"/>
        </w:rPr>
        <w:t>National Center for Education Statistics</w:t>
      </w:r>
      <w:r w:rsidRPr="00ED54CE">
        <w:t xml:space="preserve"> (NCES) with school data from Market Data Retrieval Inc. The frame will be subset to schools that are “regular schools.” The following schools are not defined as “regular” schools, are considered ineligible, and will be removed from the sampling frame: special education schools, </w:t>
      </w:r>
      <w:r w:rsidRPr="00360FA9" w:rsidR="00294D91">
        <w:rPr>
          <w:szCs w:val="22"/>
        </w:rPr>
        <w:t xml:space="preserve">Department of Defense-operated schools, Bureau of Indian Affairs schools, adult education schools, </w:t>
      </w:r>
      <w:r w:rsidRPr="002A37FC" w:rsidR="00B463A3">
        <w:t>vocational</w:t>
      </w:r>
      <w:r w:rsidRPr="002A37FC" w:rsidR="00B463A3">
        <w:rPr>
          <w:spacing w:val="-11"/>
        </w:rPr>
        <w:t xml:space="preserve"> </w:t>
      </w:r>
      <w:r w:rsidRPr="002A37FC" w:rsidR="00B463A3">
        <w:t>schoo</w:t>
      </w:r>
      <w:r w:rsidRPr="002A37FC" w:rsidR="00B463A3">
        <w:rPr>
          <w:spacing w:val="-1"/>
        </w:rPr>
        <w:t>l</w:t>
      </w:r>
      <w:r w:rsidRPr="002A37FC" w:rsidR="00B463A3">
        <w:t>s</w:t>
      </w:r>
      <w:r w:rsidRPr="00ED54CE">
        <w:t xml:space="preserve">, and alternative schools. </w:t>
      </w:r>
    </w:p>
    <w:p w:rsidR="00EB7614" w:rsidRPr="00ED54CE" w:rsidP="00EB7614" w14:paraId="47C760C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B7614" w:rsidRPr="00ED54CE" w:rsidP="00EB7614" w14:paraId="46D973CF" w14:textId="77777777">
      <w:pPr>
        <w:rPr>
          <w:bCs/>
          <w:iCs/>
          <w:lang w:eastAsia="x-none"/>
        </w:rPr>
      </w:pPr>
    </w:p>
    <w:p w:rsidR="00EB7614" w:rsidRPr="00ED54CE" w:rsidP="00EB7614" w14:paraId="1F3CB626" w14:textId="77777777">
      <w:pPr>
        <w:pStyle w:val="Heading2"/>
        <w:spacing w:before="0"/>
        <w:rPr>
          <w:rFonts w:ascii="Times New Roman" w:hAnsi="Times New Roman"/>
          <w:i w:val="0"/>
          <w:sz w:val="24"/>
          <w:szCs w:val="24"/>
        </w:rPr>
      </w:pPr>
      <w:r w:rsidRPr="00ED54CE">
        <w:rPr>
          <w:rFonts w:ascii="Times New Roman" w:hAnsi="Times New Roman"/>
          <w:i w:val="0"/>
          <w:sz w:val="24"/>
          <w:szCs w:val="24"/>
        </w:rPr>
        <w:t>B.2</w:t>
      </w:r>
      <w:r w:rsidRPr="00ED54CE">
        <w:rPr>
          <w:rFonts w:ascii="Times New Roman" w:hAnsi="Times New Roman"/>
          <w:i w:val="0"/>
          <w:sz w:val="24"/>
          <w:szCs w:val="24"/>
        </w:rPr>
        <w:tab/>
      </w:r>
      <w:r w:rsidRPr="00ED54CE">
        <w:rPr>
          <w:rFonts w:ascii="Times New Roman" w:hAnsi="Times New Roman"/>
          <w:i w:val="0"/>
          <w:sz w:val="24"/>
          <w:szCs w:val="24"/>
          <w:u w:val="single"/>
        </w:rPr>
        <w:t>PROCEDURES FOR COLLECTION OF INFORMATION</w:t>
      </w:r>
    </w:p>
    <w:p w:rsidR="00EB7614" w:rsidRPr="00ED54CE" w:rsidP="00EB7614" w14:paraId="7724A37F" w14:textId="77777777">
      <w:pPr>
        <w:pStyle w:val="Heading3"/>
        <w:rPr>
          <w:rFonts w:ascii="Times New Roman" w:hAnsi="Times New Roman"/>
          <w:u w:val="single"/>
        </w:rPr>
      </w:pPr>
      <w:r w:rsidRPr="00ED54CE">
        <w:rPr>
          <w:rFonts w:ascii="Times New Roman" w:hAnsi="Times New Roman"/>
          <w:u w:val="single"/>
        </w:rPr>
        <w:t>Statistical Methodology for Stratification and Sample Selection</w:t>
      </w:r>
    </w:p>
    <w:p w:rsidR="00EB7614" w:rsidRPr="00ED54CE" w:rsidP="00EB7614" w14:paraId="53A13B38" w14:textId="77777777">
      <w:pPr>
        <w:rPr>
          <w:color w:val="000000"/>
        </w:rPr>
      </w:pPr>
    </w:p>
    <w:p w:rsidR="00EB7614" w:rsidRPr="00ED54CE" w:rsidP="00EB7614" w14:paraId="6B69A563" w14:textId="3110458B">
      <w:pPr>
        <w:pStyle w:val="BodyText"/>
        <w:spacing w:after="0"/>
        <w:ind w:firstLine="0"/>
      </w:pPr>
      <w:r w:rsidRPr="00ED54CE">
        <w:t xml:space="preserve">A national probability sample will be selected </w:t>
      </w:r>
      <w:r w:rsidR="00CC43CF">
        <w:rPr>
          <w:lang w:val="en-US"/>
        </w:rPr>
        <w:t xml:space="preserve">for </w:t>
      </w:r>
      <w:r w:rsidRPr="002A37FC" w:rsidR="00811934">
        <w:t>es</w:t>
      </w:r>
      <w:r w:rsidRPr="002A37FC" w:rsidR="00811934">
        <w:rPr>
          <w:spacing w:val="-2"/>
        </w:rPr>
        <w:t>t</w:t>
      </w:r>
      <w:r w:rsidRPr="002A37FC" w:rsidR="00811934">
        <w:rPr>
          <w:spacing w:val="-1"/>
        </w:rPr>
        <w:t>i</w:t>
      </w:r>
      <w:r w:rsidRPr="002A37FC" w:rsidR="00811934">
        <w:t>mation</w:t>
      </w:r>
      <w:r w:rsidRPr="002A37FC" w:rsidR="00811934">
        <w:rPr>
          <w:spacing w:val="-19"/>
        </w:rPr>
        <w:t xml:space="preserve"> </w:t>
      </w:r>
      <w:r w:rsidRPr="002A37FC" w:rsidR="00811934">
        <w:t>of</w:t>
      </w:r>
      <w:r w:rsidRPr="002A37FC" w:rsidR="00811934">
        <w:rPr>
          <w:spacing w:val="-19"/>
        </w:rPr>
        <w:t xml:space="preserve"> </w:t>
      </w:r>
      <w:r w:rsidRPr="002A37FC" w:rsidR="00811934">
        <w:t>t</w:t>
      </w:r>
      <w:r w:rsidRPr="002A37FC" w:rsidR="00811934">
        <w:rPr>
          <w:spacing w:val="-1"/>
        </w:rPr>
        <w:t>o</w:t>
      </w:r>
      <w:r w:rsidRPr="002A37FC" w:rsidR="00811934">
        <w:t>bacc</w:t>
      </w:r>
      <w:r w:rsidRPr="002A37FC" w:rsidR="00811934">
        <w:rPr>
          <w:spacing w:val="4"/>
        </w:rPr>
        <w:t>o</w:t>
      </w:r>
      <w:r w:rsidRPr="002A37FC" w:rsidR="00811934">
        <w:t>-related</w:t>
      </w:r>
      <w:r w:rsidRPr="002A37FC" w:rsidR="00811934">
        <w:rPr>
          <w:spacing w:val="-19"/>
        </w:rPr>
        <w:t xml:space="preserve"> </w:t>
      </w:r>
      <w:r w:rsidRPr="002A37FC" w:rsidR="00811934">
        <w:t>knowledge,</w:t>
      </w:r>
      <w:r w:rsidRPr="002A37FC" w:rsidR="00811934">
        <w:rPr>
          <w:w w:val="99"/>
        </w:rPr>
        <w:t xml:space="preserve"> </w:t>
      </w:r>
      <w:r w:rsidRPr="002A37FC" w:rsidR="00811934">
        <w:t>attitudes,</w:t>
      </w:r>
      <w:r w:rsidRPr="002A37FC" w:rsidR="00811934">
        <w:rPr>
          <w:spacing w:val="-6"/>
        </w:rPr>
        <w:t xml:space="preserve"> </w:t>
      </w:r>
      <w:r w:rsidRPr="002A37FC" w:rsidR="00811934">
        <w:t>a</w:t>
      </w:r>
      <w:r w:rsidRPr="002A37FC" w:rsidR="00811934">
        <w:rPr>
          <w:spacing w:val="-2"/>
        </w:rPr>
        <w:t>n</w:t>
      </w:r>
      <w:r w:rsidRPr="002A37FC" w:rsidR="00811934">
        <w:t>d</w:t>
      </w:r>
      <w:r w:rsidRPr="002A37FC" w:rsidR="00811934">
        <w:rPr>
          <w:spacing w:val="-5"/>
        </w:rPr>
        <w:t xml:space="preserve"> </w:t>
      </w:r>
      <w:r w:rsidRPr="002A37FC" w:rsidR="00811934">
        <w:t>behaviors</w:t>
      </w:r>
      <w:r w:rsidRPr="002A37FC" w:rsidR="00811934">
        <w:rPr>
          <w:spacing w:val="-6"/>
        </w:rPr>
        <w:t xml:space="preserve"> </w:t>
      </w:r>
      <w:r w:rsidRPr="002A37FC" w:rsidR="00811934">
        <w:t>in</w:t>
      </w:r>
      <w:r w:rsidRPr="002A37FC" w:rsidR="00811934">
        <w:rPr>
          <w:spacing w:val="-5"/>
        </w:rPr>
        <w:t xml:space="preserve"> </w:t>
      </w:r>
      <w:r w:rsidRPr="002A37FC" w:rsidR="00811934">
        <w:t>a</w:t>
      </w:r>
      <w:r w:rsidRPr="002A37FC" w:rsidR="00811934">
        <w:rPr>
          <w:spacing w:val="-7"/>
        </w:rPr>
        <w:t xml:space="preserve"> </w:t>
      </w:r>
      <w:r w:rsidRPr="002A37FC" w:rsidR="00811934">
        <w:t>national</w:t>
      </w:r>
      <w:r w:rsidRPr="002A37FC" w:rsidR="00811934">
        <w:rPr>
          <w:spacing w:val="-6"/>
        </w:rPr>
        <w:t xml:space="preserve"> </w:t>
      </w:r>
      <w:r w:rsidRPr="002A37FC" w:rsidR="00811934">
        <w:t>population</w:t>
      </w:r>
      <w:r w:rsidRPr="002A37FC" w:rsidR="00811934">
        <w:rPr>
          <w:spacing w:val="-7"/>
        </w:rPr>
        <w:t xml:space="preserve"> </w:t>
      </w:r>
      <w:r w:rsidRPr="002A37FC" w:rsidR="00811934">
        <w:t>of</w:t>
      </w:r>
      <w:r w:rsidRPr="002A37FC" w:rsidR="00811934">
        <w:rPr>
          <w:spacing w:val="-6"/>
        </w:rPr>
        <w:t xml:space="preserve"> </w:t>
      </w:r>
      <w:r w:rsidRPr="002A37FC" w:rsidR="00811934">
        <w:t>public</w:t>
      </w:r>
      <w:r w:rsidRPr="002A37FC" w:rsidR="00811934">
        <w:rPr>
          <w:spacing w:val="-5"/>
        </w:rPr>
        <w:t xml:space="preserve"> </w:t>
      </w:r>
      <w:r w:rsidRPr="002A37FC" w:rsidR="00811934">
        <w:t>and</w:t>
      </w:r>
      <w:r w:rsidRPr="002A37FC" w:rsidR="00811934">
        <w:rPr>
          <w:spacing w:val="-7"/>
        </w:rPr>
        <w:t xml:space="preserve"> </w:t>
      </w:r>
      <w:r w:rsidRPr="002A37FC" w:rsidR="00811934">
        <w:t>private</w:t>
      </w:r>
      <w:r w:rsidRPr="002A37FC" w:rsidR="00811934">
        <w:rPr>
          <w:spacing w:val="-6"/>
        </w:rPr>
        <w:t xml:space="preserve"> </w:t>
      </w:r>
      <w:r w:rsidRPr="002A37FC" w:rsidR="00811934">
        <w:t>school</w:t>
      </w:r>
      <w:r w:rsidRPr="002A37FC" w:rsidR="00811934">
        <w:rPr>
          <w:spacing w:val="-6"/>
        </w:rPr>
        <w:t xml:space="preserve"> </w:t>
      </w:r>
      <w:r w:rsidRPr="002A37FC" w:rsidR="00811934">
        <w:t>students</w:t>
      </w:r>
      <w:r w:rsidRPr="002A37FC" w:rsidR="00811934">
        <w:rPr>
          <w:spacing w:val="-6"/>
        </w:rPr>
        <w:t xml:space="preserve"> </w:t>
      </w:r>
      <w:r w:rsidRPr="002A37FC" w:rsidR="00811934">
        <w:t>enrolled</w:t>
      </w:r>
      <w:r w:rsidRPr="002A37FC" w:rsidR="00811934">
        <w:rPr>
          <w:spacing w:val="-6"/>
        </w:rPr>
        <w:t xml:space="preserve"> </w:t>
      </w:r>
      <w:r w:rsidRPr="002A37FC" w:rsidR="00811934">
        <w:t>in</w:t>
      </w:r>
      <w:r w:rsidRPr="002A37FC" w:rsidR="00811934">
        <w:rPr>
          <w:w w:val="99"/>
        </w:rPr>
        <w:t xml:space="preserve"> </w:t>
      </w:r>
      <w:r w:rsidRPr="002A37FC" w:rsidR="00811934">
        <w:t>grades</w:t>
      </w:r>
      <w:r w:rsidRPr="002A37FC" w:rsidR="00811934">
        <w:rPr>
          <w:spacing w:val="10"/>
        </w:rPr>
        <w:t xml:space="preserve"> </w:t>
      </w:r>
      <w:r w:rsidRPr="002A37FC" w:rsidR="00811934">
        <w:t>6</w:t>
      </w:r>
      <w:r w:rsidRPr="002A37FC" w:rsidR="00811934">
        <w:rPr>
          <w:spacing w:val="8"/>
        </w:rPr>
        <w:t xml:space="preserve"> </w:t>
      </w:r>
      <w:r w:rsidRPr="002A37FC" w:rsidR="00811934">
        <w:t>through</w:t>
      </w:r>
      <w:r w:rsidRPr="002A37FC" w:rsidR="00811934">
        <w:rPr>
          <w:spacing w:val="9"/>
        </w:rPr>
        <w:t xml:space="preserve"> </w:t>
      </w:r>
      <w:r w:rsidRPr="002A37FC" w:rsidR="00811934">
        <w:t>12</w:t>
      </w:r>
      <w:r w:rsidRPr="002A37FC" w:rsidR="00811934">
        <w:rPr>
          <w:spacing w:val="9"/>
        </w:rPr>
        <w:t xml:space="preserve"> </w:t>
      </w:r>
      <w:r w:rsidRPr="002A37FC" w:rsidR="00811934">
        <w:t>in</w:t>
      </w:r>
      <w:r w:rsidRPr="002A37FC" w:rsidR="00811934">
        <w:rPr>
          <w:spacing w:val="9"/>
        </w:rPr>
        <w:t xml:space="preserve"> </w:t>
      </w:r>
      <w:r w:rsidRPr="002A37FC" w:rsidR="00811934">
        <w:t>the</w:t>
      </w:r>
      <w:r w:rsidRPr="002A37FC" w:rsidR="00811934">
        <w:rPr>
          <w:spacing w:val="9"/>
        </w:rPr>
        <w:t xml:space="preserve"> </w:t>
      </w:r>
      <w:r w:rsidRPr="002A37FC" w:rsidR="00811934">
        <w:t>United</w:t>
      </w:r>
      <w:r w:rsidRPr="002A37FC" w:rsidR="00811934">
        <w:rPr>
          <w:spacing w:val="11"/>
        </w:rPr>
        <w:t xml:space="preserve"> </w:t>
      </w:r>
      <w:r w:rsidRPr="002A37FC" w:rsidR="00811934">
        <w:t>States.</w:t>
      </w:r>
      <w:r w:rsidRPr="002A37FC" w:rsidR="00811934">
        <w:rPr>
          <w:spacing w:val="9"/>
        </w:rPr>
        <w:t xml:space="preserve"> </w:t>
      </w:r>
      <w:r w:rsidRPr="002A37FC" w:rsidR="00811934">
        <w:rPr>
          <w:spacing w:val="-1"/>
        </w:rPr>
        <w:t>M</w:t>
      </w:r>
      <w:r w:rsidRPr="002A37FC" w:rsidR="00811934">
        <w:t>o</w:t>
      </w:r>
      <w:r w:rsidRPr="002A37FC" w:rsidR="00811934">
        <w:rPr>
          <w:spacing w:val="1"/>
        </w:rPr>
        <w:t>r</w:t>
      </w:r>
      <w:r w:rsidRPr="002A37FC" w:rsidR="00811934">
        <w:t>e</w:t>
      </w:r>
      <w:r w:rsidRPr="002A37FC" w:rsidR="00811934">
        <w:rPr>
          <w:spacing w:val="9"/>
        </w:rPr>
        <w:t xml:space="preserve"> </w:t>
      </w:r>
      <w:r w:rsidRPr="002A37FC" w:rsidR="00811934">
        <w:t>specific</w:t>
      </w:r>
      <w:r w:rsidRPr="002A37FC" w:rsidR="00811934">
        <w:rPr>
          <w:spacing w:val="-1"/>
        </w:rPr>
        <w:t>a</w:t>
      </w:r>
      <w:r w:rsidRPr="002A37FC" w:rsidR="00811934">
        <w:t>ll</w:t>
      </w:r>
      <w:r w:rsidRPr="002A37FC" w:rsidR="00811934">
        <w:rPr>
          <w:spacing w:val="-2"/>
        </w:rPr>
        <w:t>y</w:t>
      </w:r>
      <w:r w:rsidRPr="002A37FC" w:rsidR="00811934">
        <w:t>,</w:t>
      </w:r>
      <w:r w:rsidRPr="002A37FC" w:rsidR="00811934">
        <w:rPr>
          <w:spacing w:val="9"/>
        </w:rPr>
        <w:t xml:space="preserve"> </w:t>
      </w:r>
      <w:r w:rsidRPr="002A37FC" w:rsidR="00811934">
        <w:t>the</w:t>
      </w:r>
      <w:r w:rsidRPr="002A37FC" w:rsidR="00811934">
        <w:rPr>
          <w:spacing w:val="9"/>
        </w:rPr>
        <w:t xml:space="preserve"> </w:t>
      </w:r>
      <w:r w:rsidRPr="002A37FC" w:rsidR="00811934">
        <w:t>study</w:t>
      </w:r>
      <w:r w:rsidRPr="002A37FC" w:rsidR="00811934">
        <w:rPr>
          <w:spacing w:val="9"/>
        </w:rPr>
        <w:t xml:space="preserve"> </w:t>
      </w:r>
      <w:r w:rsidRPr="002A37FC" w:rsidR="00811934">
        <w:t>is</w:t>
      </w:r>
      <w:r w:rsidRPr="002A37FC" w:rsidR="00811934">
        <w:rPr>
          <w:spacing w:val="9"/>
        </w:rPr>
        <w:t xml:space="preserve"> </w:t>
      </w:r>
      <w:r w:rsidRPr="002A37FC" w:rsidR="00811934">
        <w:t>designed</w:t>
      </w:r>
      <w:r w:rsidRPr="002A37FC" w:rsidR="00811934">
        <w:rPr>
          <w:spacing w:val="8"/>
        </w:rPr>
        <w:t xml:space="preserve"> </w:t>
      </w:r>
      <w:r w:rsidRPr="002A37FC" w:rsidR="00811934">
        <w:t>to</w:t>
      </w:r>
      <w:r w:rsidRPr="002A37FC" w:rsidR="00811934">
        <w:rPr>
          <w:spacing w:val="9"/>
        </w:rPr>
        <w:t xml:space="preserve"> </w:t>
      </w:r>
      <w:r w:rsidRPr="002A37FC" w:rsidR="00811934">
        <w:t>produ</w:t>
      </w:r>
      <w:r w:rsidRPr="002A37FC" w:rsidR="00811934">
        <w:rPr>
          <w:spacing w:val="2"/>
        </w:rPr>
        <w:t>c</w:t>
      </w:r>
      <w:r w:rsidRPr="002A37FC" w:rsidR="00811934">
        <w:t>e</w:t>
      </w:r>
      <w:r w:rsidR="00811934">
        <w:t xml:space="preserve"> precise</w:t>
      </w:r>
      <w:r w:rsidRPr="002A37FC" w:rsidR="00811934">
        <w:rPr>
          <w:w w:val="99"/>
        </w:rPr>
        <w:t xml:space="preserve"> </w:t>
      </w:r>
      <w:r w:rsidRPr="002A37FC" w:rsidR="00811934">
        <w:t>national</w:t>
      </w:r>
      <w:r w:rsidRPr="002A37FC" w:rsidR="00811934">
        <w:rPr>
          <w:spacing w:val="-1"/>
        </w:rPr>
        <w:t xml:space="preserve"> </w:t>
      </w:r>
      <w:r w:rsidRPr="002A37FC" w:rsidR="00811934">
        <w:t>est</w:t>
      </w:r>
      <w:r w:rsidRPr="002A37FC" w:rsidR="00811934">
        <w:rPr>
          <w:spacing w:val="-1"/>
        </w:rPr>
        <w:t>im</w:t>
      </w:r>
      <w:r w:rsidRPr="002A37FC" w:rsidR="00811934">
        <w:t>ates by</w:t>
      </w:r>
      <w:r w:rsidRPr="002A37FC" w:rsidR="00811934">
        <w:rPr>
          <w:spacing w:val="-1"/>
        </w:rPr>
        <w:t xml:space="preserve"> </w:t>
      </w:r>
      <w:r w:rsidRPr="002A37FC" w:rsidR="00811934">
        <w:rPr>
          <w:spacing w:val="1"/>
        </w:rPr>
        <w:t>s</w:t>
      </w:r>
      <w:r w:rsidRPr="002A37FC" w:rsidR="00811934">
        <w:t>chool le</w:t>
      </w:r>
      <w:r w:rsidRPr="002A37FC" w:rsidR="00811934">
        <w:rPr>
          <w:spacing w:val="-1"/>
        </w:rPr>
        <w:t>v</w:t>
      </w:r>
      <w:r w:rsidRPr="002A37FC" w:rsidR="00811934">
        <w:t>el (</w:t>
      </w:r>
      <w:r w:rsidRPr="002A37FC" w:rsidR="00811934">
        <w:rPr>
          <w:spacing w:val="-1"/>
        </w:rPr>
        <w:t>m</w:t>
      </w:r>
      <w:r w:rsidRPr="002A37FC" w:rsidR="00811934">
        <w:t>iddle and</w:t>
      </w:r>
      <w:r w:rsidRPr="002A37FC" w:rsidR="00811934">
        <w:rPr>
          <w:spacing w:val="-1"/>
        </w:rPr>
        <w:t xml:space="preserve"> </w:t>
      </w:r>
      <w:r w:rsidRPr="002A37FC" w:rsidR="00811934">
        <w:rPr>
          <w:spacing w:val="3"/>
        </w:rPr>
        <w:t>h</w:t>
      </w:r>
      <w:r w:rsidRPr="002A37FC" w:rsidR="00811934">
        <w:t>igh</w:t>
      </w:r>
      <w:r w:rsidRPr="002A37FC" w:rsidR="00811934">
        <w:rPr>
          <w:spacing w:val="-1"/>
        </w:rPr>
        <w:t xml:space="preserve"> </w:t>
      </w:r>
      <w:r w:rsidRPr="002A37FC" w:rsidR="00811934">
        <w:t>school</w:t>
      </w:r>
      <w:r w:rsidRPr="002A37FC" w:rsidR="00811934">
        <w:rPr>
          <w:spacing w:val="-1"/>
        </w:rPr>
        <w:t>)</w:t>
      </w:r>
      <w:r w:rsidRPr="002A37FC" w:rsidR="00811934">
        <w:t>,</w:t>
      </w:r>
      <w:r w:rsidRPr="002A37FC" w:rsidR="00811934">
        <w:rPr>
          <w:spacing w:val="-1"/>
        </w:rPr>
        <w:t xml:space="preserve"> </w:t>
      </w:r>
      <w:r w:rsidRPr="002A37FC" w:rsidR="00811934">
        <w:t>by</w:t>
      </w:r>
      <w:r w:rsidRPr="002A37FC" w:rsidR="00811934">
        <w:rPr>
          <w:spacing w:val="-1"/>
        </w:rPr>
        <w:t xml:space="preserve"> </w:t>
      </w:r>
      <w:r w:rsidRPr="002A37FC" w:rsidR="00811934">
        <w:t>grade</w:t>
      </w:r>
      <w:r w:rsidRPr="002A37FC" w:rsidR="00811934">
        <w:rPr>
          <w:w w:val="99"/>
        </w:rPr>
        <w:t xml:space="preserve"> </w:t>
      </w:r>
      <w:r w:rsidRPr="002A37FC" w:rsidR="00811934">
        <w:t>(6,</w:t>
      </w:r>
      <w:r w:rsidRPr="002A37FC" w:rsidR="00811934">
        <w:rPr>
          <w:spacing w:val="-6"/>
        </w:rPr>
        <w:t xml:space="preserve"> </w:t>
      </w:r>
      <w:r w:rsidRPr="002A37FC" w:rsidR="00811934">
        <w:t>7,</w:t>
      </w:r>
      <w:r w:rsidRPr="002A37FC" w:rsidR="00811934">
        <w:rPr>
          <w:spacing w:val="-6"/>
        </w:rPr>
        <w:t xml:space="preserve"> </w:t>
      </w:r>
      <w:r w:rsidRPr="002A37FC" w:rsidR="00811934">
        <w:t>8,</w:t>
      </w:r>
      <w:r w:rsidRPr="002A37FC" w:rsidR="00811934">
        <w:rPr>
          <w:spacing w:val="-6"/>
        </w:rPr>
        <w:t xml:space="preserve"> </w:t>
      </w:r>
      <w:r w:rsidRPr="002A37FC" w:rsidR="00811934">
        <w:t>9,</w:t>
      </w:r>
      <w:r w:rsidRPr="002A37FC" w:rsidR="00811934">
        <w:rPr>
          <w:spacing w:val="-7"/>
        </w:rPr>
        <w:t xml:space="preserve"> </w:t>
      </w:r>
      <w:r w:rsidRPr="002A37FC" w:rsidR="00811934">
        <w:t>10,</w:t>
      </w:r>
      <w:r w:rsidRPr="002A37FC" w:rsidR="00811934">
        <w:rPr>
          <w:spacing w:val="-5"/>
        </w:rPr>
        <w:t xml:space="preserve"> </w:t>
      </w:r>
      <w:r w:rsidRPr="002A37FC" w:rsidR="00811934">
        <w:t>11,</w:t>
      </w:r>
      <w:r w:rsidRPr="002A37FC" w:rsidR="00811934">
        <w:rPr>
          <w:spacing w:val="-6"/>
        </w:rPr>
        <w:t xml:space="preserve"> </w:t>
      </w:r>
      <w:r w:rsidRPr="002A37FC" w:rsidR="00811934">
        <w:t>and</w:t>
      </w:r>
      <w:r w:rsidRPr="002A37FC" w:rsidR="00811934">
        <w:rPr>
          <w:spacing w:val="-5"/>
        </w:rPr>
        <w:t xml:space="preserve"> </w:t>
      </w:r>
      <w:r w:rsidRPr="002A37FC" w:rsidR="00811934">
        <w:t>12),</w:t>
      </w:r>
      <w:r w:rsidRPr="002A37FC" w:rsidR="00811934">
        <w:rPr>
          <w:spacing w:val="-6"/>
        </w:rPr>
        <w:t xml:space="preserve"> </w:t>
      </w:r>
      <w:r w:rsidRPr="002A37FC" w:rsidR="00811934">
        <w:t>by</w:t>
      </w:r>
      <w:r w:rsidRPr="002A37FC" w:rsidR="00811934">
        <w:rPr>
          <w:spacing w:val="-6"/>
        </w:rPr>
        <w:t xml:space="preserve"> </w:t>
      </w:r>
      <w:r w:rsidRPr="002A37FC" w:rsidR="00811934">
        <w:t>sex</w:t>
      </w:r>
      <w:r w:rsidRPr="002A37FC" w:rsidR="00811934">
        <w:rPr>
          <w:spacing w:val="-7"/>
        </w:rPr>
        <w:t xml:space="preserve"> </w:t>
      </w:r>
      <w:r w:rsidRPr="002A37FC" w:rsidR="00811934">
        <w:rPr>
          <w:spacing w:val="1"/>
        </w:rPr>
        <w:t>(</w:t>
      </w:r>
      <w:r w:rsidRPr="002A37FC" w:rsidR="00811934">
        <w:t>male</w:t>
      </w:r>
      <w:r w:rsidRPr="002A37FC" w:rsidR="00811934">
        <w:rPr>
          <w:spacing w:val="-5"/>
        </w:rPr>
        <w:t xml:space="preserve"> </w:t>
      </w:r>
      <w:r w:rsidRPr="002A37FC" w:rsidR="00811934">
        <w:t>and</w:t>
      </w:r>
      <w:r w:rsidRPr="002A37FC" w:rsidR="00811934">
        <w:rPr>
          <w:spacing w:val="-6"/>
        </w:rPr>
        <w:t xml:space="preserve"> </w:t>
      </w:r>
      <w:r w:rsidRPr="002A37FC" w:rsidR="00811934">
        <w:t>female),</w:t>
      </w:r>
      <w:r w:rsidRPr="002A37FC" w:rsidR="00811934">
        <w:rPr>
          <w:spacing w:val="-5"/>
        </w:rPr>
        <w:t xml:space="preserve"> </w:t>
      </w:r>
      <w:r w:rsidRPr="002A37FC" w:rsidR="00811934">
        <w:t>and</w:t>
      </w:r>
      <w:r w:rsidRPr="002A37FC" w:rsidR="00811934">
        <w:rPr>
          <w:spacing w:val="-6"/>
        </w:rPr>
        <w:t xml:space="preserve"> </w:t>
      </w:r>
      <w:r w:rsidRPr="002A37FC" w:rsidR="00811934">
        <w:t>by</w:t>
      </w:r>
      <w:r w:rsidRPr="002A37FC" w:rsidR="00811934">
        <w:rPr>
          <w:spacing w:val="-6"/>
        </w:rPr>
        <w:t xml:space="preserve"> </w:t>
      </w:r>
      <w:r w:rsidRPr="002A37FC" w:rsidR="00811934">
        <w:t>rac</w:t>
      </w:r>
      <w:r w:rsidRPr="002A37FC" w:rsidR="00811934">
        <w:rPr>
          <w:spacing w:val="3"/>
        </w:rPr>
        <w:t>e</w:t>
      </w:r>
      <w:r w:rsidR="00394C6A">
        <w:rPr>
          <w:lang w:val="en-US"/>
        </w:rPr>
        <w:t xml:space="preserve"> and</w:t>
      </w:r>
      <w:r w:rsidRPr="002A37FC" w:rsidR="00811934">
        <w:t>ethnicity</w:t>
      </w:r>
      <w:r w:rsidRPr="002A37FC" w:rsidR="00811934">
        <w:rPr>
          <w:spacing w:val="-6"/>
        </w:rPr>
        <w:t xml:space="preserve"> </w:t>
      </w:r>
      <w:r w:rsidRPr="002A37FC" w:rsidR="00811934">
        <w:t>(non-Hispanic</w:t>
      </w:r>
      <w:r w:rsidRPr="002A37FC" w:rsidR="00811934">
        <w:rPr>
          <w:spacing w:val="-4"/>
        </w:rPr>
        <w:t xml:space="preserve"> </w:t>
      </w:r>
      <w:r w:rsidR="00811934">
        <w:t>w</w:t>
      </w:r>
      <w:r w:rsidRPr="002A37FC" w:rsidR="00811934">
        <w:t>hit</w:t>
      </w:r>
      <w:r w:rsidRPr="002A37FC" w:rsidR="00811934">
        <w:rPr>
          <w:spacing w:val="-1"/>
        </w:rPr>
        <w:t>e</w:t>
      </w:r>
      <w:r w:rsidRPr="002A37FC" w:rsidR="00811934">
        <w:t>,</w:t>
      </w:r>
      <w:r w:rsidRPr="002A37FC" w:rsidR="00811934">
        <w:rPr>
          <w:w w:val="99"/>
        </w:rPr>
        <w:t xml:space="preserve"> </w:t>
      </w:r>
      <w:r w:rsidRPr="002A37FC" w:rsidR="00811934">
        <w:t>non-Hispan</w:t>
      </w:r>
      <w:r w:rsidRPr="002A37FC" w:rsidR="00811934">
        <w:rPr>
          <w:spacing w:val="-1"/>
        </w:rPr>
        <w:t>i</w:t>
      </w:r>
      <w:r w:rsidRPr="002A37FC" w:rsidR="00811934">
        <w:t>c</w:t>
      </w:r>
      <w:r w:rsidRPr="002A37FC" w:rsidR="00811934">
        <w:rPr>
          <w:spacing w:val="-20"/>
        </w:rPr>
        <w:t xml:space="preserve"> </w:t>
      </w:r>
      <w:r w:rsidRPr="002A37FC" w:rsidR="00811934">
        <w:t>Blac</w:t>
      </w:r>
      <w:r w:rsidRPr="002A37FC" w:rsidR="00811934">
        <w:rPr>
          <w:spacing w:val="1"/>
        </w:rPr>
        <w:t>k</w:t>
      </w:r>
      <w:r w:rsidRPr="002A37FC" w:rsidR="00811934">
        <w:t>,</w:t>
      </w:r>
      <w:r w:rsidRPr="002A37FC" w:rsidR="00811934">
        <w:rPr>
          <w:spacing w:val="-22"/>
        </w:rPr>
        <w:t xml:space="preserve"> </w:t>
      </w:r>
      <w:r w:rsidRPr="002A37FC" w:rsidR="00811934">
        <w:t>Hispanic</w:t>
      </w:r>
      <w:r w:rsidR="00811934">
        <w:t xml:space="preserve">, </w:t>
      </w:r>
      <w:r w:rsidRPr="002A37FC" w:rsidR="00811934">
        <w:t>non-Hispan</w:t>
      </w:r>
      <w:r w:rsidRPr="002A37FC" w:rsidR="00811934">
        <w:rPr>
          <w:spacing w:val="-1"/>
        </w:rPr>
        <w:t>i</w:t>
      </w:r>
      <w:r w:rsidRPr="002A37FC" w:rsidR="00811934">
        <w:t>c</w:t>
      </w:r>
      <w:r w:rsidR="00811934">
        <w:t xml:space="preserve"> Asian, and </w:t>
      </w:r>
      <w:r w:rsidRPr="002A37FC" w:rsidR="00811934">
        <w:t>non-Hispan</w:t>
      </w:r>
      <w:r w:rsidRPr="002A37FC" w:rsidR="00811934">
        <w:rPr>
          <w:spacing w:val="-1"/>
        </w:rPr>
        <w:t>i</w:t>
      </w:r>
      <w:r w:rsidRPr="002A37FC" w:rsidR="00811934">
        <w:t>c</w:t>
      </w:r>
      <w:r w:rsidR="00811934">
        <w:t xml:space="preserve"> American Indian / Alaskan Native</w:t>
      </w:r>
      <w:r w:rsidRPr="002A37FC" w:rsidR="00811934">
        <w:t>).</w:t>
      </w:r>
      <w:r w:rsidRPr="002A37FC" w:rsidR="00811934">
        <w:rPr>
          <w:spacing w:val="-21"/>
        </w:rPr>
        <w:t xml:space="preserve"> </w:t>
      </w:r>
      <w:r w:rsidR="00811934">
        <w:rPr>
          <w:spacing w:val="-21"/>
        </w:rPr>
        <w:t xml:space="preserve"> </w:t>
      </w:r>
      <w:r w:rsidRPr="002A37FC" w:rsidR="00811934">
        <w:t>Additional</w:t>
      </w:r>
      <w:r w:rsidRPr="002A37FC" w:rsidR="00811934">
        <w:rPr>
          <w:spacing w:val="-20"/>
        </w:rPr>
        <w:t xml:space="preserve"> </w:t>
      </w:r>
      <w:r w:rsidRPr="002A37FC" w:rsidR="00811934">
        <w:t>es</w:t>
      </w:r>
      <w:r w:rsidRPr="002A37FC" w:rsidR="00811934">
        <w:rPr>
          <w:spacing w:val="-2"/>
        </w:rPr>
        <w:t>t</w:t>
      </w:r>
      <w:r w:rsidRPr="002A37FC" w:rsidR="00811934">
        <w:rPr>
          <w:spacing w:val="-1"/>
        </w:rPr>
        <w:t>i</w:t>
      </w:r>
      <w:r w:rsidRPr="002A37FC" w:rsidR="00811934">
        <w:t>mates</w:t>
      </w:r>
      <w:r w:rsidRPr="002A37FC" w:rsidR="00811934">
        <w:rPr>
          <w:spacing w:val="-21"/>
        </w:rPr>
        <w:t xml:space="preserve"> </w:t>
      </w:r>
      <w:r w:rsidRPr="002A37FC" w:rsidR="00811934">
        <w:t>also</w:t>
      </w:r>
      <w:r w:rsidRPr="002A37FC" w:rsidR="00811934">
        <w:rPr>
          <w:spacing w:val="-21"/>
        </w:rPr>
        <w:t xml:space="preserve"> </w:t>
      </w:r>
      <w:r w:rsidRPr="002A37FC" w:rsidR="00811934">
        <w:t>are</w:t>
      </w:r>
      <w:r w:rsidRPr="002A37FC" w:rsidR="00811934">
        <w:rPr>
          <w:spacing w:val="-21"/>
        </w:rPr>
        <w:t xml:space="preserve"> </w:t>
      </w:r>
      <w:r w:rsidRPr="002A37FC" w:rsidR="00811934">
        <w:t>supported</w:t>
      </w:r>
      <w:r w:rsidRPr="002A37FC" w:rsidR="00811934">
        <w:rPr>
          <w:spacing w:val="-21"/>
        </w:rPr>
        <w:t xml:space="preserve"> </w:t>
      </w:r>
      <w:r w:rsidRPr="002A37FC" w:rsidR="00811934">
        <w:t>for</w:t>
      </w:r>
      <w:r w:rsidRPr="002A37FC" w:rsidR="00811934">
        <w:rPr>
          <w:spacing w:val="-20"/>
        </w:rPr>
        <w:t xml:space="preserve"> </w:t>
      </w:r>
      <w:r w:rsidRPr="002A37FC" w:rsidR="00811934">
        <w:t>subgroups</w:t>
      </w:r>
      <w:r w:rsidRPr="002A37FC" w:rsidR="00811934">
        <w:rPr>
          <w:spacing w:val="-21"/>
        </w:rPr>
        <w:t xml:space="preserve"> </w:t>
      </w:r>
      <w:r w:rsidRPr="002A37FC" w:rsidR="00811934">
        <w:t>defined</w:t>
      </w:r>
      <w:r w:rsidRPr="002A37FC" w:rsidR="00811934">
        <w:rPr>
          <w:w w:val="99"/>
        </w:rPr>
        <w:t xml:space="preserve"> </w:t>
      </w:r>
      <w:r w:rsidRPr="002A37FC" w:rsidR="00811934">
        <w:t>by</w:t>
      </w:r>
      <w:r w:rsidRPr="002A37FC" w:rsidR="00811934">
        <w:rPr>
          <w:spacing w:val="17"/>
        </w:rPr>
        <w:t xml:space="preserve"> </w:t>
      </w:r>
      <w:r w:rsidRPr="002A37FC" w:rsidR="00811934">
        <w:t>grade,</w:t>
      </w:r>
      <w:r w:rsidRPr="002A37FC" w:rsidR="00811934">
        <w:rPr>
          <w:spacing w:val="19"/>
        </w:rPr>
        <w:t xml:space="preserve"> </w:t>
      </w:r>
      <w:r w:rsidRPr="002A37FC" w:rsidR="00811934">
        <w:t>sex,</w:t>
      </w:r>
      <w:r w:rsidRPr="002A37FC" w:rsidR="00811934">
        <w:rPr>
          <w:spacing w:val="18"/>
        </w:rPr>
        <w:t xml:space="preserve"> </w:t>
      </w:r>
      <w:r w:rsidRPr="002A37FC" w:rsidR="00811934">
        <w:t>and</w:t>
      </w:r>
      <w:r w:rsidRPr="002A37FC" w:rsidR="00811934">
        <w:rPr>
          <w:spacing w:val="19"/>
        </w:rPr>
        <w:t xml:space="preserve"> </w:t>
      </w:r>
      <w:r w:rsidRPr="002A37FC" w:rsidR="00811934">
        <w:t>rac</w:t>
      </w:r>
      <w:r w:rsidRPr="002A37FC" w:rsidR="00811934">
        <w:rPr>
          <w:spacing w:val="3"/>
        </w:rPr>
        <w:t>e</w:t>
      </w:r>
      <w:r w:rsidRPr="002A37FC" w:rsidR="00811934">
        <w:t>-ethnicity,</w:t>
      </w:r>
      <w:r w:rsidRPr="002A37FC" w:rsidR="00811934">
        <w:rPr>
          <w:spacing w:val="18"/>
        </w:rPr>
        <w:t xml:space="preserve"> </w:t>
      </w:r>
      <w:r w:rsidRPr="002A37FC" w:rsidR="00811934">
        <w:t>each</w:t>
      </w:r>
      <w:r w:rsidRPr="002A37FC" w:rsidR="00811934">
        <w:rPr>
          <w:spacing w:val="18"/>
        </w:rPr>
        <w:t xml:space="preserve"> </w:t>
      </w:r>
      <w:r w:rsidRPr="002A37FC" w:rsidR="00811934">
        <w:t>within</w:t>
      </w:r>
      <w:r w:rsidRPr="002A37FC" w:rsidR="00811934">
        <w:rPr>
          <w:spacing w:val="20"/>
        </w:rPr>
        <w:t xml:space="preserve"> </w:t>
      </w:r>
      <w:r w:rsidRPr="002A37FC" w:rsidR="00811934">
        <w:t>school-level</w:t>
      </w:r>
      <w:r w:rsidRPr="002A37FC" w:rsidR="00811934">
        <w:rPr>
          <w:spacing w:val="19"/>
        </w:rPr>
        <w:t xml:space="preserve"> </w:t>
      </w:r>
      <w:r w:rsidRPr="002A37FC" w:rsidR="00811934">
        <w:t>domains;</w:t>
      </w:r>
      <w:r w:rsidRPr="002A37FC" w:rsidR="00811934">
        <w:rPr>
          <w:spacing w:val="18"/>
        </w:rPr>
        <w:t xml:space="preserve"> </w:t>
      </w:r>
      <w:r w:rsidRPr="002A37FC" w:rsidR="00811934">
        <w:t>however,</w:t>
      </w:r>
      <w:r w:rsidRPr="002A37FC" w:rsidR="00811934">
        <w:rPr>
          <w:spacing w:val="18"/>
        </w:rPr>
        <w:t xml:space="preserve"> </w:t>
      </w:r>
      <w:r w:rsidRPr="002A37FC" w:rsidR="00811934">
        <w:t>precisi</w:t>
      </w:r>
      <w:r w:rsidRPr="002A37FC" w:rsidR="00811934">
        <w:rPr>
          <w:spacing w:val="-2"/>
        </w:rPr>
        <w:t>o</w:t>
      </w:r>
      <w:r w:rsidRPr="002A37FC" w:rsidR="00811934">
        <w:t>n</w:t>
      </w:r>
      <w:r w:rsidRPr="002A37FC" w:rsidR="00811934">
        <w:rPr>
          <w:w w:val="99"/>
        </w:rPr>
        <w:t xml:space="preserve"> </w:t>
      </w:r>
      <w:r w:rsidRPr="002A37FC" w:rsidR="00811934">
        <w:t>levels</w:t>
      </w:r>
      <w:r w:rsidRPr="002A37FC" w:rsidR="00811934">
        <w:rPr>
          <w:spacing w:val="8"/>
        </w:rPr>
        <w:t xml:space="preserve"> </w:t>
      </w:r>
      <w:r w:rsidRPr="002A37FC" w:rsidR="00811934">
        <w:t>vary</w:t>
      </w:r>
      <w:r w:rsidRPr="002A37FC" w:rsidR="00811934">
        <w:rPr>
          <w:spacing w:val="9"/>
        </w:rPr>
        <w:t xml:space="preserve"> </w:t>
      </w:r>
      <w:r w:rsidRPr="002A37FC" w:rsidR="00811934">
        <w:t>considerably</w:t>
      </w:r>
      <w:r w:rsidRPr="002A37FC" w:rsidR="00811934">
        <w:rPr>
          <w:spacing w:val="8"/>
        </w:rPr>
        <w:t xml:space="preserve"> </w:t>
      </w:r>
      <w:r w:rsidRPr="002A37FC" w:rsidR="00811934">
        <w:t>according</w:t>
      </w:r>
      <w:r w:rsidRPr="002A37FC" w:rsidR="00811934">
        <w:rPr>
          <w:spacing w:val="8"/>
        </w:rPr>
        <w:t xml:space="preserve"> </w:t>
      </w:r>
      <w:r w:rsidRPr="002A37FC" w:rsidR="00811934">
        <w:t>to</w:t>
      </w:r>
      <w:r w:rsidRPr="002A37FC" w:rsidR="00811934">
        <w:rPr>
          <w:spacing w:val="9"/>
        </w:rPr>
        <w:t xml:space="preserve"> </w:t>
      </w:r>
      <w:r w:rsidRPr="002A37FC" w:rsidR="00811934">
        <w:t>differenc</w:t>
      </w:r>
      <w:r w:rsidRPr="002A37FC" w:rsidR="00811934">
        <w:rPr>
          <w:spacing w:val="-1"/>
        </w:rPr>
        <w:t>e</w:t>
      </w:r>
      <w:r w:rsidRPr="002A37FC" w:rsidR="00811934">
        <w:t>s</w:t>
      </w:r>
      <w:r w:rsidRPr="002A37FC" w:rsidR="00811934">
        <w:rPr>
          <w:spacing w:val="9"/>
        </w:rPr>
        <w:t xml:space="preserve"> </w:t>
      </w:r>
      <w:r w:rsidRPr="002A37FC" w:rsidR="00811934">
        <w:t>in</w:t>
      </w:r>
      <w:r w:rsidRPr="002A37FC" w:rsidR="00811934">
        <w:rPr>
          <w:spacing w:val="8"/>
        </w:rPr>
        <w:t xml:space="preserve"> </w:t>
      </w:r>
      <w:r w:rsidRPr="002A37FC" w:rsidR="00811934">
        <w:t>subpo</w:t>
      </w:r>
      <w:r w:rsidRPr="002A37FC" w:rsidR="00811934">
        <w:rPr>
          <w:spacing w:val="-1"/>
        </w:rPr>
        <w:t>p</w:t>
      </w:r>
      <w:r w:rsidRPr="002A37FC" w:rsidR="00811934">
        <w:t>ulation</w:t>
      </w:r>
      <w:r w:rsidRPr="002A37FC" w:rsidR="00811934">
        <w:rPr>
          <w:spacing w:val="9"/>
        </w:rPr>
        <w:t xml:space="preserve"> </w:t>
      </w:r>
      <w:r w:rsidRPr="002A37FC" w:rsidR="00811934">
        <w:t>sizes</w:t>
      </w:r>
      <w:r w:rsidRPr="00ED54CE">
        <w:t>. Additional details of the sampling plan are provided in Attachment L.</w:t>
      </w:r>
    </w:p>
    <w:p w:rsidR="00F617BC" w14:paraId="641B112F" w14:textId="628A3474">
      <w:pPr>
        <w:widowControl/>
        <w:autoSpaceDE/>
        <w:autoSpaceDN/>
        <w:adjustRightInd/>
        <w:rPr>
          <w:u w:val="single"/>
        </w:rPr>
      </w:pPr>
    </w:p>
    <w:p w:rsidR="00EB7614" w:rsidRPr="00ED54CE" w:rsidP="00EB7614" w14:paraId="051F354D" w14:textId="7649224A">
      <w:r w:rsidRPr="00ED54CE">
        <w:rPr>
          <w:u w:val="single"/>
        </w:rPr>
        <w:t xml:space="preserve">Sampling Frame and Stratification. </w:t>
      </w:r>
      <w:r w:rsidRPr="00ED54CE">
        <w:t xml:space="preserve">For the 2024-2026 NYTS surveys, we will use a frame that combines two files from the NCES; the Common Core Dataset (CCD) which is a national file of public schools and the Private School Universe Survey Dataset (PSS), a file of national non-public schools, with school data from Market Data Retrieval Inc. The principle behind combining multiple data sources is to increase the coverage of schools nationally. </w:t>
      </w:r>
      <w:r w:rsidRPr="00ED54CE" w:rsidR="00AA7BD9">
        <w:t>T</w:t>
      </w:r>
      <w:r w:rsidRPr="00ED54CE">
        <w:t xml:space="preserve">he following schools will be considered ineligible and removed from the file: special education schools, </w:t>
      </w:r>
      <w:r w:rsidRPr="00360FA9" w:rsidR="00A73943">
        <w:rPr>
          <w:szCs w:val="22"/>
        </w:rPr>
        <w:t xml:space="preserve">Department of Defense-operated schools, Bureau of Indian Affairs schools, adult education schools, </w:t>
      </w:r>
      <w:r w:rsidRPr="002A37FC" w:rsidR="008F5101">
        <w:t>vocational</w:t>
      </w:r>
      <w:r w:rsidRPr="002A37FC" w:rsidR="008F5101">
        <w:rPr>
          <w:spacing w:val="-11"/>
        </w:rPr>
        <w:t xml:space="preserve"> </w:t>
      </w:r>
      <w:r w:rsidRPr="002A37FC" w:rsidR="008F5101">
        <w:t>schoo</w:t>
      </w:r>
      <w:r w:rsidRPr="002A37FC" w:rsidR="008F5101">
        <w:rPr>
          <w:spacing w:val="-1"/>
        </w:rPr>
        <w:t>l</w:t>
      </w:r>
      <w:r w:rsidRPr="002A37FC" w:rsidR="008F5101">
        <w:t>s</w:t>
      </w:r>
      <w:r w:rsidRPr="00ED54CE">
        <w:t xml:space="preserve">, and alternative schools. Schools with </w:t>
      </w:r>
      <w:r w:rsidR="008110DB">
        <w:t xml:space="preserve">an enrollment of </w:t>
      </w:r>
      <w:r w:rsidRPr="00ED54CE">
        <w:t>fewer than 40 students</w:t>
      </w:r>
      <w:r w:rsidR="008110DB">
        <w:t xml:space="preserve"> across the eligible grades</w:t>
      </w:r>
      <w:r w:rsidRPr="00ED54CE">
        <w:t xml:space="preserve"> will be removed from the frame. Less than 1% of students attend schools with fewer than 40 students. The target population is all “regular” public and private schools in the 50 U.S. states and the District of Columbia with </w:t>
      </w:r>
      <w:r w:rsidR="00F04DCB">
        <w:t xml:space="preserve">an enrollment of </w:t>
      </w:r>
      <w:r w:rsidRPr="00ED54CE">
        <w:t>40 or more students</w:t>
      </w:r>
      <w:r w:rsidR="00F04DCB">
        <w:t xml:space="preserve"> across the eligible grades</w:t>
      </w:r>
      <w:r w:rsidRPr="00ED54CE">
        <w:t xml:space="preserve">. </w:t>
      </w:r>
    </w:p>
    <w:p w:rsidR="00EB7614" w:rsidRPr="00ED54CE" w:rsidP="00EB7614" w14:paraId="194C802D" w14:textId="77777777">
      <w:pPr>
        <w:pStyle w:val="BodyText"/>
        <w:spacing w:after="0"/>
        <w:ind w:firstLine="0"/>
      </w:pPr>
    </w:p>
    <w:p w:rsidR="00EB7614" w:rsidRPr="00ED54CE" w:rsidP="00EB7614" w14:paraId="26DDF07A" w14:textId="0BA3C1F2">
      <w:pPr>
        <w:pStyle w:val="BodyText"/>
        <w:spacing w:after="0"/>
        <w:ind w:firstLine="0"/>
        <w:rPr>
          <w:lang w:val="en-US"/>
        </w:rPr>
      </w:pPr>
      <w:r w:rsidRPr="00ED54CE">
        <w:rPr>
          <w:lang w:val="en-US"/>
        </w:rPr>
        <w:t xml:space="preserve">The frame will be partitioned into 7 strata. Two strata consist of schools with high densities of </w:t>
      </w:r>
      <w:r w:rsidRPr="00ED54CE">
        <w:t>non-Hispanic American Indian /Alaskan Native (hereafter, AI/AN) students</w:t>
      </w:r>
      <w:r w:rsidRPr="00ED54CE">
        <w:rPr>
          <w:lang w:val="en-US"/>
        </w:rPr>
        <w:t xml:space="preserve">. Two strata consist of schools with high densities of </w:t>
      </w:r>
      <w:r w:rsidRPr="00ED54CE">
        <w:t xml:space="preserve">non-Hispanic </w:t>
      </w:r>
      <w:r w:rsidRPr="00ED54CE">
        <w:rPr>
          <w:lang w:val="en-US"/>
        </w:rPr>
        <w:t>Asian</w:t>
      </w:r>
      <w:r w:rsidRPr="00ED54CE">
        <w:t xml:space="preserve"> (hereafter, </w:t>
      </w:r>
      <w:r w:rsidRPr="00ED54CE">
        <w:rPr>
          <w:lang w:val="en-US"/>
        </w:rPr>
        <w:t>Asian</w:t>
      </w:r>
      <w:r w:rsidRPr="00ED54CE">
        <w:t>) students</w:t>
      </w:r>
      <w:r w:rsidRPr="00ED54CE">
        <w:rPr>
          <w:lang w:val="en-US"/>
        </w:rPr>
        <w:t xml:space="preserve">. The other 3 strata contain all other schools with only middle school students, only high school students, or </w:t>
      </w:r>
      <w:r w:rsidR="00394C6A">
        <w:rPr>
          <w:lang w:val="en-US"/>
        </w:rPr>
        <w:t>with</w:t>
      </w:r>
      <w:r w:rsidRPr="00ED54CE" w:rsidR="00394C6A">
        <w:rPr>
          <w:lang w:val="en-US"/>
        </w:rPr>
        <w:t xml:space="preserve"> </w:t>
      </w:r>
      <w:r w:rsidRPr="00ED54CE">
        <w:rPr>
          <w:lang w:val="en-US"/>
        </w:rPr>
        <w:t xml:space="preserve">both middle school and high school students. </w:t>
      </w:r>
      <w:r w:rsidRPr="00ED54CE" w:rsidR="00394C6A">
        <w:rPr>
          <w:lang w:val="en-US"/>
        </w:rPr>
        <w:t>Th</w:t>
      </w:r>
      <w:r w:rsidR="00394C6A">
        <w:rPr>
          <w:lang w:val="en-US"/>
        </w:rPr>
        <w:t xml:space="preserve">is </w:t>
      </w:r>
      <w:r w:rsidRPr="00ED54CE">
        <w:rPr>
          <w:lang w:val="en-US"/>
        </w:rPr>
        <w:t xml:space="preserve">stratification </w:t>
      </w:r>
      <w:r w:rsidR="00394C6A">
        <w:rPr>
          <w:lang w:val="en-US"/>
        </w:rPr>
        <w:t xml:space="preserve">scheme allows </w:t>
      </w:r>
      <w:r w:rsidR="00394C6A">
        <w:rPr>
          <w:lang w:val="en-US"/>
        </w:rPr>
        <w:t>for</w:t>
      </w:r>
      <w:r w:rsidRPr="00ED54CE">
        <w:rPr>
          <w:lang w:val="en-US"/>
        </w:rPr>
        <w:t xml:space="preserve">  the</w:t>
      </w:r>
      <w:r w:rsidRPr="00ED54CE">
        <w:rPr>
          <w:lang w:val="en-US"/>
        </w:rPr>
        <w:t xml:space="preserve"> number of respondents by school </w:t>
      </w:r>
      <w:r w:rsidR="00FB545F">
        <w:rPr>
          <w:lang w:val="en-US"/>
        </w:rPr>
        <w:t>level</w:t>
      </w:r>
      <w:r w:rsidR="00394C6A">
        <w:rPr>
          <w:lang w:val="en-US"/>
        </w:rPr>
        <w:t xml:space="preserve"> to be controlled</w:t>
      </w:r>
      <w:r w:rsidR="00FB545F">
        <w:rPr>
          <w:lang w:val="en-US"/>
        </w:rPr>
        <w:t xml:space="preserve"> </w:t>
      </w:r>
      <w:r w:rsidRPr="00ED54CE">
        <w:rPr>
          <w:lang w:val="en-US"/>
        </w:rPr>
        <w:t xml:space="preserve">and </w:t>
      </w:r>
      <w:r w:rsidR="00394C6A">
        <w:rPr>
          <w:lang w:val="en-US"/>
        </w:rPr>
        <w:t>for</w:t>
      </w:r>
      <w:r w:rsidRPr="00ED54CE" w:rsidR="00394C6A">
        <w:rPr>
          <w:lang w:val="en-US"/>
        </w:rPr>
        <w:t xml:space="preserve"> oversampl</w:t>
      </w:r>
      <w:r w:rsidR="00394C6A">
        <w:rPr>
          <w:lang w:val="en-US"/>
        </w:rPr>
        <w:t>ing of</w:t>
      </w:r>
      <w:r w:rsidRPr="00ED54CE" w:rsidR="00394C6A">
        <w:rPr>
          <w:lang w:val="en-US"/>
        </w:rPr>
        <w:t xml:space="preserve"> </w:t>
      </w:r>
      <w:r w:rsidRPr="00ED54CE">
        <w:rPr>
          <w:lang w:val="en-US"/>
        </w:rPr>
        <w:t xml:space="preserve">AI/AN and Asian students to achieve the goal of collecting data on a minimum of 1,000 responding AI/AN and Asian students. </w:t>
      </w:r>
    </w:p>
    <w:p w:rsidR="00EB7614" w:rsidRPr="00ED54CE" w:rsidP="00EB7614" w14:paraId="2B5F3FA7" w14:textId="77777777">
      <w:pPr>
        <w:pStyle w:val="BodyText"/>
        <w:spacing w:after="0"/>
        <w:ind w:firstLine="0"/>
        <w:rPr>
          <w:lang w:val="en-US"/>
        </w:rPr>
      </w:pPr>
    </w:p>
    <w:p w:rsidR="008A5F14" w:rsidRPr="0075108A" w:rsidP="0075108A" w14:paraId="16BFEAAF" w14:textId="35022017">
      <w:pPr>
        <w:pStyle w:val="Source1"/>
        <w:keepLines w:val="0"/>
        <w:spacing w:before="0" w:after="0"/>
        <w:ind w:left="0" w:firstLine="0"/>
        <w:rPr>
          <w:rFonts w:ascii="Times New Roman" w:hAnsi="Times New Roman"/>
          <w:sz w:val="24"/>
          <w:szCs w:val="24"/>
        </w:rPr>
      </w:pPr>
      <w:r w:rsidRPr="008A5F14">
        <w:rPr>
          <w:rFonts w:ascii="Times New Roman" w:eastAsia="Times New Roman" w:hAnsi="Times New Roman"/>
          <w:sz w:val="24"/>
          <w:szCs w:val="24"/>
          <w:lang w:eastAsia="x-none"/>
        </w:rPr>
        <w:t xml:space="preserve">The sample will be structured into geographically defined units, called primary sampling units (PSUs). </w:t>
      </w:r>
      <w:r w:rsidRPr="008A5F14" w:rsidR="0075108A">
        <w:rPr>
          <w:rFonts w:ascii="Times New Roman" w:eastAsia="Times New Roman" w:hAnsi="Times New Roman"/>
          <w:sz w:val="24"/>
          <w:szCs w:val="24"/>
          <w:lang w:eastAsia="x-none"/>
        </w:rPr>
        <w:t xml:space="preserve">PSUs </w:t>
      </w:r>
      <w:r w:rsidR="007740B1">
        <w:rPr>
          <w:rFonts w:ascii="Times New Roman" w:eastAsia="Times New Roman" w:hAnsi="Times New Roman"/>
          <w:sz w:val="24"/>
          <w:szCs w:val="24"/>
          <w:lang w:eastAsia="x-none"/>
        </w:rPr>
        <w:t xml:space="preserve">are groups of schools within strata and </w:t>
      </w:r>
      <w:r w:rsidR="0075108A">
        <w:rPr>
          <w:rFonts w:ascii="Times New Roman" w:eastAsia="Times New Roman" w:hAnsi="Times New Roman"/>
          <w:sz w:val="24"/>
          <w:szCs w:val="24"/>
          <w:lang w:eastAsia="x-none"/>
        </w:rPr>
        <w:t xml:space="preserve">must have </w:t>
      </w:r>
      <w:r w:rsidRPr="008A5F14" w:rsidR="0075108A">
        <w:rPr>
          <w:rFonts w:ascii="Times New Roman" w:eastAsia="Times New Roman" w:hAnsi="Times New Roman"/>
          <w:sz w:val="24"/>
          <w:szCs w:val="24"/>
          <w:lang w:eastAsia="x-none"/>
        </w:rPr>
        <w:t xml:space="preserve">at least 10 schools. </w:t>
      </w:r>
      <w:r w:rsidRPr="008A5F14">
        <w:rPr>
          <w:rFonts w:ascii="Times New Roman" w:eastAsia="Times New Roman" w:hAnsi="Times New Roman"/>
          <w:sz w:val="24"/>
          <w:szCs w:val="24"/>
          <w:lang w:eastAsia="x-none"/>
        </w:rPr>
        <w:t xml:space="preserve">In high density AI/AN and Asian strata, PSUs are formed by sorting the schools by </w:t>
      </w:r>
      <w:r w:rsidRPr="008A5F14" w:rsidR="00872DE6">
        <w:rPr>
          <w:rFonts w:ascii="Times New Roman" w:eastAsia="Times New Roman" w:hAnsi="Times New Roman"/>
          <w:sz w:val="24"/>
          <w:szCs w:val="24"/>
          <w:lang w:eastAsia="x-none"/>
        </w:rPr>
        <w:t xml:space="preserve">state Federal Information Processing Standards (FIPS) and </w:t>
      </w:r>
      <w:r w:rsidRPr="008A5F14">
        <w:rPr>
          <w:rFonts w:ascii="Times New Roman" w:eastAsia="Times New Roman" w:hAnsi="Times New Roman"/>
          <w:sz w:val="24"/>
          <w:szCs w:val="24"/>
          <w:lang w:eastAsia="x-none"/>
        </w:rPr>
        <w:t xml:space="preserve">county FIPS code and partitioning the list of schools into groups with about 6,000 students per group. In the other strata, in counties with more than 100,000 students, the schools are sorted by </w:t>
      </w:r>
      <w:r w:rsidR="00394C6A">
        <w:rPr>
          <w:rFonts w:ascii="Times New Roman" w:eastAsia="Times New Roman" w:hAnsi="Times New Roman"/>
          <w:sz w:val="24"/>
          <w:szCs w:val="24"/>
          <w:lang w:eastAsia="x-none"/>
        </w:rPr>
        <w:t>ZIP C</w:t>
      </w:r>
      <w:r w:rsidRPr="008A5F14" w:rsidR="003A7012">
        <w:rPr>
          <w:rFonts w:ascii="Times New Roman" w:eastAsia="Times New Roman" w:hAnsi="Times New Roman"/>
          <w:sz w:val="24"/>
          <w:szCs w:val="24"/>
          <w:lang w:eastAsia="x-none"/>
        </w:rPr>
        <w:t>ode</w:t>
      </w:r>
      <w:r w:rsidRPr="008A5F14">
        <w:rPr>
          <w:rFonts w:ascii="Times New Roman" w:eastAsia="Times New Roman" w:hAnsi="Times New Roman"/>
          <w:sz w:val="24"/>
          <w:szCs w:val="24"/>
          <w:lang w:eastAsia="x-none"/>
        </w:rPr>
        <w:t xml:space="preserve"> and partitioned into multiple PSUs containing between 50,000 and 100,000 students each. </w:t>
      </w:r>
      <w:r w:rsidR="009E5489">
        <w:rPr>
          <w:rFonts w:ascii="Times New Roman" w:eastAsia="Times New Roman" w:hAnsi="Times New Roman"/>
          <w:sz w:val="24"/>
          <w:szCs w:val="24"/>
          <w:lang w:eastAsia="x-none"/>
        </w:rPr>
        <w:t>For c</w:t>
      </w:r>
      <w:r w:rsidRPr="0075108A">
        <w:rPr>
          <w:rFonts w:ascii="Times New Roman" w:eastAsia="Times New Roman" w:hAnsi="Times New Roman"/>
          <w:sz w:val="24"/>
          <w:szCs w:val="24"/>
          <w:lang w:eastAsia="x-none"/>
        </w:rPr>
        <w:t xml:space="preserve">ounties that have fewer than 2,500 eligible students, the schools are joined with the schools in other small counties within the same state to form PSU’s with at least 2,500 eligible students. </w:t>
      </w:r>
      <w:r w:rsidR="00394C6A">
        <w:rPr>
          <w:rFonts w:ascii="Times New Roman" w:eastAsia="Times New Roman" w:hAnsi="Times New Roman"/>
          <w:sz w:val="24"/>
          <w:szCs w:val="24"/>
          <w:lang w:eastAsia="x-none"/>
        </w:rPr>
        <w:t>In</w:t>
      </w:r>
      <w:r w:rsidRPr="0075108A">
        <w:rPr>
          <w:rFonts w:ascii="Times New Roman" w:hAnsi="Times New Roman"/>
          <w:sz w:val="24"/>
          <w:szCs w:val="24"/>
        </w:rPr>
        <w:t xml:space="preserve"> all other counties, the group of schools in the county form a unique </w:t>
      </w:r>
      <w:r w:rsidR="00961ACB">
        <w:rPr>
          <w:rFonts w:ascii="Times New Roman" w:hAnsi="Times New Roman"/>
          <w:sz w:val="24"/>
          <w:szCs w:val="24"/>
        </w:rPr>
        <w:t>PSU</w:t>
      </w:r>
      <w:r w:rsidR="00492E13">
        <w:rPr>
          <w:rFonts w:ascii="Times New Roman" w:hAnsi="Times New Roman"/>
          <w:sz w:val="24"/>
          <w:szCs w:val="24"/>
        </w:rPr>
        <w:t>.</w:t>
      </w:r>
    </w:p>
    <w:p w:rsidR="001E02A5" w:rsidRPr="0075108A" w:rsidP="0080176E" w14:paraId="4C7F0601" w14:textId="77777777">
      <w:pPr>
        <w:pStyle w:val="Source1"/>
        <w:keepLines w:val="0"/>
        <w:spacing w:before="0" w:after="0"/>
        <w:ind w:left="0" w:firstLine="0"/>
        <w:rPr>
          <w:rFonts w:ascii="Times New Roman" w:hAnsi="Times New Roman"/>
          <w:sz w:val="24"/>
          <w:szCs w:val="24"/>
        </w:rPr>
      </w:pPr>
    </w:p>
    <w:p w:rsidR="00EB7614" w:rsidRPr="00ED54CE" w:rsidP="00EB7614" w14:paraId="1C637C52" w14:textId="2D95F304">
      <w:pPr>
        <w:pStyle w:val="BodyText"/>
        <w:spacing w:after="0"/>
        <w:ind w:firstLine="0"/>
        <w:rPr>
          <w:lang w:val="en-US"/>
        </w:rPr>
      </w:pPr>
      <w:r w:rsidRPr="00ED54CE">
        <w:rPr>
          <w:lang w:val="en-US"/>
        </w:rPr>
        <w:t>We will impose a school size threshold as an additional criterion for eligibility. By removing schools with an aggregate enrollment of less than 40 students across eligible grades (grades 6</w:t>
      </w:r>
      <w:r w:rsidR="00394C6A">
        <w:rPr>
          <w:lang w:val="en-US"/>
        </w:rPr>
        <w:t>–</w:t>
      </w:r>
      <w:r w:rsidRPr="00ED54CE">
        <w:rPr>
          <w:lang w:val="en-US"/>
        </w:rPr>
        <w:t>12) from the frame, we will improve efficiency and safeguard privacy. The coverage losses are less than 1% of eligible students.</w:t>
      </w:r>
    </w:p>
    <w:p w:rsidR="00EB7614" w:rsidRPr="00ED54CE" w:rsidP="00EB7614" w14:paraId="2FA522BE" w14:textId="77777777">
      <w:pPr>
        <w:pStyle w:val="BodyText"/>
        <w:spacing w:after="0"/>
        <w:ind w:firstLine="0"/>
        <w:rPr>
          <w:lang w:val="en-US"/>
        </w:rPr>
      </w:pPr>
    </w:p>
    <w:p w:rsidR="00EB7614" w:rsidRPr="00ED54CE" w:rsidP="00EB7614" w14:paraId="6D329B67" w14:textId="2C9AC434">
      <w:pPr>
        <w:pStyle w:val="BodyText"/>
        <w:spacing w:after="0"/>
        <w:ind w:firstLine="0"/>
        <w:rPr>
          <w:lang w:val="en-US"/>
        </w:rPr>
      </w:pPr>
      <w:r w:rsidRPr="00ED54CE">
        <w:rPr>
          <w:u w:val="single"/>
        </w:rPr>
        <w:t xml:space="preserve">Selection of PSUs. </w:t>
      </w:r>
      <w:r w:rsidRPr="00ED54CE">
        <w:t xml:space="preserve">A total of </w:t>
      </w:r>
      <w:r w:rsidRPr="00ED54CE">
        <w:rPr>
          <w:lang w:val="en-US"/>
        </w:rPr>
        <w:t>140</w:t>
      </w:r>
      <w:r w:rsidRPr="00ED54CE">
        <w:t xml:space="preserve"> PSUs will be selected</w:t>
      </w:r>
      <w:r w:rsidRPr="00ED54CE">
        <w:rPr>
          <w:lang w:val="en-US"/>
        </w:rPr>
        <w:t xml:space="preserve"> using a systematic selection</w:t>
      </w:r>
      <w:r w:rsidRPr="00ED54CE">
        <w:t xml:space="preserve"> with probability proportional to the student enrollment in the PSU. </w:t>
      </w:r>
      <w:r w:rsidRPr="00ED54CE">
        <w:rPr>
          <w:lang w:val="en-US"/>
        </w:rPr>
        <w:t xml:space="preserve">Within strata, the PSUs are sorted by state FIPS code and county FIPS code, ensuring geographic diversity in the sample. </w:t>
      </w:r>
      <w:r w:rsidRPr="00130EE7" w:rsidR="00222FA3">
        <w:t xml:space="preserve">The sampling fractions, the probability of selection of each PSU within a stratum, </w:t>
      </w:r>
      <w:r w:rsidR="00222FA3">
        <w:t>was</w:t>
      </w:r>
      <w:r w:rsidRPr="00130EE7" w:rsidR="00222FA3">
        <w:t xml:space="preserve"> adjusted to ensure the number of responding AI/AN and Asian students is a minimum of 1,000, and that approximately three-sevenths of the responding students are middle school students.</w:t>
      </w:r>
      <w:r w:rsidRPr="00ED54CE">
        <w:rPr>
          <w:lang w:val="en-US"/>
        </w:rPr>
        <w:t xml:space="preserve"> </w:t>
      </w:r>
    </w:p>
    <w:p w:rsidR="00EB7614" w:rsidRPr="00ED54CE" w:rsidP="00EB7614" w14:paraId="4980AA17" w14:textId="77777777">
      <w:pPr>
        <w:pStyle w:val="BodyText"/>
        <w:spacing w:after="0"/>
        <w:ind w:firstLine="0"/>
      </w:pPr>
    </w:p>
    <w:p w:rsidR="00F617BC" w:rsidP="00541822" w14:paraId="2DD1D8D9" w14:textId="77777777">
      <w:pPr>
        <w:pStyle w:val="BodyText1"/>
        <w:spacing w:line="240" w:lineRule="auto"/>
        <w:ind w:firstLine="0"/>
        <w:contextualSpacing/>
        <w:rPr>
          <w:szCs w:val="24"/>
          <w:u w:val="single"/>
        </w:rPr>
      </w:pPr>
    </w:p>
    <w:p w:rsidR="00EB7614" w:rsidRPr="00ED54CE" w:rsidP="00541822" w14:paraId="64EC248A" w14:textId="7D6F31AE">
      <w:pPr>
        <w:pStyle w:val="BodyText1"/>
        <w:spacing w:line="240" w:lineRule="auto"/>
        <w:ind w:firstLine="0"/>
        <w:contextualSpacing/>
      </w:pPr>
      <w:r w:rsidRPr="00ED54CE">
        <w:rPr>
          <w:szCs w:val="24"/>
          <w:u w:val="single"/>
        </w:rPr>
        <w:t xml:space="preserve">Selection of Schools (Secondary Sampling Units, SSUs). </w:t>
      </w:r>
      <w:r w:rsidRPr="00ED54CE">
        <w:t xml:space="preserve">Within each selected PSU, 3 schools are selected using systematic sampling with a random start and probabilities proportional to size (PPS). Probabilities of school selection are proportional to a measure of size (MOS) that is based on the student enrollment for each school. Except for </w:t>
      </w:r>
      <w:r w:rsidR="00BB2B3D">
        <w:t xml:space="preserve">very large schools and </w:t>
      </w:r>
      <w:r w:rsidRPr="00ED54CE">
        <w:t xml:space="preserve">very small schools, the MOS is exactly equal to the enrollment in the target grades. </w:t>
      </w:r>
    </w:p>
    <w:p w:rsidR="0056325B" w:rsidRPr="00ED54CE" w:rsidP="00541822" w14:paraId="48442416" w14:textId="77777777">
      <w:pPr>
        <w:pStyle w:val="BodyText1"/>
        <w:spacing w:line="240" w:lineRule="auto"/>
        <w:ind w:firstLine="0"/>
        <w:contextualSpacing/>
        <w:rPr>
          <w:u w:val="single"/>
        </w:rPr>
      </w:pPr>
    </w:p>
    <w:p w:rsidR="00EB7614" w:rsidRPr="00ED54CE" w:rsidP="00541822" w14:paraId="65A7B49A" w14:textId="5C1FBA8A">
      <w:pPr>
        <w:pStyle w:val="BodyText1"/>
        <w:spacing w:line="240" w:lineRule="auto"/>
        <w:ind w:firstLine="0"/>
        <w:contextualSpacing/>
        <w:rPr>
          <w:bCs/>
        </w:rPr>
      </w:pPr>
      <w:r w:rsidRPr="00ED54CE">
        <w:rPr>
          <w:u w:val="single"/>
        </w:rPr>
        <w:t xml:space="preserve">Selection of Classes (Tertiary Sampling Units, TSUs). </w:t>
      </w:r>
      <w:r w:rsidRPr="00ED54CE">
        <w:rPr>
          <w:bCs/>
        </w:rPr>
        <w:t xml:space="preserve">In the third stage classes are selected. To select classes, within each selected school, the probability of each student being selected is calculated. This probability is defined as the overall sampling rate divided by the product of the probability of the first and second stage of selection. Consequently, every sample member within a stratum has an equal probability of selection. Within each school, the class sampling interval is defined as the inverse of the stage 3 probability of selection. </w:t>
      </w:r>
    </w:p>
    <w:p w:rsidR="0056325B" w:rsidRPr="00ED54CE" w:rsidP="00EB7614" w14:paraId="1820DB5E" w14:textId="77777777">
      <w:pPr>
        <w:pStyle w:val="BodyTextIndent"/>
        <w:ind w:left="0"/>
        <w:contextualSpacing/>
      </w:pPr>
    </w:p>
    <w:p w:rsidR="00EB7614" w:rsidRPr="00ED54CE" w:rsidP="00EB7614" w14:paraId="6DC86D35" w14:textId="027DFA8C">
      <w:pPr>
        <w:pStyle w:val="BodyTextIndent"/>
        <w:ind w:left="0"/>
        <w:contextualSpacing/>
      </w:pPr>
      <w:r w:rsidRPr="00ED54CE">
        <w:t xml:space="preserve">Within each selected school, the class sampling interval is applied to a random start. For example, for a school with </w:t>
      </w:r>
      <w:r w:rsidR="00961ACB">
        <w:t xml:space="preserve">480 </w:t>
      </w:r>
      <w:r w:rsidRPr="00ED54CE">
        <w:t xml:space="preserve">students and a class sampling interval of 4, the random start is a random number between 1 and the sampling interval (4). For example, the random start is 3. The following classes are selected for the survey: 3, 7, 11, 15, </w:t>
      </w:r>
      <w:r w:rsidRPr="00ED54CE">
        <w:t>… .</w:t>
      </w:r>
      <w:r w:rsidRPr="00ED54CE">
        <w:t xml:space="preserve"> (3 + 4 = 7, 7 + 4 = 11, etc.) The school coordinator orders the classes in all grades. If there </w:t>
      </w:r>
      <w:r w:rsidR="00DE5694">
        <w:t>is</w:t>
      </w:r>
      <w:r w:rsidRPr="00ED54CE" w:rsidR="00DE5694">
        <w:t xml:space="preserve"> </w:t>
      </w:r>
      <w:r w:rsidRPr="00ED54CE">
        <w:t>a total of 8 classes, the 3</w:t>
      </w:r>
      <w:r w:rsidRPr="00ED54CE">
        <w:rPr>
          <w:vertAlign w:val="superscript"/>
        </w:rPr>
        <w:t>rd</w:t>
      </w:r>
      <w:r w:rsidRPr="00ED54CE">
        <w:t xml:space="preserve"> and 7</w:t>
      </w:r>
      <w:r w:rsidRPr="00ED54CE">
        <w:rPr>
          <w:vertAlign w:val="superscript"/>
        </w:rPr>
        <w:t>th</w:t>
      </w:r>
      <w:r w:rsidRPr="00ED54CE">
        <w:t xml:space="preserve"> classes are selected based on the ordering. It is expected that only a portion of the total list of classes will exist and be available. The number of classes in a school is unknown before contacting the school, so, the sampling team will pick a larger number of classes than will be used. </w:t>
      </w:r>
    </w:p>
    <w:p w:rsidR="0056325B" w:rsidRPr="00ED54CE" w:rsidP="00EB7614" w14:paraId="64B83C72" w14:textId="77777777">
      <w:pPr>
        <w:pStyle w:val="BodyText1"/>
        <w:spacing w:line="240" w:lineRule="auto"/>
        <w:ind w:firstLine="0"/>
        <w:contextualSpacing/>
        <w:rPr>
          <w:u w:val="single"/>
        </w:rPr>
      </w:pPr>
    </w:p>
    <w:p w:rsidR="00EB7614" w:rsidP="00EB7614" w14:paraId="3D126E5C" w14:textId="6C98A011">
      <w:pPr>
        <w:pStyle w:val="BodyText1"/>
        <w:spacing w:line="240" w:lineRule="auto"/>
        <w:ind w:firstLine="0"/>
        <w:contextualSpacing/>
      </w:pPr>
      <w:r w:rsidRPr="00ED54CE">
        <w:rPr>
          <w:u w:val="single"/>
        </w:rPr>
        <w:t xml:space="preserve">Selection of Students </w:t>
      </w:r>
      <w:r w:rsidR="00CC2B41">
        <w:rPr>
          <w:u w:val="single"/>
        </w:rPr>
        <w:t xml:space="preserve">within class </w:t>
      </w:r>
      <w:r w:rsidRPr="00ED54CE">
        <w:rPr>
          <w:u w:val="single"/>
        </w:rPr>
        <w:t>(</w:t>
      </w:r>
      <w:r w:rsidR="00CC2B41">
        <w:rPr>
          <w:u w:val="single"/>
        </w:rPr>
        <w:t>Not considered a sampling stage</w:t>
      </w:r>
      <w:r w:rsidRPr="00ED54CE">
        <w:rPr>
          <w:u w:val="single"/>
        </w:rPr>
        <w:t>).</w:t>
      </w:r>
      <w:r w:rsidRPr="00ED54CE">
        <w:t xml:space="preserve"> In each class, </w:t>
      </w:r>
      <w:r w:rsidR="00394C6A">
        <w:t>the entire</w:t>
      </w:r>
      <w:r w:rsidRPr="00ED54CE" w:rsidR="00394C6A">
        <w:t xml:space="preserve"> </w:t>
      </w:r>
      <w:r w:rsidRPr="00ED54CE">
        <w:t>census of students is selected.</w:t>
      </w:r>
    </w:p>
    <w:p w:rsidR="009E5489" w:rsidP="00EB7614" w14:paraId="39D5C3E4" w14:textId="72560320">
      <w:pPr>
        <w:pStyle w:val="BodyText1"/>
        <w:spacing w:line="240" w:lineRule="auto"/>
        <w:ind w:firstLine="0"/>
        <w:contextualSpacing/>
      </w:pPr>
    </w:p>
    <w:p w:rsidR="009E5489" w:rsidRPr="00ED54CE" w:rsidP="00EB7614" w14:paraId="68C2CC46" w14:textId="2B44C330">
      <w:pPr>
        <w:pStyle w:val="BodyText1"/>
        <w:spacing w:line="240" w:lineRule="auto"/>
        <w:ind w:firstLine="0"/>
        <w:contextualSpacing/>
      </w:pPr>
      <w:r w:rsidRPr="00F617BC">
        <w:rPr>
          <w:u w:val="single"/>
        </w:rPr>
        <w:t>Ineligible schools.</w:t>
      </w:r>
      <w:r>
        <w:t xml:space="preserve"> We expect approximately 4% of the selected school will be ineligible due to frame error. The ineligible schools will be replaced with the next school on the sample frame. </w:t>
      </w:r>
    </w:p>
    <w:p w:rsidR="00EB7614" w:rsidRPr="00ED54CE" w:rsidP="00EB7614" w14:paraId="07208CAD" w14:textId="77777777">
      <w:pPr>
        <w:pStyle w:val="ProposalBodyText"/>
        <w:spacing w:after="0"/>
      </w:pPr>
    </w:p>
    <w:p w:rsidR="00EB7614" w:rsidRPr="00ED54CE" w:rsidP="00EB7614" w14:paraId="06C186BE" w14:textId="77777777">
      <w:pPr>
        <w:pStyle w:val="BodyText"/>
        <w:spacing w:after="0"/>
        <w:ind w:firstLine="0"/>
      </w:pPr>
      <w:r w:rsidRPr="00ED54CE">
        <w:rPr>
          <w:u w:val="single"/>
        </w:rPr>
        <w:t>Refusals.</w:t>
      </w:r>
      <w:r w:rsidRPr="00ED54CE">
        <w:t xml:space="preserve"> School districts, schools, or students who refuse to participate in the study will not be replaced in the sample. We will record the characteristics of schools that refuse along with reasons given for their refusal for analysis of potential study biases.</w:t>
      </w:r>
    </w:p>
    <w:p w:rsidR="00EB7614" w:rsidRPr="00ED54CE" w:rsidP="00EB7614" w14:paraId="495ADBD9" w14:textId="77777777">
      <w:pPr>
        <w:pStyle w:val="BodyText"/>
        <w:spacing w:after="0"/>
        <w:ind w:firstLine="0"/>
      </w:pPr>
    </w:p>
    <w:p w:rsidR="00EB7614" w:rsidRPr="00ED54CE" w:rsidP="00EB7614" w14:paraId="47EE0D68" w14:textId="77777777">
      <w:pPr>
        <w:pStyle w:val="Heading3"/>
        <w:spacing w:before="0" w:after="0"/>
        <w:rPr>
          <w:rFonts w:ascii="Times New Roman" w:hAnsi="Times New Roman"/>
          <w:u w:val="single"/>
        </w:rPr>
      </w:pPr>
      <w:r w:rsidRPr="00ED54CE">
        <w:rPr>
          <w:rFonts w:ascii="Times New Roman" w:hAnsi="Times New Roman"/>
          <w:u w:val="single"/>
        </w:rPr>
        <w:t>Estimation and Justification of Sample Size</w:t>
      </w:r>
    </w:p>
    <w:p w:rsidR="00EB7614" w:rsidRPr="00ED54CE" w:rsidP="00EB7614" w14:paraId="128523C1" w14:textId="77777777"/>
    <w:p w:rsidR="00EB7614" w:rsidP="00EB7614" w14:paraId="18B955D8" w14:textId="1DC3BA48">
      <w:pPr>
        <w:pStyle w:val="BodyText"/>
        <w:spacing w:after="0"/>
        <w:ind w:firstLine="0"/>
      </w:pPr>
      <w:r w:rsidRPr="00ED54CE">
        <w:t xml:space="preserve">The NYTS is designed to produce the key estimates </w:t>
      </w:r>
      <w:r w:rsidRPr="00ED54CE">
        <w:rPr>
          <w:lang w:val="en-US"/>
        </w:rPr>
        <w:t>with a relative standard error less than 30% and an margin of error for a 95% confidence interval of 5%</w:t>
      </w:r>
      <w:r w:rsidRPr="00ED54CE">
        <w:t xml:space="preserve">. Estimates by </w:t>
      </w:r>
      <w:r w:rsidR="00D2797C">
        <w:rPr>
          <w:lang w:val="en-US"/>
        </w:rPr>
        <w:t xml:space="preserve">school level, </w:t>
      </w:r>
      <w:r w:rsidRPr="00ED54CE">
        <w:t xml:space="preserve">grade, sex, and grade </w:t>
      </w:r>
      <w:r w:rsidRPr="00ED54CE">
        <w:rPr>
          <w:lang w:val="en-US"/>
        </w:rPr>
        <w:t xml:space="preserve">cross-tabulated </w:t>
      </w:r>
      <w:r w:rsidRPr="00ED54CE">
        <w:t>by sex</w:t>
      </w:r>
      <w:r w:rsidRPr="00ED54CE">
        <w:rPr>
          <w:lang w:val="en-US"/>
        </w:rPr>
        <w:t>,</w:t>
      </w:r>
      <w:r w:rsidRPr="00ED54CE">
        <w:t xml:space="preserve"> meet this standard</w:t>
      </w:r>
      <w:r w:rsidRPr="00ED54CE">
        <w:rPr>
          <w:lang w:val="en-US"/>
        </w:rPr>
        <w:t>, as do</w:t>
      </w:r>
      <w:r w:rsidRPr="00ED54CE">
        <w:t xml:space="preserve"> estimates for racial/ethnic groups by school level</w:t>
      </w:r>
      <w:r w:rsidRPr="00ED54CE">
        <w:rPr>
          <w:lang w:val="en-US"/>
        </w:rPr>
        <w:t xml:space="preserve"> (middle and high school)</w:t>
      </w:r>
      <w:r w:rsidRPr="00ED54CE">
        <w:t xml:space="preserve">. </w:t>
      </w:r>
    </w:p>
    <w:p w:rsidR="00D2797C" w:rsidRPr="00ED54CE" w:rsidP="00EB7614" w14:paraId="0C40F30F" w14:textId="77777777">
      <w:pPr>
        <w:pStyle w:val="BodyText"/>
        <w:spacing w:after="0"/>
        <w:ind w:firstLine="0"/>
      </w:pPr>
    </w:p>
    <w:p w:rsidR="00EB7614" w:rsidRPr="00ED54CE" w:rsidP="00EB7614" w14:paraId="532FE186" w14:textId="70A58BEF">
      <w:pPr>
        <w:spacing w:before="9"/>
        <w:rPr>
          <w:iCs/>
        </w:rPr>
      </w:pPr>
      <w:r w:rsidRPr="00ED54CE">
        <w:t xml:space="preserve">We will sample 420 schools with the expectation of obtaining </w:t>
      </w:r>
      <w:r w:rsidRPr="00D4069A" w:rsidR="00AF1991">
        <w:t>28,</w:t>
      </w:r>
      <w:r w:rsidR="00AF1991">
        <w:t>109</w:t>
      </w:r>
      <w:r w:rsidRPr="0083321B" w:rsidR="00AF1991">
        <w:t xml:space="preserve"> </w:t>
      </w:r>
      <w:r w:rsidRPr="00ED54CE">
        <w:t>responding students in 285 responding schools. We will have adequate precision to make estimates for domains with 1,000 students. All the high priority domains are projected to have at least 1,000 responding students.</w:t>
      </w:r>
      <w:r w:rsidRPr="00ED54CE" w:rsidR="00AA143C">
        <w:t xml:space="preserve"> The number of sampled students was increased from prior years </w:t>
      </w:r>
      <w:r w:rsidRPr="00ED54CE" w:rsidR="00AA143C">
        <w:t>in an effort to</w:t>
      </w:r>
      <w:r w:rsidRPr="00ED54CE" w:rsidR="00AA143C">
        <w:t xml:space="preserve"> allow for valid estimation among all five major racial and ethnic groups (non-Hispanic White, non-Hispanic </w:t>
      </w:r>
      <w:r w:rsidRPr="00ED54CE" w:rsidR="00AA143C">
        <w:t>Black, Hispanic, Asian, and American Indian or Alaska Native [AI/AN]).</w:t>
      </w:r>
    </w:p>
    <w:p w:rsidR="00EB7614" w:rsidRPr="00764FB6" w:rsidP="00764FB6" w14:paraId="6EEBC285" w14:textId="77777777">
      <w:pPr>
        <w:spacing w:before="9"/>
      </w:pPr>
    </w:p>
    <w:p w:rsidR="00EB7614" w:rsidRPr="00764FB6" w:rsidP="00F617BC" w14:paraId="65925749" w14:textId="542ED019">
      <w:pPr>
        <w:pStyle w:val="bodytextpsg"/>
        <w:spacing w:line="240" w:lineRule="auto"/>
        <w:ind w:firstLine="0"/>
      </w:pPr>
      <w:r w:rsidRPr="00764FB6">
        <w:rPr>
          <w:szCs w:val="24"/>
        </w:rPr>
        <w:t xml:space="preserve">To calculate the number of schools and students to sample that will produce enough responding schools and students to ensure adequate precision, we estimated the school and student response rate and the school eligibility rate. Through 15 iterations of the NYTS between 1999 and 2019, the overall response rate ranged from 63.4% to 84.8%. </w:t>
      </w:r>
      <w:r w:rsidRPr="00764FB6" w:rsidR="007F4803">
        <w:rPr>
          <w:szCs w:val="24"/>
        </w:rPr>
        <w:t xml:space="preserve">Whereas, during the four </w:t>
      </w:r>
      <w:r w:rsidR="00394C6A">
        <w:rPr>
          <w:rFonts w:cstheme="minorHAnsi"/>
          <w:spacing w:val="1"/>
        </w:rPr>
        <w:t xml:space="preserve">COVID-19 </w:t>
      </w:r>
      <w:r w:rsidRPr="00764FB6" w:rsidR="007F4803">
        <w:rPr>
          <w:szCs w:val="24"/>
        </w:rPr>
        <w:t xml:space="preserve">pandemic years </w:t>
      </w:r>
      <w:r w:rsidR="00394C6A">
        <w:rPr>
          <w:szCs w:val="24"/>
        </w:rPr>
        <w:t>(</w:t>
      </w:r>
      <w:r w:rsidRPr="00764FB6" w:rsidR="007F4803">
        <w:rPr>
          <w:szCs w:val="24"/>
        </w:rPr>
        <w:t>2020</w:t>
      </w:r>
      <w:r w:rsidR="00394C6A">
        <w:rPr>
          <w:szCs w:val="24"/>
        </w:rPr>
        <w:t>–</w:t>
      </w:r>
      <w:r w:rsidRPr="00764FB6" w:rsidR="007F4803">
        <w:rPr>
          <w:szCs w:val="24"/>
        </w:rPr>
        <w:t>2023</w:t>
      </w:r>
      <w:r w:rsidR="00394C6A">
        <w:rPr>
          <w:szCs w:val="24"/>
        </w:rPr>
        <w:t>)</w:t>
      </w:r>
      <w:r w:rsidRPr="00764FB6" w:rsidR="007F4803">
        <w:rPr>
          <w:szCs w:val="24"/>
        </w:rPr>
        <w:t>, the overall response rate ranged from 30.5% to 45.2%.</w:t>
      </w:r>
      <w:r w:rsidR="00764FB6">
        <w:rPr>
          <w:szCs w:val="24"/>
        </w:rPr>
        <w:t xml:space="preserve"> </w:t>
      </w:r>
      <w:r w:rsidRPr="00764FB6">
        <w:t xml:space="preserve">Unfortunately, estimating future response rates is difficult due to the rapidly changing school environment. We believe that the school environment, as related to response rates, is improving. We assume a 60% overall response rate for the 2024 NYTS. </w:t>
      </w:r>
    </w:p>
    <w:p w:rsidR="00EB7614" w:rsidRPr="00ED54CE" w:rsidP="00B779DB" w14:paraId="2DED8B52" w14:textId="5EA7ED2A">
      <w:pPr>
        <w:spacing w:before="9"/>
      </w:pPr>
      <w:r w:rsidRPr="00ED54CE">
        <w:t xml:space="preserve"> </w:t>
      </w:r>
      <w:r w:rsidRPr="00ED54CE">
        <w:rPr>
          <w:color w:val="000000"/>
        </w:rPr>
        <w:t>Attachment L</w:t>
      </w:r>
      <w:r w:rsidRPr="00ED54CE">
        <w:t xml:space="preserve"> contains details of the justification for the sample size and an analysis of precision of various domains</w:t>
      </w:r>
      <w:r w:rsidRPr="00ED54CE">
        <w:rPr>
          <w:color w:val="000000"/>
        </w:rPr>
        <w:t>.</w:t>
      </w:r>
    </w:p>
    <w:p w:rsidR="00EB7614" w:rsidRPr="00ED54CE" w:rsidP="00EB7614" w14:paraId="4ED3F79D" w14:textId="0E2B8686">
      <w:pPr>
        <w:pStyle w:val="Heading3"/>
        <w:rPr>
          <w:rFonts w:ascii="Times New Roman" w:hAnsi="Times New Roman"/>
          <w:u w:val="single"/>
        </w:rPr>
      </w:pPr>
      <w:r w:rsidRPr="00ED54CE">
        <w:rPr>
          <w:rFonts w:ascii="Times New Roman" w:hAnsi="Times New Roman"/>
          <w:u w:val="single"/>
        </w:rPr>
        <w:t xml:space="preserve">Estimation and Statistical Testing Procedures </w:t>
      </w:r>
    </w:p>
    <w:p w:rsidR="00EB7614" w:rsidRPr="00ED54CE" w:rsidP="00EB7614" w14:paraId="34CF1F06" w14:textId="77777777"/>
    <w:p w:rsidR="00EB7614" w:rsidRPr="00ED54CE" w:rsidP="00EB7614" w14:paraId="08E5EC9E" w14:textId="68188D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 xml:space="preserve">Sampling weights will be calculated. The sample weights reflect the number of population members each respondent represents and are used in the analysis to link the respondents to the population. </w:t>
      </w:r>
      <w:r w:rsidR="00EF3EFD">
        <w:t>T</w:t>
      </w:r>
      <w:r w:rsidRPr="00DE6880" w:rsidR="00BF1704">
        <w:t>he base weight of each school is the inverse of the probability of selecting each school</w:t>
      </w:r>
      <w:r w:rsidRPr="00ED54CE">
        <w:t>. A school-level nonresponse adjustment is applied, a class-level nonresponse adjustment is applied</w:t>
      </w:r>
      <w:r w:rsidR="00961ACB">
        <w:t>, then a student-level nonresponse adjustment is applied</w:t>
      </w:r>
      <w:r w:rsidRPr="00ED54CE">
        <w:t xml:space="preserve">. Finally, the nonresponse adjusted weights are calibrated to population totals estimated from the sampling frame. The distributions used in the calibration for public schools are grade by sex, and grade by race/ethnicity; private schools are only calibrated to grade. </w:t>
      </w:r>
    </w:p>
    <w:p w:rsidR="00EB7614" w:rsidRPr="00ED54CE" w:rsidP="00EB7614" w14:paraId="0D07060D" w14:textId="5C98AF7A">
      <w:pPr>
        <w:pStyle w:val="BodyText"/>
        <w:spacing w:after="0"/>
        <w:ind w:firstLine="0"/>
      </w:pPr>
    </w:p>
    <w:p w:rsidR="00EE43A4" w:rsidRPr="00ED54CE" w:rsidP="00E9708F" w14:paraId="73573DD5" w14:textId="77777777">
      <w:pPr>
        <w:widowControl/>
        <w:autoSpaceDE/>
        <w:autoSpaceDN/>
        <w:adjustRightInd/>
        <w:rPr>
          <w:b/>
          <w:u w:val="single"/>
        </w:rPr>
      </w:pPr>
      <w:r w:rsidRPr="00ED54CE">
        <w:rPr>
          <w:b/>
          <w:u w:val="single"/>
        </w:rPr>
        <w:t>Survey Instrument</w:t>
      </w:r>
    </w:p>
    <w:p w:rsidR="00EE43A4" w:rsidRPr="00ED54CE" w:rsidP="00567B25" w14:paraId="74EC0B5D" w14:textId="77777777"/>
    <w:p w:rsidR="007E6CC4" w:rsidRPr="00ED54CE" w:rsidP="00BF2BF3" w14:paraId="1E7CD9B6" w14:textId="658121ED">
      <w:pPr>
        <w:pStyle w:val="BodyText"/>
        <w:spacing w:after="0"/>
        <w:ind w:firstLine="0"/>
        <w:rPr>
          <w:lang w:val="en-US"/>
        </w:rPr>
      </w:pPr>
      <w:r w:rsidRPr="00ED54CE">
        <w:t xml:space="preserve">The </w:t>
      </w:r>
      <w:r w:rsidRPr="00ED54CE" w:rsidR="00CA0870">
        <w:rPr>
          <w:lang w:val="en-US"/>
        </w:rPr>
        <w:t xml:space="preserve">2024 </w:t>
      </w:r>
      <w:r w:rsidRPr="00ED54CE">
        <w:t>NYTS questionnaire (</w:t>
      </w:r>
      <w:r w:rsidRPr="00ED54CE" w:rsidR="00077AD1">
        <w:t>Attachment</w:t>
      </w:r>
      <w:r w:rsidRPr="00ED54CE">
        <w:t xml:space="preserve"> </w:t>
      </w:r>
      <w:r w:rsidRPr="00ED54CE" w:rsidR="004472B8">
        <w:rPr>
          <w:lang w:val="en-US"/>
        </w:rPr>
        <w:t>H</w:t>
      </w:r>
      <w:r w:rsidRPr="00ED54CE" w:rsidR="004472B8">
        <w:t>1</w:t>
      </w:r>
      <w:r w:rsidRPr="00ED54CE">
        <w:t xml:space="preserve">) contains </w:t>
      </w:r>
      <w:r w:rsidRPr="00ED54CE" w:rsidR="00CA0870">
        <w:rPr>
          <w:lang w:val="en-US"/>
        </w:rPr>
        <w:t>162</w:t>
      </w:r>
      <w:r w:rsidRPr="00ED54CE" w:rsidR="00CA0870">
        <w:t xml:space="preserve"> </w:t>
      </w:r>
      <w:r w:rsidRPr="00ED54CE">
        <w:t>items</w:t>
      </w:r>
      <w:r w:rsidRPr="00ED54CE" w:rsidR="00452635">
        <w:rPr>
          <w:lang w:val="en-US"/>
        </w:rPr>
        <w:t>.</w:t>
      </w:r>
      <w:r w:rsidRPr="00ED54CE">
        <w:t xml:space="preserve"> The first set of questions on the questionnaire gather demographic data. Most of the remaining questions address the following tobacco-related topics: tobacco use (</w:t>
      </w:r>
      <w:r w:rsidRPr="00ED54CE" w:rsidR="00C27380">
        <w:rPr>
          <w:lang w:val="en-US"/>
        </w:rPr>
        <w:t>e-</w:t>
      </w:r>
      <w:r w:rsidRPr="00ED54CE">
        <w:t xml:space="preserve">cigarettes, </w:t>
      </w:r>
      <w:r w:rsidRPr="00ED54CE" w:rsidR="00C27380">
        <w:rPr>
          <w:lang w:val="en-US"/>
        </w:rPr>
        <w:t xml:space="preserve">cigarettes, </w:t>
      </w:r>
      <w:r w:rsidRPr="00ED54CE">
        <w:t>smokeless tobacco</w:t>
      </w:r>
      <w:r w:rsidRPr="00ED54CE" w:rsidR="00C27380">
        <w:rPr>
          <w:lang w:val="en-US"/>
        </w:rPr>
        <w:t xml:space="preserve"> </w:t>
      </w:r>
      <w:r w:rsidR="001242F3">
        <w:rPr>
          <w:lang w:val="en-US"/>
        </w:rPr>
        <w:t>[</w:t>
      </w:r>
      <w:r w:rsidRPr="00ED54CE" w:rsidR="00C27380">
        <w:rPr>
          <w:lang w:val="en-US"/>
        </w:rPr>
        <w:t>chewing tobacco/snuff/dip</w:t>
      </w:r>
      <w:r w:rsidR="001242F3">
        <w:rPr>
          <w:lang w:val="en-US"/>
        </w:rPr>
        <w:t>]</w:t>
      </w:r>
      <w:r w:rsidRPr="00ED54CE">
        <w:t>, cigars</w:t>
      </w:r>
      <w:r w:rsidRPr="00ED54CE" w:rsidR="00C27380">
        <w:rPr>
          <w:lang w:val="en-US"/>
        </w:rPr>
        <w:t xml:space="preserve"> </w:t>
      </w:r>
      <w:r w:rsidR="001242F3">
        <w:rPr>
          <w:lang w:val="en-US"/>
        </w:rPr>
        <w:t>[</w:t>
      </w:r>
      <w:r w:rsidRPr="00ED54CE" w:rsidR="00C27380">
        <w:rPr>
          <w:lang w:val="en-US"/>
        </w:rPr>
        <w:t>cigars, little cigars, cigarillos</w:t>
      </w:r>
      <w:r w:rsidR="001242F3">
        <w:rPr>
          <w:lang w:val="en-US"/>
        </w:rPr>
        <w:t>]</w:t>
      </w:r>
      <w:r w:rsidRPr="00ED54CE">
        <w:t xml:space="preserve">, </w:t>
      </w:r>
      <w:r w:rsidRPr="00ED54CE" w:rsidR="00C27380">
        <w:rPr>
          <w:lang w:val="en-US"/>
        </w:rPr>
        <w:t xml:space="preserve">hookah, roll-your-own tobacco, </w:t>
      </w:r>
      <w:r w:rsidRPr="00ED54CE">
        <w:t xml:space="preserve">pipes, </w:t>
      </w:r>
      <w:r w:rsidRPr="00ED54CE" w:rsidR="00C27380">
        <w:rPr>
          <w:lang w:val="en-US"/>
        </w:rPr>
        <w:t xml:space="preserve">snus, </w:t>
      </w:r>
      <w:r w:rsidRPr="00ED54CE" w:rsidR="00CA0870">
        <w:rPr>
          <w:lang w:val="en-US"/>
        </w:rPr>
        <w:t xml:space="preserve">oral nicotine products, </w:t>
      </w:r>
      <w:r w:rsidRPr="00ED54CE">
        <w:t xml:space="preserve">bidis, </w:t>
      </w:r>
      <w:r w:rsidRPr="00ED54CE" w:rsidR="00C27380">
        <w:rPr>
          <w:lang w:val="en-US"/>
        </w:rPr>
        <w:t>heated tobacco products, and nicotine pouches</w:t>
      </w:r>
      <w:r w:rsidRPr="00ED54CE">
        <w:t>), knowledge and attitudes, media and advertising, minors’ access and enforcement, cessation, and environmental exposure to tobacco smoke</w:t>
      </w:r>
      <w:r w:rsidRPr="00ED54CE" w:rsidR="00F2200E">
        <w:rPr>
          <w:lang w:val="en-US"/>
        </w:rPr>
        <w:t xml:space="preserve"> from </w:t>
      </w:r>
      <w:r w:rsidRPr="00ED54CE" w:rsidR="007B0A8F">
        <w:rPr>
          <w:lang w:val="en-US"/>
        </w:rPr>
        <w:t>combustible tobacco products</w:t>
      </w:r>
      <w:r w:rsidRPr="00ED54CE" w:rsidR="002C3676">
        <w:rPr>
          <w:lang w:val="en-US"/>
        </w:rPr>
        <w:t>,</w:t>
      </w:r>
      <w:r w:rsidRPr="00ED54CE" w:rsidR="00F2200E">
        <w:rPr>
          <w:lang w:val="en-US"/>
        </w:rPr>
        <w:t xml:space="preserve"> secondhand </w:t>
      </w:r>
      <w:r w:rsidRPr="00ED54CE" w:rsidR="007B0A8F">
        <w:rPr>
          <w:lang w:val="en-US"/>
        </w:rPr>
        <w:t xml:space="preserve">aerosol </w:t>
      </w:r>
      <w:r w:rsidRPr="00ED54CE" w:rsidR="00F2200E">
        <w:rPr>
          <w:lang w:val="en-US"/>
        </w:rPr>
        <w:t xml:space="preserve">from </w:t>
      </w:r>
      <w:r w:rsidRPr="00ED54CE" w:rsidR="007B0A8F">
        <w:rPr>
          <w:lang w:val="en-US"/>
        </w:rPr>
        <w:t>e-cigarettes</w:t>
      </w:r>
      <w:r w:rsidRPr="00ED54CE" w:rsidR="002C3676">
        <w:rPr>
          <w:lang w:val="en-US"/>
        </w:rPr>
        <w:t>, discrimination and neighborhood environment</w:t>
      </w:r>
      <w:r w:rsidRPr="00ED54CE">
        <w:t>.</w:t>
      </w:r>
    </w:p>
    <w:p w:rsidR="00C27380" w:rsidRPr="00ED54CE" w:rsidP="00BF2BF3" w14:paraId="36B8D663" w14:textId="77777777">
      <w:pPr>
        <w:pStyle w:val="BodyText"/>
        <w:spacing w:after="0"/>
        <w:ind w:firstLine="0"/>
        <w:rPr>
          <w:lang w:val="en-US"/>
        </w:rPr>
      </w:pPr>
    </w:p>
    <w:p w:rsidR="00DE3975" w:rsidRPr="00ED54CE" w:rsidP="00DE3975" w14:paraId="6C056170" w14:textId="25FF710B">
      <w:pPr>
        <w:pStyle w:val="BodyText"/>
        <w:spacing w:after="0"/>
        <w:ind w:firstLine="0"/>
        <w:rPr>
          <w:b/>
        </w:rPr>
      </w:pPr>
      <w:r w:rsidRPr="00ED54CE">
        <w:rPr>
          <w:color w:val="000000"/>
          <w:lang w:val="en-US"/>
        </w:rPr>
        <w:t xml:space="preserve">The questionnaire incorporates skip logic to tailor the questionnaire based on respondents’ tobacco product use behaviors. Thus, respondents are not asked to respond to questions that do not apply to them, reducing overall respondent burden. Product images also are included in the electronic questionnaire to improve product recognition and recall. </w:t>
      </w:r>
      <w:r w:rsidRPr="00ED54CE">
        <w:rPr>
          <w:lang w:val="en-US"/>
        </w:rPr>
        <w:t>Given the efficiencies gained by transitioning to an electronic administration, previous “check all that apply” type questions related to flavored tobacco use and access to tobacco products are no</w:t>
      </w:r>
      <w:r w:rsidR="00DA5233">
        <w:rPr>
          <w:lang w:val="en-US"/>
        </w:rPr>
        <w:t>w</w:t>
      </w:r>
      <w:r w:rsidRPr="00ED54CE">
        <w:rPr>
          <w:lang w:val="en-US"/>
        </w:rPr>
        <w:t xml:space="preserve"> asked separately for each specified tobacco product. This will allow for differentiation in patterns of use for individual products. </w:t>
      </w:r>
    </w:p>
    <w:p w:rsidR="00DE3975" w:rsidRPr="00ED54CE" w:rsidP="00DE3975" w14:paraId="2577FED9" w14:textId="77777777">
      <w:pPr>
        <w:pStyle w:val="BodyText"/>
        <w:spacing w:after="0"/>
        <w:ind w:firstLine="0"/>
        <w:rPr>
          <w:b/>
        </w:rPr>
      </w:pPr>
    </w:p>
    <w:p w:rsidR="00F617BC" w14:paraId="419FFAE3" w14:textId="77777777">
      <w:pPr>
        <w:widowControl/>
        <w:autoSpaceDE/>
        <w:autoSpaceDN/>
        <w:adjustRightInd/>
        <w:rPr>
          <w:b/>
          <w:bCs/>
          <w:sz w:val="26"/>
          <w:szCs w:val="26"/>
          <w:u w:val="single"/>
          <w:lang w:val="x-none" w:eastAsia="x-none"/>
        </w:rPr>
      </w:pPr>
      <w:r>
        <w:rPr>
          <w:u w:val="single"/>
        </w:rPr>
        <w:br w:type="page"/>
      </w:r>
    </w:p>
    <w:p w:rsidR="00EE43A4" w:rsidRPr="00ED54CE" w:rsidP="00DE3975" w14:paraId="38AE7F0A" w14:textId="6678C164">
      <w:pPr>
        <w:pStyle w:val="Heading3"/>
        <w:spacing w:before="0"/>
        <w:rPr>
          <w:rFonts w:ascii="Times New Roman" w:hAnsi="Times New Roman"/>
          <w:u w:val="single"/>
        </w:rPr>
      </w:pPr>
      <w:r w:rsidRPr="00ED54CE">
        <w:rPr>
          <w:rFonts w:ascii="Times New Roman" w:hAnsi="Times New Roman"/>
          <w:u w:val="single"/>
        </w:rPr>
        <w:t>Data Collection Procedures</w:t>
      </w:r>
    </w:p>
    <w:p w:rsidR="00EE43A4" w:rsidRPr="00ED54CE" w:rsidP="00EE43A4" w14:paraId="194C6FE3" w14:textId="77777777"/>
    <w:p w:rsidR="0039517D" w:rsidRPr="00ED54CE" w:rsidP="0036110B" w14:paraId="246D155C" w14:textId="13F5EE1B">
      <w:r w:rsidRPr="00ED54CE">
        <w:t>RTI</w:t>
      </w:r>
      <w:r w:rsidRPr="00ED54CE" w:rsidR="00B966A8">
        <w:t xml:space="preserve"> International serves as the data collection contractor for NYTS (see Section B.</w:t>
      </w:r>
      <w:r w:rsidRPr="00ED54CE" w:rsidR="00A759FC">
        <w:t>5</w:t>
      </w:r>
      <w:r w:rsidRPr="00ED54CE" w:rsidR="00B966A8">
        <w:t xml:space="preserve">). </w:t>
      </w:r>
      <w:r w:rsidRPr="00ED54CE" w:rsidR="002C3676">
        <w:rPr>
          <w:lang w:eastAsia="x-none"/>
        </w:rPr>
        <w:t xml:space="preserve">The </w:t>
      </w:r>
      <w:r w:rsidRPr="00ED54CE" w:rsidR="00F57A2F">
        <w:rPr>
          <w:lang w:eastAsia="x-none"/>
        </w:rPr>
        <w:t xml:space="preserve">NYTS </w:t>
      </w:r>
      <w:r w:rsidRPr="00ED54CE" w:rsidR="002C3676">
        <w:rPr>
          <w:lang w:eastAsia="x-none"/>
        </w:rPr>
        <w:t xml:space="preserve">is </w:t>
      </w:r>
      <w:r w:rsidRPr="00ED54CE" w:rsidR="00F57A2F">
        <w:rPr>
          <w:lang w:eastAsia="x-none"/>
        </w:rPr>
        <w:t>administ</w:t>
      </w:r>
      <w:r w:rsidRPr="00ED54CE" w:rsidR="002C3676">
        <w:rPr>
          <w:lang w:eastAsia="x-none"/>
        </w:rPr>
        <w:t>ered</w:t>
      </w:r>
      <w:r w:rsidRPr="00ED54CE" w:rsidR="00F57A2F">
        <w:rPr>
          <w:lang w:eastAsia="x-none"/>
        </w:rPr>
        <w:t xml:space="preserve"> as a web-based study</w:t>
      </w:r>
      <w:r w:rsidRPr="00ED54CE" w:rsidR="002C3676">
        <w:rPr>
          <w:lang w:eastAsia="x-none"/>
        </w:rPr>
        <w:t xml:space="preserve"> via a URL provided to the teachers. </w:t>
      </w:r>
      <w:r w:rsidRPr="00ED54CE" w:rsidR="002C3676">
        <w:t xml:space="preserve"> Study Liaisons will be trained and available to help troubleshoot technical issues that arise during the session, if needed. </w:t>
      </w:r>
      <w:r w:rsidRPr="00ED54CE" w:rsidR="00016B2D">
        <w:rPr>
          <w:rFonts w:eastAsia="Calibri"/>
        </w:rPr>
        <w:t xml:space="preserve">The students will be allowed to take the survey in any location using the URL. </w:t>
      </w:r>
      <w:r w:rsidRPr="00ED54CE" w:rsidR="004E0CFF">
        <w:t xml:space="preserve">The following describes the data collection procedures that will be </w:t>
      </w:r>
      <w:r w:rsidRPr="00ED54CE" w:rsidR="006D002E">
        <w:t xml:space="preserve">used </w:t>
      </w:r>
      <w:r w:rsidRPr="00ED54CE" w:rsidR="004E0CFF">
        <w:t xml:space="preserve">for </w:t>
      </w:r>
      <w:r w:rsidRPr="00ED54CE" w:rsidR="00A7183E">
        <w:t>the web-based</w:t>
      </w:r>
      <w:r w:rsidRPr="00ED54CE">
        <w:t xml:space="preserve"> administration of NYTS. </w:t>
      </w:r>
    </w:p>
    <w:p w:rsidR="0067050A" w:rsidRPr="00ED54CE" w:rsidP="0036110B" w14:paraId="1DA5BF8E" w14:textId="7AB263AE"/>
    <w:p w:rsidR="0067050A" w:rsidRPr="00ED54CE" w:rsidP="0067050A" w14:paraId="27E33D50" w14:textId="77777777">
      <w:pPr>
        <w:rPr>
          <w:i/>
          <w:iCs/>
          <w:lang w:eastAsia="x-none"/>
        </w:rPr>
      </w:pPr>
      <w:r w:rsidRPr="00ED54CE">
        <w:rPr>
          <w:i/>
          <w:iCs/>
          <w:lang w:eastAsia="x-none"/>
        </w:rPr>
        <w:t>Class Selection</w:t>
      </w:r>
    </w:p>
    <w:p w:rsidR="0067050A" w:rsidRPr="00ED54CE" w:rsidP="0067050A" w14:paraId="28A6F3C9" w14:textId="53B3F0FD">
      <w:r w:rsidRPr="00ED54CE">
        <w:t>Once each school agrees to participate, a school coordinator is identified to work with the NYTS study liaison to coordinate the logistics of the session. The school coordinator provides a list of classes for each selected grade from which one or two classes per grade are sampled to participate. The school coordinators then work with the classroom teachers of the sampled classes to distribute the parental permission forms and administer the survey to the students.</w:t>
      </w:r>
    </w:p>
    <w:p w:rsidR="006D002E" w:rsidRPr="00ED54CE" w:rsidP="0036110B" w14:paraId="557F30BC" w14:textId="5273EAB4"/>
    <w:p w:rsidR="00F4249C" w:rsidRPr="00ED54CE" w:rsidP="006D002E" w14:paraId="4D67B640" w14:textId="1EC784E7">
      <w:pPr>
        <w:rPr>
          <w:i/>
          <w:iCs/>
          <w:lang w:eastAsia="x-none"/>
        </w:rPr>
      </w:pPr>
      <w:r w:rsidRPr="00ED54CE">
        <w:rPr>
          <w:i/>
          <w:iCs/>
          <w:lang w:eastAsia="x-none"/>
        </w:rPr>
        <w:t>Web-based survey</w:t>
      </w:r>
    </w:p>
    <w:p w:rsidR="006D002E" w:rsidRPr="00ED54CE" w:rsidP="006D002E" w14:paraId="30AE6B1D" w14:textId="77D5CD97">
      <w:pPr>
        <w:rPr>
          <w:lang w:eastAsia="x-none"/>
        </w:rPr>
      </w:pPr>
      <w:r w:rsidRPr="00ED54CE">
        <w:rPr>
          <w:lang w:eastAsia="x-none"/>
        </w:rPr>
        <w:t>The 2024-2026 NYTS will be administered electronically using a pre-programmed web-based survey. Participating students will access the survey using an internet-connected device. The web-based survey is designed to simulate the tablet-based survey. As in previous years, the web-based survey also will be used to obtain make-up surveys from eligible students who are absent on the initial date of data collection.</w:t>
      </w:r>
    </w:p>
    <w:p w:rsidR="0067050A" w:rsidRPr="00ED54CE" w:rsidP="006D002E" w14:paraId="603D07B3" w14:textId="77777777">
      <w:pPr>
        <w:rPr>
          <w:lang w:eastAsia="x-none"/>
        </w:rPr>
      </w:pPr>
    </w:p>
    <w:p w:rsidR="0067050A" w:rsidRPr="00ED54CE" w:rsidP="0067050A" w14:paraId="533C0DFD" w14:textId="760AC3D0">
      <w:pPr>
        <w:rPr>
          <w:lang w:eastAsia="x-none"/>
        </w:rPr>
      </w:pPr>
      <w:r w:rsidRPr="00ED54CE">
        <w:rPr>
          <w:lang w:eastAsia="x-none"/>
        </w:rPr>
        <w:t>A classroom-level access code, rather than an individual one, is used to ease the burden on the teache</w:t>
      </w:r>
      <w:r w:rsidRPr="00ED54CE" w:rsidR="00A759FC">
        <w:rPr>
          <w:lang w:eastAsia="x-none"/>
        </w:rPr>
        <w:t>r</w:t>
      </w:r>
      <w:r w:rsidRPr="00ED54CE">
        <w:rPr>
          <w:lang w:eastAsia="x-none"/>
        </w:rPr>
        <w:t xml:space="preserve">s of the survey (e.g., distribution of printed, individual student sign-in cards is no longer needed). Additionally, this approach is used for privacy concerns </w:t>
      </w:r>
      <w:r w:rsidRPr="00ED54CE" w:rsidR="00A759FC">
        <w:rPr>
          <w:lang w:eastAsia="x-none"/>
        </w:rPr>
        <w:t>to</w:t>
      </w:r>
      <w:r w:rsidRPr="00ED54CE">
        <w:rPr>
          <w:lang w:eastAsia="x-none"/>
        </w:rPr>
        <w:t xml:space="preserve"> avoid linking unique student-level access codes to individual students (such as through email or other electronic forms of communication or by someone seeing another student’s ID card). </w:t>
      </w:r>
    </w:p>
    <w:p w:rsidR="0067050A" w:rsidRPr="00ED54CE" w:rsidP="0067050A" w14:paraId="41F17B67" w14:textId="77777777">
      <w:pPr>
        <w:rPr>
          <w:lang w:eastAsia="x-none"/>
        </w:rPr>
      </w:pPr>
    </w:p>
    <w:p w:rsidR="0067050A" w:rsidRPr="00ED54CE" w:rsidP="0067050A" w14:paraId="6817E5BF" w14:textId="77777777">
      <w:pPr>
        <w:rPr>
          <w:lang w:eastAsia="x-none"/>
        </w:rPr>
      </w:pPr>
      <w:r w:rsidRPr="00ED54CE">
        <w:rPr>
          <w:lang w:eastAsia="x-none"/>
        </w:rPr>
        <w:t xml:space="preserve">If a student’s internet connection gets disrupted, or if they need to step away from the survey prior to submitting their responses, they may log out of the web survey application and log back in using the classroom code. </w:t>
      </w:r>
      <w:r w:rsidRPr="00ED54CE">
        <w:rPr>
          <w:lang w:eastAsia="x-none"/>
        </w:rPr>
        <w:t>As long as</w:t>
      </w:r>
      <w:r w:rsidRPr="00ED54CE">
        <w:rPr>
          <w:lang w:eastAsia="x-none"/>
        </w:rPr>
        <w:t xml:space="preserve"> the student uses the same computer and web browser to log back into the survey, the survey will restart where the student left off. With the Qualtrics web-based survey platform, this feature is available without having to provide each student an individual ID number. </w:t>
      </w:r>
    </w:p>
    <w:p w:rsidR="0067050A" w:rsidRPr="00ED54CE" w:rsidP="006D002E" w14:paraId="2C805B51" w14:textId="77777777">
      <w:pPr>
        <w:rPr>
          <w:lang w:eastAsia="x-none"/>
        </w:rPr>
      </w:pPr>
    </w:p>
    <w:p w:rsidR="00F4249C" w:rsidRPr="00ED54CE" w:rsidP="00F4249C" w14:paraId="65C4A63E" w14:textId="07CA83BE">
      <w:pPr>
        <w:rPr>
          <w:i/>
          <w:iCs/>
          <w:lang w:eastAsia="x-none"/>
        </w:rPr>
      </w:pPr>
      <w:r w:rsidRPr="00ED54CE">
        <w:rPr>
          <w:i/>
          <w:iCs/>
          <w:lang w:eastAsia="x-none"/>
        </w:rPr>
        <w:t>In-</w:t>
      </w:r>
      <w:r w:rsidRPr="00ED54CE">
        <w:rPr>
          <w:i/>
          <w:iCs/>
          <w:lang w:eastAsia="x-none"/>
        </w:rPr>
        <w:t xml:space="preserve">Class </w:t>
      </w:r>
      <w:r w:rsidRPr="00ED54CE">
        <w:rPr>
          <w:i/>
          <w:iCs/>
          <w:lang w:eastAsia="x-none"/>
        </w:rPr>
        <w:t>Data Collection</w:t>
      </w:r>
      <w:r w:rsidRPr="00ED54CE">
        <w:rPr>
          <w:i/>
          <w:iCs/>
          <w:lang w:eastAsia="x-none"/>
        </w:rPr>
        <w:t xml:space="preserve"> Procedures</w:t>
      </w:r>
    </w:p>
    <w:p w:rsidR="00F4249C" w:rsidRPr="00ED54CE" w:rsidP="00F4249C" w14:paraId="442A8060" w14:textId="77777777">
      <w:pPr>
        <w:rPr>
          <w:lang w:eastAsia="x-none"/>
        </w:rPr>
      </w:pPr>
      <w:r w:rsidRPr="00ED54CE">
        <w:rPr>
          <w:lang w:eastAsia="x-none"/>
        </w:rPr>
        <w:t>For students physically attending in the classroom, the standard data collection method, with modifications for virtual administration of the survey, will be used. The following steps will occur:</w:t>
      </w:r>
    </w:p>
    <w:p w:rsidR="00F4249C" w:rsidRPr="00ED54CE" w:rsidP="00F4249C" w14:paraId="2D8BB346" w14:textId="71EDF01C">
      <w:pPr>
        <w:pStyle w:val="ListParagraph"/>
        <w:numPr>
          <w:ilvl w:val="0"/>
          <w:numId w:val="23"/>
        </w:numPr>
        <w:rPr>
          <w:lang w:eastAsia="x-none"/>
        </w:rPr>
      </w:pPr>
      <w:r w:rsidRPr="00ED54CE">
        <w:rPr>
          <w:lang w:eastAsia="x-none"/>
        </w:rPr>
        <w:t>The designated school coordinator will receive the survey administration materials, packaged by class, and will distribute the materials to the teacher of each selected class.</w:t>
      </w:r>
    </w:p>
    <w:p w:rsidR="00CB4C85" w:rsidRPr="00ED54CE" w:rsidP="00E2178A" w14:paraId="0E48791B" w14:textId="77777777">
      <w:pPr>
        <w:pStyle w:val="ListParagraph"/>
        <w:numPr>
          <w:ilvl w:val="0"/>
          <w:numId w:val="23"/>
        </w:numPr>
      </w:pPr>
      <w:r w:rsidRPr="00ED54CE">
        <w:rPr>
          <w:lang w:eastAsia="x-none"/>
        </w:rPr>
        <w:t xml:space="preserve">Teachers distribute and </w:t>
      </w:r>
      <w:r w:rsidRPr="00ED54CE">
        <w:t>follow up on parental permission forms sent out prior to the scheduled date of data collection. Schools may choose to distribute parental permission forms in hard copy or electronically, based on their recommendation of the most effective manner of reaching parents.</w:t>
      </w:r>
      <w:r w:rsidRPr="00ED54CE" w:rsidR="0067050A">
        <w:t xml:space="preserve"> </w:t>
      </w:r>
    </w:p>
    <w:p w:rsidR="00CB4C85" w:rsidRPr="00ED54CE" w:rsidP="00E2178A" w14:paraId="29557D83" w14:textId="77777777">
      <w:pPr>
        <w:pStyle w:val="ListParagraph"/>
        <w:numPr>
          <w:ilvl w:val="0"/>
          <w:numId w:val="23"/>
        </w:numPr>
      </w:pPr>
      <w:r w:rsidRPr="00ED54CE">
        <w:t>In schools requiring active parental permission, t</w:t>
      </w:r>
      <w:r w:rsidRPr="00ED54CE" w:rsidR="0067050A">
        <w:t xml:space="preserve">eachers </w:t>
      </w:r>
      <w:r w:rsidRPr="00ED54CE">
        <w:t>send a second form home to any student who has not yet returned one within 3 days of the scheduled administration.</w:t>
      </w:r>
    </w:p>
    <w:p w:rsidR="00F4249C" w:rsidRPr="00ED54CE" w:rsidP="00E2178A" w14:paraId="7EBD4EB7" w14:textId="43C161D9">
      <w:pPr>
        <w:pStyle w:val="ListParagraph"/>
        <w:numPr>
          <w:ilvl w:val="0"/>
          <w:numId w:val="23"/>
        </w:numPr>
      </w:pPr>
      <w:r w:rsidRPr="00ED54CE">
        <w:t xml:space="preserve">In all schools, teachers </w:t>
      </w:r>
      <w:r w:rsidRPr="00ED54CE" w:rsidR="0067050A">
        <w:t>are asked to identify students without parental consent to participate and to make sure they have appropriate alternate activities.</w:t>
      </w:r>
    </w:p>
    <w:p w:rsidR="00F4249C" w:rsidRPr="00ED54CE" w:rsidP="00F4249C" w14:paraId="0AE42FC2" w14:textId="77777777">
      <w:pPr>
        <w:pStyle w:val="ListParagraph"/>
        <w:numPr>
          <w:ilvl w:val="0"/>
          <w:numId w:val="23"/>
        </w:numPr>
        <w:rPr>
          <w:lang w:eastAsia="x-none"/>
        </w:rPr>
      </w:pPr>
      <w:r w:rsidRPr="00ED54CE">
        <w:rPr>
          <w:lang w:eastAsia="x-none"/>
        </w:rPr>
        <w:t xml:space="preserve">On the day of the scheduled survey administration, the teacher will distribute a 5-digit classroom access code to all students </w:t>
      </w:r>
      <w:r w:rsidRPr="00ED54CE">
        <w:rPr>
          <w:lang w:eastAsia="x-none"/>
        </w:rPr>
        <w:t>in a given</w:t>
      </w:r>
      <w:r w:rsidRPr="00ED54CE">
        <w:rPr>
          <w:lang w:eastAsia="x-none"/>
        </w:rPr>
        <w:t xml:space="preserve"> classroom. </w:t>
      </w:r>
    </w:p>
    <w:p w:rsidR="00F4249C" w:rsidRPr="00ED54CE" w:rsidP="00F4249C" w14:paraId="63695A72" w14:textId="5192A263">
      <w:pPr>
        <w:pStyle w:val="ListParagraph"/>
        <w:numPr>
          <w:ilvl w:val="0"/>
          <w:numId w:val="23"/>
        </w:numPr>
        <w:rPr>
          <w:lang w:eastAsia="x-none"/>
        </w:rPr>
      </w:pPr>
      <w:r w:rsidRPr="00ED54CE">
        <w:t xml:space="preserve">Teachers read verbatim to eligible students a prepared script (Attachment </w:t>
      </w:r>
      <w:r w:rsidRPr="00ED54CE" w:rsidR="00A759FC">
        <w:t>I2</w:t>
      </w:r>
      <w:r w:rsidRPr="00ED54CE">
        <w:t xml:space="preserve">) that emphasizes anonymity and the voluntary nature of the survey. </w:t>
      </w:r>
    </w:p>
    <w:p w:rsidR="00F4249C" w:rsidRPr="00ED54CE" w:rsidP="00F4249C" w14:paraId="5BBFB555" w14:textId="724B077E">
      <w:pPr>
        <w:pStyle w:val="ListParagraph"/>
        <w:numPr>
          <w:ilvl w:val="0"/>
          <w:numId w:val="23"/>
        </w:numPr>
        <w:rPr>
          <w:lang w:eastAsia="x-none"/>
        </w:rPr>
      </w:pPr>
      <w:r w:rsidRPr="00ED54CE">
        <w:rPr>
          <w:lang w:eastAsia="x-none"/>
        </w:rPr>
        <w:t xml:space="preserve">Each student will use an internet connected device and will login to the NYTS survey using the provided URL and their unique 5-digit classroom code </w:t>
      </w:r>
      <w:r w:rsidRPr="00ED54CE">
        <w:t xml:space="preserve">(Attachment </w:t>
      </w:r>
      <w:r w:rsidRPr="00ED54CE" w:rsidR="00A759FC">
        <w:t>I3</w:t>
      </w:r>
      <w:r w:rsidRPr="00ED54CE">
        <w:t>)</w:t>
      </w:r>
      <w:r w:rsidRPr="00ED54CE">
        <w:rPr>
          <w:lang w:eastAsia="x-none"/>
        </w:rPr>
        <w:t>.</w:t>
      </w:r>
    </w:p>
    <w:p w:rsidR="00F4249C" w:rsidRPr="00ED54CE" w:rsidP="00F4249C" w14:paraId="649C69A0" w14:textId="77777777">
      <w:pPr>
        <w:pStyle w:val="ListParagraph"/>
        <w:numPr>
          <w:ilvl w:val="0"/>
          <w:numId w:val="23"/>
        </w:numPr>
        <w:rPr>
          <w:lang w:eastAsia="x-none"/>
        </w:rPr>
      </w:pPr>
      <w:r w:rsidRPr="00ED54CE">
        <w:rPr>
          <w:lang w:eastAsia="x-none"/>
        </w:rPr>
        <w:t>Make-up surveys will be conducted with eligible students who were absent on the day of survey administration using the same classroom code provided for the original administration.</w:t>
      </w:r>
    </w:p>
    <w:p w:rsidR="00F4249C" w:rsidRPr="00ED54CE" w:rsidP="0036110B" w14:paraId="61611DE4" w14:textId="77777777"/>
    <w:p w:rsidR="00961CC4" w:rsidRPr="00ED54CE" w:rsidP="00961CC4" w14:paraId="1239FE60" w14:textId="77777777">
      <w:bookmarkStart w:id="3" w:name="_Hlk18655485"/>
      <w:r w:rsidRPr="00ED54CE">
        <w:t>The time during the school day in which the survey is administered varies by school. This decision is made in coordination with each school to ensure that the type of class or period of the day selected for sampling: 1) meets the scientific sampling parameters to ensure a nationally representative sample; and 2) results in the least burden/highest possible acceptability for the school.</w:t>
      </w:r>
    </w:p>
    <w:p w:rsidR="00961CC4" w:rsidRPr="00ED54CE" w:rsidP="0036110B" w14:paraId="4E1E7A23" w14:textId="77777777"/>
    <w:p w:rsidR="006D002E" w:rsidRPr="00ED54CE" w:rsidP="0036110B" w14:paraId="726CEC3C" w14:textId="5CBC4A7D">
      <w:r w:rsidRPr="00ED54CE">
        <w:t>Students electronically submit their questionnaires upon completion and the data are received in real time.</w:t>
      </w:r>
      <w:r w:rsidRPr="00ED54CE" w:rsidR="0067050A">
        <w:t xml:space="preserve"> Teachers complete and submit a Class Participation Log (Attachment </w:t>
      </w:r>
      <w:r w:rsidRPr="00ED54CE" w:rsidR="00A759FC">
        <w:t>I4</w:t>
      </w:r>
      <w:r w:rsidRPr="00ED54CE" w:rsidR="0067050A">
        <w:t xml:space="preserve">) at the end of the session. This form provides information about </w:t>
      </w:r>
      <w:r w:rsidR="000F1AD1">
        <w:t xml:space="preserve">the number of students enrolled in the class, </w:t>
      </w:r>
      <w:r w:rsidRPr="00ED54CE" w:rsidR="0067050A">
        <w:t xml:space="preserve">the number of students who participated, and the number of students at each type of nonparticipation (e.g., absent, no permission, etc.) </w:t>
      </w:r>
      <w:r w:rsidR="00CC630E">
        <w:t>For classrooms with 4 or more students that missed the in-school session, t</w:t>
      </w:r>
      <w:r w:rsidRPr="00ED54CE" w:rsidR="0067050A">
        <w:t>eachers are asked to administer make-up surveys to eligible nonparticipants upon their return to class or provide the URL for the student to participate on their own time</w:t>
      </w:r>
      <w:r w:rsidR="005F44EC">
        <w:t xml:space="preserve"> if the teacher is unable to conduct a make-</w:t>
      </w:r>
      <w:r w:rsidR="00FE23E4">
        <w:t>up session</w:t>
      </w:r>
      <w:r w:rsidRPr="00ED54CE" w:rsidR="0067050A">
        <w:t xml:space="preserve">. Upon submission, make-up surveys are automatically incorporated into the counts data and counts for the appropriate school and class. </w:t>
      </w:r>
      <w:r w:rsidRPr="00ED54CE" w:rsidR="00F4249C">
        <w:t>Quality checks are performed daily</w:t>
      </w:r>
      <w:r w:rsidRPr="00ED54CE" w:rsidR="0067050A">
        <w:t xml:space="preserve"> to confirm that the expected number of student records are received, that there are no duplicates or anomalies in the data, </w:t>
      </w:r>
      <w:r w:rsidRPr="00ED54CE" w:rsidR="009E0195">
        <w:t xml:space="preserve">and </w:t>
      </w:r>
      <w:r w:rsidRPr="00ED54CE" w:rsidR="0067050A">
        <w:t xml:space="preserve">that </w:t>
      </w:r>
      <w:r w:rsidRPr="00ED54CE" w:rsidR="009E0195">
        <w:t xml:space="preserve">the instrument is functioning as expected, e.g., </w:t>
      </w:r>
      <w:r w:rsidRPr="00ED54CE" w:rsidR="0067050A">
        <w:t xml:space="preserve">students were able to make it through the entirety of the survey without technical issues. </w:t>
      </w:r>
    </w:p>
    <w:p w:rsidR="006D002E" w:rsidRPr="00ED54CE" w:rsidP="0036110B" w14:paraId="09ADB8B4" w14:textId="77777777"/>
    <w:p w:rsidR="0067050A" w:rsidRPr="00ED54CE" w:rsidP="006D002E" w14:paraId="437AD4B1" w14:textId="77777777">
      <w:pPr>
        <w:rPr>
          <w:i/>
          <w:iCs/>
        </w:rPr>
      </w:pPr>
      <w:r w:rsidRPr="00ED54CE">
        <w:rPr>
          <w:i/>
          <w:iCs/>
        </w:rPr>
        <w:t>Troubleshooting</w:t>
      </w:r>
    </w:p>
    <w:p w:rsidR="006D002E" w:rsidRPr="00ED54CE" w:rsidP="006D002E" w14:paraId="7CE80036" w14:textId="35597218">
      <w:pPr>
        <w:rPr>
          <w:lang w:eastAsia="x-none"/>
        </w:rPr>
      </w:pPr>
      <w:r w:rsidRPr="00ED54CE">
        <w:t xml:space="preserve">NYTS Study Liaisons are available to help troubleshoot technical issues that arise during the session, if needed. The Study Liaisons are the same staff who secured school participation and maintain communication with the school coordinator through the school’s participation in the study. Study Liaisons are </w:t>
      </w:r>
      <w:r w:rsidRPr="00ED54CE">
        <w:rPr>
          <w:lang w:eastAsia="x-none"/>
        </w:rPr>
        <w:t>trained to virtually support all components of a data collection, including, but not limited to:</w:t>
      </w:r>
    </w:p>
    <w:p w:rsidR="006D002E" w:rsidRPr="00ED54CE" w:rsidP="006D002E" w14:paraId="6B5D0F93" w14:textId="77777777">
      <w:pPr>
        <w:pStyle w:val="ListParagraph"/>
        <w:numPr>
          <w:ilvl w:val="0"/>
          <w:numId w:val="22"/>
        </w:numPr>
        <w:rPr>
          <w:lang w:eastAsia="x-none"/>
        </w:rPr>
      </w:pPr>
      <w:r w:rsidRPr="00ED54CE">
        <w:rPr>
          <w:lang w:eastAsia="x-none"/>
        </w:rPr>
        <w:t xml:space="preserve">Confirming receipt of survey administration </w:t>
      </w:r>
      <w:r w:rsidRPr="00ED54CE">
        <w:rPr>
          <w:lang w:eastAsia="x-none"/>
        </w:rPr>
        <w:t>materials;</w:t>
      </w:r>
    </w:p>
    <w:p w:rsidR="006D002E" w:rsidRPr="00ED54CE" w:rsidP="006D002E" w14:paraId="6C2B7342" w14:textId="77777777">
      <w:pPr>
        <w:pStyle w:val="ListParagraph"/>
        <w:numPr>
          <w:ilvl w:val="0"/>
          <w:numId w:val="22"/>
        </w:numPr>
        <w:rPr>
          <w:lang w:eastAsia="x-none"/>
        </w:rPr>
      </w:pPr>
      <w:r w:rsidRPr="00ED54CE">
        <w:rPr>
          <w:lang w:eastAsia="x-none"/>
        </w:rPr>
        <w:t xml:space="preserve">Ensuring the distribution of parental permission </w:t>
      </w:r>
      <w:r w:rsidRPr="00ED54CE">
        <w:rPr>
          <w:lang w:eastAsia="x-none"/>
        </w:rPr>
        <w:t>forms;</w:t>
      </w:r>
    </w:p>
    <w:p w:rsidR="006D002E" w:rsidRPr="00ED54CE" w:rsidP="006D002E" w14:paraId="59F1AABA" w14:textId="77777777">
      <w:pPr>
        <w:pStyle w:val="ListParagraph"/>
        <w:numPr>
          <w:ilvl w:val="0"/>
          <w:numId w:val="22"/>
        </w:numPr>
        <w:rPr>
          <w:lang w:eastAsia="x-none"/>
        </w:rPr>
      </w:pPr>
      <w:r w:rsidRPr="00ED54CE">
        <w:rPr>
          <w:lang w:eastAsia="x-none"/>
        </w:rPr>
        <w:t xml:space="preserve">Confirming accessibility of survey </w:t>
      </w:r>
      <w:r w:rsidRPr="00ED54CE">
        <w:rPr>
          <w:lang w:eastAsia="x-none"/>
        </w:rPr>
        <w:t>URL;</w:t>
      </w:r>
    </w:p>
    <w:p w:rsidR="006D002E" w:rsidRPr="00ED54CE" w:rsidP="006D002E" w14:paraId="272F963C" w14:textId="77777777">
      <w:pPr>
        <w:pStyle w:val="ListParagraph"/>
        <w:numPr>
          <w:ilvl w:val="0"/>
          <w:numId w:val="22"/>
        </w:numPr>
        <w:rPr>
          <w:lang w:eastAsia="x-none"/>
        </w:rPr>
      </w:pPr>
      <w:r w:rsidRPr="00ED54CE">
        <w:rPr>
          <w:lang w:eastAsia="x-none"/>
        </w:rPr>
        <w:t xml:space="preserve">Answering questions from the designated school contact and/or teachers before, during, or after the survey </w:t>
      </w:r>
      <w:r w:rsidRPr="00ED54CE">
        <w:rPr>
          <w:lang w:eastAsia="x-none"/>
        </w:rPr>
        <w:t>administration;</w:t>
      </w:r>
    </w:p>
    <w:p w:rsidR="006D002E" w:rsidRPr="00ED54CE" w:rsidP="006D002E" w14:paraId="67A34E84" w14:textId="77777777">
      <w:pPr>
        <w:pStyle w:val="ListParagraph"/>
        <w:numPr>
          <w:ilvl w:val="0"/>
          <w:numId w:val="22"/>
        </w:numPr>
        <w:rPr>
          <w:lang w:eastAsia="x-none"/>
        </w:rPr>
      </w:pPr>
      <w:r w:rsidRPr="00ED54CE">
        <w:rPr>
          <w:lang w:eastAsia="x-none"/>
        </w:rPr>
        <w:t xml:space="preserve">Monitoring completion of survey administration in </w:t>
      </w:r>
      <w:r w:rsidRPr="00ED54CE">
        <w:rPr>
          <w:lang w:eastAsia="x-none"/>
        </w:rPr>
        <w:t>classrooms;</w:t>
      </w:r>
    </w:p>
    <w:p w:rsidR="006D002E" w:rsidRPr="00ED54CE" w:rsidP="006D002E" w14:paraId="7F080C2B" w14:textId="77777777">
      <w:pPr>
        <w:pStyle w:val="ListParagraph"/>
        <w:numPr>
          <w:ilvl w:val="0"/>
          <w:numId w:val="22"/>
        </w:numPr>
        <w:rPr>
          <w:lang w:eastAsia="x-none"/>
        </w:rPr>
      </w:pPr>
      <w:r w:rsidRPr="00ED54CE">
        <w:rPr>
          <w:lang w:eastAsia="x-none"/>
        </w:rPr>
        <w:t xml:space="preserve">Following up on missing classes or missing classroom enrollment </w:t>
      </w:r>
      <w:r w:rsidRPr="00ED54CE">
        <w:rPr>
          <w:lang w:eastAsia="x-none"/>
        </w:rPr>
        <w:t>information;</w:t>
      </w:r>
    </w:p>
    <w:p w:rsidR="006D002E" w:rsidRPr="00ED54CE" w:rsidP="006D002E" w14:paraId="72C7D53D" w14:textId="38340CF9">
      <w:pPr>
        <w:pStyle w:val="ListParagraph"/>
        <w:numPr>
          <w:ilvl w:val="0"/>
          <w:numId w:val="22"/>
        </w:numPr>
        <w:rPr>
          <w:lang w:eastAsia="x-none"/>
        </w:rPr>
      </w:pPr>
      <w:r w:rsidRPr="00ED54CE">
        <w:rPr>
          <w:lang w:eastAsia="x-none"/>
        </w:rPr>
        <w:t>Obtaining school level enrollment and participation information.</w:t>
      </w:r>
    </w:p>
    <w:p w:rsidR="004F25D9" w:rsidRPr="00ED54CE" w:rsidP="0036110B" w14:paraId="18B2B742" w14:textId="774C7CAB"/>
    <w:bookmarkEnd w:id="3"/>
    <w:p w:rsidR="00FD4985" w:rsidRPr="00ED54CE" w:rsidP="00FD4985" w14:paraId="17945863" w14:textId="77777777">
      <w:pPr>
        <w:rPr>
          <w:i/>
          <w:iCs/>
          <w:lang w:eastAsia="x-none"/>
        </w:rPr>
      </w:pPr>
      <w:r w:rsidRPr="00ED54CE">
        <w:rPr>
          <w:i/>
          <w:iCs/>
          <w:lang w:eastAsia="x-none"/>
        </w:rPr>
        <w:t>Allowances for Virtual/Distance Learning</w:t>
      </w:r>
    </w:p>
    <w:p w:rsidR="00FD4985" w:rsidRPr="00ED54CE" w:rsidP="00FD4985" w14:paraId="310F88EF" w14:textId="5F1126F8">
      <w:pPr>
        <w:rPr>
          <w:lang w:eastAsia="x-none"/>
        </w:rPr>
      </w:pPr>
      <w:r w:rsidRPr="00ED54CE">
        <w:rPr>
          <w:lang w:eastAsia="x-none"/>
        </w:rPr>
        <w:t xml:space="preserve">For the </w:t>
      </w:r>
      <w:r w:rsidRPr="00ED54CE" w:rsidR="00E90AFA">
        <w:rPr>
          <w:lang w:eastAsia="x-none"/>
        </w:rPr>
        <w:t xml:space="preserve">2024-2026 </w:t>
      </w:r>
      <w:r w:rsidRPr="00ED54CE">
        <w:rPr>
          <w:lang w:eastAsia="x-none"/>
        </w:rPr>
        <w:t>administration</w:t>
      </w:r>
      <w:r w:rsidRPr="00ED54CE" w:rsidR="00E90AFA">
        <w:rPr>
          <w:lang w:eastAsia="x-none"/>
        </w:rPr>
        <w:t>s</w:t>
      </w:r>
      <w:r w:rsidRPr="00ED54CE">
        <w:rPr>
          <w:lang w:eastAsia="x-none"/>
        </w:rPr>
        <w:t xml:space="preserve">, </w:t>
      </w:r>
      <w:r w:rsidRPr="00ED54CE" w:rsidR="00E90AFA">
        <w:rPr>
          <w:lang w:eastAsia="x-none"/>
        </w:rPr>
        <w:t xml:space="preserve">schools will be included that offer </w:t>
      </w:r>
      <w:r w:rsidRPr="00ED54CE">
        <w:rPr>
          <w:lang w:eastAsia="x-none"/>
        </w:rPr>
        <w:t>virtual</w:t>
      </w:r>
      <w:r w:rsidRPr="00ED54CE" w:rsidR="00E90AFA">
        <w:rPr>
          <w:lang w:eastAsia="x-none"/>
        </w:rPr>
        <w:t xml:space="preserve"> or </w:t>
      </w:r>
      <w:r w:rsidRPr="00ED54CE">
        <w:rPr>
          <w:lang w:eastAsia="x-none"/>
        </w:rPr>
        <w:t xml:space="preserve">distance learning. Students will still be asked to take the survey during the scheduled “class” time. </w:t>
      </w:r>
      <w:r w:rsidRPr="00ED54CE" w:rsidR="00E90AFA">
        <w:rPr>
          <w:lang w:eastAsia="x-none"/>
        </w:rPr>
        <w:t xml:space="preserve">The procedure for these schools is the same as the procedures outlined </w:t>
      </w:r>
      <w:r w:rsidRPr="00ED54CE" w:rsidR="00F4249C">
        <w:rPr>
          <w:lang w:eastAsia="x-none"/>
        </w:rPr>
        <w:t>above</w:t>
      </w:r>
      <w:r w:rsidRPr="00ED54CE" w:rsidR="00E90AFA">
        <w:rPr>
          <w:lang w:eastAsia="x-none"/>
        </w:rPr>
        <w:t xml:space="preserve"> for in-person schools.</w:t>
      </w:r>
    </w:p>
    <w:p w:rsidR="00B770D8" w:rsidRPr="00ED54CE" w:rsidP="00567B25" w14:paraId="34A0C98C" w14:textId="20153546">
      <w:pPr>
        <w:rPr>
          <w:lang w:eastAsia="x-none"/>
        </w:rPr>
      </w:pPr>
    </w:p>
    <w:p w:rsidR="0067050A" w:rsidRPr="00ED54CE" w:rsidP="0067050A" w14:paraId="4954117B" w14:textId="77777777">
      <w:r w:rsidRPr="00ED54CE">
        <w:t>In general, data collection procedures have been designed to ensure that:</w:t>
      </w:r>
    </w:p>
    <w:p w:rsidR="0067050A" w:rsidRPr="00ED54CE" w:rsidP="0067050A" w14:paraId="392F8076" w14:textId="77777777">
      <w:pPr>
        <w:widowControl/>
        <w:numPr>
          <w:ilvl w:val="0"/>
          <w:numId w:val="2"/>
        </w:numPr>
        <w:autoSpaceDE/>
        <w:autoSpaceDN/>
        <w:adjustRightInd/>
      </w:pPr>
      <w:r w:rsidRPr="00ED54CE">
        <w:t xml:space="preserve">Protocol is followed in obtaining access to </w:t>
      </w:r>
      <w:r w:rsidRPr="00ED54CE">
        <w:t>schools;</w:t>
      </w:r>
    </w:p>
    <w:p w:rsidR="0067050A" w:rsidRPr="00ED54CE" w:rsidP="0067050A" w14:paraId="6E601478" w14:textId="77777777">
      <w:pPr>
        <w:widowControl/>
        <w:numPr>
          <w:ilvl w:val="0"/>
          <w:numId w:val="2"/>
        </w:numPr>
        <w:autoSpaceDE/>
        <w:autoSpaceDN/>
        <w:adjustRightInd/>
      </w:pPr>
      <w:r w:rsidRPr="00ED54CE">
        <w:t xml:space="preserve">Everyday school activity schedules are disrupted </w:t>
      </w:r>
      <w:r w:rsidRPr="00ED54CE">
        <w:t>minimally;</w:t>
      </w:r>
    </w:p>
    <w:p w:rsidR="0067050A" w:rsidRPr="00ED54CE" w:rsidP="0067050A" w14:paraId="76FE251E" w14:textId="77777777">
      <w:pPr>
        <w:widowControl/>
        <w:numPr>
          <w:ilvl w:val="0"/>
          <w:numId w:val="2"/>
        </w:numPr>
        <w:autoSpaceDE/>
        <w:autoSpaceDN/>
        <w:adjustRightInd/>
      </w:pPr>
      <w:r w:rsidRPr="00ED54CE">
        <w:t xml:space="preserve">Administrative burden placed on teachers is </w:t>
      </w:r>
      <w:r w:rsidRPr="00ED54CE">
        <w:t>minimal;</w:t>
      </w:r>
    </w:p>
    <w:p w:rsidR="0067050A" w:rsidRPr="00ED54CE" w:rsidP="0067050A" w14:paraId="0EE2F4E6" w14:textId="77777777">
      <w:pPr>
        <w:widowControl/>
        <w:numPr>
          <w:ilvl w:val="0"/>
          <w:numId w:val="2"/>
        </w:numPr>
        <w:autoSpaceDE/>
        <w:autoSpaceDN/>
        <w:adjustRightInd/>
      </w:pPr>
      <w:r w:rsidRPr="00ED54CE">
        <w:t xml:space="preserve">Parents give informed permission to participate in the </w:t>
      </w:r>
      <w:r w:rsidRPr="00ED54CE">
        <w:t>survey;</w:t>
      </w:r>
    </w:p>
    <w:p w:rsidR="0067050A" w:rsidRPr="00ED54CE" w:rsidP="0067050A" w14:paraId="33D9DEEB" w14:textId="77777777">
      <w:pPr>
        <w:widowControl/>
        <w:numPr>
          <w:ilvl w:val="0"/>
          <w:numId w:val="2"/>
        </w:numPr>
        <w:autoSpaceDE/>
        <w:autoSpaceDN/>
        <w:adjustRightInd/>
      </w:pPr>
      <w:r w:rsidRPr="00ED54CE">
        <w:t>Anonymity of student participation is maintained, with no punitive actions against non-</w:t>
      </w:r>
      <w:r w:rsidRPr="00ED54CE">
        <w:t>participants;</w:t>
      </w:r>
    </w:p>
    <w:p w:rsidR="0067050A" w:rsidRPr="00ED54CE" w:rsidP="0067050A" w14:paraId="48499C29" w14:textId="77777777">
      <w:pPr>
        <w:widowControl/>
        <w:numPr>
          <w:ilvl w:val="0"/>
          <w:numId w:val="2"/>
        </w:numPr>
        <w:autoSpaceDE/>
        <w:autoSpaceDN/>
        <w:adjustRightInd/>
      </w:pPr>
      <w:r w:rsidRPr="00ED54CE">
        <w:t xml:space="preserve">Alternative activities are provided for </w:t>
      </w:r>
      <w:r w:rsidRPr="00ED54CE">
        <w:t>nonparticipants;</w:t>
      </w:r>
    </w:p>
    <w:p w:rsidR="0067050A" w:rsidRPr="00ED54CE" w:rsidP="0067050A" w14:paraId="4AF8B2FA" w14:textId="77777777">
      <w:pPr>
        <w:widowControl/>
        <w:numPr>
          <w:ilvl w:val="0"/>
          <w:numId w:val="2"/>
        </w:numPr>
        <w:autoSpaceDE/>
        <w:autoSpaceDN/>
        <w:adjustRightInd/>
      </w:pPr>
      <w:r w:rsidRPr="00ED54CE">
        <w:t>Control over the quality of data is maintained.</w:t>
      </w:r>
    </w:p>
    <w:p w:rsidR="0067050A" w:rsidRPr="00ED54CE" w:rsidP="00567B25" w14:paraId="68A9708E" w14:textId="474FE548">
      <w:pPr>
        <w:rPr>
          <w:lang w:eastAsia="x-none"/>
        </w:rPr>
      </w:pPr>
    </w:p>
    <w:p w:rsidR="0067050A" w:rsidRPr="00ED54CE" w:rsidP="00567B25" w14:paraId="5F1BD1FF" w14:textId="77777777">
      <w:pPr>
        <w:rPr>
          <w:lang w:eastAsia="x-none"/>
        </w:rPr>
      </w:pPr>
    </w:p>
    <w:p w:rsidR="00EE43A4" w:rsidRPr="00ED54CE" w:rsidP="00567B25" w14:paraId="788CA535" w14:textId="77777777">
      <w:pPr>
        <w:pStyle w:val="Heading3"/>
        <w:spacing w:before="0"/>
        <w:rPr>
          <w:rFonts w:ascii="Times New Roman" w:hAnsi="Times New Roman"/>
          <w:u w:val="single"/>
        </w:rPr>
      </w:pPr>
      <w:r w:rsidRPr="00ED54CE">
        <w:rPr>
          <w:rFonts w:ascii="Times New Roman" w:hAnsi="Times New Roman"/>
          <w:u w:val="single"/>
        </w:rPr>
        <w:t>Obtaining Access to and Support from Schools</w:t>
      </w:r>
    </w:p>
    <w:p w:rsidR="00EE43A4" w:rsidRPr="00ED54CE" w:rsidP="00105F6A" w14:paraId="46AAD126" w14:textId="77777777">
      <w:pPr>
        <w:ind w:firstLine="360"/>
      </w:pPr>
    </w:p>
    <w:p w:rsidR="00EE43A4" w:rsidRPr="00ED54CE" w:rsidP="00BF2BF3" w14:paraId="2226720D" w14:textId="77777777">
      <w:r w:rsidRPr="00ED54CE">
        <w:t xml:space="preserve">All initial letters of invitation </w:t>
      </w:r>
      <w:r w:rsidRPr="00ED54CE" w:rsidR="0017260A">
        <w:t xml:space="preserve">to participate in the NYTS </w:t>
      </w:r>
      <w:r w:rsidRPr="00ED54CE">
        <w:t xml:space="preserve">will be on CDC letterhead from the Department of Health and Human Services and signed by </w:t>
      </w:r>
      <w:r w:rsidRPr="00ED54CE" w:rsidR="0017260A">
        <w:t>Linda Neff</w:t>
      </w:r>
      <w:r w:rsidRPr="00ED54CE" w:rsidR="00F957D8">
        <w:t xml:space="preserve">, </w:t>
      </w:r>
      <w:r w:rsidRPr="00ED54CE" w:rsidR="0017260A">
        <w:t>PhD</w:t>
      </w:r>
      <w:r w:rsidRPr="00ED54CE" w:rsidR="00F957D8">
        <w:t>, M</w:t>
      </w:r>
      <w:r w:rsidRPr="00ED54CE" w:rsidR="0017260A">
        <w:t>S</w:t>
      </w:r>
      <w:r w:rsidRPr="00ED54CE" w:rsidR="00F957D8">
        <w:t xml:space="preserve">PH, </w:t>
      </w:r>
      <w:r w:rsidRPr="00ED54CE" w:rsidR="0017260A">
        <w:t xml:space="preserve">Chief of the Epidemiology Branch at </w:t>
      </w:r>
      <w:r w:rsidRPr="00ED54CE" w:rsidR="00F957D8">
        <w:t xml:space="preserve">the Office on Smoking and Health, </w:t>
      </w:r>
      <w:r w:rsidRPr="00ED54CE">
        <w:t>N</w:t>
      </w:r>
      <w:r w:rsidRPr="00ED54CE" w:rsidR="0017260A">
        <w:t>ational Center of Chronic Disease Prevention and Health Promotion (N</w:t>
      </w:r>
      <w:r w:rsidRPr="00ED54CE">
        <w:t>CCDPHP</w:t>
      </w:r>
      <w:r w:rsidRPr="00ED54CE" w:rsidR="0017260A">
        <w:t>)</w:t>
      </w:r>
      <w:r w:rsidRPr="00ED54CE">
        <w:t xml:space="preserve"> at CDC</w:t>
      </w:r>
      <w:r w:rsidRPr="00ED54CE" w:rsidR="00A315CB">
        <w:t xml:space="preserve">. </w:t>
      </w:r>
      <w:r w:rsidRPr="00ED54CE">
        <w:t xml:space="preserve">The procedures for gaining access to </w:t>
      </w:r>
      <w:r w:rsidRPr="00ED54CE" w:rsidR="00815D1E">
        <w:t xml:space="preserve">and support from states, districts, and </w:t>
      </w:r>
      <w:r w:rsidRPr="00ED54CE">
        <w:t>schools will have three major steps:</w:t>
      </w:r>
    </w:p>
    <w:p w:rsidR="00EE43A4" w:rsidRPr="00ED54CE" w:rsidP="008850CF" w14:paraId="37F22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815D1E" w:rsidRPr="00ED54CE" w:rsidP="00815D1E" w14:paraId="6101B10B" w14:textId="77777777">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First, support will be sought from State Education Agencies and State Departments of Health</w:t>
      </w:r>
      <w:r w:rsidRPr="00ED54CE" w:rsidR="00A315CB">
        <w:t xml:space="preserve">. </w:t>
      </w:r>
      <w:r w:rsidRPr="00ED54CE">
        <w:t>The initial request will be accompanied by a study fact sheet and a list of all sampled districts and schools in their jurisdiction</w:t>
      </w:r>
      <w:r w:rsidRPr="00ED54CE" w:rsidR="00A315CB">
        <w:t xml:space="preserve">. </w:t>
      </w:r>
      <w:r w:rsidRPr="00ED54CE">
        <w:t>States will be asked to provide general guidance on working with the selected school districts and schools and to notify school districts that they may anticipate bei</w:t>
      </w:r>
      <w:r w:rsidRPr="00ED54CE" w:rsidR="00A315CB">
        <w:t>ng contacted about the survey.</w:t>
      </w:r>
    </w:p>
    <w:p w:rsidR="00815D1E" w:rsidRPr="00ED54CE" w:rsidP="00815D1E" w14:paraId="18F1ECFB" w14:textId="7777777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15D1E" w:rsidRPr="00ED54CE" w:rsidP="00815D1E" w14:paraId="141D27F0" w14:textId="31AB2289">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w:t>
      </w:r>
      <w:r w:rsidRPr="00ED54CE" w:rsidR="00A315CB">
        <w:t xml:space="preserve">. </w:t>
      </w:r>
      <w:r w:rsidRPr="00ED54CE">
        <w:t xml:space="preserve">Telephone contact will be made with the office comparable to the district office (e.g., diocesan office of education), if there is one. </w:t>
      </w:r>
      <w:r w:rsidRPr="00ED54CE" w:rsidR="00A97D69">
        <w:t xml:space="preserve">Some districts require that a research proposal be submitted </w:t>
      </w:r>
      <w:r w:rsidRPr="00ED54CE" w:rsidR="00A009F2">
        <w:t>and approved to conduct scientific studies among their students</w:t>
      </w:r>
      <w:r w:rsidRPr="00ED54CE" w:rsidR="00CD4AC8">
        <w:t>.</w:t>
      </w:r>
      <w:r w:rsidRPr="00ED54CE" w:rsidR="00A97D69">
        <w:t xml:space="preserve"> </w:t>
      </w:r>
      <w:r w:rsidRPr="00ED54CE" w:rsidR="00227CB6">
        <w:t xml:space="preserve">The format, length, and timeline for these proposals varies by district. For these districts, sampled schools cannot be contacted for individual participation until the </w:t>
      </w:r>
      <w:r w:rsidRPr="00ED54CE" w:rsidR="007C7D4E">
        <w:t xml:space="preserve">data </w:t>
      </w:r>
      <w:r w:rsidRPr="00ED54CE" w:rsidR="007C7D4E">
        <w:t xml:space="preserve">collection </w:t>
      </w:r>
      <w:r w:rsidRPr="00ED54CE" w:rsidR="00227CB6">
        <w:t xml:space="preserve"> proposal</w:t>
      </w:r>
      <w:r w:rsidRPr="00ED54CE" w:rsidR="00227CB6">
        <w:t xml:space="preserve"> is approved. </w:t>
      </w:r>
    </w:p>
    <w:p w:rsidR="00815D1E" w:rsidRPr="00ED54CE" w:rsidP="00815D1E" w14:paraId="3D91D1FE" w14:textId="77777777">
      <w:pPr>
        <w:pStyle w:val="ListParagraph"/>
      </w:pPr>
    </w:p>
    <w:p w:rsidR="00815D1E" w:rsidRPr="00ED54CE" w:rsidP="00815D1E" w14:paraId="1E31D2C5" w14:textId="79AE4897">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ED54CE">
        <w:t>Once cleared at the school district level, selected schools will be invited to participate</w:t>
      </w:r>
      <w:r w:rsidRPr="00ED54CE" w:rsidR="00A315CB">
        <w:t xml:space="preserve">. </w:t>
      </w:r>
      <w:r w:rsidRPr="00ED54CE">
        <w:t xml:space="preserve">Information previously obtained about the school will be verified. The burden and benefits of participation in the survey will be presented. After a school agrees to </w:t>
      </w:r>
      <w:r w:rsidRPr="00ED54CE">
        <w:t xml:space="preserve">participate, a tailor-made plan for collection of data in the school will be developed (e.g., select classes, </w:t>
      </w:r>
      <w:r w:rsidRPr="00ED54CE" w:rsidR="00722FC7">
        <w:t>schedule a date for survey administration, etc.</w:t>
      </w:r>
      <w:r w:rsidRPr="00ED54CE">
        <w:t>). Well in advance of the agreed upon survey administration date, schools will receive the appropriate number of parental consent forms and instructions. Contact with schools will be maintained until all data collection activities have been completed.</w:t>
      </w:r>
    </w:p>
    <w:p w:rsidR="00815D1E" w:rsidRPr="00ED54CE" w:rsidP="00815D1E" w14:paraId="786F8CB4" w14:textId="7777777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5C79C1" w:rsidP="00F265A9" w14:paraId="1C226166" w14:textId="27EDD744">
      <w:r w:rsidRPr="00ED54CE">
        <w:t>Prior experience suggests the process of working with each state’s health and education agencies, school districts and schools will have unique features. Communication with each agency will recognize the organizational constraints and prevailing practices of the agency</w:t>
      </w:r>
      <w:r w:rsidRPr="00ED54CE" w:rsidR="00A315CB">
        <w:t xml:space="preserve">. </w:t>
      </w:r>
      <w:r w:rsidRPr="00ED54CE">
        <w:t>Scripts for use in guiding these discussions may be found in A</w:t>
      </w:r>
      <w:r w:rsidRPr="00ED54CE" w:rsidR="00722FC7">
        <w:t>ttachment</w:t>
      </w:r>
      <w:r w:rsidRPr="00ED54CE">
        <w:t xml:space="preserve"> </w:t>
      </w:r>
      <w:r w:rsidRPr="00ED54CE" w:rsidR="00A009F2">
        <w:t>D</w:t>
      </w:r>
      <w:r w:rsidRPr="00ED54CE" w:rsidR="00A759FC">
        <w:t>2</w:t>
      </w:r>
      <w:r w:rsidRPr="00ED54CE" w:rsidR="00A009F2">
        <w:t xml:space="preserve"> </w:t>
      </w:r>
      <w:r w:rsidRPr="00ED54CE">
        <w:t xml:space="preserve">(state-level), </w:t>
      </w:r>
      <w:r w:rsidRPr="00ED54CE" w:rsidR="00A009F2">
        <w:t>E</w:t>
      </w:r>
      <w:r w:rsidRPr="00ED54CE" w:rsidR="00A759FC">
        <w:t>2</w:t>
      </w:r>
      <w:r w:rsidRPr="00ED54CE" w:rsidR="00A009F2">
        <w:t xml:space="preserve"> </w:t>
      </w:r>
      <w:r w:rsidRPr="00ED54CE">
        <w:t xml:space="preserve">(district-level), and </w:t>
      </w:r>
      <w:r w:rsidRPr="00ED54CE" w:rsidR="00A009F2">
        <w:t>F</w:t>
      </w:r>
      <w:r w:rsidRPr="00ED54CE" w:rsidR="00A759FC">
        <w:t>3</w:t>
      </w:r>
      <w:r w:rsidRPr="00ED54CE" w:rsidR="00A009F2">
        <w:t xml:space="preserve"> </w:t>
      </w:r>
      <w:r w:rsidRPr="00ED54CE">
        <w:t xml:space="preserve">(school-level). </w:t>
      </w:r>
      <w:r w:rsidRPr="00ED54CE" w:rsidR="00701150">
        <w:t>C</w:t>
      </w:r>
      <w:r w:rsidRPr="00ED54CE">
        <w:t xml:space="preserve">opies of letters of invitation </w:t>
      </w:r>
      <w:r w:rsidRPr="00ED54CE" w:rsidR="00701150">
        <w:t xml:space="preserve">can be found in </w:t>
      </w:r>
      <w:r w:rsidRPr="00ED54CE" w:rsidR="00077AD1">
        <w:t>Attachment</w:t>
      </w:r>
      <w:r w:rsidRPr="00ED54CE" w:rsidR="00701150">
        <w:t xml:space="preserve"> </w:t>
      </w:r>
      <w:r w:rsidRPr="00ED54CE" w:rsidR="00A009F2">
        <w:t>D</w:t>
      </w:r>
      <w:r w:rsidRPr="00ED54CE" w:rsidR="00A759FC">
        <w:t>1</w:t>
      </w:r>
      <w:r w:rsidRPr="00ED54CE" w:rsidR="00A009F2">
        <w:t xml:space="preserve"> </w:t>
      </w:r>
      <w:r w:rsidRPr="00ED54CE" w:rsidR="00701150">
        <w:t>(s</w:t>
      </w:r>
      <w:r w:rsidRPr="00ED54CE">
        <w:t>tate</w:t>
      </w:r>
      <w:r w:rsidRPr="00ED54CE" w:rsidR="00701150">
        <w:t xml:space="preserve">-level); </w:t>
      </w:r>
      <w:r w:rsidRPr="00ED54CE" w:rsidR="00077AD1">
        <w:t>Attachment</w:t>
      </w:r>
      <w:r w:rsidRPr="00ED54CE" w:rsidR="00CD4AC8">
        <w:t xml:space="preserve"> </w:t>
      </w:r>
      <w:r w:rsidRPr="00ED54CE" w:rsidR="00A009F2">
        <w:t>E</w:t>
      </w:r>
      <w:r w:rsidRPr="00ED54CE" w:rsidR="00A759FC">
        <w:t>1</w:t>
      </w:r>
      <w:r w:rsidRPr="00ED54CE" w:rsidR="00701150">
        <w:t xml:space="preserve"> (</w:t>
      </w:r>
      <w:r w:rsidRPr="00ED54CE">
        <w:t>district</w:t>
      </w:r>
      <w:r w:rsidRPr="00ED54CE" w:rsidR="00701150">
        <w:t xml:space="preserve">-level); and </w:t>
      </w:r>
      <w:r w:rsidRPr="00ED54CE" w:rsidR="00077AD1">
        <w:t>Attachment</w:t>
      </w:r>
      <w:r w:rsidRPr="00ED54CE" w:rsidR="00701150">
        <w:t xml:space="preserve"> </w:t>
      </w:r>
      <w:r w:rsidRPr="00ED54CE" w:rsidR="00A009F2">
        <w:t>F</w:t>
      </w:r>
      <w:r w:rsidRPr="00ED54CE" w:rsidR="00A759FC">
        <w:t>1</w:t>
      </w:r>
      <w:r w:rsidRPr="00ED54CE" w:rsidR="00A009F2">
        <w:t xml:space="preserve"> </w:t>
      </w:r>
      <w:r w:rsidRPr="00ED54CE" w:rsidR="00701150">
        <w:t xml:space="preserve">(school-level). </w:t>
      </w:r>
      <w:r w:rsidRPr="00ED54CE" w:rsidR="00077AD1">
        <w:t>Attachment</w:t>
      </w:r>
      <w:r w:rsidRPr="00ED54CE" w:rsidR="00701150">
        <w:t xml:space="preserve"> </w:t>
      </w:r>
      <w:r w:rsidRPr="00ED54CE" w:rsidR="00A009F2">
        <w:t>F</w:t>
      </w:r>
      <w:r w:rsidRPr="00ED54CE" w:rsidR="00A759FC">
        <w:t>1</w:t>
      </w:r>
      <w:r w:rsidRPr="00ED54CE" w:rsidR="00A009F2">
        <w:t xml:space="preserve"> </w:t>
      </w:r>
      <w:r w:rsidRPr="00ED54CE" w:rsidR="00701150">
        <w:t xml:space="preserve">also contains </w:t>
      </w:r>
      <w:r w:rsidRPr="00ED54CE" w:rsidR="00416328">
        <w:t>a flyer about the study</w:t>
      </w:r>
      <w:r w:rsidRPr="00ED54CE" w:rsidR="00A315CB">
        <w:t xml:space="preserve">. </w:t>
      </w:r>
      <w:r w:rsidRPr="00ED54CE" w:rsidR="00667C9C">
        <w:t>In addition, in-person recruitment visits may be used to increase school participation as needed</w:t>
      </w:r>
      <w:r w:rsidRPr="00ED54CE" w:rsidR="00016B2D">
        <w:t xml:space="preserve">. </w:t>
      </w:r>
      <w:r w:rsidRPr="00ED54CE" w:rsidR="00667C9C">
        <w:t xml:space="preserve"> </w:t>
      </w:r>
    </w:p>
    <w:p w:rsidR="00CC5370" w:rsidRPr="00ED54CE" w:rsidP="00F265A9" w14:paraId="6A68064B" w14:textId="77777777"/>
    <w:p w:rsidR="00EE43A4" w:rsidRPr="00ED54CE" w:rsidP="00531F22" w14:paraId="6DFF4F7B" w14:textId="77777777">
      <w:pPr>
        <w:pStyle w:val="Heading3"/>
        <w:spacing w:before="0" w:after="0"/>
        <w:rPr>
          <w:rFonts w:ascii="Times New Roman" w:hAnsi="Times New Roman"/>
          <w:u w:val="single"/>
        </w:rPr>
      </w:pPr>
      <w:r w:rsidRPr="00ED54CE">
        <w:rPr>
          <w:rFonts w:ascii="Times New Roman" w:hAnsi="Times New Roman"/>
          <w:u w:val="single"/>
        </w:rPr>
        <w:t>Informed Consent</w:t>
      </w:r>
    </w:p>
    <w:p w:rsidR="00EE43A4" w:rsidRPr="00ED54CE" w:rsidP="00EE43A4" w14:paraId="7699222F" w14:textId="77777777"/>
    <w:p w:rsidR="00EE43A4" w:rsidRPr="00ED54CE" w:rsidP="0036110B" w14:paraId="6BC152B1" w14:textId="1E64FA79">
      <w:r w:rsidRPr="00ED54CE">
        <w:t xml:space="preserve">Parental </w:t>
      </w:r>
      <w:r w:rsidRPr="00ED54CE">
        <w:t>permission form</w:t>
      </w:r>
      <w:r w:rsidRPr="00ED54CE">
        <w:t>s</w:t>
      </w:r>
      <w:r w:rsidRPr="00ED54CE">
        <w:t xml:space="preserve"> inform parent</w:t>
      </w:r>
      <w:r w:rsidRPr="00ED54CE">
        <w:t>s</w:t>
      </w:r>
      <w:r w:rsidRPr="00ED54CE">
        <w:t xml:space="preserve"> about </w:t>
      </w:r>
      <w:r w:rsidRPr="00ED54CE">
        <w:t>the</w:t>
      </w:r>
      <w:r w:rsidRPr="00ED54CE">
        <w:t xml:space="preserve"> important activity in which the student </w:t>
      </w:r>
      <w:r w:rsidRPr="00ED54CE">
        <w:t>has the opportunity to</w:t>
      </w:r>
      <w:r w:rsidRPr="00ED54CE">
        <w:t xml:space="preserve"> participate. By providing adequate information about the activity, it </w:t>
      </w:r>
      <w:r w:rsidRPr="00ED54CE" w:rsidR="009C71C8">
        <w:t xml:space="preserve">helps </w:t>
      </w:r>
      <w:r w:rsidRPr="00ED54CE">
        <w:t xml:space="preserve">ensure that permission </w:t>
      </w:r>
      <w:r w:rsidRPr="00ED54CE" w:rsidR="002F1EF4">
        <w:t xml:space="preserve">to participate </w:t>
      </w:r>
      <w:r w:rsidRPr="00ED54CE">
        <w:t xml:space="preserve">will be informed. </w:t>
      </w:r>
      <w:r w:rsidRPr="00ED54CE" w:rsidR="00AA291C">
        <w:t xml:space="preserve">Copies </w:t>
      </w:r>
      <w:r w:rsidRPr="00ED54CE">
        <w:t xml:space="preserve">of the </w:t>
      </w:r>
      <w:r w:rsidRPr="00ED54CE" w:rsidR="00AA291C">
        <w:t xml:space="preserve">active and passive </w:t>
      </w:r>
      <w:r w:rsidRPr="00ED54CE">
        <w:t>permission form</w:t>
      </w:r>
      <w:r w:rsidRPr="00ED54CE" w:rsidR="00AA291C">
        <w:t>s</w:t>
      </w:r>
      <w:r w:rsidRPr="00ED54CE">
        <w:t xml:space="preserve"> </w:t>
      </w:r>
      <w:r w:rsidRPr="00ED54CE" w:rsidR="00AA291C">
        <w:t xml:space="preserve">are </w:t>
      </w:r>
      <w:r w:rsidRPr="00ED54CE">
        <w:t xml:space="preserve">contained in Appendices </w:t>
      </w:r>
      <w:r w:rsidRPr="00ED54CE" w:rsidR="00A009F2">
        <w:t>H</w:t>
      </w:r>
      <w:r w:rsidRPr="00ED54CE" w:rsidR="00CA1446">
        <w:t>2</w:t>
      </w:r>
      <w:r w:rsidRPr="00ED54CE" w:rsidR="00A009F2">
        <w:t xml:space="preserve"> </w:t>
      </w:r>
      <w:r w:rsidRPr="00ED54CE" w:rsidR="00AA291C">
        <w:t>and H</w:t>
      </w:r>
      <w:r w:rsidRPr="00ED54CE" w:rsidR="00CA1446">
        <w:t>3</w:t>
      </w:r>
      <w:r w:rsidRPr="00ED54CE" w:rsidR="00AA291C">
        <w:t xml:space="preserve"> </w:t>
      </w:r>
      <w:r w:rsidRPr="00ED54CE">
        <w:t>(English version</w:t>
      </w:r>
      <w:r w:rsidRPr="00ED54CE" w:rsidR="00AA291C">
        <w:t>s</w:t>
      </w:r>
      <w:r w:rsidRPr="00ED54CE">
        <w:t xml:space="preserve">) and </w:t>
      </w:r>
      <w:r w:rsidRPr="00ED54CE" w:rsidR="00AA291C">
        <w:t>H</w:t>
      </w:r>
      <w:r w:rsidRPr="00ED54CE" w:rsidR="00CA1446">
        <w:t>4</w:t>
      </w:r>
      <w:r w:rsidRPr="00ED54CE" w:rsidR="00AA291C">
        <w:t xml:space="preserve"> and H</w:t>
      </w:r>
      <w:r w:rsidRPr="00ED54CE" w:rsidR="00CA1446">
        <w:t>5</w:t>
      </w:r>
      <w:r w:rsidRPr="00ED54CE" w:rsidR="00AA291C">
        <w:t xml:space="preserve"> </w:t>
      </w:r>
      <w:r w:rsidRPr="00ED54CE">
        <w:t>(Spanish version</w:t>
      </w:r>
      <w:r w:rsidRPr="00ED54CE" w:rsidR="00AA291C">
        <w:t>s</w:t>
      </w:r>
      <w:r w:rsidRPr="00ED54CE">
        <w:t>)</w:t>
      </w:r>
      <w:r w:rsidRPr="00ED54CE" w:rsidR="00416328">
        <w:t>, accompanied by a study fact sheet</w:t>
      </w:r>
      <w:r w:rsidRPr="00ED54CE">
        <w:t>. In accord</w:t>
      </w:r>
      <w:r w:rsidRPr="00ED54CE" w:rsidR="00815D1E">
        <w:t>ance</w:t>
      </w:r>
      <w:r w:rsidRPr="00ED54CE">
        <w:t xml:space="preserve"> with the No Child Left Behind Act, the permission form</w:t>
      </w:r>
      <w:r w:rsidRPr="00ED54CE" w:rsidR="00360290">
        <w:t>s</w:t>
      </w:r>
      <w:r w:rsidRPr="00ED54CE">
        <w:t xml:space="preserve"> indicate that a copy of the questionnaire will be available for review by parents at their child’s school.</w:t>
      </w:r>
      <w:r w:rsidRPr="00ED54CE" w:rsidR="000A4A6C">
        <w:t xml:space="preserve"> Parental forms are either active (all students who wish to participate must return a signed form) or passive (parents who do not want their child to participate return the form). These forms do not include student name to protect the privacy of the respondents. </w:t>
      </w:r>
    </w:p>
    <w:p w:rsidR="000C0EF3" w:rsidRPr="00ED54CE" w:rsidP="0036110B" w14:paraId="728E469C" w14:textId="77777777"/>
    <w:p w:rsidR="00EE43A4" w:rsidRPr="00ED54CE" w:rsidP="0036110B" w14:paraId="5737C7AE" w14:textId="1F504AC9">
      <w:r w:rsidRPr="00ED54CE">
        <w:t xml:space="preserve">A waiver of written student assent </w:t>
      </w:r>
      <w:r w:rsidRPr="00ED54CE" w:rsidR="002F1EF4">
        <w:t>is</w:t>
      </w:r>
      <w:r w:rsidRPr="00ED54CE">
        <w:t xml:space="preserve"> obtained for the participation of children because this </w:t>
      </w:r>
      <w:r w:rsidRPr="00ED54CE" w:rsidR="007C7D4E">
        <w:t>surveillance</w:t>
      </w:r>
      <w:r w:rsidRPr="00ED54CE">
        <w:t xml:space="preserve"> presents no more than minimal risk to subjects</w:t>
      </w:r>
      <w:r w:rsidRPr="00ED54CE" w:rsidR="002F1EF4">
        <w:t>;</w:t>
      </w:r>
      <w:r w:rsidRPr="00ED54CE">
        <w:t xml:space="preserve"> parental permission is required for participation</w:t>
      </w:r>
      <w:r w:rsidRPr="00ED54CE" w:rsidR="00F253EB">
        <w:t>. T</w:t>
      </w:r>
      <w:r w:rsidRPr="00ED54CE">
        <w:t>he waiver will not adversely affect the rights and welfare of the students because they are free to decline to take part, and it is thought that some students may perceive they are not anonymous if they are required to provide stated assent and sign a consent/assent document</w:t>
      </w:r>
      <w:r w:rsidRPr="00ED54CE" w:rsidR="00A315CB">
        <w:t xml:space="preserve">. </w:t>
      </w:r>
      <w:r w:rsidRPr="00ED54CE">
        <w:t>Students are told “Participating in this survey is voluntary and your grade in this class will not be affected, whether or not you answer the questions.” Completion of the survey implies student assent.</w:t>
      </w:r>
    </w:p>
    <w:p w:rsidR="00765D8F" w:rsidRPr="00ED54CE" w:rsidP="0036110B" w14:paraId="11F4458A" w14:textId="77777777"/>
    <w:p w:rsidR="00765D8F" w:rsidRPr="00ED54CE" w:rsidP="0036110B" w14:paraId="235A7034" w14:textId="42B1E5D3">
      <w:r w:rsidRPr="00ED54CE">
        <w:t xml:space="preserve">The </w:t>
      </w:r>
      <w:r w:rsidRPr="00ED54CE">
        <w:t xml:space="preserve">NYTS is required by law to notify parents of students selected for NYTS surveys that their child has been selected and that student participation is voluntary. Schools may use various processes to obtain parental permission, forms of notification (electronically, such as email, or a hard-copy letter) either provided by the state or developed by the school. However, the notification shall include the following elements: </w:t>
      </w:r>
    </w:p>
    <w:p w:rsidR="006A50CE" w:rsidRPr="00ED54CE" w:rsidP="0036110B" w14:paraId="5F8F2D77" w14:textId="77777777"/>
    <w:p w:rsidR="00765D8F" w:rsidRPr="00ED54CE" w:rsidP="007D7FA0" w14:paraId="12D01F60" w14:textId="51BFA59E">
      <w:pPr>
        <w:pStyle w:val="Bullet-Square"/>
        <w:numPr>
          <w:ilvl w:val="0"/>
          <w:numId w:val="17"/>
        </w:numPr>
        <w:tabs>
          <w:tab w:val="clear" w:pos="360"/>
        </w:tabs>
        <w:spacing w:after="0"/>
        <w:rPr>
          <w:szCs w:val="24"/>
        </w:rPr>
      </w:pPr>
      <w:r w:rsidRPr="00ED54CE">
        <w:rPr>
          <w:szCs w:val="24"/>
        </w:rPr>
        <w:t>this school will be participating in</w:t>
      </w:r>
      <w:r w:rsidRPr="00ED54CE" w:rsidR="003046E3">
        <w:rPr>
          <w:szCs w:val="24"/>
        </w:rPr>
        <w:t xml:space="preserve"> the</w:t>
      </w:r>
      <w:r w:rsidRPr="00ED54CE">
        <w:rPr>
          <w:szCs w:val="24"/>
        </w:rPr>
        <w:t xml:space="preserve"> </w:t>
      </w:r>
      <w:r w:rsidRPr="00ED54CE">
        <w:rPr>
          <w:szCs w:val="24"/>
        </w:rPr>
        <w:t>NYTS</w:t>
      </w:r>
      <w:r w:rsidRPr="00ED54CE">
        <w:rPr>
          <w:szCs w:val="24"/>
        </w:rPr>
        <w:t xml:space="preserve"> and your child’s classroom may be/is selected to participate;</w:t>
      </w:r>
    </w:p>
    <w:p w:rsidR="00765D8F" w:rsidRPr="00ED54CE" w:rsidP="007D7FA0" w14:paraId="555063FD" w14:textId="068C80A6">
      <w:pPr>
        <w:pStyle w:val="Bullet-Square"/>
        <w:numPr>
          <w:ilvl w:val="0"/>
          <w:numId w:val="17"/>
        </w:numPr>
        <w:tabs>
          <w:tab w:val="clear" w:pos="360"/>
        </w:tabs>
        <w:spacing w:after="0"/>
        <w:rPr>
          <w:szCs w:val="24"/>
        </w:rPr>
      </w:pPr>
      <w:r w:rsidRPr="00ED54CE">
        <w:rPr>
          <w:szCs w:val="24"/>
        </w:rPr>
        <w:t xml:space="preserve">a brief description of the nature and importance of </w:t>
      </w:r>
      <w:r w:rsidRPr="00ED54CE" w:rsidR="003046E3">
        <w:rPr>
          <w:szCs w:val="24"/>
        </w:rPr>
        <w:t xml:space="preserve">the </w:t>
      </w:r>
      <w:r w:rsidRPr="00ED54CE">
        <w:rPr>
          <w:szCs w:val="24"/>
        </w:rPr>
        <w:t>NYTS;</w:t>
      </w:r>
    </w:p>
    <w:p w:rsidR="00765D8F" w:rsidRPr="00ED54CE" w:rsidP="007D7FA0" w14:paraId="0818D102" w14:textId="77777777">
      <w:pPr>
        <w:pStyle w:val="Bullet-Square"/>
        <w:numPr>
          <w:ilvl w:val="0"/>
          <w:numId w:val="17"/>
        </w:numPr>
        <w:tabs>
          <w:tab w:val="clear" w:pos="360"/>
        </w:tabs>
        <w:spacing w:after="0"/>
        <w:rPr>
          <w:szCs w:val="24"/>
        </w:rPr>
      </w:pPr>
      <w:r w:rsidRPr="00ED54CE">
        <w:rPr>
          <w:szCs w:val="24"/>
        </w:rPr>
        <w:t xml:space="preserve">all responses are </w:t>
      </w:r>
      <w:r w:rsidRPr="00ED54CE" w:rsidR="00853568">
        <w:rPr>
          <w:szCs w:val="24"/>
        </w:rPr>
        <w:t>confidential,</w:t>
      </w:r>
      <w:r w:rsidRPr="00ED54CE">
        <w:rPr>
          <w:szCs w:val="24"/>
        </w:rPr>
        <w:t xml:space="preserve"> and results will not be reported to or about individual students or schools; and</w:t>
      </w:r>
    </w:p>
    <w:p w:rsidR="00765D8F" w:rsidRPr="00ED54CE" w:rsidP="007D7FA0" w14:paraId="3B16E303" w14:textId="77777777">
      <w:pPr>
        <w:pStyle w:val="Bullet-Square"/>
        <w:numPr>
          <w:ilvl w:val="0"/>
          <w:numId w:val="17"/>
        </w:numPr>
        <w:tabs>
          <w:tab w:val="clear" w:pos="360"/>
        </w:tabs>
        <w:spacing w:after="0"/>
        <w:rPr>
          <w:szCs w:val="24"/>
        </w:rPr>
      </w:pPr>
      <w:r w:rsidRPr="00ED54CE">
        <w:rPr>
          <w:szCs w:val="24"/>
        </w:rPr>
        <w:t xml:space="preserve">your child may be excused from participation for any reason, is not required to finish the survey, and is not required to answer any test questions. </w:t>
      </w:r>
    </w:p>
    <w:p w:rsidR="00765D8F" w:rsidRPr="00ED54CE" w:rsidP="000C0EF3" w14:paraId="780FC726" w14:textId="77777777">
      <w:pPr>
        <w:ind w:firstLine="720"/>
      </w:pPr>
    </w:p>
    <w:p w:rsidR="005C79C1" w:rsidRPr="00ED54CE" w:rsidP="009036C2" w14:paraId="1057ED93" w14:textId="2C10F007">
      <w:r w:rsidRPr="00ED54CE">
        <w:t xml:space="preserve">Parental permission forms will be sent home with students </w:t>
      </w:r>
      <w:r w:rsidRPr="00ED54CE" w:rsidR="000A4A6C">
        <w:t>or e-mailed</w:t>
      </w:r>
      <w:r w:rsidRPr="00ED54CE">
        <w:t>. Teachers will still be required to track permission forms as they come back</w:t>
      </w:r>
      <w:r w:rsidRPr="00ED54CE" w:rsidR="00D74DFD">
        <w:t xml:space="preserve">. Only students who receive parental permission will be allowed to participate. As with previous administrations, no names will be collected as part of this procedures. </w:t>
      </w:r>
    </w:p>
    <w:p w:rsidR="009036C2" w:rsidRPr="00ED54CE" w:rsidP="00DB4EED" w14:paraId="0FEE1ED9" w14:textId="77777777"/>
    <w:p w:rsidR="00EE43A4" w:rsidRPr="00ED54CE" w:rsidP="0036110B" w14:paraId="1841E21E" w14:textId="77777777">
      <w:pPr>
        <w:pStyle w:val="Heading3"/>
        <w:spacing w:before="0"/>
        <w:rPr>
          <w:rFonts w:ascii="Times New Roman" w:hAnsi="Times New Roman"/>
          <w:u w:val="single"/>
        </w:rPr>
      </w:pPr>
      <w:r w:rsidRPr="00ED54CE">
        <w:rPr>
          <w:rFonts w:ascii="Times New Roman" w:hAnsi="Times New Roman"/>
          <w:u w:val="single"/>
        </w:rPr>
        <w:t>Quality Control</w:t>
      </w:r>
    </w:p>
    <w:p w:rsidR="00EE43A4" w:rsidRPr="00ED54CE" w:rsidP="00EE43A4" w14:paraId="328C57D7" w14:textId="77777777"/>
    <w:p w:rsidR="00D74DFD" w:rsidRPr="00ED54CE" w:rsidP="0036110B" w14:paraId="75DAF7D8" w14:textId="1FDC35AC">
      <w:pPr>
        <w:spacing w:line="228" w:lineRule="auto"/>
      </w:pPr>
      <w:r w:rsidRPr="00ED54CE">
        <w:t>Table B.</w:t>
      </w:r>
      <w:r w:rsidRPr="00ED54CE" w:rsidR="00811E49">
        <w:t>1</w:t>
      </w:r>
      <w:r w:rsidRPr="00ED54CE">
        <w:t xml:space="preserve"> lists the major means of quality control. As shown, the task of collecting quality data begins with a clear and explicit study protocol, is supplemented with accurate programming of the NYTS questionnaire, and concludes with the regular submission of data records to a secure repository</w:t>
      </w:r>
      <w:r w:rsidRPr="00ED54CE" w:rsidR="00A315CB">
        <w:t xml:space="preserve">. </w:t>
      </w:r>
      <w:r w:rsidRPr="00ED54CE">
        <w:t xml:space="preserve">In between these activities, and </w:t>
      </w:r>
      <w:r w:rsidRPr="00ED54CE">
        <w:t>subsequent to</w:t>
      </w:r>
      <w:r w:rsidRPr="00ED54CE">
        <w:t xml:space="preserve"> </w:t>
      </w:r>
      <w:r w:rsidRPr="00ED54CE" w:rsidR="00432903">
        <w:t>NYTS Study Liaison</w:t>
      </w:r>
      <w:r w:rsidRPr="00ED54CE">
        <w:t xml:space="preserve"> training, measures must be taken to reinforce training, to assist </w:t>
      </w:r>
      <w:r w:rsidRPr="00ED54CE" w:rsidR="00CA1446">
        <w:t>Study Liaisons</w:t>
      </w:r>
      <w:r w:rsidRPr="00ED54CE" w:rsidR="00DB4EED">
        <w:t xml:space="preserve"> </w:t>
      </w:r>
      <w:r w:rsidRPr="00ED54CE">
        <w:t xml:space="preserve">who express/exhibit difficulties completing data collection activities, and to check on data collection techniques. Also, </w:t>
      </w:r>
      <w:r w:rsidRPr="00ED54CE">
        <w:t>early</w:t>
      </w:r>
      <w:r w:rsidRPr="00ED54CE">
        <w:t xml:space="preserve"> </w:t>
      </w:r>
      <w:r w:rsidRPr="00ED54CE" w:rsidR="00432903">
        <w:t xml:space="preserve">and regular </w:t>
      </w:r>
      <w:r w:rsidRPr="00ED54CE">
        <w:t xml:space="preserve">inspection of a preliminary data set </w:t>
      </w:r>
      <w:r w:rsidRPr="00ED54CE" w:rsidR="0017260A">
        <w:t xml:space="preserve">is </w:t>
      </w:r>
      <w:r w:rsidRPr="00ED54CE">
        <w:t>necessary to ensure data integrity</w:t>
      </w:r>
      <w:r w:rsidRPr="00ED54CE" w:rsidR="00A315CB">
        <w:t xml:space="preserve">. </w:t>
      </w:r>
      <w:r w:rsidRPr="00ED54CE">
        <w:t xml:space="preserve">Because the </w:t>
      </w:r>
      <w:r w:rsidRPr="00ED54CE">
        <w:t>ultimate aim</w:t>
      </w:r>
      <w:r w:rsidRPr="00ED54CE">
        <w:t xml:space="preserve"> is production of a </w:t>
      </w:r>
      <w:r w:rsidRPr="00ED54CE" w:rsidR="0017260A">
        <w:t>high-</w:t>
      </w:r>
      <w:r w:rsidRPr="00ED54CE">
        <w:t>quality data set and reports, various quality assurance activities will be applied dur</w:t>
      </w:r>
      <w:r w:rsidRPr="00ED54CE" w:rsidR="00A315CB">
        <w:t>ing the data collection phase.</w:t>
      </w:r>
    </w:p>
    <w:p w:rsidR="00282312" w:rsidRPr="00ED54CE" w:rsidP="00282312" w14:paraId="5E14AD85" w14:textId="77777777"/>
    <w:p w:rsidR="00282312" w:rsidRPr="00ED54CE" w:rsidP="00120D48" w14:paraId="5A51A87F" w14:textId="4EEA6E55">
      <w:pPr>
        <w:pStyle w:val="BodyText"/>
        <w:ind w:firstLine="0"/>
        <w:rPr>
          <w:b/>
          <w:bCs/>
        </w:rPr>
      </w:pPr>
      <w:r w:rsidRPr="00ED54CE">
        <w:rPr>
          <w:b/>
          <w:bCs/>
        </w:rPr>
        <w:t>Table B.</w:t>
      </w:r>
      <w:r w:rsidRPr="00ED54CE" w:rsidR="00811E49">
        <w:rPr>
          <w:b/>
          <w:bCs/>
          <w:lang w:val="en-US"/>
        </w:rPr>
        <w:t>1</w:t>
      </w:r>
      <w:r w:rsidRPr="00ED54CE" w:rsidR="00900140">
        <w:rPr>
          <w:b/>
          <w:bCs/>
          <w:lang w:val="en-US"/>
        </w:rPr>
        <w:t xml:space="preserve">: </w:t>
      </w:r>
      <w:r w:rsidRPr="00ED54CE">
        <w:rPr>
          <w:b/>
          <w:bCs/>
        </w:rPr>
        <w:t>Major Means of Quality Control</w:t>
      </w:r>
    </w:p>
    <w:tbl>
      <w:tblPr>
        <w:tblW w:w="9194" w:type="dxa"/>
        <w:tblInd w:w="120" w:type="dxa"/>
        <w:tblCellMar>
          <w:left w:w="0" w:type="dxa"/>
          <w:right w:w="0" w:type="dxa"/>
        </w:tblCellMar>
        <w:tblLook w:val="04A0"/>
      </w:tblPr>
      <w:tblGrid>
        <w:gridCol w:w="2051"/>
        <w:gridCol w:w="7143"/>
      </w:tblGrid>
      <w:tr w14:paraId="56DB5540" w14:textId="77777777" w:rsidTr="00F617BC">
        <w:tblPrEx>
          <w:tblW w:w="9194" w:type="dxa"/>
          <w:tblInd w:w="120" w:type="dxa"/>
          <w:tblCellMar>
            <w:left w:w="0" w:type="dxa"/>
            <w:right w:w="0" w:type="dxa"/>
          </w:tblCellMar>
          <w:tblLook w:val="04A0"/>
        </w:tblPrEx>
        <w:trPr>
          <w:cantSplit/>
          <w:tblHeader/>
        </w:trPr>
        <w:tc>
          <w:tcPr>
            <w:tcW w:w="2051" w:type="dxa"/>
            <w:tcBorders>
              <w:top w:val="double" w:sz="6" w:space="0" w:color="000000"/>
              <w:left w:val="double" w:sz="6" w:space="0" w:color="000000"/>
              <w:bottom w:val="double" w:sz="6" w:space="0" w:color="000000"/>
              <w:right w:val="single" w:sz="8" w:space="0" w:color="000000"/>
            </w:tcBorders>
            <w:tcMar>
              <w:top w:w="0" w:type="dxa"/>
              <w:left w:w="120" w:type="dxa"/>
              <w:bottom w:w="0" w:type="dxa"/>
              <w:right w:w="120" w:type="dxa"/>
            </w:tcMar>
            <w:hideMark/>
          </w:tcPr>
          <w:p w:rsidR="00282312" w:rsidRPr="00ED54CE" w:rsidP="007D2906" w14:paraId="09BA0088" w14:textId="77777777">
            <w:pPr>
              <w:spacing w:before="120"/>
              <w:rPr>
                <w:color w:val="000000"/>
              </w:rPr>
            </w:pPr>
            <w:r w:rsidRPr="00ED54CE">
              <w:rPr>
                <w:b/>
                <w:bCs/>
                <w:color w:val="000000"/>
              </w:rPr>
              <w:t>Survey Step</w:t>
            </w:r>
          </w:p>
        </w:tc>
        <w:tc>
          <w:tcPr>
            <w:tcW w:w="7143" w:type="dxa"/>
            <w:tcBorders>
              <w:top w:val="double" w:sz="6" w:space="0" w:color="000000"/>
              <w:left w:val="nil"/>
              <w:bottom w:val="double" w:sz="6" w:space="0" w:color="000000"/>
              <w:right w:val="double" w:sz="6" w:space="0" w:color="000000"/>
            </w:tcBorders>
            <w:tcMar>
              <w:top w:w="0" w:type="dxa"/>
              <w:left w:w="120" w:type="dxa"/>
              <w:bottom w:w="0" w:type="dxa"/>
              <w:right w:w="120" w:type="dxa"/>
            </w:tcMar>
            <w:hideMark/>
          </w:tcPr>
          <w:p w:rsidR="00282312" w:rsidRPr="00ED54CE" w:rsidP="007D2906" w14:paraId="3FB32691" w14:textId="77777777">
            <w:pPr>
              <w:spacing w:before="120"/>
              <w:rPr>
                <w:color w:val="000000"/>
              </w:rPr>
            </w:pPr>
            <w:r w:rsidRPr="00ED54CE">
              <w:rPr>
                <w:b/>
                <w:bCs/>
                <w:color w:val="000000"/>
              </w:rPr>
              <w:t>Quality Control Procedures</w:t>
            </w:r>
          </w:p>
        </w:tc>
      </w:tr>
      <w:tr w14:paraId="4DD2D6C4" w14:textId="77777777" w:rsidTr="007D2906">
        <w:tblPrEx>
          <w:tblW w:w="9194" w:type="dxa"/>
          <w:tblInd w:w="120" w:type="dxa"/>
          <w:tblCellMar>
            <w:left w:w="0" w:type="dxa"/>
            <w:right w:w="0" w:type="dxa"/>
          </w:tblCellMar>
          <w:tblLook w:val="04A0"/>
        </w:tblPrEx>
        <w:trPr>
          <w:cantSplit/>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37626A84" w14:textId="77777777">
            <w:pPr>
              <w:spacing w:before="120"/>
              <w:rPr>
                <w:color w:val="000000"/>
              </w:rPr>
            </w:pPr>
            <w:r w:rsidRPr="00ED54CE">
              <w:rPr>
                <w:color w:val="000000"/>
              </w:rPr>
              <w:t>Mailing to Districts and School</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559D23DE" w14:textId="39858DB9">
            <w:pPr>
              <w:widowControl/>
              <w:numPr>
                <w:ilvl w:val="0"/>
                <w:numId w:val="9"/>
              </w:numPr>
              <w:adjustRightInd/>
              <w:rPr>
                <w:color w:val="000000"/>
              </w:rPr>
            </w:pPr>
            <w:r w:rsidRPr="00ED54CE">
              <w:rPr>
                <w:color w:val="000000"/>
              </w:rPr>
              <w:t>Validate district and school sample to verify/update contact information of district/diocese/school leadership (100%)</w:t>
            </w:r>
          </w:p>
          <w:p w:rsidR="00432903" w:rsidRPr="00ED54CE" w:rsidP="00282312" w14:paraId="539AC35A" w14:textId="1677D407">
            <w:pPr>
              <w:widowControl/>
              <w:numPr>
                <w:ilvl w:val="0"/>
                <w:numId w:val="9"/>
              </w:numPr>
              <w:adjustRightInd/>
              <w:rPr>
                <w:color w:val="000000"/>
              </w:rPr>
            </w:pPr>
            <w:r w:rsidRPr="00ED54CE">
              <w:rPr>
                <w:color w:val="000000"/>
              </w:rPr>
              <w:t xml:space="preserve">Verify school selection of hard-copy vs electronic receipt of </w:t>
            </w:r>
            <w:r w:rsidRPr="00ED54CE">
              <w:rPr>
                <w:color w:val="000000"/>
              </w:rPr>
              <w:t>materials</w:t>
            </w:r>
          </w:p>
          <w:p w:rsidR="00432903" w:rsidRPr="00ED54CE" w:rsidP="00432903" w14:paraId="29CEBC99" w14:textId="60FFC2DA">
            <w:pPr>
              <w:widowControl/>
              <w:numPr>
                <w:ilvl w:val="0"/>
                <w:numId w:val="9"/>
              </w:numPr>
              <w:adjustRightInd/>
              <w:rPr>
                <w:color w:val="000000"/>
              </w:rPr>
            </w:pPr>
            <w:r w:rsidRPr="00ED54CE">
              <w:rPr>
                <w:color w:val="000000"/>
              </w:rPr>
              <w:t>For hard copy materials, c</w:t>
            </w:r>
            <w:r w:rsidRPr="00ED54CE" w:rsidR="00282312">
              <w:rPr>
                <w:color w:val="000000"/>
              </w:rPr>
              <w:t>heck inner vs. outer label for agreement in correspondence (5% sample)</w:t>
            </w:r>
          </w:p>
          <w:p w:rsidR="00282312" w:rsidRPr="00ED54CE" w:rsidP="00282312" w14:paraId="2B5DF027" w14:textId="77777777">
            <w:pPr>
              <w:widowControl/>
              <w:numPr>
                <w:ilvl w:val="0"/>
                <w:numId w:val="9"/>
              </w:numPr>
              <w:adjustRightInd/>
              <w:rPr>
                <w:color w:val="000000"/>
              </w:rPr>
            </w:pPr>
            <w:r w:rsidRPr="00ED54CE">
              <w:rPr>
                <w:color w:val="000000"/>
              </w:rPr>
              <w:t>Verify that any errors in packaging were not systematic (100%)</w:t>
            </w:r>
          </w:p>
        </w:tc>
      </w:tr>
      <w:tr w14:paraId="116F6EFC" w14:textId="77777777" w:rsidTr="007D2906">
        <w:tblPrEx>
          <w:tblW w:w="9194" w:type="dxa"/>
          <w:tblInd w:w="120" w:type="dxa"/>
          <w:tblCellMar>
            <w:left w:w="0" w:type="dxa"/>
            <w:right w:w="0" w:type="dxa"/>
          </w:tblCellMar>
          <w:tblLook w:val="04A0"/>
        </w:tblPrEx>
        <w:tc>
          <w:tcPr>
            <w:tcW w:w="205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282312" w:rsidRPr="00ED54CE" w:rsidP="007D2906" w14:paraId="2C860BCC" w14:textId="58407D08">
            <w:r w:rsidRPr="00ED54CE">
              <w:t>Follow-up</w:t>
            </w:r>
            <w:r w:rsidRPr="00ED54CE" w:rsidR="009D3184">
              <w:t xml:space="preserve"> with School</w:t>
            </w:r>
            <w:r w:rsidRPr="00ED54CE">
              <w:t xml:space="preserve"> Contacts</w:t>
            </w:r>
          </w:p>
        </w:tc>
        <w:tc>
          <w:tcPr>
            <w:tcW w:w="7143" w:type="dxa"/>
            <w:tcBorders>
              <w:top w:val="nil"/>
              <w:left w:val="nil"/>
              <w:bottom w:val="single" w:sz="8" w:space="0" w:color="auto"/>
              <w:right w:val="double" w:sz="4" w:space="0" w:color="auto"/>
            </w:tcBorders>
            <w:tcMar>
              <w:top w:w="0" w:type="dxa"/>
              <w:left w:w="108" w:type="dxa"/>
              <w:bottom w:w="0" w:type="dxa"/>
              <w:right w:w="108" w:type="dxa"/>
            </w:tcMar>
            <w:hideMark/>
          </w:tcPr>
          <w:p w:rsidR="00282312" w:rsidRPr="00ED54CE" w:rsidP="00282312" w14:paraId="2D7F6ED9" w14:textId="6304E9B5">
            <w:pPr>
              <w:widowControl/>
              <w:numPr>
                <w:ilvl w:val="0"/>
                <w:numId w:val="9"/>
              </w:numPr>
              <w:adjustRightInd/>
              <w:rPr>
                <w:color w:val="000000"/>
              </w:rPr>
            </w:pPr>
            <w:r w:rsidRPr="00ED54CE">
              <w:rPr>
                <w:color w:val="000000"/>
              </w:rPr>
              <w:t xml:space="preserve">Monitor early sample of </w:t>
            </w:r>
            <w:r w:rsidRPr="00ED54CE" w:rsidR="009D3184">
              <w:rPr>
                <w:color w:val="000000"/>
              </w:rPr>
              <w:t xml:space="preserve">recruitment inquiries </w:t>
            </w:r>
            <w:r w:rsidRPr="00ED54CE">
              <w:rPr>
                <w:color w:val="000000"/>
              </w:rPr>
              <w:t>to ensure that the recruiter follows procedures, elicits proper information, and has proper demeanor (10%)</w:t>
            </w:r>
          </w:p>
          <w:p w:rsidR="00282312" w:rsidRPr="00ED54CE" w:rsidP="00282312" w14:paraId="0CCC373A" w14:textId="77777777">
            <w:pPr>
              <w:widowControl/>
              <w:numPr>
                <w:ilvl w:val="0"/>
                <w:numId w:val="9"/>
              </w:numPr>
              <w:adjustRightInd/>
              <w:rPr>
                <w:color w:val="000000"/>
              </w:rPr>
            </w:pPr>
            <w:r w:rsidRPr="00ED54CE">
              <w:rPr>
                <w:color w:val="000000"/>
              </w:rPr>
              <w:t>Perform spot checks on recruiters’ class selection outcomes to confirm procedures were implemented according to protocol (10%)</w:t>
            </w:r>
          </w:p>
        </w:tc>
      </w:tr>
      <w:tr w14:paraId="58A2D1E1" w14:textId="77777777" w:rsidTr="007D2906">
        <w:tblPrEx>
          <w:tblW w:w="9194" w:type="dxa"/>
          <w:tblInd w:w="120" w:type="dxa"/>
          <w:tblCellMar>
            <w:left w:w="0" w:type="dxa"/>
            <w:right w:w="0" w:type="dxa"/>
          </w:tblCellMar>
          <w:tblLook w:val="04A0"/>
        </w:tblPrEx>
        <w:trPr>
          <w:cantSplit/>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7B0174E3" w14:textId="30D968A4">
            <w:pPr>
              <w:spacing w:before="120"/>
              <w:rPr>
                <w:color w:val="000000"/>
              </w:rPr>
            </w:pPr>
            <w:r w:rsidRPr="00ED54CE">
              <w:rPr>
                <w:color w:val="000000"/>
              </w:rPr>
              <w:t>Pre-</w:t>
            </w:r>
            <w:r w:rsidRPr="00ED54CE" w:rsidR="00531F22">
              <w:rPr>
                <w:color w:val="000000"/>
              </w:rPr>
              <w:t xml:space="preserve">Fielding </w:t>
            </w:r>
            <w:r w:rsidRPr="00ED54CE">
              <w:rPr>
                <w:color w:val="000000"/>
              </w:rPr>
              <w:t>Logistics</w:t>
            </w:r>
          </w:p>
          <w:p w:rsidR="00282312" w:rsidRPr="00ED54CE" w:rsidP="007D2906" w14:paraId="01EE2347" w14:textId="77777777">
            <w:pPr>
              <w:rPr>
                <w:color w:val="000000"/>
              </w:rPr>
            </w:pPr>
            <w:r w:rsidRPr="00ED54CE">
              <w:rPr>
                <w:color w:val="000000"/>
              </w:rPr>
              <w:t>Verification</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27CC032E" w14:textId="2CC8D941">
            <w:pPr>
              <w:widowControl/>
              <w:numPr>
                <w:ilvl w:val="0"/>
                <w:numId w:val="9"/>
              </w:numPr>
              <w:adjustRightInd/>
              <w:rPr>
                <w:color w:val="000000"/>
              </w:rPr>
            </w:pPr>
            <w:r w:rsidRPr="00ED54CE">
              <w:rPr>
                <w:color w:val="000000"/>
              </w:rPr>
              <w:t xml:space="preserve">Review data collection procedures with school personnel in each school to ensure that all preparatory activities are performed properly in advance of </w:t>
            </w:r>
            <w:r w:rsidRPr="00ED54CE" w:rsidR="009D3184">
              <w:rPr>
                <w:color w:val="000000"/>
              </w:rPr>
              <w:t>survey fielding</w:t>
            </w:r>
            <w:r w:rsidRPr="00ED54CE" w:rsidR="00581AC1">
              <w:rPr>
                <w:color w:val="000000"/>
              </w:rPr>
              <w:t xml:space="preserve"> </w:t>
            </w:r>
            <w:r w:rsidRPr="00ED54CE">
              <w:rPr>
                <w:color w:val="000000"/>
              </w:rPr>
              <w:t>(e.g., distribution of permission forms) (100%)</w:t>
            </w:r>
          </w:p>
        </w:tc>
      </w:tr>
      <w:tr w14:paraId="367337ED" w14:textId="77777777" w:rsidTr="007D2906">
        <w:tblPrEx>
          <w:tblW w:w="9194" w:type="dxa"/>
          <w:tblInd w:w="120" w:type="dxa"/>
          <w:tblCellMar>
            <w:left w:w="0" w:type="dxa"/>
            <w:right w:w="0" w:type="dxa"/>
          </w:tblCellMar>
          <w:tblLook w:val="04A0"/>
        </w:tblPrEx>
        <w:tc>
          <w:tcPr>
            <w:tcW w:w="2051"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282312" w:rsidRPr="00ED54CE" w:rsidP="007D2906" w14:paraId="795A913B" w14:textId="5D272068">
            <w:r w:rsidRPr="00ED54CE">
              <w:t>Staff</w:t>
            </w:r>
            <w:r w:rsidRPr="00ED54CE" w:rsidR="00581AC1">
              <w:t xml:space="preserve"> </w:t>
            </w:r>
            <w:r w:rsidRPr="00ED54CE">
              <w:t>Training</w:t>
            </w:r>
            <w:r w:rsidRPr="00ED54CE">
              <w:t xml:space="preserve"> and Supervision of </w:t>
            </w:r>
            <w:r w:rsidRPr="00ED54CE" w:rsidR="00D74DFD">
              <w:t>Survey Fielding</w:t>
            </w:r>
          </w:p>
        </w:tc>
        <w:tc>
          <w:tcPr>
            <w:tcW w:w="7143" w:type="dxa"/>
            <w:tcBorders>
              <w:top w:val="nil"/>
              <w:left w:val="nil"/>
              <w:bottom w:val="single" w:sz="8" w:space="0" w:color="auto"/>
              <w:right w:val="double" w:sz="4" w:space="0" w:color="auto"/>
            </w:tcBorders>
            <w:tcMar>
              <w:top w:w="0" w:type="dxa"/>
              <w:left w:w="108" w:type="dxa"/>
              <w:bottom w:w="0" w:type="dxa"/>
              <w:right w:w="108" w:type="dxa"/>
            </w:tcMar>
            <w:hideMark/>
          </w:tcPr>
          <w:p w:rsidR="00282312" w:rsidRPr="00ED54CE" w:rsidP="00282312" w14:paraId="2282853D" w14:textId="6E82AF83">
            <w:pPr>
              <w:widowControl/>
              <w:numPr>
                <w:ilvl w:val="0"/>
                <w:numId w:val="9"/>
              </w:numPr>
              <w:adjustRightInd/>
              <w:rPr>
                <w:color w:val="000000"/>
              </w:rPr>
            </w:pPr>
            <w:r w:rsidRPr="00ED54CE">
              <w:rPr>
                <w:color w:val="000000"/>
              </w:rPr>
              <w:t xml:space="preserve">Issue quizzes during </w:t>
            </w:r>
            <w:r w:rsidRPr="00ED54CE" w:rsidR="00E471DC">
              <w:rPr>
                <w:color w:val="000000"/>
              </w:rPr>
              <w:t xml:space="preserve">Study Liaison </w:t>
            </w:r>
            <w:r w:rsidRPr="00ED54CE">
              <w:rPr>
                <w:color w:val="000000"/>
              </w:rPr>
              <w:t>training to ensure that key concepts are understood (daily during training)</w:t>
            </w:r>
          </w:p>
          <w:p w:rsidR="00282312" w:rsidRPr="00ED54CE" w:rsidP="00282312" w14:paraId="043E31EE" w14:textId="7BAF167C">
            <w:pPr>
              <w:widowControl/>
              <w:numPr>
                <w:ilvl w:val="0"/>
                <w:numId w:val="9"/>
              </w:numPr>
              <w:adjustRightInd/>
              <w:rPr>
                <w:color w:val="000000"/>
              </w:rPr>
            </w:pPr>
            <w:r w:rsidRPr="00ED54CE">
              <w:rPr>
                <w:color w:val="000000"/>
              </w:rPr>
              <w:t xml:space="preserve">Maintain at least one weekly </w:t>
            </w:r>
            <w:r w:rsidRPr="00ED54CE" w:rsidR="00E471DC">
              <w:rPr>
                <w:color w:val="000000"/>
              </w:rPr>
              <w:t>video conference or telephone</w:t>
            </w:r>
            <w:r w:rsidRPr="00ED54CE">
              <w:rPr>
                <w:color w:val="000000"/>
              </w:rPr>
              <w:t xml:space="preserve"> monitoring of all </w:t>
            </w:r>
            <w:r w:rsidRPr="00ED54CE" w:rsidR="00E471DC">
              <w:rPr>
                <w:color w:val="000000"/>
              </w:rPr>
              <w:t>Study Liaisons</w:t>
            </w:r>
            <w:r w:rsidRPr="00ED54CE">
              <w:rPr>
                <w:color w:val="000000"/>
              </w:rPr>
              <w:t xml:space="preserve"> throughout </w:t>
            </w:r>
            <w:r w:rsidRPr="00ED54CE" w:rsidR="00E471DC">
              <w:rPr>
                <w:color w:val="000000"/>
              </w:rPr>
              <w:t xml:space="preserve">the recruitment and </w:t>
            </w:r>
            <w:r w:rsidRPr="00ED54CE">
              <w:rPr>
                <w:color w:val="000000"/>
              </w:rPr>
              <w:t xml:space="preserve">data collection </w:t>
            </w:r>
            <w:r w:rsidRPr="00ED54CE" w:rsidR="00E471DC">
              <w:rPr>
                <w:color w:val="000000"/>
              </w:rPr>
              <w:t xml:space="preserve">period </w:t>
            </w:r>
            <w:r w:rsidRPr="00ED54CE">
              <w:rPr>
                <w:color w:val="000000"/>
              </w:rPr>
              <w:t>(100%)</w:t>
            </w:r>
          </w:p>
          <w:p w:rsidR="00282312" w:rsidRPr="00ED54CE" w:rsidP="00282312" w14:paraId="610E36D9" w14:textId="5F73E906">
            <w:pPr>
              <w:widowControl/>
              <w:numPr>
                <w:ilvl w:val="0"/>
                <w:numId w:val="9"/>
              </w:numPr>
              <w:adjustRightInd/>
              <w:rPr>
                <w:color w:val="000000"/>
              </w:rPr>
            </w:pPr>
            <w:r w:rsidRPr="00ED54CE">
              <w:rPr>
                <w:color w:val="000000"/>
              </w:rPr>
              <w:t>Reinforce training and clarify procedures through periodic conference calls (100%)</w:t>
            </w:r>
          </w:p>
          <w:p w:rsidR="00282312" w:rsidRPr="00ED54CE" w:rsidP="00282312" w14:paraId="795B164B" w14:textId="2A1B5824">
            <w:pPr>
              <w:widowControl/>
              <w:numPr>
                <w:ilvl w:val="0"/>
                <w:numId w:val="9"/>
              </w:numPr>
              <w:adjustRightInd/>
              <w:rPr>
                <w:color w:val="000000"/>
              </w:rPr>
            </w:pPr>
            <w:r w:rsidRPr="00ED54CE">
              <w:rPr>
                <w:color w:val="000000"/>
              </w:rPr>
              <w:t>Verify by telephone</w:t>
            </w:r>
            <w:r w:rsidRPr="00ED54CE" w:rsidR="009D3184">
              <w:rPr>
                <w:color w:val="000000"/>
              </w:rPr>
              <w:t xml:space="preserve"> or email</w:t>
            </w:r>
            <w:r w:rsidRPr="00ED54CE">
              <w:rPr>
                <w:color w:val="000000"/>
              </w:rPr>
              <w:t xml:space="preserve"> with a 10% sample of early schools that all data collection procedures are being followed</w:t>
            </w:r>
          </w:p>
        </w:tc>
      </w:tr>
      <w:tr w14:paraId="11E99FA0" w14:textId="77777777" w:rsidTr="007D2906">
        <w:tblPrEx>
          <w:tblW w:w="9194" w:type="dxa"/>
          <w:tblInd w:w="120" w:type="dxa"/>
          <w:tblCellMar>
            <w:left w:w="0" w:type="dxa"/>
            <w:right w:w="0" w:type="dxa"/>
          </w:tblCellMar>
          <w:tblLook w:val="04A0"/>
        </w:tblPrEx>
        <w:tc>
          <w:tcPr>
            <w:tcW w:w="2051" w:type="dxa"/>
            <w:tcBorders>
              <w:top w:val="nil"/>
              <w:left w:val="double" w:sz="4" w:space="0" w:color="auto"/>
              <w:bottom w:val="single" w:sz="8" w:space="0" w:color="auto"/>
              <w:right w:val="single" w:sz="8" w:space="0" w:color="auto"/>
            </w:tcBorders>
            <w:tcMar>
              <w:top w:w="0" w:type="dxa"/>
              <w:left w:w="108" w:type="dxa"/>
              <w:bottom w:w="0" w:type="dxa"/>
              <w:right w:w="108" w:type="dxa"/>
            </w:tcMar>
          </w:tcPr>
          <w:p w:rsidR="00282312" w:rsidRPr="00ED54CE" w:rsidP="007D2906" w14:paraId="7D356286" w14:textId="77777777">
            <w:r w:rsidRPr="00ED54CE">
              <w:t>Questionnaire Programming and Testing</w:t>
            </w:r>
          </w:p>
        </w:tc>
        <w:tc>
          <w:tcPr>
            <w:tcW w:w="7143" w:type="dxa"/>
            <w:tcBorders>
              <w:top w:val="nil"/>
              <w:left w:val="nil"/>
              <w:bottom w:val="single" w:sz="8" w:space="0" w:color="auto"/>
              <w:right w:val="double" w:sz="4" w:space="0" w:color="auto"/>
            </w:tcBorders>
            <w:tcMar>
              <w:top w:w="0" w:type="dxa"/>
              <w:left w:w="108" w:type="dxa"/>
              <w:bottom w:w="0" w:type="dxa"/>
              <w:right w:w="108" w:type="dxa"/>
            </w:tcMar>
          </w:tcPr>
          <w:p w:rsidR="00282312" w:rsidRPr="00ED54CE" w:rsidP="00282312" w14:paraId="0411B04F" w14:textId="02A8AF5C">
            <w:pPr>
              <w:widowControl/>
              <w:numPr>
                <w:ilvl w:val="0"/>
                <w:numId w:val="9"/>
              </w:numPr>
              <w:adjustRightInd/>
              <w:rPr>
                <w:color w:val="000000"/>
              </w:rPr>
            </w:pPr>
            <w:r w:rsidRPr="00ED54CE">
              <w:rPr>
                <w:color w:val="000000"/>
              </w:rPr>
              <w:t xml:space="preserve">Ensure verbatim wording of displayed text </w:t>
            </w:r>
            <w:r w:rsidR="00961ACB">
              <w:rPr>
                <w:color w:val="000000"/>
              </w:rPr>
              <w:t xml:space="preserve">compared </w:t>
            </w:r>
            <w:r w:rsidRPr="00ED54CE">
              <w:rPr>
                <w:color w:val="000000"/>
              </w:rPr>
              <w:t>to that of the analyst/programmer version of the questionnaire (100% of qu</w:t>
            </w:r>
            <w:r w:rsidRPr="00ED54CE" w:rsidR="009E2A32">
              <w:rPr>
                <w:color w:val="000000"/>
              </w:rPr>
              <w:t>estion and instructional text)</w:t>
            </w:r>
          </w:p>
          <w:p w:rsidR="00282312" w:rsidRPr="00ED54CE" w:rsidP="00282312" w14:paraId="35A58378" w14:textId="30393596">
            <w:pPr>
              <w:widowControl/>
              <w:numPr>
                <w:ilvl w:val="0"/>
                <w:numId w:val="9"/>
              </w:numPr>
              <w:adjustRightInd/>
              <w:rPr>
                <w:color w:val="000000"/>
              </w:rPr>
            </w:pPr>
            <w:r w:rsidRPr="00ED54CE">
              <w:rPr>
                <w:color w:val="000000"/>
              </w:rPr>
              <w:t>Use a variety of user profiles and behavior combinations to test correct and appropriate skip log</w:t>
            </w:r>
            <w:r w:rsidR="004C2407">
              <w:rPr>
                <w:color w:val="000000"/>
              </w:rPr>
              <w:t>ic</w:t>
            </w:r>
            <w:r w:rsidRPr="00ED54CE">
              <w:rPr>
                <w:color w:val="000000"/>
              </w:rPr>
              <w:t xml:space="preserve"> and routing through questionnaire (100% of questi</w:t>
            </w:r>
            <w:r w:rsidRPr="00ED54CE" w:rsidR="009E2A32">
              <w:rPr>
                <w:color w:val="000000"/>
              </w:rPr>
              <w:t>ons with programmed “triggers”)</w:t>
            </w:r>
          </w:p>
          <w:p w:rsidR="00282312" w:rsidRPr="00ED54CE" w:rsidP="00282312" w14:paraId="29B151FC" w14:textId="77777777">
            <w:pPr>
              <w:widowControl/>
              <w:numPr>
                <w:ilvl w:val="0"/>
                <w:numId w:val="9"/>
              </w:numPr>
              <w:adjustRightInd/>
              <w:rPr>
                <w:color w:val="000000"/>
              </w:rPr>
            </w:pPr>
            <w:r w:rsidRPr="00ED54CE">
              <w:rPr>
                <w:color w:val="000000"/>
              </w:rPr>
              <w:t xml:space="preserve">Verify that any write-in responses are within prescribed ranges (100% of write-in questions) </w:t>
            </w:r>
          </w:p>
          <w:p w:rsidR="00282312" w:rsidRPr="00ED54CE" w:rsidP="00282312" w14:paraId="12A2FDA7" w14:textId="77777777">
            <w:pPr>
              <w:widowControl/>
              <w:numPr>
                <w:ilvl w:val="0"/>
                <w:numId w:val="9"/>
              </w:numPr>
              <w:adjustRightInd/>
              <w:rPr>
                <w:color w:val="000000"/>
              </w:rPr>
            </w:pPr>
            <w:r w:rsidRPr="00ED54CE">
              <w:rPr>
                <w:color w:val="000000"/>
              </w:rPr>
              <w:t>Create “dummy data set” to verify that all entered responses are correctly captured in the data set as intended (minimum 50 records)</w:t>
            </w:r>
            <w:r w:rsidRPr="00ED54CE">
              <w:t xml:space="preserve"> </w:t>
            </w:r>
          </w:p>
        </w:tc>
      </w:tr>
      <w:tr w14:paraId="03D6E1A9" w14:textId="77777777" w:rsidTr="007D2906">
        <w:tblPrEx>
          <w:tblW w:w="9194" w:type="dxa"/>
          <w:tblInd w:w="120" w:type="dxa"/>
          <w:tblCellMar>
            <w:left w:w="0" w:type="dxa"/>
            <w:right w:w="0" w:type="dxa"/>
          </w:tblCellMar>
          <w:tblLook w:val="04A0"/>
        </w:tblPrEx>
        <w:trPr>
          <w:cantSplit/>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4A9D7A31" w14:textId="77777777">
            <w:pPr>
              <w:spacing w:before="120"/>
              <w:rPr>
                <w:color w:val="000000"/>
              </w:rPr>
            </w:pPr>
            <w:r w:rsidRPr="00ED54CE">
              <w:rPr>
                <w:color w:val="000000"/>
              </w:rPr>
              <w:t>Receipt Control</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16658511" w14:textId="7855932D">
            <w:pPr>
              <w:widowControl/>
              <w:numPr>
                <w:ilvl w:val="0"/>
                <w:numId w:val="9"/>
              </w:numPr>
              <w:adjustRightInd/>
              <w:rPr>
                <w:color w:val="000000"/>
              </w:rPr>
            </w:pPr>
            <w:r w:rsidRPr="00ED54CE">
              <w:rPr>
                <w:color w:val="000000"/>
              </w:rPr>
              <w:t xml:space="preserve">Verify </w:t>
            </w:r>
            <w:r w:rsidRPr="00ED54CE" w:rsidR="009D3184">
              <w:rPr>
                <w:color w:val="000000"/>
              </w:rPr>
              <w:t>receipt of</w:t>
            </w:r>
            <w:r w:rsidRPr="00ED54CE">
              <w:rPr>
                <w:color w:val="000000"/>
              </w:rPr>
              <w:t xml:space="preserve"> data from the field is occurring no later than 48 hours after data collection concludes (100% of schools)</w:t>
            </w:r>
          </w:p>
          <w:p w:rsidR="00282312" w:rsidRPr="00ED54CE" w:rsidP="00282312" w14:paraId="4FAE99CB" w14:textId="0862B36F">
            <w:pPr>
              <w:widowControl/>
              <w:numPr>
                <w:ilvl w:val="0"/>
                <w:numId w:val="9"/>
              </w:numPr>
              <w:adjustRightInd/>
              <w:rPr>
                <w:color w:val="000000"/>
              </w:rPr>
            </w:pPr>
            <w:r w:rsidRPr="00ED54CE">
              <w:rPr>
                <w:color w:val="000000"/>
              </w:rPr>
              <w:t xml:space="preserve">Verify number of data records received in the data base match the number of expected records reported by </w:t>
            </w:r>
            <w:r w:rsidRPr="00ED54CE" w:rsidR="00E471DC">
              <w:rPr>
                <w:color w:val="000000"/>
              </w:rPr>
              <w:t>the teacher in the class participation log</w:t>
            </w:r>
            <w:r w:rsidRPr="00ED54CE">
              <w:rPr>
                <w:color w:val="000000"/>
              </w:rPr>
              <w:t xml:space="preserve"> (100% of schools)</w:t>
            </w:r>
          </w:p>
          <w:p w:rsidR="00282312" w:rsidRPr="00ED54CE" w:rsidP="00282312" w14:paraId="784ED88F" w14:textId="77777777">
            <w:pPr>
              <w:widowControl/>
              <w:numPr>
                <w:ilvl w:val="0"/>
                <w:numId w:val="9"/>
              </w:numPr>
              <w:adjustRightInd/>
              <w:rPr>
                <w:color w:val="000000"/>
              </w:rPr>
            </w:pPr>
            <w:r w:rsidRPr="00ED54CE">
              <w:rPr>
                <w:color w:val="000000"/>
              </w:rPr>
              <w:t>Capture date/time stamps and staff credentials in the centralized system for all transactions (100%)</w:t>
            </w:r>
          </w:p>
        </w:tc>
      </w:tr>
      <w:tr w14:paraId="7BB6D015" w14:textId="77777777" w:rsidTr="007D2906">
        <w:tblPrEx>
          <w:tblW w:w="9194" w:type="dxa"/>
          <w:tblInd w:w="120" w:type="dxa"/>
          <w:tblCellMar>
            <w:left w:w="0" w:type="dxa"/>
            <w:right w:w="0" w:type="dxa"/>
          </w:tblCellMar>
          <w:tblLook w:val="04A0"/>
        </w:tblPrEx>
        <w:trPr>
          <w:cantSplit/>
          <w:trHeight w:val="1050"/>
        </w:trPr>
        <w:tc>
          <w:tcPr>
            <w:tcW w:w="2051"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282312" w:rsidRPr="00ED54CE" w:rsidP="007D2906" w14:paraId="659BBFAC" w14:textId="77777777">
            <w:pPr>
              <w:spacing w:before="120"/>
              <w:rPr>
                <w:color w:val="000000"/>
              </w:rPr>
            </w:pPr>
            <w:r w:rsidRPr="00ED54CE">
              <w:rPr>
                <w:color w:val="000000"/>
              </w:rPr>
              <w:t>Data Review</w:t>
            </w:r>
          </w:p>
        </w:tc>
        <w:tc>
          <w:tcPr>
            <w:tcW w:w="7143" w:type="dxa"/>
            <w:tcBorders>
              <w:top w:val="nil"/>
              <w:left w:val="nil"/>
              <w:bottom w:val="single" w:sz="8" w:space="0" w:color="000000"/>
              <w:right w:val="double" w:sz="6" w:space="0" w:color="000000"/>
            </w:tcBorders>
            <w:tcMar>
              <w:top w:w="0" w:type="dxa"/>
              <w:left w:w="120" w:type="dxa"/>
              <w:bottom w:w="0" w:type="dxa"/>
              <w:right w:w="120" w:type="dxa"/>
            </w:tcMar>
            <w:hideMark/>
          </w:tcPr>
          <w:p w:rsidR="00282312" w:rsidRPr="00ED54CE" w:rsidP="00282312" w14:paraId="23151AEE" w14:textId="77777777">
            <w:pPr>
              <w:widowControl/>
              <w:numPr>
                <w:ilvl w:val="0"/>
                <w:numId w:val="9"/>
              </w:numPr>
              <w:adjustRightInd/>
              <w:rPr>
                <w:color w:val="000000"/>
              </w:rPr>
            </w:pPr>
            <w:r w:rsidRPr="00ED54CE">
              <w:rPr>
                <w:color w:val="000000"/>
              </w:rPr>
              <w:t>During fielding, extract records from at least three schools to verify data set is capturing and storing records as expected (during first week of fielding, or after at least three schools’ data have been collected and synced)</w:t>
            </w:r>
          </w:p>
        </w:tc>
      </w:tr>
    </w:tbl>
    <w:p w:rsidR="00282312" w:rsidRPr="00ED54CE" w:rsidP="00282312" w14:paraId="2F59BB9A" w14:textId="77777777"/>
    <w:p w:rsidR="00EE43A4" w:rsidRPr="00ED54CE" w:rsidP="00EE43A4" w14:paraId="207ED418"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C34427" w:rsidRPr="00ED54CE" w:rsidP="00BF2BF3" w14:paraId="3C9B6BB2" w14:textId="4A011E2A">
      <w:pPr>
        <w:pStyle w:val="Heading2"/>
        <w:spacing w:before="0"/>
        <w:ind w:left="720" w:hanging="720"/>
        <w:rPr>
          <w:rFonts w:ascii="Times New Roman" w:hAnsi="Times New Roman"/>
          <w:i w:val="0"/>
          <w:sz w:val="24"/>
          <w:szCs w:val="24"/>
          <w:u w:val="single"/>
        </w:rPr>
      </w:pPr>
      <w:r w:rsidRPr="00ED54CE">
        <w:rPr>
          <w:rFonts w:ascii="Times New Roman" w:hAnsi="Times New Roman"/>
          <w:i w:val="0"/>
          <w:sz w:val="24"/>
          <w:szCs w:val="24"/>
        </w:rPr>
        <w:t>B.3</w:t>
      </w:r>
      <w:r w:rsidRPr="00ED54CE">
        <w:rPr>
          <w:rFonts w:ascii="Times New Roman" w:hAnsi="Times New Roman"/>
          <w:i w:val="0"/>
          <w:sz w:val="24"/>
          <w:szCs w:val="24"/>
        </w:rPr>
        <w:tab/>
      </w:r>
      <w:r w:rsidRPr="00ED54CE">
        <w:rPr>
          <w:rFonts w:ascii="Times New Roman" w:hAnsi="Times New Roman"/>
          <w:i w:val="0"/>
          <w:sz w:val="24"/>
          <w:szCs w:val="24"/>
          <w:u w:val="single"/>
        </w:rPr>
        <w:t>METHODS TO MAXIMIZE RESPONSE RATES AND DEAL WITH NONRESPONSE</w:t>
      </w:r>
    </w:p>
    <w:p w:rsidR="00811E49" w:rsidRPr="00ED54CE" w:rsidP="00811E49" w14:paraId="27EEFDFC" w14:textId="77777777">
      <w:pPr>
        <w:rPr>
          <w:lang w:val="x-none" w:eastAsia="x-none"/>
        </w:rPr>
      </w:pPr>
    </w:p>
    <w:p w:rsidR="00C34427" w:rsidRPr="00ED54CE" w:rsidP="00C34427" w14:paraId="317F5060" w14:textId="77777777">
      <w:pPr>
        <w:pStyle w:val="Heading3"/>
        <w:rPr>
          <w:rFonts w:ascii="Times New Roman" w:hAnsi="Times New Roman"/>
          <w:sz w:val="24"/>
          <w:szCs w:val="24"/>
          <w:u w:val="single"/>
        </w:rPr>
      </w:pPr>
      <w:r w:rsidRPr="00ED54CE">
        <w:rPr>
          <w:rFonts w:ascii="Times New Roman" w:hAnsi="Times New Roman"/>
          <w:sz w:val="24"/>
          <w:szCs w:val="24"/>
          <w:u w:val="single"/>
        </w:rPr>
        <w:t>Expected Response Rates</w:t>
      </w:r>
    </w:p>
    <w:p w:rsidR="006D36FC" w:rsidRPr="00ED54CE" w:rsidP="008E3D04" w14:paraId="7C3B3C00" w14:textId="77777777">
      <w:pPr>
        <w:rPr>
          <w:lang w:val="x-none" w:eastAsia="x-none"/>
        </w:rPr>
      </w:pPr>
    </w:p>
    <w:p w:rsidR="003B1369" w:rsidRPr="00ED54CE" w:rsidP="0036110B" w14:paraId="2B265FB5" w14:textId="670006B0">
      <w:pPr>
        <w:rPr>
          <w:spacing w:val="1"/>
        </w:rPr>
      </w:pPr>
      <w:r w:rsidRPr="00ED54CE">
        <w:rPr>
          <w:iCs/>
        </w:rPr>
        <w:t xml:space="preserve">To calculate the number of schools and students to sample that will ensure adequate precision, we estimated the school and student response rate and the school eligibility rate. </w:t>
      </w:r>
      <w:r w:rsidRPr="00ED54CE">
        <w:rPr>
          <w:spacing w:val="1"/>
        </w:rPr>
        <w:t xml:space="preserve">Through 15 iterations of the NYTS between 1999 and 2019, the overall response rate ranged from 63.4% to 84.8%. </w:t>
      </w:r>
      <w:r w:rsidRPr="00764FB6" w:rsidR="004C2407">
        <w:t>Whereas, during the four pandemic years of 2020 through 2023, the overall response rate ranged from 30.5% to 45.2%.</w:t>
      </w:r>
      <w:r w:rsidR="004C2407">
        <w:t xml:space="preserve"> </w:t>
      </w:r>
      <w:r w:rsidRPr="00ED54CE" w:rsidR="00EE43A4">
        <w:t xml:space="preserve">NYTS </w:t>
      </w:r>
      <w:r w:rsidRPr="00ED54CE" w:rsidR="00472C60">
        <w:t>response</w:t>
      </w:r>
      <w:r w:rsidRPr="00ED54CE" w:rsidR="00EE43A4">
        <w:t xml:space="preserve"> rates traditionally have been relatively high compared to other federally funded, national, school-based, health</w:t>
      </w:r>
      <w:r w:rsidRPr="00ED54CE" w:rsidR="009C71C8">
        <w:t>-</w:t>
      </w:r>
      <w:r w:rsidRPr="00ED54CE" w:rsidR="00EE43A4">
        <w:t xml:space="preserve">related surveys of high school students. The </w:t>
      </w:r>
      <w:r w:rsidRPr="00ED54CE" w:rsidR="00472C60">
        <w:t>response</w:t>
      </w:r>
      <w:r w:rsidRPr="00ED54CE" w:rsidR="00EE43A4">
        <w:t xml:space="preserve"> rates established by the NYTS are the product of the application of proven and tested procedures for maximizing school and student participation.</w:t>
      </w:r>
      <w:r w:rsidRPr="00ED54CE" w:rsidR="0029712B">
        <w:t xml:space="preserve"> </w:t>
      </w:r>
      <w:r w:rsidRPr="00ED54CE">
        <w:rPr>
          <w:spacing w:val="1"/>
        </w:rPr>
        <w:t xml:space="preserve">Estimating future response rates is difficult due to the rapidly changing school environment post-pandemic. </w:t>
      </w:r>
      <w:r w:rsidRPr="00ED54CE" w:rsidR="00541822">
        <w:rPr>
          <w:spacing w:val="1"/>
        </w:rPr>
        <w:t>F</w:t>
      </w:r>
      <w:r w:rsidRPr="00ED54CE">
        <w:t xml:space="preserve">or 2024, we assumed a response rate that fell between the pre-pandemic and pandemic levels observed over time. </w:t>
      </w:r>
      <w:r w:rsidRPr="00ED54CE">
        <w:rPr>
          <w:spacing w:val="1"/>
        </w:rPr>
        <w:t xml:space="preserve">We </w:t>
      </w:r>
      <w:r w:rsidRPr="00ED54CE" w:rsidR="00710F4E">
        <w:rPr>
          <w:spacing w:val="1"/>
        </w:rPr>
        <w:t xml:space="preserve">expect </w:t>
      </w:r>
      <w:r w:rsidRPr="00ED54CE">
        <w:rPr>
          <w:spacing w:val="1"/>
        </w:rPr>
        <w:t xml:space="preserve">a 60% overall response rate for the 2024 NYTS. </w:t>
      </w:r>
    </w:p>
    <w:p w:rsidR="00541822" w:rsidRPr="00ED54CE" w:rsidP="0036110B" w14:paraId="41F73185" w14:textId="77777777"/>
    <w:p w:rsidR="00EE43A4" w:rsidRPr="00ED54CE" w:rsidP="0036110B" w14:paraId="7A32667C" w14:textId="77777777">
      <w:r w:rsidRPr="00ED54CE">
        <w:t xml:space="preserve">As indicated in </w:t>
      </w:r>
      <w:r w:rsidRPr="00ED54CE" w:rsidR="006A021B">
        <w:t>Table A.16</w:t>
      </w:r>
      <w:r w:rsidRPr="00ED54CE" w:rsidR="008E3D04">
        <w:t xml:space="preserve"> in Supporting Statement A</w:t>
      </w:r>
      <w:r w:rsidRPr="00ED54CE">
        <w:t xml:space="preserve">, it is desirable to complete data collection before the final month of school (i.e., by mid-April to mid-May, depending on location). Many schools are very busy </w:t>
      </w:r>
      <w:r w:rsidRPr="00ED54CE" w:rsidR="00445EC7">
        <w:t xml:space="preserve">at that time </w:t>
      </w:r>
      <w:r w:rsidRPr="00ED54CE">
        <w:t xml:space="preserve">with standardized testing and final exams; in addition, attendance can be very unstable, especially among twelfth grade students. </w:t>
      </w:r>
    </w:p>
    <w:p w:rsidR="00EE43A4" w:rsidRPr="00ED54CE" w:rsidP="00EE43A4" w14:paraId="7A92AB0A" w14:textId="77777777">
      <w:pPr>
        <w:pStyle w:val="Heading3"/>
        <w:rPr>
          <w:rFonts w:ascii="Times New Roman" w:hAnsi="Times New Roman"/>
          <w:sz w:val="24"/>
          <w:szCs w:val="24"/>
          <w:u w:val="single"/>
        </w:rPr>
      </w:pPr>
      <w:r w:rsidRPr="00ED54CE">
        <w:rPr>
          <w:rFonts w:ascii="Times New Roman" w:hAnsi="Times New Roman"/>
          <w:sz w:val="24"/>
          <w:szCs w:val="24"/>
          <w:u w:val="single"/>
        </w:rPr>
        <w:t>Methods for Maximizing Responses and Handling Nonresponse</w:t>
      </w:r>
    </w:p>
    <w:p w:rsidR="00EE43A4" w:rsidRPr="00ED54CE" w:rsidP="00205986" w14:paraId="67B8928B" w14:textId="77777777">
      <w:pPr>
        <w:ind w:firstLine="360"/>
      </w:pPr>
    </w:p>
    <w:p w:rsidR="00EE43A4" w:rsidRPr="00ED54CE" w:rsidP="0036110B" w14:paraId="2EDADEB3" w14:textId="77777777">
      <w:r w:rsidRPr="00ED54CE">
        <w:t>We distinguish among six potential types of nonresponse problems: refusal to participate by a selected school district, school, teacher, parent, or student; and collection of incomplete information from a student.</w:t>
      </w:r>
    </w:p>
    <w:p w:rsidR="003B1369" w:rsidRPr="00ED54CE" w:rsidP="0036110B" w14:paraId="1D9E4AB4" w14:textId="77777777"/>
    <w:p w:rsidR="00A16688" w:rsidRPr="00ED54CE" w:rsidP="0036110B" w14:paraId="5CA48E6A" w14:textId="08D0AEB1">
      <w:r w:rsidRPr="00ED54CE">
        <w:t xml:space="preserve">To minimize refusals at all levels--from school district to student--we will use a variety of techniques, emphasizing the importance of the survey. Given the subject matter is tobacco, we expect that a few school districts or schools will need to place the issue of survey participation before the school board. To increase the likelihood of an affirmative decision, we will: (1) work through the state agencies to communicate its support of the survey; (2) indicate that the survey is being sponsored by CDC; (3) convey to the school district or school that the survey has the endorsement of many key national educational and health associations, such as the National PTA, American Medical Association, National Association of State Boards of Education, Council of Chief State School Officers and the National School Boards Association;(4) maintain both a toll-free hotline </w:t>
      </w:r>
      <w:r w:rsidRPr="00ED54CE" w:rsidR="00921F99">
        <w:t xml:space="preserve">and dedicated email account </w:t>
      </w:r>
      <w:r w:rsidRPr="00ED54CE">
        <w:t xml:space="preserve">to answer questions from the school board; (5) offer a package of educational products to each participating school, as recommended by OMB in approving the 1998 YRBS in alternative schools (OMB No. 0920-0416, expiration 12/98) and implemented on </w:t>
      </w:r>
      <w:r w:rsidRPr="00ED54CE" w:rsidR="003046E3">
        <w:t xml:space="preserve">the </w:t>
      </w:r>
      <w:r w:rsidRPr="00ED54CE">
        <w:t>NYTS ever since; (6) comply with all requirements from school districts in preparing written proposals for survey clearance; (7) convey a willingness to appear in person, if needed, to present the survey before a school board, research committee, or other local entity tasked with reviewing the survey; and (8) offer schools a monetary incentive of $</w:t>
      </w:r>
      <w:r w:rsidRPr="00ED54CE" w:rsidR="00F00C2D">
        <w:t>750</w:t>
      </w:r>
      <w:r w:rsidRPr="00ED54CE">
        <w:t xml:space="preserve">. </w:t>
      </w:r>
    </w:p>
    <w:p w:rsidR="003B1369" w:rsidRPr="00ED54CE" w:rsidP="0036110B" w14:paraId="2FF86D19" w14:textId="77777777"/>
    <w:p w:rsidR="003B1369" w:rsidRPr="00ED54CE" w:rsidP="0036110B" w14:paraId="687E23D5" w14:textId="14C43A33">
      <w:r w:rsidRPr="00ED54CE">
        <w:t>Once</w:t>
      </w:r>
      <w:r w:rsidRPr="00ED54CE" w:rsidR="00A16688">
        <w:t xml:space="preserve"> recruiters encounter </w:t>
      </w:r>
      <w:r w:rsidRPr="00ED54CE">
        <w:t xml:space="preserve">district or </w:t>
      </w:r>
      <w:r w:rsidRPr="00ED54CE" w:rsidR="00A16688">
        <w:t>school refusals to participate, they are encouraged to listen closely to the decision maker’s concern(s) and “leave the door open” with the districts and/or schools for additional contact later</w:t>
      </w:r>
      <w:r w:rsidRPr="00ED54CE" w:rsidR="00A315CB">
        <w:t xml:space="preserve">. </w:t>
      </w:r>
      <w:r w:rsidRPr="00ED54CE" w:rsidR="00A16688">
        <w:t xml:space="preserve">NYTS staff </w:t>
      </w:r>
      <w:r w:rsidRPr="00ED54CE">
        <w:t xml:space="preserve">will </w:t>
      </w:r>
      <w:r w:rsidRPr="00ED54CE" w:rsidR="00A16688">
        <w:t>beg</w:t>
      </w:r>
      <w:r w:rsidRPr="00ED54CE">
        <w:t>i</w:t>
      </w:r>
      <w:r w:rsidRPr="00ED54CE" w:rsidR="00A16688">
        <w:t xml:space="preserve">n targeted outreach to refusals and unresponsive districts and schools </w:t>
      </w:r>
      <w:r w:rsidRPr="00ED54CE">
        <w:t>during the period of data collections</w:t>
      </w:r>
      <w:r w:rsidRPr="00ED54CE" w:rsidR="00A315CB">
        <w:t xml:space="preserve">. </w:t>
      </w:r>
      <w:r w:rsidRPr="00ED54CE" w:rsidR="00A16688">
        <w:t>Initially this targeted outreach primarily include</w:t>
      </w:r>
      <w:r w:rsidRPr="00ED54CE">
        <w:t>s</w:t>
      </w:r>
      <w:r w:rsidRPr="00ED54CE" w:rsidR="00A16688">
        <w:t xml:space="preserve"> remailing the original invitation packet with a personalized cover memo and telephone follow-up by the original recruiter</w:t>
      </w:r>
      <w:r w:rsidRPr="00ED54CE" w:rsidR="00A315CB">
        <w:t xml:space="preserve">. </w:t>
      </w:r>
      <w:r w:rsidRPr="00ED54CE" w:rsidR="00A16688">
        <w:t xml:space="preserve">By remailing the information, this presents a fresh request to which the decision maker can respond, since it is likely that the original request </w:t>
      </w:r>
      <w:r w:rsidRPr="00ED54CE">
        <w:t>i</w:t>
      </w:r>
      <w:r w:rsidRPr="00ED54CE" w:rsidR="00A16688">
        <w:t xml:space="preserve">s likely lost or discarded. Recruiters </w:t>
      </w:r>
      <w:r w:rsidRPr="00ED54CE">
        <w:t>are</w:t>
      </w:r>
      <w:r w:rsidRPr="00ED54CE" w:rsidR="00A16688">
        <w:t xml:space="preserve"> encouraged to identify relevant potential connections between NYTS content and district or school health-related initiatives via strategic plans and curriculum descriptions available on district and school websites and include this in the memo and/or as part of their conversations with the decision maker</w:t>
      </w:r>
      <w:r w:rsidRPr="00ED54CE" w:rsidR="00A315CB">
        <w:t xml:space="preserve">. </w:t>
      </w:r>
      <w:r w:rsidRPr="00ED54CE" w:rsidR="00CA1446">
        <w:t>A s</w:t>
      </w:r>
      <w:r w:rsidRPr="00ED54CE" w:rsidR="00A16688">
        <w:t>ample memo u</w:t>
      </w:r>
      <w:r w:rsidRPr="00ED54CE" w:rsidR="00CA1446">
        <w:t xml:space="preserve">sed for refusal conversion </w:t>
      </w:r>
      <w:r w:rsidRPr="00ED54CE" w:rsidR="00A16688">
        <w:t xml:space="preserve">can be found in </w:t>
      </w:r>
      <w:r w:rsidRPr="00ED54CE" w:rsidR="00897047">
        <w:t xml:space="preserve">Attachment </w:t>
      </w:r>
      <w:r w:rsidRPr="00ED54CE" w:rsidR="00CA1446">
        <w:t>F4</w:t>
      </w:r>
      <w:r w:rsidRPr="00ED54CE" w:rsidR="00A16688">
        <w:t xml:space="preserve">. Other methods included 1) contact by a different recruiter who provided a “new voice” to the decision maker or 2) </w:t>
      </w:r>
      <w:r w:rsidRPr="00ED54CE" w:rsidR="00E21E00">
        <w:t>on-campus</w:t>
      </w:r>
      <w:r w:rsidRPr="00ED54CE" w:rsidR="00A16688">
        <w:t xml:space="preserve"> recruitment visits by field staff.</w:t>
      </w:r>
    </w:p>
    <w:p w:rsidR="00EE43A4" w:rsidRPr="00ED54CE" w:rsidP="0036110B" w14:paraId="4A3194B8" w14:textId="77777777">
      <w:r w:rsidRPr="00ED54CE">
        <w:t xml:space="preserve"> </w:t>
      </w:r>
    </w:p>
    <w:p w:rsidR="00EE43A4" w:rsidRPr="00ED54CE" w:rsidP="0036110B" w14:paraId="6B2337B9" w14:textId="0C95F5CA">
      <w:r w:rsidRPr="00ED54CE">
        <w:t xml:space="preserve">The sampling plan does not allow for the replacement of schools that refuse to participate due to concern that replacing schools would introduce bias. All participating state departments of health </w:t>
      </w:r>
      <w:r w:rsidRPr="00ED54CE">
        <w:t xml:space="preserve">and education, school districts, and schools also will </w:t>
      </w:r>
      <w:r w:rsidRPr="00ED54CE" w:rsidR="00921F99">
        <w:t xml:space="preserve">have access to the </w:t>
      </w:r>
      <w:r w:rsidRPr="00ED54CE">
        <w:t>published survey results</w:t>
      </w:r>
      <w:r w:rsidRPr="00ED54CE" w:rsidR="00811E49">
        <w:t xml:space="preserve"> and a webinar to present the published results</w:t>
      </w:r>
      <w:r w:rsidRPr="00ED54CE">
        <w:t>.</w:t>
      </w:r>
    </w:p>
    <w:p w:rsidR="003B1369" w:rsidRPr="00ED54CE" w:rsidP="0036110B" w14:paraId="411DAF17" w14:textId="77777777"/>
    <w:p w:rsidR="00EE43A4" w:rsidRPr="00ED54CE" w:rsidP="0036110B" w14:paraId="2AD2DB00" w14:textId="5802029D">
      <w:r w:rsidRPr="00ED54CE">
        <w:t>Maximizing responses and dealing with refusals from parents, teachers, and students require different strategies. To maximize responses, we will recommend that schools help to advertise the survey through the principal’s newsletter, PTA meetings, and other established means of communication. The permission form will provide a telephone number at CDC that parents may call to have questions answered before agreeing to give permission for their child’s participation. Permission forms will be available in English</w:t>
      </w:r>
      <w:r w:rsidR="00961ACB">
        <w:t xml:space="preserve"> and</w:t>
      </w:r>
      <w:r w:rsidRPr="00ED54CE">
        <w:t xml:space="preserve"> Spanish. </w:t>
      </w:r>
    </w:p>
    <w:p w:rsidR="003B1369" w:rsidRPr="00ED54CE" w:rsidP="0036110B" w14:paraId="76285A13" w14:textId="77777777"/>
    <w:p w:rsidR="00205986" w:rsidRPr="00ED54CE" w:rsidP="0036110B" w14:paraId="05148B42" w14:textId="77777777">
      <w:r w:rsidRPr="00ED54CE">
        <w:t xml:space="preserve">Teacher refusals to cooperate with the study are not expected to be a problem because schools will </w:t>
      </w:r>
      <w:r w:rsidRPr="00ED54CE" w:rsidR="00445EC7">
        <w:t xml:space="preserve">already </w:t>
      </w:r>
      <w:r w:rsidRPr="00ED54CE">
        <w:t xml:space="preserve">have agreed to participate. Refusals by students who have parental permission to participate are expected to be minimal. No punitive action will be taken against a nonconsenting student. Nonconsenting students will not be replaced. Data will be analyzed to determine if student nonresponse introduces any biases. </w:t>
      </w:r>
    </w:p>
    <w:p w:rsidR="00205986" w:rsidRPr="00ED54CE" w:rsidP="0036110B" w14:paraId="002F1C4D" w14:textId="77777777"/>
    <w:p w:rsidR="00741C48" w:rsidRPr="00ED54CE" w:rsidP="0036110B" w14:paraId="2A5D67BA" w14:textId="757C2D0E">
      <w:bookmarkStart w:id="4" w:name="_Hlk18655901"/>
      <w:r w:rsidRPr="00ED54CE">
        <w:t>Participation in the NYTS is completely voluntary, and students may skip any question in which they are not comfortable answering. However, t</w:t>
      </w:r>
      <w:bookmarkEnd w:id="4"/>
      <w:r w:rsidRPr="00ED54CE">
        <w:t xml:space="preserve">o minimize the likelihood of missing values on the survey, </w:t>
      </w:r>
      <w:r w:rsidRPr="00ED54CE">
        <w:t xml:space="preserve">particularly on questions </w:t>
      </w:r>
      <w:r w:rsidRPr="00ED54CE" w:rsidR="00811E49">
        <w:t xml:space="preserve">on </w:t>
      </w:r>
      <w:r w:rsidRPr="00ED54CE">
        <w:t xml:space="preserve">which skip patterns are contingent, </w:t>
      </w:r>
      <w:r w:rsidRPr="00ED54CE">
        <w:t>the digital-based questionnaire has data range validations</w:t>
      </w:r>
      <w:r w:rsidRPr="00ED54CE" w:rsidR="002B71BC">
        <w:t xml:space="preserve"> and prompts</w:t>
      </w:r>
      <w:r w:rsidRPr="00ED54CE" w:rsidR="00A315CB">
        <w:t xml:space="preserve">. </w:t>
      </w:r>
      <w:r w:rsidRPr="00ED54CE" w:rsidR="002B71BC">
        <w:t>Thus, s</w:t>
      </w:r>
      <w:r w:rsidRPr="00ED54CE">
        <w:t>tudents who skip questions</w:t>
      </w:r>
      <w:r w:rsidRPr="00ED54CE" w:rsidR="008E3D04">
        <w:t xml:space="preserve"> on ever or current use</w:t>
      </w:r>
      <w:r w:rsidRPr="00ED54CE" w:rsidR="00227CB6">
        <w:t xml:space="preserve"> of individual tobacco products</w:t>
      </w:r>
      <w:r w:rsidRPr="00ED54CE">
        <w:t xml:space="preserve"> </w:t>
      </w:r>
      <w:r w:rsidRPr="00ED54CE">
        <w:t xml:space="preserve">or </w:t>
      </w:r>
      <w:r w:rsidRPr="00ED54CE" w:rsidR="00227CB6">
        <w:t xml:space="preserve">who </w:t>
      </w:r>
      <w:r w:rsidRPr="00ED54CE">
        <w:t>giv</w:t>
      </w:r>
      <w:r w:rsidRPr="00ED54CE">
        <w:t xml:space="preserve">e </w:t>
      </w:r>
      <w:r w:rsidRPr="00ED54CE">
        <w:t>out-of-range answer</w:t>
      </w:r>
      <w:r w:rsidRPr="00ED54CE">
        <w:t xml:space="preserve">s will be </w:t>
      </w:r>
      <w:r w:rsidRPr="00ED54CE">
        <w:t xml:space="preserve">reminded </w:t>
      </w:r>
      <w:r w:rsidRPr="00ED54CE" w:rsidR="00227CB6">
        <w:t xml:space="preserve">to provide an appropriate response </w:t>
      </w:r>
      <w:r w:rsidRPr="00ED54CE">
        <w:t>in a pop-up in the digital-based questionnaire</w:t>
      </w:r>
      <w:r w:rsidRPr="00ED54CE">
        <w:t xml:space="preserve"> before </w:t>
      </w:r>
      <w:r w:rsidRPr="00ED54CE" w:rsidR="00205986">
        <w:t>proceeding further</w:t>
      </w:r>
      <w:r w:rsidRPr="00ED54CE">
        <w:t xml:space="preserve"> in the survey.</w:t>
      </w:r>
      <w:r w:rsidRPr="00ED54CE" w:rsidR="00CA1899">
        <w:t xml:space="preserve"> For questions that ask participants to specify a written </w:t>
      </w:r>
      <w:r w:rsidRPr="00ED54CE" w:rsidR="004476B3">
        <w:t xml:space="preserve">numerical </w:t>
      </w:r>
      <w:r w:rsidRPr="00ED54CE" w:rsidR="00CA1899">
        <w:t>response</w:t>
      </w:r>
      <w:r w:rsidRPr="00ED54CE" w:rsidR="004476B3">
        <w:t xml:space="preserve"> (e.g., to enter the number of days they have used a product)</w:t>
      </w:r>
      <w:r w:rsidRPr="00ED54CE" w:rsidR="00CA1899">
        <w:t xml:space="preserve">, programming instructions are provided to only allow a </w:t>
      </w:r>
      <w:r w:rsidRPr="00A74439" w:rsidR="00CA1899">
        <w:t xml:space="preserve">specific range of values. </w:t>
      </w:r>
      <w:bookmarkStart w:id="5" w:name="_Hlk147482757"/>
      <w:r w:rsidRPr="00A74439">
        <w:t xml:space="preserve">Additionally, once </w:t>
      </w:r>
      <w:r w:rsidRPr="00A74439">
        <w:t xml:space="preserve">students finish the survey, </w:t>
      </w:r>
      <w:r w:rsidRPr="00A74439" w:rsidR="00A74439">
        <w:t xml:space="preserve">reach the end of the survey, they are allowed to go back to any unanswered or answered question items to modify </w:t>
      </w:r>
      <w:r w:rsidR="00A74439">
        <w:t xml:space="preserve">responses </w:t>
      </w:r>
      <w:r w:rsidRPr="00ED54CE">
        <w:t xml:space="preserve">before </w:t>
      </w:r>
      <w:r w:rsidRPr="00ED54CE">
        <w:t xml:space="preserve">the </w:t>
      </w:r>
      <w:r w:rsidRPr="00ED54CE">
        <w:t>student submit</w:t>
      </w:r>
      <w:r w:rsidRPr="00ED54CE">
        <w:t>s</w:t>
      </w:r>
      <w:r w:rsidRPr="00ED54CE">
        <w:t xml:space="preserve"> the survey. </w:t>
      </w:r>
      <w:r w:rsidRPr="00ED54CE">
        <w:t xml:space="preserve">This provides </w:t>
      </w:r>
      <w:r w:rsidRPr="00ED54CE">
        <w:t xml:space="preserve">students a chance to go back directly to </w:t>
      </w:r>
      <w:r w:rsidRPr="00ED54CE">
        <w:t xml:space="preserve">each </w:t>
      </w:r>
      <w:r w:rsidRPr="00ED54CE">
        <w:t xml:space="preserve">unanswered question </w:t>
      </w:r>
      <w:r w:rsidRPr="00ED54CE" w:rsidR="00CA1446">
        <w:t>item if</w:t>
      </w:r>
      <w:r w:rsidRPr="00ED54CE" w:rsidR="00B913C0">
        <w:t xml:space="preserve"> they choose to do so. </w:t>
      </w:r>
      <w:bookmarkEnd w:id="5"/>
      <w:r w:rsidRPr="00ED54CE" w:rsidR="0083226D">
        <w:t xml:space="preserve">In addition, teachers will be guided by </w:t>
      </w:r>
      <w:r w:rsidRPr="00ED54CE" w:rsidR="00811E49">
        <w:t>NYTS Study Liaisons</w:t>
      </w:r>
      <w:r w:rsidRPr="00ED54CE" w:rsidR="0083226D">
        <w:t xml:space="preserve"> to ensure that students are able to successfully troubleshoot through any technical issues. </w:t>
      </w:r>
    </w:p>
    <w:p w:rsidR="005D48F8" w:rsidRPr="00ED54CE" w:rsidP="0036110B" w14:paraId="08D86843" w14:textId="77777777"/>
    <w:p w:rsidR="0036110B" w:rsidRPr="00ED54CE" w:rsidP="0036110B" w14:paraId="5C61156C" w14:textId="77777777"/>
    <w:p w:rsidR="0036110B" w:rsidRPr="00ED54CE" w:rsidP="0036110B" w14:paraId="137FCA12" w14:textId="77777777"/>
    <w:p w:rsidR="00EE43A4" w:rsidRPr="00ED54CE" w:rsidP="0036110B" w14:paraId="2877D55B" w14:textId="77777777">
      <w:pPr>
        <w:pStyle w:val="Heading2"/>
        <w:spacing w:before="0"/>
        <w:rPr>
          <w:rFonts w:ascii="Times New Roman" w:hAnsi="Times New Roman"/>
          <w:i w:val="0"/>
          <w:sz w:val="24"/>
          <w:szCs w:val="24"/>
          <w:u w:val="single"/>
        </w:rPr>
      </w:pPr>
      <w:r w:rsidRPr="00ED54CE">
        <w:rPr>
          <w:rFonts w:ascii="Times New Roman" w:hAnsi="Times New Roman"/>
          <w:i w:val="0"/>
          <w:sz w:val="24"/>
          <w:szCs w:val="24"/>
        </w:rPr>
        <w:t>B.4</w:t>
      </w:r>
      <w:r w:rsidRPr="00ED54CE">
        <w:rPr>
          <w:rFonts w:ascii="Times New Roman" w:hAnsi="Times New Roman"/>
          <w:i w:val="0"/>
          <w:sz w:val="24"/>
          <w:szCs w:val="24"/>
        </w:rPr>
        <w:tab/>
      </w:r>
      <w:r w:rsidRPr="00ED54CE">
        <w:rPr>
          <w:rFonts w:ascii="Times New Roman" w:hAnsi="Times New Roman"/>
          <w:i w:val="0"/>
          <w:sz w:val="24"/>
          <w:szCs w:val="24"/>
          <w:u w:val="single"/>
        </w:rPr>
        <w:t>TESTS OF PROCEDURES OR METHODS TO BE UNDERTAKEN</w:t>
      </w:r>
    </w:p>
    <w:p w:rsidR="00EE43A4" w:rsidRPr="00ED54CE" w:rsidP="00EE43A4" w14:paraId="1840BC1C" w14:textId="77777777"/>
    <w:p w:rsidR="00112F05" w:rsidP="00BF2BF3" w14:paraId="0B543DBD" w14:textId="6EB55955">
      <w:pPr>
        <w:pStyle w:val="BodyText"/>
        <w:spacing w:after="0"/>
        <w:ind w:firstLine="0"/>
        <w:rPr>
          <w:lang w:val="en-US"/>
        </w:rPr>
      </w:pPr>
      <w:r w:rsidRPr="00ED54CE">
        <w:rPr>
          <w:lang w:val="en-US"/>
        </w:rPr>
        <w:t>F</w:t>
      </w:r>
      <w:r w:rsidRPr="00ED54CE" w:rsidR="00205986">
        <w:rPr>
          <w:lang w:val="en-US"/>
        </w:rPr>
        <w:t xml:space="preserve">urther </w:t>
      </w:r>
      <w:r w:rsidRPr="00ED54CE" w:rsidR="005F419E">
        <w:rPr>
          <w:lang w:val="en-US"/>
        </w:rPr>
        <w:t>cognitive</w:t>
      </w:r>
      <w:r w:rsidRPr="00ED54CE" w:rsidR="00205986">
        <w:t xml:space="preserve"> </w:t>
      </w:r>
      <w:r w:rsidRPr="00ED54CE" w:rsidR="00EE43A4">
        <w:t>analyses</w:t>
      </w:r>
      <w:r w:rsidRPr="00ED54CE" w:rsidR="00205986">
        <w:rPr>
          <w:lang w:val="en-US"/>
        </w:rPr>
        <w:t xml:space="preserve"> or pretests of the survey were conducted in 2003, 2004, 2005, 2012, 2013,2015, </w:t>
      </w:r>
      <w:r w:rsidRPr="00ED54CE" w:rsidR="00613311">
        <w:rPr>
          <w:lang w:val="en-US"/>
        </w:rPr>
        <w:t xml:space="preserve">and 2022 </w:t>
      </w:r>
      <w:r w:rsidRPr="00ED54CE" w:rsidR="00205986">
        <w:rPr>
          <w:lang w:val="en-US"/>
        </w:rPr>
        <w:t xml:space="preserve">as described in previous Supporting Statements for </w:t>
      </w:r>
      <w:r w:rsidRPr="00ED54CE" w:rsidR="003046E3">
        <w:rPr>
          <w:lang w:val="en-US"/>
        </w:rPr>
        <w:t xml:space="preserve">the </w:t>
      </w:r>
      <w:r w:rsidRPr="00ED54CE" w:rsidR="00205986">
        <w:rPr>
          <w:lang w:val="en-US"/>
        </w:rPr>
        <w:t xml:space="preserve">NYTS. </w:t>
      </w:r>
      <w:r w:rsidRPr="00ED54CE">
        <w:rPr>
          <w:lang w:val="en-US"/>
        </w:rPr>
        <w:t xml:space="preserve">In 2017, </w:t>
      </w:r>
      <w:r w:rsidRPr="00ED54CE" w:rsidR="002317FA">
        <w:rPr>
          <w:lang w:val="en-US"/>
        </w:rPr>
        <w:t xml:space="preserve">13 questions and response options were cognitively tested </w:t>
      </w:r>
      <w:r w:rsidRPr="00ED54CE">
        <w:rPr>
          <w:lang w:val="en-US"/>
        </w:rPr>
        <w:t xml:space="preserve">for inclusion </w:t>
      </w:r>
      <w:r w:rsidRPr="00ED54CE" w:rsidR="003046E3">
        <w:rPr>
          <w:lang w:val="en-US"/>
        </w:rPr>
        <w:t xml:space="preserve">in the </w:t>
      </w:r>
      <w:r w:rsidRPr="00ED54CE">
        <w:rPr>
          <w:lang w:val="en-US"/>
        </w:rPr>
        <w:t xml:space="preserve">NYTS, focused primarily on e-cigarettes: </w:t>
      </w:r>
      <w:r w:rsidRPr="00ED54CE" w:rsidR="002317FA">
        <w:rPr>
          <w:lang w:val="en-US"/>
        </w:rPr>
        <w:t xml:space="preserve">rules </w:t>
      </w:r>
      <w:r w:rsidRPr="00ED54CE" w:rsidR="009E2A32">
        <w:rPr>
          <w:lang w:val="en-US"/>
        </w:rPr>
        <w:t xml:space="preserve">regarding </w:t>
      </w:r>
      <w:r w:rsidRPr="00ED54CE" w:rsidR="002317FA">
        <w:rPr>
          <w:lang w:val="en-US"/>
        </w:rPr>
        <w:t>use</w:t>
      </w:r>
      <w:r w:rsidRPr="00ED54CE" w:rsidR="009E2A32">
        <w:rPr>
          <w:lang w:val="en-US"/>
        </w:rPr>
        <w:t xml:space="preserve"> </w:t>
      </w:r>
      <w:r w:rsidRPr="00ED54CE" w:rsidR="00F253EA">
        <w:rPr>
          <w:lang w:val="en-US"/>
        </w:rPr>
        <w:t>in</w:t>
      </w:r>
      <w:r w:rsidRPr="00ED54CE" w:rsidR="009E2A32">
        <w:rPr>
          <w:lang w:val="en-US"/>
        </w:rPr>
        <w:t xml:space="preserve"> the home</w:t>
      </w:r>
      <w:r w:rsidRPr="00ED54CE" w:rsidR="002317FA">
        <w:rPr>
          <w:lang w:val="en-US"/>
        </w:rPr>
        <w:t xml:space="preserve">, reasons for use, types of e-cigarettes used, and </w:t>
      </w:r>
      <w:r w:rsidRPr="00ED54CE">
        <w:rPr>
          <w:lang w:val="en-US"/>
        </w:rPr>
        <w:t xml:space="preserve">how </w:t>
      </w:r>
      <w:r w:rsidRPr="00ED54CE" w:rsidR="002317FA">
        <w:rPr>
          <w:lang w:val="en-US"/>
        </w:rPr>
        <w:t>youth accessed e-cigarettes. In 2018, cognitive testing of 15 questions and response options was completed, again focused on e-cigarette use. Terminology, devices used, substances used, and reasons for use were all explored.</w:t>
      </w:r>
      <w:r w:rsidRPr="00ED54CE" w:rsidR="00711785">
        <w:rPr>
          <w:lang w:val="en-US"/>
        </w:rPr>
        <w:t xml:space="preserve"> </w:t>
      </w:r>
      <w:r w:rsidRPr="00ED54CE" w:rsidR="00E70C24">
        <w:rPr>
          <w:lang w:val="en-US"/>
        </w:rPr>
        <w:t>C</w:t>
      </w:r>
      <w:r w:rsidRPr="00ED54CE" w:rsidR="00711785">
        <w:rPr>
          <w:lang w:val="en-US"/>
        </w:rPr>
        <w:t>ognitiv</w:t>
      </w:r>
      <w:r w:rsidRPr="00ED54CE" w:rsidR="003B1369">
        <w:rPr>
          <w:lang w:val="en-US"/>
        </w:rPr>
        <w:t xml:space="preserve">e testing was performed </w:t>
      </w:r>
      <w:r w:rsidRPr="00ED54CE" w:rsidR="00E70C24">
        <w:rPr>
          <w:lang w:val="en-US"/>
        </w:rPr>
        <w:t xml:space="preserve">again </w:t>
      </w:r>
      <w:r w:rsidRPr="00ED54CE" w:rsidR="003B1369">
        <w:rPr>
          <w:lang w:val="en-US"/>
        </w:rPr>
        <w:t xml:space="preserve">in 2019, assessing </w:t>
      </w:r>
      <w:r w:rsidRPr="00ED54CE">
        <w:rPr>
          <w:lang w:val="en-US"/>
        </w:rPr>
        <w:t>e-cigarette terminology,</w:t>
      </w:r>
      <w:r w:rsidRPr="00ED54CE" w:rsidR="003B1369">
        <w:rPr>
          <w:lang w:val="en-US"/>
        </w:rPr>
        <w:t xml:space="preserve"> </w:t>
      </w:r>
      <w:r w:rsidRPr="00ED54CE" w:rsidR="001A4A19">
        <w:rPr>
          <w:lang w:val="en-US"/>
        </w:rPr>
        <w:t xml:space="preserve">e-cigarette devices used, </w:t>
      </w:r>
      <w:r w:rsidRPr="00ED54CE" w:rsidR="003B1369">
        <w:rPr>
          <w:lang w:val="en-US"/>
        </w:rPr>
        <w:t>substances used in e-cigarettes (</w:t>
      </w:r>
      <w:r w:rsidRPr="00ED54CE" w:rsidR="003A7012">
        <w:rPr>
          <w:lang w:val="en-US"/>
        </w:rPr>
        <w:t>e.g.,</w:t>
      </w:r>
      <w:r w:rsidRPr="00ED54CE" w:rsidR="003B1369">
        <w:rPr>
          <w:lang w:val="en-US"/>
        </w:rPr>
        <w:t xml:space="preserve"> nicotine, marijuana</w:t>
      </w:r>
      <w:r w:rsidRPr="00ED54CE" w:rsidR="002317FA">
        <w:rPr>
          <w:lang w:val="en-US"/>
        </w:rPr>
        <w:t>, THC</w:t>
      </w:r>
      <w:r w:rsidRPr="00ED54CE" w:rsidR="003B1369">
        <w:rPr>
          <w:lang w:val="en-US"/>
        </w:rPr>
        <w:t>),</w:t>
      </w:r>
      <w:r w:rsidRPr="00ED54CE" w:rsidR="008A690E">
        <w:rPr>
          <w:lang w:val="en-US"/>
        </w:rPr>
        <w:t xml:space="preserve"> reasons for using e-cigarettes, exposure to secondhand tobacco smoke and secondhand e-cigarette aerosol, exposure to e-cigarette posts in social media, </w:t>
      </w:r>
      <w:r w:rsidRPr="00ED54CE" w:rsidR="00E04CDF">
        <w:rPr>
          <w:lang w:val="en-US"/>
        </w:rPr>
        <w:t>injuncti</w:t>
      </w:r>
      <w:r w:rsidRPr="00ED54CE" w:rsidR="00DA68BA">
        <w:rPr>
          <w:lang w:val="en-US"/>
        </w:rPr>
        <w:t>v</w:t>
      </w:r>
      <w:r w:rsidRPr="00ED54CE" w:rsidR="00E04CDF">
        <w:rPr>
          <w:lang w:val="en-US"/>
        </w:rPr>
        <w:t xml:space="preserve">e and descriptive e-cigarette norms, </w:t>
      </w:r>
      <w:r w:rsidRPr="00ED54CE" w:rsidR="008A690E">
        <w:rPr>
          <w:lang w:val="en-US"/>
        </w:rPr>
        <w:t xml:space="preserve">and </w:t>
      </w:r>
      <w:r w:rsidRPr="00ED54CE" w:rsidR="002317FA">
        <w:rPr>
          <w:lang w:val="en-US"/>
        </w:rPr>
        <w:t xml:space="preserve">indicators for affluence or </w:t>
      </w:r>
      <w:r w:rsidRPr="00ED54CE" w:rsidR="008A690E">
        <w:rPr>
          <w:lang w:val="en-US"/>
        </w:rPr>
        <w:t>s</w:t>
      </w:r>
      <w:r w:rsidRPr="00ED54CE" w:rsidR="00201EB8">
        <w:rPr>
          <w:lang w:val="en-US"/>
        </w:rPr>
        <w:t xml:space="preserve">ocioeconomic status </w:t>
      </w:r>
      <w:r w:rsidRPr="00ED54CE" w:rsidR="00201EB8">
        <w:rPr>
          <w:lang w:val="en-US"/>
        </w:rPr>
        <w:t xml:space="preserve">(SES) </w:t>
      </w:r>
      <w:r w:rsidRPr="00ED54CE" w:rsidR="008A690E">
        <w:rPr>
          <w:lang w:val="en-US"/>
        </w:rPr>
        <w:t xml:space="preserve">of </w:t>
      </w:r>
      <w:r w:rsidRPr="00ED54CE">
        <w:rPr>
          <w:lang w:val="en-US"/>
        </w:rPr>
        <w:t xml:space="preserve">the </w:t>
      </w:r>
      <w:r w:rsidRPr="00ED54CE" w:rsidR="008A690E">
        <w:rPr>
          <w:lang w:val="en-US"/>
        </w:rPr>
        <w:t>student’s family.</w:t>
      </w:r>
      <w:r w:rsidR="00FD317F">
        <w:rPr>
          <w:lang w:val="en-US"/>
        </w:rPr>
        <w:t xml:space="preserve"> </w:t>
      </w:r>
      <w:r>
        <w:rPr>
          <w:lang w:val="en-US"/>
        </w:rPr>
        <w:t>I</w:t>
      </w:r>
      <w:r w:rsidRPr="00ED54CE" w:rsidR="00BF7364">
        <w:rPr>
          <w:lang w:val="en-US"/>
        </w:rPr>
        <w:t xml:space="preserve">n </w:t>
      </w:r>
      <w:r w:rsidRPr="00ED54CE" w:rsidR="00B159D4">
        <w:rPr>
          <w:lang w:val="en-US"/>
        </w:rPr>
        <w:t>2022</w:t>
      </w:r>
      <w:r w:rsidRPr="00ED54CE" w:rsidR="00BF7364">
        <w:rPr>
          <w:lang w:val="en-US"/>
        </w:rPr>
        <w:t xml:space="preserve">, </w:t>
      </w:r>
      <w:r w:rsidRPr="00ED54CE" w:rsidR="00B159D4">
        <w:rPr>
          <w:lang w:val="en-US"/>
        </w:rPr>
        <w:t>cognitive testing was conducted to test selected questions that had been proposed for inclusion in the 2023 NYTS. These questions focused on e-cigarette use, heated tobacco product use, nicotine p</w:t>
      </w:r>
      <w:r w:rsidRPr="00ED54CE" w:rsidR="00811E49">
        <w:rPr>
          <w:lang w:val="en-US"/>
        </w:rPr>
        <w:t>o</w:t>
      </w:r>
      <w:r w:rsidRPr="00ED54CE" w:rsidR="00B159D4">
        <w:rPr>
          <w:lang w:val="en-US"/>
        </w:rPr>
        <w:t xml:space="preserve">uches, sexual </w:t>
      </w:r>
      <w:r w:rsidRPr="00ED54CE" w:rsidR="00B159D4">
        <w:rPr>
          <w:lang w:val="en-US"/>
        </w:rPr>
        <w:t>orientation</w:t>
      </w:r>
      <w:r w:rsidRPr="00ED54CE" w:rsidR="00B159D4">
        <w:rPr>
          <w:lang w:val="en-US"/>
        </w:rPr>
        <w:t xml:space="preserve"> and gender identity (SOGI), the Adolescent Discrimination Distress Scale (ADDI), and the Neighborhood Environment Scale (NES).</w:t>
      </w:r>
      <w:r w:rsidRPr="00ED54CE" w:rsidR="00BF7364">
        <w:rPr>
          <w:lang w:val="en-US"/>
        </w:rPr>
        <w:t xml:space="preserve"> </w:t>
      </w:r>
      <w:r w:rsidRPr="00ED54CE" w:rsidR="008A690E">
        <w:rPr>
          <w:lang w:val="en-US"/>
        </w:rPr>
        <w:t xml:space="preserve">The findings of these </w:t>
      </w:r>
      <w:r w:rsidRPr="00ED54CE">
        <w:rPr>
          <w:lang w:val="en-US"/>
        </w:rPr>
        <w:t xml:space="preserve">testing activities </w:t>
      </w:r>
      <w:r w:rsidRPr="00ED54CE" w:rsidR="00B159D4">
        <w:rPr>
          <w:lang w:val="en-US"/>
        </w:rPr>
        <w:t xml:space="preserve">were </w:t>
      </w:r>
      <w:r w:rsidRPr="00ED54CE" w:rsidR="008A690E">
        <w:rPr>
          <w:lang w:val="en-US"/>
        </w:rPr>
        <w:t xml:space="preserve">used to improve questions on the </w:t>
      </w:r>
      <w:r w:rsidRPr="00ED54CE" w:rsidR="00B159D4">
        <w:rPr>
          <w:lang w:val="en-US"/>
        </w:rPr>
        <w:t xml:space="preserve">2023 </w:t>
      </w:r>
      <w:r w:rsidRPr="00ED54CE" w:rsidR="008A690E">
        <w:rPr>
          <w:lang w:val="en-US"/>
        </w:rPr>
        <w:t>NYTS</w:t>
      </w:r>
      <w:r w:rsidRPr="00ED54CE" w:rsidR="00B159D4">
        <w:rPr>
          <w:lang w:val="en-US"/>
        </w:rPr>
        <w:t xml:space="preserve">. Specifically, the 2022 interviews resulted in updated terminology, brands, and product images for novel tobacco products in the 2023 NYTS. These activities also influenced the inclusion and wording of health equity items included in the 2023 survey. </w:t>
      </w:r>
    </w:p>
    <w:p w:rsidR="00112F05" w:rsidP="00BF2BF3" w14:paraId="667DBAAE" w14:textId="77777777">
      <w:pPr>
        <w:pStyle w:val="BodyText"/>
        <w:spacing w:after="0"/>
        <w:ind w:firstLine="0"/>
        <w:rPr>
          <w:lang w:val="en-US"/>
        </w:rPr>
      </w:pPr>
    </w:p>
    <w:p w:rsidR="00EE43A4" w:rsidRPr="00ED54CE" w:rsidP="00BF2BF3" w14:paraId="067D2C8E" w14:textId="72634C94">
      <w:pPr>
        <w:pStyle w:val="BodyText"/>
        <w:spacing w:after="0"/>
        <w:ind w:firstLine="0"/>
        <w:rPr>
          <w:lang w:val="en-US"/>
        </w:rPr>
      </w:pPr>
      <w:r w:rsidRPr="00112F05">
        <w:t>Finally, in 2023, robust cognitive testing was conducted to test selected questions that had been proposed for inclusion in the 2024 NYTS. This testing was conducted with sufficient sample size to make conclusions about the views of the spectrum of likely respondents to the NYTS. Cognitive testing focused on testing of sexual orientation and gender identity (SOGI) items, the Neighborhood Environment Scale (NES), and the Adolescent Discrimination Distress Index (ADDI) using the full range of ages covered in the survey and a geographically diverse sample of youth. To further inform potential changes to the survey, testing also included demographic questions, questions about e-cigarettes and nicotine pouches, measures of psychological stress, measures of socioeconomic status (SES), and an item about academic performance. The findings of these testing activities were used to inform the 2024 NYTS. Specifically, the 2023 interviews confirmed that participants did not experience discomfort or difficulty understanding any of these items, including SOGI items, the ADDI, or the NES. Testing found that respondents with a wide range of characteristics (selected to represent the overall NYTS audience) interpreted the questions and response options as intended. Based on the results of testing, the following changes were made: the Family Affluence Scale was updated to a more comprehensive version that participants understood better, and items related to tobacco products were added or removed to reflect evolving trends in knowledge, attitudes, beliefs, and behaviors related to tobacco products</w:t>
      </w:r>
    </w:p>
    <w:p w:rsidR="007E6CC4" w:rsidRPr="00ED54CE" w:rsidP="00BF2BF3" w14:paraId="0B2307C6" w14:textId="77777777">
      <w:pPr>
        <w:pStyle w:val="BodyText"/>
        <w:spacing w:after="0"/>
        <w:ind w:firstLine="0"/>
        <w:rPr>
          <w:lang w:val="en-US"/>
        </w:rPr>
      </w:pPr>
    </w:p>
    <w:p w:rsidR="00EE43A4" w:rsidRPr="00ED54CE" w:rsidP="00BF2BF3" w14:paraId="59EDF5A5" w14:textId="28A456C6">
      <w:pPr>
        <w:pStyle w:val="BodyText"/>
        <w:spacing w:after="0"/>
        <w:ind w:firstLine="0"/>
      </w:pPr>
      <w:r w:rsidRPr="00ED54CE">
        <w:rPr>
          <w:lang w:val="en-US"/>
        </w:rPr>
        <w:t>The current ICR includes a</w:t>
      </w:r>
      <w:r w:rsidRPr="00ED54CE" w:rsidR="007E1B7E">
        <w:rPr>
          <w:lang w:val="en-US"/>
        </w:rPr>
        <w:t>n updated</w:t>
      </w:r>
      <w:r w:rsidRPr="00ED54CE">
        <w:rPr>
          <w:lang w:val="en-US"/>
        </w:rPr>
        <w:t xml:space="preserve"> line item in the burden table to support </w:t>
      </w:r>
      <w:r w:rsidRPr="00ED54CE" w:rsidR="00B159D4">
        <w:rPr>
          <w:lang w:val="en-US"/>
        </w:rPr>
        <w:t xml:space="preserve">future </w:t>
      </w:r>
      <w:r w:rsidRPr="00ED54CE">
        <w:rPr>
          <w:lang w:val="en-US"/>
        </w:rPr>
        <w:t xml:space="preserve">testing of changes to the NYTS questionnaire prior to their implementation. Burden is specifically allocated to performing testing of new or modified questions that will provide better measures of tobacco products. The burden also includes </w:t>
      </w:r>
      <w:r w:rsidRPr="00ED54CE" w:rsidR="007E1B7E">
        <w:rPr>
          <w:lang w:val="en-US"/>
        </w:rPr>
        <w:t>pre-</w:t>
      </w:r>
      <w:r w:rsidRPr="00ED54CE">
        <w:rPr>
          <w:lang w:val="en-US"/>
        </w:rPr>
        <w:t xml:space="preserve">testing of the questionnaire to </w:t>
      </w:r>
      <w:r w:rsidRPr="00ED54CE" w:rsidR="00774782">
        <w:rPr>
          <w:lang w:val="en-US"/>
        </w:rPr>
        <w:t>confirm that they can be completed in 45 minutes.</w:t>
      </w:r>
    </w:p>
    <w:p w:rsidR="007746AF" w:rsidRPr="00ED54CE" w:rsidP="00BF2BF3" w14:paraId="18F5960F" w14:textId="77777777">
      <w:pPr>
        <w:pStyle w:val="BodyText"/>
        <w:spacing w:after="0"/>
        <w:ind w:firstLine="0"/>
      </w:pPr>
    </w:p>
    <w:p w:rsidR="007E6CC4" w:rsidRPr="00ED54CE" w:rsidP="00BF2BF3" w14:paraId="208A6C22" w14:textId="77777777">
      <w:pPr>
        <w:pStyle w:val="BodyText"/>
        <w:spacing w:after="0"/>
        <w:ind w:firstLine="0"/>
      </w:pPr>
    </w:p>
    <w:p w:rsidR="00EE43A4" w:rsidRPr="00ED54CE" w:rsidP="0036110B" w14:paraId="0E96178F" w14:textId="645F8D3F">
      <w:pPr>
        <w:pStyle w:val="Heading2"/>
        <w:spacing w:before="0"/>
        <w:ind w:left="720" w:hanging="720"/>
        <w:rPr>
          <w:rFonts w:ascii="Times New Roman" w:hAnsi="Times New Roman"/>
          <w:i w:val="0"/>
          <w:sz w:val="24"/>
          <w:szCs w:val="24"/>
        </w:rPr>
      </w:pPr>
      <w:r w:rsidRPr="00ED54CE">
        <w:rPr>
          <w:rFonts w:ascii="Times New Roman" w:hAnsi="Times New Roman"/>
          <w:i w:val="0"/>
          <w:sz w:val="24"/>
          <w:szCs w:val="24"/>
        </w:rPr>
        <w:t>B.</w:t>
      </w:r>
      <w:r w:rsidRPr="00ED54CE" w:rsidR="008C1630">
        <w:rPr>
          <w:rFonts w:ascii="Times New Roman" w:hAnsi="Times New Roman"/>
          <w:i w:val="0"/>
          <w:sz w:val="24"/>
          <w:szCs w:val="24"/>
          <w:lang w:val="en-US"/>
        </w:rPr>
        <w:t>5</w:t>
      </w:r>
      <w:r w:rsidRPr="00ED54CE">
        <w:rPr>
          <w:rFonts w:ascii="Times New Roman" w:hAnsi="Times New Roman"/>
          <w:i w:val="0"/>
          <w:sz w:val="24"/>
          <w:szCs w:val="24"/>
        </w:rPr>
        <w:tab/>
      </w:r>
      <w:r w:rsidRPr="00ED54CE">
        <w:rPr>
          <w:rFonts w:ascii="Times New Roman" w:hAnsi="Times New Roman"/>
          <w:i w:val="0"/>
          <w:sz w:val="24"/>
          <w:szCs w:val="24"/>
          <w:u w:val="single"/>
        </w:rPr>
        <w:t>INDIVIDUALS CONSULTED ON STATISTICAL ASPECTS AND INDIVIDUALS COLLECTING AND/OR ANALYZING DATA</w:t>
      </w:r>
    </w:p>
    <w:p w:rsidR="00EE43A4" w:rsidRPr="00ED54CE" w:rsidP="00BF2BF3" w14:paraId="2F128D83" w14:textId="77777777">
      <w:pPr>
        <w:pStyle w:val="Heading3"/>
        <w:rPr>
          <w:rFonts w:ascii="Times New Roman" w:hAnsi="Times New Roman"/>
          <w:sz w:val="24"/>
          <w:szCs w:val="24"/>
          <w:u w:val="single"/>
        </w:rPr>
      </w:pPr>
      <w:r w:rsidRPr="00ED54CE">
        <w:rPr>
          <w:rFonts w:ascii="Times New Roman" w:hAnsi="Times New Roman"/>
          <w:sz w:val="24"/>
          <w:szCs w:val="24"/>
          <w:u w:val="single"/>
        </w:rPr>
        <w:t>Statistical Review</w:t>
      </w:r>
    </w:p>
    <w:p w:rsidR="00BF2BF3" w:rsidRPr="00ED54CE" w:rsidP="00DE3975" w14:paraId="75CB95C8" w14:textId="77777777">
      <w:pPr>
        <w:rPr>
          <w:lang w:val="x-none" w:eastAsia="x-none"/>
        </w:rPr>
      </w:pPr>
    </w:p>
    <w:p w:rsidR="00DB0B1C" w:rsidRPr="00ED54CE" w:rsidP="00BF2BF3" w14:paraId="1E3E0688" w14:textId="77777777">
      <w:pPr>
        <w:pStyle w:val="BodyText"/>
        <w:ind w:firstLine="0"/>
      </w:pPr>
      <w:r w:rsidRPr="00ED54CE">
        <w:t xml:space="preserve">Statistical aspects of the study have been reviewed by the individuals listed below.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0"/>
        <w:gridCol w:w="4230"/>
      </w:tblGrid>
      <w:tr w14:paraId="0150FA8A" w14:textId="77777777" w:rsidTr="00563651">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80" w:type="dxa"/>
          </w:tcPr>
          <w:p w:rsidR="00E16B22" w:rsidRPr="00ED54CE" w:rsidP="00ED54CE" w14:paraId="7F30E219" w14:textId="38EB6E4D">
            <w:hyperlink r:id="rId10" w:history="1"/>
            <w:r w:rsidRPr="00ED54CE">
              <w:t xml:space="preserve">Ahmed Jamal, M.B.B.S., M.P.H. </w:t>
            </w:r>
            <w:r w:rsidRPr="00ED54CE">
              <w:br/>
              <w:t xml:space="preserve">Office on Smoking and Health, Epidemiology Branch, CDC </w:t>
            </w:r>
            <w:r w:rsidRPr="00ED54CE">
              <w:br/>
              <w:t>4770 Buford Highway NE, MS-</w:t>
            </w:r>
            <w:r w:rsidRPr="00ED54CE">
              <w:t xml:space="preserve">S107-7 </w:t>
            </w:r>
            <w:r w:rsidRPr="00ED54CE">
              <w:br/>
              <w:t xml:space="preserve">Atlanta, GA 30341 </w:t>
            </w:r>
            <w:r w:rsidRPr="00ED54CE">
              <w:br/>
              <w:t xml:space="preserve">Phone: 770-488-5077; Fax: 770-488-5848 </w:t>
            </w:r>
            <w:r w:rsidRPr="00ED54CE">
              <w:br/>
              <w:t xml:space="preserve">E-mail: </w:t>
            </w:r>
            <w:hyperlink r:id="rId11" w:history="1">
              <w:r w:rsidRPr="00ED54CE">
                <w:rPr>
                  <w:rStyle w:val="Hyperlink"/>
                </w:rPr>
                <w:t>AJamal@cdc.gov</w:t>
              </w:r>
            </w:hyperlink>
            <w:r w:rsidRPr="00ED54CE">
              <w:t xml:space="preserve"> </w:t>
            </w:r>
          </w:p>
          <w:p w:rsidR="00E16B22" w:rsidRPr="00ED54CE" w:rsidP="00A70E70" w14:paraId="76F0DF2E" w14:textId="21262399"/>
        </w:tc>
        <w:tc>
          <w:tcPr>
            <w:tcW w:w="4230" w:type="dxa"/>
          </w:tcPr>
          <w:p w:rsidR="00DB0B1C" w:rsidRPr="00ED54CE" w:rsidP="00303C0A" w14:paraId="11AEE9DD" w14:textId="60A79C3B">
            <w:pPr>
              <w:tabs>
                <w:tab w:val="left" w:pos="0"/>
              </w:tabs>
              <w:spacing w:line="228" w:lineRule="auto"/>
            </w:pPr>
            <w:r w:rsidRPr="00ED54CE">
              <w:t>Burton Levine</w:t>
            </w:r>
            <w:r w:rsidRPr="00ED54CE" w:rsidR="008850CF">
              <w:t>,</w:t>
            </w:r>
            <w:r w:rsidRPr="00ED54CE">
              <w:t xml:space="preserve"> M</w:t>
            </w:r>
            <w:r w:rsidRPr="00ED54CE" w:rsidR="008032D5">
              <w:t>.</w:t>
            </w:r>
            <w:r w:rsidRPr="00ED54CE">
              <w:t>S</w:t>
            </w:r>
            <w:r w:rsidRPr="00ED54CE" w:rsidR="008032D5">
              <w:t>.</w:t>
            </w:r>
          </w:p>
          <w:p w:rsidR="00430F4A" w:rsidRPr="00ED54CE" w:rsidP="00303C0A" w14:paraId="7E4E8A63" w14:textId="03D95A3C">
            <w:pPr>
              <w:tabs>
                <w:tab w:val="left" w:pos="0"/>
              </w:tabs>
              <w:spacing w:line="228" w:lineRule="auto"/>
            </w:pPr>
            <w:r w:rsidRPr="00ED54CE">
              <w:t>Senior Research Statistician</w:t>
            </w:r>
          </w:p>
          <w:p w:rsidR="00430F4A" w:rsidRPr="00ED54CE" w:rsidP="00303C0A" w14:paraId="262006A1" w14:textId="4483DEA7">
            <w:pPr>
              <w:tabs>
                <w:tab w:val="left" w:pos="0"/>
              </w:tabs>
              <w:spacing w:line="228" w:lineRule="auto"/>
            </w:pPr>
            <w:r w:rsidRPr="00ED54CE">
              <w:t>RTI International</w:t>
            </w:r>
          </w:p>
          <w:p w:rsidR="003A7012" w:rsidRPr="00ED54CE" w:rsidP="00303C0A" w14:paraId="1188E716" w14:textId="29FB7287">
            <w:pPr>
              <w:tabs>
                <w:tab w:val="left" w:pos="0"/>
              </w:tabs>
              <w:spacing w:line="228" w:lineRule="auto"/>
            </w:pPr>
            <w:r w:rsidRPr="00ED54CE">
              <w:t>Phone: 919-541-1252</w:t>
            </w:r>
          </w:p>
          <w:p w:rsidR="00430F4A" w:rsidRPr="00ED54CE" w:rsidP="00303C0A" w14:paraId="35AB2256" w14:textId="75C13E88">
            <w:pPr>
              <w:tabs>
                <w:tab w:val="left" w:pos="0"/>
              </w:tabs>
              <w:spacing w:line="228" w:lineRule="auto"/>
            </w:pPr>
            <w:r w:rsidRPr="00ED54CE">
              <w:t xml:space="preserve">Email: </w:t>
            </w:r>
            <w:r w:rsidRPr="00ED54CE" w:rsidR="008C1630">
              <w:t>blevine@rti.org</w:t>
            </w:r>
          </w:p>
        </w:tc>
      </w:tr>
      <w:tr w14:paraId="4C07E3AF" w14:textId="77777777" w:rsidTr="00563651">
        <w:tblPrEx>
          <w:tblW w:w="0" w:type="auto"/>
          <w:tblInd w:w="648" w:type="dxa"/>
          <w:tblLook w:val="04A0"/>
        </w:tblPrEx>
        <w:tc>
          <w:tcPr>
            <w:tcW w:w="3780" w:type="dxa"/>
          </w:tcPr>
          <w:p w:rsidR="00B625B1" w:rsidRPr="00B625B1" w:rsidP="00B625B1" w14:paraId="3B457DB3" w14:textId="77777777">
            <w:pPr>
              <w:rPr>
                <w:sz w:val="22"/>
                <w:szCs w:val="22"/>
              </w:rPr>
            </w:pPr>
            <w:r w:rsidRPr="00B625B1">
              <w:rPr>
                <w:sz w:val="22"/>
                <w:szCs w:val="22"/>
              </w:rPr>
              <w:t>Eunice Park-Lee, Ph.D., M.S.</w:t>
            </w:r>
          </w:p>
          <w:p w:rsidR="00B625B1" w:rsidRPr="00B625B1" w:rsidP="00B625B1" w14:paraId="73F40947" w14:textId="77777777">
            <w:pPr>
              <w:rPr>
                <w:sz w:val="22"/>
                <w:szCs w:val="22"/>
              </w:rPr>
            </w:pPr>
            <w:r w:rsidRPr="00B625B1">
              <w:rPr>
                <w:sz w:val="22"/>
                <w:szCs w:val="22"/>
              </w:rPr>
              <w:t>Survey Statistician, Division of Population Health Science</w:t>
            </w:r>
          </w:p>
          <w:p w:rsidR="00B625B1" w:rsidRPr="00B625B1" w:rsidP="00B625B1" w14:paraId="7414CD0B" w14:textId="77777777">
            <w:pPr>
              <w:rPr>
                <w:sz w:val="22"/>
                <w:szCs w:val="22"/>
              </w:rPr>
            </w:pPr>
            <w:r w:rsidRPr="00B625B1">
              <w:rPr>
                <w:sz w:val="22"/>
                <w:szCs w:val="22"/>
              </w:rPr>
              <w:t>Center for Tobacco Products,</w:t>
            </w:r>
          </w:p>
          <w:p w:rsidR="00B625B1" w:rsidRPr="00B625B1" w:rsidP="00B625B1" w14:paraId="5D0B20B2" w14:textId="77777777">
            <w:pPr>
              <w:rPr>
                <w:sz w:val="22"/>
                <w:szCs w:val="22"/>
              </w:rPr>
            </w:pPr>
            <w:r w:rsidRPr="00B625B1">
              <w:rPr>
                <w:sz w:val="22"/>
                <w:szCs w:val="22"/>
              </w:rPr>
              <w:t xml:space="preserve">Food and Drug Administration </w:t>
            </w:r>
          </w:p>
          <w:p w:rsidR="00B625B1" w:rsidRPr="00B625B1" w:rsidP="00B625B1" w14:paraId="0EF236B1" w14:textId="77777777">
            <w:pPr>
              <w:rPr>
                <w:sz w:val="22"/>
                <w:szCs w:val="22"/>
              </w:rPr>
            </w:pPr>
            <w:r w:rsidRPr="00B625B1">
              <w:rPr>
                <w:sz w:val="22"/>
                <w:szCs w:val="22"/>
              </w:rPr>
              <w:t>10903 New Hampshire Avenue, Silver Spring, MD 20993</w:t>
            </w:r>
          </w:p>
          <w:p w:rsidR="00B625B1" w:rsidRPr="00B625B1" w:rsidP="00B625B1" w14:paraId="7D28D899" w14:textId="77777777">
            <w:pPr>
              <w:rPr>
                <w:sz w:val="22"/>
                <w:szCs w:val="22"/>
              </w:rPr>
            </w:pPr>
            <w:r w:rsidRPr="00B625B1">
              <w:rPr>
                <w:sz w:val="22"/>
                <w:szCs w:val="22"/>
              </w:rPr>
              <w:t>Phone: 301-837-7342</w:t>
            </w:r>
          </w:p>
          <w:p w:rsidR="00CE1085" w:rsidP="00B625B1" w14:paraId="0B6D10CB" w14:textId="230A5D8B">
            <w:r w:rsidRPr="00B625B1">
              <w:rPr>
                <w:sz w:val="22"/>
                <w:szCs w:val="22"/>
              </w:rPr>
              <w:t>E-mail: Eunice.Park-Lee@fda.hhs.gov</w:t>
            </w:r>
          </w:p>
        </w:tc>
        <w:tc>
          <w:tcPr>
            <w:tcW w:w="4230" w:type="dxa"/>
          </w:tcPr>
          <w:p w:rsidR="00CE1085" w:rsidRPr="00ED54CE" w:rsidP="00303C0A" w14:paraId="7229E375" w14:textId="77777777">
            <w:pPr>
              <w:tabs>
                <w:tab w:val="left" w:pos="0"/>
              </w:tabs>
              <w:spacing w:line="228" w:lineRule="auto"/>
            </w:pPr>
          </w:p>
        </w:tc>
      </w:tr>
    </w:tbl>
    <w:p w:rsidR="00DB0B1C" w:rsidRPr="00ED54CE" w:rsidP="00EE43A4" w14:paraId="1AA8239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DE3975" w:rsidRPr="00ED54CE" w:rsidP="00EE43A4" w14:paraId="3F699505"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EE43A4" w:rsidRPr="00ED54CE" w:rsidP="00DE3975" w14:paraId="5086C542" w14:textId="77777777">
      <w:pPr>
        <w:pStyle w:val="Heading3"/>
        <w:spacing w:before="0"/>
        <w:rPr>
          <w:rFonts w:ascii="Times New Roman" w:hAnsi="Times New Roman"/>
          <w:sz w:val="24"/>
          <w:szCs w:val="24"/>
          <w:u w:val="single"/>
        </w:rPr>
      </w:pPr>
      <w:r w:rsidRPr="00ED54CE">
        <w:rPr>
          <w:rFonts w:ascii="Times New Roman" w:hAnsi="Times New Roman"/>
          <w:sz w:val="24"/>
          <w:szCs w:val="24"/>
          <w:u w:val="single"/>
        </w:rPr>
        <w:t>Agency Responsibility</w:t>
      </w:r>
    </w:p>
    <w:p w:rsidR="00BF2BF3" w:rsidRPr="00ED54CE" w:rsidP="00DE3975" w14:paraId="5D4A4E71" w14:textId="77777777">
      <w:pPr>
        <w:rPr>
          <w:lang w:val="x-none" w:eastAsia="x-none"/>
        </w:rPr>
      </w:pPr>
    </w:p>
    <w:p w:rsidR="00EE43A4" w:rsidRPr="00ED54CE" w:rsidP="00DE3975" w14:paraId="06B01A40"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rsidRPr="00ED54CE">
        <w:t>Within the agency, the following individual</w:t>
      </w:r>
      <w:r w:rsidRPr="00ED54CE" w:rsidR="0049021F">
        <w:t>s</w:t>
      </w:r>
      <w:r w:rsidRPr="00ED54CE">
        <w:t xml:space="preserve"> will be responsible for receiving and approving contract deliverables and </w:t>
      </w:r>
      <w:r w:rsidRPr="00ED54CE" w:rsidR="0049021F">
        <w:t xml:space="preserve">for having </w:t>
      </w:r>
      <w:r w:rsidRPr="00ED54CE">
        <w:t>primary responsibility for data analysis:</w:t>
      </w:r>
    </w:p>
    <w:p w:rsidR="00EE43A4" w:rsidRPr="00ED54CE" w:rsidP="00652783" w14:paraId="2CEBAA85" w14:textId="77777777">
      <w:pPr>
        <w:ind w:left="720"/>
        <w:rPr>
          <w:lang w:val="fr-FR"/>
        </w:rPr>
      </w:pPr>
    </w:p>
    <w:p w:rsidR="0049021F" w:rsidRPr="00ED54CE" w:rsidP="00652783" w14:paraId="67F97CAB" w14:textId="77777777">
      <w:pPr>
        <w:ind w:left="720"/>
        <w:rPr>
          <w:b/>
          <w:lang w:val="fr-FR"/>
        </w:rPr>
      </w:pPr>
      <w:r w:rsidRPr="00ED54CE">
        <w:rPr>
          <w:b/>
        </w:rPr>
        <w:t>Contract Deliverables</w:t>
      </w:r>
    </w:p>
    <w:p w:rsidR="0049021F" w:rsidRPr="00ED54CE" w:rsidP="00652783" w14:paraId="3F4BC9E2" w14:textId="69A555A4">
      <w:pPr>
        <w:ind w:left="720"/>
        <w:rPr>
          <w:lang w:val="fr-FR"/>
        </w:rPr>
      </w:pPr>
      <w:r w:rsidRPr="00ED54CE">
        <w:t xml:space="preserve">Ahmed Jamal, M.B.B.S., M.P.H. </w:t>
      </w:r>
      <w:r w:rsidRPr="00ED54CE">
        <w:br/>
        <w:t xml:space="preserve">Office on Smoking and Health, Epidemiology Branch, CDC </w:t>
      </w:r>
      <w:r w:rsidRPr="00ED54CE">
        <w:br/>
        <w:t xml:space="preserve">4770 Buford Highway NE, MS-S107-7 </w:t>
      </w:r>
      <w:r w:rsidRPr="00ED54CE">
        <w:br/>
        <w:t xml:space="preserve">Atlanta, GA 30341 </w:t>
      </w:r>
      <w:r w:rsidRPr="00ED54CE">
        <w:br/>
        <w:t xml:space="preserve">Phone: 770-488-5077; Fax: 770-488-5848 </w:t>
      </w:r>
      <w:r w:rsidRPr="00ED54CE">
        <w:br/>
        <w:t xml:space="preserve">E-mail: </w:t>
      </w:r>
      <w:hyperlink r:id="rId11" w:history="1">
        <w:r w:rsidRPr="00ED54CE">
          <w:rPr>
            <w:rStyle w:val="Hyperlink"/>
          </w:rPr>
          <w:t>AJamal@cdc.gov</w:t>
        </w:r>
      </w:hyperlink>
    </w:p>
    <w:p w:rsidR="000409D3" w:rsidRPr="00ED54CE" w:rsidP="00652783" w14:paraId="598CC2EF" w14:textId="77777777">
      <w:pPr>
        <w:ind w:left="720"/>
        <w:rPr>
          <w:lang w:val="fr-FR"/>
        </w:rPr>
      </w:pPr>
    </w:p>
    <w:p w:rsidR="0049021F" w:rsidRPr="00ED54CE" w:rsidP="00652783" w14:paraId="081F30E1" w14:textId="77777777">
      <w:pPr>
        <w:ind w:left="720"/>
        <w:rPr>
          <w:b/>
          <w:lang w:val="fr-FR"/>
        </w:rPr>
      </w:pPr>
      <w:r w:rsidRPr="00ED54CE">
        <w:rPr>
          <w:b/>
          <w:lang w:val="fr-FR"/>
        </w:rPr>
        <w:t>Data</w:t>
      </w:r>
      <w:r w:rsidRPr="00ED54CE">
        <w:rPr>
          <w:b/>
        </w:rPr>
        <w:t xml:space="preserve"> Analysis</w:t>
      </w:r>
    </w:p>
    <w:p w:rsidR="00E02F9C" w:rsidP="00652783" w14:paraId="6541DDA2" w14:textId="051B09E3">
      <w:pPr>
        <w:ind w:left="720"/>
      </w:pPr>
      <w:r w:rsidRPr="00ED54CE">
        <w:t>Monica Cornelius,</w:t>
      </w:r>
      <w:r w:rsidRPr="00ED54CE" w:rsidR="00A87782">
        <w:t xml:space="preserve"> </w:t>
      </w:r>
      <w:r w:rsidRPr="00ED54CE">
        <w:t xml:space="preserve">Ph.D., </w:t>
      </w:r>
      <w:r w:rsidRPr="00ED54CE" w:rsidR="00652783">
        <w:t>M</w:t>
      </w:r>
      <w:r w:rsidRPr="00ED54CE" w:rsidR="00387F17">
        <w:t>.</w:t>
      </w:r>
      <w:r w:rsidRPr="00ED54CE" w:rsidR="00652783">
        <w:t>P</w:t>
      </w:r>
      <w:r w:rsidRPr="00ED54CE" w:rsidR="00387F17">
        <w:t>.</w:t>
      </w:r>
      <w:r w:rsidRPr="00ED54CE" w:rsidR="00652783">
        <w:t>H</w:t>
      </w:r>
      <w:r w:rsidRPr="00ED54CE" w:rsidR="00387F17">
        <w:t>.</w:t>
      </w:r>
    </w:p>
    <w:p w:rsidR="00652783" w:rsidRPr="00ED54CE" w:rsidP="00652783" w14:paraId="2FA2EA5A" w14:textId="7956EF13">
      <w:pPr>
        <w:ind w:left="720"/>
      </w:pPr>
      <w:r w:rsidRPr="00ED54CE">
        <w:t xml:space="preserve">Office on Smoking and Health, </w:t>
      </w:r>
      <w:r w:rsidRPr="00ED54CE">
        <w:t>Epidemiology Branch</w:t>
      </w:r>
      <w:r w:rsidRPr="00ED54CE" w:rsidR="005C79C1">
        <w:t>, CDC</w:t>
      </w:r>
      <w:r w:rsidRPr="00ED54CE">
        <w:br/>
        <w:t>4770 Buford Highway NE, MS-</w:t>
      </w:r>
      <w:r w:rsidRPr="00ED54CE" w:rsidR="0049021F">
        <w:t xml:space="preserve">S107-7 </w:t>
      </w:r>
      <w:r w:rsidRPr="00ED54CE">
        <w:br/>
        <w:t>Atlanta</w:t>
      </w:r>
      <w:r w:rsidRPr="00ED54CE">
        <w:t xml:space="preserve">, GA 30341 </w:t>
      </w:r>
      <w:r w:rsidRPr="00ED54CE">
        <w:br/>
        <w:t>Phon</w:t>
      </w:r>
      <w:r w:rsidR="00112F05">
        <w:t xml:space="preserve">e </w:t>
      </w:r>
      <w:r w:rsidRPr="00ED54CE" w:rsidR="00613311">
        <w:t>404-718-4654</w:t>
      </w:r>
      <w:r w:rsidRPr="00ED54CE">
        <w:t xml:space="preserve">; </w:t>
      </w:r>
      <w:r w:rsidRPr="00ED54CE">
        <w:t xml:space="preserve">Fax: 770-488-5848 </w:t>
      </w:r>
      <w:r w:rsidRPr="00ED54CE">
        <w:br/>
        <w:t xml:space="preserve">E-mail: </w:t>
      </w:r>
      <w:hyperlink r:id="rId12" w:history="1">
        <w:r w:rsidRPr="00ED54CE" w:rsidR="009C5579">
          <w:rPr>
            <w:rStyle w:val="Hyperlink"/>
          </w:rPr>
          <w:t>MCornelius@cdc.gov</w:t>
        </w:r>
      </w:hyperlink>
      <w:r w:rsidRPr="00ED54CE">
        <w:t xml:space="preserve"> </w:t>
      </w:r>
    </w:p>
    <w:p w:rsidR="00B171EE" w:rsidRPr="00ED54CE" w:rsidP="00EE43A4" w14:paraId="18054488"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b/>
          <w:bCs/>
          <w:u w:val="single"/>
        </w:rPr>
      </w:pPr>
    </w:p>
    <w:p w:rsidR="00EE43A4" w:rsidRPr="00ED54CE" w:rsidP="00BF2BF3" w14:paraId="1D22D3F9" w14:textId="77777777">
      <w:pPr>
        <w:pStyle w:val="Heading3"/>
        <w:rPr>
          <w:rFonts w:ascii="Times New Roman" w:hAnsi="Times New Roman"/>
          <w:sz w:val="24"/>
          <w:szCs w:val="24"/>
          <w:u w:val="single"/>
        </w:rPr>
      </w:pPr>
      <w:r w:rsidRPr="00ED54CE">
        <w:rPr>
          <w:rFonts w:ascii="Times New Roman" w:hAnsi="Times New Roman"/>
          <w:sz w:val="24"/>
          <w:szCs w:val="24"/>
          <w:u w:val="single"/>
        </w:rPr>
        <w:t xml:space="preserve">Responsibility for </w:t>
      </w:r>
      <w:r w:rsidRPr="00ED54CE" w:rsidR="0091239B">
        <w:rPr>
          <w:rFonts w:ascii="Times New Roman" w:hAnsi="Times New Roman"/>
          <w:sz w:val="24"/>
          <w:szCs w:val="24"/>
          <w:u w:val="single"/>
        </w:rPr>
        <w:t>Data Collection</w:t>
      </w:r>
    </w:p>
    <w:p w:rsidR="00BF2BF3" w:rsidRPr="00ED54CE" w:rsidP="00DE3975" w14:paraId="5C2AC4A2" w14:textId="77777777">
      <w:pPr>
        <w:rPr>
          <w:lang w:val="x-none" w:eastAsia="x-none"/>
        </w:rPr>
      </w:pPr>
    </w:p>
    <w:p w:rsidR="00EE43A4" w:rsidRPr="00ED54CE" w:rsidP="00BF2BF3" w14:paraId="6FC65822" w14:textId="484C8FC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rsidRPr="00ED54CE">
        <w:t>The representative</w:t>
      </w:r>
      <w:r w:rsidRPr="00ED54CE" w:rsidR="00BB0D68">
        <w:t>s</w:t>
      </w:r>
      <w:r w:rsidRPr="00ED54CE">
        <w:t xml:space="preserve"> of the contractor</w:t>
      </w:r>
      <w:r w:rsidRPr="00ED54CE" w:rsidR="00931490">
        <w:t xml:space="preserve">, </w:t>
      </w:r>
      <w:r w:rsidRPr="00ED54CE" w:rsidR="008C1630">
        <w:t xml:space="preserve">RTI </w:t>
      </w:r>
      <w:r w:rsidRPr="00ED54CE" w:rsidR="00931490">
        <w:t>International,</w:t>
      </w:r>
      <w:r w:rsidRPr="00ED54CE">
        <w:t xml:space="preserve"> responsible for conducting the planned data collection </w:t>
      </w:r>
      <w:r w:rsidRPr="00ED54CE" w:rsidR="00BB0D68">
        <w:t xml:space="preserve">are </w:t>
      </w:r>
      <w:r w:rsidRPr="00ED54CE" w:rsidR="008C1630">
        <w:t>Deb</w:t>
      </w:r>
      <w:r w:rsidRPr="00ED54CE" w:rsidR="00811E49">
        <w:t>bie</w:t>
      </w:r>
      <w:r w:rsidRPr="00ED54CE" w:rsidR="008C1630">
        <w:t xml:space="preserve"> Herget</w:t>
      </w:r>
      <w:r w:rsidRPr="00ED54CE" w:rsidR="00430F4A">
        <w:t xml:space="preserve"> (Project Director), </w:t>
      </w:r>
      <w:r w:rsidRPr="00ED54CE" w:rsidR="008C1630">
        <w:t>Lauren Dutra</w:t>
      </w:r>
      <w:r w:rsidRPr="00ED54CE" w:rsidR="00BB0D68">
        <w:t xml:space="preserve">, </w:t>
      </w:r>
      <w:r w:rsidRPr="00ED54CE" w:rsidR="00CA1446">
        <w:t xml:space="preserve">Jean Lennon, </w:t>
      </w:r>
      <w:r w:rsidRPr="00ED54CE" w:rsidR="008C1630">
        <w:t>Colleen Spagnardi</w:t>
      </w:r>
      <w:r w:rsidRPr="00ED54CE" w:rsidR="00BB0D68">
        <w:t>, and others a</w:t>
      </w:r>
      <w:r w:rsidRPr="00ED54CE" w:rsidR="009303E2">
        <w:t>s designated by the contractor</w:t>
      </w:r>
      <w:r w:rsidRPr="00ED54CE" w:rsidR="003A7012">
        <w:t>.</w:t>
      </w:r>
    </w:p>
    <w:p w:rsidR="005C79C1" w:rsidRPr="00ED54CE" w:rsidP="00EE43A4" w14:paraId="27301607"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sz w:val="23"/>
          <w:szCs w:val="23"/>
        </w:rPr>
      </w:pPr>
    </w:p>
    <w:p w:rsidR="000D72F8" w:rsidRPr="00ED54CE" w:rsidP="00BF2BF3" w14:paraId="7AC9BFD0"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r w:rsidRPr="00ED54CE">
        <w:rPr>
          <w:sz w:val="23"/>
          <w:szCs w:val="23"/>
        </w:rPr>
        <w:br w:type="page"/>
      </w:r>
      <w:hyperlink r:id="rId10" w:history="1"/>
      <w:r w:rsidRPr="00ED54CE">
        <w:rPr>
          <w:b/>
          <w:sz w:val="23"/>
          <w:szCs w:val="23"/>
        </w:rPr>
        <w:t>REFERENCES</w:t>
      </w:r>
    </w:p>
    <w:p w:rsidR="00213030" w:rsidRPr="00ED54CE" w:rsidP="00213030" w14:paraId="28D0946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p>
    <w:p w:rsidR="00320A32" w:rsidRPr="00ED54CE" w:rsidP="00320A32" w14:paraId="64D95D53" w14:textId="77777777">
      <w:pPr>
        <w:pStyle w:val="HTMLPreformatted"/>
        <w:rPr>
          <w:rFonts w:ascii="Times New Roman" w:eastAsia="Calibri" w:hAnsi="Times New Roman" w:cs="Times New Roman"/>
          <w:sz w:val="24"/>
          <w:szCs w:val="24"/>
        </w:rPr>
      </w:pPr>
      <w:r w:rsidRPr="00ED54CE">
        <w:rPr>
          <w:rFonts w:ascii="Times New Roman" w:eastAsia="Calibri" w:hAnsi="Times New Roman" w:cs="Times New Roman"/>
          <w:sz w:val="24"/>
          <w:szCs w:val="24"/>
        </w:rPr>
        <w:t xml:space="preserve">CDC (2001). Youth Tobacco Surveillance–United States, 2000. </w:t>
      </w:r>
      <w:r w:rsidRPr="00ED54CE">
        <w:rPr>
          <w:rFonts w:ascii="Times New Roman" w:eastAsia="Calibri" w:hAnsi="Times New Roman" w:cs="Times New Roman"/>
          <w:i/>
          <w:sz w:val="24"/>
          <w:szCs w:val="24"/>
        </w:rPr>
        <w:t>MMWR</w:t>
      </w:r>
      <w:r w:rsidRPr="00ED54CE">
        <w:rPr>
          <w:rFonts w:ascii="Times New Roman" w:eastAsia="Calibri" w:hAnsi="Times New Roman" w:cs="Times New Roman"/>
          <w:sz w:val="24"/>
          <w:szCs w:val="24"/>
        </w:rPr>
        <w:t>; 50(SS-4).</w:t>
      </w:r>
    </w:p>
    <w:p w:rsidR="00320A32" w:rsidRPr="00ED54CE" w:rsidP="00320A32" w14:paraId="01DE1E4F" w14:textId="77777777">
      <w:pPr>
        <w:pStyle w:val="HTMLPreformatted"/>
        <w:rPr>
          <w:rFonts w:ascii="Times New Roman" w:eastAsia="Calibri" w:hAnsi="Times New Roman" w:cs="Times New Roman"/>
          <w:sz w:val="24"/>
          <w:szCs w:val="24"/>
        </w:rPr>
      </w:pPr>
    </w:p>
    <w:p w:rsidR="00320A32" w:rsidRPr="00ED54CE" w:rsidP="00320A32" w14:paraId="413D786B" w14:textId="77777777">
      <w:pPr>
        <w:spacing w:after="200"/>
        <w:ind w:left="720" w:hanging="720"/>
        <w:rPr>
          <w:rFonts w:eastAsia="Calibri"/>
        </w:rPr>
      </w:pPr>
      <w:r w:rsidRPr="00ED54CE">
        <w:rPr>
          <w:rFonts w:eastAsia="Calibri"/>
        </w:rPr>
        <w:t>CDC (2012). National Youth Tobacco Survey. Atlanta, GA: US Department of Health and Human Services, Centers for Disease Control and Prevention. Available at http://www.cdc.gov/tobacco/data_statistics/surveys/nyts.</w:t>
      </w:r>
    </w:p>
    <w:p w:rsidR="00320A32" w:rsidRPr="00ED54CE" w:rsidP="00320A32" w14:paraId="6E4171CB" w14:textId="77777777">
      <w:pPr>
        <w:spacing w:after="200"/>
        <w:ind w:left="720" w:hanging="720"/>
        <w:rPr>
          <w:rFonts w:eastAsia="Calibri"/>
        </w:rPr>
      </w:pPr>
      <w:r w:rsidRPr="00ED54CE">
        <w:rPr>
          <w:rFonts w:eastAsia="Calibri"/>
        </w:rPr>
        <w:t>CDC (2013).</w:t>
      </w:r>
      <w:r w:rsidRPr="00ED54CE">
        <w:t xml:space="preserve"> </w:t>
      </w:r>
      <w:r w:rsidRPr="00ED54CE">
        <w:rPr>
          <w:rFonts w:eastAsia="Calibri"/>
        </w:rPr>
        <w:t xml:space="preserve">Arrazola RA, Singh T, Corey CG, et al. Tobacco Use Among Middle and High School Students — United States, 2011–2014. MMWR </w:t>
      </w:r>
      <w:r w:rsidRPr="00ED54CE">
        <w:rPr>
          <w:rFonts w:eastAsia="Calibri"/>
        </w:rPr>
        <w:t>Morb</w:t>
      </w:r>
      <w:r w:rsidRPr="00ED54CE">
        <w:rPr>
          <w:rFonts w:eastAsia="Calibri"/>
        </w:rPr>
        <w:t xml:space="preserve"> Mortal </w:t>
      </w:r>
      <w:r w:rsidRPr="00ED54CE">
        <w:rPr>
          <w:rFonts w:eastAsia="Calibri"/>
        </w:rPr>
        <w:t>Wkly</w:t>
      </w:r>
      <w:r w:rsidRPr="00ED54CE">
        <w:rPr>
          <w:rFonts w:eastAsia="Calibri"/>
        </w:rPr>
        <w:t xml:space="preserve"> Rep 2015 / 64(14);381-385.</w:t>
      </w:r>
    </w:p>
    <w:p w:rsidR="00320A32" w:rsidRPr="00ED54CE" w:rsidP="00320A32" w14:paraId="5FB7702E" w14:textId="77777777">
      <w:pPr>
        <w:spacing w:after="200"/>
        <w:ind w:left="720" w:hanging="720"/>
        <w:rPr>
          <w:rFonts w:eastAsia="Calibri"/>
        </w:rPr>
      </w:pPr>
      <w:r w:rsidRPr="00ED54CE">
        <w:rPr>
          <w:rFonts w:eastAsia="Calibri"/>
        </w:rPr>
        <w:t xml:space="preserve">CDC (2014). </w:t>
      </w:r>
      <w:r w:rsidRPr="00ED54CE">
        <w:rPr>
          <w:rFonts w:eastAsia="Calibri"/>
          <w:i/>
        </w:rPr>
        <w:t>Best Practices for Comprehensive Tobacco Control Programs – 2014</w:t>
      </w:r>
      <w:r w:rsidRPr="00ED54CE">
        <w:rPr>
          <w:rFonts w:eastAsia="Calibri"/>
        </w:rPr>
        <w:t>. Atlanta, GA: U.S. Department of Health and Human Services, CDC, National Center for Chronic Disease Prevention and Health Promotion, Office on Smoking and Health.</w:t>
      </w:r>
    </w:p>
    <w:p w:rsidR="00320A32" w:rsidRPr="00ED54CE" w:rsidP="00320A32" w14:paraId="1B57833C" w14:textId="77777777">
      <w:pPr>
        <w:spacing w:after="200"/>
        <w:ind w:left="720" w:hanging="720"/>
        <w:rPr>
          <w:rStyle w:val="Strong"/>
          <w:b w:val="0"/>
          <w:lang w:val="en"/>
        </w:rPr>
      </w:pPr>
      <w:r w:rsidRPr="00ED54CE">
        <w:rPr>
          <w:rFonts w:eastAsia="Calibri"/>
        </w:rPr>
        <w:t xml:space="preserve">CDC (2015). Arrazola RA, Singh T, Corey CG, et al. </w:t>
      </w:r>
      <w:r w:rsidRPr="00ED54CE">
        <w:rPr>
          <w:lang w:val="en"/>
        </w:rPr>
        <w:t xml:space="preserve">Tobacco Use Among Middle and High School Students — United States, 2011–2014. </w:t>
      </w:r>
      <w:r w:rsidRPr="00ED54CE">
        <w:rPr>
          <w:rFonts w:eastAsia="Calibri"/>
        </w:rPr>
        <w:t xml:space="preserve">MMWR </w:t>
      </w:r>
      <w:r w:rsidRPr="00ED54CE">
        <w:rPr>
          <w:rFonts w:eastAsia="Calibri"/>
        </w:rPr>
        <w:t>Morb</w:t>
      </w:r>
      <w:r w:rsidRPr="00ED54CE">
        <w:rPr>
          <w:rFonts w:eastAsia="Calibri"/>
        </w:rPr>
        <w:t xml:space="preserve"> Mortal </w:t>
      </w:r>
      <w:r w:rsidRPr="00ED54CE">
        <w:rPr>
          <w:rFonts w:eastAsia="Calibri"/>
        </w:rPr>
        <w:t>Wkly</w:t>
      </w:r>
      <w:r w:rsidRPr="00ED54CE">
        <w:rPr>
          <w:rFonts w:eastAsia="Calibri"/>
        </w:rPr>
        <w:t xml:space="preserve"> Rep</w:t>
      </w:r>
      <w:r w:rsidRPr="00ED54CE">
        <w:rPr>
          <w:rStyle w:val="Strong"/>
          <w:b w:val="0"/>
          <w:lang w:val="en"/>
        </w:rPr>
        <w:t>, 2015: 64(14);381-385.</w:t>
      </w:r>
    </w:p>
    <w:p w:rsidR="00320A32" w:rsidRPr="00ED54CE" w:rsidP="00320A32" w14:paraId="07524534" w14:textId="77777777">
      <w:pPr>
        <w:spacing w:after="200"/>
        <w:ind w:left="720" w:hanging="720"/>
        <w:rPr>
          <w:rStyle w:val="Strong"/>
          <w:b w:val="0"/>
          <w:lang w:val="en"/>
        </w:rPr>
      </w:pPr>
      <w:r w:rsidRPr="00ED54CE">
        <w:rPr>
          <w:rFonts w:eastAsia="Calibri"/>
        </w:rPr>
        <w:t xml:space="preserve">CDC (2016). Centers for Disease Control and Prevention. CDC Winnable Battles: final report. Available at </w:t>
      </w:r>
      <w:hyperlink r:id="rId13" w:history="1">
        <w:r w:rsidRPr="00ED54CE">
          <w:rPr>
            <w:rStyle w:val="Hyperlink"/>
            <w:rFonts w:eastAsia="Calibri"/>
          </w:rPr>
          <w:t>https://www.cdc.gov/winnablebattles/report/index.html</w:t>
        </w:r>
      </w:hyperlink>
      <w:r w:rsidRPr="00ED54CE">
        <w:rPr>
          <w:rFonts w:eastAsia="Calibri"/>
        </w:rPr>
        <w:t xml:space="preserve">. </w:t>
      </w:r>
    </w:p>
    <w:p w:rsidR="00320A32" w:rsidRPr="00ED54CE" w:rsidP="00320A32" w14:paraId="7A359C67" w14:textId="74A221BE">
      <w:pPr>
        <w:spacing w:after="200"/>
        <w:ind w:left="720" w:hanging="720"/>
      </w:pPr>
      <w:r w:rsidRPr="00ED54CE">
        <w:t>CDC (2018).</w:t>
      </w:r>
      <w:r w:rsidRPr="00ED54CE" w:rsidR="00B65A46">
        <w:t xml:space="preserve"> </w:t>
      </w:r>
      <w:r w:rsidRPr="00ED54CE">
        <w:t xml:space="preserve">Centers for Disease Control and Prevention. </w:t>
      </w:r>
      <w:hyperlink r:id="rId14" w:history="1">
        <w:r w:rsidRPr="00ED54CE">
          <w:rPr>
            <w:rStyle w:val="Hyperlink"/>
          </w:rPr>
          <w:t>CDC's 6|18 initiative: accelerating evidence into action</w:t>
        </w:r>
      </w:hyperlink>
      <w:r w:rsidRPr="00ED54CE">
        <w:t xml:space="preserve">. Available at </w:t>
      </w:r>
      <w:hyperlink r:id="rId14" w:history="1">
        <w:r w:rsidRPr="00ED54CE">
          <w:rPr>
            <w:rStyle w:val="Hyperlink"/>
          </w:rPr>
          <w:t>https://www.cdc.gov/sixeighteen/index.html</w:t>
        </w:r>
      </w:hyperlink>
      <w:r w:rsidRPr="00ED54CE">
        <w:t>.</w:t>
      </w:r>
    </w:p>
    <w:p w:rsidR="00320A32" w:rsidRPr="00ED54CE" w:rsidP="00320A32" w14:paraId="15B87CA8" w14:textId="77777777">
      <w:pPr>
        <w:spacing w:after="200"/>
        <w:ind w:left="720" w:hanging="720"/>
      </w:pPr>
      <w:r w:rsidRPr="00ED54CE">
        <w:rPr>
          <w:rFonts w:eastAsia="Calibri"/>
        </w:rPr>
        <w:t>CDC (2019a).</w:t>
      </w:r>
      <w:r w:rsidRPr="00ED54CE">
        <w:rPr>
          <w:rFonts w:eastAsia="Calibri"/>
          <w:b/>
        </w:rPr>
        <w:t xml:space="preserve"> </w:t>
      </w:r>
      <w:r w:rsidRPr="00ED54CE">
        <w:t xml:space="preserve">Gentzke AS, Creamer M, Cullen KA, et al. </w:t>
      </w:r>
      <w:r w:rsidRPr="00ED54CE">
        <w:rPr>
          <w:i/>
          <w:iCs/>
        </w:rPr>
        <w:t>Vital Signs:</w:t>
      </w:r>
      <w:r w:rsidRPr="00ED54CE">
        <w:t xml:space="preserve"> Tobacco product use among middle and high school students — United States, 2011–2018. MMWR </w:t>
      </w:r>
      <w:r w:rsidRPr="00ED54CE">
        <w:t>Morb</w:t>
      </w:r>
      <w:r w:rsidRPr="00ED54CE">
        <w:t xml:space="preserve"> Mortal </w:t>
      </w:r>
      <w:r w:rsidRPr="00ED54CE">
        <w:t>Wkly</w:t>
      </w:r>
      <w:r w:rsidRPr="00ED54CE">
        <w:t xml:space="preserve"> Rep </w:t>
      </w:r>
      <w:r w:rsidRPr="00ED54CE">
        <w:t>2019;68:157</w:t>
      </w:r>
      <w:r w:rsidRPr="00ED54CE">
        <w:t xml:space="preserve">–164. DOI: </w:t>
      </w:r>
      <w:hyperlink r:id="rId15" w:tgtFrame="_blank" w:history="1">
        <w:r w:rsidRPr="00ED54CE">
          <w:rPr>
            <w:rStyle w:val="Hyperlink"/>
          </w:rPr>
          <w:t>http://dx.doi.org/10.15585/mmwr.mm6806e1</w:t>
        </w:r>
      </w:hyperlink>
    </w:p>
    <w:p w:rsidR="00320A32" w:rsidRPr="00ED54CE" w:rsidP="00320A32" w14:paraId="6192FBCA" w14:textId="77777777">
      <w:pPr>
        <w:spacing w:after="200"/>
        <w:ind w:left="720" w:hanging="720"/>
        <w:rPr>
          <w:rFonts w:eastAsia="Calibri"/>
        </w:rPr>
      </w:pPr>
      <w:r w:rsidRPr="00ED54CE">
        <w:rPr>
          <w:rFonts w:eastAsia="Calibri"/>
        </w:rPr>
        <w:t xml:space="preserve">CDC (2019b). </w:t>
      </w:r>
      <w:r w:rsidRPr="00ED54CE" w:rsidR="00321419">
        <w:rPr>
          <w:rFonts w:eastAsia="Calibri"/>
        </w:rPr>
        <w:t xml:space="preserve">Wang TW, Gentzke AS, Creamer MR, et al. Tobacco Product Use and Associated Factors Among Middle and High School Students —United States, 2019. MMWR </w:t>
      </w:r>
      <w:r w:rsidRPr="00ED54CE" w:rsidR="00321419">
        <w:rPr>
          <w:rFonts w:eastAsia="Calibri"/>
        </w:rPr>
        <w:t>Surveill</w:t>
      </w:r>
      <w:r w:rsidRPr="00ED54CE" w:rsidR="00321419">
        <w:rPr>
          <w:rFonts w:eastAsia="Calibri"/>
        </w:rPr>
        <w:t xml:space="preserve"> </w:t>
      </w:r>
      <w:r w:rsidRPr="00ED54CE" w:rsidR="00321419">
        <w:rPr>
          <w:rFonts w:eastAsia="Calibri"/>
        </w:rPr>
        <w:t>Summ</w:t>
      </w:r>
      <w:r w:rsidRPr="00ED54CE" w:rsidR="00321419">
        <w:rPr>
          <w:rFonts w:eastAsia="Calibri"/>
        </w:rPr>
        <w:t xml:space="preserve"> 2019;68(No. SS-12):1–22. DOI: </w:t>
      </w:r>
      <w:hyperlink r:id="rId16" w:tgtFrame="_blank" w:history="1">
        <w:r w:rsidRPr="00ED54CE" w:rsidR="00321419">
          <w:rPr>
            <w:rStyle w:val="Hyperlink"/>
            <w:rFonts w:eastAsia="Calibri"/>
          </w:rPr>
          <w:t>http://dx.doi.org/10.15585/mmwr.ss6812a1</w:t>
        </w:r>
      </w:hyperlink>
    </w:p>
    <w:p w:rsidR="00914E58" w:rsidRPr="00ED54CE" w:rsidP="00914E58" w14:paraId="02CCE3AE" w14:textId="77777777">
      <w:pPr>
        <w:widowControl/>
        <w:autoSpaceDE/>
        <w:autoSpaceDN/>
        <w:adjustRightInd/>
        <w:spacing w:after="200"/>
        <w:ind w:left="720" w:hanging="720"/>
        <w:rPr>
          <w:rFonts w:eastAsia="Calibri"/>
        </w:rPr>
      </w:pPr>
      <w:r w:rsidRPr="00ED54CE">
        <w:rPr>
          <w:rFonts w:eastAsia="Calibri"/>
        </w:rPr>
        <w:t xml:space="preserve">CDC (2020). Wang TW, Neff LJ, Park-Lee E, et al. E-cigarette Use Among Middle and High School Students – United States, 2020. MMWR </w:t>
      </w:r>
      <w:r w:rsidRPr="00ED54CE">
        <w:rPr>
          <w:rFonts w:eastAsia="Calibri"/>
        </w:rPr>
        <w:t>Morb</w:t>
      </w:r>
      <w:r w:rsidRPr="00ED54CE">
        <w:rPr>
          <w:rFonts w:eastAsia="Calibri"/>
        </w:rPr>
        <w:t xml:space="preserve"> Mortal </w:t>
      </w:r>
      <w:r w:rsidRPr="00ED54CE">
        <w:rPr>
          <w:rFonts w:eastAsia="Calibri"/>
        </w:rPr>
        <w:t>Wkly</w:t>
      </w:r>
      <w:r w:rsidRPr="00ED54CE">
        <w:rPr>
          <w:rFonts w:eastAsia="Calibri"/>
        </w:rPr>
        <w:t xml:space="preserve"> Rep </w:t>
      </w:r>
      <w:r w:rsidRPr="00ED54CE">
        <w:rPr>
          <w:rFonts w:eastAsia="Calibri"/>
        </w:rPr>
        <w:t>2020;69:1310</w:t>
      </w:r>
      <w:r w:rsidRPr="00ED54CE">
        <w:rPr>
          <w:rFonts w:eastAsia="Calibri"/>
        </w:rPr>
        <w:t xml:space="preserve">-1312. DOI: </w:t>
      </w:r>
      <w:hyperlink r:id="rId17" w:tgtFrame="_blank" w:history="1">
        <w:r w:rsidRPr="00ED54CE">
          <w:rPr>
            <w:color w:val="0000FF"/>
            <w:u w:val="single"/>
          </w:rPr>
          <w:t>http://dx.doi.org/10.15585/mmwr.mm6937e1</w:t>
        </w:r>
      </w:hyperlink>
      <w:r w:rsidRPr="00ED54CE">
        <w:t xml:space="preserve"> </w:t>
      </w:r>
    </w:p>
    <w:p w:rsidR="0070659E" w:rsidRPr="00ED54CE" w:rsidP="0070659E" w14:paraId="50D995C9" w14:textId="77777777">
      <w:pPr>
        <w:spacing w:after="200"/>
        <w:ind w:left="720" w:hanging="720"/>
      </w:pPr>
      <w:r w:rsidRPr="00ED54CE">
        <w:t xml:space="preserve">CDC (2022a). Centers for Disease Control and Prevention. Fiscal year 2023: Justification of estimates for appropriation committees. Available at </w:t>
      </w:r>
      <w:hyperlink r:id="rId18" w:history="1">
        <w:r w:rsidRPr="00ED54CE">
          <w:rPr>
            <w:rStyle w:val="Hyperlink"/>
          </w:rPr>
          <w:t>https://www.cdc.gov/budget/documents/fy2023/FY-2023-CDC-congressional-justification.pdf</w:t>
        </w:r>
      </w:hyperlink>
      <w:r w:rsidRPr="00ED54CE">
        <w:t>.</w:t>
      </w:r>
    </w:p>
    <w:p w:rsidR="0070659E" w:rsidRPr="00ED54CE" w:rsidP="0070659E" w14:paraId="4654129C" w14:textId="77777777">
      <w:pPr>
        <w:spacing w:after="200"/>
        <w:ind w:left="720" w:hanging="720"/>
      </w:pPr>
      <w:r w:rsidRPr="00ED54CE">
        <w:rPr>
          <w:rStyle w:val="Strong"/>
          <w:b w:val="0"/>
          <w:bCs w:val="0"/>
        </w:rPr>
        <w:t xml:space="preserve">CDC (2022b). Park-Lee E, Ren C, Cooper M, et al. </w:t>
      </w:r>
      <w:r w:rsidRPr="00ED54CE">
        <w:rPr>
          <w:rStyle w:val="Strong"/>
          <w:i/>
          <w:iCs/>
        </w:rPr>
        <w:t xml:space="preserve">Vital Signs: </w:t>
      </w:r>
      <w:r w:rsidRPr="00ED54CE">
        <w:t xml:space="preserve">Tobacco product use among middle and high school students — United States, 2022. MMWR </w:t>
      </w:r>
      <w:r w:rsidRPr="00ED54CE">
        <w:t>Morb</w:t>
      </w:r>
      <w:r w:rsidRPr="00ED54CE">
        <w:t xml:space="preserve"> Mortal </w:t>
      </w:r>
      <w:r w:rsidRPr="00ED54CE">
        <w:t>Wkly</w:t>
      </w:r>
      <w:r w:rsidRPr="00ED54CE">
        <w:t xml:space="preserve"> Rep </w:t>
      </w:r>
      <w:r w:rsidRPr="00ED54CE">
        <w:t>2022;71:1429</w:t>
      </w:r>
      <w:r w:rsidRPr="00ED54CE">
        <w:t xml:space="preserve">-1435. </w:t>
      </w:r>
      <w:hyperlink r:id="rId19" w:history="1">
        <w:r w:rsidRPr="00ED54CE">
          <w:rPr>
            <w:rStyle w:val="Hyperlink"/>
          </w:rPr>
          <w:t>http://dx.doi.org/10.15585/mmwr.mm7145a1</w:t>
        </w:r>
      </w:hyperlink>
    </w:p>
    <w:p w:rsidR="00320A32" w:rsidRPr="00ED54CE" w:rsidP="00320A32" w14:paraId="5ED26E84" w14:textId="77777777">
      <w:pPr>
        <w:spacing w:after="200"/>
        <w:ind w:left="720" w:hanging="720"/>
        <w:rPr>
          <w:rFonts w:eastAsia="Calibri"/>
        </w:rPr>
      </w:pPr>
      <w:r w:rsidRPr="00ED54CE">
        <w:rPr>
          <w:rFonts w:eastAsia="Calibri"/>
        </w:rPr>
        <w:t xml:space="preserve">FDA (2014). </w:t>
      </w:r>
      <w:r w:rsidRPr="00ED54CE">
        <w:rPr>
          <w:rFonts w:eastAsia="Calibri"/>
          <w:i/>
        </w:rPr>
        <w:t xml:space="preserve">FDA Proposes to Extend Its Tobacco Authority to Additional Tobacco Products, including e-cigarettes. FDA NEWS RELEASE. </w:t>
      </w:r>
      <w:r w:rsidRPr="00ED54CE">
        <w:rPr>
          <w:rFonts w:eastAsia="Calibri"/>
        </w:rPr>
        <w:t>N.p.</w:t>
      </w:r>
      <w:r w:rsidRPr="00ED54CE">
        <w:rPr>
          <w:rFonts w:eastAsia="Calibri"/>
        </w:rPr>
        <w:t>, 24 Apr. 2014. Web. 9 May 2014.</w:t>
      </w:r>
      <w:r w:rsidRPr="00ED54CE">
        <w:rPr>
          <w:rFonts w:eastAsia="Calibri"/>
          <w:i/>
        </w:rPr>
        <w:t xml:space="preserve"> </w:t>
      </w:r>
      <w:r w:rsidRPr="00ED54CE">
        <w:rPr>
          <w:rFonts w:eastAsia="Calibri"/>
        </w:rPr>
        <w:t>http://www.fda.gov/newsevents/newsroom/pressannouncements/ucm394667.htm</w:t>
      </w:r>
    </w:p>
    <w:p w:rsidR="00320A32" w:rsidRPr="00ED54CE" w:rsidP="00320A32" w14:paraId="49E69AA4" w14:textId="77777777">
      <w:pPr>
        <w:spacing w:after="200"/>
        <w:ind w:left="720" w:hanging="720"/>
      </w:pPr>
      <w:r w:rsidRPr="00ED54CE">
        <w:rPr>
          <w:rFonts w:eastAsia="Calibri"/>
        </w:rPr>
        <w:t xml:space="preserve">FDA (2018). </w:t>
      </w:r>
      <w:r w:rsidRPr="00ED54CE">
        <w:t xml:space="preserve">Cullen KA, Ambrose BK, Gentzke AS, et al. </w:t>
      </w:r>
      <w:r w:rsidRPr="00ED54CE">
        <w:rPr>
          <w:i/>
          <w:iCs/>
        </w:rPr>
        <w:t>Notes from the Field:</w:t>
      </w:r>
      <w:r w:rsidRPr="00ED54CE">
        <w:t xml:space="preserve"> Use of Electronic Cigarettes and Any Tobacco Product Among Middle and High School Students — United States, 2011–2018. MMWR </w:t>
      </w:r>
      <w:r w:rsidRPr="00ED54CE">
        <w:t>Morb</w:t>
      </w:r>
      <w:r w:rsidRPr="00ED54CE">
        <w:t xml:space="preserve"> Mortal </w:t>
      </w:r>
      <w:r w:rsidRPr="00ED54CE">
        <w:t>Wkly</w:t>
      </w:r>
      <w:r w:rsidRPr="00ED54CE">
        <w:t xml:space="preserve"> Rep </w:t>
      </w:r>
      <w:r w:rsidRPr="00ED54CE">
        <w:t>2018;67:1276</w:t>
      </w:r>
      <w:r w:rsidRPr="00ED54CE">
        <w:t xml:space="preserve">–1277. DOI: </w:t>
      </w:r>
      <w:hyperlink r:id="rId20" w:tgtFrame="_blank" w:history="1">
        <w:r w:rsidRPr="00ED54CE">
          <w:rPr>
            <w:rStyle w:val="Hyperlink"/>
          </w:rPr>
          <w:t>http://dx.doi.org/10.15585/mmwr.mm6745a5</w:t>
        </w:r>
      </w:hyperlink>
    </w:p>
    <w:p w:rsidR="00914E58" w:rsidRPr="00ED54CE" w:rsidP="00914E58" w14:paraId="73C556E7" w14:textId="77777777">
      <w:pPr>
        <w:widowControl/>
        <w:autoSpaceDE/>
        <w:autoSpaceDN/>
        <w:adjustRightInd/>
        <w:spacing w:after="200"/>
        <w:ind w:left="720" w:hanging="720"/>
        <w:rPr>
          <w:rFonts w:eastAsia="Calibri"/>
        </w:rPr>
      </w:pPr>
      <w:r w:rsidRPr="00ED54CE">
        <w:rPr>
          <w:rFonts w:eastAsia="Calibri"/>
        </w:rPr>
        <w:t xml:space="preserve">FDA (2019). Food and Drug Administration. newly signed legislation raises federal minimum age of sale of tobacco products to 21. Silver Spring, MD: US Department of Health and Human Services, Food and Drug Administration; 2019. </w:t>
      </w:r>
      <w:hyperlink r:id="rId21" w:history="1">
        <w:r w:rsidRPr="00ED54CE">
          <w:rPr>
            <w:rFonts w:eastAsia="Calibri"/>
            <w:color w:val="0000FF"/>
            <w:u w:val="single"/>
          </w:rPr>
          <w:t>https://www.fda.gov/tobacco-products/ctp-newsroom/newly-signed-legislation-raises-federal-minimum-age-sale-tobacco-products-21</w:t>
        </w:r>
      </w:hyperlink>
      <w:r w:rsidRPr="00ED54CE">
        <w:rPr>
          <w:rFonts w:eastAsia="Calibri"/>
        </w:rPr>
        <w:t xml:space="preserve">. </w:t>
      </w:r>
    </w:p>
    <w:p w:rsidR="0041526C" w:rsidRPr="00ED54CE" w:rsidP="0041526C" w14:paraId="2EC75381" w14:textId="77777777">
      <w:pPr>
        <w:widowControl/>
        <w:autoSpaceDE/>
        <w:autoSpaceDN/>
        <w:adjustRightInd/>
        <w:spacing w:after="200"/>
        <w:ind w:left="720" w:hanging="720"/>
        <w:rPr>
          <w:rFonts w:eastAsia="Calibri"/>
        </w:rPr>
      </w:pPr>
      <w:r w:rsidRPr="00ED54CE">
        <w:rPr>
          <w:rFonts w:eastAsia="Calibri"/>
        </w:rPr>
        <w:t>FDA-CDC (2019). Cullen KA, Gentzke AS, Sawdey MD, et al. E-cigarette use among youth in the United States, 2016-2019. JAMA 2019;322(21):2095-2103. Published online November 05, 2019. doi:10.1001/jama.2019.18387</w:t>
      </w:r>
    </w:p>
    <w:p w:rsidR="00914E58" w:rsidRPr="00ED54CE" w:rsidP="00914E58" w14:paraId="324FE4E6" w14:textId="77777777">
      <w:pPr>
        <w:widowControl/>
        <w:autoSpaceDE/>
        <w:autoSpaceDN/>
        <w:adjustRightInd/>
        <w:spacing w:after="200"/>
        <w:ind w:left="720" w:hanging="720"/>
        <w:rPr>
          <w:rFonts w:eastAsia="Calibri"/>
        </w:rPr>
      </w:pPr>
      <w:r w:rsidRPr="00ED54CE">
        <w:rPr>
          <w:rFonts w:eastAsia="Calibri"/>
        </w:rPr>
        <w:t xml:space="preserve">FDA (2020). Center for Tobacco Products. Enforcement priorities for Electronic Nicotine Delivery Systems (ENDS) and other deemed products on the market without premarket authorization (revised). Silver Spring, MD: US Department of Health and Human Services, Food and Drug Administration; 2020. </w:t>
      </w:r>
      <w:hyperlink r:id="rId22" w:history="1">
        <w:r w:rsidRPr="00ED54CE">
          <w:rPr>
            <w:rFonts w:eastAsia="Calibri"/>
            <w:color w:val="0000FF"/>
            <w:u w:val="single"/>
          </w:rPr>
          <w:t>https://www.fda.gov/media/133880/download</w:t>
        </w:r>
      </w:hyperlink>
      <w:r w:rsidRPr="00ED54CE">
        <w:rPr>
          <w:rFonts w:eastAsia="Calibri"/>
        </w:rPr>
        <w:t xml:space="preserve">. </w:t>
      </w:r>
    </w:p>
    <w:p w:rsidR="00402D05" w:rsidRPr="00ED54CE" w:rsidP="00531F22" w14:paraId="2CFA5EA9" w14:textId="5C85313B">
      <w:pPr>
        <w:pStyle w:val="CommentText"/>
        <w:spacing w:after="240"/>
        <w:ind w:left="720" w:hanging="720"/>
      </w:pPr>
      <w:r w:rsidRPr="00ED54CE">
        <w:rPr>
          <w:sz w:val="24"/>
          <w:szCs w:val="24"/>
          <w:lang w:val="es-MX"/>
        </w:rPr>
        <w:t xml:space="preserve">Hu SS, Gentzke A, Jamal A, </w:t>
      </w:r>
      <w:r w:rsidRPr="00ED54CE" w:rsidR="00531F22">
        <w:rPr>
          <w:sz w:val="24"/>
          <w:szCs w:val="24"/>
          <w:lang w:val="es-MX"/>
        </w:rPr>
        <w:t>et al</w:t>
      </w:r>
      <w:r w:rsidRPr="00ED54CE">
        <w:rPr>
          <w:sz w:val="24"/>
          <w:szCs w:val="24"/>
          <w:lang w:val="es-MX"/>
        </w:rPr>
        <w:t xml:space="preserve">. </w:t>
      </w:r>
      <w:r w:rsidRPr="00ED54CE">
        <w:rPr>
          <w:sz w:val="24"/>
          <w:szCs w:val="24"/>
        </w:rPr>
        <w:t xml:space="preserve">Feasibility of Administering </w:t>
      </w:r>
      <w:r w:rsidRPr="00ED54CE">
        <w:rPr>
          <w:sz w:val="24"/>
          <w:szCs w:val="24"/>
        </w:rPr>
        <w:t>an Electronic</w:t>
      </w:r>
      <w:r w:rsidRPr="00ED54CE">
        <w:rPr>
          <w:sz w:val="24"/>
          <w:szCs w:val="24"/>
        </w:rPr>
        <w:t xml:space="preserve"> Version of the National Youth Tobacco Survey in a Classroom Setting. Prev Chronic Dis </w:t>
      </w:r>
      <w:r w:rsidRPr="00ED54CE">
        <w:rPr>
          <w:sz w:val="24"/>
          <w:szCs w:val="24"/>
        </w:rPr>
        <w:t>2020;17:190294</w:t>
      </w:r>
      <w:r w:rsidRPr="00ED54CE">
        <w:rPr>
          <w:sz w:val="24"/>
          <w:szCs w:val="24"/>
        </w:rPr>
        <w:t>. DOI: https://doi.org/10.5888/pcd17.190294.</w:t>
      </w:r>
    </w:p>
    <w:p w:rsidR="00320A32" w:rsidRPr="00ED54CE" w:rsidP="00320A32" w14:paraId="2FDB521B" w14:textId="1C0E42E7">
      <w:pPr>
        <w:spacing w:after="200"/>
        <w:ind w:left="720" w:hanging="720"/>
        <w:rPr>
          <w:rFonts w:eastAsia="Calibri"/>
        </w:rPr>
      </w:pPr>
      <w:r w:rsidRPr="00ED54CE">
        <w:rPr>
          <w:rFonts w:eastAsia="Calibri"/>
        </w:rPr>
        <w:t xml:space="preserve">National Institute on Drug Abuse (2014). </w:t>
      </w:r>
      <w:r w:rsidRPr="00ED54CE">
        <w:rPr>
          <w:rFonts w:eastAsia="Calibri"/>
          <w:i/>
        </w:rPr>
        <w:t>Monitoring the Future national results on drug use: 1975-2013: Overview, Key Findings on Adolescent Drug Use</w:t>
      </w:r>
      <w:r w:rsidRPr="00ED54CE">
        <w:rPr>
          <w:rFonts w:eastAsia="Calibri"/>
        </w:rPr>
        <w:t>. National Institute on Drug Abuse, National Institutes of Health. Ann Arbor, MI: Institute for Social Research, The University of Michigan.</w:t>
      </w:r>
    </w:p>
    <w:p w:rsidR="00320A32" w:rsidRPr="00ED54CE" w:rsidP="00320A32" w14:paraId="0BE9B246" w14:textId="77777777">
      <w:pPr>
        <w:spacing w:after="200"/>
        <w:ind w:left="720" w:hanging="720"/>
        <w:rPr>
          <w:rFonts w:eastAsia="Calibri"/>
        </w:rPr>
      </w:pPr>
      <w:r w:rsidRPr="00ED54CE">
        <w:rPr>
          <w:rFonts w:eastAsia="Calibri"/>
        </w:rPr>
        <w:t xml:space="preserve">OSG (2018). Office of the Surgeon General. Surgeon General’s advisory on e-cigarette use among youth. December 18, 2018. Available at </w:t>
      </w:r>
      <w:hyperlink r:id="rId23" w:history="1">
        <w:r w:rsidRPr="00ED54CE">
          <w:t>https://e-cigarettes.surgeongeneral.gov/documents/surgeon-generals-advisory-on-e-cigarette-use-among-youth-2018.pdf</w:t>
        </w:r>
      </w:hyperlink>
      <w:r w:rsidRPr="00ED54CE">
        <w:rPr>
          <w:rFonts w:eastAsia="Calibri"/>
        </w:rPr>
        <w:t xml:space="preserve">. </w:t>
      </w:r>
    </w:p>
    <w:p w:rsidR="00320A32" w:rsidRPr="00ED54CE" w:rsidP="00320A32" w14:paraId="1F68E074" w14:textId="153418B1">
      <w:pPr>
        <w:spacing w:after="200"/>
        <w:ind w:left="720" w:hanging="720"/>
        <w:rPr>
          <w:rFonts w:eastAsia="Calibri"/>
        </w:rPr>
      </w:pPr>
      <w:r w:rsidRPr="00ED54CE">
        <w:rPr>
          <w:rFonts w:eastAsia="Calibri"/>
        </w:rPr>
        <w:t>USBLS 20</w:t>
      </w:r>
      <w:r w:rsidRPr="00ED54CE" w:rsidR="009E0195">
        <w:rPr>
          <w:rFonts w:eastAsia="Calibri"/>
        </w:rPr>
        <w:t>21</w:t>
      </w:r>
      <w:r w:rsidRPr="00ED54CE">
        <w:rPr>
          <w:rFonts w:eastAsia="Calibri"/>
        </w:rPr>
        <w:t>. U.S. Bureau of Labor Statistics (20</w:t>
      </w:r>
      <w:r w:rsidRPr="00ED54CE" w:rsidR="009E0195">
        <w:rPr>
          <w:rFonts w:eastAsia="Calibri"/>
        </w:rPr>
        <w:t>22</w:t>
      </w:r>
      <w:r w:rsidRPr="00ED54CE">
        <w:rPr>
          <w:rFonts w:eastAsia="Calibri"/>
        </w:rPr>
        <w:t xml:space="preserve">). </w:t>
      </w:r>
      <w:r w:rsidRPr="00ED54CE">
        <w:rPr>
          <w:rFonts w:eastAsia="Calibri"/>
          <w:i/>
        </w:rPr>
        <w:t>May 20</w:t>
      </w:r>
      <w:r w:rsidRPr="00ED54CE" w:rsidR="009E0195">
        <w:rPr>
          <w:rFonts w:eastAsia="Calibri"/>
          <w:i/>
        </w:rPr>
        <w:t>2</w:t>
      </w:r>
      <w:r w:rsidRPr="00ED54CE">
        <w:rPr>
          <w:rFonts w:eastAsia="Calibri"/>
          <w:i/>
        </w:rPr>
        <w:t>1 National Occupational Employment and Wage Estimates, United States.</w:t>
      </w:r>
      <w:r w:rsidRPr="00ED54CE">
        <w:rPr>
          <w:rFonts w:eastAsia="Calibri"/>
          <w:kern w:val="36"/>
        </w:rPr>
        <w:t xml:space="preserve"> </w:t>
      </w:r>
      <w:r w:rsidRPr="00ED54CE">
        <w:rPr>
          <w:rFonts w:eastAsia="Calibri"/>
        </w:rPr>
        <w:t xml:space="preserve">Available at </w:t>
      </w:r>
      <w:hyperlink r:id="rId24" w:history="1">
        <w:r w:rsidRPr="00ED54CE">
          <w:rPr>
            <w:rStyle w:val="Hyperlink"/>
          </w:rPr>
          <w:t>http://www.bls.gov/oes/current/oes_nat.htm</w:t>
        </w:r>
      </w:hyperlink>
    </w:p>
    <w:p w:rsidR="00320A32" w:rsidRPr="00ED54CE" w:rsidP="00320A32" w14:paraId="15777E63" w14:textId="77777777">
      <w:pPr>
        <w:spacing w:after="200"/>
        <w:ind w:left="720" w:hanging="720"/>
        <w:rPr>
          <w:rFonts w:eastAsia="Calibri"/>
        </w:rPr>
      </w:pPr>
      <w:r w:rsidRPr="00ED54CE">
        <w:rPr>
          <w:rFonts w:eastAsia="Calibri"/>
        </w:rPr>
        <w:t xml:space="preserve">USDHHS (2010). U.S. Department of Health and Human Services. </w:t>
      </w:r>
      <w:r w:rsidRPr="00ED54CE">
        <w:rPr>
          <w:rFonts w:eastAsia="Calibri"/>
          <w:i/>
        </w:rPr>
        <w:t xml:space="preserve">Healthy People 2020. </w:t>
      </w:r>
      <w:r w:rsidRPr="00ED54CE">
        <w:rPr>
          <w:rFonts w:eastAsia="Calibri"/>
        </w:rPr>
        <w:t>Washington, D.C.: Available at: http://healthypeople.gov/2020/default.aspx</w:t>
      </w:r>
    </w:p>
    <w:p w:rsidR="00320A32" w:rsidRPr="00ED54CE" w:rsidP="00320A32" w14:paraId="243850F1" w14:textId="77777777">
      <w:pPr>
        <w:spacing w:after="200"/>
        <w:ind w:left="720" w:hanging="720"/>
        <w:rPr>
          <w:rFonts w:eastAsia="Calibri"/>
        </w:rPr>
      </w:pPr>
      <w:r w:rsidRPr="00ED54CE">
        <w:rPr>
          <w:rFonts w:eastAsia="Calibri"/>
        </w:rPr>
        <w:t xml:space="preserve">USDHHS (2012). US Department of Health and Human Services, </w:t>
      </w:r>
      <w:r w:rsidRPr="00ED54CE">
        <w:rPr>
          <w:rFonts w:eastAsia="Calibri"/>
          <w:i/>
        </w:rPr>
        <w:t xml:space="preserve">Ending the Tobacco Epidemic: Progress toward a Healthier Nation. </w:t>
      </w:r>
      <w:r w:rsidRPr="00ED54CE">
        <w:rPr>
          <w:rFonts w:eastAsia="Calibri"/>
        </w:rPr>
        <w:t>Washington, DC: Office of the Assistant Secretary for Health.</w:t>
      </w:r>
    </w:p>
    <w:p w:rsidR="00320A32" w:rsidRPr="00C47DE3" w:rsidP="00C47DE3" w14:paraId="117054DE" w14:textId="07AA5257">
      <w:pPr>
        <w:spacing w:after="200"/>
        <w:ind w:left="720" w:hanging="720"/>
        <w:rPr>
          <w:rFonts w:eastAsia="Calibri"/>
        </w:rPr>
      </w:pPr>
      <w:r w:rsidRPr="00ED54CE">
        <w:rPr>
          <w:rFonts w:eastAsia="Calibri"/>
        </w:rPr>
        <w:t xml:space="preserve">USDHHS (2019). U.S. Department of Health and Human Services. Development of the national </w:t>
      </w:r>
      <w:r w:rsidRPr="00ED54CE">
        <w:rPr>
          <w:rFonts w:eastAsia="Calibri"/>
        </w:rPr>
        <w:t>health promotion and disease prevention objectives for 2030. Available at https://www.healthypeople.gov/2020/About-Healthy-People/Development-Healthy-People-2030.</w:t>
      </w:r>
    </w:p>
    <w:sectPr w:rsidSect="00DE3F9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48" w:rsidP="00EE43A4" w14:paraId="4CD1A56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51B48" w14:paraId="21C2DA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48" w:rsidP="00EE43A4" w14:paraId="5F3975E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251B48" w:rsidRPr="007345F2" w14:paraId="3A6C1CC5" w14:textId="77777777">
    <w:pPr>
      <w:pStyle w:val="Footer"/>
      <w:ind w:right="360"/>
      <w:jc w:val="center"/>
      <w:rPr>
        <w:color w:val="C0C0C0"/>
      </w:rPr>
    </w:pPr>
  </w:p>
  <w:p w:rsidR="00251B48" w14:paraId="609877D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6F" w14:paraId="5140C6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6F" w14:paraId="209006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B48" w14:paraId="7C2F4172" w14:textId="77777777">
    <w:pPr>
      <w:tabs>
        <w:tab w:val="left" w:pos="0"/>
        <w:tab w:val="left" w:pos="720"/>
        <w:tab w:val="left" w:pos="1440"/>
        <w:tab w:val="left" w:pos="3150"/>
        <w:tab w:val="left" w:pos="441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C6F" w14:paraId="1AEB2E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E1930"/>
    <w:multiLevelType w:val="hybridMultilevel"/>
    <w:tmpl w:val="5ECC4A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EE54CC"/>
    <w:multiLevelType w:val="hybridMultilevel"/>
    <w:tmpl w:val="DA9AE70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2D5391"/>
    <w:multiLevelType w:val="hybridMultilevel"/>
    <w:tmpl w:val="3EF0E2BC"/>
    <w:lvl w:ilvl="0">
      <w:start w:val="1"/>
      <w:numFmt w:val="bullet"/>
      <w:lvlText w:val=""/>
      <w:lvlJc w:val="left"/>
      <w:pPr>
        <w:ind w:hanging="360"/>
      </w:pPr>
      <w:rPr>
        <w:rFonts w:ascii="Wingdings" w:eastAsia="Wingdings" w:hAnsi="Wingdings" w:hint="default"/>
        <w:w w:val="99"/>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1C4C4115"/>
    <w:multiLevelType w:val="hybridMultilevel"/>
    <w:tmpl w:val="F10A8B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5960B2"/>
    <w:multiLevelType w:val="hybridMultilevel"/>
    <w:tmpl w:val="D01C5A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FB3A4A"/>
    <w:multiLevelType w:val="hybridMultilevel"/>
    <w:tmpl w:val="B5DE865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D20E6F"/>
    <w:multiLevelType w:val="hybridMultilevel"/>
    <w:tmpl w:val="61D81FFA"/>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2DB2A10"/>
    <w:multiLevelType w:val="hybridMultilevel"/>
    <w:tmpl w:val="B24A7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776603"/>
    <w:multiLevelType w:val="hybridMultilevel"/>
    <w:tmpl w:val="A60EF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F0F57B8"/>
    <w:multiLevelType w:val="hybridMultilevel"/>
    <w:tmpl w:val="E31C6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74A208B"/>
    <w:multiLevelType w:val="hybridMultilevel"/>
    <w:tmpl w:val="812E289E"/>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7542C20"/>
    <w:multiLevelType w:val="hybridMultilevel"/>
    <w:tmpl w:val="A3569E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3C1414"/>
    <w:multiLevelType w:val="hybridMultilevel"/>
    <w:tmpl w:val="732023C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4F857936"/>
    <w:multiLevelType w:val="hybridMultilevel"/>
    <w:tmpl w:val="99E0C2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0A04175"/>
    <w:multiLevelType w:val="hybridMultilevel"/>
    <w:tmpl w:val="8CF411C0"/>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817A36"/>
    <w:multiLevelType w:val="hybridMultilevel"/>
    <w:tmpl w:val="743A44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4CF5682"/>
    <w:multiLevelType w:val="hybridMultilevel"/>
    <w:tmpl w:val="B774953A"/>
    <w:lvl w:ilvl="0">
      <w:start w:val="1"/>
      <w:numFmt w:val="bullet"/>
      <w:pStyle w:val="Bullet-Square"/>
      <w:lvlText w:val=""/>
      <w:lvlJc w:val="left"/>
      <w:pPr>
        <w:tabs>
          <w:tab w:val="num" w:pos="-3240"/>
        </w:tabs>
        <w:ind w:left="-3240" w:hanging="360"/>
      </w:pPr>
      <w:rPr>
        <w:rFonts w:ascii="Wingdings" w:hAnsi="Wingdings"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360"/>
        </w:tabs>
        <w:ind w:left="-360" w:hanging="360"/>
      </w:pPr>
      <w:rPr>
        <w:rFonts w:ascii="Courier New" w:hAnsi="Courier New" w:hint="default"/>
      </w:rPr>
    </w:lvl>
    <w:lvl w:ilvl="5">
      <w:start w:val="1"/>
      <w:numFmt w:val="bullet"/>
      <w:lvlText w:val=""/>
      <w:lvlJc w:val="left"/>
      <w:pPr>
        <w:tabs>
          <w:tab w:val="num" w:pos="360"/>
        </w:tabs>
        <w:ind w:left="360" w:hanging="360"/>
      </w:pPr>
      <w:rPr>
        <w:rFonts w:ascii="Wingdings" w:hAnsi="Wingdings" w:hint="default"/>
      </w:rPr>
    </w:lvl>
    <w:lvl w:ilvl="6" w:tentative="1">
      <w:start w:val="1"/>
      <w:numFmt w:val="bullet"/>
      <w:lvlText w:val=""/>
      <w:lvlJc w:val="left"/>
      <w:pPr>
        <w:tabs>
          <w:tab w:val="num" w:pos="1080"/>
        </w:tabs>
        <w:ind w:left="1080" w:hanging="360"/>
      </w:pPr>
      <w:rPr>
        <w:rFonts w:ascii="Symbol" w:hAnsi="Symbol" w:hint="default"/>
      </w:rPr>
    </w:lvl>
    <w:lvl w:ilvl="7" w:tentative="1">
      <w:start w:val="1"/>
      <w:numFmt w:val="bullet"/>
      <w:lvlText w:val="o"/>
      <w:lvlJc w:val="left"/>
      <w:pPr>
        <w:tabs>
          <w:tab w:val="num" w:pos="1800"/>
        </w:tabs>
        <w:ind w:left="1800" w:hanging="360"/>
      </w:pPr>
      <w:rPr>
        <w:rFonts w:ascii="Courier New" w:hAnsi="Courier New" w:hint="default"/>
      </w:rPr>
    </w:lvl>
    <w:lvl w:ilvl="8" w:tentative="1">
      <w:start w:val="1"/>
      <w:numFmt w:val="bullet"/>
      <w:lvlText w:val=""/>
      <w:lvlJc w:val="left"/>
      <w:pPr>
        <w:tabs>
          <w:tab w:val="num" w:pos="2520"/>
        </w:tabs>
        <w:ind w:left="2520" w:hanging="360"/>
      </w:pPr>
      <w:rPr>
        <w:rFonts w:ascii="Wingdings" w:hAnsi="Wingdings" w:hint="default"/>
      </w:rPr>
    </w:lvl>
  </w:abstractNum>
  <w:abstractNum w:abstractNumId="17">
    <w:nsid w:val="563C7C3C"/>
    <w:multiLevelType w:val="hybridMultilevel"/>
    <w:tmpl w:val="7DB87984"/>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8C66E75"/>
    <w:multiLevelType w:val="hybridMultilevel"/>
    <w:tmpl w:val="B2F87C7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5F64BDC"/>
    <w:multiLevelType w:val="hybridMultilevel"/>
    <w:tmpl w:val="04CA14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F143B4"/>
    <w:multiLevelType w:val="hybridMultilevel"/>
    <w:tmpl w:val="6B24A4E6"/>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74E122AE"/>
    <w:multiLevelType w:val="hybridMultilevel"/>
    <w:tmpl w:val="393C2F02"/>
    <w:lvl w:ilvl="0">
      <w:start w:val="0"/>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64467B1"/>
    <w:multiLevelType w:val="hybridMultilevel"/>
    <w:tmpl w:val="7BE0DF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84D06F4"/>
    <w:multiLevelType w:val="hybridMultilevel"/>
    <w:tmpl w:val="C9E29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116BF8"/>
    <w:multiLevelType w:val="hybridMultilevel"/>
    <w:tmpl w:val="9970054E"/>
    <w:lvl w:ilvl="0">
      <w:start w:val="0"/>
      <w:numFmt w:val="bullet"/>
      <w:lvlText w:val=""/>
      <w:lvlJc w:val="left"/>
      <w:pPr>
        <w:tabs>
          <w:tab w:val="num" w:pos="1080"/>
        </w:tabs>
        <w:ind w:left="1080" w:hanging="360"/>
      </w:pPr>
      <w:rPr>
        <w:rFonts w:ascii="Symbol" w:hAnsi="Symbol" w:hint="default"/>
        <w:sz w:val="16"/>
        <w:szCs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DF02D8F"/>
    <w:multiLevelType w:val="hybridMultilevel"/>
    <w:tmpl w:val="EB56C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2176400">
    <w:abstractNumId w:val="21"/>
  </w:num>
  <w:num w:numId="2" w16cid:durableId="1945383241">
    <w:abstractNumId w:val="14"/>
  </w:num>
  <w:num w:numId="3" w16cid:durableId="471336544">
    <w:abstractNumId w:val="10"/>
  </w:num>
  <w:num w:numId="4" w16cid:durableId="1240600228">
    <w:abstractNumId w:val="6"/>
  </w:num>
  <w:num w:numId="5" w16cid:durableId="1057708622">
    <w:abstractNumId w:val="4"/>
  </w:num>
  <w:num w:numId="6" w16cid:durableId="1352609125">
    <w:abstractNumId w:val="0"/>
  </w:num>
  <w:num w:numId="7" w16cid:durableId="779177692">
    <w:abstractNumId w:val="12"/>
  </w:num>
  <w:num w:numId="8" w16cid:durableId="1354454585">
    <w:abstractNumId w:val="20"/>
  </w:num>
  <w:num w:numId="9" w16cid:durableId="795413851">
    <w:abstractNumId w:val="1"/>
  </w:num>
  <w:num w:numId="10" w16cid:durableId="1257517272">
    <w:abstractNumId w:val="5"/>
  </w:num>
  <w:num w:numId="11" w16cid:durableId="192885047">
    <w:abstractNumId w:val="16"/>
  </w:num>
  <w:num w:numId="12" w16cid:durableId="818806948">
    <w:abstractNumId w:val="1"/>
  </w:num>
  <w:num w:numId="13" w16cid:durableId="502208069">
    <w:abstractNumId w:val="22"/>
  </w:num>
  <w:num w:numId="14" w16cid:durableId="277421269">
    <w:abstractNumId w:val="17"/>
  </w:num>
  <w:num w:numId="15" w16cid:durableId="545143115">
    <w:abstractNumId w:val="7"/>
  </w:num>
  <w:num w:numId="16" w16cid:durableId="1463381541">
    <w:abstractNumId w:val="23"/>
  </w:num>
  <w:num w:numId="17" w16cid:durableId="1791119726">
    <w:abstractNumId w:val="15"/>
  </w:num>
  <w:num w:numId="18" w16cid:durableId="746804768">
    <w:abstractNumId w:val="18"/>
  </w:num>
  <w:num w:numId="19" w16cid:durableId="1976594502">
    <w:abstractNumId w:val="11"/>
  </w:num>
  <w:num w:numId="20" w16cid:durableId="1705666472">
    <w:abstractNumId w:val="24"/>
  </w:num>
  <w:num w:numId="21" w16cid:durableId="1274439366">
    <w:abstractNumId w:val="8"/>
  </w:num>
  <w:num w:numId="22" w16cid:durableId="2055690580">
    <w:abstractNumId w:val="25"/>
  </w:num>
  <w:num w:numId="23" w16cid:durableId="620183119">
    <w:abstractNumId w:val="9"/>
  </w:num>
  <w:num w:numId="24" w16cid:durableId="954940823">
    <w:abstractNumId w:val="3"/>
  </w:num>
  <w:num w:numId="25" w16cid:durableId="281690806">
    <w:abstractNumId w:val="19"/>
  </w:num>
  <w:num w:numId="26" w16cid:durableId="1845313952">
    <w:abstractNumId w:val="2"/>
  </w:num>
  <w:num w:numId="27" w16cid:durableId="530925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F0"/>
    <w:rsid w:val="00000AB2"/>
    <w:rsid w:val="000016D9"/>
    <w:rsid w:val="00007D00"/>
    <w:rsid w:val="00012C46"/>
    <w:rsid w:val="00014AED"/>
    <w:rsid w:val="00016B2D"/>
    <w:rsid w:val="0002093B"/>
    <w:rsid w:val="0002210B"/>
    <w:rsid w:val="00022235"/>
    <w:rsid w:val="000226C8"/>
    <w:rsid w:val="00023C1F"/>
    <w:rsid w:val="00032136"/>
    <w:rsid w:val="00032E06"/>
    <w:rsid w:val="000350B0"/>
    <w:rsid w:val="00035F62"/>
    <w:rsid w:val="00037E5A"/>
    <w:rsid w:val="000406FC"/>
    <w:rsid w:val="000409D3"/>
    <w:rsid w:val="0004258B"/>
    <w:rsid w:val="00042EA3"/>
    <w:rsid w:val="00042FA4"/>
    <w:rsid w:val="00046EE5"/>
    <w:rsid w:val="00051805"/>
    <w:rsid w:val="000521CB"/>
    <w:rsid w:val="000529D7"/>
    <w:rsid w:val="00054A72"/>
    <w:rsid w:val="00054E0A"/>
    <w:rsid w:val="0006325E"/>
    <w:rsid w:val="00064FA9"/>
    <w:rsid w:val="00065676"/>
    <w:rsid w:val="00067E64"/>
    <w:rsid w:val="000729AA"/>
    <w:rsid w:val="00076D36"/>
    <w:rsid w:val="00077AD1"/>
    <w:rsid w:val="00083857"/>
    <w:rsid w:val="000A4A6C"/>
    <w:rsid w:val="000B3D02"/>
    <w:rsid w:val="000C0DF7"/>
    <w:rsid w:val="000C0EF3"/>
    <w:rsid w:val="000C20BB"/>
    <w:rsid w:val="000C3844"/>
    <w:rsid w:val="000C5AF3"/>
    <w:rsid w:val="000C63BC"/>
    <w:rsid w:val="000C70C8"/>
    <w:rsid w:val="000C726D"/>
    <w:rsid w:val="000C7D55"/>
    <w:rsid w:val="000D1146"/>
    <w:rsid w:val="000D3358"/>
    <w:rsid w:val="000D72F8"/>
    <w:rsid w:val="000E016D"/>
    <w:rsid w:val="000E0ACC"/>
    <w:rsid w:val="000E1DF0"/>
    <w:rsid w:val="000E380F"/>
    <w:rsid w:val="000E7695"/>
    <w:rsid w:val="000F1AD1"/>
    <w:rsid w:val="000F495E"/>
    <w:rsid w:val="000F5EF0"/>
    <w:rsid w:val="00105F6A"/>
    <w:rsid w:val="00112F05"/>
    <w:rsid w:val="0011715F"/>
    <w:rsid w:val="001179FA"/>
    <w:rsid w:val="00120D48"/>
    <w:rsid w:val="00122E46"/>
    <w:rsid w:val="00123E1D"/>
    <w:rsid w:val="001242F3"/>
    <w:rsid w:val="00125B87"/>
    <w:rsid w:val="00130EE7"/>
    <w:rsid w:val="001313E6"/>
    <w:rsid w:val="00131A0D"/>
    <w:rsid w:val="00133108"/>
    <w:rsid w:val="001342C1"/>
    <w:rsid w:val="00136672"/>
    <w:rsid w:val="001455C4"/>
    <w:rsid w:val="00150B04"/>
    <w:rsid w:val="00154661"/>
    <w:rsid w:val="00154E63"/>
    <w:rsid w:val="00163831"/>
    <w:rsid w:val="001638EC"/>
    <w:rsid w:val="00167CC7"/>
    <w:rsid w:val="001718C6"/>
    <w:rsid w:val="0017260A"/>
    <w:rsid w:val="00172D40"/>
    <w:rsid w:val="00174133"/>
    <w:rsid w:val="00180E16"/>
    <w:rsid w:val="00181595"/>
    <w:rsid w:val="0018496D"/>
    <w:rsid w:val="00187D7C"/>
    <w:rsid w:val="00194D4E"/>
    <w:rsid w:val="001A38D3"/>
    <w:rsid w:val="001A4A19"/>
    <w:rsid w:val="001B2BAF"/>
    <w:rsid w:val="001B572C"/>
    <w:rsid w:val="001B5F3B"/>
    <w:rsid w:val="001C20D8"/>
    <w:rsid w:val="001C2490"/>
    <w:rsid w:val="001C6C1F"/>
    <w:rsid w:val="001D19A3"/>
    <w:rsid w:val="001D57B3"/>
    <w:rsid w:val="001D7ECD"/>
    <w:rsid w:val="001E02A5"/>
    <w:rsid w:val="001E28CA"/>
    <w:rsid w:val="001E3659"/>
    <w:rsid w:val="001F0D7E"/>
    <w:rsid w:val="001F231A"/>
    <w:rsid w:val="001F3C04"/>
    <w:rsid w:val="001F6344"/>
    <w:rsid w:val="0020010F"/>
    <w:rsid w:val="00201EB8"/>
    <w:rsid w:val="002023AE"/>
    <w:rsid w:val="00203100"/>
    <w:rsid w:val="00203B43"/>
    <w:rsid w:val="00203F50"/>
    <w:rsid w:val="00205986"/>
    <w:rsid w:val="00212747"/>
    <w:rsid w:val="00213030"/>
    <w:rsid w:val="00213334"/>
    <w:rsid w:val="0021387A"/>
    <w:rsid w:val="00215A73"/>
    <w:rsid w:val="00216E91"/>
    <w:rsid w:val="00220F42"/>
    <w:rsid w:val="002213E6"/>
    <w:rsid w:val="002222BF"/>
    <w:rsid w:val="00222723"/>
    <w:rsid w:val="00222FA3"/>
    <w:rsid w:val="00226713"/>
    <w:rsid w:val="00227CB6"/>
    <w:rsid w:val="002317FA"/>
    <w:rsid w:val="00236501"/>
    <w:rsid w:val="00236900"/>
    <w:rsid w:val="00236BC2"/>
    <w:rsid w:val="0024005F"/>
    <w:rsid w:val="00246D6F"/>
    <w:rsid w:val="00251B48"/>
    <w:rsid w:val="00260306"/>
    <w:rsid w:val="002613D3"/>
    <w:rsid w:val="0026260B"/>
    <w:rsid w:val="00263938"/>
    <w:rsid w:val="00270043"/>
    <w:rsid w:val="00272039"/>
    <w:rsid w:val="00272D48"/>
    <w:rsid w:val="002735F5"/>
    <w:rsid w:val="002745F7"/>
    <w:rsid w:val="00275427"/>
    <w:rsid w:val="002756F1"/>
    <w:rsid w:val="002810AD"/>
    <w:rsid w:val="0028218B"/>
    <w:rsid w:val="00282312"/>
    <w:rsid w:val="00282821"/>
    <w:rsid w:val="00282D70"/>
    <w:rsid w:val="00283F92"/>
    <w:rsid w:val="0028586B"/>
    <w:rsid w:val="00285AAF"/>
    <w:rsid w:val="002864ED"/>
    <w:rsid w:val="002864FC"/>
    <w:rsid w:val="002949CA"/>
    <w:rsid w:val="00294D91"/>
    <w:rsid w:val="00294F3F"/>
    <w:rsid w:val="002951C6"/>
    <w:rsid w:val="0029712B"/>
    <w:rsid w:val="002A082D"/>
    <w:rsid w:val="002A3375"/>
    <w:rsid w:val="002A37FC"/>
    <w:rsid w:val="002A467E"/>
    <w:rsid w:val="002A52E5"/>
    <w:rsid w:val="002A5F15"/>
    <w:rsid w:val="002B188B"/>
    <w:rsid w:val="002B25D0"/>
    <w:rsid w:val="002B71BC"/>
    <w:rsid w:val="002C06D9"/>
    <w:rsid w:val="002C1297"/>
    <w:rsid w:val="002C2023"/>
    <w:rsid w:val="002C2E4F"/>
    <w:rsid w:val="002C31AE"/>
    <w:rsid w:val="002C3676"/>
    <w:rsid w:val="002C3E51"/>
    <w:rsid w:val="002C6B61"/>
    <w:rsid w:val="002D2E8C"/>
    <w:rsid w:val="002D4C76"/>
    <w:rsid w:val="002D7291"/>
    <w:rsid w:val="002E105A"/>
    <w:rsid w:val="002E2C6E"/>
    <w:rsid w:val="002E3B0C"/>
    <w:rsid w:val="002E56D0"/>
    <w:rsid w:val="002E660E"/>
    <w:rsid w:val="002E7CC2"/>
    <w:rsid w:val="002F1EF4"/>
    <w:rsid w:val="002F2205"/>
    <w:rsid w:val="002F28DB"/>
    <w:rsid w:val="002F6018"/>
    <w:rsid w:val="003015B9"/>
    <w:rsid w:val="00301CF5"/>
    <w:rsid w:val="00301DC9"/>
    <w:rsid w:val="00302751"/>
    <w:rsid w:val="00302E0F"/>
    <w:rsid w:val="00302F08"/>
    <w:rsid w:val="00303C0A"/>
    <w:rsid w:val="003046E3"/>
    <w:rsid w:val="00304F44"/>
    <w:rsid w:val="00306D16"/>
    <w:rsid w:val="003136C2"/>
    <w:rsid w:val="00313B19"/>
    <w:rsid w:val="00314027"/>
    <w:rsid w:val="00314AC2"/>
    <w:rsid w:val="00316085"/>
    <w:rsid w:val="0032053C"/>
    <w:rsid w:val="00320A32"/>
    <w:rsid w:val="00321419"/>
    <w:rsid w:val="0032324E"/>
    <w:rsid w:val="00323251"/>
    <w:rsid w:val="003238D7"/>
    <w:rsid w:val="00331287"/>
    <w:rsid w:val="00331B53"/>
    <w:rsid w:val="00331F66"/>
    <w:rsid w:val="00344473"/>
    <w:rsid w:val="00355A27"/>
    <w:rsid w:val="00360290"/>
    <w:rsid w:val="00360FA9"/>
    <w:rsid w:val="0036110B"/>
    <w:rsid w:val="003614F2"/>
    <w:rsid w:val="003627C6"/>
    <w:rsid w:val="0036381E"/>
    <w:rsid w:val="00365171"/>
    <w:rsid w:val="00366CCA"/>
    <w:rsid w:val="0037276D"/>
    <w:rsid w:val="0037676C"/>
    <w:rsid w:val="00376913"/>
    <w:rsid w:val="00377125"/>
    <w:rsid w:val="00377785"/>
    <w:rsid w:val="00385C98"/>
    <w:rsid w:val="00385E59"/>
    <w:rsid w:val="003871AC"/>
    <w:rsid w:val="003879A1"/>
    <w:rsid w:val="00387F17"/>
    <w:rsid w:val="0039193A"/>
    <w:rsid w:val="00392111"/>
    <w:rsid w:val="003927FC"/>
    <w:rsid w:val="00394C6A"/>
    <w:rsid w:val="0039517D"/>
    <w:rsid w:val="00396C8F"/>
    <w:rsid w:val="00396D14"/>
    <w:rsid w:val="003A0B67"/>
    <w:rsid w:val="003A0F6A"/>
    <w:rsid w:val="003A2450"/>
    <w:rsid w:val="003A3703"/>
    <w:rsid w:val="003A7012"/>
    <w:rsid w:val="003B1369"/>
    <w:rsid w:val="003B1BD7"/>
    <w:rsid w:val="003B1F16"/>
    <w:rsid w:val="003B21EC"/>
    <w:rsid w:val="003B2734"/>
    <w:rsid w:val="003B600D"/>
    <w:rsid w:val="003C0D08"/>
    <w:rsid w:val="003C1F95"/>
    <w:rsid w:val="003C2379"/>
    <w:rsid w:val="003C541E"/>
    <w:rsid w:val="003D0091"/>
    <w:rsid w:val="003D0D15"/>
    <w:rsid w:val="003D2B42"/>
    <w:rsid w:val="003D3DFC"/>
    <w:rsid w:val="003D5E32"/>
    <w:rsid w:val="003D679B"/>
    <w:rsid w:val="003D6DC9"/>
    <w:rsid w:val="003D7E1E"/>
    <w:rsid w:val="003E3CF3"/>
    <w:rsid w:val="003E75F3"/>
    <w:rsid w:val="003E7879"/>
    <w:rsid w:val="003F6357"/>
    <w:rsid w:val="003F6A5D"/>
    <w:rsid w:val="00400E32"/>
    <w:rsid w:val="00401DDA"/>
    <w:rsid w:val="00402D05"/>
    <w:rsid w:val="004033E3"/>
    <w:rsid w:val="00403793"/>
    <w:rsid w:val="00403EA7"/>
    <w:rsid w:val="004048E2"/>
    <w:rsid w:val="00407CFC"/>
    <w:rsid w:val="004122BA"/>
    <w:rsid w:val="00414016"/>
    <w:rsid w:val="004148FE"/>
    <w:rsid w:val="00414B8C"/>
    <w:rsid w:val="0041526C"/>
    <w:rsid w:val="004157E9"/>
    <w:rsid w:val="00416328"/>
    <w:rsid w:val="0042648E"/>
    <w:rsid w:val="00426796"/>
    <w:rsid w:val="004274BE"/>
    <w:rsid w:val="004308A8"/>
    <w:rsid w:val="00430F4A"/>
    <w:rsid w:val="00432903"/>
    <w:rsid w:val="00436493"/>
    <w:rsid w:val="00436BD2"/>
    <w:rsid w:val="00440AE3"/>
    <w:rsid w:val="004417D3"/>
    <w:rsid w:val="0044533F"/>
    <w:rsid w:val="00445EC7"/>
    <w:rsid w:val="004472B8"/>
    <w:rsid w:val="004476B3"/>
    <w:rsid w:val="0045205F"/>
    <w:rsid w:val="00452635"/>
    <w:rsid w:val="004540BE"/>
    <w:rsid w:val="00455C42"/>
    <w:rsid w:val="004568C4"/>
    <w:rsid w:val="0046303D"/>
    <w:rsid w:val="004630F9"/>
    <w:rsid w:val="00465A69"/>
    <w:rsid w:val="00465C6F"/>
    <w:rsid w:val="00466721"/>
    <w:rsid w:val="00466DD2"/>
    <w:rsid w:val="004673A0"/>
    <w:rsid w:val="0047088E"/>
    <w:rsid w:val="00472C60"/>
    <w:rsid w:val="00474DB5"/>
    <w:rsid w:val="00477386"/>
    <w:rsid w:val="00481553"/>
    <w:rsid w:val="004861B7"/>
    <w:rsid w:val="00486460"/>
    <w:rsid w:val="0049021F"/>
    <w:rsid w:val="00490BC7"/>
    <w:rsid w:val="00491C45"/>
    <w:rsid w:val="00492E13"/>
    <w:rsid w:val="0049603F"/>
    <w:rsid w:val="00496D95"/>
    <w:rsid w:val="004A330F"/>
    <w:rsid w:val="004A3DA6"/>
    <w:rsid w:val="004A4392"/>
    <w:rsid w:val="004A48C6"/>
    <w:rsid w:val="004A6394"/>
    <w:rsid w:val="004B6879"/>
    <w:rsid w:val="004B766A"/>
    <w:rsid w:val="004C0C07"/>
    <w:rsid w:val="004C2407"/>
    <w:rsid w:val="004C53E2"/>
    <w:rsid w:val="004C789C"/>
    <w:rsid w:val="004D00F0"/>
    <w:rsid w:val="004D09CB"/>
    <w:rsid w:val="004D0E02"/>
    <w:rsid w:val="004D16AB"/>
    <w:rsid w:val="004D2AEC"/>
    <w:rsid w:val="004D7629"/>
    <w:rsid w:val="004D7758"/>
    <w:rsid w:val="004E0355"/>
    <w:rsid w:val="004E0CFF"/>
    <w:rsid w:val="004E1B0F"/>
    <w:rsid w:val="004F19A9"/>
    <w:rsid w:val="004F25D9"/>
    <w:rsid w:val="004F52B6"/>
    <w:rsid w:val="004F5FF3"/>
    <w:rsid w:val="00500C70"/>
    <w:rsid w:val="00503454"/>
    <w:rsid w:val="00506AB4"/>
    <w:rsid w:val="005074BB"/>
    <w:rsid w:val="00511D09"/>
    <w:rsid w:val="00512574"/>
    <w:rsid w:val="00512A80"/>
    <w:rsid w:val="0051390E"/>
    <w:rsid w:val="005141DA"/>
    <w:rsid w:val="00521916"/>
    <w:rsid w:val="00531079"/>
    <w:rsid w:val="0053124C"/>
    <w:rsid w:val="00531F22"/>
    <w:rsid w:val="0053270B"/>
    <w:rsid w:val="00534092"/>
    <w:rsid w:val="00541822"/>
    <w:rsid w:val="0054537C"/>
    <w:rsid w:val="00547389"/>
    <w:rsid w:val="0055778E"/>
    <w:rsid w:val="0055790B"/>
    <w:rsid w:val="0056303D"/>
    <w:rsid w:val="0056325B"/>
    <w:rsid w:val="00563651"/>
    <w:rsid w:val="00563B62"/>
    <w:rsid w:val="00565151"/>
    <w:rsid w:val="0056634C"/>
    <w:rsid w:val="00567B25"/>
    <w:rsid w:val="00567B6D"/>
    <w:rsid w:val="00567F77"/>
    <w:rsid w:val="00570AF3"/>
    <w:rsid w:val="005764F3"/>
    <w:rsid w:val="005769B8"/>
    <w:rsid w:val="00581AC1"/>
    <w:rsid w:val="005837AA"/>
    <w:rsid w:val="00585A94"/>
    <w:rsid w:val="00585E41"/>
    <w:rsid w:val="00587392"/>
    <w:rsid w:val="00592E3C"/>
    <w:rsid w:val="00593340"/>
    <w:rsid w:val="005946EC"/>
    <w:rsid w:val="005A174A"/>
    <w:rsid w:val="005A17FC"/>
    <w:rsid w:val="005A32CC"/>
    <w:rsid w:val="005B417D"/>
    <w:rsid w:val="005B451E"/>
    <w:rsid w:val="005C3E76"/>
    <w:rsid w:val="005C4738"/>
    <w:rsid w:val="005C63C0"/>
    <w:rsid w:val="005C79C1"/>
    <w:rsid w:val="005D2615"/>
    <w:rsid w:val="005D4422"/>
    <w:rsid w:val="005D48F8"/>
    <w:rsid w:val="005D6D86"/>
    <w:rsid w:val="005D7216"/>
    <w:rsid w:val="005E2043"/>
    <w:rsid w:val="005E57DC"/>
    <w:rsid w:val="005E7BA6"/>
    <w:rsid w:val="005F3FB9"/>
    <w:rsid w:val="005F419E"/>
    <w:rsid w:val="005F44EC"/>
    <w:rsid w:val="00601D33"/>
    <w:rsid w:val="00601EEE"/>
    <w:rsid w:val="006041D8"/>
    <w:rsid w:val="00606DB5"/>
    <w:rsid w:val="006107FA"/>
    <w:rsid w:val="00610D10"/>
    <w:rsid w:val="00613311"/>
    <w:rsid w:val="006136C7"/>
    <w:rsid w:val="006142D0"/>
    <w:rsid w:val="00615208"/>
    <w:rsid w:val="006168D2"/>
    <w:rsid w:val="0062114B"/>
    <w:rsid w:val="00623E86"/>
    <w:rsid w:val="006267A7"/>
    <w:rsid w:val="00626F14"/>
    <w:rsid w:val="00631438"/>
    <w:rsid w:val="0063422A"/>
    <w:rsid w:val="00634721"/>
    <w:rsid w:val="00636193"/>
    <w:rsid w:val="006377CA"/>
    <w:rsid w:val="00637869"/>
    <w:rsid w:val="00642C82"/>
    <w:rsid w:val="0064433A"/>
    <w:rsid w:val="0064534D"/>
    <w:rsid w:val="006454CE"/>
    <w:rsid w:val="00646ED9"/>
    <w:rsid w:val="00647817"/>
    <w:rsid w:val="00651656"/>
    <w:rsid w:val="00651B08"/>
    <w:rsid w:val="00652783"/>
    <w:rsid w:val="00654853"/>
    <w:rsid w:val="00655C73"/>
    <w:rsid w:val="00666D7C"/>
    <w:rsid w:val="00667C9C"/>
    <w:rsid w:val="0067050A"/>
    <w:rsid w:val="00672CDC"/>
    <w:rsid w:val="0067768F"/>
    <w:rsid w:val="00682565"/>
    <w:rsid w:val="00683299"/>
    <w:rsid w:val="00685023"/>
    <w:rsid w:val="00685DEE"/>
    <w:rsid w:val="00685E69"/>
    <w:rsid w:val="00690FA2"/>
    <w:rsid w:val="006A021B"/>
    <w:rsid w:val="006A0C36"/>
    <w:rsid w:val="006A460B"/>
    <w:rsid w:val="006A50CE"/>
    <w:rsid w:val="006B6A76"/>
    <w:rsid w:val="006B74F5"/>
    <w:rsid w:val="006B7E5E"/>
    <w:rsid w:val="006C17DE"/>
    <w:rsid w:val="006D002E"/>
    <w:rsid w:val="006D214F"/>
    <w:rsid w:val="006D36FC"/>
    <w:rsid w:val="006D5339"/>
    <w:rsid w:val="006D5A38"/>
    <w:rsid w:val="006D7D91"/>
    <w:rsid w:val="006D7F60"/>
    <w:rsid w:val="006E0906"/>
    <w:rsid w:val="006E2A7E"/>
    <w:rsid w:val="006F0D27"/>
    <w:rsid w:val="006F1D37"/>
    <w:rsid w:val="006F3716"/>
    <w:rsid w:val="006F3F78"/>
    <w:rsid w:val="006F4076"/>
    <w:rsid w:val="00701150"/>
    <w:rsid w:val="007025C1"/>
    <w:rsid w:val="0070427E"/>
    <w:rsid w:val="0070659E"/>
    <w:rsid w:val="00710E65"/>
    <w:rsid w:val="00710F4E"/>
    <w:rsid w:val="00711785"/>
    <w:rsid w:val="00711831"/>
    <w:rsid w:val="0071364A"/>
    <w:rsid w:val="007139D6"/>
    <w:rsid w:val="00714496"/>
    <w:rsid w:val="0071482D"/>
    <w:rsid w:val="00717710"/>
    <w:rsid w:val="0072066C"/>
    <w:rsid w:val="00722FC7"/>
    <w:rsid w:val="00725E50"/>
    <w:rsid w:val="00727A50"/>
    <w:rsid w:val="00727DC0"/>
    <w:rsid w:val="00731900"/>
    <w:rsid w:val="007338A4"/>
    <w:rsid w:val="00733E71"/>
    <w:rsid w:val="007345F2"/>
    <w:rsid w:val="00734A32"/>
    <w:rsid w:val="007364F7"/>
    <w:rsid w:val="00736850"/>
    <w:rsid w:val="00741C48"/>
    <w:rsid w:val="00742D68"/>
    <w:rsid w:val="00743E0D"/>
    <w:rsid w:val="00744276"/>
    <w:rsid w:val="00751071"/>
    <w:rsid w:val="0075108A"/>
    <w:rsid w:val="00753D1D"/>
    <w:rsid w:val="00754CC2"/>
    <w:rsid w:val="00756669"/>
    <w:rsid w:val="0075702F"/>
    <w:rsid w:val="00762EF0"/>
    <w:rsid w:val="007633F7"/>
    <w:rsid w:val="00764FB6"/>
    <w:rsid w:val="00765D8F"/>
    <w:rsid w:val="007662E6"/>
    <w:rsid w:val="00770565"/>
    <w:rsid w:val="00773CC4"/>
    <w:rsid w:val="007740B1"/>
    <w:rsid w:val="007746AF"/>
    <w:rsid w:val="00774782"/>
    <w:rsid w:val="00776BF6"/>
    <w:rsid w:val="007779FC"/>
    <w:rsid w:val="00782B90"/>
    <w:rsid w:val="00784A16"/>
    <w:rsid w:val="00791F52"/>
    <w:rsid w:val="007A25F2"/>
    <w:rsid w:val="007A5801"/>
    <w:rsid w:val="007A74A6"/>
    <w:rsid w:val="007B0A8F"/>
    <w:rsid w:val="007B0E99"/>
    <w:rsid w:val="007B0EA3"/>
    <w:rsid w:val="007B1501"/>
    <w:rsid w:val="007B38AB"/>
    <w:rsid w:val="007B5053"/>
    <w:rsid w:val="007C1142"/>
    <w:rsid w:val="007C2755"/>
    <w:rsid w:val="007C74AA"/>
    <w:rsid w:val="007C7B20"/>
    <w:rsid w:val="007C7D4E"/>
    <w:rsid w:val="007D0929"/>
    <w:rsid w:val="007D2906"/>
    <w:rsid w:val="007D6F86"/>
    <w:rsid w:val="007D6FD1"/>
    <w:rsid w:val="007D7FA0"/>
    <w:rsid w:val="007E160A"/>
    <w:rsid w:val="007E1B7E"/>
    <w:rsid w:val="007E51D9"/>
    <w:rsid w:val="007E5942"/>
    <w:rsid w:val="007E68BB"/>
    <w:rsid w:val="007E6CC4"/>
    <w:rsid w:val="007F3EB3"/>
    <w:rsid w:val="007F4255"/>
    <w:rsid w:val="007F4803"/>
    <w:rsid w:val="0080176E"/>
    <w:rsid w:val="008032D5"/>
    <w:rsid w:val="008041EE"/>
    <w:rsid w:val="00806207"/>
    <w:rsid w:val="00806D2F"/>
    <w:rsid w:val="00806F88"/>
    <w:rsid w:val="008110DB"/>
    <w:rsid w:val="00811934"/>
    <w:rsid w:val="00811E49"/>
    <w:rsid w:val="00812FAC"/>
    <w:rsid w:val="00815628"/>
    <w:rsid w:val="00815C5B"/>
    <w:rsid w:val="00815D1E"/>
    <w:rsid w:val="0081762E"/>
    <w:rsid w:val="00822D7B"/>
    <w:rsid w:val="00822D9F"/>
    <w:rsid w:val="00830929"/>
    <w:rsid w:val="00832237"/>
    <w:rsid w:val="0083226D"/>
    <w:rsid w:val="0083321B"/>
    <w:rsid w:val="00834D57"/>
    <w:rsid w:val="00835CB8"/>
    <w:rsid w:val="00837624"/>
    <w:rsid w:val="00845840"/>
    <w:rsid w:val="0084706F"/>
    <w:rsid w:val="00850BE0"/>
    <w:rsid w:val="008530B2"/>
    <w:rsid w:val="00853568"/>
    <w:rsid w:val="00853AAC"/>
    <w:rsid w:val="008565A5"/>
    <w:rsid w:val="008601FF"/>
    <w:rsid w:val="008610E2"/>
    <w:rsid w:val="008631AC"/>
    <w:rsid w:val="0086503B"/>
    <w:rsid w:val="008717B2"/>
    <w:rsid w:val="00872603"/>
    <w:rsid w:val="00872DE6"/>
    <w:rsid w:val="00874DF7"/>
    <w:rsid w:val="00882514"/>
    <w:rsid w:val="00882E98"/>
    <w:rsid w:val="00883D0F"/>
    <w:rsid w:val="008850CF"/>
    <w:rsid w:val="00886483"/>
    <w:rsid w:val="00887A99"/>
    <w:rsid w:val="008939D8"/>
    <w:rsid w:val="0089475E"/>
    <w:rsid w:val="00897047"/>
    <w:rsid w:val="00897557"/>
    <w:rsid w:val="008A30F0"/>
    <w:rsid w:val="008A5F14"/>
    <w:rsid w:val="008A690E"/>
    <w:rsid w:val="008B452B"/>
    <w:rsid w:val="008B625D"/>
    <w:rsid w:val="008C1630"/>
    <w:rsid w:val="008C1B7D"/>
    <w:rsid w:val="008C6185"/>
    <w:rsid w:val="008C7AFE"/>
    <w:rsid w:val="008C7C27"/>
    <w:rsid w:val="008C7E2A"/>
    <w:rsid w:val="008D1A3C"/>
    <w:rsid w:val="008D1A41"/>
    <w:rsid w:val="008D4331"/>
    <w:rsid w:val="008D4425"/>
    <w:rsid w:val="008D482A"/>
    <w:rsid w:val="008D4E1A"/>
    <w:rsid w:val="008E2149"/>
    <w:rsid w:val="008E3D04"/>
    <w:rsid w:val="008F13D2"/>
    <w:rsid w:val="008F5101"/>
    <w:rsid w:val="008F7534"/>
    <w:rsid w:val="00900140"/>
    <w:rsid w:val="00900496"/>
    <w:rsid w:val="009013F6"/>
    <w:rsid w:val="0090275B"/>
    <w:rsid w:val="00902819"/>
    <w:rsid w:val="009035E3"/>
    <w:rsid w:val="009036C2"/>
    <w:rsid w:val="00905915"/>
    <w:rsid w:val="0091239B"/>
    <w:rsid w:val="00913D93"/>
    <w:rsid w:val="009141FD"/>
    <w:rsid w:val="00914E58"/>
    <w:rsid w:val="00916EEE"/>
    <w:rsid w:val="00916FFD"/>
    <w:rsid w:val="00921639"/>
    <w:rsid w:val="00921F99"/>
    <w:rsid w:val="00926F3C"/>
    <w:rsid w:val="009303E2"/>
    <w:rsid w:val="00931490"/>
    <w:rsid w:val="00941338"/>
    <w:rsid w:val="00943128"/>
    <w:rsid w:val="00946073"/>
    <w:rsid w:val="00946A81"/>
    <w:rsid w:val="00950C4C"/>
    <w:rsid w:val="00953200"/>
    <w:rsid w:val="00953407"/>
    <w:rsid w:val="0095478A"/>
    <w:rsid w:val="00955C4A"/>
    <w:rsid w:val="0096055C"/>
    <w:rsid w:val="00961ACB"/>
    <w:rsid w:val="00961CC4"/>
    <w:rsid w:val="00961D6C"/>
    <w:rsid w:val="00963048"/>
    <w:rsid w:val="00964629"/>
    <w:rsid w:val="009706D0"/>
    <w:rsid w:val="0097169B"/>
    <w:rsid w:val="00971883"/>
    <w:rsid w:val="00972217"/>
    <w:rsid w:val="00973488"/>
    <w:rsid w:val="009734F0"/>
    <w:rsid w:val="009806F7"/>
    <w:rsid w:val="00980870"/>
    <w:rsid w:val="009829F7"/>
    <w:rsid w:val="00983722"/>
    <w:rsid w:val="00990D5D"/>
    <w:rsid w:val="0099149B"/>
    <w:rsid w:val="00992C93"/>
    <w:rsid w:val="00993EF0"/>
    <w:rsid w:val="009956A6"/>
    <w:rsid w:val="0099623B"/>
    <w:rsid w:val="009A08E0"/>
    <w:rsid w:val="009A2F0C"/>
    <w:rsid w:val="009A44CD"/>
    <w:rsid w:val="009A4D7D"/>
    <w:rsid w:val="009B1796"/>
    <w:rsid w:val="009B3552"/>
    <w:rsid w:val="009B4E40"/>
    <w:rsid w:val="009B672F"/>
    <w:rsid w:val="009C2F89"/>
    <w:rsid w:val="009C3E8D"/>
    <w:rsid w:val="009C5579"/>
    <w:rsid w:val="009C6094"/>
    <w:rsid w:val="009C64CB"/>
    <w:rsid w:val="009C71C8"/>
    <w:rsid w:val="009C7F81"/>
    <w:rsid w:val="009D1847"/>
    <w:rsid w:val="009D3184"/>
    <w:rsid w:val="009E0195"/>
    <w:rsid w:val="009E065A"/>
    <w:rsid w:val="009E2A32"/>
    <w:rsid w:val="009E5489"/>
    <w:rsid w:val="009E6CEE"/>
    <w:rsid w:val="009E6E4B"/>
    <w:rsid w:val="009F07C9"/>
    <w:rsid w:val="009F3D41"/>
    <w:rsid w:val="009F4462"/>
    <w:rsid w:val="009F528A"/>
    <w:rsid w:val="009F54F2"/>
    <w:rsid w:val="00A00268"/>
    <w:rsid w:val="00A009F2"/>
    <w:rsid w:val="00A02EDC"/>
    <w:rsid w:val="00A0756C"/>
    <w:rsid w:val="00A128FE"/>
    <w:rsid w:val="00A13F82"/>
    <w:rsid w:val="00A1491C"/>
    <w:rsid w:val="00A156BA"/>
    <w:rsid w:val="00A1648C"/>
    <w:rsid w:val="00A16688"/>
    <w:rsid w:val="00A212E3"/>
    <w:rsid w:val="00A217AF"/>
    <w:rsid w:val="00A23BD2"/>
    <w:rsid w:val="00A25205"/>
    <w:rsid w:val="00A256E1"/>
    <w:rsid w:val="00A25EF8"/>
    <w:rsid w:val="00A25FD8"/>
    <w:rsid w:val="00A2789B"/>
    <w:rsid w:val="00A31479"/>
    <w:rsid w:val="00A315CB"/>
    <w:rsid w:val="00A31BD0"/>
    <w:rsid w:val="00A31D11"/>
    <w:rsid w:val="00A32A85"/>
    <w:rsid w:val="00A3359F"/>
    <w:rsid w:val="00A337BB"/>
    <w:rsid w:val="00A34627"/>
    <w:rsid w:val="00A358D6"/>
    <w:rsid w:val="00A37CF3"/>
    <w:rsid w:val="00A4093D"/>
    <w:rsid w:val="00A416E3"/>
    <w:rsid w:val="00A44D4F"/>
    <w:rsid w:val="00A4554B"/>
    <w:rsid w:val="00A45BCD"/>
    <w:rsid w:val="00A46C6F"/>
    <w:rsid w:val="00A46D12"/>
    <w:rsid w:val="00A47F72"/>
    <w:rsid w:val="00A524AF"/>
    <w:rsid w:val="00A53369"/>
    <w:rsid w:val="00A53C87"/>
    <w:rsid w:val="00A54C3F"/>
    <w:rsid w:val="00A5603D"/>
    <w:rsid w:val="00A600F9"/>
    <w:rsid w:val="00A6048F"/>
    <w:rsid w:val="00A610B6"/>
    <w:rsid w:val="00A6269C"/>
    <w:rsid w:val="00A634B1"/>
    <w:rsid w:val="00A6622B"/>
    <w:rsid w:val="00A70E70"/>
    <w:rsid w:val="00A70FA6"/>
    <w:rsid w:val="00A7183E"/>
    <w:rsid w:val="00A73943"/>
    <w:rsid w:val="00A74439"/>
    <w:rsid w:val="00A759FC"/>
    <w:rsid w:val="00A8428D"/>
    <w:rsid w:val="00A84A63"/>
    <w:rsid w:val="00A86D33"/>
    <w:rsid w:val="00A87782"/>
    <w:rsid w:val="00A950ED"/>
    <w:rsid w:val="00A9740D"/>
    <w:rsid w:val="00A975C8"/>
    <w:rsid w:val="00A97D69"/>
    <w:rsid w:val="00AA100E"/>
    <w:rsid w:val="00AA143C"/>
    <w:rsid w:val="00AA1A71"/>
    <w:rsid w:val="00AA291C"/>
    <w:rsid w:val="00AA2C2E"/>
    <w:rsid w:val="00AA2CF0"/>
    <w:rsid w:val="00AA7BD9"/>
    <w:rsid w:val="00AB365C"/>
    <w:rsid w:val="00AB3FCC"/>
    <w:rsid w:val="00AB40CB"/>
    <w:rsid w:val="00AB4364"/>
    <w:rsid w:val="00AB55ED"/>
    <w:rsid w:val="00AB5F23"/>
    <w:rsid w:val="00AB6434"/>
    <w:rsid w:val="00AB6662"/>
    <w:rsid w:val="00AB6E1B"/>
    <w:rsid w:val="00AC4D9C"/>
    <w:rsid w:val="00AC5611"/>
    <w:rsid w:val="00AD07EB"/>
    <w:rsid w:val="00AD3125"/>
    <w:rsid w:val="00AD3E17"/>
    <w:rsid w:val="00AD4089"/>
    <w:rsid w:val="00AD7325"/>
    <w:rsid w:val="00AE078E"/>
    <w:rsid w:val="00AE32AF"/>
    <w:rsid w:val="00AE67FE"/>
    <w:rsid w:val="00AF1991"/>
    <w:rsid w:val="00B0031B"/>
    <w:rsid w:val="00B02155"/>
    <w:rsid w:val="00B0393A"/>
    <w:rsid w:val="00B06821"/>
    <w:rsid w:val="00B1060C"/>
    <w:rsid w:val="00B10B47"/>
    <w:rsid w:val="00B121C1"/>
    <w:rsid w:val="00B1425B"/>
    <w:rsid w:val="00B159D4"/>
    <w:rsid w:val="00B171EE"/>
    <w:rsid w:val="00B17E6D"/>
    <w:rsid w:val="00B20AC9"/>
    <w:rsid w:val="00B21BF6"/>
    <w:rsid w:val="00B2226E"/>
    <w:rsid w:val="00B24B0B"/>
    <w:rsid w:val="00B25F89"/>
    <w:rsid w:val="00B31696"/>
    <w:rsid w:val="00B31A5F"/>
    <w:rsid w:val="00B3233F"/>
    <w:rsid w:val="00B33F4E"/>
    <w:rsid w:val="00B341E1"/>
    <w:rsid w:val="00B3549B"/>
    <w:rsid w:val="00B35701"/>
    <w:rsid w:val="00B41906"/>
    <w:rsid w:val="00B423E3"/>
    <w:rsid w:val="00B457CF"/>
    <w:rsid w:val="00B463A3"/>
    <w:rsid w:val="00B50D15"/>
    <w:rsid w:val="00B51223"/>
    <w:rsid w:val="00B5221E"/>
    <w:rsid w:val="00B566AD"/>
    <w:rsid w:val="00B57CE4"/>
    <w:rsid w:val="00B625B1"/>
    <w:rsid w:val="00B62B75"/>
    <w:rsid w:val="00B62FB4"/>
    <w:rsid w:val="00B65A46"/>
    <w:rsid w:val="00B65BFC"/>
    <w:rsid w:val="00B67279"/>
    <w:rsid w:val="00B6742C"/>
    <w:rsid w:val="00B674EA"/>
    <w:rsid w:val="00B741FB"/>
    <w:rsid w:val="00B75CEE"/>
    <w:rsid w:val="00B770D8"/>
    <w:rsid w:val="00B7758A"/>
    <w:rsid w:val="00B779DB"/>
    <w:rsid w:val="00B8204C"/>
    <w:rsid w:val="00B861D4"/>
    <w:rsid w:val="00B91082"/>
    <w:rsid w:val="00B913C0"/>
    <w:rsid w:val="00B93BD6"/>
    <w:rsid w:val="00B966A8"/>
    <w:rsid w:val="00BA0D71"/>
    <w:rsid w:val="00BA2881"/>
    <w:rsid w:val="00BA5E61"/>
    <w:rsid w:val="00BA701E"/>
    <w:rsid w:val="00BB0D68"/>
    <w:rsid w:val="00BB1B09"/>
    <w:rsid w:val="00BB2B3D"/>
    <w:rsid w:val="00BB2FEC"/>
    <w:rsid w:val="00BC0914"/>
    <w:rsid w:val="00BC3FB8"/>
    <w:rsid w:val="00BC7F45"/>
    <w:rsid w:val="00BD2D86"/>
    <w:rsid w:val="00BD4075"/>
    <w:rsid w:val="00BD43F3"/>
    <w:rsid w:val="00BD4BBF"/>
    <w:rsid w:val="00BD4C44"/>
    <w:rsid w:val="00BE0F70"/>
    <w:rsid w:val="00BE15DF"/>
    <w:rsid w:val="00BE5BC1"/>
    <w:rsid w:val="00BE5CFC"/>
    <w:rsid w:val="00BE75C7"/>
    <w:rsid w:val="00BF1704"/>
    <w:rsid w:val="00BF2BF3"/>
    <w:rsid w:val="00BF7364"/>
    <w:rsid w:val="00C058C6"/>
    <w:rsid w:val="00C10E78"/>
    <w:rsid w:val="00C11A43"/>
    <w:rsid w:val="00C136BF"/>
    <w:rsid w:val="00C14ABD"/>
    <w:rsid w:val="00C15AC4"/>
    <w:rsid w:val="00C165EA"/>
    <w:rsid w:val="00C215CC"/>
    <w:rsid w:val="00C224C2"/>
    <w:rsid w:val="00C226CA"/>
    <w:rsid w:val="00C22EA1"/>
    <w:rsid w:val="00C23864"/>
    <w:rsid w:val="00C24448"/>
    <w:rsid w:val="00C27380"/>
    <w:rsid w:val="00C331F6"/>
    <w:rsid w:val="00C34427"/>
    <w:rsid w:val="00C34B4F"/>
    <w:rsid w:val="00C37EF2"/>
    <w:rsid w:val="00C4081D"/>
    <w:rsid w:val="00C41A45"/>
    <w:rsid w:val="00C4474B"/>
    <w:rsid w:val="00C4584E"/>
    <w:rsid w:val="00C469F7"/>
    <w:rsid w:val="00C47C88"/>
    <w:rsid w:val="00C47DE3"/>
    <w:rsid w:val="00C529B6"/>
    <w:rsid w:val="00C57CF5"/>
    <w:rsid w:val="00C602D6"/>
    <w:rsid w:val="00C61CCE"/>
    <w:rsid w:val="00C71A2B"/>
    <w:rsid w:val="00C73D3E"/>
    <w:rsid w:val="00C75272"/>
    <w:rsid w:val="00C80534"/>
    <w:rsid w:val="00C80C27"/>
    <w:rsid w:val="00C810E1"/>
    <w:rsid w:val="00C81736"/>
    <w:rsid w:val="00C84CA7"/>
    <w:rsid w:val="00C8641C"/>
    <w:rsid w:val="00C96053"/>
    <w:rsid w:val="00CA0870"/>
    <w:rsid w:val="00CA0B71"/>
    <w:rsid w:val="00CA1446"/>
    <w:rsid w:val="00CA1899"/>
    <w:rsid w:val="00CA1EA5"/>
    <w:rsid w:val="00CA2CCB"/>
    <w:rsid w:val="00CB1594"/>
    <w:rsid w:val="00CB4C85"/>
    <w:rsid w:val="00CB4C9D"/>
    <w:rsid w:val="00CC26A7"/>
    <w:rsid w:val="00CC2B41"/>
    <w:rsid w:val="00CC387E"/>
    <w:rsid w:val="00CC43CF"/>
    <w:rsid w:val="00CC5370"/>
    <w:rsid w:val="00CC630E"/>
    <w:rsid w:val="00CC6EF7"/>
    <w:rsid w:val="00CD12AD"/>
    <w:rsid w:val="00CD3813"/>
    <w:rsid w:val="00CD3E1B"/>
    <w:rsid w:val="00CD4AC8"/>
    <w:rsid w:val="00CE1085"/>
    <w:rsid w:val="00CE573D"/>
    <w:rsid w:val="00CF0D0B"/>
    <w:rsid w:val="00CF1204"/>
    <w:rsid w:val="00CF6CE9"/>
    <w:rsid w:val="00D01C9A"/>
    <w:rsid w:val="00D049C1"/>
    <w:rsid w:val="00D1250F"/>
    <w:rsid w:val="00D1274C"/>
    <w:rsid w:val="00D1366C"/>
    <w:rsid w:val="00D14D2A"/>
    <w:rsid w:val="00D23C3F"/>
    <w:rsid w:val="00D2797C"/>
    <w:rsid w:val="00D34A01"/>
    <w:rsid w:val="00D37E6D"/>
    <w:rsid w:val="00D4069A"/>
    <w:rsid w:val="00D40B0E"/>
    <w:rsid w:val="00D41D48"/>
    <w:rsid w:val="00D43465"/>
    <w:rsid w:val="00D44A1E"/>
    <w:rsid w:val="00D5119E"/>
    <w:rsid w:val="00D546F6"/>
    <w:rsid w:val="00D57F56"/>
    <w:rsid w:val="00D6012C"/>
    <w:rsid w:val="00D6212F"/>
    <w:rsid w:val="00D62EAD"/>
    <w:rsid w:val="00D64FD0"/>
    <w:rsid w:val="00D67883"/>
    <w:rsid w:val="00D72CE2"/>
    <w:rsid w:val="00D741C3"/>
    <w:rsid w:val="00D74DFD"/>
    <w:rsid w:val="00D77D8A"/>
    <w:rsid w:val="00D8666A"/>
    <w:rsid w:val="00D871EA"/>
    <w:rsid w:val="00D87BE0"/>
    <w:rsid w:val="00D9113E"/>
    <w:rsid w:val="00D93EEC"/>
    <w:rsid w:val="00D95460"/>
    <w:rsid w:val="00D9608F"/>
    <w:rsid w:val="00DA2F3A"/>
    <w:rsid w:val="00DA4ED1"/>
    <w:rsid w:val="00DA5233"/>
    <w:rsid w:val="00DA68BA"/>
    <w:rsid w:val="00DB0B1C"/>
    <w:rsid w:val="00DB28DC"/>
    <w:rsid w:val="00DB495D"/>
    <w:rsid w:val="00DB4B3B"/>
    <w:rsid w:val="00DB4DF9"/>
    <w:rsid w:val="00DB4EED"/>
    <w:rsid w:val="00DB50B3"/>
    <w:rsid w:val="00DB5718"/>
    <w:rsid w:val="00DB6AB4"/>
    <w:rsid w:val="00DB73C5"/>
    <w:rsid w:val="00DC1FB3"/>
    <w:rsid w:val="00DC563F"/>
    <w:rsid w:val="00DD1B37"/>
    <w:rsid w:val="00DD76A0"/>
    <w:rsid w:val="00DE0351"/>
    <w:rsid w:val="00DE13FF"/>
    <w:rsid w:val="00DE325C"/>
    <w:rsid w:val="00DE3975"/>
    <w:rsid w:val="00DE3C0D"/>
    <w:rsid w:val="00DE3F9C"/>
    <w:rsid w:val="00DE5694"/>
    <w:rsid w:val="00DE6880"/>
    <w:rsid w:val="00DE7ECC"/>
    <w:rsid w:val="00DF1728"/>
    <w:rsid w:val="00DF24ED"/>
    <w:rsid w:val="00DF7936"/>
    <w:rsid w:val="00E007E1"/>
    <w:rsid w:val="00E0164B"/>
    <w:rsid w:val="00E02F9C"/>
    <w:rsid w:val="00E04335"/>
    <w:rsid w:val="00E04CDF"/>
    <w:rsid w:val="00E16B22"/>
    <w:rsid w:val="00E2178A"/>
    <w:rsid w:val="00E21E00"/>
    <w:rsid w:val="00E243AD"/>
    <w:rsid w:val="00E246ED"/>
    <w:rsid w:val="00E26729"/>
    <w:rsid w:val="00E30960"/>
    <w:rsid w:val="00E30B9E"/>
    <w:rsid w:val="00E310DE"/>
    <w:rsid w:val="00E31528"/>
    <w:rsid w:val="00E31F46"/>
    <w:rsid w:val="00E32068"/>
    <w:rsid w:val="00E33B86"/>
    <w:rsid w:val="00E3428E"/>
    <w:rsid w:val="00E3542D"/>
    <w:rsid w:val="00E41BD2"/>
    <w:rsid w:val="00E42080"/>
    <w:rsid w:val="00E43024"/>
    <w:rsid w:val="00E45484"/>
    <w:rsid w:val="00E46187"/>
    <w:rsid w:val="00E46A20"/>
    <w:rsid w:val="00E471DC"/>
    <w:rsid w:val="00E514BD"/>
    <w:rsid w:val="00E546A2"/>
    <w:rsid w:val="00E57ADB"/>
    <w:rsid w:val="00E60049"/>
    <w:rsid w:val="00E634DA"/>
    <w:rsid w:val="00E64370"/>
    <w:rsid w:val="00E65C62"/>
    <w:rsid w:val="00E7009C"/>
    <w:rsid w:val="00E70C24"/>
    <w:rsid w:val="00E736D4"/>
    <w:rsid w:val="00E73ED6"/>
    <w:rsid w:val="00E747F6"/>
    <w:rsid w:val="00E7499C"/>
    <w:rsid w:val="00E81AE8"/>
    <w:rsid w:val="00E81DC6"/>
    <w:rsid w:val="00E843F3"/>
    <w:rsid w:val="00E8569F"/>
    <w:rsid w:val="00E85C1A"/>
    <w:rsid w:val="00E90AFA"/>
    <w:rsid w:val="00E93540"/>
    <w:rsid w:val="00E95428"/>
    <w:rsid w:val="00E957E1"/>
    <w:rsid w:val="00E96C83"/>
    <w:rsid w:val="00E9708F"/>
    <w:rsid w:val="00EA3DF8"/>
    <w:rsid w:val="00EA45AB"/>
    <w:rsid w:val="00EA46A8"/>
    <w:rsid w:val="00EA4B8E"/>
    <w:rsid w:val="00EB03FF"/>
    <w:rsid w:val="00EB2C3A"/>
    <w:rsid w:val="00EB7614"/>
    <w:rsid w:val="00EC0DAD"/>
    <w:rsid w:val="00EC254B"/>
    <w:rsid w:val="00EC4A56"/>
    <w:rsid w:val="00EC73EA"/>
    <w:rsid w:val="00ED25B7"/>
    <w:rsid w:val="00ED3DDD"/>
    <w:rsid w:val="00ED3EE6"/>
    <w:rsid w:val="00ED413E"/>
    <w:rsid w:val="00ED5323"/>
    <w:rsid w:val="00ED54CE"/>
    <w:rsid w:val="00ED57F1"/>
    <w:rsid w:val="00ED5D66"/>
    <w:rsid w:val="00ED697D"/>
    <w:rsid w:val="00ED75BC"/>
    <w:rsid w:val="00EE09A2"/>
    <w:rsid w:val="00EE30A4"/>
    <w:rsid w:val="00EE3CFA"/>
    <w:rsid w:val="00EE3EB8"/>
    <w:rsid w:val="00EE43A4"/>
    <w:rsid w:val="00EE63B4"/>
    <w:rsid w:val="00EE7CB5"/>
    <w:rsid w:val="00EF232F"/>
    <w:rsid w:val="00EF3EFD"/>
    <w:rsid w:val="00EF4E47"/>
    <w:rsid w:val="00EF5A3D"/>
    <w:rsid w:val="00F00C2D"/>
    <w:rsid w:val="00F04DCB"/>
    <w:rsid w:val="00F05047"/>
    <w:rsid w:val="00F10739"/>
    <w:rsid w:val="00F10E8B"/>
    <w:rsid w:val="00F13DB9"/>
    <w:rsid w:val="00F14DA8"/>
    <w:rsid w:val="00F15495"/>
    <w:rsid w:val="00F16000"/>
    <w:rsid w:val="00F16860"/>
    <w:rsid w:val="00F16BAA"/>
    <w:rsid w:val="00F217CC"/>
    <w:rsid w:val="00F2200E"/>
    <w:rsid w:val="00F253EA"/>
    <w:rsid w:val="00F253EB"/>
    <w:rsid w:val="00F265A9"/>
    <w:rsid w:val="00F332B6"/>
    <w:rsid w:val="00F35D91"/>
    <w:rsid w:val="00F37305"/>
    <w:rsid w:val="00F4249C"/>
    <w:rsid w:val="00F454C2"/>
    <w:rsid w:val="00F461CB"/>
    <w:rsid w:val="00F479E3"/>
    <w:rsid w:val="00F517F1"/>
    <w:rsid w:val="00F51C47"/>
    <w:rsid w:val="00F54D82"/>
    <w:rsid w:val="00F56766"/>
    <w:rsid w:val="00F57A2F"/>
    <w:rsid w:val="00F57A6F"/>
    <w:rsid w:val="00F60B43"/>
    <w:rsid w:val="00F60BD9"/>
    <w:rsid w:val="00F617BC"/>
    <w:rsid w:val="00F61D8B"/>
    <w:rsid w:val="00F649A0"/>
    <w:rsid w:val="00F733BF"/>
    <w:rsid w:val="00F73E3A"/>
    <w:rsid w:val="00F74790"/>
    <w:rsid w:val="00F80A30"/>
    <w:rsid w:val="00F82A5E"/>
    <w:rsid w:val="00F842AD"/>
    <w:rsid w:val="00F84F7A"/>
    <w:rsid w:val="00F85C2E"/>
    <w:rsid w:val="00F861A1"/>
    <w:rsid w:val="00F90C13"/>
    <w:rsid w:val="00F92926"/>
    <w:rsid w:val="00F9363E"/>
    <w:rsid w:val="00F94084"/>
    <w:rsid w:val="00F94C65"/>
    <w:rsid w:val="00F957D8"/>
    <w:rsid w:val="00F97D20"/>
    <w:rsid w:val="00F97DA0"/>
    <w:rsid w:val="00FA1837"/>
    <w:rsid w:val="00FA4C10"/>
    <w:rsid w:val="00FA535F"/>
    <w:rsid w:val="00FA6A95"/>
    <w:rsid w:val="00FB11D2"/>
    <w:rsid w:val="00FB545F"/>
    <w:rsid w:val="00FC3E66"/>
    <w:rsid w:val="00FD1FB6"/>
    <w:rsid w:val="00FD317F"/>
    <w:rsid w:val="00FD40D8"/>
    <w:rsid w:val="00FD4985"/>
    <w:rsid w:val="00FD769F"/>
    <w:rsid w:val="00FE1BDF"/>
    <w:rsid w:val="00FE22C9"/>
    <w:rsid w:val="00FE23E4"/>
    <w:rsid w:val="00FE2CE0"/>
    <w:rsid w:val="00FE33D1"/>
    <w:rsid w:val="00FE5BDD"/>
    <w:rsid w:val="00FF2A70"/>
    <w:rsid w:val="00FF3265"/>
    <w:rsid w:val="00FF5C0D"/>
    <w:rsid w:val="00FF7C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48F4942"/>
  <w15:chartTrackingRefBased/>
  <w15:docId w15:val="{C87D6BA4-CC68-46E8-9EC0-3E6D14C9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semiHidden/>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aliases w:val="fo,footnote text,ft"/>
    <w:basedOn w:val="Normal"/>
    <w:link w:val="FootnoteTextChar"/>
    <w:uiPriority w:val="99"/>
    <w:unhideWhenUsed/>
    <w:rsid w:val="00392111"/>
    <w:rPr>
      <w:sz w:val="20"/>
      <w:szCs w:val="20"/>
      <w:lang w:val="x-none" w:eastAsia="x-none"/>
    </w:rPr>
  </w:style>
  <w:style w:type="character" w:customStyle="1" w:styleId="FootnoteTextChar">
    <w:name w:val="Footnote Text Char"/>
    <w:aliases w:val="fo Char,footnote text Char,ft Char"/>
    <w:link w:val="FootnoteText"/>
    <w:uiPriority w:val="99"/>
    <w:rsid w:val="00392111"/>
    <w:rPr>
      <w:rFonts w:ascii="Times New Roman" w:eastAsia="Times New Roman" w:hAnsi="Times New Roman"/>
    </w:rPr>
  </w:style>
  <w:style w:type="character" w:styleId="FootnoteReference">
    <w:name w:val="footnote reference"/>
    <w:aliases w:val="fr"/>
    <w:uiPriority w:val="99"/>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customStyle="1" w:styleId="ProposalBodyText">
    <w:name w:val="Proposal Body Text"/>
    <w:link w:val="ProposalBodyTextChar"/>
    <w:qFormat/>
    <w:rsid w:val="00AA100E"/>
    <w:pPr>
      <w:spacing w:after="240"/>
      <w:jc w:val="both"/>
    </w:pPr>
    <w:rPr>
      <w:rFonts w:ascii="Times New Roman" w:hAnsi="Times New Roman"/>
      <w:sz w:val="24"/>
      <w:szCs w:val="22"/>
    </w:rPr>
  </w:style>
  <w:style w:type="character" w:customStyle="1" w:styleId="ProposalBodyTextChar">
    <w:name w:val="Proposal Body Text Char"/>
    <w:link w:val="ProposalBodyText"/>
    <w:rsid w:val="00AA100E"/>
    <w:rPr>
      <w:rFonts w:ascii="Times New Roman" w:hAnsi="Times New Roman"/>
      <w:sz w:val="24"/>
      <w:szCs w:val="22"/>
      <w:lang w:eastAsia="en-US"/>
    </w:rPr>
  </w:style>
  <w:style w:type="character" w:customStyle="1" w:styleId="CommentTextChar">
    <w:name w:val="Comment Text Char"/>
    <w:link w:val="CommentText"/>
    <w:uiPriority w:val="99"/>
    <w:semiHidden/>
    <w:rsid w:val="004A4392"/>
    <w:rPr>
      <w:rFonts w:ascii="Times New Roman" w:eastAsia="Times New Roman" w:hAnsi="Times New Roman"/>
    </w:rPr>
  </w:style>
  <w:style w:type="paragraph" w:customStyle="1" w:styleId="Bullet-Square">
    <w:name w:val="Bullet - Square"/>
    <w:basedOn w:val="BodyText"/>
    <w:rsid w:val="00105F6A"/>
    <w:pPr>
      <w:numPr>
        <w:numId w:val="11"/>
      </w:numPr>
      <w:tabs>
        <w:tab w:val="num" w:pos="360"/>
      </w:tabs>
      <w:ind w:left="0" w:firstLine="0"/>
      <w:jc w:val="both"/>
    </w:pPr>
    <w:rPr>
      <w:szCs w:val="20"/>
      <w:lang w:val="en-US" w:eastAsia="en-US"/>
    </w:rPr>
  </w:style>
  <w:style w:type="paragraph" w:customStyle="1" w:styleId="ParagraphStyle2">
    <w:name w:val="Paragraph Style 2"/>
    <w:basedOn w:val="BodyTextIndent"/>
    <w:link w:val="ParagraphStyle2Char"/>
    <w:qFormat/>
    <w:rsid w:val="00765D8F"/>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765D8F"/>
    <w:rPr>
      <w:rFonts w:ascii="Times New Roman" w:eastAsia="Times New Roman" w:hAnsi="Times New Roman"/>
      <w:spacing w:val="-2"/>
      <w:sz w:val="24"/>
      <w:szCs w:val="24"/>
    </w:rPr>
  </w:style>
  <w:style w:type="paragraph" w:styleId="BodyTextIndent">
    <w:name w:val="Body Text Indent"/>
    <w:basedOn w:val="Normal"/>
    <w:link w:val="BodyTextIndentChar"/>
    <w:uiPriority w:val="99"/>
    <w:semiHidden/>
    <w:unhideWhenUsed/>
    <w:rsid w:val="00765D8F"/>
    <w:pPr>
      <w:spacing w:after="120"/>
      <w:ind w:left="360"/>
    </w:pPr>
  </w:style>
  <w:style w:type="character" w:customStyle="1" w:styleId="BodyTextIndentChar">
    <w:name w:val="Body Text Indent Char"/>
    <w:link w:val="BodyTextIndent"/>
    <w:uiPriority w:val="99"/>
    <w:semiHidden/>
    <w:rsid w:val="00765D8F"/>
    <w:rPr>
      <w:rFonts w:ascii="Times New Roman" w:eastAsia="Times New Roman" w:hAnsi="Times New Roman"/>
      <w:sz w:val="24"/>
      <w:szCs w:val="24"/>
    </w:rPr>
  </w:style>
  <w:style w:type="paragraph" w:styleId="Revision">
    <w:name w:val="Revision"/>
    <w:hidden/>
    <w:uiPriority w:val="99"/>
    <w:semiHidden/>
    <w:rsid w:val="00105F6A"/>
    <w:rPr>
      <w:rFonts w:ascii="Times New Roman" w:eastAsia="Times New Roman" w:hAnsi="Times New Roman"/>
      <w:sz w:val="24"/>
      <w:szCs w:val="24"/>
    </w:rPr>
  </w:style>
  <w:style w:type="character" w:styleId="Strong">
    <w:name w:val="Strong"/>
    <w:uiPriority w:val="22"/>
    <w:qFormat/>
    <w:rsid w:val="002317FA"/>
    <w:rPr>
      <w:b/>
      <w:bCs/>
    </w:rPr>
  </w:style>
  <w:style w:type="paragraph" w:styleId="HTMLPreformatted">
    <w:name w:val="HTML Preformatted"/>
    <w:basedOn w:val="Normal"/>
    <w:link w:val="HTMLPreformattedChar"/>
    <w:uiPriority w:val="99"/>
    <w:unhideWhenUsed/>
    <w:rsid w:val="002317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2317FA"/>
    <w:rPr>
      <w:rFonts w:ascii="Courier New" w:eastAsia="Times New Roman" w:hAnsi="Courier New" w:cs="Courier New"/>
    </w:rPr>
  </w:style>
  <w:style w:type="character" w:customStyle="1" w:styleId="sr-only">
    <w:name w:val="sr-only"/>
    <w:rsid w:val="002317FA"/>
  </w:style>
  <w:style w:type="character" w:customStyle="1" w:styleId="Footer10">
    <w:name w:val="Footer1_0"/>
    <w:rsid w:val="002B188B"/>
  </w:style>
  <w:style w:type="character" w:styleId="Emphasis">
    <w:name w:val="Emphasis"/>
    <w:uiPriority w:val="20"/>
    <w:qFormat/>
    <w:rsid w:val="006267A7"/>
    <w:rPr>
      <w:i/>
      <w:iCs/>
    </w:rPr>
  </w:style>
  <w:style w:type="character" w:styleId="UnresolvedMention">
    <w:name w:val="Unresolved Mention"/>
    <w:uiPriority w:val="99"/>
    <w:semiHidden/>
    <w:unhideWhenUsed/>
    <w:rsid w:val="000409D3"/>
    <w:rPr>
      <w:color w:val="605E5C"/>
      <w:shd w:val="clear" w:color="auto" w:fill="E1DFDD"/>
    </w:rPr>
  </w:style>
  <w:style w:type="paragraph" w:customStyle="1" w:styleId="Default">
    <w:name w:val="Default"/>
    <w:rsid w:val="00BC0914"/>
    <w:pPr>
      <w:autoSpaceDE w:val="0"/>
      <w:autoSpaceDN w:val="0"/>
      <w:adjustRightInd w:val="0"/>
    </w:pPr>
    <w:rPr>
      <w:rFonts w:ascii="Times New Roman" w:hAnsi="Times New Roman"/>
      <w:color w:val="000000"/>
      <w:sz w:val="24"/>
      <w:szCs w:val="24"/>
    </w:rPr>
  </w:style>
  <w:style w:type="paragraph" w:customStyle="1" w:styleId="BodyText1">
    <w:name w:val="Body Text1"/>
    <w:basedOn w:val="Normal"/>
    <w:uiPriority w:val="1"/>
    <w:qFormat/>
    <w:rsid w:val="00EB7614"/>
    <w:pPr>
      <w:spacing w:after="120" w:line="360" w:lineRule="auto"/>
      <w:ind w:firstLine="720"/>
    </w:pPr>
    <w:rPr>
      <w:szCs w:val="20"/>
      <w:lang w:bidi="en-US"/>
    </w:rPr>
  </w:style>
  <w:style w:type="paragraph" w:customStyle="1" w:styleId="Source1">
    <w:name w:val="Source1"/>
    <w:basedOn w:val="Normal"/>
    <w:rsid w:val="004F52B6"/>
    <w:pPr>
      <w:keepLines/>
      <w:widowControl/>
      <w:autoSpaceDE/>
      <w:autoSpaceDN/>
      <w:adjustRightInd/>
      <w:spacing w:before="120" w:after="400"/>
      <w:ind w:left="187" w:hanging="187"/>
    </w:pPr>
    <w:rPr>
      <w:rFonts w:ascii="Verdana" w:eastAsia="MS Mincho" w:hAnsi="Verdana"/>
      <w:sz w:val="18"/>
      <w:szCs w:val="20"/>
    </w:rPr>
  </w:style>
  <w:style w:type="paragraph" w:customStyle="1" w:styleId="bodytextpsg">
    <w:name w:val="body text_psg"/>
    <w:basedOn w:val="Normal"/>
    <w:link w:val="bodytextpsgChar"/>
    <w:qFormat/>
    <w:rsid w:val="004F52B6"/>
    <w:pPr>
      <w:widowControl/>
      <w:autoSpaceDE/>
      <w:autoSpaceDN/>
      <w:adjustRightInd/>
      <w:spacing w:after="120" w:line="360" w:lineRule="auto"/>
      <w:ind w:firstLine="720"/>
    </w:pPr>
    <w:rPr>
      <w:szCs w:val="22"/>
    </w:rPr>
  </w:style>
  <w:style w:type="character" w:customStyle="1" w:styleId="bodytextpsgChar">
    <w:name w:val="body text_psg Char"/>
    <w:link w:val="bodytextpsg"/>
    <w:rsid w:val="004F52B6"/>
    <w:rPr>
      <w:rFonts w:ascii="Times New Roman" w:eastAsia="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yperlink" Target="mailto:RArrazola@cdc.gov" TargetMode="External" /><Relationship Id="rId12" Type="http://schemas.openxmlformats.org/officeDocument/2006/relationships/hyperlink" Target="mailto:MCornelius@cdc.gov" TargetMode="External" /><Relationship Id="rId13" Type="http://schemas.openxmlformats.org/officeDocument/2006/relationships/hyperlink" Target="https://www.cdc.gov/winnablebattles/report/index.html" TargetMode="External" /><Relationship Id="rId14" Type="http://schemas.openxmlformats.org/officeDocument/2006/relationships/hyperlink" Target="https://www.cdc.gov/sixeighteen/index.html" TargetMode="External" /><Relationship Id="rId15" Type="http://schemas.openxmlformats.org/officeDocument/2006/relationships/hyperlink" Target="http://dx.doi.org/10.15585/mmwr.mm6806e1" TargetMode="External" /><Relationship Id="rId16" Type="http://schemas.openxmlformats.org/officeDocument/2006/relationships/hyperlink" Target="http://dx.doi.org/10.15585/mmwr.ss6812a1" TargetMode="External" /><Relationship Id="rId17" Type="http://schemas.openxmlformats.org/officeDocument/2006/relationships/hyperlink" Target="http://dx.doi.org/10.15585/mmwr.mm6937e1" TargetMode="External" /><Relationship Id="rId18" Type="http://schemas.openxmlformats.org/officeDocument/2006/relationships/hyperlink" Target="https://www.cdc.gov/budget/documents/fy2023/FY-2023-CDC-congressional-justification.pdf" TargetMode="External" /><Relationship Id="rId19" Type="http://schemas.openxmlformats.org/officeDocument/2006/relationships/hyperlink" Target="http://dx.doi.org/10.15585/mmwr.mm7145a1" TargetMode="External" /><Relationship Id="rId2" Type="http://schemas.openxmlformats.org/officeDocument/2006/relationships/webSettings" Target="webSettings.xml" /><Relationship Id="rId20" Type="http://schemas.openxmlformats.org/officeDocument/2006/relationships/hyperlink" Target="http://dx.doi.org/10.15585/mmwr.mm6745a5" TargetMode="External" /><Relationship Id="rId21" Type="http://schemas.openxmlformats.org/officeDocument/2006/relationships/hyperlink" Target="https://www.fda.gov/tobacco-products/ctp-newsroom/newly-signed-legislation-raises-federal-minimum-age-sale-tobacco-products-21" TargetMode="External" /><Relationship Id="rId22" Type="http://schemas.openxmlformats.org/officeDocument/2006/relationships/hyperlink" Target="https://www.fda.gov/media/133880/download" TargetMode="External" /><Relationship Id="rId23" Type="http://schemas.openxmlformats.org/officeDocument/2006/relationships/hyperlink" Target="https://e-cigarettes.surgeongeneral.gov/documents/surgeon-generals-advisory-on-e-cigarette-use-among-youth-2018.pdf" TargetMode="External" /><Relationship Id="rId24" Type="http://schemas.openxmlformats.org/officeDocument/2006/relationships/hyperlink" Target="http://www.bls.gov/oes/current/oes_nat.htm"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019CB4B3CAA848B216E433FC86D78B" ma:contentTypeVersion="0" ma:contentTypeDescription="Create a new document." ma:contentTypeScope="" ma:versionID="eaaf7ef8f6f58129dc19161f8b8e14aa">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f9c3bdf481cad7f4dd0ee73d91833fc1"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-Please Specify-</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9D176-A56B-481C-8237-B91238BC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335407-98E6-4F9D-BAE5-F12E9B056843}">
  <ds:schemaRefs>
    <ds:schemaRef ds:uri="http://schemas.microsoft.com/office/2006/metadata/longProperties"/>
  </ds:schemaRefs>
</ds:datastoreItem>
</file>

<file path=customXml/itemProps3.xml><?xml version="1.0" encoding="utf-8"?>
<ds:datastoreItem xmlns:ds="http://schemas.openxmlformats.org/officeDocument/2006/customXml" ds:itemID="{063EFF37-50D3-4ED5-9B07-403E641847BE}">
  <ds:schemaRefs>
    <ds:schemaRef ds:uri="http://schemas.openxmlformats.org/officeDocument/2006/bibliography"/>
  </ds:schemaRefs>
</ds:datastoreItem>
</file>

<file path=customXml/itemProps4.xml><?xml version="1.0" encoding="utf-8"?>
<ds:datastoreItem xmlns:ds="http://schemas.openxmlformats.org/officeDocument/2006/customXml" ds:itemID="{80F552B3-70DD-4B08-86AC-E561DC6A5792}">
  <ds:schemaRefs>
    <ds:schemaRef ds:uri="http://schemas.microsoft.com/sharepoint/events"/>
  </ds:schemaRefs>
</ds:datastoreItem>
</file>

<file path=customXml/itemProps5.xml><?xml version="1.0" encoding="utf-8"?>
<ds:datastoreItem xmlns:ds="http://schemas.openxmlformats.org/officeDocument/2006/customXml" ds:itemID="{6D30CBDE-45B0-4AB1-A8FA-9909B88321B9}">
  <ds:schemaRefs>
    <ds:schemaRef ds:uri="http://schemas.microsoft.com/office/2006/metadata/properties"/>
    <ds:schemaRef ds:uri="http://schemas.microsoft.com/office/infopath/2007/PartnerControls"/>
    <ds:schemaRef ds:uri="2e9935a5-20a2-403e-8dd7-41ca93ef841b"/>
    <ds:schemaRef ds:uri="8ae0da10-6ae8-4796-8a88-54cca0b2a7ec"/>
    <ds:schemaRef ds:uri="ee268373-24bd-46db-9f88-fe8cfe7fef0e"/>
  </ds:schemaRefs>
</ds:datastoreItem>
</file>

<file path=customXml/itemProps6.xml><?xml version="1.0" encoding="utf-8"?>
<ds:datastoreItem xmlns:ds="http://schemas.openxmlformats.org/officeDocument/2006/customXml" ds:itemID="{A73E66F3-A683-4DEE-8A7D-ED3695D97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7874</Words>
  <Characters>44883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OMB SUPPORTING STATEMENT: Part B</vt:lpstr>
    </vt:vector>
  </TitlesOfParts>
  <Company>Macro International Inc.</Company>
  <LinksUpToDate>false</LinksUpToDate>
  <CharactersWithSpaces>52652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dc:title>
  <dc:creator>Katherine.H.Flint</dc:creator>
  <cp:lastModifiedBy>Zirger, Jeffrey (CDC/IOD/OS)</cp:lastModifiedBy>
  <cp:revision>6</cp:revision>
  <cp:lastPrinted>2019-08-21T12:44:00Z</cp:lastPrinted>
  <dcterms:created xsi:type="dcterms:W3CDTF">2023-11-08T21:41:00Z</dcterms:created>
  <dcterms:modified xsi:type="dcterms:W3CDTF">2024-01-19T13:40:00Z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1978b32e-dc18-4cbf-b826-3fb70123db1e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2024-01-19T13:40:27Z</vt:lpwstr>
  </property>
  <property fmtid="{D5CDD505-2E9C-101B-9397-08002B2CF9AE}" pid="8" name="MSIP_Label_7b94a7b8-f06c-4dfe-bdcc-9b548fd58c31_SiteId">
    <vt:lpwstr>9ce70869-60db-44fd-abe8-d2767077fc8f</vt:lpwstr>
  </property>
  <property fmtid="{D5CDD505-2E9C-101B-9397-08002B2CF9AE}" pid="9" name="_dlc_DocId">
    <vt:lpwstr>ECW2UC57Z33M-137871154-4</vt:lpwstr>
  </property>
  <property fmtid="{D5CDD505-2E9C-101B-9397-08002B2CF9AE}" pid="10" name="_dlc_DocIdItemGuid">
    <vt:lpwstr>033d989e-df98-4433-a029-4b8a129a213e</vt:lpwstr>
  </property>
  <property fmtid="{D5CDD505-2E9C-101B-9397-08002B2CF9AE}" pid="11" name="_dlc_DocIdUrl">
    <vt:lpwstr>http://sharepoint.fda.gov/orgs/CTP-OS/PopHealthSci/epi/_layouts/DocIdRedir.aspx?ID=ECW2UC57Z33M-137871154-4, ECW2UC57Z33M-137871154-4</vt:lpwstr>
  </property>
</Properties>
</file>