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3ED3" w:rsidP="004079DF" w14:paraId="2FE101D4" w14:textId="7D6AAC92">
      <w:pPr>
        <w:pStyle w:val="NormalWeb"/>
        <w:spacing w:before="120" w:after="120"/>
        <w:ind w:left="0" w:right="158"/>
        <w:rPr>
          <w:rFonts w:ascii="Arial" w:hAnsi="Arial" w:cs="Arial"/>
          <w:b/>
          <w:bCs/>
          <w:color w:val="auto"/>
          <w:kern w:val="36"/>
          <w:sz w:val="28"/>
          <w:szCs w:val="28"/>
        </w:rPr>
      </w:pPr>
      <w:r w:rsidRPr="00393ED3">
        <w:rPr>
          <w:rFonts w:ascii="Arial" w:hAnsi="Arial" w:cs="Arial"/>
          <w:b/>
          <w:bCs/>
          <w:color w:val="auto"/>
          <w:kern w:val="36"/>
          <w:sz w:val="28"/>
          <w:szCs w:val="28"/>
        </w:rPr>
        <w:t xml:space="preserve">Adult Heart and HeartLung Status </w:t>
      </w:r>
      <w:r w:rsidR="00672815">
        <w:rPr>
          <w:rFonts w:ascii="Arial" w:hAnsi="Arial" w:cs="Arial"/>
          <w:b/>
          <w:bCs/>
          <w:color w:val="auto"/>
          <w:kern w:val="36"/>
          <w:sz w:val="28"/>
          <w:szCs w:val="28"/>
        </w:rPr>
        <w:t>4</w:t>
      </w:r>
      <w:r w:rsidRPr="00393ED3">
        <w:rPr>
          <w:rFonts w:ascii="Arial" w:hAnsi="Arial" w:cs="Arial"/>
          <w:b/>
          <w:bCs/>
          <w:color w:val="auto"/>
          <w:kern w:val="36"/>
          <w:sz w:val="28"/>
          <w:szCs w:val="28"/>
        </w:rPr>
        <w:t xml:space="preserve"> Criteria 2 Extension Justification Form Medical Urgency Data</w:t>
      </w:r>
    </w:p>
    <w:p w:rsidR="00672815" w:rsidRPr="00672815" w:rsidP="00672815" w14:paraId="074BEE61" w14:textId="3B76F171">
      <w:pPr>
        <w:shd w:val="clear" w:color="auto" w:fill="FFFFFF"/>
        <w:spacing w:before="80" w:after="80" w:line="214" w:lineRule="atLeast"/>
        <w:ind w:right="160"/>
        <w:rPr>
          <w:rFonts w:ascii="Arial" w:hAnsi="Arial" w:cs="Tahoma"/>
          <w:color w:val="000000"/>
          <w:szCs w:val="20"/>
        </w:rPr>
      </w:pPr>
      <w:r w:rsidRPr="00672815">
        <w:rPr>
          <w:rFonts w:ascii="Arial" w:hAnsi="Arial" w:cs="Tahoma"/>
          <w:color w:val="000000"/>
          <w:szCs w:val="20"/>
        </w:rPr>
        <w:t>You will be informed of any downgrades that are pending in the Critical Data section of Secure Enterprise. You may also view the Candidates Pending Downgrade Report section of Waitlist</w:t>
      </w:r>
      <w:r>
        <w:rPr>
          <w:rFonts w:ascii="Tahoma" w:hAnsi="Tahoma" w:cs="Tahoma"/>
          <w:color w:val="000000"/>
          <w:sz w:val="16"/>
          <w:szCs w:val="16"/>
          <w:vertAlign w:val="superscript"/>
        </w:rPr>
        <w:t>SM</w:t>
      </w:r>
      <w:r w:rsidRPr="00672815">
        <w:rPr>
          <w:rFonts w:ascii="Arial" w:hAnsi="Arial" w:cs="Tahoma"/>
          <w:color w:val="000000"/>
          <w:szCs w:val="20"/>
        </w:rPr>
        <w:t>. The “Extend” button will be available 7 days prior to expiration of the status.</w:t>
      </w:r>
    </w:p>
    <w:p w:rsidR="00672815" w:rsidRPr="00672815" w:rsidP="00672815" w14:paraId="0704B963" w14:textId="77777777">
      <w:pPr>
        <w:shd w:val="clear" w:color="auto" w:fill="FFFFFF"/>
        <w:spacing w:before="80" w:after="80"/>
        <w:ind w:right="160"/>
        <w:rPr>
          <w:rFonts w:ascii="Arial" w:hAnsi="Arial" w:cs="Tahoma"/>
          <w:color w:val="000000"/>
          <w:szCs w:val="20"/>
        </w:rPr>
      </w:pPr>
      <w:r w:rsidRPr="00672815">
        <w:rPr>
          <w:rFonts w:ascii="Arial" w:hAnsi="Arial" w:cs="Tahoma"/>
          <w:color w:val="000000"/>
          <w:szCs w:val="20"/>
        </w:rPr>
        <w:t>All required data must be submitted in order to list a candidate at status 4, or extend their listing at status 4, in accordance with criteria that are specified in </w:t>
      </w:r>
      <w:hyperlink r:id="rId9" w:tgtFrame="_blank" w:history="1">
        <w:r w:rsidRPr="00672815">
          <w:rPr>
            <w:rStyle w:val="Hyperlink"/>
            <w:rFonts w:ascii="Arial" w:hAnsi="Arial" w:cs="Tahoma"/>
            <w:szCs w:val="20"/>
          </w:rPr>
          <w:t>OPTN Policy</w:t>
        </w:r>
      </w:hyperlink>
      <w:r w:rsidRPr="00672815">
        <w:rPr>
          <w:rFonts w:ascii="Arial" w:hAnsi="Arial" w:cs="Tahoma"/>
          <w:color w:val="000000"/>
          <w:szCs w:val="20"/>
        </w:rPr>
        <w:t>. Use the search feature to locate specific policy information concerning adult heart status requirements.</w:t>
      </w:r>
    </w:p>
    <w:p w:rsidR="00672815" w:rsidRPr="00672815" w:rsidP="00672815" w14:paraId="5B48BCA4" w14:textId="77777777">
      <w:pPr>
        <w:shd w:val="clear" w:color="auto" w:fill="FFFFFF"/>
        <w:spacing w:before="80" w:after="80"/>
        <w:ind w:right="160"/>
        <w:rPr>
          <w:rFonts w:ascii="Arial" w:hAnsi="Arial" w:cs="Tahoma"/>
          <w:color w:val="000000"/>
          <w:szCs w:val="20"/>
        </w:rPr>
      </w:pPr>
      <w:r w:rsidRPr="00672815">
        <w:rPr>
          <w:rFonts w:ascii="Arial" w:hAnsi="Arial" w:cs="Tahoma"/>
          <w:color w:val="000000"/>
          <w:szCs w:val="20"/>
        </w:rPr>
        <w:t>If you do not submit this form to extend the candidate's status beyond the time frame described in policy, the candidate will automatically be downgraded to status 5 (if the candidate is registered for at least one other organ at the same transplant hospital, including VCA registrations) or status 6. Heart-Lung candidates will downgrade to status 5 since they are in need of two organs; a heart and a lung.</w:t>
      </w:r>
    </w:p>
    <w:p w:rsidR="00C82225" w:rsidRPr="00EC5ED2" w:rsidP="006B0BFD" w14:paraId="1C7862C4" w14:textId="3C93002E">
      <w:pPr>
        <w:pStyle w:val="Heading2"/>
      </w:pPr>
      <w:r>
        <w:t xml:space="preserve">Status </w:t>
      </w:r>
      <w:r w:rsidR="00672815">
        <w:t>4</w:t>
      </w:r>
      <w:r>
        <w:t xml:space="preserve"> Extension Criteria </w:t>
      </w:r>
      <w:r w:rsidR="00672815">
        <w:t>2</w:t>
      </w:r>
    </w:p>
    <w:p w:rsidR="00672815" w:rsidRPr="00672815" w:rsidP="00672815" w14:paraId="246C963F" w14:textId="77777777">
      <w:pPr>
        <w:shd w:val="clear" w:color="auto" w:fill="FFFFFF"/>
        <w:spacing w:before="80" w:after="80" w:line="240" w:lineRule="auto"/>
        <w:ind w:left="160" w:right="160"/>
        <w:rPr>
          <w:rFonts w:ascii="Arial" w:eastAsia="Times New Roman" w:hAnsi="Arial" w:cs="Tahoma"/>
          <w:color w:val="000000"/>
          <w:szCs w:val="20"/>
        </w:rPr>
      </w:pPr>
      <w:r w:rsidRPr="00672815">
        <w:rPr>
          <w:rFonts w:ascii="Arial" w:eastAsia="Times New Roman" w:hAnsi="Arial" w:cs="Tahoma"/>
          <w:color w:val="000000"/>
          <w:szCs w:val="20"/>
        </w:rPr>
        <w:t>If status 4, criteria 2: Inotropes without hemodynamic monitoring, is selected, enter the following information: </w:t>
      </w:r>
    </w:p>
    <w:p w:rsidR="00672815" w:rsidRPr="00672815" w:rsidP="00672815" w14:paraId="74CCBC0F" w14:textId="77777777">
      <w:pPr>
        <w:shd w:val="clear" w:color="auto" w:fill="FFFFFF"/>
        <w:spacing w:before="80" w:after="80" w:line="240" w:lineRule="auto"/>
        <w:ind w:left="160" w:right="160"/>
        <w:rPr>
          <w:rFonts w:ascii="Arial" w:eastAsia="Times New Roman" w:hAnsi="Arial" w:cs="Tahoma"/>
          <w:color w:val="000000"/>
          <w:szCs w:val="20"/>
        </w:rPr>
      </w:pPr>
      <w:r w:rsidRPr="00672815">
        <w:rPr>
          <w:rFonts w:ascii="Arial" w:eastAsia="Times New Roman" w:hAnsi="Arial" w:cs="Tahoma"/>
          <w:b/>
          <w:bCs/>
          <w:color w:val="000000"/>
          <w:szCs w:val="20"/>
        </w:rPr>
        <w:t>Inotropes without hemodynamic monitoring</w:t>
      </w:r>
    </w:p>
    <w:p w:rsidR="00672815" w:rsidRPr="00672815" w:rsidP="00672815" w14:paraId="6D578F19" w14:textId="77777777">
      <w:pPr>
        <w:shd w:val="clear" w:color="auto" w:fill="FFFFFF"/>
        <w:spacing w:before="80" w:after="80" w:line="240" w:lineRule="auto"/>
        <w:ind w:left="160" w:right="160"/>
        <w:rPr>
          <w:rFonts w:ascii="Arial" w:eastAsia="Times New Roman" w:hAnsi="Arial" w:cs="Tahoma"/>
          <w:color w:val="000000"/>
          <w:szCs w:val="20"/>
        </w:rPr>
      </w:pPr>
      <w:r w:rsidRPr="00672815">
        <w:rPr>
          <w:rFonts w:ascii="Arial" w:eastAsia="Times New Roman" w:hAnsi="Arial" w:cs="Tahoma"/>
          <w:color w:val="000000"/>
          <w:szCs w:val="20"/>
        </w:rPr>
        <w:t>Candidate is supported by a continuous infusion of a positive inotropic agent.</w:t>
      </w:r>
    </w:p>
    <w:p w:rsidR="00672815" w:rsidRPr="00672815" w:rsidP="00672815" w14:paraId="53199177" w14:textId="77777777">
      <w:pPr>
        <w:numPr>
          <w:ilvl w:val="0"/>
          <w:numId w:val="22"/>
        </w:numPr>
        <w:shd w:val="clear" w:color="auto" w:fill="FFFFFF"/>
        <w:spacing w:before="80" w:after="80" w:line="240" w:lineRule="auto"/>
        <w:ind w:left="880" w:right="160"/>
        <w:rPr>
          <w:rFonts w:ascii="Arial" w:eastAsia="Times New Roman" w:hAnsi="Arial" w:cs="Tahoma"/>
          <w:color w:val="000000"/>
          <w:szCs w:val="20"/>
        </w:rPr>
      </w:pPr>
      <w:r w:rsidRPr="00672815">
        <w:rPr>
          <w:rFonts w:ascii="Arial" w:eastAsia="Times New Roman" w:hAnsi="Arial" w:cs="Tahoma"/>
          <w:b/>
          <w:bCs/>
          <w:color w:val="000000"/>
          <w:szCs w:val="20"/>
        </w:rPr>
        <w:t>Requires treatment with at least one of the following intravenous inotropes:</w:t>
      </w:r>
    </w:p>
    <w:p w:rsidR="00672815" w:rsidRPr="00672815" w:rsidP="00672815" w14:paraId="16EE64EA" w14:textId="77777777">
      <w:pPr>
        <w:numPr>
          <w:ilvl w:val="1"/>
          <w:numId w:val="22"/>
        </w:numPr>
        <w:shd w:val="clear" w:color="auto" w:fill="FFFFFF"/>
        <w:spacing w:before="80" w:after="80" w:line="240" w:lineRule="auto"/>
        <w:ind w:left="1600" w:right="160"/>
        <w:rPr>
          <w:rFonts w:ascii="Arial" w:eastAsia="Times New Roman" w:hAnsi="Arial" w:cs="Tahoma"/>
          <w:color w:val="000000"/>
          <w:szCs w:val="20"/>
        </w:rPr>
      </w:pPr>
      <w:r w:rsidRPr="00672815">
        <w:rPr>
          <w:rFonts w:ascii="Arial" w:eastAsia="Times New Roman" w:hAnsi="Arial" w:cs="Tahoma"/>
          <w:b/>
          <w:bCs/>
          <w:color w:val="000000"/>
          <w:szCs w:val="20"/>
        </w:rPr>
        <w:t>Dobutamine:</w:t>
      </w:r>
      <w:r w:rsidRPr="00672815">
        <w:rPr>
          <w:rFonts w:ascii="Arial" w:eastAsia="Times New Roman" w:hAnsi="Arial" w:cs="Tahoma"/>
          <w:color w:val="000000"/>
          <w:szCs w:val="20"/>
        </w:rPr>
        <w:t> Enter the dosage of dobutamine in mcg/kg/min. The entry must fall between 3 and 999 mcg/kg/min. Enter the </w:t>
      </w:r>
      <w:r w:rsidRPr="00672815">
        <w:rPr>
          <w:rFonts w:ascii="Arial" w:eastAsia="Times New Roman" w:hAnsi="Arial" w:cs="Tahoma"/>
          <w:b/>
          <w:bCs/>
          <w:color w:val="000000"/>
          <w:szCs w:val="20"/>
        </w:rPr>
        <w:t>Date of Initiation</w:t>
      </w:r>
      <w:r w:rsidRPr="00672815">
        <w:rPr>
          <w:rFonts w:ascii="Arial" w:eastAsia="Times New Roman" w:hAnsi="Arial" w:cs="Tahoma"/>
          <w:color w:val="000000"/>
          <w:szCs w:val="20"/>
        </w:rPr>
        <w:t>. The date must be in the following format: MM/DD/YYYY. A calendar link is available.</w:t>
      </w:r>
    </w:p>
    <w:p w:rsidR="00672815" w:rsidRPr="00672815" w:rsidP="00672815" w14:paraId="52A220F3" w14:textId="77777777">
      <w:pPr>
        <w:numPr>
          <w:ilvl w:val="1"/>
          <w:numId w:val="22"/>
        </w:numPr>
        <w:shd w:val="clear" w:color="auto" w:fill="FFFFFF"/>
        <w:spacing w:before="80" w:after="80" w:line="240" w:lineRule="auto"/>
        <w:ind w:left="1600" w:right="160"/>
        <w:rPr>
          <w:rFonts w:ascii="Arial" w:eastAsia="Times New Roman" w:hAnsi="Arial" w:cs="Tahoma"/>
          <w:color w:val="000000"/>
          <w:szCs w:val="20"/>
        </w:rPr>
      </w:pPr>
      <w:r w:rsidRPr="00672815">
        <w:rPr>
          <w:rFonts w:ascii="Arial" w:eastAsia="Times New Roman" w:hAnsi="Arial" w:cs="Tahoma"/>
          <w:b/>
          <w:bCs/>
          <w:color w:val="000000"/>
          <w:szCs w:val="20"/>
        </w:rPr>
        <w:t>Milrinone:</w:t>
      </w:r>
      <w:r w:rsidRPr="00672815">
        <w:rPr>
          <w:rFonts w:ascii="Arial" w:eastAsia="Times New Roman" w:hAnsi="Arial" w:cs="Tahoma"/>
          <w:color w:val="000000"/>
          <w:szCs w:val="20"/>
        </w:rPr>
        <w:t> Enter the dosage of milrinone in mcg/kg/min. The entry must fall between 0.25 and 999 mcg/kg/min. Enter the </w:t>
      </w:r>
      <w:r w:rsidRPr="00672815">
        <w:rPr>
          <w:rFonts w:ascii="Arial" w:eastAsia="Times New Roman" w:hAnsi="Arial" w:cs="Tahoma"/>
          <w:b/>
          <w:bCs/>
          <w:color w:val="000000"/>
          <w:szCs w:val="20"/>
        </w:rPr>
        <w:t>Date of Initiation</w:t>
      </w:r>
      <w:r w:rsidRPr="00672815">
        <w:rPr>
          <w:rFonts w:ascii="Arial" w:eastAsia="Times New Roman" w:hAnsi="Arial" w:cs="Tahoma"/>
          <w:color w:val="000000"/>
          <w:szCs w:val="20"/>
        </w:rPr>
        <w:t>. The date must be in the following format: MM/DD/YYYY. A calendar link is available.</w:t>
      </w:r>
    </w:p>
    <w:p w:rsidR="00672815" w:rsidRPr="00672815" w:rsidP="00672815" w14:paraId="30D6F01B" w14:textId="77777777">
      <w:pPr>
        <w:numPr>
          <w:ilvl w:val="1"/>
          <w:numId w:val="22"/>
        </w:numPr>
        <w:shd w:val="clear" w:color="auto" w:fill="FFFFFF"/>
        <w:spacing w:before="80" w:after="80" w:line="240" w:lineRule="auto"/>
        <w:ind w:left="1600" w:right="160"/>
        <w:rPr>
          <w:rFonts w:ascii="Arial" w:eastAsia="Times New Roman" w:hAnsi="Arial" w:cs="Tahoma"/>
          <w:color w:val="000000"/>
          <w:szCs w:val="20"/>
        </w:rPr>
      </w:pPr>
      <w:r w:rsidRPr="00672815">
        <w:rPr>
          <w:rFonts w:ascii="Arial" w:eastAsia="Times New Roman" w:hAnsi="Arial" w:cs="Tahoma"/>
          <w:b/>
          <w:bCs/>
          <w:color w:val="000000"/>
          <w:szCs w:val="20"/>
        </w:rPr>
        <w:t>Epinephrine: </w:t>
      </w:r>
      <w:r w:rsidRPr="00672815">
        <w:rPr>
          <w:rFonts w:ascii="Arial" w:eastAsia="Times New Roman" w:hAnsi="Arial" w:cs="Tahoma"/>
          <w:color w:val="000000"/>
          <w:szCs w:val="20"/>
        </w:rPr>
        <w:t>Enter the dosage of epinephrine in mcg/kg/min. The entry must fall between 0.01 and 999 mcg/kg/min. Enter the </w:t>
      </w:r>
      <w:r w:rsidRPr="00672815">
        <w:rPr>
          <w:rFonts w:ascii="Arial" w:eastAsia="Times New Roman" w:hAnsi="Arial" w:cs="Tahoma"/>
          <w:b/>
          <w:bCs/>
          <w:color w:val="000000"/>
          <w:szCs w:val="20"/>
        </w:rPr>
        <w:t>Date of Initiation</w:t>
      </w:r>
      <w:r w:rsidRPr="00672815">
        <w:rPr>
          <w:rFonts w:ascii="Arial" w:eastAsia="Times New Roman" w:hAnsi="Arial" w:cs="Tahoma"/>
          <w:color w:val="000000"/>
          <w:szCs w:val="20"/>
        </w:rPr>
        <w:t>. The date must be in the following format: MM/DD/YYYY. A calendar link is available.</w:t>
      </w:r>
    </w:p>
    <w:p w:rsidR="00672815" w:rsidRPr="00672815" w:rsidP="00672815" w14:paraId="40C60FE1" w14:textId="77777777">
      <w:pPr>
        <w:numPr>
          <w:ilvl w:val="1"/>
          <w:numId w:val="22"/>
        </w:numPr>
        <w:shd w:val="clear" w:color="auto" w:fill="FFFFFF"/>
        <w:spacing w:before="80" w:after="80" w:line="240" w:lineRule="auto"/>
        <w:ind w:left="1600" w:right="160"/>
        <w:rPr>
          <w:rFonts w:ascii="Arial" w:eastAsia="Times New Roman" w:hAnsi="Arial" w:cs="Tahoma"/>
          <w:color w:val="000000"/>
          <w:szCs w:val="20"/>
        </w:rPr>
      </w:pPr>
      <w:r w:rsidRPr="00672815">
        <w:rPr>
          <w:rFonts w:ascii="Arial" w:eastAsia="Times New Roman" w:hAnsi="Arial" w:cs="Tahoma"/>
          <w:b/>
          <w:bCs/>
          <w:color w:val="000000"/>
          <w:szCs w:val="20"/>
        </w:rPr>
        <w:t>Dopamine:</w:t>
      </w:r>
      <w:r w:rsidRPr="00672815">
        <w:rPr>
          <w:rFonts w:ascii="Arial" w:eastAsia="Times New Roman" w:hAnsi="Arial" w:cs="Tahoma"/>
          <w:color w:val="000000"/>
          <w:szCs w:val="20"/>
        </w:rPr>
        <w:t> Enter the dosage of dopamine in mcg/kg/min. The entry must fall between 3 and 999 mcg/kg/min. Enter the </w:t>
      </w:r>
      <w:r w:rsidRPr="00672815">
        <w:rPr>
          <w:rFonts w:ascii="Arial" w:eastAsia="Times New Roman" w:hAnsi="Arial" w:cs="Tahoma"/>
          <w:b/>
          <w:bCs/>
          <w:color w:val="000000"/>
          <w:szCs w:val="20"/>
        </w:rPr>
        <w:t>Date of Initiation</w:t>
      </w:r>
      <w:r w:rsidRPr="00672815">
        <w:rPr>
          <w:rFonts w:ascii="Arial" w:eastAsia="Times New Roman" w:hAnsi="Arial" w:cs="Tahoma"/>
          <w:color w:val="000000"/>
          <w:szCs w:val="20"/>
        </w:rPr>
        <w:t>. The date must be in the following format: MM/DD/YYYY. A calendar link is available.</w:t>
      </w:r>
    </w:p>
    <w:p w:rsidR="00672815" w:rsidRPr="00672815" w:rsidP="00672815" w14:paraId="095BFCF0" w14:textId="77777777">
      <w:pPr>
        <w:numPr>
          <w:ilvl w:val="0"/>
          <w:numId w:val="22"/>
        </w:numPr>
        <w:shd w:val="clear" w:color="auto" w:fill="FFFFFF"/>
        <w:spacing w:before="80" w:after="80" w:line="240" w:lineRule="auto"/>
        <w:ind w:left="880" w:right="160"/>
        <w:rPr>
          <w:rFonts w:ascii="Arial" w:eastAsia="Times New Roman" w:hAnsi="Arial" w:cs="Tahoma"/>
          <w:color w:val="000000"/>
          <w:szCs w:val="20"/>
        </w:rPr>
      </w:pPr>
      <w:r w:rsidRPr="00672815">
        <w:rPr>
          <w:rFonts w:ascii="Arial" w:eastAsia="Times New Roman" w:hAnsi="Arial" w:cs="Tahoma"/>
          <w:b/>
          <w:bCs/>
          <w:color w:val="000000"/>
          <w:szCs w:val="20"/>
        </w:rPr>
        <w:t>Meets the following qualifying requirements:</w:t>
      </w:r>
      <w:r w:rsidRPr="00672815">
        <w:rPr>
          <w:rFonts w:ascii="Arial" w:eastAsia="Times New Roman" w:hAnsi="Arial" w:cs="Tahoma"/>
          <w:color w:val="000000"/>
          <w:szCs w:val="20"/>
        </w:rPr>
        <w:br/>
      </w:r>
      <w:r w:rsidRPr="00672815">
        <w:rPr>
          <w:rFonts w:ascii="Arial" w:eastAsia="Times New Roman" w:hAnsi="Arial" w:cs="Tahoma"/>
          <w:b/>
          <w:bCs/>
          <w:color w:val="000000"/>
          <w:szCs w:val="20"/>
        </w:rPr>
        <w:t>Cardiac index:</w:t>
      </w:r>
      <w:r w:rsidRPr="00672815">
        <w:rPr>
          <w:rFonts w:ascii="Arial" w:eastAsia="Times New Roman" w:hAnsi="Arial" w:cs="Tahoma"/>
          <w:color w:val="000000"/>
          <w:szCs w:val="20"/>
        </w:rPr>
        <w:t> Enter the candidate’s cardiac index in L/min/m2. The entry must fall between 0 and 2.19 within 7 days prior to inotropic administration or while on inotrope infusion. Enter the </w:t>
      </w:r>
      <w:r w:rsidRPr="00672815">
        <w:rPr>
          <w:rFonts w:ascii="Arial" w:eastAsia="Times New Roman" w:hAnsi="Arial" w:cs="Tahoma"/>
          <w:b/>
          <w:bCs/>
          <w:color w:val="000000"/>
          <w:szCs w:val="20"/>
        </w:rPr>
        <w:t>Test Date</w:t>
      </w:r>
      <w:r w:rsidRPr="00672815">
        <w:rPr>
          <w:rFonts w:ascii="Arial" w:eastAsia="Times New Roman" w:hAnsi="Arial" w:cs="Tahoma"/>
          <w:color w:val="000000"/>
          <w:szCs w:val="20"/>
        </w:rPr>
        <w:t> of when the cardiac index value were obtained. The date must be in the following format: MM/DD/YYYY. A calendar link is available.</w:t>
      </w:r>
      <w:r w:rsidRPr="00672815">
        <w:rPr>
          <w:rFonts w:ascii="Arial" w:eastAsia="Times New Roman" w:hAnsi="Arial" w:cs="Tahoma"/>
          <w:color w:val="000000"/>
          <w:szCs w:val="20"/>
        </w:rPr>
        <w:br/>
      </w:r>
      <w:r w:rsidRPr="00672815">
        <w:rPr>
          <w:rFonts w:ascii="Arial" w:eastAsia="Times New Roman" w:hAnsi="Arial" w:cs="Tahoma"/>
          <w:b/>
          <w:bCs/>
          <w:i/>
          <w:iCs/>
          <w:color w:val="FF0000"/>
          <w:szCs w:val="20"/>
        </w:rPr>
        <w:t>Note:</w:t>
      </w:r>
      <w:r w:rsidRPr="00672815">
        <w:rPr>
          <w:rFonts w:ascii="Arial" w:eastAsia="Times New Roman" w:hAnsi="Arial" w:cs="Tahoma"/>
          <w:color w:val="000000"/>
          <w:szCs w:val="20"/>
        </w:rPr>
        <w:t> The test date for cardiac index must be within 7 days prior to, or anytime after, the date of initiation of one of the inotropes.</w:t>
      </w:r>
      <w:r w:rsidRPr="00672815">
        <w:rPr>
          <w:rFonts w:ascii="Arial" w:eastAsia="Times New Roman" w:hAnsi="Arial" w:cs="Tahoma"/>
          <w:color w:val="000000"/>
          <w:szCs w:val="20"/>
        </w:rPr>
        <w:br/>
      </w:r>
      <w:r w:rsidRPr="00672815">
        <w:rPr>
          <w:rFonts w:ascii="Arial" w:eastAsia="Times New Roman" w:hAnsi="Arial" w:cs="Tahoma"/>
          <w:b/>
          <w:bCs/>
          <w:color w:val="000000"/>
          <w:szCs w:val="20"/>
        </w:rPr>
        <w:t>Pulmonary capillary wedge pressure:</w:t>
      </w:r>
      <w:r w:rsidRPr="00672815">
        <w:rPr>
          <w:rFonts w:ascii="Arial" w:eastAsia="Times New Roman" w:hAnsi="Arial" w:cs="Tahoma"/>
          <w:color w:val="000000"/>
          <w:szCs w:val="20"/>
        </w:rPr>
        <w:t> Enter the candidate’s pulmonary capillary wedge pressure in mmHg. The entry must fall between 16 and 100. Enter the </w:t>
      </w:r>
      <w:r w:rsidRPr="00672815">
        <w:rPr>
          <w:rFonts w:ascii="Arial" w:eastAsia="Times New Roman" w:hAnsi="Arial" w:cs="Tahoma"/>
          <w:b/>
          <w:bCs/>
          <w:color w:val="000000"/>
          <w:szCs w:val="20"/>
        </w:rPr>
        <w:t>Test Date</w:t>
      </w:r>
      <w:r w:rsidRPr="00672815">
        <w:rPr>
          <w:rFonts w:ascii="Arial" w:eastAsia="Times New Roman" w:hAnsi="Arial" w:cs="Tahoma"/>
          <w:color w:val="000000"/>
          <w:szCs w:val="20"/>
        </w:rPr>
        <w:t> of when the PCWP value was obtained. The date must be in the following format: MM/DD/YYYY. A calendar link is available.</w:t>
      </w:r>
    </w:p>
    <w:p w:rsidR="00672815" w:rsidRPr="00672815" w:rsidP="00672815" w14:paraId="290340A1" w14:textId="77777777">
      <w:pPr>
        <w:shd w:val="clear" w:color="auto" w:fill="FFFFFF"/>
        <w:spacing w:before="80" w:after="80" w:line="240" w:lineRule="auto"/>
        <w:ind w:left="160" w:right="160"/>
        <w:rPr>
          <w:rFonts w:ascii="Arial" w:eastAsia="Times New Roman" w:hAnsi="Arial" w:cs="Tahoma"/>
          <w:color w:val="000000"/>
          <w:szCs w:val="20"/>
        </w:rPr>
      </w:pPr>
      <w:r w:rsidRPr="00672815">
        <w:rPr>
          <w:rFonts w:ascii="Arial" w:eastAsia="Times New Roman" w:hAnsi="Arial" w:cs="Tahoma"/>
          <w:b/>
          <w:bCs/>
          <w:color w:val="000000"/>
          <w:szCs w:val="20"/>
        </w:rPr>
        <w:t>Extending the candidate’s status under criteria 2</w:t>
      </w:r>
    </w:p>
    <w:p w:rsidR="00672815" w:rsidRPr="00672815" w:rsidP="00672815" w14:paraId="7CD3383A" w14:textId="77777777">
      <w:pPr>
        <w:shd w:val="clear" w:color="auto" w:fill="FFFFFF"/>
        <w:spacing w:before="80" w:after="80" w:line="240" w:lineRule="auto"/>
        <w:ind w:left="160" w:right="160"/>
        <w:rPr>
          <w:rFonts w:ascii="Arial" w:eastAsia="Times New Roman" w:hAnsi="Arial" w:cs="Tahoma"/>
          <w:color w:val="000000"/>
          <w:szCs w:val="20"/>
        </w:rPr>
      </w:pPr>
      <w:r w:rsidRPr="00672815">
        <w:rPr>
          <w:rFonts w:ascii="Arial" w:eastAsia="Times New Roman" w:hAnsi="Arial" w:cs="Tahoma"/>
          <w:color w:val="000000"/>
          <w:szCs w:val="20"/>
        </w:rPr>
        <w:t>The candidate requires treatment with at least one of the following intravenous inotropes:</w:t>
      </w:r>
    </w:p>
    <w:p w:rsidR="00672815" w:rsidRPr="00672815" w:rsidP="00672815" w14:paraId="4E20FDCF" w14:textId="77777777">
      <w:pPr>
        <w:numPr>
          <w:ilvl w:val="0"/>
          <w:numId w:val="23"/>
        </w:numPr>
        <w:shd w:val="clear" w:color="auto" w:fill="FFFFFF"/>
        <w:spacing w:before="80" w:after="80" w:line="240" w:lineRule="auto"/>
        <w:ind w:left="880" w:right="160"/>
        <w:rPr>
          <w:rFonts w:ascii="Arial" w:eastAsia="Times New Roman" w:hAnsi="Arial" w:cs="Tahoma"/>
          <w:color w:val="000000"/>
          <w:szCs w:val="20"/>
        </w:rPr>
      </w:pPr>
      <w:r w:rsidRPr="00672815">
        <w:rPr>
          <w:rFonts w:ascii="Arial" w:eastAsia="Times New Roman" w:hAnsi="Arial" w:cs="Tahoma"/>
          <w:b/>
          <w:bCs/>
          <w:color w:val="000000"/>
          <w:szCs w:val="20"/>
        </w:rPr>
        <w:t>Dobutamine:</w:t>
      </w:r>
      <w:r w:rsidRPr="00672815">
        <w:rPr>
          <w:rFonts w:ascii="Arial" w:eastAsia="Times New Roman" w:hAnsi="Arial" w:cs="Tahoma"/>
          <w:color w:val="000000"/>
          <w:szCs w:val="20"/>
        </w:rPr>
        <w:t> Enter the dosage of dobutamine in mcg/kg/min. The entry must fall between 3 and 999 mcg/kg/min.</w:t>
      </w:r>
    </w:p>
    <w:p w:rsidR="00672815" w:rsidRPr="00672815" w:rsidP="00672815" w14:paraId="62B5C809" w14:textId="77777777">
      <w:pPr>
        <w:numPr>
          <w:ilvl w:val="0"/>
          <w:numId w:val="23"/>
        </w:numPr>
        <w:shd w:val="clear" w:color="auto" w:fill="FFFFFF"/>
        <w:spacing w:before="80" w:after="80" w:line="240" w:lineRule="auto"/>
        <w:ind w:left="880" w:right="160"/>
        <w:rPr>
          <w:rFonts w:ascii="Arial" w:eastAsia="Times New Roman" w:hAnsi="Arial" w:cs="Tahoma"/>
          <w:color w:val="000000"/>
          <w:szCs w:val="20"/>
        </w:rPr>
      </w:pPr>
      <w:r w:rsidRPr="00672815">
        <w:rPr>
          <w:rFonts w:ascii="Arial" w:eastAsia="Times New Roman" w:hAnsi="Arial" w:cs="Tahoma"/>
          <w:b/>
          <w:bCs/>
          <w:color w:val="000000"/>
          <w:szCs w:val="20"/>
        </w:rPr>
        <w:t>Milrinone:</w:t>
      </w:r>
      <w:r w:rsidRPr="00672815">
        <w:rPr>
          <w:rFonts w:ascii="Arial" w:eastAsia="Times New Roman" w:hAnsi="Arial" w:cs="Tahoma"/>
          <w:color w:val="000000"/>
          <w:szCs w:val="20"/>
        </w:rPr>
        <w:t> Enter the dosage of milrinone in mcg/kg/min. The entry must fall between 0.25 and 999 mcg/kg/min.</w:t>
      </w:r>
    </w:p>
    <w:p w:rsidR="00672815" w:rsidRPr="00672815" w:rsidP="00672815" w14:paraId="72C7F94D" w14:textId="77777777">
      <w:pPr>
        <w:numPr>
          <w:ilvl w:val="0"/>
          <w:numId w:val="23"/>
        </w:numPr>
        <w:shd w:val="clear" w:color="auto" w:fill="FFFFFF"/>
        <w:spacing w:before="80" w:after="80" w:line="240" w:lineRule="auto"/>
        <w:ind w:left="880" w:right="160"/>
        <w:rPr>
          <w:rFonts w:ascii="Arial" w:eastAsia="Times New Roman" w:hAnsi="Arial" w:cs="Tahoma"/>
          <w:color w:val="000000"/>
          <w:szCs w:val="20"/>
        </w:rPr>
      </w:pPr>
      <w:r w:rsidRPr="00672815">
        <w:rPr>
          <w:rFonts w:ascii="Arial" w:eastAsia="Times New Roman" w:hAnsi="Arial" w:cs="Tahoma"/>
          <w:b/>
          <w:bCs/>
          <w:color w:val="000000"/>
          <w:szCs w:val="20"/>
        </w:rPr>
        <w:t>Epinephrine:</w:t>
      </w:r>
      <w:r w:rsidRPr="00672815">
        <w:rPr>
          <w:rFonts w:ascii="Arial" w:eastAsia="Times New Roman" w:hAnsi="Arial" w:cs="Tahoma"/>
          <w:color w:val="000000"/>
          <w:szCs w:val="20"/>
        </w:rPr>
        <w:t> Enter the dosage of epinephrine in mcg/kg/min. The entry must fall between 0.01 and 999 mcg/kg/min.</w:t>
      </w:r>
    </w:p>
    <w:p w:rsidR="00672815" w:rsidRPr="00672815" w:rsidP="00672815" w14:paraId="7CB3FEB9" w14:textId="77777777">
      <w:pPr>
        <w:numPr>
          <w:ilvl w:val="0"/>
          <w:numId w:val="23"/>
        </w:numPr>
        <w:shd w:val="clear" w:color="auto" w:fill="FFFFFF"/>
        <w:spacing w:before="80" w:after="80" w:line="240" w:lineRule="auto"/>
        <w:ind w:left="880" w:right="160"/>
        <w:rPr>
          <w:rFonts w:ascii="Arial" w:eastAsia="Times New Roman" w:hAnsi="Arial" w:cs="Tahoma"/>
          <w:color w:val="000000"/>
          <w:szCs w:val="20"/>
        </w:rPr>
      </w:pPr>
      <w:r w:rsidRPr="00672815">
        <w:rPr>
          <w:rFonts w:ascii="Arial" w:eastAsia="Times New Roman" w:hAnsi="Arial" w:cs="Tahoma"/>
          <w:b/>
          <w:bCs/>
          <w:color w:val="000000"/>
          <w:szCs w:val="20"/>
        </w:rPr>
        <w:t>Dopamine: </w:t>
      </w:r>
      <w:r w:rsidRPr="00672815">
        <w:rPr>
          <w:rFonts w:ascii="Arial" w:eastAsia="Times New Roman" w:hAnsi="Arial" w:cs="Tahoma"/>
          <w:color w:val="000000"/>
          <w:szCs w:val="20"/>
        </w:rPr>
        <w:t>Enter the dosage of dopamine in mcg/kg/min. The entry must fall between 3 and 999 mcg/kg/min.</w:t>
      </w:r>
    </w:p>
    <w:p w:rsidR="007F1433" w:rsidP="007F1433" w14:paraId="6432A4A4" w14:textId="77777777">
      <w:pPr>
        <w:shd w:val="clear" w:color="auto" w:fill="FFFFFF"/>
        <w:spacing w:before="80" w:after="80" w:line="240" w:lineRule="auto"/>
        <w:ind w:left="1780" w:right="160" w:hanging="360"/>
        <w:jc w:val="both"/>
        <w:rPr>
          <w:rFonts w:ascii="Arial" w:eastAsia="Times New Roman" w:hAnsi="Arial" w:cs="Tahoma"/>
          <w:color w:val="000000"/>
          <w:szCs w:val="20"/>
        </w:rPr>
      </w:pPr>
      <w:r w:rsidRPr="00672815">
        <w:rPr>
          <w:rFonts w:ascii="Arial" w:eastAsia="Times New Roman" w:hAnsi="Arial" w:cs="Tahoma"/>
          <w:color w:val="000000"/>
          <w:szCs w:val="20"/>
        </w:rPr>
        <w:t> </w:t>
      </w:r>
    </w:p>
    <w:p w:rsidR="00EE684E" w:rsidRPr="00886617" w:rsidP="00EE684E" w14:paraId="32AC886B" w14:textId="0F234249">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7F098E">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F33C9E">
        <w:rPr>
          <w:rFonts w:ascii="Arial" w:hAnsi="Arial" w:cs="Arial"/>
        </w:rPr>
        <w:t>average 0.27</w:t>
      </w:r>
      <w:r w:rsidR="00937D06">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0"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EE684E" w:rsidRPr="00672815" w:rsidP="007F1433" w14:paraId="3FCCE651" w14:textId="77777777">
      <w:pPr>
        <w:shd w:val="clear" w:color="auto" w:fill="FFFFFF"/>
        <w:spacing w:before="80" w:after="80" w:line="240" w:lineRule="auto"/>
        <w:ind w:left="1780" w:right="160" w:hanging="360"/>
        <w:jc w:val="both"/>
        <w:rPr>
          <w:rFonts w:ascii="Arial" w:eastAsia="Times New Roman" w:hAnsi="Arial" w:cs="Tahoma"/>
          <w:color w:val="000000"/>
          <w:szCs w:val="20"/>
        </w:rPr>
      </w:pPr>
    </w:p>
    <w:sectPr>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931" w14:paraId="45DC05D6" w14:textId="5E5614F2">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565459422"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60931" w:rsidRPr="00F60931" w:rsidP="00F60931" w14:textId="3741A01E">
                          <w:pPr>
                            <w:spacing w:after="0"/>
                            <w:rPr>
                              <w:rFonts w:ascii="Calibri" w:eastAsia="Calibri" w:hAnsi="Calibri" w:cs="Calibri"/>
                              <w:noProof/>
                              <w:color w:val="000000"/>
                              <w:sz w:val="20"/>
                              <w:szCs w:val="20"/>
                            </w:rPr>
                          </w:pPr>
                          <w:r w:rsidRPr="00F60931">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F60931" w:rsidRPr="00F60931" w:rsidP="00F60931" w14:paraId="59F8C244" w14:textId="3741A01E">
                    <w:pPr>
                      <w:spacing w:after="0"/>
                      <w:rPr>
                        <w:rFonts w:ascii="Calibri" w:eastAsia="Calibri" w:hAnsi="Calibri" w:cs="Calibri"/>
                        <w:noProof/>
                        <w:color w:val="000000"/>
                        <w:sz w:val="20"/>
                        <w:szCs w:val="20"/>
                      </w:rPr>
                    </w:pPr>
                    <w:r w:rsidRPr="00F60931">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931" w14:paraId="28B65E17" w14:textId="1B9E6A3E">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28951785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60931" w:rsidRPr="00F60931" w:rsidP="00F60931" w14:textId="267F7F3A">
                          <w:pPr>
                            <w:spacing w:after="0"/>
                            <w:rPr>
                              <w:rFonts w:ascii="Calibri" w:eastAsia="Calibri" w:hAnsi="Calibri" w:cs="Calibri"/>
                              <w:noProof/>
                              <w:color w:val="000000"/>
                              <w:sz w:val="20"/>
                              <w:szCs w:val="20"/>
                            </w:rPr>
                          </w:pPr>
                          <w:r w:rsidRPr="00F60931">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F60931" w:rsidRPr="00F60931" w:rsidP="00F60931" w14:paraId="5904C17B" w14:textId="267F7F3A">
                    <w:pPr>
                      <w:spacing w:after="0"/>
                      <w:rPr>
                        <w:rFonts w:ascii="Calibri" w:eastAsia="Calibri" w:hAnsi="Calibri" w:cs="Calibri"/>
                        <w:noProof/>
                        <w:color w:val="000000"/>
                        <w:sz w:val="20"/>
                        <w:szCs w:val="20"/>
                      </w:rPr>
                    </w:pPr>
                    <w:r w:rsidRPr="00F60931">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931" w14:paraId="6E322B0C" w14:textId="48964B5D">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359159727"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60931" w:rsidRPr="00F60931" w:rsidP="00F60931" w14:textId="0CE7432D">
                          <w:pPr>
                            <w:spacing w:after="0"/>
                            <w:rPr>
                              <w:rFonts w:ascii="Calibri" w:eastAsia="Calibri" w:hAnsi="Calibri" w:cs="Calibri"/>
                              <w:noProof/>
                              <w:color w:val="000000"/>
                              <w:sz w:val="20"/>
                              <w:szCs w:val="20"/>
                            </w:rPr>
                          </w:pPr>
                          <w:r w:rsidRPr="00F60931">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F60931" w:rsidRPr="00F60931" w:rsidP="00F60931" w14:paraId="106BA6B6" w14:textId="0CE7432D">
                    <w:pPr>
                      <w:spacing w:after="0"/>
                      <w:rPr>
                        <w:rFonts w:ascii="Calibri" w:eastAsia="Calibri" w:hAnsi="Calibri" w:cs="Calibri"/>
                        <w:noProof/>
                        <w:color w:val="000000"/>
                        <w:sz w:val="20"/>
                        <w:szCs w:val="20"/>
                      </w:rPr>
                    </w:pPr>
                    <w:r w:rsidRPr="00F60931">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84E" w:rsidRPr="00EE684E" w:rsidP="00EE684E" w14:paraId="397C397F" w14:textId="2CEEA54D">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496F5E"/>
    <w:multiLevelType w:val="hybridMultilevel"/>
    <w:tmpl w:val="526C6EA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F987F94"/>
    <w:multiLevelType w:val="multilevel"/>
    <w:tmpl w:val="DEAC1F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3518C3"/>
    <w:multiLevelType w:val="multilevel"/>
    <w:tmpl w:val="DEAC1F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AC3437"/>
    <w:multiLevelType w:val="multilevel"/>
    <w:tmpl w:val="DEAC1F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8D4499"/>
    <w:multiLevelType w:val="multilevel"/>
    <w:tmpl w:val="DEAC1F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ED0424"/>
    <w:multiLevelType w:val="hybridMultilevel"/>
    <w:tmpl w:val="129080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2A4798C"/>
    <w:multiLevelType w:val="multilevel"/>
    <w:tmpl w:val="DEAC1F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55CC"/>
    <w:multiLevelType w:val="hybridMultilevel"/>
    <w:tmpl w:val="5FE691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94B2A6B"/>
    <w:multiLevelType w:val="multilevel"/>
    <w:tmpl w:val="E5BAB8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A72F2B"/>
    <w:multiLevelType w:val="hybridMultilevel"/>
    <w:tmpl w:val="990014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56F7B8D"/>
    <w:multiLevelType w:val="multilevel"/>
    <w:tmpl w:val="375E84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491B4318"/>
    <w:multiLevelType w:val="hybridMultilevel"/>
    <w:tmpl w:val="5ABE8E1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9964223"/>
    <w:multiLevelType w:val="multilevel"/>
    <w:tmpl w:val="D0E6A6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E75259D"/>
    <w:multiLevelType w:val="hybridMultilevel"/>
    <w:tmpl w:val="56AECC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31106C1"/>
    <w:multiLevelType w:val="multilevel"/>
    <w:tmpl w:val="9EDE4E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54545B6E"/>
    <w:multiLevelType w:val="hybridMultilevel"/>
    <w:tmpl w:val="AA5E67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AE4331F"/>
    <w:multiLevelType w:val="hybridMultilevel"/>
    <w:tmpl w:val="CA14EA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71FD5218"/>
    <w:multiLevelType w:val="multilevel"/>
    <w:tmpl w:val="361A12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E24900"/>
    <w:multiLevelType w:val="multilevel"/>
    <w:tmpl w:val="A55EA0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79660596"/>
    <w:multiLevelType w:val="hybridMultilevel"/>
    <w:tmpl w:val="0110FB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797E3A5D"/>
    <w:multiLevelType w:val="hybridMultilevel"/>
    <w:tmpl w:val="6980EDA4"/>
    <w:lvl w:ilvl="0">
      <w:start w:val="1"/>
      <w:numFmt w:val="bullet"/>
      <w:lvlText w:val=""/>
      <w:lvlJc w:val="left"/>
      <w:pPr>
        <w:ind w:left="880" w:hanging="360"/>
      </w:pPr>
      <w:rPr>
        <w:rFonts w:ascii="Symbol" w:hAnsi="Symbol" w:hint="default"/>
      </w:rPr>
    </w:lvl>
    <w:lvl w:ilvl="1" w:tentative="1">
      <w:start w:val="1"/>
      <w:numFmt w:val="bullet"/>
      <w:lvlText w:val="o"/>
      <w:lvlJc w:val="left"/>
      <w:pPr>
        <w:ind w:left="1600" w:hanging="360"/>
      </w:pPr>
      <w:rPr>
        <w:rFonts w:ascii="Courier New" w:hAnsi="Courier New" w:cs="Courier New" w:hint="default"/>
      </w:rPr>
    </w:lvl>
    <w:lvl w:ilvl="2" w:tentative="1">
      <w:start w:val="1"/>
      <w:numFmt w:val="bullet"/>
      <w:lvlText w:val=""/>
      <w:lvlJc w:val="left"/>
      <w:pPr>
        <w:ind w:left="2320" w:hanging="360"/>
      </w:pPr>
      <w:rPr>
        <w:rFonts w:ascii="Wingdings" w:hAnsi="Wingdings" w:hint="default"/>
      </w:rPr>
    </w:lvl>
    <w:lvl w:ilvl="3" w:tentative="1">
      <w:start w:val="1"/>
      <w:numFmt w:val="bullet"/>
      <w:lvlText w:val=""/>
      <w:lvlJc w:val="left"/>
      <w:pPr>
        <w:ind w:left="3040" w:hanging="360"/>
      </w:pPr>
      <w:rPr>
        <w:rFonts w:ascii="Symbol" w:hAnsi="Symbol" w:hint="default"/>
      </w:rPr>
    </w:lvl>
    <w:lvl w:ilvl="4" w:tentative="1">
      <w:start w:val="1"/>
      <w:numFmt w:val="bullet"/>
      <w:lvlText w:val="o"/>
      <w:lvlJc w:val="left"/>
      <w:pPr>
        <w:ind w:left="3760" w:hanging="360"/>
      </w:pPr>
      <w:rPr>
        <w:rFonts w:ascii="Courier New" w:hAnsi="Courier New" w:cs="Courier New" w:hint="default"/>
      </w:rPr>
    </w:lvl>
    <w:lvl w:ilvl="5" w:tentative="1">
      <w:start w:val="1"/>
      <w:numFmt w:val="bullet"/>
      <w:lvlText w:val=""/>
      <w:lvlJc w:val="left"/>
      <w:pPr>
        <w:ind w:left="4480" w:hanging="360"/>
      </w:pPr>
      <w:rPr>
        <w:rFonts w:ascii="Wingdings" w:hAnsi="Wingdings" w:hint="default"/>
      </w:rPr>
    </w:lvl>
    <w:lvl w:ilvl="6" w:tentative="1">
      <w:start w:val="1"/>
      <w:numFmt w:val="bullet"/>
      <w:lvlText w:val=""/>
      <w:lvlJc w:val="left"/>
      <w:pPr>
        <w:ind w:left="5200" w:hanging="360"/>
      </w:pPr>
      <w:rPr>
        <w:rFonts w:ascii="Symbol" w:hAnsi="Symbol" w:hint="default"/>
      </w:rPr>
    </w:lvl>
    <w:lvl w:ilvl="7" w:tentative="1">
      <w:start w:val="1"/>
      <w:numFmt w:val="bullet"/>
      <w:lvlText w:val="o"/>
      <w:lvlJc w:val="left"/>
      <w:pPr>
        <w:ind w:left="5920" w:hanging="360"/>
      </w:pPr>
      <w:rPr>
        <w:rFonts w:ascii="Courier New" w:hAnsi="Courier New" w:cs="Courier New" w:hint="default"/>
      </w:rPr>
    </w:lvl>
    <w:lvl w:ilvl="8" w:tentative="1">
      <w:start w:val="1"/>
      <w:numFmt w:val="bullet"/>
      <w:lvlText w:val=""/>
      <w:lvlJc w:val="left"/>
      <w:pPr>
        <w:ind w:left="6640" w:hanging="360"/>
      </w:pPr>
      <w:rPr>
        <w:rFonts w:ascii="Wingdings" w:hAnsi="Wingdings" w:hint="default"/>
      </w:rPr>
    </w:lvl>
  </w:abstractNum>
  <w:abstractNum w:abstractNumId="22">
    <w:nsid w:val="7B1E045D"/>
    <w:multiLevelType w:val="multilevel"/>
    <w:tmpl w:val="DEAC1F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8943969">
    <w:abstractNumId w:val="13"/>
  </w:num>
  <w:num w:numId="2" w16cid:durableId="904804842">
    <w:abstractNumId w:val="21"/>
  </w:num>
  <w:num w:numId="3" w16cid:durableId="570383638">
    <w:abstractNumId w:val="10"/>
  </w:num>
  <w:num w:numId="4" w16cid:durableId="643853670">
    <w:abstractNumId w:val="19"/>
  </w:num>
  <w:num w:numId="5" w16cid:durableId="1502306580">
    <w:abstractNumId w:val="20"/>
  </w:num>
  <w:num w:numId="6" w16cid:durableId="2146849451">
    <w:abstractNumId w:val="7"/>
  </w:num>
  <w:num w:numId="7" w16cid:durableId="693075912">
    <w:abstractNumId w:val="4"/>
  </w:num>
  <w:num w:numId="8" w16cid:durableId="1271815445">
    <w:abstractNumId w:val="5"/>
  </w:num>
  <w:num w:numId="9" w16cid:durableId="1021929183">
    <w:abstractNumId w:val="11"/>
  </w:num>
  <w:num w:numId="10" w16cid:durableId="451096522">
    <w:abstractNumId w:val="3"/>
  </w:num>
  <w:num w:numId="11" w16cid:durableId="289169840">
    <w:abstractNumId w:val="22"/>
  </w:num>
  <w:num w:numId="12" w16cid:durableId="840436186">
    <w:abstractNumId w:val="6"/>
  </w:num>
  <w:num w:numId="13" w16cid:durableId="256249977">
    <w:abstractNumId w:val="2"/>
  </w:num>
  <w:num w:numId="14" w16cid:durableId="230316965">
    <w:abstractNumId w:val="1"/>
  </w:num>
  <w:num w:numId="15" w16cid:durableId="1136484997">
    <w:abstractNumId w:val="17"/>
  </w:num>
  <w:num w:numId="16" w16cid:durableId="943224688">
    <w:abstractNumId w:val="16"/>
  </w:num>
  <w:num w:numId="17" w16cid:durableId="970525723">
    <w:abstractNumId w:val="0"/>
  </w:num>
  <w:num w:numId="18" w16cid:durableId="5140862">
    <w:abstractNumId w:val="9"/>
  </w:num>
  <w:num w:numId="19" w16cid:durableId="1173453678">
    <w:abstractNumId w:val="8"/>
  </w:num>
  <w:num w:numId="20" w16cid:durableId="42827425">
    <w:abstractNumId w:val="12"/>
  </w:num>
  <w:num w:numId="21" w16cid:durableId="415247391">
    <w:abstractNumId w:val="14"/>
  </w:num>
  <w:num w:numId="22" w16cid:durableId="1254128347">
    <w:abstractNumId w:val="18"/>
  </w:num>
  <w:num w:numId="23" w16cid:durableId="21031418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82E66"/>
    <w:rsid w:val="000B1EE1"/>
    <w:rsid w:val="000E6E5F"/>
    <w:rsid w:val="00125D5B"/>
    <w:rsid w:val="00155877"/>
    <w:rsid w:val="001A539B"/>
    <w:rsid w:val="001D022C"/>
    <w:rsid w:val="00202EDF"/>
    <w:rsid w:val="002324B5"/>
    <w:rsid w:val="00285B66"/>
    <w:rsid w:val="00286ECD"/>
    <w:rsid w:val="002874E8"/>
    <w:rsid w:val="002936A5"/>
    <w:rsid w:val="002C1605"/>
    <w:rsid w:val="002E4720"/>
    <w:rsid w:val="003068D6"/>
    <w:rsid w:val="00313ED5"/>
    <w:rsid w:val="00335BB2"/>
    <w:rsid w:val="0034354B"/>
    <w:rsid w:val="0035177B"/>
    <w:rsid w:val="00364E43"/>
    <w:rsid w:val="003658A6"/>
    <w:rsid w:val="0038276B"/>
    <w:rsid w:val="00393ED3"/>
    <w:rsid w:val="003A4999"/>
    <w:rsid w:val="003A7568"/>
    <w:rsid w:val="003D2186"/>
    <w:rsid w:val="003D40C8"/>
    <w:rsid w:val="003F1747"/>
    <w:rsid w:val="003F52A7"/>
    <w:rsid w:val="00406691"/>
    <w:rsid w:val="004079DF"/>
    <w:rsid w:val="00413F2E"/>
    <w:rsid w:val="00440FE7"/>
    <w:rsid w:val="004A353B"/>
    <w:rsid w:val="004D03DC"/>
    <w:rsid w:val="004F6BF6"/>
    <w:rsid w:val="005523D3"/>
    <w:rsid w:val="00595095"/>
    <w:rsid w:val="005C256A"/>
    <w:rsid w:val="005F4A33"/>
    <w:rsid w:val="00630E3E"/>
    <w:rsid w:val="006502E9"/>
    <w:rsid w:val="00652FCD"/>
    <w:rsid w:val="006668F7"/>
    <w:rsid w:val="00672815"/>
    <w:rsid w:val="006B0BFD"/>
    <w:rsid w:val="006C1976"/>
    <w:rsid w:val="006E454B"/>
    <w:rsid w:val="0070558F"/>
    <w:rsid w:val="00716F45"/>
    <w:rsid w:val="00727B92"/>
    <w:rsid w:val="00743412"/>
    <w:rsid w:val="00754079"/>
    <w:rsid w:val="007A2084"/>
    <w:rsid w:val="007D0970"/>
    <w:rsid w:val="007F098E"/>
    <w:rsid w:val="007F1433"/>
    <w:rsid w:val="00801E65"/>
    <w:rsid w:val="00803A25"/>
    <w:rsid w:val="00811D5E"/>
    <w:rsid w:val="00815AE3"/>
    <w:rsid w:val="00845EDC"/>
    <w:rsid w:val="00860B38"/>
    <w:rsid w:val="00863266"/>
    <w:rsid w:val="00886617"/>
    <w:rsid w:val="00890370"/>
    <w:rsid w:val="008A615D"/>
    <w:rsid w:val="008A7A1F"/>
    <w:rsid w:val="008E1D08"/>
    <w:rsid w:val="008E2A75"/>
    <w:rsid w:val="00937D06"/>
    <w:rsid w:val="00943BFF"/>
    <w:rsid w:val="009476F2"/>
    <w:rsid w:val="0095024C"/>
    <w:rsid w:val="009777B7"/>
    <w:rsid w:val="009D4896"/>
    <w:rsid w:val="00A22963"/>
    <w:rsid w:val="00A3013C"/>
    <w:rsid w:val="00A41563"/>
    <w:rsid w:val="00AE71A1"/>
    <w:rsid w:val="00B719A5"/>
    <w:rsid w:val="00BC0AC1"/>
    <w:rsid w:val="00BC22E0"/>
    <w:rsid w:val="00BE57E7"/>
    <w:rsid w:val="00C17F60"/>
    <w:rsid w:val="00C47373"/>
    <w:rsid w:val="00C82225"/>
    <w:rsid w:val="00C91276"/>
    <w:rsid w:val="00C94B37"/>
    <w:rsid w:val="00C9791F"/>
    <w:rsid w:val="00CA29B6"/>
    <w:rsid w:val="00D303A1"/>
    <w:rsid w:val="00D460C3"/>
    <w:rsid w:val="00D91D0D"/>
    <w:rsid w:val="00DA302E"/>
    <w:rsid w:val="00DA59F2"/>
    <w:rsid w:val="00DC104C"/>
    <w:rsid w:val="00DC7F4C"/>
    <w:rsid w:val="00E46722"/>
    <w:rsid w:val="00E656B1"/>
    <w:rsid w:val="00E70B43"/>
    <w:rsid w:val="00E9440B"/>
    <w:rsid w:val="00EA4DC3"/>
    <w:rsid w:val="00EB5CE2"/>
    <w:rsid w:val="00EC5ED2"/>
    <w:rsid w:val="00ED2A92"/>
    <w:rsid w:val="00EE684E"/>
    <w:rsid w:val="00F01FB8"/>
    <w:rsid w:val="00F15A57"/>
    <w:rsid w:val="00F33C9E"/>
    <w:rsid w:val="00F60931"/>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EE6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84E"/>
  </w:style>
  <w:style w:type="paragraph" w:styleId="Footer">
    <w:name w:val="footer"/>
    <w:basedOn w:val="Normal"/>
    <w:link w:val="FooterChar"/>
    <w:uiPriority w:val="99"/>
    <w:unhideWhenUsed/>
    <w:rsid w:val="00EE6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84E"/>
  </w:style>
  <w:style w:type="character" w:customStyle="1" w:styleId="normaltextrun">
    <w:name w:val="normaltextrun"/>
    <w:basedOn w:val="DefaultParagraphFont"/>
    <w:rsid w:val="00EE684E"/>
  </w:style>
  <w:style w:type="character" w:customStyle="1" w:styleId="eop">
    <w:name w:val="eop"/>
    <w:basedOn w:val="DefaultParagraphFont"/>
    <w:rsid w:val="00EE6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optn.transplant.hrsa.gov/media/1200/optn_policies.pdf?CTXT=SqMJ8VZL9UuDNYh9DLqIMh8iYoCpmRYIGrEjxjN4GUIL82UEnJ8Xt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QPVJESM53SK4-1767020924-72913</_dlc_DocId>
    <_dlc_DocIdUrl xmlns="dae0f925-a78b-4f93-b0e5-451dcac5f217">
      <Url>https://nih.sharepoint.com/sites/HRSA-HSB/Team/dot/_layouts/15/DocIdRedir.aspx?ID=QPVJESM53SK4-1767020924-72913</Url>
      <Description>QPVJESM53SK4-1767020924-72913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2.xml><?xml version="1.0" encoding="utf-8"?>
<ds:datastoreItem xmlns:ds="http://schemas.openxmlformats.org/officeDocument/2006/customXml" ds:itemID="{6447DB2D-E5EA-4290-A7FD-E67D8D91DEDE}">
  <ds:schemaRefs/>
</ds:datastoreItem>
</file>

<file path=customXml/itemProps3.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4.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5.xml><?xml version="1.0" encoding="utf-8"?>
<ds:datastoreItem xmlns:ds="http://schemas.openxmlformats.org/officeDocument/2006/customXml" ds:itemID="{4ED1AF06-9E0F-4023-BF45-98B6D5E6B763}">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8</cp:revision>
  <dcterms:created xsi:type="dcterms:W3CDTF">2023-06-22T13:32:00Z</dcterms:created>
  <dcterms:modified xsi:type="dcterms:W3CDTF">2024-11-20T18:11:00Z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156857af,5d4f03de,4cdc7b21</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2b39d5e5-d0f6-4b74-9845-05d80184bef2</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2024-11-20T15:05:21Z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1e5d68f6-2fdd-492f-ab98-0d447157f92e</vt:lpwstr>
  </property>
</Properties>
</file>