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229F85B" w14:textId="77777777">
            <w:pPr>
              <w:rPr>
                <w:rFonts w:eastAsiaTheme="minorHAnsi"/>
                <w:sz w:val="22"/>
                <w:szCs w:val="22"/>
              </w:rPr>
            </w:pPr>
            <w:r w:rsidRPr="001E6AC3">
              <w:rPr>
                <w:rFonts w:eastAsiaTheme="minorHAnsi"/>
                <w:sz w:val="22"/>
                <w:szCs w:val="22"/>
              </w:rPr>
              <w:t>The information gathered will only be used internally to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xml:space="preserve">[  ] Yes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xml:space="preserve">[  ] Yes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D66C1EE" w14:textId="1D10339C">
            <w:pPr>
              <w:rPr>
                <w:rFonts w:eastAsiaTheme="minorHAnsi"/>
                <w:sz w:val="22"/>
                <w:szCs w:val="22"/>
              </w:rPr>
            </w:pPr>
            <w:r w:rsidRPr="001E6AC3">
              <w:rPr>
                <w:rFonts w:eastAsiaTheme="minorHAnsi"/>
                <w:sz w:val="22"/>
                <w:szCs w:val="22"/>
              </w:rPr>
              <w:t>There are no sensitive questions within this collection (e.g. sexual orientation, gender</w:t>
            </w:r>
            <w:r w:rsidRPr="001E6AC3" w:rsidR="00E252F3">
              <w:rPr>
                <w:rFonts w:eastAsiaTheme="minorHAnsi"/>
                <w:sz w:val="22"/>
                <w:szCs w:val="22"/>
              </w:rPr>
              <w:t xml:space="preserve"> identity</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87062C" w14:textId="7D1775EA">
            <w:pPr>
              <w:widowControl w:val="0"/>
              <w:rPr>
                <w:sz w:val="22"/>
                <w:szCs w:val="22"/>
              </w:rPr>
            </w:pPr>
            <w:r w:rsidRPr="001E6AC3">
              <w:rPr>
                <w:sz w:val="22"/>
                <w:szCs w:val="22"/>
              </w:rPr>
              <w:t>Sensitive questions will be asked (e.g. sexual orientation, gender</w:t>
            </w:r>
            <w:r w:rsidRPr="001E6AC3" w:rsidR="00E252F3">
              <w:rPr>
                <w:sz w:val="22"/>
                <w:szCs w:val="22"/>
              </w:rPr>
              <w:t xml:space="preserve"> identity</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xml:space="preserve">[  ] Yes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xml:space="preserve">[  ] Yes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 xml:space="preserve">a current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xml:space="preserve">[  ] Yes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1DE79769">
      <w:pPr>
        <w:rPr>
          <w:rFonts w:ascii="Myriad Pro" w:hAnsi="Myriad Pro" w:cs="Myriad Pro"/>
        </w:rPr>
      </w:pPr>
      <w:r w:rsidRPr="000A6431">
        <w:rPr>
          <w:rFonts w:ascii="Myriad Pro" w:hAnsi="Myriad Pro" w:cs="Myriad Pro"/>
        </w:rPr>
        <w:t xml:space="preserve">National Electronic Disease Surveillance System Base System (NBS) </w:t>
      </w:r>
      <w:r w:rsidR="00C60220">
        <w:rPr>
          <w:rFonts w:ascii="Myriad Pro" w:hAnsi="Myriad Pro" w:cs="Myriad Pro"/>
        </w:rPr>
        <w:t xml:space="preserve">7 </w:t>
      </w:r>
      <w:r w:rsidR="002379EA">
        <w:rPr>
          <w:rFonts w:ascii="Myriad Pro" w:hAnsi="Myriad Pro" w:cs="Myriad Pro"/>
        </w:rPr>
        <w:t>Transition User</w:t>
      </w:r>
      <w:r w:rsidRPr="000A6431">
        <w:rPr>
          <w:rFonts w:ascii="Myriad Pro" w:hAnsi="Myriad Pro" w:cs="Myriad Pro"/>
        </w:rPr>
        <w:t xml:space="preserve"> Assessment</w:t>
      </w:r>
      <w:r w:rsidRPr="001E6AC3" w:rsidR="001E6AC3">
        <w:rPr>
          <w:rFonts w:ascii="Myriad Pro" w:hAnsi="Myriad Pro" w:cs="Myriad Pro"/>
        </w:rPr>
        <w:t xml:space="preserve"> </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845058" w:rsidRPr="007D43BC" w:rsidP="007D43BC" w14:paraId="20BCEE5D" w14:textId="40529679">
      <w:pPr>
        <w:ind w:left="360"/>
        <w:contextualSpacing/>
        <w:rPr>
          <w:rFonts w:asciiTheme="minorHAnsi" w:hAnsiTheme="minorHAnsi" w:cstheme="minorHAnsi"/>
        </w:rPr>
      </w:pPr>
      <w:r w:rsidRPr="000A6431">
        <w:rPr>
          <w:rFonts w:asciiTheme="minorHAnsi" w:hAnsiTheme="minorHAnsi" w:cstheme="minorHAnsi"/>
        </w:rPr>
        <w:t xml:space="preserve">The goal of the National Electronic Disease Surveillance System Base System (NBS) </w:t>
      </w:r>
      <w:r w:rsidR="002379EA">
        <w:rPr>
          <w:rFonts w:asciiTheme="minorHAnsi" w:hAnsiTheme="minorHAnsi" w:cstheme="minorHAnsi"/>
        </w:rPr>
        <w:t xml:space="preserve">Transition </w:t>
      </w:r>
      <w:r w:rsidRPr="000A6431">
        <w:rPr>
          <w:rFonts w:asciiTheme="minorHAnsi" w:hAnsiTheme="minorHAnsi" w:cstheme="minorHAnsi"/>
        </w:rPr>
        <w:t>User Assessment is to gain actionable insight into the concerns and concrete needs of NBS jurisdictions that are considering or planning on upgrading their surveillance system to NBS 7. This insight will inform CDC’s strategic planning for resource allocation and support for moving jurisdictions onto NBS 7 and allow for stepping down the support for the current NBS version 6.</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7F0B27" w:rsidP="000A6431" w14:paraId="6B54B3AB" w14:textId="6AF1076D">
      <w:pPr>
        <w:ind w:left="360"/>
        <w:contextualSpacing/>
        <w:rPr>
          <w:rFonts w:asciiTheme="minorHAnsi" w:hAnsiTheme="minorHAnsi" w:cstheme="minorHAnsi"/>
        </w:rPr>
      </w:pPr>
      <w:r>
        <w:rPr>
          <w:rFonts w:asciiTheme="minorHAnsi" w:hAnsiTheme="minorHAnsi" w:cstheme="minorHAnsi"/>
        </w:rPr>
        <w:t>The survey will be distributed to 2-3 individuals at</w:t>
      </w:r>
      <w:r w:rsidRPr="000A6431" w:rsidR="000A6431">
        <w:rPr>
          <w:rFonts w:asciiTheme="minorHAnsi" w:hAnsiTheme="minorHAnsi" w:cstheme="minorHAnsi"/>
        </w:rPr>
        <w:t xml:space="preserve"> each of the 24 jurisdictions that currently utilize NBS as their surveillance system. </w:t>
      </w:r>
      <w:r>
        <w:rPr>
          <w:rFonts w:asciiTheme="minorHAnsi" w:hAnsiTheme="minorHAnsi" w:cstheme="minorHAnsi"/>
        </w:rPr>
        <w:t>At least one</w:t>
      </w:r>
      <w:r w:rsidRPr="000A6431">
        <w:rPr>
          <w:rFonts w:asciiTheme="minorHAnsi" w:hAnsiTheme="minorHAnsi" w:cstheme="minorHAnsi"/>
        </w:rPr>
        <w:t xml:space="preserve"> response is requested from </w:t>
      </w:r>
      <w:r>
        <w:rPr>
          <w:rFonts w:asciiTheme="minorHAnsi" w:hAnsiTheme="minorHAnsi" w:cstheme="minorHAnsi"/>
        </w:rPr>
        <w:t>each NBS jurisdiction.</w:t>
      </w:r>
      <w:r w:rsidRPr="000A6431">
        <w:rPr>
          <w:rFonts w:asciiTheme="minorHAnsi" w:hAnsiTheme="minorHAnsi" w:cstheme="minorHAnsi"/>
        </w:rPr>
        <w:t xml:space="preserve"> </w:t>
      </w:r>
      <w:r w:rsidRPr="000A6431">
        <w:rPr>
          <w:rFonts w:asciiTheme="minorHAnsi" w:hAnsiTheme="minorHAnsi" w:cstheme="minorHAnsi"/>
        </w:rPr>
        <w:t xml:space="preserve">Jurisdictions that do not currently utilize NBS as their surveillance system are excluded. </w:t>
      </w:r>
      <w:r w:rsidRPr="000A6431" w:rsidR="000A6431">
        <w:rPr>
          <w:rFonts w:asciiTheme="minorHAnsi" w:hAnsiTheme="minorHAnsi" w:cstheme="minorHAnsi"/>
        </w:rPr>
        <w:t>While the expertise of more than one person within a jurisdiction may be required to answer all questions within the assessment, one response</w:t>
      </w:r>
      <w:r w:rsidR="003A736A">
        <w:rPr>
          <w:rFonts w:asciiTheme="minorHAnsi" w:hAnsiTheme="minorHAnsi" w:cstheme="minorHAnsi"/>
        </w:rPr>
        <w:t xml:space="preserve"> should be submitted on behalf of the group</w:t>
      </w:r>
      <w:r w:rsidRPr="000A6431" w:rsidR="000A6431">
        <w:rPr>
          <w:rFonts w:asciiTheme="minorHAnsi" w:hAnsiTheme="minorHAnsi" w:cstheme="minorHAnsi"/>
        </w:rPr>
        <w:t xml:space="preserve">. </w:t>
      </w:r>
      <w:r w:rsidR="003D169C">
        <w:rPr>
          <w:rFonts w:asciiTheme="minorHAnsi" w:hAnsiTheme="minorHAnsi" w:cstheme="minorHAnsi"/>
        </w:rPr>
        <w:t xml:space="preserve"> </w:t>
      </w:r>
    </w:p>
    <w:p w:rsidR="00822A7B" w:rsidRPr="007F0B27" w:rsidP="007F0B27" w14:paraId="341ECCDE"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5BEF8EE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81648">
        <w:rPr>
          <w:bCs/>
          <w:sz w:val="24"/>
        </w:rPr>
        <w:t xml:space="preserve"> </w:t>
      </w:r>
      <w:r w:rsidRPr="00F06866">
        <w:rPr>
          <w:bCs/>
          <w:sz w:val="24"/>
        </w:rPr>
        <w:t xml:space="preserve">] Customer Satisfaction Survey    </w:t>
      </w:r>
    </w:p>
    <w:p w:rsidR="00B46F2C" w:rsidP="0096108F" w14:paraId="04CF626F" w14:textId="1049F1D0">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0A6431">
        <w:rPr>
          <w:bCs/>
          <w:sz w:val="24"/>
        </w:rPr>
        <w:t xml:space="preserve"> </w:t>
      </w:r>
      <w:r>
        <w:rPr>
          <w:bCs/>
          <w:sz w:val="24"/>
        </w:rPr>
        <w:t>] Small Discussion Group</w:t>
      </w:r>
    </w:p>
    <w:p w:rsidR="00B46F2C" w:rsidRPr="00F06866" w:rsidP="0096108F" w14:paraId="22FFEFCD" w14:textId="5F15A1DD">
      <w:pPr>
        <w:pStyle w:val="BodyTextIndent"/>
        <w:tabs>
          <w:tab w:val="left" w:pos="360"/>
        </w:tabs>
        <w:ind w:left="0"/>
        <w:rPr>
          <w:bCs/>
          <w:sz w:val="24"/>
        </w:rPr>
      </w:pPr>
      <w:r>
        <w:rPr>
          <w:bCs/>
          <w:sz w:val="24"/>
        </w:rPr>
        <w:t>[</w:t>
      </w:r>
      <w:r w:rsidR="000A6431">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679A247">
      <w:r w:rsidRPr="0057227F">
        <w:t>Name:</w:t>
      </w:r>
      <w:r w:rsidR="00B86DF4">
        <w:t xml:space="preserve">  Patrick McGinnis, NBS IT Project Manager and Technical Monitor</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56FD7D58">
      <w:pPr>
        <w:pStyle w:val="ListParagraph"/>
        <w:numPr>
          <w:ilvl w:val="0"/>
          <w:numId w:val="18"/>
        </w:numPr>
      </w:pPr>
      <w:r>
        <w:t>Is personally identifiable information (PII) collected?  [</w:t>
      </w:r>
      <w:r w:rsidR="00476770">
        <w:t>X</w:t>
      </w:r>
      <w:r>
        <w:t>] Yes [</w:t>
      </w:r>
      <w:r w:rsidR="00476770">
        <w:t xml:space="preserve"> </w:t>
      </w:r>
      <w:r>
        <w:t xml:space="preserve">]  No </w:t>
      </w:r>
    </w:p>
    <w:p w:rsidR="00B46F2C" w:rsidP="00C86E91" w14:paraId="059C2C9E" w14:textId="7B967B1A">
      <w:pPr>
        <w:pStyle w:val="ListParagraph"/>
        <w:numPr>
          <w:ilvl w:val="0"/>
          <w:numId w:val="18"/>
        </w:numPr>
      </w:pPr>
      <w:r>
        <w:t>If Yes, is the information that will be collected included in records that are subject to the Privacy Act of 1974?   [  ] Yes [</w:t>
      </w:r>
      <w:r w:rsidR="00476770">
        <w:t>X</w:t>
      </w:r>
      <w:r>
        <w:t xml:space="preserve">]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  ]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22907EA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63BF084" w14:textId="77777777" w:rsidTr="22907EA3">
        <w:tblPrEx>
          <w:tblW w:w="9661" w:type="dxa"/>
          <w:tblLayout w:type="fixed"/>
          <w:tblLook w:val="01E0"/>
        </w:tblPrEx>
        <w:trPr>
          <w:trHeight w:val="289"/>
        </w:trPr>
        <w:tc>
          <w:tcPr>
            <w:tcW w:w="5418" w:type="dxa"/>
          </w:tcPr>
          <w:p w:rsidR="00580CF6" w:rsidRPr="00BD3A2F" w:rsidP="00A0377E" w14:paraId="0CCE84BC" w14:textId="3E9AAF8C">
            <w:pPr>
              <w:rPr>
                <w:bCs/>
              </w:rPr>
            </w:pPr>
            <w:r>
              <w:t>S</w:t>
            </w:r>
            <w:r w:rsidRPr="00D66FC9">
              <w:t>tate, tribal, local, and territorial (STLT) public health department</w:t>
            </w:r>
            <w:r>
              <w:t xml:space="preserve"> NBS users</w:t>
            </w:r>
          </w:p>
        </w:tc>
        <w:tc>
          <w:tcPr>
            <w:tcW w:w="1530" w:type="dxa"/>
          </w:tcPr>
          <w:p w:rsidR="00580CF6" w:rsidRPr="00C409B6" w:rsidP="00F41E8C" w14:paraId="69C6DA70" w14:textId="16991DDF">
            <w:pPr>
              <w:jc w:val="center"/>
              <w:rPr>
                <w:bCs/>
              </w:rPr>
            </w:pPr>
            <w:r>
              <w:rPr>
                <w:bCs/>
              </w:rPr>
              <w:t>72</w:t>
            </w:r>
          </w:p>
        </w:tc>
        <w:tc>
          <w:tcPr>
            <w:tcW w:w="1710" w:type="dxa"/>
          </w:tcPr>
          <w:p w:rsidR="006E3EC0" w:rsidP="00F41E8C" w14:paraId="0CB6F918" w14:textId="1FD95767">
            <w:pPr>
              <w:jc w:val="center"/>
            </w:pPr>
            <w:r>
              <w:t>45</w:t>
            </w:r>
            <w:r w:rsidR="005C2A49">
              <w:t xml:space="preserve"> minutes</w:t>
            </w:r>
          </w:p>
        </w:tc>
        <w:tc>
          <w:tcPr>
            <w:tcW w:w="1003" w:type="dxa"/>
          </w:tcPr>
          <w:p w:rsidR="00DF6A5A" w:rsidRPr="00F41E8C" w:rsidP="00F41E8C" w14:paraId="627ED19A" w14:textId="01E66546">
            <w:pPr>
              <w:jc w:val="center"/>
            </w:pPr>
            <w:r>
              <w:t>54</w:t>
            </w:r>
          </w:p>
        </w:tc>
      </w:tr>
    </w:tbl>
    <w:p w:rsidR="00B46F2C" w:rsidP="00F3170F" w14:paraId="1AB33144" w14:textId="77777777"/>
    <w:p w:rsidR="007A3016" w:rsidRPr="00E67168" w:rsidP="007A3016" w14:paraId="48D42D0F" w14:textId="365C5664">
      <w:r>
        <w:rPr>
          <w:b/>
          <w:bCs/>
          <w:i/>
          <w:iCs/>
        </w:rPr>
        <w:t>FEDERAL COST: </w:t>
      </w:r>
      <w:r w:rsidR="00A25ED2">
        <w:t xml:space="preserve"> The estimated annual cost to the Federal government is </w:t>
      </w:r>
      <w:r w:rsidRPr="00E67168" w:rsidR="00E67168">
        <w:t>$61,566.25</w:t>
      </w:r>
      <w:r w:rsidRPr="007F6177" w:rsidR="00A25ED2">
        <w:t>.</w:t>
      </w:r>
      <w:r w:rsidR="00A25ED2">
        <w:t xml:space="preserve"> This is based on pay for </w:t>
      </w:r>
      <w:r w:rsidR="00E67168">
        <w:t>both</w:t>
      </w:r>
      <w:r w:rsidR="005C2A49">
        <w:t xml:space="preserve"> </w:t>
      </w:r>
      <w:r w:rsidR="001E78DF">
        <w:t>Council of State and Territorial Epidemiologists (</w:t>
      </w:r>
      <w:r w:rsidR="00743D9F">
        <w:t>CSTE</w:t>
      </w:r>
      <w:r w:rsidR="001E78DF">
        <w:t>)</w:t>
      </w:r>
      <w:r w:rsidR="00743D9F">
        <w:t xml:space="preserve"> staff </w:t>
      </w:r>
      <w:r w:rsidR="00E67168">
        <w:t>and supporting CSTE contractor,</w:t>
      </w:r>
      <w:r w:rsidR="00675212">
        <w:t xml:space="preserve"> and</w:t>
      </w:r>
      <w:r w:rsidRPr="001B3232" w:rsidR="00A25ED2">
        <w:t xml:space="preserve"> the time required for </w:t>
      </w:r>
      <w:r w:rsidR="005C2A49">
        <w:t>designing the</w:t>
      </w:r>
      <w:r w:rsidR="003D2EAF">
        <w:t xml:space="preserve"> </w:t>
      </w:r>
      <w:r w:rsidR="00400473">
        <w:t>survey</w:t>
      </w:r>
      <w:r w:rsidR="00205593">
        <w:t>,</w:t>
      </w:r>
      <w:r w:rsidR="00400473">
        <w:t xml:space="preserve"> reach</w:t>
      </w:r>
      <w:r w:rsidR="00205593">
        <w:t>ing</w:t>
      </w:r>
      <w:r w:rsidR="00400473">
        <w:t xml:space="preserve"> out to potential respondents</w:t>
      </w:r>
      <w:r w:rsidR="000A2696">
        <w:t xml:space="preserve">, </w:t>
      </w:r>
      <w:r w:rsidR="00200911">
        <w:t xml:space="preserve">and </w:t>
      </w:r>
      <w:r w:rsidR="00400473">
        <w:t>conduct</w:t>
      </w:r>
      <w:r w:rsidR="00675212">
        <w:t>ing</w:t>
      </w:r>
      <w:r w:rsidR="00400473">
        <w:t xml:space="preserve"> a descriptive analysis of results.</w:t>
      </w: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03"/>
        <w:gridCol w:w="1361"/>
        <w:gridCol w:w="1282"/>
        <w:gridCol w:w="1296"/>
      </w:tblGrid>
      <w:tr w14:paraId="5685D322" w14:textId="77777777" w:rsidTr="005A3BC6">
        <w:tblPrEx>
          <w:tblW w:w="9742" w:type="dxa"/>
          <w:tblInd w:w="-5" w:type="dxa"/>
          <w:tblCellMar>
            <w:left w:w="0" w:type="dxa"/>
            <w:right w:w="0" w:type="dxa"/>
          </w:tblCellMar>
          <w:tblLook w:val="04A0"/>
        </w:tblPrEx>
        <w:trPr>
          <w:cantSplit/>
          <w:trHeight w:val="593"/>
        </w:trPr>
        <w:tc>
          <w:tcPr>
            <w:tcW w:w="5848"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363"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499FFB7F">
            <w:pPr>
              <w:spacing w:line="276" w:lineRule="auto"/>
              <w:jc w:val="center"/>
              <w:rPr>
                <w:b/>
                <w:bCs/>
                <w:i/>
                <w:iCs/>
              </w:rPr>
            </w:pPr>
            <w:r>
              <w:rPr>
                <w:b/>
                <w:bCs/>
                <w:i/>
                <w:iCs/>
                <w:color w:val="000000"/>
              </w:rPr>
              <w:t xml:space="preserve">Estimated Hours </w:t>
            </w:r>
          </w:p>
        </w:tc>
        <w:tc>
          <w:tcPr>
            <w:tcW w:w="1284"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47"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5A3BC6">
        <w:tblPrEx>
          <w:tblW w:w="9742" w:type="dxa"/>
          <w:tblInd w:w="-5" w:type="dxa"/>
          <w:tblCellMar>
            <w:left w:w="0" w:type="dxa"/>
            <w:right w:w="0" w:type="dxa"/>
          </w:tblCellMar>
          <w:tblLook w:val="04A0"/>
        </w:tblPrEx>
        <w:trPr>
          <w:cantSplit/>
        </w:trPr>
        <w:tc>
          <w:tcPr>
            <w:tcW w:w="5848"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81457D" w14:paraId="5FA6E262" w14:textId="127CE9FD">
            <w:pPr>
              <w:spacing w:line="276" w:lineRule="auto"/>
              <w:rPr>
                <w:i/>
                <w:iCs/>
              </w:rPr>
            </w:pPr>
            <w:r w:rsidRPr="00523A2E">
              <w:rPr>
                <w:i/>
                <w:iCs/>
              </w:rPr>
              <w:t>CSTE Staff (limited duration cost)- Project management, evaluation subject matter expertise</w:t>
            </w:r>
          </w:p>
        </w:tc>
        <w:tc>
          <w:tcPr>
            <w:tcW w:w="1363"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240D45CF" w14:textId="23342007">
            <w:pPr>
              <w:spacing w:line="276" w:lineRule="auto"/>
              <w:jc w:val="center"/>
              <w:rPr>
                <w:i/>
                <w:iCs/>
              </w:rPr>
            </w:pPr>
            <w:r>
              <w:rPr>
                <w:i/>
                <w:iCs/>
              </w:rPr>
              <w:t>2</w:t>
            </w:r>
            <w:r w:rsidR="00404ADC">
              <w:rPr>
                <w:i/>
                <w:iCs/>
              </w:rPr>
              <w:t>5</w:t>
            </w:r>
          </w:p>
          <w:p w:rsidR="00AF01D6" w14:paraId="2047ACA9" w14:textId="1E41C5BB">
            <w:pPr>
              <w:spacing w:line="276" w:lineRule="auto"/>
              <w:jc w:val="center"/>
              <w:rPr>
                <w:i/>
                <w:iCs/>
              </w:rPr>
            </w:pPr>
          </w:p>
        </w:tc>
        <w:tc>
          <w:tcPr>
            <w:tcW w:w="128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78B787D0" w14:textId="420D283A">
            <w:pPr>
              <w:spacing w:line="276" w:lineRule="auto"/>
              <w:jc w:val="center"/>
              <w:rPr>
                <w:i/>
                <w:iCs/>
              </w:rPr>
            </w:pPr>
            <w:r w:rsidRPr="00523A2E">
              <w:rPr>
                <w:i/>
                <w:iCs/>
              </w:rPr>
              <w:t>$46.65 /hour</w:t>
            </w:r>
          </w:p>
        </w:tc>
        <w:tc>
          <w:tcPr>
            <w:tcW w:w="1247"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33E22E26" w14:textId="06465C83">
            <w:pPr>
              <w:spacing w:line="276" w:lineRule="auto"/>
              <w:jc w:val="center"/>
              <w:rPr>
                <w:i/>
                <w:iCs/>
              </w:rPr>
            </w:pPr>
            <w:r w:rsidRPr="00523A2E">
              <w:rPr>
                <w:i/>
                <w:iCs/>
              </w:rPr>
              <w:t>$1,166.25</w:t>
            </w:r>
          </w:p>
        </w:tc>
      </w:tr>
      <w:tr w14:paraId="39AA4974" w14:textId="77777777" w:rsidTr="005A3BC6">
        <w:tblPrEx>
          <w:tblW w:w="9742" w:type="dxa"/>
          <w:tblInd w:w="-5" w:type="dxa"/>
          <w:tblCellMar>
            <w:left w:w="0" w:type="dxa"/>
            <w:right w:w="0" w:type="dxa"/>
          </w:tblCellMar>
          <w:tblLook w:val="04A0"/>
        </w:tblPrEx>
        <w:trPr>
          <w:cantSplit/>
        </w:trPr>
        <w:tc>
          <w:tcPr>
            <w:tcW w:w="5848"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523A2E" w14:paraId="7C200DC9" w14:textId="129B0B45">
            <w:pPr>
              <w:spacing w:line="276" w:lineRule="auto"/>
              <w:rPr>
                <w:i/>
                <w:iCs/>
              </w:rPr>
            </w:pPr>
            <w:r w:rsidRPr="00523A2E">
              <w:rPr>
                <w:i/>
                <w:iCs/>
              </w:rPr>
              <w:t>Contractor (one-time cost)- Stakeholder engagement, requirements gathering, survey development, survey administration, data collection and analysis, report writing, final presentation, weekly meetings</w:t>
            </w:r>
          </w:p>
        </w:tc>
        <w:tc>
          <w:tcPr>
            <w:tcW w:w="1363" w:type="dxa"/>
            <w:tcBorders>
              <w:top w:val="nil"/>
              <w:left w:val="nil"/>
              <w:bottom w:val="single" w:sz="12" w:space="0" w:color="auto"/>
              <w:right w:val="single" w:sz="8" w:space="0" w:color="auto"/>
            </w:tcBorders>
            <w:tcMar>
              <w:top w:w="0" w:type="dxa"/>
              <w:left w:w="108" w:type="dxa"/>
              <w:bottom w:w="0" w:type="dxa"/>
              <w:right w:w="108" w:type="dxa"/>
            </w:tcMar>
          </w:tcPr>
          <w:p w:rsidR="00523A2E" w14:paraId="74BDCFC1" w14:textId="743C93BB">
            <w:pPr>
              <w:spacing w:line="276" w:lineRule="auto"/>
              <w:jc w:val="center"/>
              <w:rPr>
                <w:i/>
                <w:iCs/>
              </w:rPr>
            </w:pPr>
            <w:r>
              <w:rPr>
                <w:i/>
                <w:iCs/>
              </w:rPr>
              <w:t>330</w:t>
            </w:r>
          </w:p>
        </w:tc>
        <w:tc>
          <w:tcPr>
            <w:tcW w:w="1284" w:type="dxa"/>
            <w:tcBorders>
              <w:top w:val="nil"/>
              <w:left w:val="nil"/>
              <w:bottom w:val="single" w:sz="12" w:space="0" w:color="auto"/>
              <w:right w:val="single" w:sz="8" w:space="0" w:color="auto"/>
            </w:tcBorders>
            <w:tcMar>
              <w:top w:w="0" w:type="dxa"/>
              <w:left w:w="108" w:type="dxa"/>
              <w:bottom w:w="0" w:type="dxa"/>
              <w:right w:w="108" w:type="dxa"/>
            </w:tcMar>
          </w:tcPr>
          <w:p w:rsidR="00523A2E" w14:paraId="30D80325" w14:textId="66705767">
            <w:pPr>
              <w:spacing w:line="276" w:lineRule="auto"/>
              <w:jc w:val="center"/>
              <w:rPr>
                <w:i/>
                <w:iCs/>
              </w:rPr>
            </w:pPr>
            <w:r w:rsidRPr="00523A2E">
              <w:rPr>
                <w:i/>
                <w:iCs/>
              </w:rPr>
              <w:t>Varies ($170-$200/hr) fully burdened rates including direct costs, G&amp;A, fringe, and overhead</w:t>
            </w:r>
          </w:p>
        </w:tc>
        <w:tc>
          <w:tcPr>
            <w:tcW w:w="1247" w:type="dxa"/>
            <w:tcBorders>
              <w:top w:val="nil"/>
              <w:left w:val="nil"/>
              <w:bottom w:val="single" w:sz="12" w:space="0" w:color="auto"/>
              <w:right w:val="single" w:sz="8" w:space="0" w:color="auto"/>
            </w:tcBorders>
            <w:tcMar>
              <w:top w:w="0" w:type="dxa"/>
              <w:left w:w="108" w:type="dxa"/>
              <w:bottom w:w="0" w:type="dxa"/>
              <w:right w:w="108" w:type="dxa"/>
            </w:tcMar>
          </w:tcPr>
          <w:p w:rsidR="00523A2E" w14:paraId="69FD68CC" w14:textId="1BD459AE">
            <w:pPr>
              <w:spacing w:line="276" w:lineRule="auto"/>
              <w:jc w:val="center"/>
              <w:rPr>
                <w:i/>
                <w:iCs/>
              </w:rPr>
            </w:pPr>
            <w:r w:rsidRPr="00523A2E">
              <w:rPr>
                <w:i/>
                <w:iCs/>
              </w:rPr>
              <w:t>$60,400</w:t>
            </w:r>
            <w:r w:rsidR="00915B0B">
              <w:rPr>
                <w:i/>
                <w:iCs/>
              </w:rPr>
              <w:t>.00</w:t>
            </w:r>
          </w:p>
        </w:tc>
      </w:tr>
      <w:tr w14:paraId="5E8C1039" w14:textId="77777777" w:rsidTr="005A3BC6">
        <w:tblPrEx>
          <w:tblW w:w="9742" w:type="dxa"/>
          <w:tblInd w:w="-5" w:type="dxa"/>
          <w:tblCellMar>
            <w:left w:w="0" w:type="dxa"/>
            <w:right w:w="0" w:type="dxa"/>
          </w:tblCellMar>
          <w:tblLook w:val="04A0"/>
        </w:tblPrEx>
        <w:trPr>
          <w:cantSplit/>
        </w:trPr>
        <w:tc>
          <w:tcPr>
            <w:tcW w:w="5848"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3E9A44A1">
            <w:pPr>
              <w:spacing w:line="276" w:lineRule="auto"/>
              <w:rPr>
                <w:i/>
                <w:iCs/>
              </w:rPr>
            </w:pPr>
            <w:r w:rsidRPr="00523A2E">
              <w:rPr>
                <w:i/>
                <w:iCs/>
              </w:rPr>
              <w:t>Survey software- no cost, will use existing account of CSTE with survey system</w:t>
            </w:r>
          </w:p>
        </w:tc>
        <w:tc>
          <w:tcPr>
            <w:tcW w:w="1363"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4"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47"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5A3BC6">
        <w:tblPrEx>
          <w:tblW w:w="9742" w:type="dxa"/>
          <w:tblInd w:w="-5" w:type="dxa"/>
          <w:tblCellMar>
            <w:left w:w="0" w:type="dxa"/>
            <w:right w:w="0" w:type="dxa"/>
          </w:tblCellMar>
          <w:tblLook w:val="04A0"/>
        </w:tblPrEx>
        <w:trPr>
          <w:cantSplit/>
        </w:trPr>
        <w:tc>
          <w:tcPr>
            <w:tcW w:w="5848" w:type="dxa"/>
            <w:tcBorders>
              <w:top w:val="single" w:sz="12" w:space="0" w:color="auto"/>
              <w:left w:val="single" w:sz="8" w:space="0" w:color="auto"/>
              <w:bottom w:val="single" w:sz="18" w:space="0" w:color="auto"/>
              <w:right w:val="single" w:sz="8" w:space="0" w:color="auto"/>
            </w:tcBorders>
            <w:tcMar>
              <w:top w:w="0" w:type="dxa"/>
              <w:left w:w="108" w:type="dxa"/>
              <w:bottom w:w="0" w:type="dxa"/>
              <w:right w:w="108" w:type="dxa"/>
            </w:tcMar>
            <w:hideMark/>
          </w:tcPr>
          <w:p w:rsidR="005A3BC6" w:rsidP="005A3BC6" w14:paraId="60F951AD" w14:textId="7BDFE604">
            <w:pPr>
              <w:spacing w:line="276" w:lineRule="auto"/>
              <w:rPr>
                <w:i/>
                <w:iCs/>
              </w:rPr>
            </w:pPr>
            <w:r w:rsidRPr="00920B9D">
              <w:rPr>
                <w:b/>
                <w:bCs/>
                <w:i/>
                <w:iCs/>
              </w:rPr>
              <w:t>Total</w:t>
            </w:r>
          </w:p>
        </w:tc>
        <w:tc>
          <w:tcPr>
            <w:tcW w:w="1363" w:type="dxa"/>
            <w:tcBorders>
              <w:top w:val="single" w:sz="12" w:space="0" w:color="auto"/>
              <w:left w:val="nil"/>
              <w:bottom w:val="single" w:sz="18" w:space="0" w:color="auto"/>
              <w:right w:val="single" w:sz="8" w:space="0" w:color="auto"/>
            </w:tcBorders>
            <w:tcMar>
              <w:top w:w="0" w:type="dxa"/>
              <w:left w:w="108" w:type="dxa"/>
              <w:bottom w:w="0" w:type="dxa"/>
              <w:right w:w="108" w:type="dxa"/>
            </w:tcMar>
          </w:tcPr>
          <w:p w:rsidR="005A3BC6" w:rsidP="005A3BC6" w14:paraId="57BF351C" w14:textId="77777777">
            <w:pPr>
              <w:spacing w:line="276" w:lineRule="auto"/>
              <w:jc w:val="center"/>
              <w:rPr>
                <w:i/>
                <w:iCs/>
              </w:rPr>
            </w:pPr>
          </w:p>
        </w:tc>
        <w:tc>
          <w:tcPr>
            <w:tcW w:w="1284" w:type="dxa"/>
            <w:tcBorders>
              <w:top w:val="single" w:sz="12" w:space="0" w:color="auto"/>
              <w:left w:val="nil"/>
              <w:bottom w:val="single" w:sz="18" w:space="0" w:color="auto"/>
              <w:right w:val="single" w:sz="8" w:space="0" w:color="auto"/>
            </w:tcBorders>
            <w:tcMar>
              <w:top w:w="0" w:type="dxa"/>
              <w:left w:w="108" w:type="dxa"/>
              <w:bottom w:w="0" w:type="dxa"/>
              <w:right w:w="108" w:type="dxa"/>
            </w:tcMar>
          </w:tcPr>
          <w:p w:rsidR="005A3BC6" w:rsidP="005A3BC6" w14:paraId="5D655627" w14:textId="77777777">
            <w:pPr>
              <w:spacing w:line="276" w:lineRule="auto"/>
              <w:jc w:val="center"/>
              <w:rPr>
                <w:i/>
                <w:iCs/>
              </w:rPr>
            </w:pPr>
          </w:p>
        </w:tc>
        <w:tc>
          <w:tcPr>
            <w:tcW w:w="1247" w:type="dxa"/>
            <w:tcBorders>
              <w:top w:val="single" w:sz="12" w:space="0" w:color="auto"/>
              <w:left w:val="nil"/>
              <w:bottom w:val="single" w:sz="18" w:space="0" w:color="auto"/>
              <w:right w:val="single" w:sz="8" w:space="0" w:color="auto"/>
            </w:tcBorders>
            <w:tcMar>
              <w:top w:w="0" w:type="dxa"/>
              <w:left w:w="108" w:type="dxa"/>
              <w:bottom w:w="0" w:type="dxa"/>
              <w:right w:w="108" w:type="dxa"/>
            </w:tcMar>
            <w:hideMark/>
          </w:tcPr>
          <w:p w:rsidR="005A3BC6" w:rsidP="005A3BC6" w14:paraId="13A6EDFD" w14:textId="5EA37F07">
            <w:pPr>
              <w:spacing w:line="276" w:lineRule="auto"/>
              <w:jc w:val="center"/>
              <w:rPr>
                <w:i/>
                <w:iCs/>
              </w:rPr>
            </w:pPr>
            <w:r w:rsidRPr="00915B0B">
              <w:rPr>
                <w:b/>
                <w:bCs/>
                <w:i/>
                <w:iCs/>
              </w:rPr>
              <w:t>$61,566.25</w:t>
            </w:r>
          </w:p>
        </w:tc>
      </w:tr>
    </w:tbl>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t>[</w:t>
      </w:r>
      <w:r w:rsidR="00A86325">
        <w:t xml:space="preserve"> </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3EF81B18" w14:paraId="1BB86051" w14:textId="688BC578">
      <w:pPr>
        <w:ind w:left="720"/>
      </w:pPr>
      <w:r>
        <w:t>T</w:t>
      </w:r>
      <w:r w:rsidR="00D029EE">
        <w:t xml:space="preserve">he </w:t>
      </w:r>
      <w:r w:rsidR="005F35B4">
        <w:t xml:space="preserve">CDC </w:t>
      </w:r>
      <w:r w:rsidR="00D7655F">
        <w:t xml:space="preserve">and </w:t>
      </w:r>
      <w:r w:rsidR="00570991">
        <w:t>CSTE</w:t>
      </w:r>
      <w:r w:rsidR="00833E2C">
        <w:t xml:space="preserve"> </w:t>
      </w:r>
      <w:r w:rsidR="00D7655F">
        <w:t xml:space="preserve">have a list of core NBS users from 24 STLT public health departments that the survey will be distributed to. </w:t>
      </w:r>
      <w:r w:rsidR="00A7012E">
        <w:t xml:space="preserve"> </w:t>
      </w: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 xml:space="preserve">] Web-based or other forms of Social Media </w:t>
      </w:r>
    </w:p>
    <w:p w:rsidR="00B46F2C" w:rsidP="001B0AAA" w14:paraId="6F829B01" w14:textId="1D3DE5FB">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4B052C51">
      <w:pPr>
        <w:ind w:left="720"/>
      </w:pPr>
      <w:r>
        <w:t>[ ]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Will interviewers or facilitators be used?  [</w:t>
      </w:r>
      <w:r w:rsidR="00A7012E">
        <w:t xml:space="preserve"> </w:t>
      </w:r>
      <w:r>
        <w:t>]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2BF"/>
    <w:rsid w:val="00001E7E"/>
    <w:rsid w:val="00002A3C"/>
    <w:rsid w:val="00003E69"/>
    <w:rsid w:val="00016110"/>
    <w:rsid w:val="00021166"/>
    <w:rsid w:val="00021DAE"/>
    <w:rsid w:val="00023A57"/>
    <w:rsid w:val="000306DE"/>
    <w:rsid w:val="00032C74"/>
    <w:rsid w:val="00035236"/>
    <w:rsid w:val="00041F3A"/>
    <w:rsid w:val="00043CC3"/>
    <w:rsid w:val="0004695C"/>
    <w:rsid w:val="00047A64"/>
    <w:rsid w:val="00052168"/>
    <w:rsid w:val="00053599"/>
    <w:rsid w:val="00053772"/>
    <w:rsid w:val="00054788"/>
    <w:rsid w:val="000607AE"/>
    <w:rsid w:val="00063043"/>
    <w:rsid w:val="00067329"/>
    <w:rsid w:val="0007052B"/>
    <w:rsid w:val="000734FA"/>
    <w:rsid w:val="00073F6C"/>
    <w:rsid w:val="00076461"/>
    <w:rsid w:val="00081A3F"/>
    <w:rsid w:val="00084F6F"/>
    <w:rsid w:val="00087978"/>
    <w:rsid w:val="00093977"/>
    <w:rsid w:val="00095C6E"/>
    <w:rsid w:val="00096569"/>
    <w:rsid w:val="000A076B"/>
    <w:rsid w:val="000A1627"/>
    <w:rsid w:val="000A2696"/>
    <w:rsid w:val="000A4C2C"/>
    <w:rsid w:val="000A6431"/>
    <w:rsid w:val="000B0BDD"/>
    <w:rsid w:val="000B0C8A"/>
    <w:rsid w:val="000B1E46"/>
    <w:rsid w:val="000B2838"/>
    <w:rsid w:val="000B6718"/>
    <w:rsid w:val="000C26FF"/>
    <w:rsid w:val="000C557D"/>
    <w:rsid w:val="000C6E7D"/>
    <w:rsid w:val="000D44CA"/>
    <w:rsid w:val="000D57E2"/>
    <w:rsid w:val="000E1EE2"/>
    <w:rsid w:val="000E200B"/>
    <w:rsid w:val="000E7F79"/>
    <w:rsid w:val="000F1CA6"/>
    <w:rsid w:val="000F2C27"/>
    <w:rsid w:val="000F68BE"/>
    <w:rsid w:val="000F69AA"/>
    <w:rsid w:val="000F6D85"/>
    <w:rsid w:val="000F6E8B"/>
    <w:rsid w:val="000F752D"/>
    <w:rsid w:val="00107D0E"/>
    <w:rsid w:val="001139F5"/>
    <w:rsid w:val="001167F5"/>
    <w:rsid w:val="00116ED9"/>
    <w:rsid w:val="0012125A"/>
    <w:rsid w:val="001248FC"/>
    <w:rsid w:val="00131D2F"/>
    <w:rsid w:val="00132FDE"/>
    <w:rsid w:val="001365FF"/>
    <w:rsid w:val="00136EB0"/>
    <w:rsid w:val="00137B8F"/>
    <w:rsid w:val="00141B89"/>
    <w:rsid w:val="00145293"/>
    <w:rsid w:val="001453BE"/>
    <w:rsid w:val="0014588A"/>
    <w:rsid w:val="00145CDA"/>
    <w:rsid w:val="001462FB"/>
    <w:rsid w:val="00146B20"/>
    <w:rsid w:val="001533B0"/>
    <w:rsid w:val="001610C6"/>
    <w:rsid w:val="001622A7"/>
    <w:rsid w:val="00162DC1"/>
    <w:rsid w:val="001634DE"/>
    <w:rsid w:val="001708B4"/>
    <w:rsid w:val="00170D16"/>
    <w:rsid w:val="0018088E"/>
    <w:rsid w:val="00180EAC"/>
    <w:rsid w:val="0018170A"/>
    <w:rsid w:val="001927A4"/>
    <w:rsid w:val="001933D9"/>
    <w:rsid w:val="00194AC6"/>
    <w:rsid w:val="0019619F"/>
    <w:rsid w:val="0019762C"/>
    <w:rsid w:val="001A1582"/>
    <w:rsid w:val="001A1EB3"/>
    <w:rsid w:val="001A1F25"/>
    <w:rsid w:val="001A23B0"/>
    <w:rsid w:val="001A25CC"/>
    <w:rsid w:val="001A2684"/>
    <w:rsid w:val="001A430E"/>
    <w:rsid w:val="001A7A65"/>
    <w:rsid w:val="001B0252"/>
    <w:rsid w:val="001B0AAA"/>
    <w:rsid w:val="001B107A"/>
    <w:rsid w:val="001B2123"/>
    <w:rsid w:val="001B2261"/>
    <w:rsid w:val="001B3232"/>
    <w:rsid w:val="001C1D4A"/>
    <w:rsid w:val="001C39F7"/>
    <w:rsid w:val="001C4FD1"/>
    <w:rsid w:val="001D1CE6"/>
    <w:rsid w:val="001D41FF"/>
    <w:rsid w:val="001D519E"/>
    <w:rsid w:val="001E1559"/>
    <w:rsid w:val="001E636B"/>
    <w:rsid w:val="001E6AC3"/>
    <w:rsid w:val="001E741F"/>
    <w:rsid w:val="001E78DF"/>
    <w:rsid w:val="001F25BB"/>
    <w:rsid w:val="001F4657"/>
    <w:rsid w:val="001F5225"/>
    <w:rsid w:val="001F5645"/>
    <w:rsid w:val="00200911"/>
    <w:rsid w:val="0020150E"/>
    <w:rsid w:val="00205593"/>
    <w:rsid w:val="00210528"/>
    <w:rsid w:val="0021135F"/>
    <w:rsid w:val="002115C4"/>
    <w:rsid w:val="00217052"/>
    <w:rsid w:val="002179B0"/>
    <w:rsid w:val="00231486"/>
    <w:rsid w:val="002314CF"/>
    <w:rsid w:val="002363C0"/>
    <w:rsid w:val="00236B6C"/>
    <w:rsid w:val="002379EA"/>
    <w:rsid w:val="00237B48"/>
    <w:rsid w:val="00240396"/>
    <w:rsid w:val="00242A4B"/>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7AD"/>
    <w:rsid w:val="002A0870"/>
    <w:rsid w:val="002A0D2D"/>
    <w:rsid w:val="002A38D6"/>
    <w:rsid w:val="002A3C89"/>
    <w:rsid w:val="002A4602"/>
    <w:rsid w:val="002A5E8C"/>
    <w:rsid w:val="002B00DC"/>
    <w:rsid w:val="002B1C00"/>
    <w:rsid w:val="002B3C95"/>
    <w:rsid w:val="002B64ED"/>
    <w:rsid w:val="002C0B5C"/>
    <w:rsid w:val="002C4F30"/>
    <w:rsid w:val="002C5021"/>
    <w:rsid w:val="002D0B92"/>
    <w:rsid w:val="002D5E15"/>
    <w:rsid w:val="002D6831"/>
    <w:rsid w:val="002E40F7"/>
    <w:rsid w:val="002E52CD"/>
    <w:rsid w:val="002E6D6F"/>
    <w:rsid w:val="002F04F5"/>
    <w:rsid w:val="002F673A"/>
    <w:rsid w:val="00300111"/>
    <w:rsid w:val="00300DD7"/>
    <w:rsid w:val="003039C3"/>
    <w:rsid w:val="003062CF"/>
    <w:rsid w:val="003124A8"/>
    <w:rsid w:val="00325177"/>
    <w:rsid w:val="00334788"/>
    <w:rsid w:val="00335B10"/>
    <w:rsid w:val="00344CD1"/>
    <w:rsid w:val="00346525"/>
    <w:rsid w:val="003500AD"/>
    <w:rsid w:val="003511B0"/>
    <w:rsid w:val="00352F1E"/>
    <w:rsid w:val="003532F5"/>
    <w:rsid w:val="003540A6"/>
    <w:rsid w:val="0035458D"/>
    <w:rsid w:val="00354B3A"/>
    <w:rsid w:val="00354F49"/>
    <w:rsid w:val="00356BE2"/>
    <w:rsid w:val="003625D3"/>
    <w:rsid w:val="003675BA"/>
    <w:rsid w:val="003675DB"/>
    <w:rsid w:val="00367981"/>
    <w:rsid w:val="003700A2"/>
    <w:rsid w:val="00371693"/>
    <w:rsid w:val="00381648"/>
    <w:rsid w:val="003859BC"/>
    <w:rsid w:val="00390689"/>
    <w:rsid w:val="00390C9D"/>
    <w:rsid w:val="00391272"/>
    <w:rsid w:val="00391BB4"/>
    <w:rsid w:val="00391CCA"/>
    <w:rsid w:val="003A0AD5"/>
    <w:rsid w:val="003A4773"/>
    <w:rsid w:val="003A4C87"/>
    <w:rsid w:val="003A5090"/>
    <w:rsid w:val="003A6131"/>
    <w:rsid w:val="003A736A"/>
    <w:rsid w:val="003A788B"/>
    <w:rsid w:val="003B1FB0"/>
    <w:rsid w:val="003B5441"/>
    <w:rsid w:val="003B7E93"/>
    <w:rsid w:val="003C2F6E"/>
    <w:rsid w:val="003C4F49"/>
    <w:rsid w:val="003D169C"/>
    <w:rsid w:val="003D1F4E"/>
    <w:rsid w:val="003D2EAF"/>
    <w:rsid w:val="003D3993"/>
    <w:rsid w:val="003D5927"/>
    <w:rsid w:val="003D5BBE"/>
    <w:rsid w:val="003E05AC"/>
    <w:rsid w:val="003E0B98"/>
    <w:rsid w:val="003E3C61"/>
    <w:rsid w:val="003F1C5B"/>
    <w:rsid w:val="003F2D4D"/>
    <w:rsid w:val="00400473"/>
    <w:rsid w:val="0040417A"/>
    <w:rsid w:val="00404ADC"/>
    <w:rsid w:val="004070ED"/>
    <w:rsid w:val="0041337D"/>
    <w:rsid w:val="00433B33"/>
    <w:rsid w:val="0043455D"/>
    <w:rsid w:val="00434E33"/>
    <w:rsid w:val="004373C8"/>
    <w:rsid w:val="00440A18"/>
    <w:rsid w:val="00441434"/>
    <w:rsid w:val="00441AF5"/>
    <w:rsid w:val="00446250"/>
    <w:rsid w:val="00450CC2"/>
    <w:rsid w:val="0045264C"/>
    <w:rsid w:val="00453087"/>
    <w:rsid w:val="00454020"/>
    <w:rsid w:val="004543E0"/>
    <w:rsid w:val="004614F8"/>
    <w:rsid w:val="00471C27"/>
    <w:rsid w:val="00474892"/>
    <w:rsid w:val="00476770"/>
    <w:rsid w:val="00482289"/>
    <w:rsid w:val="004876EC"/>
    <w:rsid w:val="0049197F"/>
    <w:rsid w:val="0049388D"/>
    <w:rsid w:val="00496322"/>
    <w:rsid w:val="0049781F"/>
    <w:rsid w:val="004A52CE"/>
    <w:rsid w:val="004C093B"/>
    <w:rsid w:val="004C2AD4"/>
    <w:rsid w:val="004C5E93"/>
    <w:rsid w:val="004D0CF6"/>
    <w:rsid w:val="004D27F3"/>
    <w:rsid w:val="004D2C95"/>
    <w:rsid w:val="004D3F9C"/>
    <w:rsid w:val="004D4CAF"/>
    <w:rsid w:val="004D6E14"/>
    <w:rsid w:val="004D7A14"/>
    <w:rsid w:val="004E1C18"/>
    <w:rsid w:val="004E6938"/>
    <w:rsid w:val="004F38AF"/>
    <w:rsid w:val="004F4418"/>
    <w:rsid w:val="005009B0"/>
    <w:rsid w:val="005046FE"/>
    <w:rsid w:val="00506186"/>
    <w:rsid w:val="00512CA7"/>
    <w:rsid w:val="00513077"/>
    <w:rsid w:val="00517618"/>
    <w:rsid w:val="005218A0"/>
    <w:rsid w:val="00523A2E"/>
    <w:rsid w:val="00526140"/>
    <w:rsid w:val="0052787E"/>
    <w:rsid w:val="00530AD4"/>
    <w:rsid w:val="0053514E"/>
    <w:rsid w:val="005375D9"/>
    <w:rsid w:val="00542388"/>
    <w:rsid w:val="00542E2E"/>
    <w:rsid w:val="005577AB"/>
    <w:rsid w:val="005606FC"/>
    <w:rsid w:val="005620E0"/>
    <w:rsid w:val="00570991"/>
    <w:rsid w:val="0057227F"/>
    <w:rsid w:val="0057409F"/>
    <w:rsid w:val="00574C77"/>
    <w:rsid w:val="00577188"/>
    <w:rsid w:val="00580CF6"/>
    <w:rsid w:val="00583825"/>
    <w:rsid w:val="00584EAE"/>
    <w:rsid w:val="00591BB9"/>
    <w:rsid w:val="00591E4F"/>
    <w:rsid w:val="00593214"/>
    <w:rsid w:val="00594B76"/>
    <w:rsid w:val="005A1006"/>
    <w:rsid w:val="005A1ED9"/>
    <w:rsid w:val="005A2175"/>
    <w:rsid w:val="005A3BC6"/>
    <w:rsid w:val="005A7DA3"/>
    <w:rsid w:val="005B1E22"/>
    <w:rsid w:val="005C2A49"/>
    <w:rsid w:val="005C5BD8"/>
    <w:rsid w:val="005D0C8E"/>
    <w:rsid w:val="005D4ED1"/>
    <w:rsid w:val="005D6B7B"/>
    <w:rsid w:val="005E1625"/>
    <w:rsid w:val="005E714A"/>
    <w:rsid w:val="005E762F"/>
    <w:rsid w:val="005F35B4"/>
    <w:rsid w:val="005F3BBA"/>
    <w:rsid w:val="006011CD"/>
    <w:rsid w:val="00604EBB"/>
    <w:rsid w:val="0061217A"/>
    <w:rsid w:val="00613C13"/>
    <w:rsid w:val="006140A0"/>
    <w:rsid w:val="006158CD"/>
    <w:rsid w:val="00621E79"/>
    <w:rsid w:val="00627ABD"/>
    <w:rsid w:val="00630CB5"/>
    <w:rsid w:val="006348E0"/>
    <w:rsid w:val="006359CF"/>
    <w:rsid w:val="00636621"/>
    <w:rsid w:val="00641AA0"/>
    <w:rsid w:val="00642635"/>
    <w:rsid w:val="00642B49"/>
    <w:rsid w:val="00643451"/>
    <w:rsid w:val="00650611"/>
    <w:rsid w:val="00651763"/>
    <w:rsid w:val="00654394"/>
    <w:rsid w:val="006559C9"/>
    <w:rsid w:val="00660A3F"/>
    <w:rsid w:val="00675212"/>
    <w:rsid w:val="0067603E"/>
    <w:rsid w:val="00676D2E"/>
    <w:rsid w:val="00681894"/>
    <w:rsid w:val="006832D9"/>
    <w:rsid w:val="00683368"/>
    <w:rsid w:val="006834AE"/>
    <w:rsid w:val="00684BF3"/>
    <w:rsid w:val="00693438"/>
    <w:rsid w:val="0069403B"/>
    <w:rsid w:val="0069472D"/>
    <w:rsid w:val="006970D9"/>
    <w:rsid w:val="00697434"/>
    <w:rsid w:val="006B0B85"/>
    <w:rsid w:val="006B3FEE"/>
    <w:rsid w:val="006B4FD8"/>
    <w:rsid w:val="006B5A31"/>
    <w:rsid w:val="006C11EF"/>
    <w:rsid w:val="006C34EA"/>
    <w:rsid w:val="006C6413"/>
    <w:rsid w:val="006D4561"/>
    <w:rsid w:val="006E242F"/>
    <w:rsid w:val="006E28BF"/>
    <w:rsid w:val="006E3EC0"/>
    <w:rsid w:val="006E43AD"/>
    <w:rsid w:val="006E58D5"/>
    <w:rsid w:val="006F01EF"/>
    <w:rsid w:val="006F14B6"/>
    <w:rsid w:val="006F3DDE"/>
    <w:rsid w:val="00702480"/>
    <w:rsid w:val="00704678"/>
    <w:rsid w:val="00704A2D"/>
    <w:rsid w:val="00710565"/>
    <w:rsid w:val="007211A6"/>
    <w:rsid w:val="00721988"/>
    <w:rsid w:val="00727685"/>
    <w:rsid w:val="00731A62"/>
    <w:rsid w:val="00733F12"/>
    <w:rsid w:val="007425E7"/>
    <w:rsid w:val="00743D9F"/>
    <w:rsid w:val="00751637"/>
    <w:rsid w:val="00753E15"/>
    <w:rsid w:val="00757F34"/>
    <w:rsid w:val="0076049E"/>
    <w:rsid w:val="0076169D"/>
    <w:rsid w:val="00764681"/>
    <w:rsid w:val="0078130A"/>
    <w:rsid w:val="0078522D"/>
    <w:rsid w:val="007878E2"/>
    <w:rsid w:val="007945A5"/>
    <w:rsid w:val="007A0B40"/>
    <w:rsid w:val="007A3016"/>
    <w:rsid w:val="007A5AB6"/>
    <w:rsid w:val="007B05B4"/>
    <w:rsid w:val="007B34DA"/>
    <w:rsid w:val="007C1154"/>
    <w:rsid w:val="007C1AC2"/>
    <w:rsid w:val="007D106B"/>
    <w:rsid w:val="007D43BC"/>
    <w:rsid w:val="007D5149"/>
    <w:rsid w:val="007E4002"/>
    <w:rsid w:val="007E4645"/>
    <w:rsid w:val="007F0B27"/>
    <w:rsid w:val="007F6177"/>
    <w:rsid w:val="00800291"/>
    <w:rsid w:val="00802607"/>
    <w:rsid w:val="00803C84"/>
    <w:rsid w:val="008040EE"/>
    <w:rsid w:val="008101A5"/>
    <w:rsid w:val="00812E11"/>
    <w:rsid w:val="0081457D"/>
    <w:rsid w:val="00822664"/>
    <w:rsid w:val="00822A7B"/>
    <w:rsid w:val="008241C3"/>
    <w:rsid w:val="00824B95"/>
    <w:rsid w:val="00825AE4"/>
    <w:rsid w:val="00833E2C"/>
    <w:rsid w:val="00834B62"/>
    <w:rsid w:val="00835B96"/>
    <w:rsid w:val="0084247D"/>
    <w:rsid w:val="00842FA3"/>
    <w:rsid w:val="00843796"/>
    <w:rsid w:val="00845058"/>
    <w:rsid w:val="0084510D"/>
    <w:rsid w:val="008537C5"/>
    <w:rsid w:val="00864827"/>
    <w:rsid w:val="00867A9D"/>
    <w:rsid w:val="00876FD8"/>
    <w:rsid w:val="00882A92"/>
    <w:rsid w:val="00885292"/>
    <w:rsid w:val="00887DC8"/>
    <w:rsid w:val="00891C7F"/>
    <w:rsid w:val="0089240E"/>
    <w:rsid w:val="00894A71"/>
    <w:rsid w:val="00895229"/>
    <w:rsid w:val="00896793"/>
    <w:rsid w:val="00897C9D"/>
    <w:rsid w:val="008A24DF"/>
    <w:rsid w:val="008B546B"/>
    <w:rsid w:val="008B56B3"/>
    <w:rsid w:val="008B6186"/>
    <w:rsid w:val="008C0207"/>
    <w:rsid w:val="008C6A4C"/>
    <w:rsid w:val="008D74B5"/>
    <w:rsid w:val="008E3B93"/>
    <w:rsid w:val="008F0203"/>
    <w:rsid w:val="008F2F18"/>
    <w:rsid w:val="008F50D4"/>
    <w:rsid w:val="009020A6"/>
    <w:rsid w:val="009050C2"/>
    <w:rsid w:val="00906C14"/>
    <w:rsid w:val="00907F04"/>
    <w:rsid w:val="00913F0B"/>
    <w:rsid w:val="00915B0B"/>
    <w:rsid w:val="00915E2A"/>
    <w:rsid w:val="009160EE"/>
    <w:rsid w:val="009201DC"/>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3AB7"/>
    <w:rsid w:val="009763E8"/>
    <w:rsid w:val="0098207A"/>
    <w:rsid w:val="00983D5C"/>
    <w:rsid w:val="009933C5"/>
    <w:rsid w:val="00993A00"/>
    <w:rsid w:val="009960E4"/>
    <w:rsid w:val="00997C83"/>
    <w:rsid w:val="009A55B2"/>
    <w:rsid w:val="009A71E6"/>
    <w:rsid w:val="009B1B97"/>
    <w:rsid w:val="009C13B9"/>
    <w:rsid w:val="009C5089"/>
    <w:rsid w:val="009C5CD3"/>
    <w:rsid w:val="009D01A2"/>
    <w:rsid w:val="009D1651"/>
    <w:rsid w:val="009D47AC"/>
    <w:rsid w:val="009D7000"/>
    <w:rsid w:val="009E0020"/>
    <w:rsid w:val="009F1E7F"/>
    <w:rsid w:val="009F5923"/>
    <w:rsid w:val="00A0377E"/>
    <w:rsid w:val="00A14C05"/>
    <w:rsid w:val="00A15DA6"/>
    <w:rsid w:val="00A2018B"/>
    <w:rsid w:val="00A21CD6"/>
    <w:rsid w:val="00A25ED2"/>
    <w:rsid w:val="00A312A0"/>
    <w:rsid w:val="00A31387"/>
    <w:rsid w:val="00A33177"/>
    <w:rsid w:val="00A37DED"/>
    <w:rsid w:val="00A403BB"/>
    <w:rsid w:val="00A50EC2"/>
    <w:rsid w:val="00A52140"/>
    <w:rsid w:val="00A566BB"/>
    <w:rsid w:val="00A62DF9"/>
    <w:rsid w:val="00A6608C"/>
    <w:rsid w:val="00A674DF"/>
    <w:rsid w:val="00A67979"/>
    <w:rsid w:val="00A7012E"/>
    <w:rsid w:val="00A71A8F"/>
    <w:rsid w:val="00A7218A"/>
    <w:rsid w:val="00A748E5"/>
    <w:rsid w:val="00A83AA6"/>
    <w:rsid w:val="00A83C50"/>
    <w:rsid w:val="00A83FB1"/>
    <w:rsid w:val="00A8437D"/>
    <w:rsid w:val="00A86325"/>
    <w:rsid w:val="00A902F4"/>
    <w:rsid w:val="00A93165"/>
    <w:rsid w:val="00A93E13"/>
    <w:rsid w:val="00A94026"/>
    <w:rsid w:val="00A94786"/>
    <w:rsid w:val="00A9494C"/>
    <w:rsid w:val="00AA0283"/>
    <w:rsid w:val="00AA07BF"/>
    <w:rsid w:val="00AA14FE"/>
    <w:rsid w:val="00AA1ABB"/>
    <w:rsid w:val="00AA39B0"/>
    <w:rsid w:val="00AB23F9"/>
    <w:rsid w:val="00AC1146"/>
    <w:rsid w:val="00AC2C79"/>
    <w:rsid w:val="00AC489B"/>
    <w:rsid w:val="00AD1D36"/>
    <w:rsid w:val="00AD3D72"/>
    <w:rsid w:val="00AE1809"/>
    <w:rsid w:val="00AE292A"/>
    <w:rsid w:val="00AE6D67"/>
    <w:rsid w:val="00AE7651"/>
    <w:rsid w:val="00AF01D6"/>
    <w:rsid w:val="00AF246E"/>
    <w:rsid w:val="00AF7DFF"/>
    <w:rsid w:val="00B01AFF"/>
    <w:rsid w:val="00B044BB"/>
    <w:rsid w:val="00B15C00"/>
    <w:rsid w:val="00B309F9"/>
    <w:rsid w:val="00B31AFC"/>
    <w:rsid w:val="00B3737F"/>
    <w:rsid w:val="00B37469"/>
    <w:rsid w:val="00B46930"/>
    <w:rsid w:val="00B46F2C"/>
    <w:rsid w:val="00B47D52"/>
    <w:rsid w:val="00B53DB3"/>
    <w:rsid w:val="00B620E6"/>
    <w:rsid w:val="00B6545A"/>
    <w:rsid w:val="00B65DDD"/>
    <w:rsid w:val="00B7501A"/>
    <w:rsid w:val="00B769E5"/>
    <w:rsid w:val="00B76F71"/>
    <w:rsid w:val="00B80D76"/>
    <w:rsid w:val="00B86DF4"/>
    <w:rsid w:val="00B876F2"/>
    <w:rsid w:val="00B91946"/>
    <w:rsid w:val="00B9267A"/>
    <w:rsid w:val="00B97B58"/>
    <w:rsid w:val="00BA0B77"/>
    <w:rsid w:val="00BA20A4"/>
    <w:rsid w:val="00BA2105"/>
    <w:rsid w:val="00BA633F"/>
    <w:rsid w:val="00BA6FE4"/>
    <w:rsid w:val="00BA7E06"/>
    <w:rsid w:val="00BB3EA3"/>
    <w:rsid w:val="00BB43B5"/>
    <w:rsid w:val="00BB5491"/>
    <w:rsid w:val="00BB6219"/>
    <w:rsid w:val="00BC1A29"/>
    <w:rsid w:val="00BC3C84"/>
    <w:rsid w:val="00BD290F"/>
    <w:rsid w:val="00BD2F21"/>
    <w:rsid w:val="00BD3A2F"/>
    <w:rsid w:val="00BD5271"/>
    <w:rsid w:val="00BD52B3"/>
    <w:rsid w:val="00BE134C"/>
    <w:rsid w:val="00BF03AD"/>
    <w:rsid w:val="00BF26D2"/>
    <w:rsid w:val="00C008AA"/>
    <w:rsid w:val="00C1277B"/>
    <w:rsid w:val="00C14289"/>
    <w:rsid w:val="00C14CC4"/>
    <w:rsid w:val="00C14F0C"/>
    <w:rsid w:val="00C232FE"/>
    <w:rsid w:val="00C24AB3"/>
    <w:rsid w:val="00C258DD"/>
    <w:rsid w:val="00C30EF6"/>
    <w:rsid w:val="00C3188A"/>
    <w:rsid w:val="00C33C52"/>
    <w:rsid w:val="00C362A2"/>
    <w:rsid w:val="00C409B6"/>
    <w:rsid w:val="00C40D8B"/>
    <w:rsid w:val="00C47189"/>
    <w:rsid w:val="00C52C79"/>
    <w:rsid w:val="00C5403B"/>
    <w:rsid w:val="00C60220"/>
    <w:rsid w:val="00C626DE"/>
    <w:rsid w:val="00C658DD"/>
    <w:rsid w:val="00C66211"/>
    <w:rsid w:val="00C7390D"/>
    <w:rsid w:val="00C770C4"/>
    <w:rsid w:val="00C77EF7"/>
    <w:rsid w:val="00C809B5"/>
    <w:rsid w:val="00C82D99"/>
    <w:rsid w:val="00C83F4C"/>
    <w:rsid w:val="00C8407A"/>
    <w:rsid w:val="00C8488C"/>
    <w:rsid w:val="00C860E8"/>
    <w:rsid w:val="00C86E91"/>
    <w:rsid w:val="00C91D3A"/>
    <w:rsid w:val="00C9606B"/>
    <w:rsid w:val="00CA2650"/>
    <w:rsid w:val="00CA5924"/>
    <w:rsid w:val="00CA5CCB"/>
    <w:rsid w:val="00CA68F9"/>
    <w:rsid w:val="00CB0C07"/>
    <w:rsid w:val="00CB1078"/>
    <w:rsid w:val="00CB4323"/>
    <w:rsid w:val="00CC1A12"/>
    <w:rsid w:val="00CC3593"/>
    <w:rsid w:val="00CC5664"/>
    <w:rsid w:val="00CC6FAF"/>
    <w:rsid w:val="00CC7C42"/>
    <w:rsid w:val="00CC7FAA"/>
    <w:rsid w:val="00CD2BB6"/>
    <w:rsid w:val="00CD3E39"/>
    <w:rsid w:val="00CD436B"/>
    <w:rsid w:val="00CE0F4A"/>
    <w:rsid w:val="00CE7721"/>
    <w:rsid w:val="00CF5CA4"/>
    <w:rsid w:val="00D003CD"/>
    <w:rsid w:val="00D029EE"/>
    <w:rsid w:val="00D03681"/>
    <w:rsid w:val="00D04931"/>
    <w:rsid w:val="00D04F06"/>
    <w:rsid w:val="00D13B79"/>
    <w:rsid w:val="00D13BC9"/>
    <w:rsid w:val="00D1727D"/>
    <w:rsid w:val="00D20686"/>
    <w:rsid w:val="00D2095D"/>
    <w:rsid w:val="00D23644"/>
    <w:rsid w:val="00D24698"/>
    <w:rsid w:val="00D26226"/>
    <w:rsid w:val="00D270EB"/>
    <w:rsid w:val="00D307F9"/>
    <w:rsid w:val="00D30F30"/>
    <w:rsid w:val="00D3223C"/>
    <w:rsid w:val="00D3611D"/>
    <w:rsid w:val="00D52B3B"/>
    <w:rsid w:val="00D53428"/>
    <w:rsid w:val="00D54D5D"/>
    <w:rsid w:val="00D6383F"/>
    <w:rsid w:val="00D6457B"/>
    <w:rsid w:val="00D66FC9"/>
    <w:rsid w:val="00D70B8D"/>
    <w:rsid w:val="00D71221"/>
    <w:rsid w:val="00D72694"/>
    <w:rsid w:val="00D758A0"/>
    <w:rsid w:val="00D7655F"/>
    <w:rsid w:val="00D800A5"/>
    <w:rsid w:val="00D801D7"/>
    <w:rsid w:val="00D81B36"/>
    <w:rsid w:val="00D8342F"/>
    <w:rsid w:val="00D840AE"/>
    <w:rsid w:val="00D9408B"/>
    <w:rsid w:val="00D977C2"/>
    <w:rsid w:val="00DA0E7B"/>
    <w:rsid w:val="00DB23A1"/>
    <w:rsid w:val="00DB58B9"/>
    <w:rsid w:val="00DB59D0"/>
    <w:rsid w:val="00DB7874"/>
    <w:rsid w:val="00DC1F5A"/>
    <w:rsid w:val="00DC32AE"/>
    <w:rsid w:val="00DC33D3"/>
    <w:rsid w:val="00DC648C"/>
    <w:rsid w:val="00DD11FC"/>
    <w:rsid w:val="00DD1FAE"/>
    <w:rsid w:val="00DD3A41"/>
    <w:rsid w:val="00DE29AF"/>
    <w:rsid w:val="00DE6B18"/>
    <w:rsid w:val="00DF1760"/>
    <w:rsid w:val="00DF200A"/>
    <w:rsid w:val="00DF25E8"/>
    <w:rsid w:val="00DF50FD"/>
    <w:rsid w:val="00DF5FBF"/>
    <w:rsid w:val="00DF6A5A"/>
    <w:rsid w:val="00DF7377"/>
    <w:rsid w:val="00E0056C"/>
    <w:rsid w:val="00E02391"/>
    <w:rsid w:val="00E0619B"/>
    <w:rsid w:val="00E0677A"/>
    <w:rsid w:val="00E06CB0"/>
    <w:rsid w:val="00E24B95"/>
    <w:rsid w:val="00E25217"/>
    <w:rsid w:val="00E252F3"/>
    <w:rsid w:val="00E26329"/>
    <w:rsid w:val="00E33418"/>
    <w:rsid w:val="00E401A4"/>
    <w:rsid w:val="00E40B50"/>
    <w:rsid w:val="00E414E0"/>
    <w:rsid w:val="00E44059"/>
    <w:rsid w:val="00E46147"/>
    <w:rsid w:val="00E50293"/>
    <w:rsid w:val="00E505E7"/>
    <w:rsid w:val="00E518B2"/>
    <w:rsid w:val="00E51A66"/>
    <w:rsid w:val="00E5751E"/>
    <w:rsid w:val="00E57B71"/>
    <w:rsid w:val="00E6018C"/>
    <w:rsid w:val="00E62A66"/>
    <w:rsid w:val="00E63BBC"/>
    <w:rsid w:val="00E63FFE"/>
    <w:rsid w:val="00E65FFC"/>
    <w:rsid w:val="00E67168"/>
    <w:rsid w:val="00E75F23"/>
    <w:rsid w:val="00E80951"/>
    <w:rsid w:val="00E81B59"/>
    <w:rsid w:val="00E8222A"/>
    <w:rsid w:val="00E82250"/>
    <w:rsid w:val="00E84894"/>
    <w:rsid w:val="00E854FE"/>
    <w:rsid w:val="00E86CC6"/>
    <w:rsid w:val="00E9018F"/>
    <w:rsid w:val="00E94103"/>
    <w:rsid w:val="00E96671"/>
    <w:rsid w:val="00EA01C1"/>
    <w:rsid w:val="00EA0FC1"/>
    <w:rsid w:val="00EA2686"/>
    <w:rsid w:val="00EA6ED8"/>
    <w:rsid w:val="00EB0E9F"/>
    <w:rsid w:val="00EB3D27"/>
    <w:rsid w:val="00EB4987"/>
    <w:rsid w:val="00EB56B3"/>
    <w:rsid w:val="00EC408C"/>
    <w:rsid w:val="00EC4426"/>
    <w:rsid w:val="00EC6B15"/>
    <w:rsid w:val="00ED4294"/>
    <w:rsid w:val="00ED6492"/>
    <w:rsid w:val="00ED6A07"/>
    <w:rsid w:val="00ED760E"/>
    <w:rsid w:val="00ED7795"/>
    <w:rsid w:val="00EE0DBF"/>
    <w:rsid w:val="00EE1B4C"/>
    <w:rsid w:val="00EE1D19"/>
    <w:rsid w:val="00EE3237"/>
    <w:rsid w:val="00EE442E"/>
    <w:rsid w:val="00EE56AE"/>
    <w:rsid w:val="00EE6835"/>
    <w:rsid w:val="00EF076C"/>
    <w:rsid w:val="00EF2095"/>
    <w:rsid w:val="00EF2188"/>
    <w:rsid w:val="00EF484B"/>
    <w:rsid w:val="00F01A8A"/>
    <w:rsid w:val="00F06866"/>
    <w:rsid w:val="00F10397"/>
    <w:rsid w:val="00F121F6"/>
    <w:rsid w:val="00F132BA"/>
    <w:rsid w:val="00F13D96"/>
    <w:rsid w:val="00F1541C"/>
    <w:rsid w:val="00F15956"/>
    <w:rsid w:val="00F20CFB"/>
    <w:rsid w:val="00F24CFC"/>
    <w:rsid w:val="00F270A9"/>
    <w:rsid w:val="00F3170F"/>
    <w:rsid w:val="00F32DE9"/>
    <w:rsid w:val="00F3447D"/>
    <w:rsid w:val="00F3472B"/>
    <w:rsid w:val="00F372E8"/>
    <w:rsid w:val="00F4017B"/>
    <w:rsid w:val="00F41E8C"/>
    <w:rsid w:val="00F518A1"/>
    <w:rsid w:val="00F54F1F"/>
    <w:rsid w:val="00F60CA9"/>
    <w:rsid w:val="00F664D4"/>
    <w:rsid w:val="00F6695F"/>
    <w:rsid w:val="00F8441D"/>
    <w:rsid w:val="00F8691B"/>
    <w:rsid w:val="00F90077"/>
    <w:rsid w:val="00F93AC0"/>
    <w:rsid w:val="00F95353"/>
    <w:rsid w:val="00F95949"/>
    <w:rsid w:val="00F95C85"/>
    <w:rsid w:val="00F969FB"/>
    <w:rsid w:val="00F976B0"/>
    <w:rsid w:val="00FA61DA"/>
    <w:rsid w:val="00FA6DE7"/>
    <w:rsid w:val="00FB0CEF"/>
    <w:rsid w:val="00FB247A"/>
    <w:rsid w:val="00FB25B8"/>
    <w:rsid w:val="00FC0A8E"/>
    <w:rsid w:val="00FC141C"/>
    <w:rsid w:val="00FC59CC"/>
    <w:rsid w:val="00FC659F"/>
    <w:rsid w:val="00FD6D92"/>
    <w:rsid w:val="00FE2FA6"/>
    <w:rsid w:val="00FE3DF2"/>
    <w:rsid w:val="00FE503D"/>
    <w:rsid w:val="01CF2EF6"/>
    <w:rsid w:val="043E5197"/>
    <w:rsid w:val="04AD1A41"/>
    <w:rsid w:val="11DF15B5"/>
    <w:rsid w:val="16AC2231"/>
    <w:rsid w:val="1D1B63B5"/>
    <w:rsid w:val="1D785411"/>
    <w:rsid w:val="21E687BF"/>
    <w:rsid w:val="22907EA3"/>
    <w:rsid w:val="238AA539"/>
    <w:rsid w:val="25907DCF"/>
    <w:rsid w:val="2951D94F"/>
    <w:rsid w:val="29669B9C"/>
    <w:rsid w:val="3862FF4F"/>
    <w:rsid w:val="3EF81B18"/>
    <w:rsid w:val="48D3D424"/>
    <w:rsid w:val="4B7BD0A7"/>
    <w:rsid w:val="59059659"/>
    <w:rsid w:val="5CF03193"/>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SharedWithUsers xmlns="86c06c88-ae6b-4cbe-81bd-158a47268078">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2.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3.xml><?xml version="1.0" encoding="utf-8"?>
<ds:datastoreItem xmlns:ds="http://schemas.openxmlformats.org/officeDocument/2006/customXml" ds:itemID="{89C36789-EDA9-40B9-BCB6-001559DD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McGinnis, Patrick (CDC/OD/OPHDST)</cp:lastModifiedBy>
  <cp:revision>91</cp:revision>
  <cp:lastPrinted>2019-03-29T13:58:00Z</cp:lastPrinted>
  <dcterms:created xsi:type="dcterms:W3CDTF">2025-02-07T16:00:00Z</dcterms:created>
  <dcterms:modified xsi:type="dcterms:W3CDTF">2025-05-13T14:48:00Z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