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121C" w:rsidP="00C4121C" w14:paraId="03B40F36" w14:textId="3C23B0DD">
      <w:pPr>
        <w:pBdr>
          <w:bottom w:val="single" w:sz="12" w:space="1" w:color="auto"/>
        </w:pBdr>
        <w:autoSpaceDE w:val="0"/>
        <w:autoSpaceDN w:val="0"/>
        <w:adjustRightInd w:val="0"/>
        <w:rPr>
          <w:rFonts w:cs="Times New Roman"/>
          <w:b/>
          <w:bCs/>
        </w:rPr>
      </w:pPr>
      <w:r>
        <w:rPr>
          <w:rStyle w:val="eop"/>
          <w:rFonts w:ascii="Calibri" w:hAnsi="Calibri" w:cs="Calibri"/>
          <w:color w:val="FF0000"/>
          <w:shd w:val="clear" w:color="auto" w:fill="FFFFFF"/>
        </w:rPr>
        <w:tab/>
      </w:r>
      <w:r>
        <w:rPr>
          <w:rStyle w:val="eop"/>
          <w:rFonts w:ascii="Calibri" w:hAnsi="Calibri" w:cs="Calibri"/>
          <w:color w:val="FF0000"/>
          <w:shd w:val="clear" w:color="auto" w:fill="FFFFFF"/>
        </w:rPr>
        <w:tab/>
      </w:r>
      <w:r>
        <w:rPr>
          <w:rStyle w:val="eop"/>
          <w:rFonts w:ascii="Calibri" w:hAnsi="Calibri" w:cs="Calibri"/>
          <w:color w:val="FF0000"/>
          <w:shd w:val="clear" w:color="auto" w:fill="FFFFFF"/>
        </w:rPr>
        <w:tab/>
      </w:r>
      <w:r>
        <w:rPr>
          <w:rStyle w:val="eop"/>
          <w:rFonts w:ascii="Calibri" w:hAnsi="Calibri" w:cs="Calibri"/>
          <w:color w:val="FF0000"/>
          <w:shd w:val="clear" w:color="auto" w:fill="FFFFFF"/>
        </w:rPr>
        <w:tab/>
      </w:r>
      <w:r>
        <w:rPr>
          <w:rStyle w:val="eop"/>
          <w:rFonts w:ascii="Calibri" w:hAnsi="Calibri" w:cs="Calibri"/>
          <w:color w:val="FF0000"/>
          <w:shd w:val="clear" w:color="auto" w:fill="FFFFFF"/>
        </w:rPr>
        <w:tab/>
      </w:r>
      <w:r>
        <w:rPr>
          <w:rStyle w:val="eop"/>
          <w:rFonts w:ascii="Calibri" w:hAnsi="Calibri" w:cs="Calibri"/>
          <w:color w:val="FF0000"/>
          <w:shd w:val="clear" w:color="auto" w:fill="FFFFFF"/>
        </w:rPr>
        <w:tab/>
      </w:r>
      <w:r>
        <w:rPr>
          <w:rStyle w:val="eop"/>
          <w:rFonts w:ascii="Calibri" w:hAnsi="Calibri" w:cs="Calibri"/>
          <w:color w:val="FF0000"/>
          <w:shd w:val="clear" w:color="auto" w:fill="FFFFFF"/>
        </w:rPr>
        <w:tab/>
      </w:r>
      <w:r>
        <w:rPr>
          <w:rStyle w:val="eop"/>
          <w:rFonts w:ascii="Calibri" w:hAnsi="Calibri" w:cs="Calibri"/>
          <w:color w:val="FF0000"/>
          <w:shd w:val="clear" w:color="auto" w:fill="FFFFFF"/>
        </w:rPr>
        <w:tab/>
      </w:r>
      <w:r>
        <w:rPr>
          <w:rStyle w:val="eop"/>
          <w:rFonts w:ascii="Calibri" w:hAnsi="Calibri" w:cs="Calibri"/>
          <w:color w:val="FF0000"/>
          <w:shd w:val="clear" w:color="auto" w:fill="FFFFFF"/>
        </w:rPr>
        <w:tab/>
      </w:r>
    </w:p>
    <w:p w:rsidR="002E7226" w:rsidP="00BD0AA0" w14:paraId="0A34C0AC" w14:textId="77777777">
      <w:pPr>
        <w:autoSpaceDE w:val="0"/>
        <w:autoSpaceDN w:val="0"/>
        <w:adjustRightInd w:val="0"/>
        <w:jc w:val="center"/>
        <w:rPr>
          <w:b/>
          <w:bCs/>
          <w:color w:val="FF0000"/>
        </w:rPr>
      </w:pP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p>
    <w:p w:rsidR="00A46E5B" w:rsidRPr="00A46E5B" w:rsidP="00A46E5B" w14:paraId="0A34C0AD"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763C53" w:rsidRPr="00EA366E" w:rsidP="00763C53" w14:paraId="0A34C0AE" w14:textId="77777777">
      <w:pPr>
        <w:keepNext/>
        <w:keepLines/>
        <w:spacing w:after="0"/>
        <w:jc w:val="center"/>
        <w:outlineLvl w:val="6"/>
        <w:rPr>
          <w:rFonts w:asciiTheme="majorHAnsi" w:eastAsiaTheme="majorEastAsia" w:hAnsiTheme="majorHAnsi" w:cstheme="majorBidi"/>
          <w:i/>
          <w:iCs/>
          <w:color w:val="404040" w:themeColor="text1" w:themeTint="BF"/>
          <w:sz w:val="28"/>
          <w:szCs w:val="28"/>
        </w:rPr>
      </w:pPr>
      <w:r w:rsidRPr="00EA366E">
        <w:rPr>
          <w:rFonts w:ascii="Times New Roman" w:hAnsi="Times New Roman" w:eastAsiaTheme="majorEastAsia" w:cs="Times New Roman"/>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B</w:t>
      </w:r>
    </w:p>
    <w:p w:rsidR="00A46E5B" w:rsidRPr="00A46E5B" w:rsidP="00A46E5B" w14:paraId="0A34C0AF"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E7226" w:rsidP="00864D7C" w14:paraId="0A34C0B0" w14:textId="77777777">
      <w:pPr>
        <w:jc w:val="center"/>
        <w:rPr>
          <w:b/>
        </w:rPr>
      </w:pPr>
    </w:p>
    <w:p w:rsidR="00864D7C" w:rsidRPr="00691454" w:rsidP="00864D7C" w14:paraId="0A34C0B1" w14:textId="4FDA100F">
      <w:pPr>
        <w:jc w:val="center"/>
        <w:rPr>
          <w:b/>
        </w:rPr>
      </w:pPr>
      <w:r>
        <w:rPr>
          <w:b/>
        </w:rPr>
        <w:t>Date</w:t>
      </w:r>
      <w:r w:rsidR="00E20F6C">
        <w:rPr>
          <w:b/>
        </w:rPr>
        <w:t>:</w:t>
      </w:r>
      <w:r>
        <w:rPr>
          <w:b/>
        </w:rPr>
        <w:t xml:space="preserve"> </w:t>
      </w:r>
      <w:r w:rsidR="00E20F6C">
        <w:rPr>
          <w:b/>
        </w:rPr>
        <w:t>November 15</w:t>
      </w:r>
      <w:r>
        <w:rPr>
          <w:b/>
        </w:rPr>
        <w:t>, 20</w:t>
      </w:r>
      <w:r w:rsidR="00E20F6C">
        <w:rPr>
          <w:b/>
        </w:rPr>
        <w:t>24</w:t>
      </w:r>
    </w:p>
    <w:p w:rsidR="002E7226" w:rsidP="002E7226" w14:paraId="0A34C0B2" w14:textId="77777777">
      <w:pPr>
        <w:autoSpaceDE w:val="0"/>
        <w:autoSpaceDN w:val="0"/>
        <w:adjustRightInd w:val="0"/>
        <w:ind w:left="720"/>
      </w:pPr>
      <w:r>
        <w:t xml:space="preserve">                                                                      </w:t>
      </w:r>
    </w:p>
    <w:p w:rsidR="00C4121C" w:rsidP="00C4121C" w14:paraId="3C638C17" w14:textId="77777777"/>
    <w:p w:rsidR="000807F6" w:rsidRPr="008B6607" w:rsidP="00C4121C" w14:paraId="1C10F107" w14:textId="6A5E5AB1">
      <w:pPr>
        <w:rPr>
          <w:b/>
          <w:bCs/>
        </w:rPr>
      </w:pPr>
      <w:r>
        <w:t xml:space="preserve">                                                       </w:t>
      </w:r>
      <w:r w:rsidRPr="008B6607" w:rsidR="00E20F6C">
        <w:rPr>
          <w:b/>
          <w:bCs/>
        </w:rPr>
        <w:t xml:space="preserve">Overdose Response Strategy Data Collection </w:t>
      </w:r>
      <w:r w:rsidRPr="008B6607">
        <w:rPr>
          <w:b/>
          <w:bCs/>
        </w:rPr>
        <w:t xml:space="preserve">    </w:t>
      </w:r>
    </w:p>
    <w:p w:rsidR="003B34E7" w:rsidP="003B34E7" w14:paraId="0A34C0B5" w14:textId="6E4FF566">
      <w:pPr>
        <w:jc w:val="center"/>
        <w:rPr>
          <w:b/>
        </w:rPr>
      </w:pPr>
      <w:r>
        <w:rPr>
          <w:b/>
        </w:rPr>
        <w:t>OMB# 0920-</w:t>
      </w:r>
      <w:r w:rsidRPr="00E20F6C" w:rsidR="00C4121C">
        <w:rPr>
          <w:b/>
          <w:highlight w:val="yellow"/>
        </w:rPr>
        <w:t>XXXX</w:t>
      </w:r>
    </w:p>
    <w:p w:rsidR="00864D7C" w:rsidRPr="00691454" w:rsidP="00864D7C" w14:paraId="0A34C0B6" w14:textId="77777777">
      <w:pPr>
        <w:jc w:val="center"/>
      </w:pPr>
    </w:p>
    <w:p w:rsidR="00864D7C" w:rsidRPr="00691454" w:rsidP="00864D7C" w14:paraId="0A34C0B7" w14:textId="77777777">
      <w:pPr>
        <w:jc w:val="center"/>
      </w:pPr>
    </w:p>
    <w:p w:rsidR="00864D7C" w:rsidRPr="00691454" w:rsidP="00864D7C" w14:paraId="0A34C0B8" w14:textId="77777777">
      <w:pPr>
        <w:jc w:val="center"/>
      </w:pPr>
    </w:p>
    <w:p w:rsidR="00E20F6C" w:rsidP="00E20F6C" w14:paraId="2DF3E42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Pr>
        <w:t>Point of Contact:</w:t>
      </w:r>
      <w:r>
        <w:rPr>
          <w:rStyle w:val="eop"/>
        </w:rPr>
        <w:t> </w:t>
      </w:r>
    </w:p>
    <w:p w:rsidR="00E20F6C" w:rsidP="00E20F6C" w14:paraId="0084AEB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Pr>
        <w:t>Jessica Wolff, MPH</w:t>
      </w:r>
      <w:r>
        <w:rPr>
          <w:rStyle w:val="eop"/>
        </w:rPr>
        <w:t> </w:t>
      </w:r>
    </w:p>
    <w:p w:rsidR="00E20F6C" w:rsidP="00E20F6C" w14:paraId="7D2EA62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Pr>
        <w:t>Centers for Disease Control and Prevention</w:t>
      </w:r>
      <w:r>
        <w:rPr>
          <w:rStyle w:val="eop"/>
        </w:rPr>
        <w:t> </w:t>
      </w:r>
    </w:p>
    <w:p w:rsidR="00E20F6C" w:rsidP="00E20F6C" w14:paraId="01A9D91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Pr>
        <w:t>National Center for Injury Prevention and Control</w:t>
      </w:r>
      <w:r>
        <w:rPr>
          <w:rStyle w:val="eop"/>
        </w:rPr>
        <w:t> </w:t>
      </w:r>
    </w:p>
    <w:p w:rsidR="00A46E5B" w:rsidRPr="00A46E5B" w:rsidP="00A46E5B" w14:paraId="0A34C0C3" w14:textId="77777777">
      <w:pPr>
        <w:autoSpaceDE w:val="0"/>
        <w:autoSpaceDN w:val="0"/>
        <w:adjustRightInd w:val="0"/>
        <w:spacing w:after="0" w:line="240" w:lineRule="auto"/>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br w:type="page"/>
      </w:r>
      <w:r w:rsidRPr="00A46E5B">
        <w:rPr>
          <w:rFonts w:ascii="Times New Roman" w:eastAsia="Times New Roman" w:hAnsi="Times New Roman" w:cs="Times New Roman"/>
          <w:b/>
          <w:bCs/>
          <w:sz w:val="24"/>
          <w:szCs w:val="24"/>
        </w:rPr>
        <w:t xml:space="preserve">B. COLLECTIONS OF INFORMATION EMPLOYING STATISTICAL METHODS </w:t>
      </w:r>
    </w:p>
    <w:p w:rsidR="00A46E5B" w:rsidRPr="00A46E5B" w:rsidP="00A46E5B" w14:paraId="0A34C0C4" w14:textId="77777777">
      <w:pPr>
        <w:autoSpaceDE w:val="0"/>
        <w:autoSpaceDN w:val="0"/>
        <w:adjustRightInd w:val="0"/>
        <w:spacing w:after="0" w:line="240" w:lineRule="auto"/>
        <w:rPr>
          <w:rFonts w:ascii="Times New Roman" w:eastAsia="Times New Roman" w:hAnsi="Times New Roman" w:cs="Times New Roman"/>
          <w:b/>
          <w:bCs/>
          <w:sz w:val="24"/>
          <w:szCs w:val="24"/>
        </w:rPr>
      </w:pPr>
    </w:p>
    <w:p w:rsidR="00A46E5B" w:rsidP="00A46E5B" w14:paraId="0A34C0C5" w14:textId="77777777">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A46E5B">
        <w:rPr>
          <w:rFonts w:ascii="Times New Roman" w:eastAsia="Times New Roman" w:hAnsi="Times New Roman" w:cs="Times New Roman"/>
          <w:b/>
          <w:bCs/>
          <w:sz w:val="24"/>
          <w:szCs w:val="24"/>
        </w:rPr>
        <w:t xml:space="preserve">B.1. </w:t>
      </w:r>
      <w:r w:rsidRPr="00A46E5B">
        <w:rPr>
          <w:rFonts w:ascii="Times New Roman" w:eastAsia="Times New Roman" w:hAnsi="Times New Roman" w:cs="Times New Roman"/>
          <w:b/>
          <w:bCs/>
          <w:sz w:val="24"/>
          <w:szCs w:val="24"/>
        </w:rPr>
        <w:tab/>
        <w:t>Respondent Universe and Sampling Methods</w:t>
      </w:r>
      <w:r w:rsidRPr="00A46E5B">
        <w:rPr>
          <w:rFonts w:ascii="Times New Roman" w:eastAsia="Times New Roman" w:hAnsi="Times New Roman" w:cs="Times New Roman"/>
          <w:b/>
          <w:bCs/>
          <w:color w:val="FF0000"/>
          <w:sz w:val="24"/>
          <w:szCs w:val="24"/>
        </w:rPr>
        <w:t xml:space="preserve"> </w:t>
      </w:r>
    </w:p>
    <w:p w:rsidR="00E20F6C" w:rsidP="00E20F6C" w14:paraId="656483BA" w14:textId="77777777">
      <w:pPr>
        <w:pStyle w:val="paragraph"/>
        <w:spacing w:before="0" w:beforeAutospacing="0" w:after="0" w:afterAutospacing="0"/>
        <w:textAlignment w:val="baseline"/>
        <w:rPr>
          <w:rStyle w:val="normaltextrun"/>
          <w:sz w:val="22"/>
          <w:szCs w:val="22"/>
        </w:rPr>
      </w:pPr>
    </w:p>
    <w:p w:rsidR="00E20F6C" w:rsidP="00E20F6C" w14:paraId="4D070C80" w14:textId="5826FD42">
      <w:pPr>
        <w:pStyle w:val="paragraph"/>
        <w:spacing w:before="0" w:beforeAutospacing="0" w:after="0" w:afterAutospacing="0"/>
        <w:textAlignment w:val="baseline"/>
        <w:rPr>
          <w:rStyle w:val="eop"/>
          <w:sz w:val="22"/>
          <w:szCs w:val="22"/>
        </w:rPr>
      </w:pPr>
      <w:r>
        <w:rPr>
          <w:rStyle w:val="normaltextrun"/>
          <w:sz w:val="22"/>
          <w:szCs w:val="22"/>
        </w:rPr>
        <w:t>Respondents for the ORS Annual Evaluation Survey will include Overdose Response Strategy (ORS) Drug Intelligence Officers (DIOs, n=61), ORS Public Health Analysts (PHAs, n=61), public health partners in each ORS jurisdiction (n=70), public safety partners in each ORS jurisdiction (n=70), and the national ORS management and coordination team (n=25).  </w:t>
      </w:r>
      <w:r>
        <w:rPr>
          <w:rStyle w:val="eop"/>
          <w:sz w:val="22"/>
          <w:szCs w:val="22"/>
        </w:rPr>
        <w:t> </w:t>
      </w:r>
    </w:p>
    <w:p w:rsidR="00E20F6C" w:rsidP="00E20F6C" w14:paraId="06C8B9A6" w14:textId="77777777">
      <w:pPr>
        <w:pStyle w:val="paragraph"/>
        <w:spacing w:before="0" w:beforeAutospacing="0" w:after="0" w:afterAutospacing="0"/>
        <w:textAlignment w:val="baseline"/>
        <w:rPr>
          <w:rStyle w:val="eop"/>
          <w:sz w:val="22"/>
          <w:szCs w:val="22"/>
        </w:rPr>
      </w:pPr>
    </w:p>
    <w:p w:rsidR="00E20F6C" w:rsidP="00E20F6C" w14:paraId="185860BE" w14:textId="798AE89C">
      <w:pPr>
        <w:pStyle w:val="paragraph"/>
        <w:spacing w:before="0" w:beforeAutospacing="0" w:after="0" w:afterAutospacing="0"/>
        <w:textAlignment w:val="baseline"/>
        <w:rPr>
          <w:rFonts w:ascii="Segoe UI" w:hAnsi="Segoe UI" w:cs="Segoe UI"/>
          <w:sz w:val="18"/>
          <w:szCs w:val="18"/>
        </w:rPr>
      </w:pPr>
      <w:r>
        <w:rPr>
          <w:rStyle w:val="eop"/>
          <w:sz w:val="22"/>
          <w:szCs w:val="22"/>
        </w:rPr>
        <w:t>Respondents for the ORS Quarterly Reporting Template will be ORS DIOs (n=61) and PHAs (n=61).</w:t>
      </w:r>
    </w:p>
    <w:p w:rsidR="00E20F6C" w:rsidP="00E20F6C" w14:paraId="22775D26"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20F6C" w:rsidP="00E20F6C" w14:paraId="583D3BB1"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No statistical sampling method will be used.</w:t>
      </w:r>
      <w:r>
        <w:rPr>
          <w:rStyle w:val="eop"/>
          <w:sz w:val="22"/>
          <w:szCs w:val="22"/>
        </w:rPr>
        <w:t> </w:t>
      </w:r>
    </w:p>
    <w:p w:rsidR="00E20F6C" w:rsidRPr="00E20F6C" w:rsidP="00A46E5B" w14:paraId="26349D93" w14:textId="77777777">
      <w:pPr>
        <w:autoSpaceDE w:val="0"/>
        <w:autoSpaceDN w:val="0"/>
        <w:adjustRightInd w:val="0"/>
        <w:spacing w:after="0" w:line="240" w:lineRule="auto"/>
        <w:outlineLvl w:val="1"/>
        <w:rPr>
          <w:rFonts w:ascii="Times New Roman" w:eastAsia="Times New Roman" w:hAnsi="Times New Roman" w:cs="Times New Roman"/>
          <w:color w:val="FF0000"/>
          <w:sz w:val="24"/>
          <w:szCs w:val="24"/>
        </w:rPr>
      </w:pPr>
    </w:p>
    <w:p w:rsidR="00C4121C" w:rsidP="00A46E5B" w14:paraId="12FBE46B" w14:textId="77777777">
      <w:pPr>
        <w:autoSpaceDE w:val="0"/>
        <w:autoSpaceDN w:val="0"/>
        <w:adjustRightInd w:val="0"/>
        <w:spacing w:after="0" w:line="240" w:lineRule="auto"/>
        <w:outlineLvl w:val="1"/>
        <w:rPr>
          <w:rFonts w:ascii="Times New Roman" w:eastAsia="Times New Roman" w:hAnsi="Times New Roman" w:cs="Times New Roman"/>
          <w:b/>
          <w:bCs/>
          <w:sz w:val="24"/>
          <w:szCs w:val="24"/>
        </w:rPr>
      </w:pPr>
    </w:p>
    <w:p w:rsidR="00A46E5B" w:rsidP="00A46E5B" w14:paraId="0A34C0C7" w14:textId="0C863069">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4807E9">
        <w:rPr>
          <w:rFonts w:ascii="Times New Roman" w:eastAsia="Times New Roman" w:hAnsi="Times New Roman" w:cs="Times New Roman"/>
          <w:b/>
          <w:bCs/>
          <w:sz w:val="24"/>
          <w:szCs w:val="24"/>
        </w:rPr>
        <w:t xml:space="preserve">B.2. </w:t>
      </w:r>
      <w:r w:rsidRPr="004807E9">
        <w:rPr>
          <w:rFonts w:ascii="Times New Roman" w:eastAsia="Times New Roman" w:hAnsi="Times New Roman" w:cs="Times New Roman"/>
          <w:b/>
          <w:bCs/>
          <w:sz w:val="24"/>
          <w:szCs w:val="24"/>
        </w:rPr>
        <w:tab/>
        <w:t>Procedures for the Collection of Information</w:t>
      </w:r>
      <w:r w:rsidRPr="004807E9">
        <w:rPr>
          <w:rFonts w:ascii="Times New Roman" w:eastAsia="Times New Roman" w:hAnsi="Times New Roman" w:cs="Times New Roman"/>
          <w:b/>
          <w:bCs/>
          <w:color w:val="FF0000"/>
          <w:sz w:val="24"/>
          <w:szCs w:val="24"/>
        </w:rPr>
        <w:t xml:space="preserve"> </w:t>
      </w:r>
    </w:p>
    <w:p w:rsidR="00E20F6C" w:rsidP="00A46E5B" w14:paraId="5C6065E6" w14:textId="77777777">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p>
    <w:p w:rsidR="00B92127" w:rsidP="00B92127" w14:paraId="7F633F5F" w14:textId="52154BCE">
      <w:pPr>
        <w:pStyle w:val="paragraph"/>
        <w:spacing w:before="0" w:beforeAutospacing="0" w:after="0" w:afterAutospacing="0"/>
        <w:textAlignment w:val="baseline"/>
        <w:rPr>
          <w:rFonts w:ascii="Segoe UI" w:hAnsi="Segoe UI" w:cs="Segoe UI"/>
          <w:sz w:val="18"/>
          <w:szCs w:val="18"/>
        </w:rPr>
      </w:pPr>
      <w:r>
        <w:rPr>
          <w:rStyle w:val="normaltextrun"/>
        </w:rPr>
        <w:t>For the Annual Evaluation Survey, each respondent group will receive a survey version tailored to their respective group, with 45 questions for PHAs and DIOs, 38 questions for partners, and 18 questions for the ORS national management and coordination team. </w:t>
      </w:r>
      <w:r>
        <w:rPr>
          <w:rStyle w:val="eop"/>
        </w:rPr>
        <w:t> </w:t>
      </w:r>
    </w:p>
    <w:p w:rsidR="00B92127" w:rsidP="00B92127" w14:paraId="19A5C00C" w14:textId="14C50EB4">
      <w:pPr>
        <w:pStyle w:val="paragraph"/>
        <w:spacing w:before="0" w:beforeAutospacing="0" w:after="0" w:afterAutospacing="0"/>
        <w:textAlignment w:val="baseline"/>
        <w:rPr>
          <w:rStyle w:val="eop"/>
        </w:rPr>
      </w:pPr>
      <w:r>
        <w:rPr>
          <w:rStyle w:val="scxw266983126"/>
        </w:rPr>
        <w:t> </w:t>
      </w:r>
      <w:r>
        <w:br/>
      </w:r>
      <w:r>
        <w:rPr>
          <w:rStyle w:val="normaltextrun"/>
        </w:rPr>
        <w:t xml:space="preserve">For close-ended questions, respondents will be asked to use a Likert scale (strongly agree, agree, disagree, strongly disagree, I don’t know) to indicate the degree to which they agree with statements in each of the five sections. The survey will include an option for ORS teams and partners to provide examples of the impact of ORS partnerships following each of the five close-ended questions. All respondents will be asked five additional open-ended questions to describe challenges, </w:t>
      </w:r>
      <w:r w:rsidR="008B6607">
        <w:rPr>
          <w:rStyle w:val="normaltextrun"/>
        </w:rPr>
        <w:t>suggestions,</w:t>
      </w:r>
      <w:r>
        <w:rPr>
          <w:rStyle w:val="normaltextrun"/>
        </w:rPr>
        <w:t xml:space="preserve"> and visions for the future of the program. The survey will be open for two weeks and two reminder emails will be sent. Responses will be anonymous.</w:t>
      </w:r>
      <w:r>
        <w:rPr>
          <w:rStyle w:val="eop"/>
        </w:rPr>
        <w:t> </w:t>
      </w:r>
    </w:p>
    <w:p w:rsidR="00B92127" w:rsidP="00B92127" w14:paraId="4C22CF42" w14:textId="3C9EBF5E">
      <w:pPr>
        <w:pStyle w:val="paragraph"/>
        <w:spacing w:before="0" w:beforeAutospacing="0" w:after="0" w:afterAutospacing="0"/>
        <w:textAlignment w:val="baseline"/>
        <w:rPr>
          <w:rStyle w:val="eop"/>
        </w:rPr>
      </w:pPr>
    </w:p>
    <w:p w:rsidR="00B92127" w:rsidP="00B92127" w14:paraId="3EC3951A" w14:textId="1799DD50">
      <w:pPr>
        <w:pStyle w:val="paragraph"/>
        <w:spacing w:before="0" w:beforeAutospacing="0" w:after="0" w:afterAutospacing="0"/>
        <w:textAlignment w:val="baseline"/>
        <w:rPr>
          <w:rStyle w:val="eop"/>
          <w:color w:val="000000"/>
          <w:shd w:val="clear" w:color="auto" w:fill="FFFFFF"/>
        </w:rPr>
      </w:pPr>
      <w:r>
        <w:rPr>
          <w:rStyle w:val="eop"/>
        </w:rPr>
        <w:t xml:space="preserve">For the ORS Quarterly Reporting Template, PHAs and DIOs </w:t>
      </w:r>
      <w:r>
        <w:rPr>
          <w:rStyle w:val="normaltextrun"/>
          <w:color w:val="000000"/>
          <w:shd w:val="clear" w:color="auto" w:fill="FFFFFF"/>
        </w:rPr>
        <w:t>will be required to provide summaries of implemented activities and challenges encountered, detailed descriptions of sub activities and their dates of completion, success stories, progress updates, and implementation plans within each sub activity on a quarterly basis. The Overdose Response Strategy Team Reporting System (ORSTRS) is a web-based platform used for all reporting. Data will be analyzed by CDC and CDCF and recommendations will be provided to ORS teams to strengthen their activities and partnerships. Success stories and program achievements will also be collected, shared internally, and a selection will be used to report to Congress and share with the public. Furthermore, CDC and CDCF staff will use the successful implementation examples to help recommend program improvements and strategies to other ORS teams. Data collection includes adding projects, tracking projects through updates, and reviewing projects with commentary. Users add projects and project updates that national reviewers can track and review with commentary. Project updates include documents, presentations, and success stories. Users also add data on external partners, such as the organizations and the key contacts they partner with.</w:t>
      </w:r>
      <w:r>
        <w:rPr>
          <w:rStyle w:val="eop"/>
          <w:color w:val="000000"/>
          <w:shd w:val="clear" w:color="auto" w:fill="FFFFFF"/>
        </w:rPr>
        <w:t> </w:t>
      </w:r>
    </w:p>
    <w:p w:rsidR="00B92127" w:rsidP="00B92127" w14:paraId="4D50158B" w14:textId="77777777">
      <w:pPr>
        <w:pStyle w:val="paragraph"/>
        <w:spacing w:before="0" w:beforeAutospacing="0" w:after="0" w:afterAutospacing="0"/>
        <w:textAlignment w:val="baseline"/>
        <w:rPr>
          <w:rStyle w:val="eop"/>
          <w:color w:val="000000"/>
          <w:shd w:val="clear" w:color="auto" w:fill="FFFFFF"/>
        </w:rPr>
      </w:pPr>
    </w:p>
    <w:p w:rsidR="00B92127" w:rsidP="00B92127" w14:paraId="61DFB53C" w14:textId="77777777">
      <w:pPr>
        <w:pStyle w:val="paragraph"/>
        <w:spacing w:before="0" w:beforeAutospacing="0" w:after="0" w:afterAutospacing="0"/>
        <w:textAlignment w:val="baseline"/>
        <w:rPr>
          <w:rFonts w:ascii="Segoe UI" w:hAnsi="Segoe UI" w:cs="Segoe UI"/>
          <w:sz w:val="18"/>
          <w:szCs w:val="18"/>
        </w:rPr>
      </w:pPr>
      <w:r>
        <w:rPr>
          <w:rStyle w:val="normaltextrun"/>
        </w:rPr>
        <w:t>PHAs and DIOs are expected to report project activities on a quarterly basis. Reports are due 15 days after the quarter ends or the following business day, if the 15th falls on the weekend or a holiday. Quarterly periods and submission due dates are as follows: </w:t>
      </w:r>
      <w:r>
        <w:rPr>
          <w:rStyle w:val="eop"/>
        </w:rPr>
        <w:t> </w:t>
      </w:r>
    </w:p>
    <w:p w:rsidR="00B92127" w:rsidP="00B92127" w14:paraId="5E38ABE4"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B92127" w:rsidP="00B92127" w14:paraId="3F2735A6" w14:textId="77777777">
      <w:pPr>
        <w:pStyle w:val="paragraph"/>
        <w:spacing w:before="0" w:beforeAutospacing="0" w:after="0" w:afterAutospacing="0"/>
        <w:textAlignment w:val="baseline"/>
        <w:rPr>
          <w:rFonts w:ascii="Segoe UI" w:hAnsi="Segoe UI" w:cs="Segoe UI"/>
          <w:sz w:val="18"/>
          <w:szCs w:val="18"/>
        </w:rPr>
      </w:pPr>
      <w:r>
        <w:rPr>
          <w:rStyle w:val="normaltextrun"/>
        </w:rPr>
        <w:t>• First Quarter (Q1): January 1 – March 31 </w:t>
      </w:r>
      <w:r>
        <w:rPr>
          <w:rStyle w:val="eop"/>
        </w:rPr>
        <w:t> </w:t>
      </w:r>
    </w:p>
    <w:p w:rsidR="00B92127" w:rsidP="00B92127" w14:paraId="5E4209C1"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 Submission due: April 15 </w:t>
      </w:r>
      <w:r>
        <w:rPr>
          <w:rStyle w:val="eop"/>
        </w:rPr>
        <w:t> </w:t>
      </w:r>
    </w:p>
    <w:p w:rsidR="00B92127" w:rsidP="00B92127" w14:paraId="267D12E6" w14:textId="77777777">
      <w:pPr>
        <w:pStyle w:val="paragraph"/>
        <w:spacing w:before="0" w:beforeAutospacing="0" w:after="0" w:afterAutospacing="0"/>
        <w:ind w:left="720"/>
        <w:textAlignment w:val="baseline"/>
        <w:rPr>
          <w:rFonts w:ascii="Segoe UI" w:hAnsi="Segoe UI" w:cs="Segoe UI"/>
          <w:sz w:val="18"/>
          <w:szCs w:val="18"/>
        </w:rPr>
      </w:pPr>
      <w:r>
        <w:rPr>
          <w:rStyle w:val="normaltextrun"/>
        </w:rPr>
        <w:t xml:space="preserve">• All reviewer feedback </w:t>
      </w:r>
      <w:r>
        <w:rPr>
          <w:rStyle w:val="normaltextrun"/>
        </w:rPr>
        <w:t>resolved</w:t>
      </w:r>
      <w:r>
        <w:rPr>
          <w:rStyle w:val="normaltextrun"/>
        </w:rPr>
        <w:t xml:space="preserve"> and projects approved: May 15 </w:t>
      </w:r>
      <w:r>
        <w:rPr>
          <w:rStyle w:val="eop"/>
        </w:rPr>
        <w:t> </w:t>
      </w:r>
    </w:p>
    <w:p w:rsidR="00B92127" w:rsidP="00B92127" w14:paraId="274AB69B" w14:textId="77777777">
      <w:pPr>
        <w:pStyle w:val="paragraph"/>
        <w:spacing w:before="0" w:beforeAutospacing="0" w:after="0" w:afterAutospacing="0"/>
        <w:textAlignment w:val="baseline"/>
        <w:rPr>
          <w:rFonts w:ascii="Segoe UI" w:hAnsi="Segoe UI" w:cs="Segoe UI"/>
          <w:sz w:val="18"/>
          <w:szCs w:val="18"/>
        </w:rPr>
      </w:pPr>
      <w:r>
        <w:rPr>
          <w:rStyle w:val="normaltextrun"/>
        </w:rPr>
        <w:t>• Second Quarter (Q2): April 1 – June 30 </w:t>
      </w:r>
      <w:r>
        <w:rPr>
          <w:rStyle w:val="eop"/>
        </w:rPr>
        <w:t> </w:t>
      </w:r>
    </w:p>
    <w:p w:rsidR="00B92127" w:rsidP="00B92127" w14:paraId="784C22DC"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 Submission due: July 15</w:t>
      </w:r>
      <w:r>
        <w:rPr>
          <w:rStyle w:val="eop"/>
        </w:rPr>
        <w:t> </w:t>
      </w:r>
    </w:p>
    <w:p w:rsidR="00B92127" w:rsidP="00B92127" w14:paraId="1BE247DD"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 • All reviewer feedback </w:t>
      </w:r>
      <w:r>
        <w:rPr>
          <w:rStyle w:val="normaltextrun"/>
        </w:rPr>
        <w:t>resolved</w:t>
      </w:r>
      <w:r>
        <w:rPr>
          <w:rStyle w:val="normaltextrun"/>
        </w:rPr>
        <w:t xml:space="preserve"> and projects approved: August 14 </w:t>
      </w:r>
      <w:r>
        <w:rPr>
          <w:rStyle w:val="eop"/>
        </w:rPr>
        <w:t> </w:t>
      </w:r>
    </w:p>
    <w:p w:rsidR="00B92127" w:rsidP="00B92127" w14:paraId="52EB992A" w14:textId="77777777">
      <w:pPr>
        <w:pStyle w:val="paragraph"/>
        <w:spacing w:before="0" w:beforeAutospacing="0" w:after="0" w:afterAutospacing="0"/>
        <w:textAlignment w:val="baseline"/>
        <w:rPr>
          <w:rFonts w:ascii="Segoe UI" w:hAnsi="Segoe UI" w:cs="Segoe UI"/>
          <w:sz w:val="18"/>
          <w:szCs w:val="18"/>
        </w:rPr>
      </w:pPr>
      <w:r>
        <w:rPr>
          <w:rStyle w:val="normaltextrun"/>
        </w:rPr>
        <w:t>• Third Quarter (Q3): July 1 – September 30 </w:t>
      </w:r>
      <w:r>
        <w:rPr>
          <w:rStyle w:val="eop"/>
        </w:rPr>
        <w:t> </w:t>
      </w:r>
    </w:p>
    <w:p w:rsidR="00B92127" w:rsidP="00B92127" w14:paraId="335FBCB8"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 Submission due: October 15 </w:t>
      </w:r>
      <w:r>
        <w:rPr>
          <w:rStyle w:val="eop"/>
        </w:rPr>
        <w:t> </w:t>
      </w:r>
    </w:p>
    <w:p w:rsidR="00B92127" w:rsidP="00B92127" w14:paraId="7AD7BE39"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 All reviewer feedback </w:t>
      </w:r>
      <w:r>
        <w:rPr>
          <w:rStyle w:val="normaltextrun"/>
        </w:rPr>
        <w:t>resolved</w:t>
      </w:r>
      <w:r>
        <w:rPr>
          <w:rStyle w:val="normaltextrun"/>
        </w:rPr>
        <w:t xml:space="preserve"> and projects approved: November 14</w:t>
      </w:r>
      <w:r>
        <w:rPr>
          <w:rStyle w:val="eop"/>
        </w:rPr>
        <w:t> </w:t>
      </w:r>
    </w:p>
    <w:p w:rsidR="00B92127" w:rsidP="00B92127" w14:paraId="41A999AD" w14:textId="77777777">
      <w:pPr>
        <w:pStyle w:val="paragraph"/>
        <w:spacing w:before="0" w:beforeAutospacing="0" w:after="0" w:afterAutospacing="0"/>
        <w:textAlignment w:val="baseline"/>
        <w:rPr>
          <w:rFonts w:ascii="Segoe UI" w:hAnsi="Segoe UI" w:cs="Segoe UI"/>
          <w:sz w:val="18"/>
          <w:szCs w:val="18"/>
        </w:rPr>
      </w:pPr>
      <w:r>
        <w:rPr>
          <w:rStyle w:val="normaltextrun"/>
        </w:rPr>
        <w:t> • Fourth Quarter (Q4): October 1 – December 31</w:t>
      </w:r>
      <w:r>
        <w:rPr>
          <w:rStyle w:val="eop"/>
        </w:rPr>
        <w:t> </w:t>
      </w:r>
    </w:p>
    <w:p w:rsidR="00B92127" w:rsidP="00B92127" w14:paraId="22795D30"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 • Submission due: January 15</w:t>
      </w:r>
      <w:r>
        <w:rPr>
          <w:rStyle w:val="eop"/>
        </w:rPr>
        <w:t> </w:t>
      </w:r>
    </w:p>
    <w:p w:rsidR="00B92127" w:rsidP="00B92127" w14:paraId="24F8BE06"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 • All reviewer feedback </w:t>
      </w:r>
      <w:r>
        <w:rPr>
          <w:rStyle w:val="normaltextrun"/>
        </w:rPr>
        <w:t>resolved</w:t>
      </w:r>
      <w:r>
        <w:rPr>
          <w:rStyle w:val="normaltextrun"/>
        </w:rPr>
        <w:t xml:space="preserve"> and projects approved: February 14</w:t>
      </w:r>
      <w:r>
        <w:rPr>
          <w:rStyle w:val="eop"/>
        </w:rPr>
        <w:t> </w:t>
      </w:r>
    </w:p>
    <w:p w:rsidR="00B92127" w:rsidRPr="00B92127" w:rsidP="00B92127" w14:paraId="7354F5E1" w14:textId="77777777">
      <w:pPr>
        <w:pStyle w:val="paragraph"/>
        <w:spacing w:before="0" w:beforeAutospacing="0" w:after="0" w:afterAutospacing="0"/>
        <w:textAlignment w:val="baseline"/>
        <w:rPr>
          <w:rFonts w:ascii="Segoe UI" w:hAnsi="Segoe UI" w:cs="Segoe UI"/>
          <w:sz w:val="18"/>
          <w:szCs w:val="18"/>
        </w:rPr>
      </w:pPr>
    </w:p>
    <w:p w:rsidR="00A46E5B" w:rsidRPr="004807E9" w:rsidP="00A46E5B" w14:paraId="0A34C0C8" w14:textId="77777777">
      <w:pPr>
        <w:autoSpaceDE w:val="0"/>
        <w:autoSpaceDN w:val="0"/>
        <w:adjustRightInd w:val="0"/>
        <w:spacing w:after="0" w:line="240" w:lineRule="auto"/>
        <w:rPr>
          <w:rFonts w:ascii="Times New Roman" w:eastAsia="Times New Roman" w:hAnsi="Times New Roman" w:cs="Times New Roman"/>
          <w:sz w:val="24"/>
          <w:szCs w:val="24"/>
        </w:rPr>
      </w:pPr>
    </w:p>
    <w:p w:rsidR="00A46E5B" w:rsidP="005C20A1" w14:paraId="0A34C0C9" w14:textId="77777777">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B.3. </w:t>
      </w:r>
      <w:r w:rsidR="005C20A1">
        <w:rPr>
          <w:rFonts w:ascii="Times New Roman" w:eastAsia="Times New Roman" w:hAnsi="Times New Roman" w:cs="Times New Roman"/>
          <w:b/>
          <w:bCs/>
          <w:sz w:val="24"/>
          <w:szCs w:val="24"/>
        </w:rPr>
        <w:t xml:space="preserve">    </w:t>
      </w:r>
      <w:r w:rsidRPr="00A46E5B">
        <w:rPr>
          <w:rFonts w:ascii="Times New Roman" w:eastAsia="Times New Roman" w:hAnsi="Times New Roman" w:cs="Times New Roman"/>
          <w:b/>
          <w:bCs/>
          <w:sz w:val="24"/>
          <w:szCs w:val="24"/>
        </w:rPr>
        <w:t xml:space="preserve">Methods to Maximize Response Rates and Deal with Nonresponse </w:t>
      </w:r>
    </w:p>
    <w:p w:rsidR="00B92127" w:rsidP="005C20A1" w14:paraId="1F82B2E7" w14:textId="0ECC2F40">
      <w:pPr>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effort will be made to maximize response rates for the Annual Evaluation Survey, including sending reminders, optimizing survey timing, and weighting adjustments to account for potential nonresponse bias when analyzing survey data. </w:t>
      </w:r>
    </w:p>
    <w:p w:rsidR="00B92127" w:rsidP="005C20A1" w14:paraId="317AA0A3" w14:textId="77777777">
      <w:pPr>
        <w:autoSpaceDE w:val="0"/>
        <w:autoSpaceDN w:val="0"/>
        <w:adjustRightInd w:val="0"/>
        <w:spacing w:after="0" w:line="240" w:lineRule="auto"/>
        <w:outlineLvl w:val="1"/>
        <w:rPr>
          <w:rFonts w:ascii="Times New Roman" w:eastAsia="Times New Roman" w:hAnsi="Times New Roman" w:cs="Times New Roman"/>
          <w:sz w:val="24"/>
          <w:szCs w:val="24"/>
        </w:rPr>
      </w:pPr>
    </w:p>
    <w:p w:rsidR="00B92127" w:rsidRPr="00B92127" w:rsidP="005C20A1" w14:paraId="3FED6862" w14:textId="19EBDEC3">
      <w:pPr>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ORS Quarterly Reporting Template is a requirement for each PHA and DIO to complete; therefore, response rates are expected to be 100%. </w:t>
      </w:r>
    </w:p>
    <w:p w:rsidR="00A46E5B" w:rsidRPr="00A46E5B" w:rsidP="00A46E5B" w14:paraId="0A34C0CA" w14:textId="77777777">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P="00A46E5B" w14:paraId="0A34C0CB" w14:textId="77777777">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B.4. </w:t>
      </w:r>
      <w:r w:rsidR="005C20A1">
        <w:rPr>
          <w:rFonts w:ascii="Times New Roman" w:eastAsia="Times New Roman" w:hAnsi="Times New Roman" w:cs="Times New Roman"/>
          <w:b/>
          <w:bCs/>
          <w:sz w:val="24"/>
          <w:szCs w:val="24"/>
        </w:rPr>
        <w:t xml:space="preserve">    </w:t>
      </w:r>
      <w:r w:rsidRPr="00A46E5B">
        <w:rPr>
          <w:rFonts w:ascii="Times New Roman" w:eastAsia="Times New Roman" w:hAnsi="Times New Roman" w:cs="Times New Roman"/>
          <w:b/>
          <w:bCs/>
          <w:sz w:val="24"/>
          <w:szCs w:val="24"/>
        </w:rPr>
        <w:t xml:space="preserve">Tests of Procedures or Methods to be Undertaken </w:t>
      </w:r>
    </w:p>
    <w:p w:rsidR="00B92127" w:rsidRPr="00B92127" w:rsidP="00A46E5B" w14:paraId="5313CC58" w14:textId="4127E66F">
      <w:pPr>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ORS Annual Survey and the ORS Quarterly Reporting Template have both been administered and completed through a previous funding opportunity. </w:t>
      </w:r>
      <w:r w:rsidR="00031C31">
        <w:rPr>
          <w:rFonts w:ascii="Times New Roman" w:eastAsia="Times New Roman" w:hAnsi="Times New Roman" w:cs="Times New Roman"/>
          <w:sz w:val="24"/>
          <w:szCs w:val="24"/>
        </w:rPr>
        <w:t xml:space="preserve">Both instruments were proven to be user-friendly and a secure means of data collection. Response rates for the Annual Survey were 71% (PHAs), 75% (DIOs), 33% (public health partners), 37% (public safety partners), and 80% (management and coordination team), for an average response rate of 55%. The response rate for previous administrations of the Quarterly Reporting Template was 100% as it is a required form for program staff.  </w:t>
      </w:r>
    </w:p>
    <w:p w:rsidR="00A46E5B" w:rsidRPr="00A46E5B" w:rsidP="00A46E5B" w14:paraId="0A34C0CC" w14:textId="77777777">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P="005C20A1" w14:paraId="0A34C0CD" w14:textId="77777777">
      <w:pPr>
        <w:autoSpaceDE w:val="0"/>
        <w:autoSpaceDN w:val="0"/>
        <w:adjustRightInd w:val="0"/>
        <w:spacing w:after="0" w:line="240" w:lineRule="auto"/>
        <w:ind w:left="720" w:hanging="720"/>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B.5. </w:t>
      </w:r>
      <w:r w:rsidR="005C20A1">
        <w:rPr>
          <w:rFonts w:ascii="Times New Roman" w:eastAsia="Times New Roman" w:hAnsi="Times New Roman" w:cs="Times New Roman"/>
          <w:b/>
          <w:bCs/>
          <w:sz w:val="24"/>
          <w:szCs w:val="24"/>
        </w:rPr>
        <w:t xml:space="preserve">    </w:t>
      </w:r>
      <w:r w:rsidR="005C20A1">
        <w:rPr>
          <w:rFonts w:ascii="Times New Roman" w:eastAsia="Times New Roman" w:hAnsi="Times New Roman" w:cs="Times New Roman"/>
          <w:b/>
          <w:bCs/>
          <w:sz w:val="24"/>
          <w:szCs w:val="24"/>
        </w:rPr>
        <w:tab/>
      </w:r>
      <w:r w:rsidRPr="00A46E5B">
        <w:rPr>
          <w:rFonts w:ascii="Times New Roman" w:eastAsia="Times New Roman" w:hAnsi="Times New Roman" w:cs="Times New Roman"/>
          <w:b/>
          <w:bCs/>
          <w:sz w:val="24"/>
          <w:szCs w:val="24"/>
        </w:rPr>
        <w:t>Individuals Consulted on Statistical Aspects and Individuals Collecting and/or Analyzing Data</w:t>
      </w:r>
    </w:p>
    <w:p w:rsidR="00A46E5B" w:rsidRPr="00A46E5B" w:rsidP="00A46E5B" w14:paraId="0A34C0CE" w14:textId="77777777">
      <w:pPr>
        <w:autoSpaceDE w:val="0"/>
        <w:autoSpaceDN w:val="0"/>
        <w:adjustRightInd w:val="0"/>
        <w:spacing w:after="0" w:line="240" w:lineRule="auto"/>
        <w:rPr>
          <w:rFonts w:ascii="Times New Roman" w:eastAsia="Times New Roman" w:hAnsi="Times New Roman" w:cs="Times New Roman"/>
          <w:b/>
          <w:bCs/>
          <w:color w:val="FF0000"/>
          <w:sz w:val="24"/>
          <w:szCs w:val="24"/>
        </w:rPr>
      </w:pPr>
    </w:p>
    <w:p w:rsidR="00B92127" w:rsidP="00B92127" w14:paraId="0B64C6D0" w14:textId="75958B68">
      <w:pPr>
        <w:pStyle w:val="paragraph"/>
        <w:spacing w:before="0" w:beforeAutospacing="0" w:after="0" w:afterAutospacing="0"/>
        <w:textAlignment w:val="baseline"/>
        <w:rPr>
          <w:rFonts w:ascii="Segoe UI" w:hAnsi="Segoe UI" w:cs="Segoe UI"/>
          <w:sz w:val="18"/>
          <w:szCs w:val="18"/>
        </w:rPr>
      </w:pPr>
      <w:r>
        <w:rPr>
          <w:rStyle w:val="normaltextrun"/>
          <w:color w:val="000000"/>
        </w:rPr>
        <w:t>The data collection instruments, and proposed analyses were designed collaboratively by CDC, CDCF and ONDCP/HIDTA staff. These staff provided input on content, functionality, and usability of the instruments, and worked with the contractor to design the Quarterly Reporting Template in ORSTRS. Consultation and collaboration will continue throughout the implementation process. </w:t>
      </w:r>
      <w:r>
        <w:rPr>
          <w:rStyle w:val="eop"/>
          <w:color w:val="000000"/>
        </w:rPr>
        <w:t xml:space="preserve">These individuals include: </w:t>
      </w:r>
    </w:p>
    <w:p w:rsidR="00B92127" w:rsidP="00B92127" w14:paraId="342BCC37"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B92127" w:rsidP="00B92127" w14:paraId="0F462BBB"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Name: </w:t>
      </w:r>
      <w:r>
        <w:rPr>
          <w:rStyle w:val="normaltextrun"/>
          <w:color w:val="000000"/>
        </w:rPr>
        <w:t>Audi Ritchie </w:t>
      </w:r>
      <w:r>
        <w:rPr>
          <w:rStyle w:val="eop"/>
          <w:color w:val="000000"/>
        </w:rPr>
        <w:t> </w:t>
      </w:r>
    </w:p>
    <w:p w:rsidR="00B92127" w:rsidP="00B92127" w14:paraId="12085EEE"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Title: </w:t>
      </w:r>
      <w:r>
        <w:rPr>
          <w:rStyle w:val="normaltextrun"/>
          <w:color w:val="000000"/>
        </w:rPr>
        <w:t>Senior Program Officer, CDC Foundation </w:t>
      </w:r>
      <w:r>
        <w:rPr>
          <w:rStyle w:val="eop"/>
          <w:color w:val="000000"/>
        </w:rPr>
        <w:t> </w:t>
      </w:r>
    </w:p>
    <w:p w:rsidR="00B92127" w:rsidP="00B92127" w14:paraId="662E9A90"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B92127" w:rsidP="00B92127" w14:paraId="24EC78CE"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Name: </w:t>
      </w:r>
      <w:r>
        <w:rPr>
          <w:rStyle w:val="normaltextrun"/>
          <w:color w:val="000000"/>
        </w:rPr>
        <w:t>Kiersten Nicholson </w:t>
      </w:r>
      <w:r>
        <w:rPr>
          <w:rStyle w:val="eop"/>
          <w:color w:val="000000"/>
        </w:rPr>
        <w:t> </w:t>
      </w:r>
    </w:p>
    <w:p w:rsidR="00B92127" w:rsidP="00B92127" w14:paraId="1EE33F4B"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Title: </w:t>
      </w:r>
      <w:r>
        <w:rPr>
          <w:rStyle w:val="normaltextrun"/>
          <w:color w:val="000000"/>
        </w:rPr>
        <w:t>Senior Program Officer, CDC Foundation </w:t>
      </w:r>
      <w:r>
        <w:rPr>
          <w:rStyle w:val="eop"/>
          <w:color w:val="000000"/>
        </w:rPr>
        <w:t> </w:t>
      </w:r>
    </w:p>
    <w:p w:rsidR="00B92127" w:rsidP="00B92127" w14:paraId="0EFFEC87"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B92127" w:rsidP="00B92127" w14:paraId="0B21A713"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Name: </w:t>
      </w:r>
      <w:r>
        <w:rPr>
          <w:rStyle w:val="normaltextrun"/>
          <w:color w:val="000000"/>
        </w:rPr>
        <w:t>Jim Cormier</w:t>
      </w:r>
      <w:r>
        <w:rPr>
          <w:rStyle w:val="eop"/>
          <w:color w:val="000000"/>
        </w:rPr>
        <w:t> </w:t>
      </w:r>
    </w:p>
    <w:p w:rsidR="00B92127" w:rsidP="00B92127" w14:paraId="251347F0" w14:textId="77777777">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Title: </w:t>
      </w:r>
      <w:r>
        <w:rPr>
          <w:rStyle w:val="normaltextrun"/>
          <w:color w:val="000000"/>
        </w:rPr>
        <w:t>HIDTA ORS National Coordinator </w:t>
      </w:r>
      <w:r>
        <w:rPr>
          <w:rStyle w:val="eop"/>
          <w:color w:val="000000"/>
        </w:rPr>
        <w:t> </w:t>
      </w:r>
    </w:p>
    <w:p w:rsidR="00A46E5B" w:rsidP="00A46E5B" w14:paraId="0A34C0CF" w14:textId="77777777">
      <w:pPr>
        <w:spacing w:after="0" w:line="240" w:lineRule="auto"/>
        <w:rPr>
          <w:rFonts w:ascii="Times New Roman" w:eastAsia="Times New Roman" w:hAnsi="Times New Roman" w:cs="Times New Roman"/>
          <w:color w:val="000000"/>
          <w:sz w:val="24"/>
          <w:szCs w:val="24"/>
          <w:lang w:val="de-DE"/>
        </w:rPr>
      </w:pPr>
    </w:p>
    <w:p w:rsidR="005C20A1" w:rsidP="00A46E5B" w14:paraId="0A34C0D0" w14:textId="77777777">
      <w:pPr>
        <w:spacing w:after="0" w:line="240" w:lineRule="auto"/>
        <w:rPr>
          <w:rFonts w:ascii="Times New Roman" w:eastAsia="Times New Roman" w:hAnsi="Times New Roman" w:cs="Times New Roman"/>
          <w:color w:val="000000"/>
          <w:sz w:val="24"/>
          <w:szCs w:val="24"/>
          <w:lang w:val="de-DE"/>
        </w:rPr>
      </w:pPr>
    </w:p>
    <w:p w:rsidR="005C20A1" w:rsidP="00A46E5B" w14:paraId="0A34C0D1" w14:textId="77777777">
      <w:pPr>
        <w:spacing w:after="0" w:line="240" w:lineRule="auto"/>
        <w:rPr>
          <w:rFonts w:ascii="Times New Roman" w:eastAsia="Times New Roman" w:hAnsi="Times New Roman" w:cs="Times New Roman"/>
          <w:color w:val="000000"/>
          <w:sz w:val="24"/>
          <w:szCs w:val="24"/>
          <w:lang w:val="de-DE"/>
        </w:rPr>
      </w:pPr>
    </w:p>
    <w:sectPr w:rsidSect="00E64BE3">
      <w:footerReference w:type="even" r:id="rId7"/>
      <w:footerReference w:type="default" r:id="rId8"/>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D2E" w:rsidP="00E64BE3" w14:paraId="0A34C0D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5D2E" w:rsidP="00E64BE3" w14:paraId="0A34C0D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D2E" w:rsidP="00E64BE3" w14:paraId="0A34C0D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07F6">
      <w:rPr>
        <w:rStyle w:val="PageNumber"/>
        <w:noProof/>
      </w:rPr>
      <w:t>2</w:t>
    </w:r>
    <w:r>
      <w:rPr>
        <w:rStyle w:val="PageNumber"/>
      </w:rPr>
      <w:fldChar w:fldCharType="end"/>
    </w:r>
  </w:p>
  <w:p w:rsidR="00B35D2E" w:rsidRPr="00BB4559" w:rsidP="00E64BE3" w14:paraId="0A34C0D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864E99"/>
    <w:multiLevelType w:val="hybridMultilevel"/>
    <w:tmpl w:val="02388DB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0AE36AD"/>
    <w:multiLevelType w:val="hybridMultilevel"/>
    <w:tmpl w:val="7CC2953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0146156A"/>
    <w:multiLevelType w:val="hybridMultilevel"/>
    <w:tmpl w:val="7BA60DDC"/>
    <w:lvl w:ilvl="0">
      <w:start w:val="1"/>
      <w:numFmt w:val="bullet"/>
      <w:lvlText w:val=""/>
      <w:lvlJc w:val="left"/>
      <w:pPr>
        <w:tabs>
          <w:tab w:val="num" w:pos="720"/>
        </w:tabs>
        <w:ind w:left="720" w:hanging="360"/>
      </w:pPr>
      <w:rPr>
        <w:rFonts w:ascii="Wingdings" w:hAnsi="Wingdings" w:hint="default"/>
      </w:rPr>
    </w:lvl>
    <w:lvl w:ilvl="1">
      <w:start w:val="269"/>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34941C8"/>
    <w:multiLevelType w:val="hybridMultilevel"/>
    <w:tmpl w:val="F9B8BBA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BBD7D26"/>
    <w:multiLevelType w:val="hybridMultilevel"/>
    <w:tmpl w:val="9404EC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BCB1437"/>
    <w:multiLevelType w:val="hybridMultilevel"/>
    <w:tmpl w:val="7220B4D4"/>
    <w:lvl w:ilvl="0">
      <w:start w:val="1"/>
      <w:numFmt w:val="bullet"/>
      <w:lvlText w:val=""/>
      <w:lvlJc w:val="left"/>
      <w:pPr>
        <w:tabs>
          <w:tab w:val="num" w:pos="432"/>
        </w:tabs>
        <w:ind w:left="432"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121C5FAE"/>
    <w:multiLevelType w:val="hybridMultilevel"/>
    <w:tmpl w:val="C5BA04C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3D1701B"/>
    <w:multiLevelType w:val="hybridMultilevel"/>
    <w:tmpl w:val="07C2F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AE741DD"/>
    <w:multiLevelType w:val="hybridMultilevel"/>
    <w:tmpl w:val="0F9E5C84"/>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1E6C4682"/>
    <w:multiLevelType w:val="hybridMultilevel"/>
    <w:tmpl w:val="0FFA30AC"/>
    <w:lvl w:ilvl="0">
      <w:start w:val="1"/>
      <w:numFmt w:val="upperLetter"/>
      <w:lvlText w:val="%1."/>
      <w:lvlJc w:val="left"/>
      <w:pPr>
        <w:tabs>
          <w:tab w:val="num" w:pos="870"/>
        </w:tabs>
        <w:ind w:left="870" w:hanging="435"/>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2">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23">
    <w:nsid w:val="20B45249"/>
    <w:multiLevelType w:val="hybridMultilevel"/>
    <w:tmpl w:val="917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442659"/>
    <w:multiLevelType w:val="hybridMultilevel"/>
    <w:tmpl w:val="5F247934"/>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5">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30E5064A"/>
    <w:multiLevelType w:val="hybridMultilevel"/>
    <w:tmpl w:val="CB249766"/>
    <w:lvl w:ilvl="0">
      <w:start w:val="1"/>
      <w:numFmt w:val="decimal"/>
      <w:lvlText w:val="%1)"/>
      <w:lvlJc w:val="left"/>
      <w:pPr>
        <w:tabs>
          <w:tab w:val="num" w:pos="795"/>
        </w:tabs>
        <w:ind w:left="795"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8">
    <w:nsid w:val="41B32A40"/>
    <w:multiLevelType w:val="hybridMultilevel"/>
    <w:tmpl w:val="E424E4B0"/>
    <w:lvl w:ilvl="0">
      <w:start w:val="6"/>
      <w:numFmt w:val="decimal"/>
      <w:lvlText w:val="%1"/>
      <w:lvlJc w:val="left"/>
      <w:pPr>
        <w:tabs>
          <w:tab w:val="num" w:pos="1443"/>
        </w:tabs>
        <w:ind w:left="1443" w:hanging="1155"/>
      </w:pPr>
      <w:rPr>
        <w:rFonts w:hint="default"/>
      </w:rPr>
    </w:lvl>
    <w:lvl w:ilvl="1" w:tentative="1">
      <w:start w:val="1"/>
      <w:numFmt w:val="lowerLetter"/>
      <w:lvlText w:val="%2."/>
      <w:lvlJc w:val="left"/>
      <w:pPr>
        <w:tabs>
          <w:tab w:val="num" w:pos="1368"/>
        </w:tabs>
        <w:ind w:left="1368" w:hanging="360"/>
      </w:p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abstractNum w:abstractNumId="29">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1">
    <w:nsid w:val="48B76183"/>
    <w:multiLevelType w:val="hybridMultilevel"/>
    <w:tmpl w:val="5290E98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B891897"/>
    <w:multiLevelType w:val="hybridMultilevel"/>
    <w:tmpl w:val="0FBE418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3">
    <w:nsid w:val="4BBC35C2"/>
    <w:multiLevelType w:val="hybridMultilevel"/>
    <w:tmpl w:val="1C46FF04"/>
    <w:lvl w:ilvl="0">
      <w:start w:val="1"/>
      <w:numFmt w:val="bullet"/>
      <w:lvlText w:val=""/>
      <w:lvlJc w:val="left"/>
      <w:pPr>
        <w:tabs>
          <w:tab w:val="num" w:pos="720"/>
        </w:tabs>
        <w:ind w:left="720" w:hanging="360"/>
      </w:pPr>
      <w:rPr>
        <w:rFonts w:ascii="Wingdings" w:hAnsi="Wingdings" w:cs="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4C3E21DC"/>
    <w:multiLevelType w:val="hybridMultilevel"/>
    <w:tmpl w:val="7ED07E28"/>
    <w:lvl w:ilvl="0">
      <w:start w:val="1"/>
      <w:numFmt w:val="bullet"/>
      <w:lvlText w:val=""/>
      <w:lvlJc w:val="left"/>
      <w:pPr>
        <w:tabs>
          <w:tab w:val="num" w:pos="1080"/>
        </w:tabs>
        <w:ind w:left="108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558061EE"/>
    <w:multiLevelType w:val="hybridMultilevel"/>
    <w:tmpl w:val="7F265BD6"/>
    <w:lvl w:ilvl="0">
      <w:start w:val="1"/>
      <w:numFmt w:val="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36">
    <w:nsid w:val="566121E7"/>
    <w:multiLevelType w:val="hybridMultilevel"/>
    <w:tmpl w:val="3F725F4E"/>
    <w:lvl w:ilvl="0">
      <w:start w:val="2"/>
      <w:numFmt w:val="lowerRoman"/>
      <w:lvlText w:val="(%1)"/>
      <w:lvlJc w:val="left"/>
      <w:pPr>
        <w:tabs>
          <w:tab w:val="num" w:pos="1152"/>
        </w:tabs>
        <w:ind w:left="1152" w:hanging="720"/>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37">
    <w:nsid w:val="595C6B7E"/>
    <w:multiLevelType w:val="hybridMultilevel"/>
    <w:tmpl w:val="0E16C228"/>
    <w:lvl w:ilvl="0">
      <w:start w:val="1"/>
      <w:numFmt w:val="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38">
    <w:nsid w:val="6D620BE6"/>
    <w:multiLevelType w:val="hybridMultilevel"/>
    <w:tmpl w:val="4306BA42"/>
    <w:lvl w:ilvl="0">
      <w:start w:val="4"/>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23F2A8F"/>
    <w:multiLevelType w:val="hybridMultilevel"/>
    <w:tmpl w:val="E50C993C"/>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360"/>
        </w:tabs>
        <w:ind w:left="360" w:hanging="360"/>
      </w:pPr>
      <w:rPr>
        <w:rFonts w:ascii="Wingdings" w:hAnsi="Wingdings" w:cs="Wingdings" w:hint="default"/>
      </w:rPr>
    </w:lvl>
    <w:lvl w:ilvl="3" w:tentative="1">
      <w:start w:val="1"/>
      <w:numFmt w:val="bullet"/>
      <w:lvlText w:val=""/>
      <w:lvlJc w:val="left"/>
      <w:pPr>
        <w:tabs>
          <w:tab w:val="num" w:pos="1080"/>
        </w:tabs>
        <w:ind w:left="1080" w:hanging="360"/>
      </w:pPr>
      <w:rPr>
        <w:rFonts w:ascii="Symbol" w:hAnsi="Symbol" w:cs="Symbol" w:hint="default"/>
      </w:rPr>
    </w:lvl>
    <w:lvl w:ilvl="4" w:tentative="1">
      <w:start w:val="1"/>
      <w:numFmt w:val="bullet"/>
      <w:lvlText w:val="o"/>
      <w:lvlJc w:val="left"/>
      <w:pPr>
        <w:tabs>
          <w:tab w:val="num" w:pos="1800"/>
        </w:tabs>
        <w:ind w:left="1800" w:hanging="360"/>
      </w:pPr>
      <w:rPr>
        <w:rFonts w:ascii="Courier New" w:hAnsi="Courier New" w:cs="Courier New" w:hint="default"/>
      </w:rPr>
    </w:lvl>
    <w:lvl w:ilvl="5" w:tentative="1">
      <w:start w:val="1"/>
      <w:numFmt w:val="bullet"/>
      <w:lvlText w:val=""/>
      <w:lvlJc w:val="left"/>
      <w:pPr>
        <w:tabs>
          <w:tab w:val="num" w:pos="2520"/>
        </w:tabs>
        <w:ind w:left="2520" w:hanging="360"/>
      </w:pPr>
      <w:rPr>
        <w:rFonts w:ascii="Wingdings" w:hAnsi="Wingdings" w:cs="Wingdings" w:hint="default"/>
      </w:rPr>
    </w:lvl>
    <w:lvl w:ilvl="6" w:tentative="1">
      <w:start w:val="1"/>
      <w:numFmt w:val="bullet"/>
      <w:lvlText w:val=""/>
      <w:lvlJc w:val="left"/>
      <w:pPr>
        <w:tabs>
          <w:tab w:val="num" w:pos="3240"/>
        </w:tabs>
        <w:ind w:left="3240" w:hanging="360"/>
      </w:pPr>
      <w:rPr>
        <w:rFonts w:ascii="Symbol" w:hAnsi="Symbol" w:cs="Symbol" w:hint="default"/>
      </w:rPr>
    </w:lvl>
    <w:lvl w:ilvl="7" w:tentative="1">
      <w:start w:val="1"/>
      <w:numFmt w:val="bullet"/>
      <w:lvlText w:val="o"/>
      <w:lvlJc w:val="left"/>
      <w:pPr>
        <w:tabs>
          <w:tab w:val="num" w:pos="3960"/>
        </w:tabs>
        <w:ind w:left="3960" w:hanging="360"/>
      </w:pPr>
      <w:rPr>
        <w:rFonts w:ascii="Courier New" w:hAnsi="Courier New" w:cs="Courier New" w:hint="default"/>
      </w:rPr>
    </w:lvl>
    <w:lvl w:ilvl="8" w:tentative="1">
      <w:start w:val="1"/>
      <w:numFmt w:val="bullet"/>
      <w:lvlText w:val=""/>
      <w:lvlJc w:val="left"/>
      <w:pPr>
        <w:tabs>
          <w:tab w:val="num" w:pos="4680"/>
        </w:tabs>
        <w:ind w:left="4680" w:hanging="360"/>
      </w:pPr>
      <w:rPr>
        <w:rFonts w:ascii="Wingdings" w:hAnsi="Wingdings" w:cs="Wingdings" w:hint="default"/>
      </w:rPr>
    </w:lvl>
  </w:abstractNum>
  <w:abstractNum w:abstractNumId="40">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41">
    <w:nsid w:val="7ADC1EFE"/>
    <w:multiLevelType w:val="hybridMultilevel"/>
    <w:tmpl w:val="42CCE34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cs="Wingdings" w:hint="default"/>
      </w:rPr>
    </w:lvl>
    <w:lvl w:ilvl="3" w:tentative="1">
      <w:start w:val="1"/>
      <w:numFmt w:val="bullet"/>
      <w:lvlText w:val=""/>
      <w:lvlJc w:val="left"/>
      <w:pPr>
        <w:tabs>
          <w:tab w:val="num" w:pos="3240"/>
        </w:tabs>
        <w:ind w:left="3240" w:hanging="360"/>
      </w:pPr>
      <w:rPr>
        <w:rFonts w:ascii="Symbol" w:hAnsi="Symbol" w:cs="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cs="Wingdings" w:hint="default"/>
      </w:rPr>
    </w:lvl>
    <w:lvl w:ilvl="6" w:tentative="1">
      <w:start w:val="1"/>
      <w:numFmt w:val="bullet"/>
      <w:lvlText w:val=""/>
      <w:lvlJc w:val="left"/>
      <w:pPr>
        <w:tabs>
          <w:tab w:val="num" w:pos="5400"/>
        </w:tabs>
        <w:ind w:left="5400" w:hanging="360"/>
      </w:pPr>
      <w:rPr>
        <w:rFonts w:ascii="Symbol" w:hAnsi="Symbol" w:cs="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cs="Wingdings" w:hint="default"/>
      </w:rPr>
    </w:lvl>
  </w:abstractNum>
  <w:num w:numId="1" w16cid:durableId="1078792585">
    <w:abstractNumId w:val="9"/>
  </w:num>
  <w:num w:numId="2" w16cid:durableId="1922762140">
    <w:abstractNumId w:val="18"/>
  </w:num>
  <w:num w:numId="3" w16cid:durableId="1980333249">
    <w:abstractNumId w:val="24"/>
  </w:num>
  <w:num w:numId="4" w16cid:durableId="2014067887">
    <w:abstractNumId w:val="14"/>
  </w:num>
  <w:num w:numId="5" w16cid:durableId="1008606322">
    <w:abstractNumId w:val="15"/>
  </w:num>
  <w:num w:numId="6" w16cid:durableId="48578918">
    <w:abstractNumId w:val="29"/>
  </w:num>
  <w:num w:numId="7" w16cid:durableId="14624116">
    <w:abstractNumId w:val="25"/>
  </w:num>
  <w:num w:numId="8" w16cid:durableId="1077634366">
    <w:abstractNumId w:val="13"/>
  </w:num>
  <w:num w:numId="9" w16cid:durableId="627126864">
    <w:abstractNumId w:val="39"/>
  </w:num>
  <w:num w:numId="10" w16cid:durableId="1705910168">
    <w:abstractNumId w:val="34"/>
  </w:num>
  <w:num w:numId="11" w16cid:durableId="695472058">
    <w:abstractNumId w:val="40"/>
  </w:num>
  <w:num w:numId="12" w16cid:durableId="1344086276">
    <w:abstractNumId w:val="33"/>
  </w:num>
  <w:num w:numId="13" w16cid:durableId="213934875">
    <w:abstractNumId w:val="28"/>
  </w:num>
  <w:num w:numId="14" w16cid:durableId="630943666">
    <w:abstractNumId w:val="27"/>
  </w:num>
  <w:num w:numId="15" w16cid:durableId="51856420">
    <w:abstractNumId w:val="11"/>
  </w:num>
  <w:num w:numId="16" w16cid:durableId="455606734">
    <w:abstractNumId w:val="20"/>
  </w:num>
  <w:num w:numId="17" w16cid:durableId="255797711">
    <w:abstractNumId w:val="19"/>
  </w:num>
  <w:num w:numId="18" w16cid:durableId="1905336765">
    <w:abstractNumId w:val="22"/>
  </w:num>
  <w:num w:numId="19" w16cid:durableId="539704715">
    <w:abstractNumId w:val="37"/>
  </w:num>
  <w:num w:numId="20" w16cid:durableId="1333407615">
    <w:abstractNumId w:val="35"/>
  </w:num>
  <w:num w:numId="21" w16cid:durableId="139150578">
    <w:abstractNumId w:val="41"/>
  </w:num>
  <w:num w:numId="22" w16cid:durableId="1850367206">
    <w:abstractNumId w:val="7"/>
  </w:num>
  <w:num w:numId="23" w16cid:durableId="1946379576">
    <w:abstractNumId w:val="6"/>
  </w:num>
  <w:num w:numId="24" w16cid:durableId="575822469">
    <w:abstractNumId w:val="5"/>
  </w:num>
  <w:num w:numId="25" w16cid:durableId="1903952089">
    <w:abstractNumId w:val="4"/>
  </w:num>
  <w:num w:numId="26" w16cid:durableId="41835755">
    <w:abstractNumId w:val="8"/>
  </w:num>
  <w:num w:numId="27" w16cid:durableId="362900031">
    <w:abstractNumId w:val="3"/>
  </w:num>
  <w:num w:numId="28" w16cid:durableId="1593077536">
    <w:abstractNumId w:val="2"/>
  </w:num>
  <w:num w:numId="29" w16cid:durableId="1603763887">
    <w:abstractNumId w:val="1"/>
  </w:num>
  <w:num w:numId="30" w16cid:durableId="70591956">
    <w:abstractNumId w:val="0"/>
  </w:num>
  <w:num w:numId="31" w16cid:durableId="81075867">
    <w:abstractNumId w:val="26"/>
  </w:num>
  <w:num w:numId="32" w16cid:durableId="1168322470">
    <w:abstractNumId w:val="23"/>
  </w:num>
  <w:num w:numId="33" w16cid:durableId="1186334623">
    <w:abstractNumId w:val="36"/>
  </w:num>
  <w:num w:numId="34" w16cid:durableId="742795615">
    <w:abstractNumId w:val="21"/>
  </w:num>
  <w:num w:numId="35" w16cid:durableId="56171911">
    <w:abstractNumId w:val="32"/>
  </w:num>
  <w:num w:numId="36" w16cid:durableId="1785611273">
    <w:abstractNumId w:val="12"/>
  </w:num>
  <w:num w:numId="37" w16cid:durableId="1022820969">
    <w:abstractNumId w:val="16"/>
  </w:num>
  <w:num w:numId="38" w16cid:durableId="1413238830">
    <w:abstractNumId w:val="10"/>
  </w:num>
  <w:num w:numId="39" w16cid:durableId="1279607741">
    <w:abstractNumId w:val="31"/>
  </w:num>
  <w:num w:numId="40" w16cid:durableId="341317367">
    <w:abstractNumId w:val="30"/>
  </w:num>
  <w:num w:numId="41" w16cid:durableId="1765489381">
    <w:abstractNumId w:val="38"/>
  </w:num>
  <w:num w:numId="42" w16cid:durableId="16873650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5B"/>
    <w:rsid w:val="00031C31"/>
    <w:rsid w:val="000807F6"/>
    <w:rsid w:val="000917AD"/>
    <w:rsid w:val="000A09E4"/>
    <w:rsid w:val="000B1CA5"/>
    <w:rsid w:val="000C4820"/>
    <w:rsid w:val="000D1575"/>
    <w:rsid w:val="001110DF"/>
    <w:rsid w:val="00111C75"/>
    <w:rsid w:val="0012405B"/>
    <w:rsid w:val="0016796D"/>
    <w:rsid w:val="002455B8"/>
    <w:rsid w:val="002504D4"/>
    <w:rsid w:val="00257241"/>
    <w:rsid w:val="00277939"/>
    <w:rsid w:val="002B4ECA"/>
    <w:rsid w:val="002E7226"/>
    <w:rsid w:val="002F7DD0"/>
    <w:rsid w:val="003405E9"/>
    <w:rsid w:val="00366D1D"/>
    <w:rsid w:val="003B34E7"/>
    <w:rsid w:val="00415949"/>
    <w:rsid w:val="004807E9"/>
    <w:rsid w:val="004844BE"/>
    <w:rsid w:val="004E0C23"/>
    <w:rsid w:val="004F0B2A"/>
    <w:rsid w:val="004F60DE"/>
    <w:rsid w:val="00573A17"/>
    <w:rsid w:val="005B3711"/>
    <w:rsid w:val="005C20A1"/>
    <w:rsid w:val="00691454"/>
    <w:rsid w:val="007632B4"/>
    <w:rsid w:val="00763C53"/>
    <w:rsid w:val="00773F43"/>
    <w:rsid w:val="007B361B"/>
    <w:rsid w:val="00811DAD"/>
    <w:rsid w:val="008258E0"/>
    <w:rsid w:val="00844658"/>
    <w:rsid w:val="00864D7C"/>
    <w:rsid w:val="00886CD5"/>
    <w:rsid w:val="00891447"/>
    <w:rsid w:val="008A1646"/>
    <w:rsid w:val="008B6607"/>
    <w:rsid w:val="00913FC1"/>
    <w:rsid w:val="00A13C40"/>
    <w:rsid w:val="00A46E5B"/>
    <w:rsid w:val="00AC560E"/>
    <w:rsid w:val="00B33C7D"/>
    <w:rsid w:val="00B35D2E"/>
    <w:rsid w:val="00B92127"/>
    <w:rsid w:val="00BA6005"/>
    <w:rsid w:val="00BB0C0C"/>
    <w:rsid w:val="00BB4559"/>
    <w:rsid w:val="00BB69D1"/>
    <w:rsid w:val="00BD0AA0"/>
    <w:rsid w:val="00C148F1"/>
    <w:rsid w:val="00C4121C"/>
    <w:rsid w:val="00C4134F"/>
    <w:rsid w:val="00C435A3"/>
    <w:rsid w:val="00CC23D3"/>
    <w:rsid w:val="00CD069C"/>
    <w:rsid w:val="00CF36B8"/>
    <w:rsid w:val="00D50D76"/>
    <w:rsid w:val="00D55D83"/>
    <w:rsid w:val="00D609F9"/>
    <w:rsid w:val="00D739DD"/>
    <w:rsid w:val="00D94F37"/>
    <w:rsid w:val="00DE0B02"/>
    <w:rsid w:val="00DE2067"/>
    <w:rsid w:val="00E0345D"/>
    <w:rsid w:val="00E16653"/>
    <w:rsid w:val="00E20F08"/>
    <w:rsid w:val="00E20F6C"/>
    <w:rsid w:val="00E41C7C"/>
    <w:rsid w:val="00E5607C"/>
    <w:rsid w:val="00E56544"/>
    <w:rsid w:val="00E64BE3"/>
    <w:rsid w:val="00EA366E"/>
    <w:rsid w:val="00EE659C"/>
    <w:rsid w:val="00F276CD"/>
    <w:rsid w:val="00F3593D"/>
    <w:rsid w:val="00F46E54"/>
    <w:rsid w:val="00F941F3"/>
    <w:rsid w:val="00F95B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34C0AB"/>
  <w15:docId w15:val="{98D6AF8E-F69B-4C95-9D72-CB12463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character" w:customStyle="1" w:styleId="normaltextrun">
    <w:name w:val="normaltextrun"/>
    <w:basedOn w:val="DefaultParagraphFont"/>
    <w:rsid w:val="00C4121C"/>
  </w:style>
  <w:style w:type="character" w:customStyle="1" w:styleId="eop">
    <w:name w:val="eop"/>
    <w:basedOn w:val="DefaultParagraphFont"/>
    <w:rsid w:val="00C4121C"/>
  </w:style>
  <w:style w:type="paragraph" w:customStyle="1" w:styleId="paragraph">
    <w:name w:val="paragraph"/>
    <w:basedOn w:val="Normal"/>
    <w:rsid w:val="00E20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66983126">
    <w:name w:val="scxw266983126"/>
    <w:basedOn w:val="DefaultParagraphFont"/>
    <w:rsid w:val="00B9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176C7EE43304182933423CF59E1B6" ma:contentTypeVersion="4" ma:contentTypeDescription="Create a new document." ma:contentTypeScope="" ma:versionID="26e986eabf780ea008ec145e832cb5ec">
  <xsd:schema xmlns:xsd="http://www.w3.org/2001/XMLSchema" xmlns:xs="http://www.w3.org/2001/XMLSchema" xmlns:p="http://schemas.microsoft.com/office/2006/metadata/properties" xmlns:ns2="a110dddf-1d8f-4c90-a2c3-17cbae9b45db" targetNamespace="http://schemas.microsoft.com/office/2006/metadata/properties" ma:root="true" ma:fieldsID="5b94c4d7eafecdbe00918c9893af7bab" ns2:_="">
    <xsd:import namespace="a110dddf-1d8f-4c90-a2c3-17cbae9b4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dddf-1d8f-4c90-a2c3-17cbae9b4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53833-973A-4C01-8680-BBDDE2EC4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dddf-1d8f-4c90-a2c3-17cbae9b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D557F-B92F-4362-80FD-751658756587}">
  <ds:schemaRefs>
    <ds:schemaRef ds:uri="http://schemas.microsoft.com/sharepoint/v3/contenttype/forms"/>
  </ds:schemaRefs>
</ds:datastoreItem>
</file>

<file path=customXml/itemProps3.xml><?xml version="1.0" encoding="utf-8"?>
<ds:datastoreItem xmlns:ds="http://schemas.openxmlformats.org/officeDocument/2006/customXml" ds:itemID="{7F50DFAE-1F85-4623-9188-92D7BCA17F87}">
  <ds:schemaRefs>
    <ds:schemaRef ds:uri="http://schemas.microsoft.com/office/2006/metadata/properties"/>
    <ds:schemaRef ds:uri="http://schemas.microsoft.com/office/infopath/2007/PartnerControls"/>
    <ds:schemaRef ds:uri="1a946141-6c5f-4014-8fbe-3262ec76380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Halstead, Mary (CDC/NCEH/DLS)</cp:lastModifiedBy>
  <cp:revision>4</cp:revision>
  <dcterms:created xsi:type="dcterms:W3CDTF">2024-11-15T18:28:00Z</dcterms:created>
  <dcterms:modified xsi:type="dcterms:W3CDTF">2025-01-06T17:59:00Z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0x010100CF7176C7EE43304182933423CF59E1B6</vt:lpwstr>
  </property>
  <property fmtid="{D5CDD505-2E9C-101B-9397-08002B2CF9AE}" pid="3" name="MSIP_Label_7b94a7b8-f06c-4dfe-bdcc-9b548fd58c31_ActionId">
    <vt:lpwstr>23aabbdc-aacf-4e05-bbef-14b430a81ca9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2024-03-05T16:22:32Z</vt:lpwstr>
  </property>
  <property fmtid="{D5CDD505-2E9C-101B-9397-08002B2CF9AE}" pid="9" name="MSIP_Label_7b94a7b8-f06c-4dfe-bdcc-9b548fd58c31_SiteId">
    <vt:lpwstr>9ce70869-60db-44fd-abe8-d2767077fc8f</vt:lpwstr>
  </property>
  <property fmtid="{D5CDD505-2E9C-101B-9397-08002B2CF9AE}" pid="10" name="_dlc_DocIdItemGuid">
    <vt:lpwstr>0cb4b3b9-24ee-4e3d-8dd9-14639ba70639</vt:lpwstr>
  </property>
</Properties>
</file>