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2A73D4" w14:paraId="55FE1770" w14:textId="5DCA45E7">
      <w:pPr>
        <w:pStyle w:val="Heading4"/>
      </w:pPr>
      <w:bookmarkStart w:id="0" w:name="_Toc473880015"/>
    </w:p>
    <w:bookmarkEnd w:id="0"/>
    <w:p w:rsidR="00304BBB" w:rsidP="009A79E1" w14:paraId="55FE1771" w14:textId="77777777"/>
    <w:p w:rsidR="6EAE6AD5" w:rsidRPr="00891B1B" w:rsidP="345F246F" w14:paraId="1395A787" w14:textId="371709E4">
      <w:pPr>
        <w:rPr>
          <w:b/>
          <w:bCs/>
          <w:sz w:val="40"/>
          <w:szCs w:val="40"/>
        </w:rPr>
      </w:pPr>
      <w:r w:rsidRPr="00891B1B">
        <w:rPr>
          <w:b/>
          <w:bCs/>
          <w:sz w:val="40"/>
          <w:szCs w:val="40"/>
        </w:rPr>
        <w:t>Risk factors, clinical course, presence and persistence of virus in various bodily fluids, and risk of sexual transmission among U.S. adults</w:t>
      </w:r>
      <w:r w:rsidRPr="00891B1B" w:rsidR="642467D6">
        <w:rPr>
          <w:b/>
          <w:bCs/>
          <w:sz w:val="40"/>
          <w:szCs w:val="40"/>
        </w:rPr>
        <w:t xml:space="preserve"> </w:t>
      </w:r>
      <w:r w:rsidRPr="00891B1B">
        <w:rPr>
          <w:b/>
          <w:bCs/>
          <w:sz w:val="40"/>
          <w:szCs w:val="40"/>
        </w:rPr>
        <w:t xml:space="preserve">with </w:t>
      </w:r>
      <w:r w:rsidRPr="00891B1B">
        <w:rPr>
          <w:b/>
          <w:bCs/>
          <w:sz w:val="40"/>
          <w:szCs w:val="40"/>
        </w:rPr>
        <w:t>Oropouche</w:t>
      </w:r>
      <w:r w:rsidRPr="00891B1B">
        <w:rPr>
          <w:b/>
          <w:bCs/>
          <w:sz w:val="40"/>
          <w:szCs w:val="40"/>
        </w:rPr>
        <w:t xml:space="preserve"> virus disease</w:t>
      </w:r>
    </w:p>
    <w:p w:rsidR="004A13E8" w:rsidP="004A13E8" w14:paraId="55FE1773" w14:textId="77777777">
      <w:pPr>
        <w:spacing w:after="0" w:line="240" w:lineRule="auto"/>
        <w:jc w:val="center"/>
        <w:rPr>
          <w:b/>
        </w:rPr>
      </w:pPr>
    </w:p>
    <w:p w:rsidR="000F1559" w:rsidRPr="000F1559" w:rsidP="000F1559" w14:paraId="48E0B148" w14:textId="77777777">
      <w:pPr>
        <w:pStyle w:val="Heading3"/>
      </w:pPr>
      <w:bookmarkStart w:id="1" w:name="_Toc473880016"/>
      <w:bookmarkStart w:id="2" w:name="_Toc180072814"/>
    </w:p>
    <w:p w:rsidR="002A73D4" w:rsidP="00C92D35" w14:paraId="2837D78A" w14:textId="77777777">
      <w:pPr>
        <w:spacing w:after="0" w:line="240" w:lineRule="auto"/>
        <w:jc w:val="center"/>
        <w:rPr>
          <w:bCs/>
          <w:sz w:val="28"/>
          <w:szCs w:val="28"/>
        </w:rPr>
      </w:pPr>
      <w:r w:rsidRPr="000F1559">
        <w:t xml:space="preserve"> </w:t>
      </w:r>
      <w:r w:rsidRPr="002A73D4">
        <w:rPr>
          <w:bCs/>
          <w:sz w:val="28"/>
          <w:szCs w:val="28"/>
        </w:rPr>
        <w:t xml:space="preserve">Reinstatement with change of a previously approved collection </w:t>
      </w:r>
      <w:bookmarkEnd w:id="1"/>
      <w:bookmarkEnd w:id="2"/>
      <w:r w:rsidRPr="003226B9" w:rsidR="00C92D35">
        <w:rPr>
          <w:bCs/>
          <w:sz w:val="28"/>
          <w:szCs w:val="28"/>
        </w:rPr>
        <w:t xml:space="preserve">OMB Control Number </w:t>
      </w:r>
    </w:p>
    <w:p w:rsidR="002A73D4" w:rsidP="00C92D35" w14:paraId="244B1B2B" w14:textId="77777777">
      <w:pPr>
        <w:spacing w:after="0" w:line="240" w:lineRule="auto"/>
        <w:jc w:val="center"/>
        <w:rPr>
          <w:bCs/>
          <w:sz w:val="28"/>
          <w:szCs w:val="28"/>
        </w:rPr>
      </w:pPr>
    </w:p>
    <w:p w:rsidR="00C92D35" w:rsidRPr="003226B9" w:rsidP="00C92D35" w14:paraId="22C24ADD" w14:textId="015490FE">
      <w:pPr>
        <w:spacing w:after="0" w:line="240" w:lineRule="auto"/>
        <w:jc w:val="center"/>
        <w:rPr>
          <w:bCs/>
          <w:sz w:val="28"/>
          <w:szCs w:val="28"/>
        </w:rPr>
      </w:pPr>
      <w:r w:rsidRPr="003226B9">
        <w:rPr>
          <w:bCs/>
          <w:sz w:val="28"/>
          <w:szCs w:val="28"/>
        </w:rPr>
        <w:t>0920-1446</w:t>
      </w:r>
    </w:p>
    <w:p w:rsidR="004A13E8" w:rsidP="004A13E8" w14:paraId="55FE1775" w14:textId="77777777">
      <w:pPr>
        <w:spacing w:after="0" w:line="240" w:lineRule="auto"/>
        <w:jc w:val="center"/>
        <w:rPr>
          <w:b/>
        </w:rPr>
      </w:pPr>
    </w:p>
    <w:p w:rsidR="004A13E8" w:rsidRPr="00891B1B" w:rsidP="345F246F" w14:paraId="55FE1776" w14:textId="7511C8EF">
      <w:pPr>
        <w:pStyle w:val="Heading4"/>
      </w:pPr>
      <w:r>
        <w:t>June 12</w:t>
      </w:r>
      <w:r w:rsidR="00C92D35">
        <w:t>,</w:t>
      </w:r>
      <w:r w:rsidR="008B01D9">
        <w:t xml:space="preserve"> 2025</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RPr="009A79E1" w:rsidP="345F246F" w14:paraId="55FE1793" w14:textId="18AC2DCA">
      <w:pPr>
        <w:pStyle w:val="NoSpacing"/>
        <w:rPr>
          <w:b/>
          <w:bCs/>
        </w:rPr>
      </w:pPr>
      <w:r w:rsidRPr="345F246F">
        <w:rPr>
          <w:b/>
          <w:bCs/>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8"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Table of Contents</w:t>
          </w:r>
        </w:p>
        <w:p w:rsidR="00CF3B0C" w14:paraId="4ECE787F" w14:textId="4DB650AF">
          <w:pPr>
            <w:pStyle w:val="TOC3"/>
            <w:tabs>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80072814" w:history="1">
            <w:r w:rsidRPr="00AF2438">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_Toc180072814 \h </w:instrText>
            </w:r>
            <w:r>
              <w:rPr>
                <w:noProof/>
                <w:webHidden/>
              </w:rPr>
              <w:fldChar w:fldCharType="separate"/>
            </w:r>
            <w:r>
              <w:rPr>
                <w:noProof/>
                <w:webHidden/>
              </w:rPr>
              <w:t>1</w:t>
            </w:r>
            <w:r>
              <w:rPr>
                <w:noProof/>
                <w:webHidden/>
              </w:rPr>
              <w:fldChar w:fldCharType="end"/>
            </w:r>
          </w:hyperlink>
        </w:p>
        <w:p w:rsidR="00CF3B0C" w14:paraId="61F18A3C" w14:textId="3D0F14FD">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5" w:history="1">
            <w:r w:rsidRPr="00AF2438" w:rsidR="003E3B93">
              <w:rPr>
                <w:rStyle w:val="Hyperlink"/>
                <w:noProof/>
              </w:rPr>
              <w:t>1.</w:t>
            </w:r>
            <w:r w:rsidR="003E3B93">
              <w:rPr>
                <w:rFonts w:asciiTheme="minorHAnsi" w:eastAsiaTheme="minorEastAsia" w:hAnsiTheme="minorHAnsi"/>
                <w:noProof/>
                <w:kern w:val="2"/>
                <w:sz w:val="22"/>
                <w14:ligatures w14:val="standardContextual"/>
              </w:rPr>
              <w:tab/>
            </w:r>
            <w:r w:rsidRPr="00AF2438" w:rsidR="003E3B93">
              <w:rPr>
                <w:rStyle w:val="Hyperlink"/>
                <w:noProof/>
              </w:rPr>
              <w:t>Circumstances Making the Collection of Information Necessary</w:t>
            </w:r>
            <w:r w:rsidR="003E3B93">
              <w:rPr>
                <w:noProof/>
                <w:webHidden/>
              </w:rPr>
              <w:tab/>
            </w:r>
            <w:r w:rsidR="003E3B93">
              <w:rPr>
                <w:noProof/>
                <w:webHidden/>
              </w:rPr>
              <w:fldChar w:fldCharType="begin"/>
            </w:r>
            <w:r w:rsidR="003E3B93">
              <w:rPr>
                <w:noProof/>
                <w:webHidden/>
              </w:rPr>
              <w:instrText xml:space="preserve"> PAGEREF _Toc180072815 \h </w:instrText>
            </w:r>
            <w:r w:rsidR="003E3B93">
              <w:rPr>
                <w:noProof/>
                <w:webHidden/>
              </w:rPr>
              <w:fldChar w:fldCharType="separate"/>
            </w:r>
            <w:r w:rsidR="003E3B93">
              <w:rPr>
                <w:noProof/>
                <w:webHidden/>
              </w:rPr>
              <w:t>3</w:t>
            </w:r>
            <w:r w:rsidR="003E3B93">
              <w:rPr>
                <w:noProof/>
                <w:webHidden/>
              </w:rPr>
              <w:fldChar w:fldCharType="end"/>
            </w:r>
          </w:hyperlink>
        </w:p>
        <w:p w:rsidR="00CF3B0C" w14:paraId="0A51016F" w14:textId="2BE9650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6" w:history="1">
            <w:r w:rsidRPr="00AF2438" w:rsidR="003E3B93">
              <w:rPr>
                <w:rStyle w:val="Hyperlink"/>
                <w:noProof/>
              </w:rPr>
              <w:t>2.</w:t>
            </w:r>
            <w:r w:rsidR="003E3B93">
              <w:rPr>
                <w:rFonts w:asciiTheme="minorHAnsi" w:eastAsiaTheme="minorEastAsia" w:hAnsiTheme="minorHAnsi"/>
                <w:noProof/>
                <w:kern w:val="2"/>
                <w:sz w:val="22"/>
                <w14:ligatures w14:val="standardContextual"/>
              </w:rPr>
              <w:tab/>
            </w:r>
            <w:r w:rsidRPr="00AF2438" w:rsidR="003E3B93">
              <w:rPr>
                <w:rStyle w:val="Hyperlink"/>
                <w:noProof/>
              </w:rPr>
              <w:t>Purpose and Use of Information Collection</w:t>
            </w:r>
            <w:r w:rsidR="003E3B93">
              <w:rPr>
                <w:noProof/>
                <w:webHidden/>
              </w:rPr>
              <w:tab/>
            </w:r>
            <w:r w:rsidR="003E3B93">
              <w:rPr>
                <w:noProof/>
                <w:webHidden/>
              </w:rPr>
              <w:fldChar w:fldCharType="begin"/>
            </w:r>
            <w:r w:rsidR="003E3B93">
              <w:rPr>
                <w:noProof/>
                <w:webHidden/>
              </w:rPr>
              <w:instrText xml:space="preserve"> PAGEREF _Toc180072816 \h </w:instrText>
            </w:r>
            <w:r w:rsidR="003E3B93">
              <w:rPr>
                <w:noProof/>
                <w:webHidden/>
              </w:rPr>
              <w:fldChar w:fldCharType="separate"/>
            </w:r>
            <w:r w:rsidR="003E3B93">
              <w:rPr>
                <w:noProof/>
                <w:webHidden/>
              </w:rPr>
              <w:t>4</w:t>
            </w:r>
            <w:r w:rsidR="003E3B93">
              <w:rPr>
                <w:noProof/>
                <w:webHidden/>
              </w:rPr>
              <w:fldChar w:fldCharType="end"/>
            </w:r>
          </w:hyperlink>
        </w:p>
        <w:p w:rsidR="00CF3B0C" w14:paraId="60B0A66F" w14:textId="1D01B5E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7" w:history="1">
            <w:r w:rsidRPr="00AF2438" w:rsidR="003E3B93">
              <w:rPr>
                <w:rStyle w:val="Hyperlink"/>
                <w:noProof/>
              </w:rPr>
              <w:t>3.</w:t>
            </w:r>
            <w:r w:rsidR="003E3B93">
              <w:rPr>
                <w:rFonts w:asciiTheme="minorHAnsi" w:eastAsiaTheme="minorEastAsia" w:hAnsiTheme="minorHAnsi"/>
                <w:noProof/>
                <w:kern w:val="2"/>
                <w:sz w:val="22"/>
                <w14:ligatures w14:val="standardContextual"/>
              </w:rPr>
              <w:tab/>
            </w:r>
            <w:r w:rsidRPr="00AF2438" w:rsidR="003E3B93">
              <w:rPr>
                <w:rStyle w:val="Hyperlink"/>
                <w:noProof/>
              </w:rPr>
              <w:t>Use of Improved Information Technology and Burden Reduction</w:t>
            </w:r>
            <w:r w:rsidR="003E3B93">
              <w:rPr>
                <w:noProof/>
                <w:webHidden/>
              </w:rPr>
              <w:tab/>
            </w:r>
            <w:r w:rsidR="003E3B93">
              <w:rPr>
                <w:noProof/>
                <w:webHidden/>
              </w:rPr>
              <w:fldChar w:fldCharType="begin"/>
            </w:r>
            <w:r w:rsidR="003E3B93">
              <w:rPr>
                <w:noProof/>
                <w:webHidden/>
              </w:rPr>
              <w:instrText xml:space="preserve"> PAGEREF _Toc180072817 \h </w:instrText>
            </w:r>
            <w:r w:rsidR="003E3B93">
              <w:rPr>
                <w:noProof/>
                <w:webHidden/>
              </w:rPr>
              <w:fldChar w:fldCharType="separate"/>
            </w:r>
            <w:r w:rsidR="003E3B93">
              <w:rPr>
                <w:noProof/>
                <w:webHidden/>
              </w:rPr>
              <w:t>7</w:t>
            </w:r>
            <w:r w:rsidR="003E3B93">
              <w:rPr>
                <w:noProof/>
                <w:webHidden/>
              </w:rPr>
              <w:fldChar w:fldCharType="end"/>
            </w:r>
          </w:hyperlink>
        </w:p>
        <w:p w:rsidR="00CF3B0C" w14:paraId="73EDE97B" w14:textId="50AE3B7B">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8" w:history="1">
            <w:r w:rsidRPr="00AF2438" w:rsidR="003E3B93">
              <w:rPr>
                <w:rStyle w:val="Hyperlink"/>
                <w:noProof/>
              </w:rPr>
              <w:t>4.</w:t>
            </w:r>
            <w:r w:rsidR="003E3B93">
              <w:rPr>
                <w:rFonts w:asciiTheme="minorHAnsi" w:eastAsiaTheme="minorEastAsia" w:hAnsiTheme="minorHAnsi"/>
                <w:noProof/>
                <w:kern w:val="2"/>
                <w:sz w:val="22"/>
                <w14:ligatures w14:val="standardContextual"/>
              </w:rPr>
              <w:tab/>
            </w:r>
            <w:r w:rsidRPr="00AF2438" w:rsidR="003E3B93">
              <w:rPr>
                <w:rStyle w:val="Hyperlink"/>
                <w:noProof/>
              </w:rPr>
              <w:t>Efforts to Identify Duplication and Use of Similar Information</w:t>
            </w:r>
            <w:r w:rsidR="003E3B93">
              <w:rPr>
                <w:noProof/>
                <w:webHidden/>
              </w:rPr>
              <w:tab/>
            </w:r>
            <w:r w:rsidR="003E3B93">
              <w:rPr>
                <w:noProof/>
                <w:webHidden/>
              </w:rPr>
              <w:fldChar w:fldCharType="begin"/>
            </w:r>
            <w:r w:rsidR="003E3B93">
              <w:rPr>
                <w:noProof/>
                <w:webHidden/>
              </w:rPr>
              <w:instrText xml:space="preserve"> PAGEREF _Toc180072818 \h </w:instrText>
            </w:r>
            <w:r w:rsidR="003E3B93">
              <w:rPr>
                <w:noProof/>
                <w:webHidden/>
              </w:rPr>
              <w:fldChar w:fldCharType="separate"/>
            </w:r>
            <w:r w:rsidR="003E3B93">
              <w:rPr>
                <w:noProof/>
                <w:webHidden/>
              </w:rPr>
              <w:t>7</w:t>
            </w:r>
            <w:r w:rsidR="003E3B93">
              <w:rPr>
                <w:noProof/>
                <w:webHidden/>
              </w:rPr>
              <w:fldChar w:fldCharType="end"/>
            </w:r>
          </w:hyperlink>
        </w:p>
        <w:p w:rsidR="00CF3B0C" w14:paraId="092308E0" w14:textId="6F906B7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19" w:history="1">
            <w:r w:rsidRPr="00AF2438" w:rsidR="003E3B93">
              <w:rPr>
                <w:rStyle w:val="Hyperlink"/>
                <w:noProof/>
              </w:rPr>
              <w:t>5.</w:t>
            </w:r>
            <w:r w:rsidR="003E3B93">
              <w:rPr>
                <w:rFonts w:asciiTheme="minorHAnsi" w:eastAsiaTheme="minorEastAsia" w:hAnsiTheme="minorHAnsi"/>
                <w:noProof/>
                <w:kern w:val="2"/>
                <w:sz w:val="22"/>
                <w14:ligatures w14:val="standardContextual"/>
              </w:rPr>
              <w:tab/>
            </w:r>
            <w:r w:rsidRPr="00AF2438" w:rsidR="003E3B93">
              <w:rPr>
                <w:rStyle w:val="Hyperlink"/>
                <w:noProof/>
              </w:rPr>
              <w:t>Impact on Small Businesses or Other Small Entities</w:t>
            </w:r>
            <w:r w:rsidR="003E3B93">
              <w:rPr>
                <w:noProof/>
                <w:webHidden/>
              </w:rPr>
              <w:tab/>
            </w:r>
            <w:r w:rsidR="003E3B93">
              <w:rPr>
                <w:noProof/>
                <w:webHidden/>
              </w:rPr>
              <w:fldChar w:fldCharType="begin"/>
            </w:r>
            <w:r w:rsidR="003E3B93">
              <w:rPr>
                <w:noProof/>
                <w:webHidden/>
              </w:rPr>
              <w:instrText xml:space="preserve"> PAGEREF _Toc180072819 \h </w:instrText>
            </w:r>
            <w:r w:rsidR="003E3B93">
              <w:rPr>
                <w:noProof/>
                <w:webHidden/>
              </w:rPr>
              <w:fldChar w:fldCharType="separate"/>
            </w:r>
            <w:r w:rsidR="003E3B93">
              <w:rPr>
                <w:noProof/>
                <w:webHidden/>
              </w:rPr>
              <w:t>8</w:t>
            </w:r>
            <w:r w:rsidR="003E3B93">
              <w:rPr>
                <w:noProof/>
                <w:webHidden/>
              </w:rPr>
              <w:fldChar w:fldCharType="end"/>
            </w:r>
          </w:hyperlink>
        </w:p>
        <w:p w:rsidR="00CF3B0C" w14:paraId="20183026" w14:textId="55F9B7E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0" w:history="1">
            <w:r w:rsidRPr="00AF2438" w:rsidR="003E3B93">
              <w:rPr>
                <w:rStyle w:val="Hyperlink"/>
                <w:noProof/>
              </w:rPr>
              <w:t>6.</w:t>
            </w:r>
            <w:r w:rsidR="003E3B93">
              <w:rPr>
                <w:rFonts w:asciiTheme="minorHAnsi" w:eastAsiaTheme="minorEastAsia" w:hAnsiTheme="minorHAnsi"/>
                <w:noProof/>
                <w:kern w:val="2"/>
                <w:sz w:val="22"/>
                <w14:ligatures w14:val="standardContextual"/>
              </w:rPr>
              <w:tab/>
            </w:r>
            <w:r w:rsidRPr="00AF2438" w:rsidR="003E3B93">
              <w:rPr>
                <w:rStyle w:val="Hyperlink"/>
                <w:noProof/>
              </w:rPr>
              <w:t>Consequences of Collecting the Information Less Frequently</w:t>
            </w:r>
            <w:r w:rsidR="003E3B93">
              <w:rPr>
                <w:noProof/>
                <w:webHidden/>
              </w:rPr>
              <w:tab/>
            </w:r>
            <w:r w:rsidR="003E3B93">
              <w:rPr>
                <w:noProof/>
                <w:webHidden/>
              </w:rPr>
              <w:fldChar w:fldCharType="begin"/>
            </w:r>
            <w:r w:rsidR="003E3B93">
              <w:rPr>
                <w:noProof/>
                <w:webHidden/>
              </w:rPr>
              <w:instrText xml:space="preserve"> PAGEREF _Toc180072820 \h </w:instrText>
            </w:r>
            <w:r w:rsidR="003E3B93">
              <w:rPr>
                <w:noProof/>
                <w:webHidden/>
              </w:rPr>
              <w:fldChar w:fldCharType="separate"/>
            </w:r>
            <w:r w:rsidR="003E3B93">
              <w:rPr>
                <w:noProof/>
                <w:webHidden/>
              </w:rPr>
              <w:t>8</w:t>
            </w:r>
            <w:r w:rsidR="003E3B93">
              <w:rPr>
                <w:noProof/>
                <w:webHidden/>
              </w:rPr>
              <w:fldChar w:fldCharType="end"/>
            </w:r>
          </w:hyperlink>
        </w:p>
        <w:p w:rsidR="00CF3B0C" w14:paraId="5AFBF32D" w14:textId="1752150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1" w:history="1">
            <w:r w:rsidRPr="00AF2438" w:rsidR="003E3B93">
              <w:rPr>
                <w:rStyle w:val="Hyperlink"/>
                <w:noProof/>
              </w:rPr>
              <w:t>7.</w:t>
            </w:r>
            <w:r w:rsidR="003E3B93">
              <w:rPr>
                <w:rFonts w:asciiTheme="minorHAnsi" w:eastAsiaTheme="minorEastAsia" w:hAnsiTheme="minorHAnsi"/>
                <w:noProof/>
                <w:kern w:val="2"/>
                <w:sz w:val="22"/>
                <w14:ligatures w14:val="standardContextual"/>
              </w:rPr>
              <w:tab/>
            </w:r>
            <w:r w:rsidRPr="00AF2438" w:rsidR="003E3B93">
              <w:rPr>
                <w:rStyle w:val="Hyperlink"/>
                <w:noProof/>
              </w:rPr>
              <w:t>Special Circumstances Relating to the Guidelines of 5 CFR 1320.5</w:t>
            </w:r>
            <w:r w:rsidR="003E3B93">
              <w:rPr>
                <w:noProof/>
                <w:webHidden/>
              </w:rPr>
              <w:tab/>
            </w:r>
            <w:r w:rsidR="003E3B93">
              <w:rPr>
                <w:noProof/>
                <w:webHidden/>
              </w:rPr>
              <w:fldChar w:fldCharType="begin"/>
            </w:r>
            <w:r w:rsidR="003E3B93">
              <w:rPr>
                <w:noProof/>
                <w:webHidden/>
              </w:rPr>
              <w:instrText xml:space="preserve"> PAGEREF _Toc180072821 \h </w:instrText>
            </w:r>
            <w:r w:rsidR="003E3B93">
              <w:rPr>
                <w:noProof/>
                <w:webHidden/>
              </w:rPr>
              <w:fldChar w:fldCharType="separate"/>
            </w:r>
            <w:r w:rsidR="003E3B93">
              <w:rPr>
                <w:noProof/>
                <w:webHidden/>
              </w:rPr>
              <w:t>8</w:t>
            </w:r>
            <w:r w:rsidR="003E3B93">
              <w:rPr>
                <w:noProof/>
                <w:webHidden/>
              </w:rPr>
              <w:fldChar w:fldCharType="end"/>
            </w:r>
          </w:hyperlink>
        </w:p>
        <w:p w:rsidR="00CF3B0C" w14:paraId="0EACE93B" w14:textId="5821713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2" w:history="1">
            <w:r w:rsidRPr="00AF2438" w:rsidR="003E3B93">
              <w:rPr>
                <w:rStyle w:val="Hyperlink"/>
                <w:noProof/>
              </w:rPr>
              <w:t>8.</w:t>
            </w:r>
            <w:r w:rsidR="003E3B93">
              <w:rPr>
                <w:rFonts w:asciiTheme="minorHAnsi" w:eastAsiaTheme="minorEastAsia" w:hAnsiTheme="minorHAnsi"/>
                <w:noProof/>
                <w:kern w:val="2"/>
                <w:sz w:val="22"/>
                <w14:ligatures w14:val="standardContextual"/>
              </w:rPr>
              <w:tab/>
            </w:r>
            <w:r w:rsidRPr="00AF2438" w:rsidR="003E3B93">
              <w:rPr>
                <w:rStyle w:val="Hyperlink"/>
                <w:noProof/>
              </w:rPr>
              <w:t>Comments in Response to the Federal Register Notice and Efforts to Consult Outside the Agency</w:t>
            </w:r>
            <w:r w:rsidR="003E3B93">
              <w:rPr>
                <w:noProof/>
                <w:webHidden/>
              </w:rPr>
              <w:tab/>
            </w:r>
            <w:r w:rsidR="003E3B93">
              <w:rPr>
                <w:noProof/>
                <w:webHidden/>
              </w:rPr>
              <w:fldChar w:fldCharType="begin"/>
            </w:r>
            <w:r w:rsidR="003E3B93">
              <w:rPr>
                <w:noProof/>
                <w:webHidden/>
              </w:rPr>
              <w:instrText xml:space="preserve"> PAGEREF _Toc180072822 \h </w:instrText>
            </w:r>
            <w:r w:rsidR="003E3B93">
              <w:rPr>
                <w:noProof/>
                <w:webHidden/>
              </w:rPr>
              <w:fldChar w:fldCharType="separate"/>
            </w:r>
            <w:r w:rsidR="003E3B93">
              <w:rPr>
                <w:noProof/>
                <w:webHidden/>
              </w:rPr>
              <w:t>8</w:t>
            </w:r>
            <w:r w:rsidR="003E3B93">
              <w:rPr>
                <w:noProof/>
                <w:webHidden/>
              </w:rPr>
              <w:fldChar w:fldCharType="end"/>
            </w:r>
          </w:hyperlink>
        </w:p>
        <w:p w:rsidR="00CF3B0C" w14:paraId="1A7C34C8" w14:textId="7AD9930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0072823" w:history="1">
            <w:r w:rsidRPr="00AF2438" w:rsidR="003E3B93">
              <w:rPr>
                <w:rStyle w:val="Hyperlink"/>
                <w:noProof/>
              </w:rPr>
              <w:t>9.</w:t>
            </w:r>
            <w:r w:rsidR="003E3B93">
              <w:rPr>
                <w:rFonts w:asciiTheme="minorHAnsi" w:eastAsiaTheme="minorEastAsia" w:hAnsiTheme="minorHAnsi"/>
                <w:noProof/>
                <w:kern w:val="2"/>
                <w:sz w:val="22"/>
                <w14:ligatures w14:val="standardContextual"/>
              </w:rPr>
              <w:tab/>
            </w:r>
            <w:r w:rsidRPr="00AF2438" w:rsidR="003E3B93">
              <w:rPr>
                <w:rStyle w:val="Hyperlink"/>
                <w:noProof/>
              </w:rPr>
              <w:t>Explanation of Any Payment or Gift to Respondents</w:t>
            </w:r>
            <w:r w:rsidR="003E3B93">
              <w:rPr>
                <w:noProof/>
                <w:webHidden/>
              </w:rPr>
              <w:tab/>
            </w:r>
            <w:r w:rsidR="003E3B93">
              <w:rPr>
                <w:noProof/>
                <w:webHidden/>
              </w:rPr>
              <w:fldChar w:fldCharType="begin"/>
            </w:r>
            <w:r w:rsidR="003E3B93">
              <w:rPr>
                <w:noProof/>
                <w:webHidden/>
              </w:rPr>
              <w:instrText xml:space="preserve"> PAGEREF _Toc180072823 \h </w:instrText>
            </w:r>
            <w:r w:rsidR="003E3B93">
              <w:rPr>
                <w:noProof/>
                <w:webHidden/>
              </w:rPr>
              <w:fldChar w:fldCharType="separate"/>
            </w:r>
            <w:r w:rsidR="003E3B93">
              <w:rPr>
                <w:noProof/>
                <w:webHidden/>
              </w:rPr>
              <w:t>9</w:t>
            </w:r>
            <w:r w:rsidR="003E3B93">
              <w:rPr>
                <w:noProof/>
                <w:webHidden/>
              </w:rPr>
              <w:fldChar w:fldCharType="end"/>
            </w:r>
          </w:hyperlink>
        </w:p>
        <w:p w:rsidR="00CF3B0C" w14:paraId="2A01A6E9" w14:textId="040904A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4" w:history="1">
            <w:r w:rsidRPr="00AF2438" w:rsidR="003E3B93">
              <w:rPr>
                <w:rStyle w:val="Hyperlink"/>
                <w:noProof/>
              </w:rPr>
              <w:t>10.</w:t>
            </w:r>
            <w:r w:rsidR="003E3B93">
              <w:rPr>
                <w:rFonts w:asciiTheme="minorHAnsi" w:eastAsiaTheme="minorEastAsia" w:hAnsiTheme="minorHAnsi"/>
                <w:noProof/>
                <w:kern w:val="2"/>
                <w:sz w:val="22"/>
                <w14:ligatures w14:val="standardContextual"/>
              </w:rPr>
              <w:tab/>
            </w:r>
            <w:r w:rsidRPr="00AF2438" w:rsidR="003E3B93">
              <w:rPr>
                <w:rStyle w:val="Hyperlink"/>
                <w:noProof/>
              </w:rPr>
              <w:t>Protection of the Privacy and Confidentiality of Information Provided by Respondents</w:t>
            </w:r>
            <w:r w:rsidR="003E3B93">
              <w:rPr>
                <w:noProof/>
                <w:webHidden/>
              </w:rPr>
              <w:tab/>
            </w:r>
            <w:r w:rsidR="003E3B93">
              <w:rPr>
                <w:noProof/>
                <w:webHidden/>
              </w:rPr>
              <w:fldChar w:fldCharType="begin"/>
            </w:r>
            <w:r w:rsidR="003E3B93">
              <w:rPr>
                <w:noProof/>
                <w:webHidden/>
              </w:rPr>
              <w:instrText xml:space="preserve"> PAGEREF _Toc180072824 \h </w:instrText>
            </w:r>
            <w:r w:rsidR="003E3B93">
              <w:rPr>
                <w:noProof/>
                <w:webHidden/>
              </w:rPr>
              <w:fldChar w:fldCharType="separate"/>
            </w:r>
            <w:r w:rsidR="003E3B93">
              <w:rPr>
                <w:noProof/>
                <w:webHidden/>
              </w:rPr>
              <w:t>9</w:t>
            </w:r>
            <w:r w:rsidR="003E3B93">
              <w:rPr>
                <w:noProof/>
                <w:webHidden/>
              </w:rPr>
              <w:fldChar w:fldCharType="end"/>
            </w:r>
          </w:hyperlink>
        </w:p>
        <w:p w:rsidR="00CF3B0C" w14:paraId="1C6D12B6" w14:textId="701EC71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5" w:history="1">
            <w:r w:rsidRPr="00AF2438" w:rsidR="003E3B93">
              <w:rPr>
                <w:rStyle w:val="Hyperlink"/>
                <w:noProof/>
              </w:rPr>
              <w:t>11.</w:t>
            </w:r>
            <w:r w:rsidR="003E3B93">
              <w:rPr>
                <w:rFonts w:asciiTheme="minorHAnsi" w:eastAsiaTheme="minorEastAsia" w:hAnsiTheme="minorHAnsi"/>
                <w:noProof/>
                <w:kern w:val="2"/>
                <w:sz w:val="22"/>
                <w14:ligatures w14:val="standardContextual"/>
              </w:rPr>
              <w:tab/>
            </w:r>
            <w:r w:rsidRPr="00AF2438" w:rsidR="003E3B93">
              <w:rPr>
                <w:rStyle w:val="Hyperlink"/>
                <w:noProof/>
              </w:rPr>
              <w:t>Institutional Review Board (IRB) and Justification for Sensitive Questions</w:t>
            </w:r>
            <w:r w:rsidR="003E3B93">
              <w:rPr>
                <w:noProof/>
                <w:webHidden/>
              </w:rPr>
              <w:tab/>
            </w:r>
            <w:r w:rsidR="003E3B93">
              <w:rPr>
                <w:noProof/>
                <w:webHidden/>
              </w:rPr>
              <w:fldChar w:fldCharType="begin"/>
            </w:r>
            <w:r w:rsidR="003E3B93">
              <w:rPr>
                <w:noProof/>
                <w:webHidden/>
              </w:rPr>
              <w:instrText xml:space="preserve"> PAGEREF _Toc180072825 \h </w:instrText>
            </w:r>
            <w:r w:rsidR="003E3B93">
              <w:rPr>
                <w:noProof/>
                <w:webHidden/>
              </w:rPr>
              <w:fldChar w:fldCharType="separate"/>
            </w:r>
            <w:r w:rsidR="003E3B93">
              <w:rPr>
                <w:noProof/>
                <w:webHidden/>
              </w:rPr>
              <w:t>9</w:t>
            </w:r>
            <w:r w:rsidR="003E3B93">
              <w:rPr>
                <w:noProof/>
                <w:webHidden/>
              </w:rPr>
              <w:fldChar w:fldCharType="end"/>
            </w:r>
          </w:hyperlink>
        </w:p>
        <w:p w:rsidR="00CF3B0C" w14:paraId="1F739055" w14:textId="03B0B04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6" w:history="1">
            <w:r w:rsidRPr="00AF2438" w:rsidR="003E3B93">
              <w:rPr>
                <w:rStyle w:val="Hyperlink"/>
                <w:noProof/>
              </w:rPr>
              <w:t>12.</w:t>
            </w:r>
            <w:r w:rsidR="003E3B93">
              <w:rPr>
                <w:rFonts w:asciiTheme="minorHAnsi" w:eastAsiaTheme="minorEastAsia" w:hAnsiTheme="minorHAnsi"/>
                <w:noProof/>
                <w:kern w:val="2"/>
                <w:sz w:val="22"/>
                <w14:ligatures w14:val="standardContextual"/>
              </w:rPr>
              <w:tab/>
            </w:r>
            <w:r w:rsidRPr="00AF2438" w:rsidR="003E3B93">
              <w:rPr>
                <w:rStyle w:val="Hyperlink"/>
                <w:noProof/>
              </w:rPr>
              <w:t>Estimates of Annualized Burden Hours and Costs</w:t>
            </w:r>
            <w:r w:rsidR="003E3B93">
              <w:rPr>
                <w:noProof/>
                <w:webHidden/>
              </w:rPr>
              <w:tab/>
            </w:r>
            <w:r w:rsidR="003E3B93">
              <w:rPr>
                <w:noProof/>
                <w:webHidden/>
              </w:rPr>
              <w:fldChar w:fldCharType="begin"/>
            </w:r>
            <w:r w:rsidR="003E3B93">
              <w:rPr>
                <w:noProof/>
                <w:webHidden/>
              </w:rPr>
              <w:instrText xml:space="preserve"> PAGEREF _Toc180072826 \h </w:instrText>
            </w:r>
            <w:r w:rsidR="003E3B93">
              <w:rPr>
                <w:noProof/>
                <w:webHidden/>
              </w:rPr>
              <w:fldChar w:fldCharType="separate"/>
            </w:r>
            <w:r w:rsidR="003E3B93">
              <w:rPr>
                <w:noProof/>
                <w:webHidden/>
              </w:rPr>
              <w:t>10</w:t>
            </w:r>
            <w:r w:rsidR="003E3B93">
              <w:rPr>
                <w:noProof/>
                <w:webHidden/>
              </w:rPr>
              <w:fldChar w:fldCharType="end"/>
            </w:r>
          </w:hyperlink>
        </w:p>
        <w:p w:rsidR="00CF3B0C" w14:paraId="2F74D9E8" w14:textId="267A5E8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7" w:history="1">
            <w:r w:rsidRPr="00AF2438" w:rsidR="003E3B93">
              <w:rPr>
                <w:rStyle w:val="Hyperlink"/>
                <w:noProof/>
              </w:rPr>
              <w:t>13.</w:t>
            </w:r>
            <w:r w:rsidR="003E3B93">
              <w:rPr>
                <w:rFonts w:asciiTheme="minorHAnsi" w:eastAsiaTheme="minorEastAsia" w:hAnsiTheme="minorHAnsi"/>
                <w:noProof/>
                <w:kern w:val="2"/>
                <w:sz w:val="22"/>
                <w14:ligatures w14:val="standardContextual"/>
              </w:rPr>
              <w:tab/>
            </w:r>
            <w:r w:rsidRPr="00AF2438" w:rsidR="003E3B93">
              <w:rPr>
                <w:rStyle w:val="Hyperlink"/>
                <w:noProof/>
              </w:rPr>
              <w:t>Estimates of Other Total Annual Cost Burden to Respondents or Record Keepers</w:t>
            </w:r>
            <w:r w:rsidR="003E3B93">
              <w:rPr>
                <w:noProof/>
                <w:webHidden/>
              </w:rPr>
              <w:tab/>
            </w:r>
            <w:r w:rsidR="003E3B93">
              <w:rPr>
                <w:noProof/>
                <w:webHidden/>
              </w:rPr>
              <w:fldChar w:fldCharType="begin"/>
            </w:r>
            <w:r w:rsidR="003E3B93">
              <w:rPr>
                <w:noProof/>
                <w:webHidden/>
              </w:rPr>
              <w:instrText xml:space="preserve"> PAGEREF _Toc180072827 \h </w:instrText>
            </w:r>
            <w:r w:rsidR="003E3B93">
              <w:rPr>
                <w:noProof/>
                <w:webHidden/>
              </w:rPr>
              <w:fldChar w:fldCharType="separate"/>
            </w:r>
            <w:r w:rsidR="003E3B93">
              <w:rPr>
                <w:noProof/>
                <w:webHidden/>
              </w:rPr>
              <w:t>11</w:t>
            </w:r>
            <w:r w:rsidR="003E3B93">
              <w:rPr>
                <w:noProof/>
                <w:webHidden/>
              </w:rPr>
              <w:fldChar w:fldCharType="end"/>
            </w:r>
          </w:hyperlink>
        </w:p>
        <w:p w:rsidR="00CF3B0C" w14:paraId="30D868A2" w14:textId="273178C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8" w:history="1">
            <w:r w:rsidRPr="00AF2438" w:rsidR="003E3B93">
              <w:rPr>
                <w:rStyle w:val="Hyperlink"/>
                <w:noProof/>
              </w:rPr>
              <w:t>14.</w:t>
            </w:r>
            <w:r w:rsidR="003E3B93">
              <w:rPr>
                <w:rFonts w:asciiTheme="minorHAnsi" w:eastAsiaTheme="minorEastAsia" w:hAnsiTheme="minorHAnsi"/>
                <w:noProof/>
                <w:kern w:val="2"/>
                <w:sz w:val="22"/>
                <w14:ligatures w14:val="standardContextual"/>
              </w:rPr>
              <w:tab/>
            </w:r>
            <w:r w:rsidRPr="00AF2438" w:rsidR="003E3B93">
              <w:rPr>
                <w:rStyle w:val="Hyperlink"/>
                <w:noProof/>
              </w:rPr>
              <w:t>Annualized Cost to the Government</w:t>
            </w:r>
            <w:r w:rsidR="003E3B93">
              <w:rPr>
                <w:noProof/>
                <w:webHidden/>
              </w:rPr>
              <w:tab/>
            </w:r>
            <w:r w:rsidR="003E3B93">
              <w:rPr>
                <w:noProof/>
                <w:webHidden/>
              </w:rPr>
              <w:fldChar w:fldCharType="begin"/>
            </w:r>
            <w:r w:rsidR="003E3B93">
              <w:rPr>
                <w:noProof/>
                <w:webHidden/>
              </w:rPr>
              <w:instrText xml:space="preserve"> PAGEREF _Toc180072828 \h </w:instrText>
            </w:r>
            <w:r w:rsidR="003E3B93">
              <w:rPr>
                <w:noProof/>
                <w:webHidden/>
              </w:rPr>
              <w:fldChar w:fldCharType="separate"/>
            </w:r>
            <w:r w:rsidR="003E3B93">
              <w:rPr>
                <w:noProof/>
                <w:webHidden/>
              </w:rPr>
              <w:t>12</w:t>
            </w:r>
            <w:r w:rsidR="003E3B93">
              <w:rPr>
                <w:noProof/>
                <w:webHidden/>
              </w:rPr>
              <w:fldChar w:fldCharType="end"/>
            </w:r>
          </w:hyperlink>
        </w:p>
        <w:p w:rsidR="00CF3B0C" w14:paraId="7932D009" w14:textId="26E03AD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29" w:history="1">
            <w:r w:rsidRPr="00AF2438" w:rsidR="003E3B93">
              <w:rPr>
                <w:rStyle w:val="Hyperlink"/>
                <w:noProof/>
              </w:rPr>
              <w:t>15.</w:t>
            </w:r>
            <w:r w:rsidR="003E3B93">
              <w:rPr>
                <w:rFonts w:asciiTheme="minorHAnsi" w:eastAsiaTheme="minorEastAsia" w:hAnsiTheme="minorHAnsi"/>
                <w:noProof/>
                <w:kern w:val="2"/>
                <w:sz w:val="22"/>
                <w14:ligatures w14:val="standardContextual"/>
              </w:rPr>
              <w:tab/>
            </w:r>
            <w:r w:rsidRPr="00AF2438" w:rsidR="003E3B93">
              <w:rPr>
                <w:rStyle w:val="Hyperlink"/>
                <w:noProof/>
              </w:rPr>
              <w:t>Explanation for Program Changes or Adjustments</w:t>
            </w:r>
            <w:r w:rsidR="003E3B93">
              <w:rPr>
                <w:noProof/>
                <w:webHidden/>
              </w:rPr>
              <w:tab/>
            </w:r>
            <w:r w:rsidR="003E3B93">
              <w:rPr>
                <w:noProof/>
                <w:webHidden/>
              </w:rPr>
              <w:fldChar w:fldCharType="begin"/>
            </w:r>
            <w:r w:rsidR="003E3B93">
              <w:rPr>
                <w:noProof/>
                <w:webHidden/>
              </w:rPr>
              <w:instrText xml:space="preserve"> PAGEREF _Toc180072829 \h </w:instrText>
            </w:r>
            <w:r w:rsidR="003E3B93">
              <w:rPr>
                <w:noProof/>
                <w:webHidden/>
              </w:rPr>
              <w:fldChar w:fldCharType="separate"/>
            </w:r>
            <w:r w:rsidR="003E3B93">
              <w:rPr>
                <w:noProof/>
                <w:webHidden/>
              </w:rPr>
              <w:t>12</w:t>
            </w:r>
            <w:r w:rsidR="003E3B93">
              <w:rPr>
                <w:noProof/>
                <w:webHidden/>
              </w:rPr>
              <w:fldChar w:fldCharType="end"/>
            </w:r>
          </w:hyperlink>
        </w:p>
        <w:p w:rsidR="00CF3B0C" w14:paraId="2D63EA86" w14:textId="58AC95A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0" w:history="1">
            <w:r w:rsidRPr="00AF2438" w:rsidR="003E3B93">
              <w:rPr>
                <w:rStyle w:val="Hyperlink"/>
                <w:noProof/>
              </w:rPr>
              <w:t>16.</w:t>
            </w:r>
            <w:r w:rsidR="003E3B93">
              <w:rPr>
                <w:rFonts w:asciiTheme="minorHAnsi" w:eastAsiaTheme="minorEastAsia" w:hAnsiTheme="minorHAnsi"/>
                <w:noProof/>
                <w:kern w:val="2"/>
                <w:sz w:val="22"/>
                <w14:ligatures w14:val="standardContextual"/>
              </w:rPr>
              <w:tab/>
            </w:r>
            <w:r w:rsidRPr="00AF2438" w:rsidR="003E3B93">
              <w:rPr>
                <w:rStyle w:val="Hyperlink"/>
                <w:noProof/>
              </w:rPr>
              <w:t>Plans for Tabulation and Publication and Project Time Schedule</w:t>
            </w:r>
            <w:r w:rsidR="003E3B93">
              <w:rPr>
                <w:noProof/>
                <w:webHidden/>
              </w:rPr>
              <w:tab/>
            </w:r>
            <w:r w:rsidR="003E3B93">
              <w:rPr>
                <w:noProof/>
                <w:webHidden/>
              </w:rPr>
              <w:fldChar w:fldCharType="begin"/>
            </w:r>
            <w:r w:rsidR="003E3B93">
              <w:rPr>
                <w:noProof/>
                <w:webHidden/>
              </w:rPr>
              <w:instrText xml:space="preserve"> PAGEREF _Toc180072830 \h </w:instrText>
            </w:r>
            <w:r w:rsidR="003E3B93">
              <w:rPr>
                <w:noProof/>
                <w:webHidden/>
              </w:rPr>
              <w:fldChar w:fldCharType="separate"/>
            </w:r>
            <w:r w:rsidR="003E3B93">
              <w:rPr>
                <w:noProof/>
                <w:webHidden/>
              </w:rPr>
              <w:t>12</w:t>
            </w:r>
            <w:r w:rsidR="003E3B93">
              <w:rPr>
                <w:noProof/>
                <w:webHidden/>
              </w:rPr>
              <w:fldChar w:fldCharType="end"/>
            </w:r>
          </w:hyperlink>
        </w:p>
        <w:p w:rsidR="00CF3B0C" w14:paraId="6D28D6E4" w14:textId="7705C9C2">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1" w:history="1">
            <w:r w:rsidRPr="00AF2438" w:rsidR="003E3B93">
              <w:rPr>
                <w:rStyle w:val="Hyperlink"/>
                <w:noProof/>
              </w:rPr>
              <w:t>17.</w:t>
            </w:r>
            <w:r w:rsidR="003E3B93">
              <w:rPr>
                <w:rFonts w:asciiTheme="minorHAnsi" w:eastAsiaTheme="minorEastAsia" w:hAnsiTheme="minorHAnsi"/>
                <w:noProof/>
                <w:kern w:val="2"/>
                <w:sz w:val="22"/>
                <w14:ligatures w14:val="standardContextual"/>
              </w:rPr>
              <w:tab/>
            </w:r>
            <w:r w:rsidRPr="00AF2438" w:rsidR="003E3B93">
              <w:rPr>
                <w:rStyle w:val="Hyperlink"/>
                <w:noProof/>
              </w:rPr>
              <w:t>Reason(s) Display of OMB Expiration Date is Inappropriate</w:t>
            </w:r>
            <w:r w:rsidR="003E3B93">
              <w:rPr>
                <w:noProof/>
                <w:webHidden/>
              </w:rPr>
              <w:tab/>
            </w:r>
            <w:r w:rsidR="003E3B93">
              <w:rPr>
                <w:noProof/>
                <w:webHidden/>
              </w:rPr>
              <w:fldChar w:fldCharType="begin"/>
            </w:r>
            <w:r w:rsidR="003E3B93">
              <w:rPr>
                <w:noProof/>
                <w:webHidden/>
              </w:rPr>
              <w:instrText xml:space="preserve"> PAGEREF _Toc180072831 \h </w:instrText>
            </w:r>
            <w:r w:rsidR="003E3B93">
              <w:rPr>
                <w:noProof/>
                <w:webHidden/>
              </w:rPr>
              <w:fldChar w:fldCharType="separate"/>
            </w:r>
            <w:r w:rsidR="003E3B93">
              <w:rPr>
                <w:noProof/>
                <w:webHidden/>
              </w:rPr>
              <w:t>13</w:t>
            </w:r>
            <w:r w:rsidR="003E3B93">
              <w:rPr>
                <w:noProof/>
                <w:webHidden/>
              </w:rPr>
              <w:fldChar w:fldCharType="end"/>
            </w:r>
          </w:hyperlink>
        </w:p>
        <w:p w:rsidR="00CF3B0C" w14:paraId="52C8DC38" w14:textId="7394C7E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0072832" w:history="1">
            <w:r w:rsidRPr="00AF2438" w:rsidR="003E3B93">
              <w:rPr>
                <w:rStyle w:val="Hyperlink"/>
                <w:noProof/>
              </w:rPr>
              <w:t>18.</w:t>
            </w:r>
            <w:r w:rsidR="003E3B93">
              <w:rPr>
                <w:rFonts w:asciiTheme="minorHAnsi" w:eastAsiaTheme="minorEastAsia" w:hAnsiTheme="minorHAnsi"/>
                <w:noProof/>
                <w:kern w:val="2"/>
                <w:sz w:val="22"/>
                <w14:ligatures w14:val="standardContextual"/>
              </w:rPr>
              <w:tab/>
            </w:r>
            <w:r w:rsidRPr="00AF2438" w:rsidR="003E3B93">
              <w:rPr>
                <w:rStyle w:val="Hyperlink"/>
                <w:noProof/>
              </w:rPr>
              <w:t>Exceptions to Certification for Paperwork Reduction Act Submissions</w:t>
            </w:r>
            <w:r w:rsidR="003E3B93">
              <w:rPr>
                <w:noProof/>
                <w:webHidden/>
              </w:rPr>
              <w:tab/>
            </w:r>
            <w:r w:rsidR="003E3B93">
              <w:rPr>
                <w:noProof/>
                <w:webHidden/>
              </w:rPr>
              <w:fldChar w:fldCharType="begin"/>
            </w:r>
            <w:r w:rsidR="003E3B93">
              <w:rPr>
                <w:noProof/>
                <w:webHidden/>
              </w:rPr>
              <w:instrText xml:space="preserve"> PAGEREF _Toc180072832 \h </w:instrText>
            </w:r>
            <w:r w:rsidR="003E3B93">
              <w:rPr>
                <w:noProof/>
                <w:webHidden/>
              </w:rPr>
              <w:fldChar w:fldCharType="separate"/>
            </w:r>
            <w:r w:rsidR="003E3B93">
              <w:rPr>
                <w:noProof/>
                <w:webHidden/>
              </w:rPr>
              <w:t>13</w:t>
            </w:r>
            <w:r w:rsidR="003E3B93">
              <w:rPr>
                <w:noProof/>
                <w:webHidden/>
              </w:rPr>
              <w:fldChar w:fldCharType="end"/>
            </w:r>
          </w:hyperlink>
        </w:p>
        <w:p w:rsidR="00CF3B0C" w14:paraId="7EB51FB0" w14:textId="0CEAEF73">
          <w:pPr>
            <w:pStyle w:val="TOC1"/>
            <w:tabs>
              <w:tab w:val="right" w:leader="dot" w:pos="10070"/>
            </w:tabs>
            <w:rPr>
              <w:rFonts w:asciiTheme="minorHAnsi" w:eastAsiaTheme="minorEastAsia" w:hAnsiTheme="minorHAnsi"/>
              <w:noProof/>
              <w:kern w:val="2"/>
              <w:sz w:val="22"/>
              <w14:ligatures w14:val="standardContextual"/>
            </w:rPr>
          </w:pPr>
          <w:hyperlink w:anchor="_Toc180072833" w:history="1">
            <w:r w:rsidRPr="00AF2438" w:rsidR="003E3B93">
              <w:rPr>
                <w:rStyle w:val="Hyperlink"/>
                <w:noProof/>
              </w:rPr>
              <w:t>Attachments</w:t>
            </w:r>
            <w:r w:rsidR="003E3B93">
              <w:rPr>
                <w:noProof/>
                <w:webHidden/>
              </w:rPr>
              <w:tab/>
            </w:r>
            <w:r w:rsidR="003E3B93">
              <w:rPr>
                <w:noProof/>
                <w:webHidden/>
              </w:rPr>
              <w:fldChar w:fldCharType="begin"/>
            </w:r>
            <w:r w:rsidR="003E3B93">
              <w:rPr>
                <w:noProof/>
                <w:webHidden/>
              </w:rPr>
              <w:instrText xml:space="preserve"> PAGEREF _Toc180072833 \h </w:instrText>
            </w:r>
            <w:r w:rsidR="003E3B93">
              <w:rPr>
                <w:noProof/>
                <w:webHidden/>
              </w:rPr>
              <w:fldChar w:fldCharType="separate"/>
            </w:r>
            <w:r w:rsidR="003E3B93">
              <w:rPr>
                <w:noProof/>
                <w:webHidden/>
              </w:rPr>
              <w:t>13</w:t>
            </w:r>
            <w:r w:rsidR="003E3B93">
              <w:rPr>
                <w:noProof/>
                <w:webHidden/>
              </w:rPr>
              <w:fldChar w:fldCharType="end"/>
            </w:r>
          </w:hyperlink>
        </w:p>
        <w:p w:rsidR="004A13E8" w14:paraId="55FE17B0" w14:textId="058DB0DB">
          <w:r>
            <w:rPr>
              <w:b/>
              <w:bCs/>
              <w:noProof/>
            </w:rPr>
            <w:fldChar w:fldCharType="end"/>
          </w:r>
        </w:p>
      </w:sdtContent>
    </w:sdt>
    <w:p w:rsidR="004A13E8" w14:paraId="55FE17B1" w14:textId="77777777">
      <w:r>
        <w:br w:type="page"/>
      </w:r>
    </w:p>
    <w:p w:rsidR="00AD2F0D" w:rsidP="00C61473" w14:paraId="48DCBA4D" w14:textId="40AA312D">
      <w:pPr>
        <w:spacing w:after="0"/>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883920</wp:posOffset>
                </wp:positionV>
                <wp:extent cx="6477000" cy="7711440"/>
                <wp:effectExtent l="0" t="0" r="19050" b="22860"/>
                <wp:wrapTight wrapText="bothSides">
                  <wp:wrapPolygon>
                    <wp:start x="0" y="0"/>
                    <wp:lineTo x="0" y="21611"/>
                    <wp:lineTo x="21600" y="21611"/>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7711440"/>
                        </a:xfrm>
                        <a:prstGeom prst="rect">
                          <a:avLst/>
                        </a:prstGeom>
                        <a:solidFill>
                          <a:srgbClr val="FFFFFF"/>
                        </a:solidFill>
                        <a:ln w="9525">
                          <a:solidFill>
                            <a:srgbClr val="000000"/>
                          </a:solidFill>
                          <a:miter lim="800000"/>
                          <a:headEnd/>
                          <a:tailEnd/>
                        </a:ln>
                      </wps:spPr>
                      <wps:txbx>
                        <w:txbxContent>
                          <w:p w:rsidR="003320F8" w:rsidP="003320F8" w14:textId="77777777">
                            <w:pPr>
                              <w:spacing w:after="0"/>
                            </w:pPr>
                            <w:r w:rsidRPr="001A58BE">
                              <w:rPr>
                                <w:b/>
                              </w:rPr>
                              <w:t>Goal of the study:</w:t>
                            </w:r>
                            <w:r>
                              <w:rPr>
                                <w:b/>
                              </w:rPr>
                              <w:t xml:space="preserve"> </w:t>
                            </w:r>
                            <w:r>
                              <w:t xml:space="preserve">The goals of this investigation are to: </w:t>
                            </w:r>
                          </w:p>
                          <w:p w:rsidR="003320F8" w:rsidP="003320F8" w14:textId="77777777">
                            <w:pPr>
                              <w:pStyle w:val="ListParagraph"/>
                              <w:numPr>
                                <w:ilvl w:val="0"/>
                                <w:numId w:val="4"/>
                              </w:numPr>
                              <w:spacing w:after="0" w:line="240" w:lineRule="auto"/>
                            </w:pPr>
                            <w:r>
                              <w:t xml:space="preserve">Assess potential risk factors for Oropouche virus (OROV) disease. </w:t>
                            </w:r>
                          </w:p>
                          <w:p w:rsidR="003320F8" w:rsidP="003320F8" w14:textId="77777777">
                            <w:pPr>
                              <w:pStyle w:val="ListParagraph"/>
                              <w:numPr>
                                <w:ilvl w:val="0"/>
                                <w:numId w:val="4"/>
                              </w:numPr>
                              <w:spacing w:after="0" w:line="240" w:lineRule="auto"/>
                            </w:pPr>
                            <w:r>
                              <w:t>Describe the clinical presentation of OROV disease among U.S. travelers.</w:t>
                            </w:r>
                          </w:p>
                          <w:p w:rsidR="003320F8" w:rsidP="003320F8" w14:textId="77777777">
                            <w:pPr>
                              <w:pStyle w:val="ListParagraph"/>
                              <w:numPr>
                                <w:ilvl w:val="0"/>
                                <w:numId w:val="4"/>
                              </w:numPr>
                              <w:spacing w:after="0" w:line="240" w:lineRule="auto"/>
                            </w:pPr>
                            <w:r>
                              <w:t>Assess the prevalence and duration of OROV, viral RNA, and OROV-specific neutralizing antibodies in various bodily fluids.</w:t>
                            </w:r>
                          </w:p>
                          <w:p w:rsidR="003320F8" w:rsidP="003320F8" w14:textId="77777777">
                            <w:pPr>
                              <w:pStyle w:val="ListParagraph"/>
                              <w:numPr>
                                <w:ilvl w:val="0"/>
                                <w:numId w:val="4"/>
                              </w:numPr>
                              <w:spacing w:after="0" w:line="240" w:lineRule="auto"/>
                            </w:pPr>
                            <w:r>
                              <w:t>Evaluate the evidence for sexual transmission of OROV.</w:t>
                            </w:r>
                          </w:p>
                          <w:p w:rsidR="00912820" w:rsidP="003320F8" w14:textId="77777777">
                            <w:pPr>
                              <w:spacing w:after="0" w:line="240" w:lineRule="auto"/>
                              <w:rPr>
                                <w:b/>
                              </w:rPr>
                            </w:pPr>
                          </w:p>
                          <w:p w:rsidR="003320F8" w:rsidP="003320F8" w14:textId="77777777">
                            <w:pPr>
                              <w:spacing w:after="0" w:line="240" w:lineRule="auto"/>
                            </w:pPr>
                            <w:r w:rsidRPr="003320F8">
                              <w:rPr>
                                <w:b/>
                              </w:rPr>
                              <w:t xml:space="preserve">Intended use of the resulting data: </w:t>
                            </w:r>
                          </w:p>
                          <w:p w:rsidR="003320F8" w:rsidP="003320F8" w14:textId="5B810B08">
                            <w:pPr>
                              <w:spacing w:after="0" w:line="240" w:lineRule="auto"/>
                            </w:pPr>
                            <w:r>
                              <w:t xml:space="preserve">The intended use of the resulting data includes identifying risk factors for infection to inform prevention guidance and messaging, informing recognition, diagnosis, follow up care, and counseling of patients with OROV disease, and understanding risks of sexual transmission to inform prevention recommendations, especially for pregnant </w:t>
                            </w:r>
                            <w:r w:rsidR="00DD6ADF">
                              <w:t xml:space="preserve">women </w:t>
                            </w:r>
                            <w:r>
                              <w:t>and their partners, or those considering pregnancy.</w:t>
                            </w:r>
                          </w:p>
                          <w:p w:rsidR="00D961BD" w:rsidRPr="001A58BE" w:rsidP="00912820" w14:textId="77777777">
                            <w:pPr>
                              <w:pStyle w:val="Bullets"/>
                              <w:numPr>
                                <w:ilvl w:val="0"/>
                                <w:numId w:val="0"/>
                              </w:numPr>
                              <w:ind w:left="360"/>
                              <w:rPr>
                                <w:b/>
                              </w:rPr>
                            </w:pPr>
                          </w:p>
                          <w:p w:rsidR="00786B69" w:rsidP="00912820" w14:textId="77777777">
                            <w:pPr>
                              <w:pStyle w:val="Bullets"/>
                              <w:numPr>
                                <w:ilvl w:val="0"/>
                                <w:numId w:val="0"/>
                              </w:numPr>
                              <w:spacing w:after="0" w:line="240" w:lineRule="auto"/>
                            </w:pPr>
                            <w:r w:rsidRPr="00912820">
                              <w:rPr>
                                <w:b/>
                              </w:rPr>
                              <w:t xml:space="preserve">Methods to be used to collect: </w:t>
                            </w:r>
                            <w:r>
                              <w:t xml:space="preserve">This data will be collected through serial interviews and specimen collection. </w:t>
                            </w:r>
                          </w:p>
                          <w:p w:rsidR="00912820" w:rsidP="00786B69" w14:textId="77777777">
                            <w:pPr>
                              <w:rPr>
                                <w:b/>
                              </w:rPr>
                            </w:pPr>
                          </w:p>
                          <w:p w:rsidR="00786B69" w:rsidP="00786B69" w14:textId="77777777">
                            <w:r w:rsidRPr="00786B69">
                              <w:rPr>
                                <w:b/>
                              </w:rPr>
                              <w:t xml:space="preserve">The subpopulation to be studied: </w:t>
                            </w:r>
                          </w:p>
                          <w:p w:rsidR="00786B69" w:rsidP="00786B69" w14:textId="16717F5F">
                            <w:r>
                              <w:t xml:space="preserve">The investigation population includes U.S. adults diagnosed with OROV disease according to the interim case definitions for confirmed and probable cases of OROV disease (https://www.cdc.gov/oropouche/php/reporting/index.html) within </w:t>
                            </w:r>
                            <w:r w:rsidR="0087708C">
                              <w:t>4</w:t>
                            </w:r>
                            <w:r>
                              <w:t xml:space="preserve"> months of their symptom onset and their sexual partners in the 6 weeks after symptom onset.   </w:t>
                            </w:r>
                          </w:p>
                          <w:p w:rsidR="00786B69" w:rsidP="00786B69" w14:textId="77777777">
                            <w:r w:rsidRPr="00786B69">
                              <w:rPr>
                                <w:b/>
                              </w:rPr>
                              <w:t xml:space="preserve">How data will be analyzed: </w:t>
                            </w:r>
                          </w:p>
                          <w:p w:rsidR="00786B69" w:rsidP="00786B69" w14:textId="77777777">
                            <w:r>
                              <w:t>Descriptive analysis of all variables will be performed to examine the frequency and distribution of the data. The frequency of symptoms and specimens with detectable OROV virus RNA will be calculated for each time point. Viral persistence will be measured in days from time after symptom onset and persistence in body fluids will be modeled using the Weibull distribution. Association between outcomes including symptom recurrence, disease severity, duration of viral persistence, and patient characteristics will be examined using logistic regression or Weibull distribution (for duration of viral persistence).</w:t>
                            </w:r>
                          </w:p>
                          <w:p w:rsidR="00AD2F0D" w:rsidP="00AD2F0D"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607.2pt;margin-top:69.6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v:textbox>
                  <w:txbxContent>
                    <w:p w:rsidR="003320F8" w:rsidP="003320F8" w14:paraId="38FBA47F" w14:textId="77777777">
                      <w:pPr>
                        <w:spacing w:after="0"/>
                      </w:pPr>
                      <w:r w:rsidRPr="001A58BE">
                        <w:rPr>
                          <w:b/>
                        </w:rPr>
                        <w:t>Goal of the study:</w:t>
                      </w:r>
                      <w:r>
                        <w:rPr>
                          <w:b/>
                        </w:rPr>
                        <w:t xml:space="preserve"> </w:t>
                      </w:r>
                      <w:r>
                        <w:t xml:space="preserve">The goals of this investigation are to: </w:t>
                      </w:r>
                    </w:p>
                    <w:p w:rsidR="003320F8" w:rsidP="003320F8" w14:paraId="28E270CF" w14:textId="77777777">
                      <w:pPr>
                        <w:pStyle w:val="ListParagraph"/>
                        <w:numPr>
                          <w:ilvl w:val="0"/>
                          <w:numId w:val="4"/>
                        </w:numPr>
                        <w:spacing w:after="0" w:line="240" w:lineRule="auto"/>
                      </w:pPr>
                      <w:r>
                        <w:t xml:space="preserve">Assess potential risk factors for Oropouche virus (OROV) disease. </w:t>
                      </w:r>
                    </w:p>
                    <w:p w:rsidR="003320F8" w:rsidP="003320F8" w14:paraId="120E726B" w14:textId="77777777">
                      <w:pPr>
                        <w:pStyle w:val="ListParagraph"/>
                        <w:numPr>
                          <w:ilvl w:val="0"/>
                          <w:numId w:val="4"/>
                        </w:numPr>
                        <w:spacing w:after="0" w:line="240" w:lineRule="auto"/>
                      </w:pPr>
                      <w:r>
                        <w:t>Describe the clinical presentation of OROV disease among U.S. travelers.</w:t>
                      </w:r>
                    </w:p>
                    <w:p w:rsidR="003320F8" w:rsidP="003320F8" w14:paraId="4F4835B5" w14:textId="77777777">
                      <w:pPr>
                        <w:pStyle w:val="ListParagraph"/>
                        <w:numPr>
                          <w:ilvl w:val="0"/>
                          <w:numId w:val="4"/>
                        </w:numPr>
                        <w:spacing w:after="0" w:line="240" w:lineRule="auto"/>
                      </w:pPr>
                      <w:r>
                        <w:t>Assess the prevalence and duration of OROV, viral RNA, and OROV-specific neutralizing antibodies in various bodily fluids.</w:t>
                      </w:r>
                    </w:p>
                    <w:p w:rsidR="003320F8" w:rsidP="003320F8" w14:paraId="20413B7F" w14:textId="77777777">
                      <w:pPr>
                        <w:pStyle w:val="ListParagraph"/>
                        <w:numPr>
                          <w:ilvl w:val="0"/>
                          <w:numId w:val="4"/>
                        </w:numPr>
                        <w:spacing w:after="0" w:line="240" w:lineRule="auto"/>
                      </w:pPr>
                      <w:r>
                        <w:t>Evaluate the evidence for sexual transmission of OROV.</w:t>
                      </w:r>
                    </w:p>
                    <w:p w:rsidR="00912820" w:rsidP="003320F8" w14:paraId="01942958" w14:textId="77777777">
                      <w:pPr>
                        <w:spacing w:after="0" w:line="240" w:lineRule="auto"/>
                        <w:rPr>
                          <w:b/>
                        </w:rPr>
                      </w:pPr>
                    </w:p>
                    <w:p w:rsidR="003320F8" w:rsidP="003320F8" w14:paraId="2C02BCE8" w14:textId="77777777">
                      <w:pPr>
                        <w:spacing w:after="0" w:line="240" w:lineRule="auto"/>
                      </w:pPr>
                      <w:r w:rsidRPr="003320F8">
                        <w:rPr>
                          <w:b/>
                        </w:rPr>
                        <w:t xml:space="preserve">Intended use of the resulting data: </w:t>
                      </w:r>
                    </w:p>
                    <w:p w:rsidR="003320F8" w:rsidP="003320F8" w14:paraId="0015E302" w14:textId="5B810B08">
                      <w:pPr>
                        <w:spacing w:after="0" w:line="240" w:lineRule="auto"/>
                      </w:pPr>
                      <w:r>
                        <w:t xml:space="preserve">The intended use of the resulting data includes identifying risk factors for infection to inform prevention guidance and messaging, informing recognition, diagnosis, follow up care, and counseling of patients with OROV disease, and understanding risks of sexual transmission to inform prevention recommendations, especially for pregnant </w:t>
                      </w:r>
                      <w:r w:rsidR="00DD6ADF">
                        <w:t xml:space="preserve">women </w:t>
                      </w:r>
                      <w:r>
                        <w:t>and their partners, or those considering pregnancy.</w:t>
                      </w:r>
                    </w:p>
                    <w:p w:rsidR="00D961BD" w:rsidRPr="001A58BE" w:rsidP="00912820" w14:paraId="62B270B8" w14:textId="77777777">
                      <w:pPr>
                        <w:pStyle w:val="Bullets"/>
                        <w:numPr>
                          <w:ilvl w:val="0"/>
                          <w:numId w:val="0"/>
                        </w:numPr>
                        <w:ind w:left="360"/>
                        <w:rPr>
                          <w:b/>
                        </w:rPr>
                      </w:pPr>
                    </w:p>
                    <w:p w:rsidR="00786B69" w:rsidP="00912820" w14:paraId="729B32BF" w14:textId="77777777">
                      <w:pPr>
                        <w:pStyle w:val="Bullets"/>
                        <w:numPr>
                          <w:ilvl w:val="0"/>
                          <w:numId w:val="0"/>
                        </w:numPr>
                        <w:spacing w:after="0" w:line="240" w:lineRule="auto"/>
                      </w:pPr>
                      <w:r w:rsidRPr="00912820">
                        <w:rPr>
                          <w:b/>
                        </w:rPr>
                        <w:t xml:space="preserve">Methods to be used to collect: </w:t>
                      </w:r>
                      <w:r>
                        <w:t xml:space="preserve">This data will be collected through serial interviews and specimen collection. </w:t>
                      </w:r>
                    </w:p>
                    <w:p w:rsidR="00912820" w:rsidP="00786B69" w14:paraId="46F6CED5" w14:textId="77777777">
                      <w:pPr>
                        <w:rPr>
                          <w:b/>
                        </w:rPr>
                      </w:pPr>
                    </w:p>
                    <w:p w:rsidR="00786B69" w:rsidP="00786B69" w14:paraId="0569AE8E" w14:textId="77777777">
                      <w:r w:rsidRPr="00786B69">
                        <w:rPr>
                          <w:b/>
                        </w:rPr>
                        <w:t xml:space="preserve">The subpopulation to be studied: </w:t>
                      </w:r>
                    </w:p>
                    <w:p w:rsidR="00786B69" w:rsidP="00786B69" w14:paraId="425A23A6" w14:textId="16717F5F">
                      <w:r>
                        <w:t xml:space="preserve">The investigation population includes U.S. adults diagnosed with OROV disease according to the interim case definitions for confirmed and probable cases of OROV disease (https://www.cdc.gov/oropouche/php/reporting/index.html) within </w:t>
                      </w:r>
                      <w:r w:rsidR="0087708C">
                        <w:t>4</w:t>
                      </w:r>
                      <w:r>
                        <w:t xml:space="preserve"> months of their symptom onset and their sexual partners in the 6 weeks after symptom onset.   </w:t>
                      </w:r>
                    </w:p>
                    <w:p w:rsidR="00786B69" w:rsidP="00786B69" w14:paraId="17167BA3" w14:textId="77777777">
                      <w:r w:rsidRPr="00786B69">
                        <w:rPr>
                          <w:b/>
                        </w:rPr>
                        <w:t xml:space="preserve">How data will be analyzed: </w:t>
                      </w:r>
                    </w:p>
                    <w:p w:rsidR="00786B69" w:rsidP="00786B69" w14:paraId="5491D802" w14:textId="77777777">
                      <w:r>
                        <w:t>Descriptive analysis of all variables will be performed to examine the frequency and distribution of the data. The frequency of symptoms and specimens with detectable OROV virus RNA will be calculated for each time point. Viral persistence will be measured in days from time after symptom onset and persistence in body fluids will be modeled using the Weibull distribution. Association between outcomes including symptom recurrence, disease severity, duration of viral persistence, and patient characteristics will be examined using logistic regression or Weibull distribution (for duration of viral persistence).</w:t>
                      </w:r>
                    </w:p>
                    <w:p w:rsidR="00AD2F0D" w:rsidP="00AD2F0D" w14:paraId="7A189C9D" w14:textId="77777777"/>
                  </w:txbxContent>
                </v:textbox>
                <w10:wrap type="tight"/>
              </v:shape>
            </w:pict>
          </mc:Fallback>
        </mc:AlternateContent>
      </w:r>
    </w:p>
    <w:p w:rsidR="00464E35" w:rsidP="00464E35" w14:paraId="42AF4145" w14:textId="77777777">
      <w:pPr>
        <w:spacing w:after="0" w:line="240" w:lineRule="auto"/>
      </w:pPr>
    </w:p>
    <w:p w:rsidR="00FF3A3A" w:rsidP="00FF3A3A" w14:paraId="0274B437" w14:textId="77777777">
      <w:pPr>
        <w:spacing w:after="0" w:line="240" w:lineRule="auto"/>
      </w:pPr>
    </w:p>
    <w:p w:rsidR="00DA1CE4" w:rsidP="00FF3A3A" w14:paraId="2142296D" w14:textId="77777777">
      <w:pPr>
        <w:spacing w:after="0" w:line="240" w:lineRule="auto"/>
      </w:pPr>
    </w:p>
    <w:p w:rsidR="004A13E8" w:rsidP="004A13E8" w14:paraId="55FE17B3" w14:textId="77777777">
      <w:pPr>
        <w:pStyle w:val="Heading1"/>
      </w:pPr>
      <w:bookmarkStart w:id="3" w:name="_Toc180072815"/>
      <w:r w:rsidRPr="004A13E8">
        <w:t>Circumstances Making the Collection of Information Necessary</w:t>
      </w:r>
      <w:bookmarkEnd w:id="3"/>
    </w:p>
    <w:p w:rsidR="005774AF" w:rsidP="005774AF" w14:paraId="483B5205" w14:textId="6F7D2142">
      <w:r>
        <w:t>Data collection for this project was origi</w:t>
      </w:r>
      <w:r w:rsidRPr="00263744" w:rsidR="00263744">
        <w:t>nally approved through an Emergency ICR</w:t>
      </w:r>
      <w:r>
        <w:t xml:space="preserve"> (</w:t>
      </w:r>
      <w:r w:rsidR="003E3B93">
        <w:t>for six months</w:t>
      </w:r>
      <w:r>
        <w:t xml:space="preserve"> [</w:t>
      </w:r>
      <w:r w:rsidR="00C154D0">
        <w:t>180 days</w:t>
      </w:r>
      <w:r w:rsidR="00C75BA5">
        <w:t>]</w:t>
      </w:r>
      <w:r>
        <w:t>)</w:t>
      </w:r>
      <w:r w:rsidR="003E3B93">
        <w:t>.</w:t>
      </w:r>
      <w:r w:rsidR="007172B2">
        <w:t xml:space="preserve"> This is a request to extend the ICR </w:t>
      </w:r>
      <w:r w:rsidR="007B3374">
        <w:t>three years</w:t>
      </w:r>
      <w:r w:rsidR="00057D7D">
        <w:t>.</w:t>
      </w:r>
      <w:r w:rsidR="003E3B93">
        <w:t xml:space="preserve"> </w:t>
      </w:r>
    </w:p>
    <w:p w:rsidR="00606A7E" w:rsidP="00606A7E" w14:paraId="67AF9550" w14:textId="6F006BE3">
      <w:r>
        <w:t>From late 2023</w:t>
      </w:r>
      <w:r w:rsidR="003878F2">
        <w:t>–</w:t>
      </w:r>
      <w:r>
        <w:t xml:space="preserve">2024, outbreaks of </w:t>
      </w:r>
      <w:r>
        <w:t>Oropouche</w:t>
      </w:r>
      <w:r>
        <w:t xml:space="preserve"> virus (OROV) disease have been reported in several countries </w:t>
      </w:r>
      <w:r w:rsidR="00F478B8">
        <w:t>it</w:t>
      </w:r>
      <w:r>
        <w:t xml:space="preserve"> had not been previously reported. More than </w:t>
      </w:r>
      <w:r w:rsidR="00FC0F86">
        <w:t>11</w:t>
      </w:r>
      <w:r>
        <w:t xml:space="preserve">,000 cases have been reported from </w:t>
      </w:r>
      <w:r w:rsidR="00F31B8C">
        <w:t xml:space="preserve">Barbados, </w:t>
      </w:r>
      <w:r>
        <w:t xml:space="preserve">Brazil, Bolivia, Colombia, </w:t>
      </w:r>
      <w:r>
        <w:t xml:space="preserve">Cuba, </w:t>
      </w:r>
      <w:r w:rsidR="00F31B8C">
        <w:t xml:space="preserve"> Ecuador</w:t>
      </w:r>
      <w:r w:rsidR="00F31B8C">
        <w:t xml:space="preserve">, </w:t>
      </w:r>
      <w:r>
        <w:t xml:space="preserve">Guyana, </w:t>
      </w:r>
      <w:r w:rsidR="00FC0F86">
        <w:t xml:space="preserve">Panama, </w:t>
      </w:r>
      <w:r>
        <w:t xml:space="preserve">and Peru. While OROV does not currently circulate in the United States, disease cases in returning international travelers have been reported and there is a low risk of local transmission given the presence of vectors. </w:t>
      </w:r>
    </w:p>
    <w:p w:rsidR="00606A7E" w:rsidP="00606A7E" w14:paraId="59D8B370" w14:textId="26F5CB01">
      <w:r>
        <w:t xml:space="preserve">OROV is transmitted to humans primarily from the bite of infected midges (including </w:t>
      </w:r>
      <w:r w:rsidRPr="00891B1B">
        <w:rPr>
          <w:i/>
        </w:rPr>
        <w:t>Culicioides</w:t>
      </w:r>
      <w:r w:rsidRPr="00891B1B">
        <w:rPr>
          <w:i/>
        </w:rPr>
        <w:t xml:space="preserve"> </w:t>
      </w:r>
      <w:r w:rsidRPr="00891B1B">
        <w:rPr>
          <w:i/>
        </w:rPr>
        <w:t>paraensis</w:t>
      </w:r>
      <w:r>
        <w:t xml:space="preserve">) but can also be transmitted through the bite of some mosquitoes. Symptoms of OROV disease typically include fever, headache, chills, muscle aches, and joint pain. </w:t>
      </w:r>
      <w:r w:rsidR="00F30916">
        <w:t xml:space="preserve">However, </w:t>
      </w:r>
      <w:r>
        <w:t xml:space="preserve">OROV can cause severe disease including neurologic and hemorrhagic manifestations. Recently Brazil reported the first confirmed deaths in patients with OROV disease and found evidence of vertical transmission associated with adverse pregnancy outcomes such as stillbirths and birth defects. The geographic range expansion, in conjunction with the identification of vertical transmission and reports of deaths, has raised concerns about the broader threat this virus represents. </w:t>
      </w:r>
    </w:p>
    <w:p w:rsidR="00174870" w:rsidP="079BE57A" w14:paraId="0B37C2BD" w14:textId="77777777">
      <w:r>
        <w:t>There are numerous gaps in our understanding of this emerging virus, such as clinical features, risk factors for infection</w:t>
      </w:r>
      <w:r w:rsidR="003F7555">
        <w:t xml:space="preserve"> and severe disease</w:t>
      </w:r>
      <w:r>
        <w:t xml:space="preserve">, and the potential for person-to-person transmission. Limited data suggest that OROV can be shed in bodily fluids with OROV RNA identified in whole blood, serum, urine, and saliva. </w:t>
      </w:r>
      <w:r w:rsidR="003F7555">
        <w:t>Additionally</w:t>
      </w:r>
      <w:r>
        <w:t>, researchers in Italy reported culturing OROV in semen samples obtained from a returning traveler, suggesting the possibility of sexual transmissio</w:t>
      </w:r>
      <w:r w:rsidR="00C15031">
        <w:t>n</w:t>
      </w:r>
      <w:r>
        <w:t xml:space="preserve">. Given the risk of vertical transmission, understanding viral shedding and potential routes of human-to-human transmission is essential. Furthermore, understanding the utility of different body fluids to allow for a molecular detection of recent OROV infection will help guide diagnostic testing considerations. </w:t>
      </w:r>
    </w:p>
    <w:p w:rsidR="00912472" w:rsidRPr="003F7555" w:rsidP="079BE57A" w14:paraId="4A11BB9B" w14:textId="01D9899B">
      <w:r>
        <w:t xml:space="preserve">This investigation seeks to better define the risk factors, clinical course, viral shedding, and potential for sexual transmission among patients with OROV disease. </w:t>
      </w:r>
      <w:r w:rsidR="00174870">
        <w:t xml:space="preserve">This is a </w:t>
      </w:r>
      <w:r w:rsidR="0009033D">
        <w:t xml:space="preserve">quickly evolving situation, and </w:t>
      </w:r>
      <w:r w:rsidR="004C54EC">
        <w:t xml:space="preserve">the need for </w:t>
      </w:r>
      <w:r w:rsidR="0009033D">
        <w:t xml:space="preserve">data to inform response activities </w:t>
      </w:r>
      <w:r w:rsidR="004C54EC">
        <w:t xml:space="preserve">and prevention guidance is critical. </w:t>
      </w:r>
      <w:r w:rsidRPr="079BE57A" w:rsidR="7A5506CA">
        <w:rPr>
          <w:rFonts w:eastAsia="Times New Roman" w:cs="Times New Roman"/>
          <w:color w:val="000000" w:themeColor="text1"/>
          <w:szCs w:val="24"/>
        </w:rPr>
        <w:t>Furthermore, as time lapses from their initial travel, recall bias can prevent CDC from receiving the most accurate information to understand the broader transmission risk.</w:t>
      </w:r>
    </w:p>
    <w:p w:rsidR="00CD5B43" w:rsidP="005774AF" w14:paraId="1EF5A07C" w14:textId="42E381D6">
      <w:r>
        <w:t xml:space="preserve">Authorizing legislation is </w:t>
      </w:r>
      <w:r w:rsidRPr="007F46E9">
        <w:t>Section 301 of the Public Health Service Act (42 U.S.C. 241</w:t>
      </w:r>
      <w:r w:rsidRPr="00B17916">
        <w:t>) (Attachment 1).</w:t>
      </w:r>
    </w:p>
    <w:p w:rsidR="004A13E8" w:rsidP="004A13E8" w14:paraId="55FE17B7" w14:textId="77777777">
      <w:pPr>
        <w:pStyle w:val="Heading1"/>
      </w:pPr>
      <w:bookmarkStart w:id="4" w:name="_Toc180072816"/>
      <w:r>
        <w:t>Purpose and Use of Information Collection</w:t>
      </w:r>
      <w:bookmarkEnd w:id="4"/>
    </w:p>
    <w:p w:rsidR="00481860" w:rsidP="00481860" w14:paraId="5F408B17" w14:textId="77777777">
      <w:pPr>
        <w:spacing w:after="0"/>
      </w:pPr>
      <w:r>
        <w:t>The results of this investigation will assist in the response to this emerging virus by:</w:t>
      </w:r>
    </w:p>
    <w:p w:rsidR="00481860" w:rsidP="00481860" w14:paraId="4A24D0D0" w14:textId="3B144210">
      <w:pPr>
        <w:pStyle w:val="ListParagraph"/>
        <w:numPr>
          <w:ilvl w:val="0"/>
          <w:numId w:val="5"/>
        </w:numPr>
      </w:pPr>
      <w:r>
        <w:t>Identifying risk factors for infection to inform prevention guidance and messaging.</w:t>
      </w:r>
    </w:p>
    <w:p w:rsidR="00481860" w:rsidP="00481860" w14:paraId="016BA524" w14:textId="4652C85E">
      <w:pPr>
        <w:pStyle w:val="ListParagraph"/>
        <w:numPr>
          <w:ilvl w:val="0"/>
          <w:numId w:val="5"/>
        </w:numPr>
      </w:pPr>
      <w:r>
        <w:t>Informing recognition, diagnosis, follow up care, and counseling of patients with OROV disease.</w:t>
      </w:r>
    </w:p>
    <w:p w:rsidR="00812AAC" w:rsidP="00481860" w14:paraId="74DC849C" w14:textId="733EA4AA">
      <w:pPr>
        <w:pStyle w:val="ListParagraph"/>
        <w:numPr>
          <w:ilvl w:val="0"/>
          <w:numId w:val="5"/>
        </w:numPr>
      </w:pPr>
      <w:r>
        <w:t xml:space="preserve">Understanding risks of sexual transmission to inform prevention recommendations, especially for pregnant </w:t>
      </w:r>
      <w:r w:rsidR="00DD6ADF">
        <w:t xml:space="preserve">women </w:t>
      </w:r>
      <w:r>
        <w:t>and their partners, or those considering pregnancy.</w:t>
      </w:r>
    </w:p>
    <w:p w:rsidR="00B21E15" w:rsidP="00B21E15" w14:paraId="4775524C" w14:textId="647A2D6E">
      <w:pPr>
        <w:spacing w:after="0" w:line="240" w:lineRule="auto"/>
      </w:pPr>
      <w:r w:rsidRPr="00B21E15">
        <w:t xml:space="preserve">CDC will work with state health departments to determine if any individuals who either are reported as OROV disease cases to </w:t>
      </w:r>
      <w:r w:rsidRPr="00B21E15">
        <w:t>ArboNET</w:t>
      </w:r>
      <w:r w:rsidR="00F11813">
        <w:t xml:space="preserve"> (approved under OMB Control Number 0920-0728)</w:t>
      </w:r>
      <w:r w:rsidRPr="00B21E15">
        <w:t>, the national surveillance system for arboviral diseases, or have samples submitted to CDC that test positive for OROV infection meet the inclusion criteria.</w:t>
      </w:r>
    </w:p>
    <w:p w:rsidR="00B21E15" w:rsidRPr="00B21E15" w:rsidP="00B21E15" w14:paraId="0257976D" w14:textId="77777777">
      <w:pPr>
        <w:spacing w:after="0" w:line="240" w:lineRule="auto"/>
      </w:pPr>
    </w:p>
    <w:p w:rsidR="009C7774" w:rsidP="00B21E15" w14:paraId="2E06E0EF" w14:textId="14FF3E71">
      <w:pPr>
        <w:spacing w:after="0" w:line="240" w:lineRule="auto"/>
      </w:pPr>
      <w:r w:rsidRPr="00B21E15">
        <w:t xml:space="preserve">For all individuals diagnosed with OROV disease who meet the inclusion criteria, investigation staff from either a state, territorial, local, or tribal (STLT) health department or CDC will contact cases. If CDC staff will be contacting cases, </w:t>
      </w:r>
      <w:r w:rsidR="00167AF7">
        <w:t xml:space="preserve">CDC will </w:t>
      </w:r>
      <w:r w:rsidRPr="00B21E15">
        <w:t xml:space="preserve">ask STLT health departments to distribute information (email informational flyer or read aloud: </w:t>
      </w:r>
      <w:r w:rsidR="00CE5952">
        <w:t>Attachment</w:t>
      </w:r>
      <w:r w:rsidRPr="00B21E15">
        <w:t xml:space="preserve"> </w:t>
      </w:r>
      <w:r w:rsidR="00B17916">
        <w:t>8</w:t>
      </w:r>
      <w:r w:rsidRPr="00B21E15">
        <w:t xml:space="preserve">) explaining the </w:t>
      </w:r>
      <w:r w:rsidR="00303198">
        <w:t>investigation</w:t>
      </w:r>
      <w:r w:rsidRPr="00B21E15">
        <w:t xml:space="preserve"> and notifying patients to expect contact from CDC.</w:t>
      </w:r>
    </w:p>
    <w:p w:rsidR="00B21E15" w:rsidP="00581023" w14:paraId="1008852D" w14:textId="77777777">
      <w:pPr>
        <w:spacing w:after="0" w:line="240" w:lineRule="auto"/>
        <w:rPr>
          <w:u w:val="single"/>
        </w:rPr>
      </w:pPr>
    </w:p>
    <w:p w:rsidR="00581023" w:rsidRPr="006A18CF" w:rsidP="00581023" w14:paraId="6E1EDB02" w14:textId="063A923B">
      <w:pPr>
        <w:spacing w:after="0" w:line="240" w:lineRule="auto"/>
        <w:rPr>
          <w:i/>
          <w:iCs/>
        </w:rPr>
      </w:pPr>
      <w:r w:rsidRPr="006A18CF">
        <w:rPr>
          <w:i/>
          <w:iCs/>
        </w:rPr>
        <w:t xml:space="preserve">Enrollment: </w:t>
      </w:r>
    </w:p>
    <w:p w:rsidR="00581023" w:rsidP="00581023" w14:paraId="30C4D0C4" w14:textId="18583345">
      <w:r>
        <w:t xml:space="preserve">Patients will be enrolled to participate in investigation activities based on the duration since initial symptom onset and which activities they consent to. We will attempt to enroll eligible patients with confirmed or probable </w:t>
      </w:r>
      <w:r>
        <w:t>Oropouche</w:t>
      </w:r>
      <w:r>
        <w:t xml:space="preserve"> virus disease and symptom onset </w:t>
      </w:r>
      <w:r w:rsidRPr="37F0A279">
        <w:t>≤</w:t>
      </w:r>
      <w:r w:rsidR="00083E51">
        <w:t>4</w:t>
      </w:r>
      <w:r>
        <w:t xml:space="preserve"> months prior. </w:t>
      </w:r>
    </w:p>
    <w:p w:rsidR="00581023" w:rsidP="00581023" w14:paraId="0989BE8E" w14:textId="77777777">
      <w:r>
        <w:t xml:space="preserve">The following activities will be completed as soon as possible after enrollment: </w:t>
      </w:r>
    </w:p>
    <w:p w:rsidR="00AE3784" w:rsidP="00AE3784" w14:paraId="78DCF4A5" w14:textId="6C512BA1">
      <w:pPr>
        <w:pStyle w:val="ListParagraph"/>
        <w:numPr>
          <w:ilvl w:val="0"/>
          <w:numId w:val="7"/>
        </w:numPr>
        <w:spacing w:after="160" w:line="259" w:lineRule="auto"/>
      </w:pPr>
      <w:r>
        <w:t>Interview participant using the initial clinical and risk factors survey (</w:t>
      </w:r>
      <w:r w:rsidR="00CE5952">
        <w:t>Attachment</w:t>
      </w:r>
      <w:r>
        <w:t xml:space="preserve"> </w:t>
      </w:r>
      <w:r w:rsidR="00C362B7">
        <w:t>3</w:t>
      </w:r>
      <w:r>
        <w:t>) and, if applicable, provide them with a symptom diary (</w:t>
      </w:r>
      <w:r w:rsidR="00CE5952">
        <w:t>Attachment</w:t>
      </w:r>
      <w:r>
        <w:t xml:space="preserve"> </w:t>
      </w:r>
      <w:r w:rsidR="00C362B7">
        <w:t>5</w:t>
      </w:r>
      <w:r>
        <w:t xml:space="preserve">) to record details on symptoms daily. </w:t>
      </w:r>
    </w:p>
    <w:p w:rsidR="00AE3784" w:rsidP="00AE3784" w14:paraId="4FA25680" w14:textId="77777777">
      <w:pPr>
        <w:pStyle w:val="ListParagraph"/>
        <w:numPr>
          <w:ilvl w:val="0"/>
          <w:numId w:val="7"/>
        </w:numPr>
        <w:spacing w:after="160" w:line="259" w:lineRule="auto"/>
      </w:pPr>
      <w:r>
        <w:t>Initial specimen collection (see “Specimen Collection” section below)</w:t>
      </w:r>
    </w:p>
    <w:p w:rsidR="00AE3784" w:rsidP="00AE3784" w14:paraId="21DD5062" w14:textId="1BEF99BF">
      <w:pPr>
        <w:pStyle w:val="ListParagraph"/>
        <w:numPr>
          <w:ilvl w:val="0"/>
          <w:numId w:val="7"/>
        </w:numPr>
        <w:spacing w:after="160" w:line="259" w:lineRule="auto"/>
      </w:pPr>
      <w:r>
        <w:t xml:space="preserve">Interview participants to identify sexual partners between their </w:t>
      </w:r>
      <w:r w:rsidR="00D76959">
        <w:t xml:space="preserve">illness onset </w:t>
      </w:r>
      <w:r>
        <w:t xml:space="preserve">and time of interview (maximum of 6 weeks post symptom onset) using </w:t>
      </w:r>
      <w:r w:rsidR="00CE5952">
        <w:t>Attachment</w:t>
      </w:r>
      <w:r>
        <w:t xml:space="preserve"> </w:t>
      </w:r>
      <w:r w:rsidR="003E7D16">
        <w:t>6</w:t>
      </w:r>
      <w:r>
        <w:t xml:space="preserve"> and obtain permission to reach out to those sexual contacts. </w:t>
      </w:r>
    </w:p>
    <w:p w:rsidR="00AE3784" w:rsidP="00AE3784" w14:paraId="426177F3" w14:textId="1D544BF2">
      <w:pPr>
        <w:pStyle w:val="ListParagraph"/>
        <w:numPr>
          <w:ilvl w:val="0"/>
          <w:numId w:val="7"/>
        </w:numPr>
        <w:spacing w:after="0" w:line="240" w:lineRule="auto"/>
      </w:pPr>
      <w:r>
        <w:t xml:space="preserve">Interview sexual contacts of patients using </w:t>
      </w:r>
      <w:r w:rsidR="00CE5952">
        <w:t>Attachment</w:t>
      </w:r>
      <w:r>
        <w:t xml:space="preserve"> </w:t>
      </w:r>
      <w:r w:rsidR="00A6577F">
        <w:t>7</w:t>
      </w:r>
      <w:r>
        <w:t xml:space="preserve"> to determine if they had a clinically compatible illness after sexual contact with an OROV disease patient</w:t>
      </w:r>
      <w:r w:rsidR="00D76959">
        <w:t xml:space="preserve"> and when their symptoms occurred relative to any travel</w:t>
      </w:r>
      <w:r>
        <w:t>.</w:t>
      </w:r>
    </w:p>
    <w:p w:rsidR="00AE3784" w:rsidP="00AE3784" w14:paraId="30436F88" w14:textId="77777777">
      <w:pPr>
        <w:pStyle w:val="ListParagraph"/>
        <w:numPr>
          <w:ilvl w:val="1"/>
          <w:numId w:val="7"/>
        </w:numPr>
        <w:spacing w:after="0" w:line="240" w:lineRule="auto"/>
      </w:pPr>
      <w:r>
        <w:t>Obtain consent to collect a serum sample from sexual contacts who reported being symptomatic to test for the presence of RNA or neutralizing antibodies to OROV, depending on time from symptom onset to sample collection.</w:t>
      </w:r>
    </w:p>
    <w:p w:rsidR="00AE3784" w:rsidP="00AE3784" w14:paraId="261A8E79" w14:textId="77777777">
      <w:pPr>
        <w:pStyle w:val="ListParagraph"/>
        <w:numPr>
          <w:ilvl w:val="2"/>
          <w:numId w:val="7"/>
        </w:numPr>
        <w:spacing w:after="0" w:line="240" w:lineRule="auto"/>
      </w:pPr>
      <w:r>
        <w:t xml:space="preserve">If, after testing, contact meets case definition for confirmed or probable OROV disease, attempt to enroll in symptom and specimen collection components of investigation. </w:t>
      </w:r>
    </w:p>
    <w:p w:rsidR="00AE3784" w:rsidP="00581023" w14:paraId="332EA4A5" w14:textId="77777777">
      <w:pPr>
        <w:spacing w:after="0" w:line="240" w:lineRule="auto"/>
        <w:rPr>
          <w:u w:val="single"/>
        </w:rPr>
      </w:pPr>
    </w:p>
    <w:p w:rsidR="00581023" w:rsidRPr="006A18CF" w:rsidP="00581023" w14:paraId="1658D0A6" w14:textId="076B1C70">
      <w:pPr>
        <w:spacing w:after="0" w:line="240" w:lineRule="auto"/>
        <w:rPr>
          <w:i/>
          <w:iCs/>
        </w:rPr>
      </w:pPr>
      <w:r w:rsidRPr="006A18CF">
        <w:rPr>
          <w:i/>
          <w:iCs/>
        </w:rPr>
        <w:t xml:space="preserve">Follow-up: </w:t>
      </w:r>
    </w:p>
    <w:p w:rsidR="00F916B3" w:rsidP="00F916B3" w14:paraId="5E879F53" w14:textId="38A71DB7">
      <w:pPr>
        <w:spacing w:after="0" w:line="240" w:lineRule="auto"/>
      </w:pPr>
      <w:r>
        <w:t>The following activities will be completed weekly for the first four weeks after symptom onset, and then every two weeks until 1</w:t>
      </w:r>
      <w:r w:rsidR="00BA058C">
        <w:t>2</w:t>
      </w:r>
      <w:r>
        <w:t xml:space="preserve"> weeks after symptom onset</w:t>
      </w:r>
      <w:r w:rsidRPr="00BA058C" w:rsidR="00BA058C">
        <w:t>, and then at 16 weeks after symptom onset</w:t>
      </w:r>
      <w:r>
        <w:t xml:space="preserve">: </w:t>
      </w:r>
    </w:p>
    <w:p w:rsidR="00F916B3" w:rsidP="00F916B3" w14:paraId="13F80FD7" w14:textId="77BB46FB">
      <w:pPr>
        <w:pStyle w:val="ListParagraph"/>
        <w:numPr>
          <w:ilvl w:val="0"/>
          <w:numId w:val="8"/>
        </w:numPr>
        <w:spacing w:after="0" w:line="240" w:lineRule="auto"/>
      </w:pPr>
      <w:r>
        <w:t>Complete abbreviated clinical survey (</w:t>
      </w:r>
      <w:r w:rsidR="00CE5952">
        <w:t>Attachment</w:t>
      </w:r>
      <w:r>
        <w:t xml:space="preserve"> </w:t>
      </w:r>
      <w:r w:rsidR="00CB5FBD">
        <w:t>4</w:t>
      </w:r>
      <w:r>
        <w:t>) until participant reports no symptoms for 4 weeks</w:t>
      </w:r>
    </w:p>
    <w:p w:rsidR="00F916B3" w:rsidP="00F916B3" w14:paraId="2E847908" w14:textId="77777777">
      <w:pPr>
        <w:pStyle w:val="ListParagraph"/>
        <w:numPr>
          <w:ilvl w:val="0"/>
          <w:numId w:val="8"/>
        </w:numPr>
        <w:spacing w:after="0" w:line="240" w:lineRule="auto"/>
      </w:pPr>
      <w:r>
        <w:t>Complete specimen collection (see “Specimen Collection” section below)</w:t>
      </w:r>
    </w:p>
    <w:p w:rsidR="00F916B3" w:rsidP="00F916B3" w14:paraId="2B23FE26" w14:textId="77777777">
      <w:pPr>
        <w:spacing w:after="0" w:line="240" w:lineRule="auto"/>
      </w:pPr>
    </w:p>
    <w:p w:rsidR="00F916B3" w:rsidP="00F916B3" w14:paraId="1ED9D445" w14:textId="71844599">
      <w:r>
        <w:t xml:space="preserve">Time points for data and specimen collection will allow for 4 days on either side of the collection date. For example, if 8 weeks post onset is </w:t>
      </w:r>
      <w:r w:rsidR="0ED6AE04">
        <w:t xml:space="preserve">November </w:t>
      </w:r>
      <w:r>
        <w:t xml:space="preserve">20, week 8 samples and/or symptoms could be collected from </w:t>
      </w:r>
      <w:r w:rsidR="0F003F8C">
        <w:t>November</w:t>
      </w:r>
      <w:r w:rsidR="001804D9">
        <w:t xml:space="preserve"> </w:t>
      </w:r>
      <w:r>
        <w:t xml:space="preserve">16 through </w:t>
      </w:r>
      <w:r w:rsidR="6490873C">
        <w:t>November</w:t>
      </w:r>
      <w:r w:rsidR="001804D9">
        <w:t xml:space="preserve"> </w:t>
      </w:r>
      <w:r>
        <w:t xml:space="preserve">24. </w:t>
      </w:r>
      <w:r w:rsidRPr="007D483B" w:rsidR="007D483B">
        <w:t>The one exception is if an individual is enrolled &gt;12 weeks after their symptom onset. Individuals can be enrolled between 13-16 weeks and will only have the one visit without follow-up visits conducted.</w:t>
      </w:r>
    </w:p>
    <w:p w:rsidR="00581023" w:rsidP="00581023" w14:paraId="4A5D3D4C" w14:textId="15DB88EC">
      <w:r>
        <w:t xml:space="preserve">If participants miss a time point, we will still attempt to collect specimens and symptoms at the next scheduled time point, but they will not be included in calculating frequencies of symptoms or viral RNA positivity for the missed time point. </w:t>
      </w:r>
    </w:p>
    <w:p w:rsidR="00581023" w:rsidP="00581023" w14:paraId="76056938" w14:textId="77777777">
      <w:pPr>
        <w:spacing w:after="0" w:line="240" w:lineRule="auto"/>
      </w:pPr>
    </w:p>
    <w:p w:rsidR="00581023" w:rsidRPr="006A18CF" w:rsidP="00581023" w14:paraId="48A276AA" w14:textId="77777777">
      <w:pPr>
        <w:rPr>
          <w:i/>
          <w:iCs/>
        </w:rPr>
      </w:pPr>
      <w:bookmarkStart w:id="5" w:name="_Toc178241920"/>
      <w:r w:rsidRPr="006A18CF">
        <w:rPr>
          <w:i/>
          <w:iCs/>
        </w:rPr>
        <w:t xml:space="preserve">Specimen Collection </w:t>
      </w:r>
      <w:bookmarkEnd w:id="5"/>
    </w:p>
    <w:p w:rsidR="006A18CF" w:rsidP="006A18CF" w14:paraId="301D5700" w14:textId="033E6D85">
      <w:pPr>
        <w:spacing w:after="0"/>
      </w:pPr>
      <w:r>
        <w:t>Participants in the sample collection investigation will be asked to donate blood, semen or vaginal secretions, urine, and saliva. All sample types will be collected weekly through 4 weeks post symptom onset. Then, all specimen types except for blood will be collected every two weeks until 12 weeks after symptom onset</w:t>
      </w:r>
      <w:r w:rsidR="00075D55">
        <w:t xml:space="preserve"> and at 16 weeks after symptom onset</w:t>
      </w:r>
      <w:r>
        <w:t>. If a case patient reports breastfeeding during initial interview, they will be asked if they consent to submit a sample of breast milk for OROV testing, but breast milk will not be collected repeatedly. Participants can refuse to submit any of the specimen types.</w:t>
      </w:r>
    </w:p>
    <w:p w:rsidR="006A18CF" w:rsidP="006A18CF" w14:paraId="709F6660" w14:textId="77777777">
      <w:pPr>
        <w:spacing w:after="0"/>
      </w:pPr>
    </w:p>
    <w:p w:rsidR="006A18CF" w:rsidP="006A18CF" w14:paraId="2E2766BD" w14:textId="5BF51A28">
      <w:r>
        <w:t xml:space="preserve">Blood (whole blood and serum) will be collected at local or state health department clinics. If the patient does not live near a health department clinic or the health department does not have capacity to collect blood, alternative blood collection sites include the patient’s physician’s office or using a contracted phlebotomy service. </w:t>
      </w:r>
      <w:r w:rsidR="002C695D">
        <w:t>Blood will be spun down and serum removed and placed into a separate tube. Sample can be kept refrigerated (4</w:t>
      </w:r>
      <w:r w:rsidR="002C695D">
        <w:rPr>
          <w:rFonts w:cstheme="minorHAnsi"/>
        </w:rPr>
        <w:t>°</w:t>
      </w:r>
      <w:r w:rsidR="002C695D">
        <w:t xml:space="preserve">C) until it is sent to CDC for testing. If the sample cannot be sent within one week, it should </w:t>
      </w:r>
      <w:r w:rsidR="002C695D">
        <w:t>frozen</w:t>
      </w:r>
      <w:r w:rsidR="002C695D">
        <w:t xml:space="preserve"> at -20</w:t>
      </w:r>
      <w:r w:rsidR="002C695D">
        <w:rPr>
          <w:rFonts w:cstheme="minorHAnsi"/>
        </w:rPr>
        <w:t>°</w:t>
      </w:r>
      <w:r w:rsidR="002C695D">
        <w:t>C to -80</w:t>
      </w:r>
      <w:r w:rsidR="002C695D">
        <w:rPr>
          <w:rFonts w:cstheme="minorHAnsi"/>
        </w:rPr>
        <w:t>°</w:t>
      </w:r>
      <w:r w:rsidR="002C695D">
        <w:t xml:space="preserve">C until it be sent. </w:t>
      </w:r>
      <w:r>
        <w:t>Other specimens are to be collected by the participant at home, with plain language instructions on sample collection, all equipment needed to collect samples, and box with prepaid shipping labels and ice packs provided to the participants via mail. Urine will be collected prior to semen or vaginal secretion samples.</w:t>
      </w:r>
    </w:p>
    <w:p w:rsidR="6D9F43FF" w:rsidP="23411F9C" w14:paraId="09B4E79E" w14:textId="58EDE1E3">
      <w:r>
        <w:t>Specimens will be shipped to CDC’s Arboviral Diseases Branch in Fort Collins, CO. Surveillance testing using real-time reverse transcription-polymerase chain reaction (</w:t>
      </w:r>
      <w:r>
        <w:t>rRT</w:t>
      </w:r>
      <w:r>
        <w:t xml:space="preserve">-PCR) will be performed on whole blood, semen, vaginal secretions, urine, saliva, and breast milk specimens to detect OROV viral RNA. Viral culture will be attempted on specimens that are positive on </w:t>
      </w:r>
      <w:r>
        <w:t>rRT</w:t>
      </w:r>
      <w:r>
        <w:t xml:space="preserve">-PCR and have a cycle threshold (CT) value that indicates the potential for intact virus (e.g., CT value &lt;32). Serum specimens will undergo diagnostic testing by either </w:t>
      </w:r>
      <w:r>
        <w:t>rRT</w:t>
      </w:r>
      <w:r>
        <w:t>-PCR or plaque reduction neutralization testing (PRNT), depending on the timing of specimen collection in relation to symptom onset.</w:t>
      </w:r>
    </w:p>
    <w:p w:rsidR="00581023" w:rsidRPr="007069E5" w:rsidP="00581023" w14:paraId="43F7168F" w14:textId="77777777">
      <w:pPr>
        <w:spacing w:after="0" w:line="240" w:lineRule="auto"/>
        <w:rPr>
          <w:b/>
          <w:bCs/>
        </w:rPr>
      </w:pPr>
    </w:p>
    <w:p w:rsidR="00581023" w:rsidRPr="006A18CF" w:rsidP="00581023" w14:paraId="792952E6" w14:textId="77777777">
      <w:pPr>
        <w:rPr>
          <w:i/>
          <w:iCs/>
        </w:rPr>
      </w:pPr>
      <w:bookmarkStart w:id="6" w:name="_Toc178241921"/>
      <w:r w:rsidRPr="006A18CF">
        <w:rPr>
          <w:i/>
          <w:iCs/>
        </w:rPr>
        <w:t>Data Collection Tools</w:t>
      </w:r>
      <w:bookmarkEnd w:id="6"/>
    </w:p>
    <w:p w:rsidR="005B31F1" w:rsidP="00BD177A" w14:paraId="21A0BD32" w14:textId="53AC53CE">
      <w:pPr>
        <w:spacing w:after="0" w:line="240" w:lineRule="auto"/>
      </w:pPr>
      <w:r>
        <w:t>Initial Clinical</w:t>
      </w:r>
      <w:r w:rsidR="2E77FF31">
        <w:t xml:space="preserve"> and Social</w:t>
      </w:r>
      <w:r>
        <w:t xml:space="preserve"> Survey (</w:t>
      </w:r>
      <w:r w:rsidR="00CE5952">
        <w:t>Attachment</w:t>
      </w:r>
      <w:r>
        <w:t xml:space="preserve"> </w:t>
      </w:r>
      <w:r w:rsidR="00B43E11">
        <w:t>3</w:t>
      </w:r>
      <w:r>
        <w:t>)</w:t>
      </w:r>
      <w:r w:rsidR="00FE02E0">
        <w:t xml:space="preserve">: </w:t>
      </w:r>
      <w:r w:rsidR="00AD27E5">
        <w:t xml:space="preserve">this tool </w:t>
      </w:r>
      <w:r w:rsidR="00FE02E0">
        <w:t xml:space="preserve">collects information </w:t>
      </w:r>
      <w:r w:rsidR="00BD177A">
        <w:t>including</w:t>
      </w:r>
      <w:r w:rsidR="00FE02E0">
        <w:t xml:space="preserve"> d</w:t>
      </w:r>
      <w:r>
        <w:t>emographics</w:t>
      </w:r>
      <w:r w:rsidR="00BD177A">
        <w:t>, s</w:t>
      </w:r>
      <w:r>
        <w:t>igns and symptoms</w:t>
      </w:r>
      <w:r w:rsidR="00BD177A">
        <w:t xml:space="preserve"> experienced </w:t>
      </w:r>
      <w:r w:rsidR="00AD27E5">
        <w:t xml:space="preserve">up until that time </w:t>
      </w:r>
      <w:r w:rsidR="00BD177A">
        <w:t>(</w:t>
      </w:r>
      <w:r w:rsidR="007267CE">
        <w:t xml:space="preserve">e.g., </w:t>
      </w:r>
      <w:r w:rsidR="00BD177A">
        <w:t>o</w:t>
      </w:r>
      <w:r>
        <w:t>nset, what symptoms were experienced, severity of disease, recurrence of symptoms</w:t>
      </w:r>
      <w:r w:rsidR="00BD177A">
        <w:t>), u</w:t>
      </w:r>
      <w:r>
        <w:t>nderlying</w:t>
      </w:r>
      <w:r w:rsidR="00BD177A">
        <w:t xml:space="preserve"> </w:t>
      </w:r>
      <w:r>
        <w:t>conditions/medical history</w:t>
      </w:r>
      <w:r w:rsidR="00BD177A">
        <w:t>, t</w:t>
      </w:r>
      <w:r>
        <w:t>ravel history</w:t>
      </w:r>
      <w:r w:rsidR="00BD177A">
        <w:t>, and p</w:t>
      </w:r>
      <w:r>
        <w:t>otential risk factors for infection</w:t>
      </w:r>
      <w:r w:rsidR="00BD177A">
        <w:t xml:space="preserve"> during travel</w:t>
      </w:r>
      <w:r>
        <w:t xml:space="preserve"> (e.g.</w:t>
      </w:r>
      <w:r w:rsidR="007D7188">
        <w:t>,</w:t>
      </w:r>
      <w:r>
        <w:t xml:space="preserve"> </w:t>
      </w:r>
      <w:r w:rsidR="007D7188">
        <w:t>outdoor activities, time spent outdoors, insect repellent use)</w:t>
      </w:r>
      <w:r w:rsidR="007267CE">
        <w:t>.</w:t>
      </w:r>
    </w:p>
    <w:p w:rsidR="00581023" w:rsidP="00BD177A" w14:paraId="5DF9B56D" w14:textId="3A3F18A1">
      <w:pPr>
        <w:spacing w:after="0" w:line="240" w:lineRule="auto"/>
      </w:pPr>
      <w:r>
        <w:t xml:space="preserve"> </w:t>
      </w:r>
      <w:r w:rsidR="007267CE">
        <w:t xml:space="preserve"> </w:t>
      </w:r>
    </w:p>
    <w:p w:rsidR="00581023" w:rsidP="00367EBE" w14:paraId="7636668F" w14:textId="43E2E483">
      <w:pPr>
        <w:spacing w:after="0" w:line="240" w:lineRule="auto"/>
      </w:pPr>
      <w:r>
        <w:t>Follow-up Clinical Survey (</w:t>
      </w:r>
      <w:r w:rsidR="00CE5952">
        <w:t>Attachment</w:t>
      </w:r>
      <w:r w:rsidR="00B43E11">
        <w:t xml:space="preserve"> 4</w:t>
      </w:r>
      <w:r>
        <w:t>)</w:t>
      </w:r>
      <w:r w:rsidR="007267CE">
        <w:t xml:space="preserve">: </w:t>
      </w:r>
      <w:r w:rsidR="007D7188">
        <w:t xml:space="preserve">this tool will </w:t>
      </w:r>
      <w:r w:rsidR="007267CE">
        <w:t xml:space="preserve">collect </w:t>
      </w:r>
      <w:r w:rsidR="00331F2E">
        <w:t xml:space="preserve">information on symptoms experienced since the participant’s most recent clinical survey, </w:t>
      </w:r>
      <w:r w:rsidR="00367EBE">
        <w:t>including o</w:t>
      </w:r>
      <w:r>
        <w:t xml:space="preserve">nset, recurrence and duration, </w:t>
      </w:r>
      <w:r w:rsidR="00367EBE">
        <w:t xml:space="preserve">and </w:t>
      </w:r>
      <w:r>
        <w:t xml:space="preserve">specific </w:t>
      </w:r>
      <w:r>
        <w:t>signs and symptoms</w:t>
      </w:r>
      <w:r w:rsidR="00367EBE">
        <w:t xml:space="preserve">. This tool will help determine if specific symptoms are ongoing or have recurred since </w:t>
      </w:r>
      <w:r w:rsidR="00BF5DD9">
        <w:t xml:space="preserve">previous surveys. </w:t>
      </w:r>
    </w:p>
    <w:p w:rsidR="00BF5DD9" w:rsidP="00367EBE" w14:paraId="6D8537EB" w14:textId="77777777">
      <w:pPr>
        <w:spacing w:after="0" w:line="240" w:lineRule="auto"/>
      </w:pPr>
    </w:p>
    <w:p w:rsidR="00DD4CAA" w:rsidP="00DD4CAA" w14:paraId="18B5E892" w14:textId="32C1EADA">
      <w:pPr>
        <w:spacing w:after="0" w:line="240" w:lineRule="auto"/>
      </w:pPr>
      <w:r>
        <w:t>S</w:t>
      </w:r>
      <w:r w:rsidR="00581023">
        <w:t>ymptom Diary (</w:t>
      </w:r>
      <w:r w:rsidR="00CE5952">
        <w:t>Attachment</w:t>
      </w:r>
      <w:r w:rsidR="00581023">
        <w:t xml:space="preserve"> </w:t>
      </w:r>
      <w:r w:rsidR="00B43E11">
        <w:t>5</w:t>
      </w:r>
      <w:r w:rsidR="00581023">
        <w:t>)</w:t>
      </w:r>
      <w:r>
        <w:t xml:space="preserve">: </w:t>
      </w:r>
      <w:r w:rsidR="00D647D9">
        <w:t>in order to</w:t>
      </w:r>
      <w:r w:rsidR="00D647D9">
        <w:t xml:space="preserve"> reduce recall bias in follow-up clinical surveys, </w:t>
      </w:r>
      <w:r>
        <w:t xml:space="preserve">this tool will be distributed to participants so they can record </w:t>
      </w:r>
      <w:r w:rsidR="00D647D9">
        <w:t>d</w:t>
      </w:r>
      <w:r w:rsidR="00581023">
        <w:t xml:space="preserve">etails on specific symptoms </w:t>
      </w:r>
      <w:r w:rsidR="00D647D9">
        <w:t>they experience</w:t>
      </w:r>
      <w:r>
        <w:t xml:space="preserve"> on a daily basis. This tool will be used to complete the Follow-up Clinical Survey. </w:t>
      </w:r>
    </w:p>
    <w:p w:rsidR="00DD4CAA" w:rsidP="00DD4CAA" w14:paraId="25D07CF4" w14:textId="77777777">
      <w:pPr>
        <w:spacing w:after="0" w:line="240" w:lineRule="auto"/>
      </w:pPr>
    </w:p>
    <w:p w:rsidR="00AA53FC" w:rsidP="00AA53FC" w14:paraId="7197C9C4" w14:textId="5355D89A">
      <w:pPr>
        <w:spacing w:after="0" w:line="240" w:lineRule="auto"/>
      </w:pPr>
      <w:r>
        <w:t>Contact Tracing Survey (</w:t>
      </w:r>
      <w:r w:rsidR="00CE5952">
        <w:t>Attachment</w:t>
      </w:r>
      <w:r>
        <w:t xml:space="preserve"> </w:t>
      </w:r>
      <w:r w:rsidR="00B43E11">
        <w:t>6</w:t>
      </w:r>
      <w:r>
        <w:t>)</w:t>
      </w:r>
      <w:r w:rsidR="00DD4CAA">
        <w:t xml:space="preserve">: </w:t>
      </w:r>
      <w:r w:rsidR="005269CB">
        <w:t>this tool will collect the n</w:t>
      </w:r>
      <w:r>
        <w:t xml:space="preserve">umber of sexual partners (who did not travel) between returning from travel and </w:t>
      </w:r>
      <w:r w:rsidR="005269CB">
        <w:t>6 weeks</w:t>
      </w:r>
      <w:r>
        <w:t xml:space="preserve"> post symptom onset</w:t>
      </w:r>
      <w:r w:rsidR="005269CB">
        <w:t xml:space="preserve"> and then for each sexual partner</w:t>
      </w:r>
      <w:r>
        <w:t xml:space="preserve"> will collect information on the timing and type of sexual contact, use of condoms or other barrier contraception, and contact information for eligible sexual partners. </w:t>
      </w:r>
    </w:p>
    <w:p w:rsidR="00AA53FC" w:rsidP="00AA53FC" w14:paraId="7A6918BC" w14:textId="77777777">
      <w:pPr>
        <w:spacing w:after="0" w:line="240" w:lineRule="auto"/>
      </w:pPr>
    </w:p>
    <w:p w:rsidR="00481860" w:rsidP="00EF7BFD" w14:paraId="4CDB208D" w14:textId="41FCF06F">
      <w:pPr>
        <w:spacing w:after="0" w:line="240" w:lineRule="auto"/>
      </w:pPr>
      <w:r>
        <w:t>Sexual Contact Interview (</w:t>
      </w:r>
      <w:r w:rsidR="00CE5952">
        <w:t>Attachment</w:t>
      </w:r>
      <w:r>
        <w:t xml:space="preserve"> </w:t>
      </w:r>
      <w:r w:rsidR="00B43E11">
        <w:t>7</w:t>
      </w:r>
      <w:r>
        <w:t>)</w:t>
      </w:r>
      <w:r w:rsidR="00AA53FC">
        <w:t xml:space="preserve">: this tool will be used to interview sexual contacts </w:t>
      </w:r>
      <w:r w:rsidR="008C520C">
        <w:t>to c</w:t>
      </w:r>
      <w:r>
        <w:t xml:space="preserve">onfirm </w:t>
      </w:r>
      <w:r w:rsidR="008C520C">
        <w:t xml:space="preserve">that they had </w:t>
      </w:r>
      <w:r>
        <w:t>no r</w:t>
      </w:r>
      <w:r w:rsidR="008C520C">
        <w:t>ecent</w:t>
      </w:r>
      <w:r>
        <w:t xml:space="preserve"> travel history</w:t>
      </w:r>
      <w:r w:rsidR="008C520C">
        <w:t xml:space="preserve"> to places</w:t>
      </w:r>
      <w:r w:rsidR="00F055F0">
        <w:t xml:space="preserve"> with local transmission of OROV, and to see if they had any symptoms </w:t>
      </w:r>
      <w:r w:rsidR="00EF7BFD">
        <w:t xml:space="preserve">consistent with OROV disease within 2 weeks after any sexual contact with the case patient. </w:t>
      </w:r>
      <w:r w:rsidR="00B555E3">
        <w:t xml:space="preserve">This information will identify possible instances of sexual transmission of OROV </w:t>
      </w:r>
      <w:r w:rsidR="00EC75A1">
        <w:t xml:space="preserve">so we can ask sexual contacts to submit a blood specimen for OROV testing. </w:t>
      </w:r>
    </w:p>
    <w:p w:rsidR="003419B3" w:rsidP="003419B3" w14:paraId="55FE17B8" w14:textId="785072A8"/>
    <w:p w:rsidR="009C7774" w:rsidP="003419B3" w14:paraId="0CDED509" w14:textId="250EF132">
      <w:pPr>
        <w:rPr>
          <w:i/>
          <w:iCs/>
        </w:rPr>
      </w:pPr>
      <w:r>
        <w:rPr>
          <w:i/>
          <w:iCs/>
        </w:rPr>
        <w:t>Experience to Date</w:t>
      </w:r>
    </w:p>
    <w:p w:rsidR="00E64E84" w:rsidRPr="00E64E84" w:rsidP="003419B3" w14:paraId="528F81D2" w14:textId="2C90B3F7">
      <w:r>
        <w:t xml:space="preserve">Since the initiation of this protocol, one </w:t>
      </w:r>
      <w:r>
        <w:t>Oropouche</w:t>
      </w:r>
      <w:r>
        <w:t xml:space="preserve"> patient has been </w:t>
      </w:r>
      <w:r w:rsidR="00A24876">
        <w:t xml:space="preserve">successfully </w:t>
      </w:r>
      <w:r>
        <w:t>enrolled.</w:t>
      </w:r>
      <w:r w:rsidR="00A24876">
        <w:t xml:space="preserve"> </w:t>
      </w:r>
      <w:r>
        <w:t>We anticipate that more travel-associated cases in the United States will be detected</w:t>
      </w:r>
      <w:r w:rsidR="00A24876">
        <w:t xml:space="preserve"> February- October because of seasonal transmission patterns. </w:t>
      </w:r>
    </w:p>
    <w:p w:rsidR="004A13E8" w:rsidP="004A13E8" w14:paraId="55FE17B9" w14:textId="77777777">
      <w:pPr>
        <w:pStyle w:val="Heading1"/>
      </w:pPr>
      <w:bookmarkStart w:id="7" w:name="_Toc180072817"/>
      <w:r>
        <w:t>Use of Improved Information Technology and Burden Reduction</w:t>
      </w:r>
      <w:bookmarkEnd w:id="7"/>
    </w:p>
    <w:p w:rsidR="008D5AEA" w:rsidRPr="008D5AEA" w:rsidP="008D5AEA" w14:paraId="55FE17BB" w14:textId="2AA1FAB8">
      <w:r w:rsidRPr="008D0528">
        <w:t xml:space="preserve">Information will be collected </w:t>
      </w:r>
      <w:r w:rsidR="00E53069">
        <w:t xml:space="preserve">via </w:t>
      </w:r>
      <w:r w:rsidR="00833C91">
        <w:t xml:space="preserve">telephone interviews and recorded </w:t>
      </w:r>
      <w:r w:rsidRPr="008D0528">
        <w:t>on paper forms</w:t>
      </w:r>
      <w:r w:rsidR="00833C91">
        <w:t xml:space="preserve"> or fillable PDFs</w:t>
      </w:r>
      <w:r w:rsidRPr="008D0528">
        <w:t xml:space="preserve">. </w:t>
      </w:r>
      <w:r w:rsidR="004719A5">
        <w:t xml:space="preserve">Participants will not be able to </w:t>
      </w:r>
      <w:r w:rsidR="005E05F5">
        <w:t xml:space="preserve">enter their responses via an electronic form. </w:t>
      </w:r>
      <w:r w:rsidR="004719A5">
        <w:t>Survey d</w:t>
      </w:r>
      <w:r w:rsidR="00833C91">
        <w:t>ata</w:t>
      </w:r>
      <w:r w:rsidRPr="008D0528">
        <w:t xml:space="preserve"> will be entered into a</w:t>
      </w:r>
      <w:r w:rsidR="004719A5">
        <w:t>n electronic</w:t>
      </w:r>
      <w:r w:rsidRPr="008D0528">
        <w:t xml:space="preserve"> database regularly. Data will be organized in a </w:t>
      </w:r>
      <w:r w:rsidRPr="008D0528">
        <w:t>REDCap</w:t>
      </w:r>
      <w:r w:rsidRPr="008D0528">
        <w:t xml:space="preserve"> database stored on a secure server at CDC. Data files will be restricted to </w:t>
      </w:r>
      <w:r w:rsidR="00303198">
        <w:t>investigation</w:t>
      </w:r>
      <w:r w:rsidRPr="008D0528">
        <w:t xml:space="preserve"> staff via a secure share folder. Paper forms and electronic devices will be kept locked when not in use.</w:t>
      </w:r>
    </w:p>
    <w:p w:rsidR="004A13E8" w:rsidP="004A13E8" w14:paraId="55FE17BC" w14:textId="77777777">
      <w:pPr>
        <w:pStyle w:val="Heading1"/>
      </w:pPr>
      <w:bookmarkStart w:id="8" w:name="_Toc180072818"/>
      <w:r>
        <w:t>Efforts to Identify Duplication and Use of Similar Information</w:t>
      </w:r>
      <w:bookmarkEnd w:id="8"/>
    </w:p>
    <w:p w:rsidR="003B2FB4" w:rsidRPr="003B2FB4" w:rsidP="003B2FB4" w14:paraId="55FE17BE" w14:textId="0AAA4943">
      <w:r>
        <w:t>CDC is not aware of the availability of any similar information.</w:t>
      </w:r>
      <w:r w:rsidR="00372FD1">
        <w:t xml:space="preserve"> </w:t>
      </w:r>
      <w:r w:rsidRPr="005C092E" w:rsidR="00372FD1">
        <w:t xml:space="preserve">There </w:t>
      </w:r>
      <w:r w:rsidRPr="005C092E" w:rsidR="00421B29">
        <w:t xml:space="preserve">are </w:t>
      </w:r>
      <w:r w:rsidR="63C6229F">
        <w:t>existing</w:t>
      </w:r>
      <w:r w:rsidRPr="005C092E" w:rsidR="00372FD1">
        <w:t xml:space="preserve"> case reports </w:t>
      </w:r>
      <w:r w:rsidRPr="005C092E" w:rsidR="00B041ED">
        <w:t xml:space="preserve">and case series </w:t>
      </w:r>
      <w:r w:rsidRPr="005C092E" w:rsidR="00372FD1">
        <w:t xml:space="preserve">describing the symptoms experienced and </w:t>
      </w:r>
      <w:r w:rsidRPr="005C092E" w:rsidR="002D18C6">
        <w:t xml:space="preserve">specimens that contained OROV viral RNA, but </w:t>
      </w:r>
      <w:r w:rsidRPr="005C092E" w:rsidR="00772A1C">
        <w:t>these have been reports</w:t>
      </w:r>
      <w:r w:rsidRPr="005C092E" w:rsidR="00B041ED">
        <w:t xml:space="preserve"> of </w:t>
      </w:r>
      <w:r w:rsidRPr="005C092E" w:rsidR="00421B29">
        <w:t>individual or small numbers of</w:t>
      </w:r>
      <w:r w:rsidRPr="005C092E" w:rsidR="00B041ED">
        <w:t xml:space="preserve"> cases</w:t>
      </w:r>
      <w:r w:rsidRPr="005C092E" w:rsidR="00772A1C">
        <w:t xml:space="preserve">. </w:t>
      </w:r>
      <w:r w:rsidRPr="005C092E" w:rsidR="43FD6B00">
        <w:t>CDC engages across the US</w:t>
      </w:r>
      <w:r w:rsidRPr="005C092E" w:rsidR="00421B29">
        <w:t xml:space="preserve"> government</w:t>
      </w:r>
      <w:r w:rsidRPr="005C092E" w:rsidR="43FD6B00">
        <w:t>, particularly with NIH</w:t>
      </w:r>
      <w:r w:rsidRPr="005C092E" w:rsidR="005C092E">
        <w:t>,</w:t>
      </w:r>
      <w:r w:rsidRPr="005C092E" w:rsidR="43FD6B00">
        <w:t xml:space="preserve"> to ensure coordination of efforts and avoid duplication of information collection.</w:t>
      </w:r>
    </w:p>
    <w:p w:rsidR="00DC57CC" w:rsidP="004A13E8" w14:paraId="55FE17BF" w14:textId="77777777">
      <w:pPr>
        <w:pStyle w:val="Heading1"/>
      </w:pPr>
      <w:bookmarkStart w:id="9" w:name="_Toc180072819"/>
      <w:r>
        <w:t>Impact on Small Businesses or Other Small Entities</w:t>
      </w:r>
      <w:bookmarkEnd w:id="9"/>
    </w:p>
    <w:p w:rsidR="004A13E8" w:rsidRPr="004A13E8" w:rsidP="004A13E8" w14:paraId="55FE17C2" w14:textId="2A1D7831">
      <w:r w:rsidRPr="000C040F">
        <w:t>This data collection will not involve small businesses.</w:t>
      </w:r>
      <w:r>
        <w:t xml:space="preserve"> </w:t>
      </w:r>
      <w:r w:rsidRPr="00F04C60" w:rsidR="00F04C60">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rsidR="004A13E8" w:rsidP="004A13E8" w14:paraId="55FE17C3" w14:textId="77777777">
      <w:pPr>
        <w:pStyle w:val="Heading1"/>
      </w:pPr>
      <w:bookmarkStart w:id="10" w:name="_Toc180072820"/>
      <w:r>
        <w:t>Consequences of Collecting the Information Less Frequently</w:t>
      </w:r>
      <w:bookmarkEnd w:id="10"/>
    </w:p>
    <w:p w:rsidR="007B4488" w:rsidP="007B4488" w14:paraId="0B573C2B" w14:textId="184A1727">
      <w:r>
        <w:t xml:space="preserve">CDC activities pertaining to the </w:t>
      </w:r>
      <w:r>
        <w:t>Oropouche</w:t>
      </w:r>
      <w:r>
        <w:t xml:space="preserve"> virus response would be significantly hindered if it were not able to collect the information at the frequency necessary to prohibit the spread of this disease.  </w:t>
      </w:r>
    </w:p>
    <w:p w:rsidR="001523DF" w:rsidP="001523DF" w14:paraId="55FE17C5" w14:textId="283877F6">
      <w:r>
        <w:t xml:space="preserve">Collecting information less frequently than the CDC recommendations would interfere with the public health actions required to contain and respond to </w:t>
      </w:r>
      <w:r>
        <w:t>Oropouche</w:t>
      </w:r>
      <w:r>
        <w:t xml:space="preserve"> virus transmission and to do everything possible to limit, if not stop, </w:t>
      </w:r>
      <w:r w:rsidR="001857FC">
        <w:t xml:space="preserve">mortality </w:t>
      </w:r>
      <w:r w:rsidR="00F20813">
        <w:t>and adverse pregnancy outcomes because of</w:t>
      </w:r>
      <w:r>
        <w:t xml:space="preserve"> this disease.  </w:t>
      </w:r>
    </w:p>
    <w:p w:rsidR="009B797D" w:rsidRPr="001523DF" w:rsidP="001523DF" w14:paraId="04352582" w14:textId="77777777"/>
    <w:p w:rsidR="004A13E8" w:rsidP="004A13E8" w14:paraId="55FE17C6" w14:textId="77777777">
      <w:pPr>
        <w:pStyle w:val="Heading1"/>
      </w:pPr>
      <w:bookmarkStart w:id="11" w:name="_Toc180072821"/>
      <w:r>
        <w:t>Special Circumstances Relating to the Guidelines of 5 CFR 1320.5</w:t>
      </w:r>
      <w:bookmarkEnd w:id="11"/>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2" w:name="_Toc180072822"/>
      <w:r>
        <w:t>Comments in Response to the Federal Register Notice and Efforts to Consult Outside the Agency</w:t>
      </w:r>
      <w:bookmarkEnd w:id="12"/>
    </w:p>
    <w:p w:rsidR="00611CB5" w:rsidP="00611CB5" w14:paraId="318EC067" w14:textId="1813C1D1">
      <w:r>
        <w:t xml:space="preserve">A) </w:t>
      </w:r>
      <w:r w:rsidR="001C6AA8">
        <w:t xml:space="preserve"> A 60-day Federal Register Notice was published in the Federal Register on 11/04/24 (Vol. 89, No. 213, p. 87585) (Attachment 2). CDC did not receive any comments related to the notice.</w:t>
      </w:r>
    </w:p>
    <w:p w:rsidR="00611CB5" w:rsidP="00611CB5" w14:paraId="75C547BD" w14:textId="1333DB33">
      <w:pPr>
        <w:rPr>
          <w:rFonts w:cs="Times New Roman"/>
          <w:szCs w:val="24"/>
        </w:rPr>
      </w:pPr>
      <w:r>
        <w:t xml:space="preserve">B) </w:t>
      </w:r>
      <w:r w:rsidRPr="00875ECE" w:rsidR="0002341C">
        <w:rPr>
          <w:rFonts w:cs="Times New Roman"/>
          <w:szCs w:val="24"/>
        </w:rPr>
        <w:t>Based on state and local health department input, CDC was better able to inform data collection across multiple jurisdictions to meet critical emergency response needs while also ensuring state and local health departments were not overly burdened with this collection.</w:t>
      </w:r>
    </w:p>
    <w:p w:rsidR="004A13E8" w:rsidP="004A13E8" w14:paraId="55FE17CB" w14:textId="2B61F1F9">
      <w:pPr>
        <w:pStyle w:val="Heading1"/>
      </w:pPr>
      <w:bookmarkStart w:id="13" w:name="_Toc180072823"/>
      <w:r>
        <w:t>Explanation of Any Payment or Gift to Respondents</w:t>
      </w:r>
      <w:bookmarkEnd w:id="13"/>
    </w:p>
    <w:p w:rsidR="00543D03" w:rsidP="004A13E8" w14:paraId="1D0E4603" w14:textId="2C850647">
      <w:r>
        <w:t xml:space="preserve">No payment or gift will be given to respondents in this investigation. </w:t>
      </w:r>
    </w:p>
    <w:p w:rsidR="004A13E8" w:rsidP="004A13E8" w14:paraId="55FE17CD" w14:textId="77777777">
      <w:pPr>
        <w:pStyle w:val="Heading1"/>
      </w:pPr>
      <w:bookmarkStart w:id="14" w:name="_Toc180072824"/>
      <w:r>
        <w:t>Protection of the Privacy and Confidentiality of Information Provided by Respondents</w:t>
      </w:r>
      <w:bookmarkEnd w:id="14"/>
    </w:p>
    <w:p w:rsidR="002F5BC9" w:rsidP="002F5BC9" w14:paraId="7F823638" w14:textId="203FE235">
      <w:r w:rsidRPr="00E0257E">
        <w:t>This information collection request has been reviewed by the CDC National Center for Emerging and Zoonotic Diseases (NCEZID). NCEZID has determined that the Privacy Act does apply to this information collection request</w:t>
      </w:r>
      <w:r w:rsidRPr="00E0257E" w:rsidR="001123FF">
        <w:t xml:space="preserve"> (Attachment 12)</w:t>
      </w:r>
      <w:r w:rsidRPr="00E0257E">
        <w:t xml:space="preserve">.  The applicable System of Records Notice is </w:t>
      </w:r>
      <w:r w:rsidRPr="00E0257E" w:rsidR="00421B0E">
        <w:t>09-20-0136</w:t>
      </w:r>
      <w:r w:rsidRPr="00E0257E">
        <w:t>.</w:t>
      </w:r>
    </w:p>
    <w:p w:rsidR="002F5BC9" w:rsidP="002F5BC9" w14:paraId="25B75F2E" w14:textId="788B1B99">
      <w:r>
        <w:t xml:space="preserve">All participant information contained on </w:t>
      </w:r>
      <w:r w:rsidR="004E455D">
        <w:t>investigation</w:t>
      </w:r>
      <w:r>
        <w:t xml:space="preserve"> forms, in laboratory records and reports, and in electronic files will be kept confidential. Specimens and </w:t>
      </w:r>
      <w:r w:rsidR="002F231C">
        <w:t>investigation</w:t>
      </w:r>
      <w:r>
        <w:t xml:space="preserve"> forms will be linked through a unique </w:t>
      </w:r>
      <w:r w:rsidR="002F231C">
        <w:t>participant</w:t>
      </w:r>
      <w:r>
        <w:t xml:space="preserve"> number only.</w:t>
      </w:r>
    </w:p>
    <w:p w:rsidR="002F5BC9" w:rsidP="002F5BC9" w14:paraId="3C348BB3" w14:textId="2C63A8CA">
      <w:r>
        <w:t xml:space="preserve">Only the </w:t>
      </w:r>
      <w:r w:rsidR="002F231C">
        <w:t>investigation</w:t>
      </w:r>
      <w:r>
        <w:t xml:space="preserve"> staff will have access to the participants’ information. Physical documents containing </w:t>
      </w:r>
      <w:r w:rsidR="002F231C">
        <w:t>investigation</w:t>
      </w:r>
      <w:r>
        <w:t xml:space="preserve"> data will be stored in a locked file cabinet in the CDC investigation coordinator’s office. These data collection forms will be destroyed at the time the investigation is complete</w:t>
      </w:r>
      <w:r w:rsidR="001F6725">
        <w:t>d.</w:t>
      </w:r>
      <w:r>
        <w:t xml:space="preserve"> At that same time, all PII will be deleted from the </w:t>
      </w:r>
      <w:r w:rsidR="001F6725">
        <w:t>investigation</w:t>
      </w:r>
      <w:r>
        <w:t xml:space="preserve"> database and any separate specimen data will be de-identified. All electronic files will subsequently be stored in a password protected database on a CDC secure network. The results from this </w:t>
      </w:r>
      <w:r w:rsidR="001F6725">
        <w:t>investigation</w:t>
      </w:r>
      <w:r>
        <w:t xml:space="preserve"> will be published or presented for scientific purposes in aggregate form only so that individuals cannot be identified.</w:t>
      </w:r>
    </w:p>
    <w:p w:rsidR="00DC3079" w:rsidRPr="00DC3079" w:rsidP="00110B65" w14:paraId="1299EE37" w14:textId="77777777">
      <w:pPr>
        <w:spacing w:after="0" w:line="240" w:lineRule="auto"/>
        <w:textAlignment w:val="baseline"/>
        <w:rPr>
          <w:b/>
          <w:bCs/>
        </w:rPr>
      </w:pPr>
      <w:bookmarkStart w:id="15" w:name="_Hlk159502648"/>
      <w:r w:rsidRPr="00DC3079">
        <w:t>Data will be kept private to the extent allowed by law.</w:t>
      </w:r>
      <w:bookmarkEnd w:id="15"/>
    </w:p>
    <w:p w:rsidR="00DC3079" w:rsidP="002F5BC9" w14:paraId="4C4E8328" w14:textId="77777777"/>
    <w:p w:rsidR="002F5BC9" w:rsidP="002F5BC9" w14:paraId="10BFDB2C" w14:textId="7428E586">
      <w:r>
        <w:t xml:space="preserve">Verbal informed consent will be sought over the telephone using a standardized </w:t>
      </w:r>
      <w:r w:rsidR="00272DC0">
        <w:t>forms</w:t>
      </w:r>
      <w:r>
        <w:t xml:space="preserve"> that include all required consent elements (</w:t>
      </w:r>
      <w:r w:rsidRPr="00FC18A2">
        <w:t>Attachment</w:t>
      </w:r>
      <w:r w:rsidRPr="00FC18A2" w:rsidR="00356D4C">
        <w:t xml:space="preserve">s </w:t>
      </w:r>
      <w:r w:rsidRPr="00FC18A2" w:rsidR="00FC18A2">
        <w:t>9–11</w:t>
      </w:r>
      <w:r w:rsidRPr="00FC18A2">
        <w:t>).</w:t>
      </w:r>
      <w:r>
        <w:t xml:space="preserve"> A copy of the consent form will be </w:t>
      </w:r>
      <w:r w:rsidR="00272DC0">
        <w:t xml:space="preserve">mailed or emailed to </w:t>
      </w:r>
      <w:r>
        <w:t>participants for their reference.</w:t>
      </w:r>
      <w:r w:rsidR="006124EF">
        <w:t xml:space="preserve"> Participants will </w:t>
      </w:r>
      <w:r w:rsidR="00730401">
        <w:t xml:space="preserve">consent to clinical interview, specimen collection, and sexual partner contact tracing separately and can choose </w:t>
      </w:r>
      <w:r w:rsidR="00963023">
        <w:t xml:space="preserve">which they would consent to participate in. </w:t>
      </w:r>
    </w:p>
    <w:p w:rsidR="009B797D" w:rsidP="002F5BC9" w14:paraId="624A2777" w14:textId="77777777"/>
    <w:p w:rsidR="009B797D" w:rsidP="002F5BC9" w14:paraId="4B6B52E0" w14:textId="77777777"/>
    <w:p w:rsidR="004A13E8" w:rsidP="004A13E8" w14:paraId="55FE17D0" w14:textId="77777777">
      <w:pPr>
        <w:pStyle w:val="Heading1"/>
      </w:pPr>
      <w:bookmarkStart w:id="16" w:name="_Toc180072825"/>
      <w:r>
        <w:t>Institutional Review Board (IRB) and Justification for Sensitive Questions</w:t>
      </w:r>
      <w:bookmarkEnd w:id="16"/>
    </w:p>
    <w:p w:rsidR="004A13E8" w:rsidP="004A13E8" w14:paraId="55FE17D1" w14:textId="77777777">
      <w:pPr>
        <w:rPr>
          <w:u w:val="single"/>
        </w:rPr>
      </w:pPr>
      <w:r>
        <w:rPr>
          <w:u w:val="single"/>
        </w:rPr>
        <w:t>Institutional Review Board (IRB)</w:t>
      </w:r>
    </w:p>
    <w:p w:rsidR="004A13E8" w:rsidP="004A13E8" w14:paraId="55FE17D2" w14:textId="55F7706C">
      <w:r>
        <w:t>NCEZID’s Human Subjects Advisor has determined that information collection is not research involving human subjects</w:t>
      </w:r>
      <w:r w:rsidR="00523755">
        <w:t xml:space="preserve"> (Attachment 1</w:t>
      </w:r>
      <w:r w:rsidR="001123FF">
        <w:t>3</w:t>
      </w:r>
      <w:r w:rsidR="00523755">
        <w:t>)</w:t>
      </w:r>
      <w:r>
        <w:t xml:space="preserve">. IRB approval </w:t>
      </w:r>
      <w:r w:rsidR="001E08A8">
        <w:t>is</w:t>
      </w:r>
      <w:r>
        <w:t xml:space="preserve"> not required.</w:t>
      </w:r>
    </w:p>
    <w:p w:rsidR="00A67086" w:rsidRPr="004A13E8" w:rsidP="004A13E8" w14:paraId="55FE17D3" w14:textId="6CF74484"/>
    <w:p w:rsidR="004A13E8" w:rsidRPr="0005699B" w:rsidP="004A13E8" w14:paraId="55FE17D4" w14:textId="77777777">
      <w:r>
        <w:rPr>
          <w:u w:val="single"/>
        </w:rPr>
        <w:t>Justification for Sensitive Questions</w:t>
      </w:r>
    </w:p>
    <w:p w:rsidR="00091053" w:rsidP="00091053" w14:paraId="5605078A" w14:textId="1A96A420">
      <w:r>
        <w:t xml:space="preserve">There is some risk of embarrassment or anxiety for the participant associated with </w:t>
      </w:r>
      <w:r w:rsidR="00893765">
        <w:t xml:space="preserve">recent sexual history interview and </w:t>
      </w:r>
      <w:r>
        <w:t xml:space="preserve">provision of semen </w:t>
      </w:r>
      <w:r w:rsidR="00893765">
        <w:t xml:space="preserve">or vaginal secretion </w:t>
      </w:r>
      <w:r>
        <w:t xml:space="preserve">samples. However, </w:t>
      </w:r>
      <w:r w:rsidR="00893765">
        <w:t>investigation</w:t>
      </w:r>
      <w:r>
        <w:t xml:space="preserve"> staff will be </w:t>
      </w:r>
      <w:r w:rsidR="00FE49C5">
        <w:t xml:space="preserve">trained in collecting sensitive information </w:t>
      </w:r>
      <w:r w:rsidR="006D2AE2">
        <w:t xml:space="preserve">and </w:t>
      </w:r>
      <w:r>
        <w:t xml:space="preserve">will assure the participant that they can stop or withdraw from the </w:t>
      </w:r>
      <w:r w:rsidR="00303198">
        <w:t>investigation</w:t>
      </w:r>
      <w:r>
        <w:t xml:space="preserve"> at any time.</w:t>
      </w:r>
      <w:r w:rsidR="006D2AE2">
        <w:t xml:space="preserve"> Semen and vaginal secretion samples will be collected by the participant in their own home, with clear instructions</w:t>
      </w:r>
      <w:r w:rsidR="003B45CD">
        <w:t xml:space="preserve"> to minimize any discomfort. </w:t>
      </w:r>
    </w:p>
    <w:p w:rsidR="0005699B" w:rsidRPr="0005699B" w:rsidP="004A13E8" w14:paraId="55FE17D6" w14:textId="483A45A9">
      <w:r>
        <w:t xml:space="preserve">This information is important to collect given the isolation of viable virus from semen and </w:t>
      </w:r>
      <w:r w:rsidR="00151653">
        <w:t>evidence of vertical transmission resulting in fetal developmental abnormalities and fetal loss. Collecting this sensitive informatio</w:t>
      </w:r>
      <w:r w:rsidR="003B45CD">
        <w:t xml:space="preserve">n is essential to </w:t>
      </w:r>
      <w:r w:rsidR="009D1105">
        <w:t xml:space="preserve">identify if there is evidence of sexual transmission which will </w:t>
      </w:r>
      <w:r w:rsidRPr="00686352" w:rsidR="00686352">
        <w:t xml:space="preserve">inform prevention recommendations, especially for pregnant </w:t>
      </w:r>
      <w:r w:rsidR="00DD6ADF">
        <w:t>women</w:t>
      </w:r>
      <w:r w:rsidRPr="00686352" w:rsidR="00DD6ADF">
        <w:t xml:space="preserve"> </w:t>
      </w:r>
      <w:r w:rsidRPr="00686352" w:rsidR="00686352">
        <w:t>and their partners, or those considering pregnancy.</w:t>
      </w:r>
    </w:p>
    <w:p w:rsidR="004A13E8" w:rsidP="004A13E8" w14:paraId="55FE17D7" w14:textId="77777777">
      <w:pPr>
        <w:pStyle w:val="Heading1"/>
      </w:pPr>
      <w:bookmarkStart w:id="17" w:name="_Toc180072826"/>
      <w:r>
        <w:t>Estimates of Annualized Burden Hours and Costs</w:t>
      </w:r>
      <w:bookmarkEnd w:id="17"/>
    </w:p>
    <w:p w:rsidR="00C553B7" w:rsidP="009B0947" w14:paraId="093B700D" w14:textId="77777777">
      <w:r>
        <w:t>A. Estimated Annualized Burden Hours</w:t>
      </w:r>
    </w:p>
    <w:p w:rsidR="004A13E8" w:rsidP="004A13E8" w14:paraId="55FE17D9" w14:textId="3E890DC9">
      <w:r w:rsidRPr="00855D3E">
        <w:t xml:space="preserve">The total estimated burden is </w:t>
      </w:r>
      <w:r w:rsidR="00DB5CEB">
        <w:t>663</w:t>
      </w:r>
      <w:r w:rsidR="005E0FA7">
        <w:t xml:space="preserve"> </w:t>
      </w:r>
      <w:r w:rsidRPr="00855D3E">
        <w:t xml:space="preserve">hours. This represents the time it will </w:t>
      </w:r>
      <w:r w:rsidRPr="00C622CB">
        <w:t>take 200 respondents</w:t>
      </w:r>
      <w:r w:rsidRPr="00855D3E">
        <w:t xml:space="preserve"> to each complete the </w:t>
      </w:r>
      <w:r>
        <w:t>30-minute</w:t>
      </w:r>
      <w:r w:rsidRPr="00855D3E">
        <w:t xml:space="preserve"> baseline </w:t>
      </w:r>
      <w:r>
        <w:t>survey</w:t>
      </w:r>
      <w:r w:rsidRPr="00855D3E">
        <w:t xml:space="preserve"> </w:t>
      </w:r>
      <w:r w:rsidRPr="008434D9">
        <w:t xml:space="preserve">(Attachment </w:t>
      </w:r>
      <w:r w:rsidRPr="008434D9" w:rsidR="006F6A4E">
        <w:t>3</w:t>
      </w:r>
      <w:r w:rsidRPr="008434D9">
        <w:t xml:space="preserve">) once and the </w:t>
      </w:r>
      <w:r w:rsidR="00D2749D">
        <w:t xml:space="preserve">10-minute </w:t>
      </w:r>
      <w:r w:rsidR="008C31EB">
        <w:t>s</w:t>
      </w:r>
      <w:r w:rsidR="00D2749D">
        <w:t xml:space="preserve">ymptom </w:t>
      </w:r>
      <w:r w:rsidR="008C31EB">
        <w:t>d</w:t>
      </w:r>
      <w:r w:rsidR="00D2749D">
        <w:t xml:space="preserve">iary (Attachment 5) and </w:t>
      </w:r>
      <w:r w:rsidRPr="008434D9" w:rsidR="006F0EED">
        <w:t>15</w:t>
      </w:r>
      <w:r w:rsidRPr="008434D9">
        <w:t xml:space="preserve">-minute follow-up survey (Attachment </w:t>
      </w:r>
      <w:r w:rsidRPr="008434D9" w:rsidR="005067CA">
        <w:t>4</w:t>
      </w:r>
      <w:r w:rsidRPr="008434D9">
        <w:t xml:space="preserve">) </w:t>
      </w:r>
      <w:r w:rsidRPr="008434D9" w:rsidR="006F0EED">
        <w:t>an average of six</w:t>
      </w:r>
      <w:r w:rsidRPr="008434D9">
        <w:t xml:space="preserve"> times.</w:t>
      </w:r>
      <w:r w:rsidRPr="008434D9" w:rsidR="006F0EED">
        <w:t xml:space="preserve"> This also represents </w:t>
      </w:r>
      <w:r w:rsidRPr="008434D9" w:rsidR="006424FC">
        <w:t xml:space="preserve">the time it will take 100 respondents to complete the 15-minute </w:t>
      </w:r>
      <w:r w:rsidRPr="008434D9" w:rsidR="00A26BFA">
        <w:t>interview to identify sexual contacts</w:t>
      </w:r>
      <w:r w:rsidRPr="008434D9" w:rsidR="0080179B">
        <w:t xml:space="preserve"> (Attachment </w:t>
      </w:r>
      <w:r w:rsidRPr="008434D9" w:rsidR="008434D9">
        <w:t>6</w:t>
      </w:r>
      <w:r w:rsidRPr="008434D9" w:rsidR="0080179B">
        <w:t>)</w:t>
      </w:r>
      <w:r w:rsidRPr="008434D9" w:rsidR="00A26BFA">
        <w:t xml:space="preserve">, that they will identify an average of 1.5 sexual contacts, and time for the 150 sexual contacts to complete the 15-minute </w:t>
      </w:r>
      <w:r w:rsidRPr="008434D9" w:rsidR="0080179B">
        <w:t xml:space="preserve">sexual contact interview (Attachment </w:t>
      </w:r>
      <w:r w:rsidRPr="008434D9" w:rsidR="008434D9">
        <w:t>7</w:t>
      </w:r>
      <w:r w:rsidRPr="008434D9" w:rsidR="0080179B">
        <w:t>)</w:t>
      </w:r>
    </w:p>
    <w:tbl>
      <w:tblPr>
        <w:tblStyle w:val="TableGrid"/>
        <w:tblW w:w="0" w:type="auto"/>
        <w:tblLook w:val="04A0"/>
      </w:tblPr>
      <w:tblGrid>
        <w:gridCol w:w="1678"/>
        <w:gridCol w:w="1827"/>
        <w:gridCol w:w="1529"/>
        <w:gridCol w:w="1678"/>
        <w:gridCol w:w="1679"/>
        <w:gridCol w:w="1679"/>
      </w:tblGrid>
      <w:tr w14:paraId="55FE17E0" w14:textId="77777777" w:rsidTr="001B0823">
        <w:tblPrEx>
          <w:tblW w:w="0" w:type="auto"/>
          <w:tblLook w:val="04A0"/>
        </w:tblPrEx>
        <w:tc>
          <w:tcPr>
            <w:tcW w:w="1678" w:type="dxa"/>
          </w:tcPr>
          <w:p w:rsidR="004A13E8" w:rsidP="00612C0A" w14:paraId="55FE17DA" w14:textId="77777777">
            <w:r>
              <w:t>Type of Respondent</w:t>
            </w:r>
          </w:p>
        </w:tc>
        <w:tc>
          <w:tcPr>
            <w:tcW w:w="1827" w:type="dxa"/>
          </w:tcPr>
          <w:p w:rsidR="004A13E8" w:rsidP="00612C0A" w14:paraId="55FE17DB" w14:textId="77777777">
            <w:r>
              <w:t>Form Name</w:t>
            </w:r>
          </w:p>
        </w:tc>
        <w:tc>
          <w:tcPr>
            <w:tcW w:w="1529"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1B0823">
        <w:tblPrEx>
          <w:tblW w:w="0" w:type="auto"/>
          <w:tblLook w:val="04A0"/>
        </w:tblPrEx>
        <w:tc>
          <w:tcPr>
            <w:tcW w:w="1678" w:type="dxa"/>
            <w:vMerge w:val="restart"/>
            <w:vAlign w:val="center"/>
          </w:tcPr>
          <w:p w:rsidR="00E03443" w:rsidP="00E03443" w14:paraId="55FE17E1" w14:textId="0E8465AA">
            <w:pPr>
              <w:jc w:val="center"/>
            </w:pPr>
            <w:r>
              <w:t>General public</w:t>
            </w:r>
          </w:p>
        </w:tc>
        <w:tc>
          <w:tcPr>
            <w:tcW w:w="1827" w:type="dxa"/>
          </w:tcPr>
          <w:p w:rsidR="00E03443" w:rsidP="00612C0A" w14:paraId="53B4F3B4" w14:textId="77777777">
            <w:r>
              <w:t>Baseline survey</w:t>
            </w:r>
          </w:p>
          <w:p w:rsidR="0052650D" w:rsidP="00612C0A" w14:paraId="1AAEEBDF" w14:textId="77777777"/>
          <w:p w:rsidR="0052650D" w:rsidP="00612C0A" w14:paraId="55FE17E2" w14:textId="53F77ED2">
            <w:r>
              <w:t>(Attachment 3)</w:t>
            </w:r>
          </w:p>
        </w:tc>
        <w:tc>
          <w:tcPr>
            <w:tcW w:w="1529" w:type="dxa"/>
            <w:vAlign w:val="center"/>
          </w:tcPr>
          <w:p w:rsidR="00E03443" w:rsidP="00987FD6" w14:paraId="55FE17E3" w14:textId="7D234F33">
            <w:pPr>
              <w:jc w:val="center"/>
            </w:pPr>
            <w:r>
              <w:t>2</w:t>
            </w:r>
            <w:r w:rsidR="00C917B7">
              <w:t>0</w:t>
            </w:r>
            <w:r>
              <w:t>0</w:t>
            </w:r>
          </w:p>
        </w:tc>
        <w:tc>
          <w:tcPr>
            <w:tcW w:w="1678" w:type="dxa"/>
            <w:vAlign w:val="center"/>
          </w:tcPr>
          <w:p w:rsidR="00E03443" w:rsidP="00987FD6" w14:paraId="55FE17E4" w14:textId="69234289">
            <w:pPr>
              <w:jc w:val="center"/>
            </w:pPr>
            <w:r>
              <w:t>1</w:t>
            </w:r>
          </w:p>
        </w:tc>
        <w:tc>
          <w:tcPr>
            <w:tcW w:w="1679" w:type="dxa"/>
            <w:vAlign w:val="center"/>
          </w:tcPr>
          <w:p w:rsidR="00E03443" w:rsidP="00987FD6" w14:paraId="55FE17E5" w14:textId="71F79AF9">
            <w:pPr>
              <w:jc w:val="center"/>
            </w:pPr>
            <w:r>
              <w:t>30/60</w:t>
            </w:r>
          </w:p>
        </w:tc>
        <w:tc>
          <w:tcPr>
            <w:tcW w:w="1679" w:type="dxa"/>
            <w:vAlign w:val="center"/>
          </w:tcPr>
          <w:p w:rsidR="00E03443" w:rsidP="00987FD6" w14:paraId="55FE17E6" w14:textId="21EEF1E0">
            <w:pPr>
              <w:jc w:val="center"/>
            </w:pPr>
            <w:r>
              <w:t>1</w:t>
            </w:r>
            <w:r w:rsidR="00C917B7">
              <w:t>00</w:t>
            </w:r>
          </w:p>
        </w:tc>
      </w:tr>
      <w:tr w14:paraId="38B1CD2C" w14:textId="77777777" w:rsidTr="001B0823">
        <w:tblPrEx>
          <w:tblW w:w="0" w:type="auto"/>
          <w:tblLook w:val="04A0"/>
        </w:tblPrEx>
        <w:tc>
          <w:tcPr>
            <w:tcW w:w="1678" w:type="dxa"/>
            <w:vMerge/>
            <w:vAlign w:val="center"/>
          </w:tcPr>
          <w:p w:rsidR="00E03443" w:rsidP="00580CC1" w14:paraId="5EAB0396" w14:textId="77777777">
            <w:pPr>
              <w:jc w:val="center"/>
            </w:pPr>
          </w:p>
        </w:tc>
        <w:tc>
          <w:tcPr>
            <w:tcW w:w="1827" w:type="dxa"/>
          </w:tcPr>
          <w:p w:rsidR="00E03443" w:rsidP="00612C0A" w14:paraId="4262D8EA" w14:textId="77777777">
            <w:r>
              <w:t>Follow-up clinical survey</w:t>
            </w:r>
          </w:p>
          <w:p w:rsidR="00FA78D1" w:rsidP="00612C0A" w14:paraId="53421C34" w14:textId="77777777"/>
          <w:p w:rsidR="00FA78D1" w:rsidP="00612C0A" w14:paraId="61B56D5A" w14:textId="00B34881">
            <w:r>
              <w:t>(Attachment 4)</w:t>
            </w:r>
          </w:p>
        </w:tc>
        <w:tc>
          <w:tcPr>
            <w:tcW w:w="1529" w:type="dxa"/>
            <w:vAlign w:val="center"/>
          </w:tcPr>
          <w:p w:rsidR="00E03443" w:rsidP="00531885" w14:paraId="08310A10" w14:textId="41F8D61E">
            <w:pPr>
              <w:jc w:val="center"/>
            </w:pPr>
            <w:r>
              <w:t>2</w:t>
            </w:r>
            <w:r w:rsidR="00C917B7">
              <w:t>0</w:t>
            </w:r>
            <w:r>
              <w:t>0</w:t>
            </w:r>
          </w:p>
        </w:tc>
        <w:tc>
          <w:tcPr>
            <w:tcW w:w="1678" w:type="dxa"/>
            <w:vAlign w:val="center"/>
          </w:tcPr>
          <w:p w:rsidR="00E03443" w:rsidP="00987FD6" w14:paraId="5C5BBEA9" w14:textId="63CCBE4D">
            <w:pPr>
              <w:jc w:val="center"/>
            </w:pPr>
            <w:r>
              <w:t>6</w:t>
            </w:r>
          </w:p>
        </w:tc>
        <w:tc>
          <w:tcPr>
            <w:tcW w:w="1679" w:type="dxa"/>
            <w:vAlign w:val="center"/>
          </w:tcPr>
          <w:p w:rsidR="00E03443" w:rsidP="00987FD6" w14:paraId="46AE31BC" w14:textId="43013F36">
            <w:pPr>
              <w:jc w:val="center"/>
            </w:pPr>
            <w:r>
              <w:t>15/60</w:t>
            </w:r>
          </w:p>
        </w:tc>
        <w:tc>
          <w:tcPr>
            <w:tcW w:w="1679" w:type="dxa"/>
            <w:vAlign w:val="center"/>
          </w:tcPr>
          <w:p w:rsidR="00E03443" w:rsidP="00987FD6" w14:paraId="23B6D90F" w14:textId="2572BB55">
            <w:pPr>
              <w:jc w:val="center"/>
            </w:pPr>
            <w:r>
              <w:t>300</w:t>
            </w:r>
          </w:p>
        </w:tc>
      </w:tr>
      <w:tr w14:paraId="3B0CDDF8" w14:textId="77777777" w:rsidTr="001B0823">
        <w:tblPrEx>
          <w:tblW w:w="0" w:type="auto"/>
          <w:tblLook w:val="04A0"/>
        </w:tblPrEx>
        <w:tc>
          <w:tcPr>
            <w:tcW w:w="1678" w:type="dxa"/>
            <w:vMerge/>
            <w:vAlign w:val="center"/>
          </w:tcPr>
          <w:p w:rsidR="007B35C8" w:rsidP="00580CC1" w14:paraId="0EC40513" w14:textId="77777777">
            <w:pPr>
              <w:jc w:val="center"/>
            </w:pPr>
          </w:p>
        </w:tc>
        <w:tc>
          <w:tcPr>
            <w:tcW w:w="1827" w:type="dxa"/>
          </w:tcPr>
          <w:p w:rsidR="006D7596" w:rsidP="00612C0A" w14:paraId="11F4C47D" w14:textId="77777777">
            <w:r>
              <w:t xml:space="preserve">Symptom Diary </w:t>
            </w:r>
          </w:p>
          <w:p w:rsidR="006D7596" w:rsidP="00612C0A" w14:paraId="2EE22AD9" w14:textId="77777777"/>
          <w:p w:rsidR="007B35C8" w:rsidP="00612C0A" w14:paraId="110356A3" w14:textId="1B79E8BC">
            <w:r>
              <w:t>(Attachment 5)</w:t>
            </w:r>
          </w:p>
        </w:tc>
        <w:tc>
          <w:tcPr>
            <w:tcW w:w="1529" w:type="dxa"/>
            <w:vAlign w:val="center"/>
          </w:tcPr>
          <w:p w:rsidR="007B35C8" w:rsidP="00531885" w14:paraId="481F6F8D" w14:textId="26AFBBBA">
            <w:pPr>
              <w:jc w:val="center"/>
            </w:pPr>
            <w:r>
              <w:t>200</w:t>
            </w:r>
          </w:p>
        </w:tc>
        <w:tc>
          <w:tcPr>
            <w:tcW w:w="1678" w:type="dxa"/>
            <w:vAlign w:val="center"/>
          </w:tcPr>
          <w:p w:rsidR="007B35C8" w:rsidP="00987FD6" w14:paraId="790740DF" w14:textId="1FE2E856">
            <w:pPr>
              <w:jc w:val="center"/>
            </w:pPr>
            <w:r>
              <w:t>6</w:t>
            </w:r>
          </w:p>
        </w:tc>
        <w:tc>
          <w:tcPr>
            <w:tcW w:w="1679" w:type="dxa"/>
            <w:vAlign w:val="center"/>
          </w:tcPr>
          <w:p w:rsidR="007B35C8" w:rsidP="00987FD6" w14:paraId="2650A43F" w14:textId="21E2E518">
            <w:pPr>
              <w:jc w:val="center"/>
            </w:pPr>
            <w:r>
              <w:t>10/60</w:t>
            </w:r>
          </w:p>
        </w:tc>
        <w:tc>
          <w:tcPr>
            <w:tcW w:w="1679" w:type="dxa"/>
            <w:vAlign w:val="center"/>
          </w:tcPr>
          <w:p w:rsidR="007B35C8" w:rsidP="00987FD6" w14:paraId="7EB9DAD3" w14:textId="187B8178">
            <w:pPr>
              <w:jc w:val="center"/>
            </w:pPr>
            <w:r>
              <w:t>20</w:t>
            </w:r>
            <w:r w:rsidR="003502EA">
              <w:t>0</w:t>
            </w:r>
          </w:p>
        </w:tc>
      </w:tr>
      <w:tr w14:paraId="5ACA65B0" w14:textId="77777777" w:rsidTr="001B0823">
        <w:tblPrEx>
          <w:tblW w:w="0" w:type="auto"/>
          <w:tblLook w:val="04A0"/>
        </w:tblPrEx>
        <w:tc>
          <w:tcPr>
            <w:tcW w:w="1678" w:type="dxa"/>
            <w:vMerge/>
          </w:tcPr>
          <w:p w:rsidR="00E03443" w:rsidP="00612C0A" w14:paraId="56C378FF" w14:textId="77777777"/>
        </w:tc>
        <w:tc>
          <w:tcPr>
            <w:tcW w:w="1827" w:type="dxa"/>
          </w:tcPr>
          <w:p w:rsidR="00C03791" w:rsidP="00612C0A" w14:paraId="59108B7F" w14:textId="039FFC21">
            <w:r>
              <w:t xml:space="preserve">Contact </w:t>
            </w:r>
            <w:r w:rsidR="006D7596">
              <w:t>T</w:t>
            </w:r>
            <w:r>
              <w:t xml:space="preserve">racing </w:t>
            </w:r>
            <w:r w:rsidR="006D7596">
              <w:t>S</w:t>
            </w:r>
            <w:r>
              <w:t>urvey</w:t>
            </w:r>
          </w:p>
          <w:p w:rsidR="00C03791" w:rsidP="00612C0A" w14:paraId="2D5D6049" w14:textId="77777777"/>
          <w:p w:rsidR="00C03791" w:rsidP="00612C0A" w14:paraId="2405AFE5" w14:textId="76FAE99C">
            <w:r>
              <w:t>(Attachment 6)</w:t>
            </w:r>
          </w:p>
        </w:tc>
        <w:tc>
          <w:tcPr>
            <w:tcW w:w="1529" w:type="dxa"/>
            <w:vAlign w:val="center"/>
          </w:tcPr>
          <w:p w:rsidR="00E03443" w:rsidP="00987FD6" w14:paraId="0939B531" w14:textId="2D9C9C96">
            <w:pPr>
              <w:jc w:val="center"/>
            </w:pPr>
            <w:r>
              <w:t>1</w:t>
            </w:r>
            <w:r w:rsidR="00C917B7">
              <w:t>0</w:t>
            </w:r>
            <w:r>
              <w:t>0</w:t>
            </w:r>
          </w:p>
        </w:tc>
        <w:tc>
          <w:tcPr>
            <w:tcW w:w="1678" w:type="dxa"/>
            <w:vAlign w:val="center"/>
          </w:tcPr>
          <w:p w:rsidR="00E03443" w:rsidP="00987FD6" w14:paraId="05E8D9D8" w14:textId="76CF22AA">
            <w:pPr>
              <w:jc w:val="center"/>
            </w:pPr>
            <w:r>
              <w:t>1</w:t>
            </w:r>
          </w:p>
        </w:tc>
        <w:tc>
          <w:tcPr>
            <w:tcW w:w="1679" w:type="dxa"/>
            <w:vAlign w:val="center"/>
          </w:tcPr>
          <w:p w:rsidR="00E03443" w:rsidP="00987FD6" w14:paraId="50F9DA0E" w14:textId="55229177">
            <w:pPr>
              <w:jc w:val="center"/>
            </w:pPr>
            <w:r>
              <w:t>15/60</w:t>
            </w:r>
          </w:p>
        </w:tc>
        <w:tc>
          <w:tcPr>
            <w:tcW w:w="1679" w:type="dxa"/>
            <w:vAlign w:val="center"/>
          </w:tcPr>
          <w:p w:rsidR="00E03443" w:rsidP="006F5B71" w14:paraId="1C2F39D5" w14:textId="5B5269C3">
            <w:pPr>
              <w:jc w:val="center"/>
            </w:pPr>
            <w:r>
              <w:t>25</w:t>
            </w:r>
          </w:p>
        </w:tc>
      </w:tr>
      <w:tr w14:paraId="0A48AA88" w14:textId="77777777" w:rsidTr="001B0823">
        <w:tblPrEx>
          <w:tblW w:w="0" w:type="auto"/>
          <w:tblLook w:val="04A0"/>
        </w:tblPrEx>
        <w:tc>
          <w:tcPr>
            <w:tcW w:w="1678" w:type="dxa"/>
            <w:vMerge/>
          </w:tcPr>
          <w:p w:rsidR="00E03443" w:rsidP="00612C0A" w14:paraId="057C6713" w14:textId="77777777"/>
        </w:tc>
        <w:tc>
          <w:tcPr>
            <w:tcW w:w="1827" w:type="dxa"/>
          </w:tcPr>
          <w:p w:rsidR="00E03443" w:rsidP="00612C0A" w14:paraId="6EE79216" w14:textId="691A1564">
            <w:r>
              <w:t xml:space="preserve">Sexual </w:t>
            </w:r>
            <w:r w:rsidR="006D7596">
              <w:t>C</w:t>
            </w:r>
            <w:r>
              <w:t xml:space="preserve">ontact </w:t>
            </w:r>
            <w:r w:rsidR="006D7596">
              <w:t>I</w:t>
            </w:r>
            <w:r>
              <w:t>nterview</w:t>
            </w:r>
            <w:r w:rsidR="00922601">
              <w:t xml:space="preserve"> form</w:t>
            </w:r>
          </w:p>
          <w:p w:rsidR="00922601" w:rsidP="00612C0A" w14:paraId="7234D6E1" w14:textId="77777777"/>
          <w:p w:rsidR="00922601" w:rsidP="00612C0A" w14:paraId="108AED31" w14:textId="7A3F33D2">
            <w:r>
              <w:t>(Attachment 7)</w:t>
            </w:r>
          </w:p>
        </w:tc>
        <w:tc>
          <w:tcPr>
            <w:tcW w:w="1529" w:type="dxa"/>
            <w:vAlign w:val="center"/>
          </w:tcPr>
          <w:p w:rsidR="00E03443" w:rsidP="00987FD6" w14:paraId="3CBA2780" w14:textId="1992BC68">
            <w:pPr>
              <w:jc w:val="center"/>
            </w:pPr>
            <w:r>
              <w:t>15</w:t>
            </w:r>
            <w:r w:rsidR="00DA2567">
              <w:t>0</w:t>
            </w:r>
          </w:p>
        </w:tc>
        <w:tc>
          <w:tcPr>
            <w:tcW w:w="1678" w:type="dxa"/>
            <w:vAlign w:val="center"/>
          </w:tcPr>
          <w:p w:rsidR="00E03443" w:rsidP="00987FD6" w14:paraId="4C8A23E7" w14:textId="0371D610">
            <w:pPr>
              <w:jc w:val="center"/>
            </w:pPr>
            <w:r>
              <w:t>1</w:t>
            </w:r>
          </w:p>
        </w:tc>
        <w:tc>
          <w:tcPr>
            <w:tcW w:w="1679" w:type="dxa"/>
            <w:vAlign w:val="center"/>
          </w:tcPr>
          <w:p w:rsidR="00E03443" w:rsidP="00987FD6" w14:paraId="6A903CEB" w14:textId="2A3356E7">
            <w:pPr>
              <w:jc w:val="center"/>
            </w:pPr>
            <w:r>
              <w:t>15/60</w:t>
            </w:r>
          </w:p>
        </w:tc>
        <w:tc>
          <w:tcPr>
            <w:tcW w:w="1679" w:type="dxa"/>
            <w:vAlign w:val="center"/>
          </w:tcPr>
          <w:p w:rsidR="00E03443" w:rsidP="006F5B71" w14:paraId="3A7DE1B5" w14:textId="0E999923">
            <w:pPr>
              <w:jc w:val="center"/>
            </w:pPr>
            <w:r>
              <w:t>38</w:t>
            </w:r>
          </w:p>
        </w:tc>
      </w:tr>
      <w:tr w14:paraId="55FE17EB" w14:textId="77777777" w:rsidTr="079BE57A">
        <w:tblPrEx>
          <w:tblW w:w="0" w:type="auto"/>
          <w:tblLook w:val="04A0"/>
        </w:tblPrEx>
        <w:trPr>
          <w:trHeight w:val="467"/>
        </w:trPr>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vAlign w:val="center"/>
          </w:tcPr>
          <w:p w:rsidR="004A13E8" w:rsidP="006F5B71" w14:paraId="55FE17EA" w14:textId="3594968D">
            <w:pPr>
              <w:jc w:val="center"/>
            </w:pPr>
            <w:r>
              <w:t>66</w:t>
            </w:r>
            <w:r w:rsidR="0081522A">
              <w:t>3</w:t>
            </w:r>
          </w:p>
        </w:tc>
      </w:tr>
    </w:tbl>
    <w:p w:rsidR="00C553B7" w:rsidP="004A13E8" w14:paraId="505C920E" w14:textId="20E63586">
      <w:pPr>
        <w:spacing w:before="240"/>
      </w:pPr>
      <w:r>
        <w:t>B. Estimated Annualized Burden Costs</w:t>
      </w:r>
      <w:r w:rsidR="009B0947">
        <w:t xml:space="preserve"> </w:t>
      </w:r>
    </w:p>
    <w:p w:rsidR="00CE2DD7" w:rsidP="004A13E8" w14:paraId="52741C9D" w14:textId="206079F7">
      <w:pPr>
        <w:spacing w:before="240"/>
      </w:pPr>
      <w:r>
        <w:t xml:space="preserve">The 2023 mean hourly wage for all occupations in the United States ($31.48) from the </w:t>
      </w:r>
      <w:hyperlink r:id="rId9" w:anchor="00-0000" w:history="1">
        <w:r w:rsidRPr="00895FA9">
          <w:rPr>
            <w:rStyle w:val="Hyperlink"/>
          </w:rPr>
          <w:t>Department of Labor website</w:t>
        </w:r>
      </w:hyperlink>
      <w:r>
        <w:t xml:space="preserve"> was used to calculate </w:t>
      </w:r>
      <w:r w:rsidR="002F2466">
        <w:t>these costs. The total annual burden is estimated to b</w:t>
      </w:r>
      <w:r w:rsidRPr="00531885" w:rsidR="002F2466">
        <w:t>e $</w:t>
      </w:r>
      <w:r w:rsidR="009632A3">
        <w:t>20,997</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7777777">
            <w:r>
              <w:t>Hourly Wage Rate</w:t>
            </w:r>
          </w:p>
        </w:tc>
        <w:tc>
          <w:tcPr>
            <w:tcW w:w="2015" w:type="dxa"/>
          </w:tcPr>
          <w:p w:rsidR="004A13E8" w:rsidP="00612C0A" w14:paraId="55FE17F1" w14:textId="77777777">
            <w:r>
              <w:t>Total Respondent Costs</w:t>
            </w:r>
          </w:p>
        </w:tc>
      </w:tr>
      <w:tr w14:paraId="55FE17F8" w14:textId="77777777" w:rsidTr="00580CC1">
        <w:tblPrEx>
          <w:tblW w:w="10075" w:type="dxa"/>
          <w:tblLook w:val="04A0"/>
        </w:tblPrEx>
        <w:tc>
          <w:tcPr>
            <w:tcW w:w="2015" w:type="dxa"/>
            <w:vMerge w:val="restart"/>
            <w:vAlign w:val="center"/>
          </w:tcPr>
          <w:p w:rsidR="00580CC1" w:rsidP="00580CC1" w14:paraId="55FE17F3" w14:textId="2D75109C">
            <w:pPr>
              <w:jc w:val="center"/>
            </w:pPr>
            <w:r>
              <w:t>General public</w:t>
            </w:r>
          </w:p>
        </w:tc>
        <w:tc>
          <w:tcPr>
            <w:tcW w:w="2015" w:type="dxa"/>
          </w:tcPr>
          <w:p w:rsidR="00580CC1" w:rsidP="00580CC1" w14:paraId="4F5A366D" w14:textId="77777777">
            <w:r>
              <w:t>Baseline survey</w:t>
            </w:r>
          </w:p>
          <w:p w:rsidR="00901BCC" w:rsidP="00580CC1" w14:paraId="42EF4235" w14:textId="77777777"/>
          <w:p w:rsidR="00901BCC" w:rsidP="00580CC1" w14:paraId="55FE17F4" w14:textId="68BE9057">
            <w:r>
              <w:t>(Attachment 3)</w:t>
            </w:r>
          </w:p>
        </w:tc>
        <w:tc>
          <w:tcPr>
            <w:tcW w:w="2015" w:type="dxa"/>
            <w:vAlign w:val="center"/>
          </w:tcPr>
          <w:p w:rsidR="00580CC1" w:rsidP="00580CC1" w14:paraId="55FE17F5" w14:textId="7559F141">
            <w:pPr>
              <w:jc w:val="center"/>
            </w:pPr>
            <w:r>
              <w:t>100</w:t>
            </w:r>
          </w:p>
        </w:tc>
        <w:tc>
          <w:tcPr>
            <w:tcW w:w="2015" w:type="dxa"/>
            <w:vAlign w:val="center"/>
          </w:tcPr>
          <w:p w:rsidR="00580CC1" w:rsidP="00580CC1" w14:paraId="55FE17F6" w14:textId="0A078EC4">
            <w:pPr>
              <w:jc w:val="center"/>
            </w:pPr>
            <w:r>
              <w:t>$31.48</w:t>
            </w:r>
          </w:p>
        </w:tc>
        <w:tc>
          <w:tcPr>
            <w:tcW w:w="2015" w:type="dxa"/>
            <w:vAlign w:val="center"/>
          </w:tcPr>
          <w:p w:rsidR="00580CC1" w:rsidP="00580CC1" w14:paraId="55FE17F7" w14:textId="000517EB">
            <w:pPr>
              <w:jc w:val="center"/>
            </w:pPr>
            <w:r>
              <w:t>$3,148</w:t>
            </w:r>
          </w:p>
        </w:tc>
      </w:tr>
      <w:tr w14:paraId="1A5B443A" w14:textId="77777777" w:rsidTr="00580CC1">
        <w:tblPrEx>
          <w:tblW w:w="10075" w:type="dxa"/>
          <w:tblLook w:val="04A0"/>
        </w:tblPrEx>
        <w:tc>
          <w:tcPr>
            <w:tcW w:w="2015" w:type="dxa"/>
            <w:vMerge/>
          </w:tcPr>
          <w:p w:rsidR="00580CC1" w:rsidP="00580CC1" w14:paraId="4D718908" w14:textId="77777777"/>
        </w:tc>
        <w:tc>
          <w:tcPr>
            <w:tcW w:w="2015" w:type="dxa"/>
          </w:tcPr>
          <w:p w:rsidR="00580CC1" w:rsidP="00580CC1" w14:paraId="40E3F2CC" w14:textId="77777777">
            <w:r>
              <w:t>Follow-up clinical survey</w:t>
            </w:r>
          </w:p>
          <w:p w:rsidR="00901BCC" w:rsidP="00580CC1" w14:paraId="07530A7D" w14:textId="77777777"/>
          <w:p w:rsidR="00901BCC" w:rsidP="00580CC1" w14:paraId="17A2D3B2" w14:textId="40E0F363">
            <w:r>
              <w:t>(Attachment 4)</w:t>
            </w:r>
          </w:p>
        </w:tc>
        <w:tc>
          <w:tcPr>
            <w:tcW w:w="2015" w:type="dxa"/>
            <w:vAlign w:val="center"/>
          </w:tcPr>
          <w:p w:rsidR="00580CC1" w:rsidP="00580CC1" w14:paraId="5CA01AB2" w14:textId="60F1679D">
            <w:pPr>
              <w:jc w:val="center"/>
            </w:pPr>
            <w:r>
              <w:t>300</w:t>
            </w:r>
          </w:p>
        </w:tc>
        <w:tc>
          <w:tcPr>
            <w:tcW w:w="2015" w:type="dxa"/>
            <w:vAlign w:val="center"/>
          </w:tcPr>
          <w:p w:rsidR="00580CC1" w:rsidP="00580CC1" w14:paraId="052D0000" w14:textId="1C4D7EFE">
            <w:pPr>
              <w:jc w:val="center"/>
            </w:pPr>
            <w:r>
              <w:t>$31.48</w:t>
            </w:r>
          </w:p>
        </w:tc>
        <w:tc>
          <w:tcPr>
            <w:tcW w:w="2015" w:type="dxa"/>
            <w:vAlign w:val="center"/>
          </w:tcPr>
          <w:p w:rsidR="00580CC1" w:rsidP="00580CC1" w14:paraId="2A65B19B" w14:textId="67435FF9">
            <w:pPr>
              <w:jc w:val="center"/>
            </w:pPr>
            <w:r>
              <w:t>$9,444</w:t>
            </w:r>
          </w:p>
        </w:tc>
      </w:tr>
      <w:tr w14:paraId="5E1B9A8C" w14:textId="77777777" w:rsidTr="00580CC1">
        <w:tblPrEx>
          <w:tblW w:w="10075" w:type="dxa"/>
          <w:tblLook w:val="04A0"/>
        </w:tblPrEx>
        <w:tc>
          <w:tcPr>
            <w:tcW w:w="2015" w:type="dxa"/>
            <w:vMerge/>
          </w:tcPr>
          <w:p w:rsidR="006D7596" w:rsidP="00580CC1" w14:paraId="0E0DC148" w14:textId="77777777"/>
        </w:tc>
        <w:tc>
          <w:tcPr>
            <w:tcW w:w="2015" w:type="dxa"/>
          </w:tcPr>
          <w:p w:rsidR="006D7596" w:rsidP="00580CC1" w14:paraId="6FCA80DC" w14:textId="77777777">
            <w:r>
              <w:t xml:space="preserve">Symptom Diary </w:t>
            </w:r>
          </w:p>
          <w:p w:rsidR="006D7596" w:rsidP="00580CC1" w14:paraId="39F22350" w14:textId="77777777"/>
          <w:p w:rsidR="006D7596" w:rsidP="00580CC1" w14:paraId="40BC9C95" w14:textId="542F6994">
            <w:r>
              <w:t>(Attachment 5)</w:t>
            </w:r>
          </w:p>
        </w:tc>
        <w:tc>
          <w:tcPr>
            <w:tcW w:w="2015" w:type="dxa"/>
            <w:vAlign w:val="center"/>
          </w:tcPr>
          <w:p w:rsidR="006D7596" w:rsidP="00580CC1" w14:paraId="1ECFC72A" w14:textId="385F0FD9">
            <w:pPr>
              <w:jc w:val="center"/>
            </w:pPr>
            <w:r>
              <w:t>200</w:t>
            </w:r>
          </w:p>
        </w:tc>
        <w:tc>
          <w:tcPr>
            <w:tcW w:w="2015" w:type="dxa"/>
            <w:vAlign w:val="center"/>
          </w:tcPr>
          <w:p w:rsidR="006D7596" w:rsidP="00580CC1" w14:paraId="2418513A" w14:textId="63622D34">
            <w:pPr>
              <w:jc w:val="center"/>
            </w:pPr>
            <w:r>
              <w:t>$31.48</w:t>
            </w:r>
          </w:p>
        </w:tc>
        <w:tc>
          <w:tcPr>
            <w:tcW w:w="2015" w:type="dxa"/>
            <w:vAlign w:val="center"/>
          </w:tcPr>
          <w:p w:rsidR="006D7596" w:rsidP="00580CC1" w14:paraId="53F0F609" w14:textId="21E84E27">
            <w:pPr>
              <w:jc w:val="center"/>
            </w:pPr>
            <w:r>
              <w:t>$6,422</w:t>
            </w:r>
          </w:p>
        </w:tc>
      </w:tr>
      <w:tr w14:paraId="21498D3A" w14:textId="77777777" w:rsidTr="00580CC1">
        <w:tblPrEx>
          <w:tblW w:w="10075" w:type="dxa"/>
          <w:tblLook w:val="04A0"/>
        </w:tblPrEx>
        <w:tc>
          <w:tcPr>
            <w:tcW w:w="2015" w:type="dxa"/>
            <w:vMerge/>
          </w:tcPr>
          <w:p w:rsidR="00580CC1" w:rsidP="00580CC1" w14:paraId="05AF7D1F" w14:textId="77777777"/>
        </w:tc>
        <w:tc>
          <w:tcPr>
            <w:tcW w:w="2015" w:type="dxa"/>
          </w:tcPr>
          <w:p w:rsidR="00901BCC" w:rsidP="00901BCC" w14:paraId="006CA2BD" w14:textId="55B962F5">
            <w:r>
              <w:t xml:space="preserve">Contact </w:t>
            </w:r>
            <w:r w:rsidR="000F029E">
              <w:t>T</w:t>
            </w:r>
            <w:r>
              <w:t xml:space="preserve">racing </w:t>
            </w:r>
            <w:r w:rsidR="000F029E">
              <w:t>S</w:t>
            </w:r>
            <w:r>
              <w:t>urvey</w:t>
            </w:r>
          </w:p>
          <w:p w:rsidR="00901BCC" w:rsidP="00901BCC" w14:paraId="62ABE35B" w14:textId="77777777"/>
          <w:p w:rsidR="00580CC1" w:rsidP="00901BCC" w14:paraId="385FC39D" w14:textId="3233E513">
            <w:r>
              <w:t>(Attachment 6)</w:t>
            </w:r>
          </w:p>
        </w:tc>
        <w:tc>
          <w:tcPr>
            <w:tcW w:w="2015" w:type="dxa"/>
            <w:vAlign w:val="center"/>
          </w:tcPr>
          <w:p w:rsidR="00580CC1" w:rsidP="00580CC1" w14:paraId="4CE01E19" w14:textId="0DDB1ACF">
            <w:pPr>
              <w:jc w:val="center"/>
            </w:pPr>
            <w:r>
              <w:t>25</w:t>
            </w:r>
          </w:p>
        </w:tc>
        <w:tc>
          <w:tcPr>
            <w:tcW w:w="2015" w:type="dxa"/>
            <w:vAlign w:val="center"/>
          </w:tcPr>
          <w:p w:rsidR="00580CC1" w:rsidP="00580CC1" w14:paraId="4CEF8A89" w14:textId="640D8ACC">
            <w:pPr>
              <w:jc w:val="center"/>
            </w:pPr>
            <w:r>
              <w:t>$31.48</w:t>
            </w:r>
          </w:p>
        </w:tc>
        <w:tc>
          <w:tcPr>
            <w:tcW w:w="2015" w:type="dxa"/>
            <w:vAlign w:val="center"/>
          </w:tcPr>
          <w:p w:rsidR="00580CC1" w:rsidP="00580CC1" w14:paraId="1CA2815D" w14:textId="2169C3C4">
            <w:pPr>
              <w:jc w:val="center"/>
            </w:pPr>
            <w:r>
              <w:t>$787</w:t>
            </w:r>
          </w:p>
        </w:tc>
      </w:tr>
      <w:tr w14:paraId="4DEC5A12" w14:textId="77777777" w:rsidTr="00580CC1">
        <w:tblPrEx>
          <w:tblW w:w="10075" w:type="dxa"/>
          <w:tblLook w:val="04A0"/>
        </w:tblPrEx>
        <w:tc>
          <w:tcPr>
            <w:tcW w:w="2015" w:type="dxa"/>
            <w:vMerge/>
          </w:tcPr>
          <w:p w:rsidR="00580CC1" w:rsidP="00580CC1" w14:paraId="580BD982" w14:textId="77777777"/>
        </w:tc>
        <w:tc>
          <w:tcPr>
            <w:tcW w:w="2015" w:type="dxa"/>
          </w:tcPr>
          <w:p w:rsidR="00580CC1" w:rsidP="00580CC1" w14:paraId="76544275" w14:textId="2A9F5B27">
            <w:r>
              <w:t xml:space="preserve">Sexual </w:t>
            </w:r>
            <w:r w:rsidR="000F029E">
              <w:t>C</w:t>
            </w:r>
            <w:r>
              <w:t xml:space="preserve">ontact </w:t>
            </w:r>
            <w:r w:rsidR="000F029E">
              <w:t>I</w:t>
            </w:r>
            <w:r>
              <w:t>nterview</w:t>
            </w:r>
            <w:r w:rsidR="00901BCC">
              <w:t xml:space="preserve"> form</w:t>
            </w:r>
          </w:p>
          <w:p w:rsidR="00901BCC" w:rsidP="00580CC1" w14:paraId="79998845" w14:textId="77777777"/>
          <w:p w:rsidR="00901BCC" w:rsidP="00580CC1" w14:paraId="59A43B99" w14:textId="58FF3B29">
            <w:r>
              <w:t>(Attachment 7)</w:t>
            </w:r>
          </w:p>
        </w:tc>
        <w:tc>
          <w:tcPr>
            <w:tcW w:w="2015" w:type="dxa"/>
            <w:vAlign w:val="center"/>
          </w:tcPr>
          <w:p w:rsidR="00580CC1" w:rsidP="00580CC1" w14:paraId="0C8F4197" w14:textId="3033AAEF">
            <w:pPr>
              <w:jc w:val="center"/>
            </w:pPr>
            <w:r>
              <w:t>38</w:t>
            </w:r>
          </w:p>
        </w:tc>
        <w:tc>
          <w:tcPr>
            <w:tcW w:w="2015" w:type="dxa"/>
            <w:vAlign w:val="center"/>
          </w:tcPr>
          <w:p w:rsidR="00580CC1" w:rsidP="00580CC1" w14:paraId="6ED3EBA2" w14:textId="76929A9C">
            <w:pPr>
              <w:jc w:val="center"/>
            </w:pPr>
            <w:r>
              <w:t>$31.48</w:t>
            </w:r>
          </w:p>
        </w:tc>
        <w:tc>
          <w:tcPr>
            <w:tcW w:w="2015" w:type="dxa"/>
            <w:vAlign w:val="center"/>
          </w:tcPr>
          <w:p w:rsidR="00580CC1" w:rsidP="00580CC1" w14:paraId="5303A561" w14:textId="49316120">
            <w:pPr>
              <w:jc w:val="center"/>
            </w:pPr>
            <w:r>
              <w:t>$</w:t>
            </w:r>
            <w:r w:rsidR="006511B0">
              <w:t>1,196</w:t>
            </w:r>
          </w:p>
        </w:tc>
      </w:tr>
      <w:tr w14:paraId="55FE17FC" w14:textId="77777777" w:rsidTr="00531885">
        <w:tblPrEx>
          <w:tblW w:w="10075" w:type="dxa"/>
          <w:tblLook w:val="04A0"/>
        </w:tblPrEx>
        <w:tc>
          <w:tcPr>
            <w:tcW w:w="2015" w:type="dxa"/>
          </w:tcPr>
          <w:p w:rsidR="00580CC1" w:rsidRPr="00DC08D0" w:rsidP="00580CC1" w14:paraId="55FE17F9" w14:textId="77777777">
            <w:pPr>
              <w:rPr>
                <w:b/>
              </w:rPr>
            </w:pPr>
            <w:r>
              <w:rPr>
                <w:b/>
              </w:rPr>
              <w:t>Total</w:t>
            </w:r>
          </w:p>
        </w:tc>
        <w:tc>
          <w:tcPr>
            <w:tcW w:w="6045" w:type="dxa"/>
            <w:gridSpan w:val="3"/>
          </w:tcPr>
          <w:p w:rsidR="00580CC1" w:rsidP="00580CC1" w14:paraId="55FE17FA" w14:textId="77777777"/>
        </w:tc>
        <w:tc>
          <w:tcPr>
            <w:tcW w:w="2015" w:type="dxa"/>
            <w:vAlign w:val="center"/>
          </w:tcPr>
          <w:p w:rsidR="00580CC1" w:rsidP="00531885" w14:paraId="55FE17FB" w14:textId="0667DB5A">
            <w:pPr>
              <w:jc w:val="center"/>
            </w:pPr>
            <w:r>
              <w:t>$</w:t>
            </w:r>
            <w:r w:rsidR="009632A3">
              <w:t>20,997</w:t>
            </w:r>
          </w:p>
        </w:tc>
      </w:tr>
    </w:tbl>
    <w:p w:rsidR="004A13E8" w:rsidP="0025156B" w14:paraId="55FE17FE" w14:textId="77777777">
      <w:pPr>
        <w:pStyle w:val="Heading1"/>
        <w:spacing w:before="240"/>
      </w:pPr>
      <w:bookmarkStart w:id="18" w:name="_Toc180072827"/>
      <w:r>
        <w:t>Estimates of Other Total Annual Cost Burden to Respondents or Record Keepers</w:t>
      </w:r>
      <w:bookmarkEnd w:id="18"/>
    </w:p>
    <w:p w:rsidR="004A13E8" w:rsidRPr="004A13E8" w:rsidP="004A13E8" w14:paraId="55FE1800" w14:textId="50BFE95F">
      <w:r>
        <w:t>There are no costs to respondents other than their time to participate</w:t>
      </w:r>
      <w:r w:rsidR="00F21DA8">
        <w:t>.</w:t>
      </w:r>
    </w:p>
    <w:p w:rsidR="004A13E8" w:rsidP="004A13E8" w14:paraId="55FE1801" w14:textId="77777777">
      <w:pPr>
        <w:pStyle w:val="Heading1"/>
      </w:pPr>
      <w:bookmarkStart w:id="19" w:name="_Toc180072828"/>
      <w:r>
        <w:t>Annualized Cost to the Government</w:t>
      </w:r>
      <w:bookmarkEnd w:id="19"/>
    </w:p>
    <w:p w:rsidR="009D7441" w:rsidP="00FE0398" w14:paraId="7EBD7BFC" w14:textId="652706FB">
      <w:r w:rsidRPr="009D7441">
        <w:t>The total estimated cost to the government i</w:t>
      </w:r>
      <w:r w:rsidRPr="004B0D3D">
        <w:t xml:space="preserve">s </w:t>
      </w:r>
      <w:r w:rsidRPr="008C31EB">
        <w:t>$</w:t>
      </w:r>
      <w:r w:rsidR="007025FE">
        <w:t>34,887.93</w:t>
      </w:r>
      <w:r>
        <w:t xml:space="preserve">. </w:t>
      </w:r>
      <w:r w:rsidRPr="009D7441">
        <w:t>The table below breaks down how many CDC employees will be working on this project, what percentage of their time will be devoted to this project, how much they will make during this time</w:t>
      </w:r>
      <w:r w:rsidR="00645DBE">
        <w:t xml:space="preserve">; the </w:t>
      </w:r>
      <w:r w:rsidR="0021419C">
        <w:t xml:space="preserve">estimated </w:t>
      </w:r>
      <w:r w:rsidR="00645DBE">
        <w:t xml:space="preserve">cost of supplies </w:t>
      </w:r>
      <w:r w:rsidR="0021419C">
        <w:t>is</w:t>
      </w:r>
      <w:r w:rsidR="00645DBE">
        <w:t xml:space="preserve"> also listed below</w:t>
      </w:r>
      <w:r>
        <w:t>.</w:t>
      </w:r>
      <w:r w:rsidRPr="009D7441">
        <w:t xml:space="preserve"> Information collection is expected to last </w:t>
      </w:r>
      <w:r w:rsidR="00EB12AD">
        <w:t>three years</w:t>
      </w:r>
      <w:r w:rsidRPr="009D7441">
        <w:t xml:space="preserve">. Hourly wages were based on Step 1 employees for </w:t>
      </w:r>
      <w:r w:rsidR="00D16D39">
        <w:t>Denver</w:t>
      </w:r>
      <w:r w:rsidR="00A96BDB">
        <w:t xml:space="preserve">-Aurora, CO </w:t>
      </w:r>
      <w:r w:rsidRPr="009D7441">
        <w:t xml:space="preserve">locality available here: </w:t>
      </w:r>
      <w:hyperlink r:id="rId10">
        <w:r w:rsidRPr="23411F9C" w:rsidR="007C110D">
          <w:rPr>
            <w:rStyle w:val="Hyperlink"/>
          </w:rPr>
          <w:t>https://www.opm.gov/policy-data-oversight/pay-leave/salaries-wages/salary-tables/24Tables/html/DEN_h.aspx</w:t>
        </w:r>
      </w:hyperlink>
      <w:r w:rsidR="007C110D">
        <w:t xml:space="preserve"> .</w:t>
      </w:r>
    </w:p>
    <w:tbl>
      <w:tblPr>
        <w:tblStyle w:val="TableGrid"/>
        <w:tblW w:w="0" w:type="auto"/>
        <w:tblLook w:val="04A0"/>
      </w:tblPr>
      <w:tblGrid>
        <w:gridCol w:w="1678"/>
        <w:gridCol w:w="1678"/>
        <w:gridCol w:w="1678"/>
        <w:gridCol w:w="1678"/>
        <w:gridCol w:w="1679"/>
        <w:gridCol w:w="1679"/>
      </w:tblGrid>
      <w:tr w14:paraId="64735980" w14:textId="77777777" w:rsidTr="00B95220">
        <w:tblPrEx>
          <w:tblW w:w="0" w:type="auto"/>
          <w:tblLook w:val="04A0"/>
        </w:tblPrEx>
        <w:tc>
          <w:tcPr>
            <w:tcW w:w="1678" w:type="dxa"/>
          </w:tcPr>
          <w:p w:rsidR="00B95220" w:rsidP="00FE0398" w14:paraId="7EC95BBC" w14:textId="4C6CAE4C">
            <w:r>
              <w:t>Grade</w:t>
            </w:r>
          </w:p>
        </w:tc>
        <w:tc>
          <w:tcPr>
            <w:tcW w:w="1678" w:type="dxa"/>
          </w:tcPr>
          <w:p w:rsidR="00B95220" w:rsidP="00FE0398" w14:paraId="0DD12EB1" w14:textId="2E481455">
            <w:r>
              <w:t># of FTEs</w:t>
            </w:r>
          </w:p>
        </w:tc>
        <w:tc>
          <w:tcPr>
            <w:tcW w:w="1678" w:type="dxa"/>
          </w:tcPr>
          <w:p w:rsidR="00B95220" w:rsidP="00FE0398" w14:paraId="2CF8E54A" w14:textId="5ED0E568">
            <w:r>
              <w:t>Hourly Wage</w:t>
            </w:r>
          </w:p>
        </w:tc>
        <w:tc>
          <w:tcPr>
            <w:tcW w:w="1678" w:type="dxa"/>
          </w:tcPr>
          <w:p w:rsidR="00B95220" w:rsidP="00FE0398" w14:paraId="63810912" w14:textId="78C8B363">
            <w:r>
              <w:t>% Time Devoted to Project</w:t>
            </w:r>
          </w:p>
        </w:tc>
        <w:tc>
          <w:tcPr>
            <w:tcW w:w="1679" w:type="dxa"/>
          </w:tcPr>
          <w:p w:rsidR="00B95220" w:rsidP="00FE0398" w14:paraId="6845D26D" w14:textId="54CD4377">
            <w:r>
              <w:t>Total Hours</w:t>
            </w:r>
          </w:p>
        </w:tc>
        <w:tc>
          <w:tcPr>
            <w:tcW w:w="1679" w:type="dxa"/>
          </w:tcPr>
          <w:p w:rsidR="00B95220" w:rsidP="00FE0398" w14:paraId="59A68619" w14:textId="67EE0345">
            <w:r>
              <w:t>Cost</w:t>
            </w:r>
          </w:p>
        </w:tc>
      </w:tr>
      <w:tr w14:paraId="237757B2" w14:textId="77777777" w:rsidTr="00B95220">
        <w:tblPrEx>
          <w:tblW w:w="0" w:type="auto"/>
          <w:tblLook w:val="04A0"/>
        </w:tblPrEx>
        <w:tc>
          <w:tcPr>
            <w:tcW w:w="1678" w:type="dxa"/>
          </w:tcPr>
          <w:p w:rsidR="00B95220" w:rsidP="00FE0398" w14:paraId="383D7D56" w14:textId="06CCA98C">
            <w:r>
              <w:t>GS-12</w:t>
            </w:r>
          </w:p>
        </w:tc>
        <w:tc>
          <w:tcPr>
            <w:tcW w:w="1678" w:type="dxa"/>
          </w:tcPr>
          <w:p w:rsidR="00B95220" w:rsidP="00FE0398" w14:paraId="29FE0D0F" w14:textId="749126F7">
            <w:r>
              <w:t>2</w:t>
            </w:r>
          </w:p>
        </w:tc>
        <w:tc>
          <w:tcPr>
            <w:tcW w:w="1678" w:type="dxa"/>
          </w:tcPr>
          <w:p w:rsidR="00B95220" w:rsidP="00FE0398" w14:paraId="1247B080" w14:textId="6D2C78A5">
            <w:r>
              <w:t>$</w:t>
            </w:r>
            <w:r w:rsidR="5146752E">
              <w:t>41.02</w:t>
            </w:r>
          </w:p>
        </w:tc>
        <w:tc>
          <w:tcPr>
            <w:tcW w:w="1678" w:type="dxa"/>
          </w:tcPr>
          <w:p w:rsidR="00B95220" w:rsidP="00FE0398" w14:paraId="634ACCE1" w14:textId="7BC66EE2">
            <w:r>
              <w:t>2</w:t>
            </w:r>
          </w:p>
        </w:tc>
        <w:tc>
          <w:tcPr>
            <w:tcW w:w="1679" w:type="dxa"/>
          </w:tcPr>
          <w:p w:rsidR="00B95220" w:rsidP="00FE0398" w14:paraId="47A2BE49" w14:textId="2E101D5D">
            <w:r>
              <w:t>42</w:t>
            </w:r>
          </w:p>
        </w:tc>
        <w:tc>
          <w:tcPr>
            <w:tcW w:w="1679" w:type="dxa"/>
          </w:tcPr>
          <w:p w:rsidR="00B95220" w:rsidP="00FE0398" w14:paraId="496ADB99" w14:textId="5E1D4541">
            <w:r>
              <w:t>$1,</w:t>
            </w:r>
            <w:r w:rsidR="1C173F20">
              <w:t>722.84</w:t>
            </w:r>
          </w:p>
        </w:tc>
      </w:tr>
      <w:tr w14:paraId="147013F6" w14:textId="77777777" w:rsidTr="00B95220">
        <w:tblPrEx>
          <w:tblW w:w="0" w:type="auto"/>
          <w:tblLook w:val="04A0"/>
        </w:tblPrEx>
        <w:tc>
          <w:tcPr>
            <w:tcW w:w="1678" w:type="dxa"/>
          </w:tcPr>
          <w:p w:rsidR="00B95220" w:rsidP="00FE0398" w14:paraId="346C1CB5" w14:textId="6176D062">
            <w:r>
              <w:t>GS-13</w:t>
            </w:r>
          </w:p>
        </w:tc>
        <w:tc>
          <w:tcPr>
            <w:tcW w:w="1678" w:type="dxa"/>
          </w:tcPr>
          <w:p w:rsidR="00B95220" w:rsidP="00FE0398" w14:paraId="32962BD0" w14:textId="262531B8">
            <w:r>
              <w:t>2</w:t>
            </w:r>
          </w:p>
        </w:tc>
        <w:tc>
          <w:tcPr>
            <w:tcW w:w="1678" w:type="dxa"/>
          </w:tcPr>
          <w:p w:rsidR="00B95220" w:rsidP="00FE0398" w14:paraId="461B9F28" w14:textId="23F6BD6F">
            <w:r>
              <w:t>$4</w:t>
            </w:r>
            <w:r w:rsidR="5F378993">
              <w:t>8.78</w:t>
            </w:r>
          </w:p>
        </w:tc>
        <w:tc>
          <w:tcPr>
            <w:tcW w:w="1678" w:type="dxa"/>
          </w:tcPr>
          <w:p w:rsidR="00B95220" w:rsidP="00FE0398" w14:paraId="2CB59E25" w14:textId="03F6DB4A">
            <w:r>
              <w:t>25</w:t>
            </w:r>
          </w:p>
        </w:tc>
        <w:tc>
          <w:tcPr>
            <w:tcW w:w="1679" w:type="dxa"/>
          </w:tcPr>
          <w:p w:rsidR="00B95220" w:rsidP="00FE0398" w14:paraId="4E80B866" w14:textId="07D0B265">
            <w:r>
              <w:t>522</w:t>
            </w:r>
          </w:p>
        </w:tc>
        <w:tc>
          <w:tcPr>
            <w:tcW w:w="1679" w:type="dxa"/>
          </w:tcPr>
          <w:p w:rsidR="00B95220" w:rsidP="00FE0398" w14:paraId="3B2EFB6B" w14:textId="20ACDEA5">
            <w:r>
              <w:t>$</w:t>
            </w:r>
            <w:r w:rsidR="7C226BC0">
              <w:t>2</w:t>
            </w:r>
            <w:r w:rsidR="7F34B958">
              <w:t>5,460</w:t>
            </w:r>
            <w:r>
              <w:t>.</w:t>
            </w:r>
            <w:r w:rsidR="3BCEB327">
              <w:t>55</w:t>
            </w:r>
          </w:p>
        </w:tc>
      </w:tr>
      <w:tr w14:paraId="696F0F07" w14:textId="77777777" w:rsidTr="00B95220">
        <w:tblPrEx>
          <w:tblW w:w="0" w:type="auto"/>
          <w:tblLook w:val="04A0"/>
        </w:tblPrEx>
        <w:tc>
          <w:tcPr>
            <w:tcW w:w="1678" w:type="dxa"/>
          </w:tcPr>
          <w:p w:rsidR="00B95220" w:rsidP="00FE0398" w14:paraId="2ABA80E9" w14:textId="797879FD">
            <w:r>
              <w:t>O-6</w:t>
            </w:r>
          </w:p>
        </w:tc>
        <w:tc>
          <w:tcPr>
            <w:tcW w:w="1678" w:type="dxa"/>
          </w:tcPr>
          <w:p w:rsidR="00B95220" w:rsidP="00FE0398" w14:paraId="4FF03B7E" w14:textId="1DECE795">
            <w:r>
              <w:t>1</w:t>
            </w:r>
          </w:p>
        </w:tc>
        <w:tc>
          <w:tcPr>
            <w:tcW w:w="1678" w:type="dxa"/>
          </w:tcPr>
          <w:p w:rsidR="00B95220" w:rsidP="00FE0398" w14:paraId="4E272A3D" w14:textId="22E610B9">
            <w:r>
              <w:t>$</w:t>
            </w:r>
            <w:r w:rsidR="61532B28">
              <w:t>60.64</w:t>
            </w:r>
          </w:p>
        </w:tc>
        <w:tc>
          <w:tcPr>
            <w:tcW w:w="1678" w:type="dxa"/>
          </w:tcPr>
          <w:p w:rsidR="00B95220" w:rsidP="00FE0398" w14:paraId="4F8C3B5A" w14:textId="274702E9">
            <w:r>
              <w:t>10</w:t>
            </w:r>
          </w:p>
        </w:tc>
        <w:tc>
          <w:tcPr>
            <w:tcW w:w="1679" w:type="dxa"/>
          </w:tcPr>
          <w:p w:rsidR="00B95220" w:rsidP="00FE0398" w14:paraId="51CDD9B0" w14:textId="7CA6EA99">
            <w:r>
              <w:t>105</w:t>
            </w:r>
          </w:p>
        </w:tc>
        <w:tc>
          <w:tcPr>
            <w:tcW w:w="1679" w:type="dxa"/>
          </w:tcPr>
          <w:p w:rsidR="00B95220" w:rsidP="00FE0398" w14:paraId="612527A7" w14:textId="2ABDE6D3">
            <w:r>
              <w:t>$</w:t>
            </w:r>
            <w:r w:rsidR="0ACF11B6">
              <w:t>6,367</w:t>
            </w:r>
            <w:r w:rsidR="3A86D4A5">
              <w:t>.</w:t>
            </w:r>
            <w:r w:rsidR="50725FF9">
              <w:t>54</w:t>
            </w:r>
          </w:p>
        </w:tc>
      </w:tr>
      <w:tr w14:paraId="22CC0C67" w14:textId="77777777" w:rsidTr="00492C42">
        <w:tblPrEx>
          <w:tblW w:w="0" w:type="auto"/>
          <w:tblLook w:val="04A0"/>
        </w:tblPrEx>
        <w:tc>
          <w:tcPr>
            <w:tcW w:w="8391" w:type="dxa"/>
            <w:gridSpan w:val="5"/>
          </w:tcPr>
          <w:p w:rsidR="00B95220" w:rsidP="00FE0398" w14:paraId="24C23CD5" w14:textId="4DC5393C">
            <w:r>
              <w:t>Total Cost</w:t>
            </w:r>
          </w:p>
        </w:tc>
        <w:tc>
          <w:tcPr>
            <w:tcW w:w="1679" w:type="dxa"/>
          </w:tcPr>
          <w:p w:rsidR="00B95220" w:rsidP="00FE0398" w14:paraId="4AA4793E" w14:textId="59C5AB65">
            <w:r>
              <w:t>33</w:t>
            </w:r>
            <w:r w:rsidR="00164880">
              <w:t>,550.93</w:t>
            </w:r>
          </w:p>
        </w:tc>
      </w:tr>
    </w:tbl>
    <w:p w:rsidR="005463FB" w:rsidP="00C6392C" w14:paraId="0B224DEE" w14:textId="77777777">
      <w:pPr>
        <w:spacing w:after="0"/>
      </w:pPr>
    </w:p>
    <w:p w:rsidR="00C53D43" w:rsidP="00FE0398" w14:paraId="58C46799" w14:textId="132CDB72">
      <w:r w:rsidRPr="00A237EB">
        <w:t xml:space="preserve">The total estimated costs for specimen collection supplies </w:t>
      </w:r>
      <w:r w:rsidRPr="00A237EB">
        <w:t>is</w:t>
      </w:r>
      <w:r w:rsidRPr="00A237EB">
        <w:t xml:space="preserve"> $</w:t>
      </w:r>
      <w:r w:rsidRPr="00C622CB" w:rsidR="00A237EB">
        <w:t>1</w:t>
      </w:r>
      <w:r w:rsidR="006A7476">
        <w:t>,</w:t>
      </w:r>
      <w:r w:rsidRPr="00C622CB" w:rsidR="00A237EB">
        <w:t>337</w:t>
      </w:r>
      <w:r w:rsidRPr="00A237EB">
        <w:t>.</w:t>
      </w:r>
      <w:r>
        <w:t xml:space="preserve"> </w:t>
      </w:r>
    </w:p>
    <w:tbl>
      <w:tblPr>
        <w:tblStyle w:val="TableGrid"/>
        <w:tblW w:w="10183" w:type="dxa"/>
        <w:tblLook w:val="04A0"/>
      </w:tblPr>
      <w:tblGrid>
        <w:gridCol w:w="5569"/>
        <w:gridCol w:w="1616"/>
        <w:gridCol w:w="1556"/>
        <w:gridCol w:w="1442"/>
      </w:tblGrid>
      <w:tr w14:paraId="5782701F" w14:textId="3B9C1271" w:rsidTr="00C622CB">
        <w:tblPrEx>
          <w:tblW w:w="10183" w:type="dxa"/>
          <w:tblLook w:val="04A0"/>
        </w:tblPrEx>
        <w:tc>
          <w:tcPr>
            <w:tcW w:w="5569" w:type="dxa"/>
          </w:tcPr>
          <w:p w:rsidR="00FD7DB6" w:rsidP="00FE0398" w14:paraId="512B21C9" w14:textId="7CAD0920">
            <w:r>
              <w:t xml:space="preserve">Item </w:t>
            </w:r>
          </w:p>
        </w:tc>
        <w:tc>
          <w:tcPr>
            <w:tcW w:w="1616" w:type="dxa"/>
          </w:tcPr>
          <w:p w:rsidR="00FD7DB6" w:rsidP="00FE0398" w14:paraId="7EBC0DFB" w14:textId="004EA72B">
            <w:r>
              <w:t>Estimated Cost</w:t>
            </w:r>
          </w:p>
        </w:tc>
        <w:tc>
          <w:tcPr>
            <w:tcW w:w="1556" w:type="dxa"/>
          </w:tcPr>
          <w:p w:rsidR="00FD7DB6" w:rsidP="00FE0398" w14:paraId="0F7160F4" w14:textId="17E2C74F">
            <w:r>
              <w:t xml:space="preserve">Quantity </w:t>
            </w:r>
          </w:p>
        </w:tc>
        <w:tc>
          <w:tcPr>
            <w:tcW w:w="1442" w:type="dxa"/>
          </w:tcPr>
          <w:p w:rsidR="00FD7DB6" w:rsidP="00FE0398" w14:paraId="6D7C5ECD" w14:textId="465E8291">
            <w:r>
              <w:t xml:space="preserve">Total Cost </w:t>
            </w:r>
          </w:p>
        </w:tc>
      </w:tr>
      <w:tr w14:paraId="4F50EA0C" w14:textId="28B1AA2A" w:rsidTr="00C622CB">
        <w:tblPrEx>
          <w:tblW w:w="10183" w:type="dxa"/>
          <w:tblLook w:val="04A0"/>
        </w:tblPrEx>
        <w:tc>
          <w:tcPr>
            <w:tcW w:w="5569" w:type="dxa"/>
          </w:tcPr>
          <w:p w:rsidR="00A15B9D" w:rsidP="00A15B9D" w14:paraId="4214498D" w14:textId="5B29E8B2">
            <w:r>
              <w:t>Thermosafe</w:t>
            </w:r>
            <w:r>
              <w:t xml:space="preserve"> insulated shipping boxes (12 boxes/box)</w:t>
            </w:r>
          </w:p>
        </w:tc>
        <w:tc>
          <w:tcPr>
            <w:tcW w:w="1616" w:type="dxa"/>
          </w:tcPr>
          <w:p w:rsidR="00A15B9D" w:rsidP="00A15B9D" w14:paraId="1F567C78" w14:textId="59226A91">
            <w:r>
              <w:t>$120</w:t>
            </w:r>
          </w:p>
        </w:tc>
        <w:tc>
          <w:tcPr>
            <w:tcW w:w="1556" w:type="dxa"/>
          </w:tcPr>
          <w:p w:rsidR="00A15B9D" w:rsidP="00A15B9D" w14:paraId="53F1BDB1" w14:textId="77E7BF80">
            <w:r w:rsidRPr="007D16A2">
              <w:t>5</w:t>
            </w:r>
          </w:p>
        </w:tc>
        <w:tc>
          <w:tcPr>
            <w:tcW w:w="1442" w:type="dxa"/>
          </w:tcPr>
          <w:p w:rsidR="00A15B9D" w:rsidP="00A15B9D" w14:paraId="42D9E466" w14:textId="10AA826C">
            <w:r w:rsidRPr="007D16A2">
              <w:t xml:space="preserve">$600 </w:t>
            </w:r>
          </w:p>
        </w:tc>
      </w:tr>
      <w:tr w14:paraId="75D8A14E" w14:textId="0FD9FFCB" w:rsidTr="00C622CB">
        <w:tblPrEx>
          <w:tblW w:w="10183" w:type="dxa"/>
          <w:tblLook w:val="04A0"/>
        </w:tblPrEx>
        <w:tc>
          <w:tcPr>
            <w:tcW w:w="5569" w:type="dxa"/>
          </w:tcPr>
          <w:p w:rsidR="00A15B9D" w:rsidP="00A15B9D" w14:paraId="6E2FB84E" w14:textId="17A72C8D">
            <w:r>
              <w:t xml:space="preserve">RD plastics </w:t>
            </w:r>
            <w:r>
              <w:t>reclosable</w:t>
            </w:r>
            <w:r>
              <w:t xml:space="preserve"> bags (1000/case)</w:t>
            </w:r>
          </w:p>
        </w:tc>
        <w:tc>
          <w:tcPr>
            <w:tcW w:w="1616" w:type="dxa"/>
          </w:tcPr>
          <w:p w:rsidR="00A15B9D" w:rsidP="00A15B9D" w14:paraId="37BE8265" w14:textId="10FA6004">
            <w:r>
              <w:t>$84</w:t>
            </w:r>
          </w:p>
        </w:tc>
        <w:tc>
          <w:tcPr>
            <w:tcW w:w="1556" w:type="dxa"/>
          </w:tcPr>
          <w:p w:rsidR="00A15B9D" w:rsidP="00A15B9D" w14:paraId="229D327D" w14:textId="785A1284">
            <w:r w:rsidRPr="007D16A2">
              <w:t>2</w:t>
            </w:r>
          </w:p>
        </w:tc>
        <w:tc>
          <w:tcPr>
            <w:tcW w:w="1442" w:type="dxa"/>
          </w:tcPr>
          <w:p w:rsidR="00A15B9D" w:rsidP="00A15B9D" w14:paraId="3936BFD3" w14:textId="32855561">
            <w:r w:rsidRPr="007D16A2">
              <w:t xml:space="preserve">$168 </w:t>
            </w:r>
          </w:p>
        </w:tc>
      </w:tr>
      <w:tr w14:paraId="695E6AC7" w14:textId="136C883A" w:rsidTr="00C622CB">
        <w:tblPrEx>
          <w:tblW w:w="10183" w:type="dxa"/>
          <w:tblLook w:val="04A0"/>
        </w:tblPrEx>
        <w:tc>
          <w:tcPr>
            <w:tcW w:w="5569" w:type="dxa"/>
          </w:tcPr>
          <w:p w:rsidR="00A15B9D" w:rsidP="00A15B9D" w14:paraId="12B11DCE" w14:textId="1E973B40">
            <w:r w:rsidRPr="00011A92">
              <w:t>Fisherbrand</w:t>
            </w:r>
            <w:r w:rsidRPr="00011A92">
              <w:t xml:space="preserve"> Sterile Alcohol Prep Pads (200/pack)</w:t>
            </w:r>
          </w:p>
        </w:tc>
        <w:tc>
          <w:tcPr>
            <w:tcW w:w="1616" w:type="dxa"/>
          </w:tcPr>
          <w:p w:rsidR="00A15B9D" w:rsidP="00A15B9D" w14:paraId="2FD1340A" w14:textId="07810F55">
            <w:r>
              <w:t>$6</w:t>
            </w:r>
          </w:p>
        </w:tc>
        <w:tc>
          <w:tcPr>
            <w:tcW w:w="1556" w:type="dxa"/>
          </w:tcPr>
          <w:p w:rsidR="00A15B9D" w:rsidP="00A15B9D" w14:paraId="07C63310" w14:textId="402934CB">
            <w:r w:rsidRPr="007D16A2">
              <w:t>6</w:t>
            </w:r>
          </w:p>
        </w:tc>
        <w:tc>
          <w:tcPr>
            <w:tcW w:w="1442" w:type="dxa"/>
          </w:tcPr>
          <w:p w:rsidR="00A15B9D" w:rsidP="00A15B9D" w14:paraId="45B2E26D" w14:textId="07DB1F53">
            <w:r w:rsidRPr="007D16A2">
              <w:t xml:space="preserve">$36 </w:t>
            </w:r>
          </w:p>
        </w:tc>
      </w:tr>
      <w:tr w14:paraId="66052AAC" w14:textId="4CE8159E" w:rsidTr="00C622CB">
        <w:tblPrEx>
          <w:tblW w:w="10183" w:type="dxa"/>
          <w:tblLook w:val="04A0"/>
        </w:tblPrEx>
        <w:tc>
          <w:tcPr>
            <w:tcW w:w="5569" w:type="dxa"/>
          </w:tcPr>
          <w:p w:rsidR="00A15B9D" w:rsidP="00A15B9D" w14:paraId="66333D31" w14:textId="2AC8D500">
            <w:r w:rsidRPr="00011A92">
              <w:t xml:space="preserve">Sonoco™ </w:t>
            </w:r>
            <w:r w:rsidRPr="00011A92">
              <w:t>ThermoSafe</w:t>
            </w:r>
            <w:r w:rsidRPr="00011A92">
              <w:t xml:space="preserve"> </w:t>
            </w:r>
            <w:r w:rsidRPr="00011A92">
              <w:t>PolarPack</w:t>
            </w:r>
            <w:r w:rsidRPr="00011A92">
              <w:t>™ Gel Packs(72/case)</w:t>
            </w:r>
          </w:p>
        </w:tc>
        <w:tc>
          <w:tcPr>
            <w:tcW w:w="1616" w:type="dxa"/>
          </w:tcPr>
          <w:p w:rsidR="00A15B9D" w:rsidP="00A15B9D" w14:paraId="56BF6607" w14:textId="16C57A39">
            <w:r>
              <w:t>$43</w:t>
            </w:r>
          </w:p>
        </w:tc>
        <w:tc>
          <w:tcPr>
            <w:tcW w:w="1556" w:type="dxa"/>
          </w:tcPr>
          <w:p w:rsidR="00A15B9D" w:rsidP="00A15B9D" w14:paraId="07BA0399" w14:textId="7C4D62E1">
            <w:r w:rsidRPr="007D16A2">
              <w:t>3</w:t>
            </w:r>
          </w:p>
        </w:tc>
        <w:tc>
          <w:tcPr>
            <w:tcW w:w="1442" w:type="dxa"/>
          </w:tcPr>
          <w:p w:rsidR="00A15B9D" w:rsidP="00A15B9D" w14:paraId="7E92289C" w14:textId="3FD746A0">
            <w:r w:rsidRPr="007D16A2">
              <w:t xml:space="preserve">$129 </w:t>
            </w:r>
          </w:p>
        </w:tc>
      </w:tr>
      <w:tr w14:paraId="5998B721" w14:textId="153F1DAE" w:rsidTr="00C622CB">
        <w:tblPrEx>
          <w:tblW w:w="10183" w:type="dxa"/>
          <w:tblLook w:val="04A0"/>
        </w:tblPrEx>
        <w:tc>
          <w:tcPr>
            <w:tcW w:w="5569" w:type="dxa"/>
          </w:tcPr>
          <w:p w:rsidR="00A15B9D" w:rsidP="00A15B9D" w14:paraId="6F43089C" w14:textId="75A0372A">
            <w:r w:rsidRPr="00011A92">
              <w:t>Specimen containers (500/case)</w:t>
            </w:r>
          </w:p>
        </w:tc>
        <w:tc>
          <w:tcPr>
            <w:tcW w:w="1616" w:type="dxa"/>
          </w:tcPr>
          <w:p w:rsidR="00A15B9D" w:rsidP="00A15B9D" w14:paraId="79AE39BC" w14:textId="719B4AA1">
            <w:r>
              <w:t>$202</w:t>
            </w:r>
          </w:p>
        </w:tc>
        <w:tc>
          <w:tcPr>
            <w:tcW w:w="1556" w:type="dxa"/>
          </w:tcPr>
          <w:p w:rsidR="00A15B9D" w:rsidP="00A15B9D" w14:paraId="2BE9E53F" w14:textId="40BD4FC0">
            <w:r w:rsidRPr="007D16A2">
              <w:t>2</w:t>
            </w:r>
          </w:p>
        </w:tc>
        <w:tc>
          <w:tcPr>
            <w:tcW w:w="1442" w:type="dxa"/>
          </w:tcPr>
          <w:p w:rsidR="00A15B9D" w:rsidP="00A15B9D" w14:paraId="31625263" w14:textId="39A95A9B">
            <w:r w:rsidRPr="007D16A2">
              <w:t xml:space="preserve">$404 </w:t>
            </w:r>
          </w:p>
        </w:tc>
      </w:tr>
      <w:tr w14:paraId="0067C783" w14:textId="77777777" w:rsidTr="003F45DB">
        <w:tblPrEx>
          <w:tblW w:w="10183" w:type="dxa"/>
          <w:tblLook w:val="04A0"/>
        </w:tblPrEx>
        <w:tc>
          <w:tcPr>
            <w:tcW w:w="8741" w:type="dxa"/>
            <w:gridSpan w:val="3"/>
          </w:tcPr>
          <w:p w:rsidR="008A5D8F" w:rsidRPr="007D16A2" w:rsidP="00A15B9D" w14:paraId="495EC2D8" w14:textId="2D1A2EF0">
            <w:r>
              <w:t>Total</w:t>
            </w:r>
          </w:p>
        </w:tc>
        <w:tc>
          <w:tcPr>
            <w:tcW w:w="1442" w:type="dxa"/>
          </w:tcPr>
          <w:p w:rsidR="008A5D8F" w:rsidRPr="007D16A2" w:rsidP="00A15B9D" w14:paraId="5365B89A" w14:textId="74F6D6AC">
            <w:r>
              <w:t>$1,337</w:t>
            </w:r>
          </w:p>
        </w:tc>
      </w:tr>
    </w:tbl>
    <w:p w:rsidR="00C53D43" w:rsidP="00FE0398" w14:paraId="31A044C1" w14:textId="77777777"/>
    <w:p w:rsidR="004A13E8" w:rsidP="0025156B" w14:paraId="55FE1810" w14:textId="77777777">
      <w:pPr>
        <w:pStyle w:val="Heading1"/>
        <w:spacing w:before="240"/>
      </w:pPr>
      <w:bookmarkStart w:id="20" w:name="_Toc180072829"/>
      <w:r>
        <w:t>Explanation for Program Changes or Adjustments</w:t>
      </w:r>
      <w:bookmarkEnd w:id="20"/>
    </w:p>
    <w:p w:rsidR="00B649A5" w:rsidP="00B649A5" w14:paraId="6E1F9A70" w14:textId="5258CC7C">
      <w:r>
        <w:rPr>
          <w:i/>
          <w:iCs/>
        </w:rPr>
        <w:t>Change request</w:t>
      </w:r>
      <w:r w:rsidR="000B0FC9">
        <w:rPr>
          <w:i/>
          <w:iCs/>
        </w:rPr>
        <w:t xml:space="preserve"> (November 2024)</w:t>
      </w:r>
      <w:r>
        <w:rPr>
          <w:i/>
          <w:iCs/>
        </w:rPr>
        <w:t xml:space="preserve">: </w:t>
      </w:r>
    </w:p>
    <w:p w:rsidR="003252FC" w:rsidP="00203B93" w14:paraId="23773C9E" w14:textId="516DD461">
      <w:r>
        <w:t xml:space="preserve">A Change Request was submitted on November 29, </w:t>
      </w:r>
      <w:r>
        <w:t>2024</w:t>
      </w:r>
      <w:r>
        <w:t xml:space="preserve"> to make non-substantive changes to the protocol</w:t>
      </w:r>
      <w:r w:rsidR="00467FBB">
        <w:t xml:space="preserve"> in response to feedback from state partners</w:t>
      </w:r>
      <w:r>
        <w:t xml:space="preserve">. </w:t>
      </w:r>
      <w:r w:rsidR="00467FBB">
        <w:t xml:space="preserve">Enrollment criterion </w:t>
      </w:r>
      <w:r w:rsidR="00E9634C">
        <w:t xml:space="preserve">was changed from 3 months to 4 months </w:t>
      </w:r>
      <w:r w:rsidR="00576901">
        <w:t xml:space="preserve">(16 weeks) </w:t>
      </w:r>
      <w:r w:rsidR="0082631E">
        <w:t>for collection</w:t>
      </w:r>
      <w:r w:rsidR="00925DED">
        <w:t xml:space="preserve"> of bodily fluids</w:t>
      </w:r>
      <w:r w:rsidR="0082631E">
        <w:t xml:space="preserve"> to capture an additional timepoint to measure Oropouche viral persistence</w:t>
      </w:r>
      <w:r w:rsidR="00925DED">
        <w:t xml:space="preserve"> among symptomatic patients</w:t>
      </w:r>
      <w:r w:rsidR="0082631E">
        <w:t xml:space="preserve">. </w:t>
      </w:r>
      <w:r w:rsidR="00925DED">
        <w:t xml:space="preserve">Additionally, </w:t>
      </w:r>
      <w:r w:rsidR="002C6445">
        <w:t xml:space="preserve">enrollment criteria were modified to allow for participation among people who had sexual contact with the case, and who also may have traveled with the case. </w:t>
      </w:r>
      <w:r w:rsidR="00B76CF1">
        <w:t>Other minor changes included clarification of terms</w:t>
      </w:r>
      <w:r w:rsidR="000476CD">
        <w:t xml:space="preserve">, </w:t>
      </w:r>
      <w:r w:rsidR="00C927F8">
        <w:t>timelines</w:t>
      </w:r>
      <w:r w:rsidR="00B76CF1">
        <w:t xml:space="preserve"> (e.g., when a patient got sick)</w:t>
      </w:r>
      <w:r w:rsidR="000476CD">
        <w:t xml:space="preserve">, travel dates, areas of transmission risk, and </w:t>
      </w:r>
      <w:r w:rsidR="00B71211">
        <w:t>the addition of a question about use of screens or air conditioning</w:t>
      </w:r>
      <w:r w:rsidR="000476CD">
        <w:t xml:space="preserve">. </w:t>
      </w:r>
    </w:p>
    <w:p w:rsidR="003252FC" w:rsidP="00203B93" w14:paraId="1C78693D" w14:textId="7A6029BD">
      <w:r>
        <w:rPr>
          <w:i/>
          <w:iCs/>
        </w:rPr>
        <w:t xml:space="preserve">Recent </w:t>
      </w:r>
      <w:r w:rsidRPr="00ED1C74">
        <w:rPr>
          <w:i/>
          <w:iCs/>
        </w:rPr>
        <w:t>adjustment</w:t>
      </w:r>
      <w:r>
        <w:rPr>
          <w:i/>
          <w:iCs/>
        </w:rPr>
        <w:t>s to d</w:t>
      </w:r>
      <w:r w:rsidRPr="00C258A7">
        <w:rPr>
          <w:i/>
          <w:iCs/>
        </w:rPr>
        <w:t>ata collection form</w:t>
      </w:r>
      <w:r>
        <w:rPr>
          <w:i/>
          <w:iCs/>
        </w:rPr>
        <w:t>s</w:t>
      </w:r>
      <w:r>
        <w:t xml:space="preserve">: </w:t>
      </w:r>
    </w:p>
    <w:p w:rsidR="00F841C8" w:rsidP="00203B93" w14:paraId="55ED21F7" w14:textId="6D719409">
      <w:r>
        <w:t xml:space="preserve">Gender questions and terms were adjusted to comply with recent Executive Orders. Minor edits were also made to the </w:t>
      </w:r>
      <w:r w:rsidR="00022B60">
        <w:t xml:space="preserve">data collection forms </w:t>
      </w:r>
      <w:r w:rsidR="0049191C">
        <w:t xml:space="preserve">including the </w:t>
      </w:r>
      <w:r w:rsidR="00FD6B65">
        <w:t>add</w:t>
      </w:r>
      <w:r w:rsidR="0049191C">
        <w:t xml:space="preserve">ition of </w:t>
      </w:r>
      <w:r w:rsidR="00FD6B65">
        <w:t xml:space="preserve">“unknown” </w:t>
      </w:r>
      <w:r w:rsidR="0049191C">
        <w:t xml:space="preserve">response </w:t>
      </w:r>
      <w:r w:rsidR="00FD6B65">
        <w:t>options for certain questions (e.g., in case the patient could not recall the hospital admission date)</w:t>
      </w:r>
      <w:r w:rsidR="000C62B2">
        <w:t xml:space="preserve">, </w:t>
      </w:r>
      <w:r w:rsidR="0049191C">
        <w:t xml:space="preserve">listing </w:t>
      </w:r>
      <w:r w:rsidR="0035440B">
        <w:t>fatigue and malaise as separate symptoms,</w:t>
      </w:r>
      <w:r w:rsidR="0049191C">
        <w:t xml:space="preserve"> and</w:t>
      </w:r>
      <w:r w:rsidR="0035440B">
        <w:t xml:space="preserve"> corrections to skip patterns</w:t>
      </w:r>
      <w:r w:rsidR="0049191C">
        <w:t xml:space="preserve">. </w:t>
      </w:r>
    </w:p>
    <w:p w:rsidR="004A13E8" w:rsidP="004A13E8" w14:paraId="55FE1812" w14:textId="77777777">
      <w:pPr>
        <w:pStyle w:val="Heading1"/>
      </w:pPr>
      <w:bookmarkStart w:id="21" w:name="_Toc180072830"/>
      <w:r>
        <w:t>Plans for Tabulation and Publication and Project Time Schedule</w:t>
      </w:r>
      <w:bookmarkEnd w:id="21"/>
    </w:p>
    <w:tbl>
      <w:tblPr>
        <w:tblStyle w:val="TableGrid"/>
        <w:tblW w:w="9265" w:type="dxa"/>
        <w:tblLayout w:type="fixed"/>
        <w:tblLook w:val="04A0"/>
      </w:tblPr>
      <w:tblGrid>
        <w:gridCol w:w="3145"/>
        <w:gridCol w:w="510"/>
        <w:gridCol w:w="510"/>
        <w:gridCol w:w="510"/>
        <w:gridCol w:w="510"/>
        <w:gridCol w:w="510"/>
        <w:gridCol w:w="510"/>
        <w:gridCol w:w="510"/>
        <w:gridCol w:w="510"/>
        <w:gridCol w:w="510"/>
        <w:gridCol w:w="510"/>
        <w:gridCol w:w="510"/>
        <w:gridCol w:w="510"/>
      </w:tblGrid>
      <w:tr w14:paraId="2CEDEA41" w14:textId="77777777" w:rsidTr="00516B2C">
        <w:tblPrEx>
          <w:tblW w:w="9265" w:type="dxa"/>
          <w:tblLayout w:type="fixed"/>
          <w:tblLook w:val="04A0"/>
        </w:tblPrEx>
        <w:tc>
          <w:tcPr>
            <w:tcW w:w="3145" w:type="dxa"/>
            <w:vMerge w:val="restart"/>
            <w:vAlign w:val="bottom"/>
          </w:tcPr>
          <w:p w:rsidR="000E3C51" w:rsidRPr="00C001BA" w:rsidP="00516B2C" w14:paraId="515029FF" w14:textId="77777777">
            <w:pPr>
              <w:rPr>
                <w:b/>
                <w:sz w:val="20"/>
                <w:szCs w:val="20"/>
              </w:rPr>
            </w:pPr>
            <w:r w:rsidRPr="00C001BA">
              <w:rPr>
                <w:b/>
                <w:sz w:val="20"/>
                <w:szCs w:val="20"/>
              </w:rPr>
              <w:t>Activities</w:t>
            </w:r>
          </w:p>
        </w:tc>
        <w:tc>
          <w:tcPr>
            <w:tcW w:w="6120" w:type="dxa"/>
            <w:gridSpan w:val="12"/>
          </w:tcPr>
          <w:p w:rsidR="000E3C51" w:rsidRPr="00C001BA" w:rsidP="00516B2C" w14:paraId="0B67ECA3" w14:textId="77777777">
            <w:pPr>
              <w:jc w:val="center"/>
              <w:rPr>
                <w:b/>
                <w:sz w:val="18"/>
                <w:szCs w:val="20"/>
              </w:rPr>
            </w:pPr>
            <w:r>
              <w:rPr>
                <w:b/>
                <w:sz w:val="18"/>
                <w:szCs w:val="20"/>
              </w:rPr>
              <w:t>Project</w:t>
            </w:r>
            <w:r w:rsidRPr="00C001BA">
              <w:rPr>
                <w:b/>
                <w:sz w:val="18"/>
                <w:szCs w:val="20"/>
              </w:rPr>
              <w:t xml:space="preserve"> Timeline in Months</w:t>
            </w:r>
          </w:p>
        </w:tc>
      </w:tr>
      <w:tr w14:paraId="1C98BF1E" w14:textId="77777777" w:rsidTr="00516B2C">
        <w:tblPrEx>
          <w:tblW w:w="9265" w:type="dxa"/>
          <w:tblLayout w:type="fixed"/>
          <w:tblLook w:val="04A0"/>
        </w:tblPrEx>
        <w:tc>
          <w:tcPr>
            <w:tcW w:w="3145" w:type="dxa"/>
            <w:vMerge/>
          </w:tcPr>
          <w:p w:rsidR="000E3C51" w:rsidRPr="00F3341B" w:rsidP="00516B2C" w14:paraId="3E408C91" w14:textId="77777777">
            <w:pPr>
              <w:rPr>
                <w:sz w:val="20"/>
                <w:szCs w:val="20"/>
              </w:rPr>
            </w:pPr>
          </w:p>
        </w:tc>
        <w:tc>
          <w:tcPr>
            <w:tcW w:w="510" w:type="dxa"/>
          </w:tcPr>
          <w:p w:rsidR="000E3C51" w:rsidRPr="004E5A33" w:rsidP="00516B2C" w14:paraId="4D5D5F0E" w14:textId="77777777">
            <w:pPr>
              <w:jc w:val="center"/>
              <w:rPr>
                <w:sz w:val="18"/>
                <w:szCs w:val="20"/>
              </w:rPr>
            </w:pPr>
            <w:r>
              <w:rPr>
                <w:sz w:val="18"/>
                <w:szCs w:val="20"/>
              </w:rPr>
              <w:t>1</w:t>
            </w:r>
          </w:p>
        </w:tc>
        <w:tc>
          <w:tcPr>
            <w:tcW w:w="510" w:type="dxa"/>
          </w:tcPr>
          <w:p w:rsidR="000E3C51" w:rsidP="00516B2C" w14:paraId="121487C3" w14:textId="77777777">
            <w:pPr>
              <w:jc w:val="center"/>
              <w:rPr>
                <w:sz w:val="18"/>
              </w:rPr>
            </w:pPr>
            <w:r>
              <w:rPr>
                <w:sz w:val="18"/>
              </w:rPr>
              <w:t>2</w:t>
            </w:r>
          </w:p>
        </w:tc>
        <w:tc>
          <w:tcPr>
            <w:tcW w:w="510" w:type="dxa"/>
          </w:tcPr>
          <w:p w:rsidR="000E3C51" w:rsidRPr="004E5A33" w:rsidP="00516B2C" w14:paraId="38A8F7FE" w14:textId="77777777">
            <w:pPr>
              <w:jc w:val="center"/>
              <w:rPr>
                <w:sz w:val="18"/>
              </w:rPr>
            </w:pPr>
            <w:r>
              <w:rPr>
                <w:sz w:val="18"/>
              </w:rPr>
              <w:t>3</w:t>
            </w:r>
          </w:p>
        </w:tc>
        <w:tc>
          <w:tcPr>
            <w:tcW w:w="510" w:type="dxa"/>
          </w:tcPr>
          <w:p w:rsidR="000E3C51" w:rsidRPr="004E5A33" w:rsidP="00516B2C" w14:paraId="453E8EEF" w14:textId="77777777">
            <w:pPr>
              <w:jc w:val="center"/>
              <w:rPr>
                <w:sz w:val="18"/>
              </w:rPr>
            </w:pPr>
            <w:r>
              <w:rPr>
                <w:sz w:val="18"/>
              </w:rPr>
              <w:t>4</w:t>
            </w:r>
          </w:p>
        </w:tc>
        <w:tc>
          <w:tcPr>
            <w:tcW w:w="510" w:type="dxa"/>
          </w:tcPr>
          <w:p w:rsidR="000E3C51" w:rsidRPr="004E5A33" w:rsidP="00516B2C" w14:paraId="0BFE417E" w14:textId="77777777">
            <w:pPr>
              <w:jc w:val="center"/>
              <w:rPr>
                <w:sz w:val="18"/>
              </w:rPr>
            </w:pPr>
            <w:r>
              <w:rPr>
                <w:sz w:val="18"/>
              </w:rPr>
              <w:t>5</w:t>
            </w:r>
          </w:p>
        </w:tc>
        <w:tc>
          <w:tcPr>
            <w:tcW w:w="510" w:type="dxa"/>
          </w:tcPr>
          <w:p w:rsidR="000E3C51" w:rsidRPr="004E5A33" w:rsidP="00516B2C" w14:paraId="34232A02" w14:textId="77777777">
            <w:pPr>
              <w:jc w:val="center"/>
              <w:rPr>
                <w:sz w:val="18"/>
              </w:rPr>
            </w:pPr>
            <w:r>
              <w:rPr>
                <w:sz w:val="18"/>
              </w:rPr>
              <w:t>6</w:t>
            </w:r>
          </w:p>
        </w:tc>
        <w:tc>
          <w:tcPr>
            <w:tcW w:w="510" w:type="dxa"/>
          </w:tcPr>
          <w:p w:rsidR="000E3C51" w:rsidRPr="004E5A33" w:rsidP="00516B2C" w14:paraId="440F6126" w14:textId="77777777">
            <w:pPr>
              <w:jc w:val="center"/>
              <w:rPr>
                <w:sz w:val="18"/>
              </w:rPr>
            </w:pPr>
            <w:r>
              <w:rPr>
                <w:sz w:val="18"/>
              </w:rPr>
              <w:t>7</w:t>
            </w:r>
          </w:p>
        </w:tc>
        <w:tc>
          <w:tcPr>
            <w:tcW w:w="510" w:type="dxa"/>
          </w:tcPr>
          <w:p w:rsidR="000E3C51" w:rsidP="00516B2C" w14:paraId="1D0EC127" w14:textId="77777777">
            <w:pPr>
              <w:jc w:val="center"/>
              <w:rPr>
                <w:sz w:val="18"/>
              </w:rPr>
            </w:pPr>
            <w:r>
              <w:rPr>
                <w:sz w:val="18"/>
              </w:rPr>
              <w:t>8</w:t>
            </w:r>
          </w:p>
        </w:tc>
        <w:tc>
          <w:tcPr>
            <w:tcW w:w="510" w:type="dxa"/>
          </w:tcPr>
          <w:p w:rsidR="000E3C51" w:rsidRPr="004E5A33" w:rsidP="00516B2C" w14:paraId="5A14C08B" w14:textId="77777777">
            <w:pPr>
              <w:jc w:val="center"/>
              <w:rPr>
                <w:sz w:val="18"/>
              </w:rPr>
            </w:pPr>
            <w:r>
              <w:rPr>
                <w:sz w:val="18"/>
              </w:rPr>
              <w:t>9</w:t>
            </w:r>
          </w:p>
        </w:tc>
        <w:tc>
          <w:tcPr>
            <w:tcW w:w="510" w:type="dxa"/>
          </w:tcPr>
          <w:p w:rsidR="000E3C51" w:rsidRPr="004E5A33" w:rsidP="00516B2C" w14:paraId="692B8A5B" w14:textId="77777777">
            <w:pPr>
              <w:jc w:val="center"/>
              <w:rPr>
                <w:sz w:val="18"/>
              </w:rPr>
            </w:pPr>
            <w:r>
              <w:rPr>
                <w:sz w:val="18"/>
              </w:rPr>
              <w:t>10</w:t>
            </w:r>
          </w:p>
        </w:tc>
        <w:tc>
          <w:tcPr>
            <w:tcW w:w="510" w:type="dxa"/>
          </w:tcPr>
          <w:p w:rsidR="000E3C51" w:rsidP="00516B2C" w14:paraId="4667BA8C" w14:textId="77777777">
            <w:pPr>
              <w:jc w:val="center"/>
              <w:rPr>
                <w:sz w:val="18"/>
              </w:rPr>
            </w:pPr>
            <w:r>
              <w:rPr>
                <w:sz w:val="18"/>
              </w:rPr>
              <w:t>11</w:t>
            </w:r>
          </w:p>
        </w:tc>
        <w:tc>
          <w:tcPr>
            <w:tcW w:w="510" w:type="dxa"/>
          </w:tcPr>
          <w:p w:rsidR="000E3C51" w:rsidRPr="004E5A33" w:rsidP="00516B2C" w14:paraId="146C5F82" w14:textId="77777777">
            <w:pPr>
              <w:jc w:val="center"/>
              <w:rPr>
                <w:sz w:val="18"/>
              </w:rPr>
            </w:pPr>
            <w:r>
              <w:rPr>
                <w:sz w:val="18"/>
              </w:rPr>
              <w:t>12</w:t>
            </w:r>
          </w:p>
        </w:tc>
      </w:tr>
      <w:tr w14:paraId="19370389" w14:textId="77777777" w:rsidTr="00516B2C">
        <w:tblPrEx>
          <w:tblW w:w="9265" w:type="dxa"/>
          <w:tblLayout w:type="fixed"/>
          <w:tblLook w:val="04A0"/>
        </w:tblPrEx>
        <w:tc>
          <w:tcPr>
            <w:tcW w:w="3145" w:type="dxa"/>
          </w:tcPr>
          <w:p w:rsidR="000E3C51" w:rsidRPr="00F3341B" w:rsidP="00516B2C" w14:paraId="2AE8A0EA" w14:textId="77777777">
            <w:pPr>
              <w:rPr>
                <w:sz w:val="20"/>
                <w:szCs w:val="20"/>
              </w:rPr>
            </w:pPr>
            <w:r>
              <w:rPr>
                <w:sz w:val="20"/>
                <w:szCs w:val="20"/>
              </w:rPr>
              <w:t>Human Subjects and PRA determination</w:t>
            </w:r>
          </w:p>
        </w:tc>
        <w:tc>
          <w:tcPr>
            <w:tcW w:w="510" w:type="dxa"/>
          </w:tcPr>
          <w:p w:rsidR="000E3C51" w:rsidRPr="0006563F" w:rsidP="00516B2C" w14:paraId="397201A2" w14:textId="77777777">
            <w:pPr>
              <w:jc w:val="center"/>
              <w:rPr>
                <w:b/>
              </w:rPr>
            </w:pPr>
          </w:p>
        </w:tc>
        <w:tc>
          <w:tcPr>
            <w:tcW w:w="510" w:type="dxa"/>
          </w:tcPr>
          <w:p w:rsidR="000E3C51" w:rsidRPr="0006563F" w:rsidP="00516B2C" w14:paraId="65B56869" w14:textId="4240989E">
            <w:pPr>
              <w:jc w:val="center"/>
              <w:rPr>
                <w:b/>
              </w:rPr>
            </w:pPr>
            <w:r>
              <w:rPr>
                <w:b/>
              </w:rPr>
              <w:t>x</w:t>
            </w:r>
          </w:p>
        </w:tc>
        <w:tc>
          <w:tcPr>
            <w:tcW w:w="510" w:type="dxa"/>
          </w:tcPr>
          <w:p w:rsidR="000E3C51" w:rsidRPr="0006563F" w:rsidP="00516B2C" w14:paraId="7B7365B3" w14:textId="77777777">
            <w:pPr>
              <w:jc w:val="center"/>
              <w:rPr>
                <w:b/>
              </w:rPr>
            </w:pPr>
          </w:p>
        </w:tc>
        <w:tc>
          <w:tcPr>
            <w:tcW w:w="510" w:type="dxa"/>
          </w:tcPr>
          <w:p w:rsidR="000E3C51" w:rsidRPr="0006563F" w:rsidP="00516B2C" w14:paraId="151170E7" w14:textId="77777777">
            <w:pPr>
              <w:jc w:val="center"/>
              <w:rPr>
                <w:b/>
              </w:rPr>
            </w:pPr>
          </w:p>
        </w:tc>
        <w:tc>
          <w:tcPr>
            <w:tcW w:w="510" w:type="dxa"/>
          </w:tcPr>
          <w:p w:rsidR="000E3C51" w:rsidRPr="0006563F" w:rsidP="00516B2C" w14:paraId="5924FE8C" w14:textId="77777777">
            <w:pPr>
              <w:jc w:val="center"/>
              <w:rPr>
                <w:b/>
              </w:rPr>
            </w:pPr>
          </w:p>
        </w:tc>
        <w:tc>
          <w:tcPr>
            <w:tcW w:w="510" w:type="dxa"/>
          </w:tcPr>
          <w:p w:rsidR="000E3C51" w:rsidRPr="0006563F" w:rsidP="00516B2C" w14:paraId="7B461646" w14:textId="77777777">
            <w:pPr>
              <w:jc w:val="center"/>
              <w:rPr>
                <w:b/>
              </w:rPr>
            </w:pPr>
          </w:p>
        </w:tc>
        <w:tc>
          <w:tcPr>
            <w:tcW w:w="510" w:type="dxa"/>
          </w:tcPr>
          <w:p w:rsidR="000E3C51" w:rsidRPr="0006563F" w:rsidP="00516B2C" w14:paraId="4AD17E54" w14:textId="77777777">
            <w:pPr>
              <w:jc w:val="center"/>
              <w:rPr>
                <w:b/>
              </w:rPr>
            </w:pPr>
          </w:p>
        </w:tc>
        <w:tc>
          <w:tcPr>
            <w:tcW w:w="510" w:type="dxa"/>
          </w:tcPr>
          <w:p w:rsidR="000E3C51" w:rsidRPr="0006563F" w:rsidP="00516B2C" w14:paraId="61E842F1" w14:textId="77777777">
            <w:pPr>
              <w:jc w:val="center"/>
              <w:rPr>
                <w:b/>
              </w:rPr>
            </w:pPr>
          </w:p>
        </w:tc>
        <w:tc>
          <w:tcPr>
            <w:tcW w:w="510" w:type="dxa"/>
          </w:tcPr>
          <w:p w:rsidR="000E3C51" w:rsidRPr="0006563F" w:rsidP="00516B2C" w14:paraId="265CFD01" w14:textId="77777777">
            <w:pPr>
              <w:jc w:val="center"/>
              <w:rPr>
                <w:b/>
              </w:rPr>
            </w:pPr>
          </w:p>
        </w:tc>
        <w:tc>
          <w:tcPr>
            <w:tcW w:w="510" w:type="dxa"/>
          </w:tcPr>
          <w:p w:rsidR="000E3C51" w:rsidRPr="0006563F" w:rsidP="00516B2C" w14:paraId="5862E6F4" w14:textId="77777777">
            <w:pPr>
              <w:jc w:val="center"/>
              <w:rPr>
                <w:b/>
              </w:rPr>
            </w:pPr>
          </w:p>
        </w:tc>
        <w:tc>
          <w:tcPr>
            <w:tcW w:w="510" w:type="dxa"/>
          </w:tcPr>
          <w:p w:rsidR="000E3C51" w:rsidRPr="0006563F" w:rsidP="00516B2C" w14:paraId="65430571" w14:textId="77777777">
            <w:pPr>
              <w:jc w:val="center"/>
              <w:rPr>
                <w:b/>
              </w:rPr>
            </w:pPr>
          </w:p>
        </w:tc>
        <w:tc>
          <w:tcPr>
            <w:tcW w:w="510" w:type="dxa"/>
          </w:tcPr>
          <w:p w:rsidR="000E3C51" w:rsidRPr="0006563F" w:rsidP="00516B2C" w14:paraId="5734A1FB" w14:textId="77777777">
            <w:pPr>
              <w:jc w:val="center"/>
              <w:rPr>
                <w:b/>
              </w:rPr>
            </w:pPr>
          </w:p>
        </w:tc>
      </w:tr>
      <w:tr w14:paraId="274EBC2F" w14:textId="77777777" w:rsidTr="00516B2C">
        <w:tblPrEx>
          <w:tblW w:w="9265" w:type="dxa"/>
          <w:tblLayout w:type="fixed"/>
          <w:tblLook w:val="04A0"/>
        </w:tblPrEx>
        <w:tc>
          <w:tcPr>
            <w:tcW w:w="3145" w:type="dxa"/>
          </w:tcPr>
          <w:p w:rsidR="000E3C51" w:rsidRPr="00F3341B" w:rsidP="00516B2C" w14:paraId="6E8F6114" w14:textId="77777777">
            <w:pPr>
              <w:rPr>
                <w:sz w:val="20"/>
                <w:szCs w:val="20"/>
              </w:rPr>
            </w:pPr>
            <w:r>
              <w:rPr>
                <w:sz w:val="20"/>
                <w:szCs w:val="20"/>
              </w:rPr>
              <w:t>Investigator Coordination Meeting</w:t>
            </w:r>
          </w:p>
        </w:tc>
        <w:tc>
          <w:tcPr>
            <w:tcW w:w="510" w:type="dxa"/>
          </w:tcPr>
          <w:p w:rsidR="000E3C51" w:rsidRPr="0006563F" w:rsidP="00516B2C" w14:paraId="0D8C32F5" w14:textId="01C72827">
            <w:pPr>
              <w:jc w:val="center"/>
              <w:rPr>
                <w:b/>
              </w:rPr>
            </w:pPr>
            <w:r w:rsidRPr="0006563F">
              <w:rPr>
                <w:b/>
              </w:rPr>
              <w:t>x</w:t>
            </w:r>
          </w:p>
        </w:tc>
        <w:tc>
          <w:tcPr>
            <w:tcW w:w="510" w:type="dxa"/>
          </w:tcPr>
          <w:p w:rsidR="000E3C51" w:rsidRPr="0006563F" w:rsidP="00516B2C" w14:paraId="568B89B0" w14:textId="782B09F3">
            <w:pPr>
              <w:jc w:val="center"/>
              <w:rPr>
                <w:b/>
              </w:rPr>
            </w:pPr>
            <w:r>
              <w:rPr>
                <w:b/>
              </w:rPr>
              <w:t>x</w:t>
            </w:r>
          </w:p>
        </w:tc>
        <w:tc>
          <w:tcPr>
            <w:tcW w:w="510" w:type="dxa"/>
          </w:tcPr>
          <w:p w:rsidR="000E3C51" w:rsidRPr="0006563F" w:rsidP="00516B2C" w14:paraId="422E16FB" w14:textId="24BCFBC8">
            <w:pPr>
              <w:jc w:val="center"/>
              <w:rPr>
                <w:b/>
              </w:rPr>
            </w:pPr>
            <w:r>
              <w:rPr>
                <w:b/>
              </w:rPr>
              <w:t>x</w:t>
            </w:r>
          </w:p>
        </w:tc>
        <w:tc>
          <w:tcPr>
            <w:tcW w:w="510" w:type="dxa"/>
          </w:tcPr>
          <w:p w:rsidR="000E3C51" w:rsidRPr="0006563F" w:rsidP="00516B2C" w14:paraId="7D346030" w14:textId="75BB6BA1">
            <w:pPr>
              <w:jc w:val="center"/>
              <w:rPr>
                <w:b/>
              </w:rPr>
            </w:pPr>
            <w:r>
              <w:rPr>
                <w:b/>
              </w:rPr>
              <w:t>x</w:t>
            </w:r>
          </w:p>
        </w:tc>
        <w:tc>
          <w:tcPr>
            <w:tcW w:w="510" w:type="dxa"/>
          </w:tcPr>
          <w:p w:rsidR="000E3C51" w:rsidRPr="0006563F" w:rsidP="00516B2C" w14:paraId="5D5B1CCD" w14:textId="77777777">
            <w:pPr>
              <w:jc w:val="center"/>
              <w:rPr>
                <w:b/>
              </w:rPr>
            </w:pPr>
          </w:p>
        </w:tc>
        <w:tc>
          <w:tcPr>
            <w:tcW w:w="510" w:type="dxa"/>
          </w:tcPr>
          <w:p w:rsidR="000E3C51" w:rsidRPr="0006563F" w:rsidP="00516B2C" w14:paraId="0B6CDEFC" w14:textId="77777777">
            <w:pPr>
              <w:jc w:val="center"/>
              <w:rPr>
                <w:b/>
              </w:rPr>
            </w:pPr>
          </w:p>
        </w:tc>
        <w:tc>
          <w:tcPr>
            <w:tcW w:w="510" w:type="dxa"/>
          </w:tcPr>
          <w:p w:rsidR="000E3C51" w:rsidRPr="0006563F" w:rsidP="00516B2C" w14:paraId="6AB31C59" w14:textId="77777777">
            <w:pPr>
              <w:jc w:val="center"/>
              <w:rPr>
                <w:b/>
              </w:rPr>
            </w:pPr>
          </w:p>
        </w:tc>
        <w:tc>
          <w:tcPr>
            <w:tcW w:w="510" w:type="dxa"/>
          </w:tcPr>
          <w:p w:rsidR="000E3C51" w:rsidRPr="0006563F" w:rsidP="00516B2C" w14:paraId="74536203" w14:textId="77777777">
            <w:pPr>
              <w:jc w:val="center"/>
              <w:rPr>
                <w:b/>
              </w:rPr>
            </w:pPr>
          </w:p>
        </w:tc>
        <w:tc>
          <w:tcPr>
            <w:tcW w:w="510" w:type="dxa"/>
          </w:tcPr>
          <w:p w:rsidR="000E3C51" w:rsidRPr="0006563F" w:rsidP="00516B2C" w14:paraId="3DE40B92" w14:textId="77777777">
            <w:pPr>
              <w:jc w:val="center"/>
              <w:rPr>
                <w:b/>
              </w:rPr>
            </w:pPr>
          </w:p>
        </w:tc>
        <w:tc>
          <w:tcPr>
            <w:tcW w:w="510" w:type="dxa"/>
          </w:tcPr>
          <w:p w:rsidR="000E3C51" w:rsidRPr="0006563F" w:rsidP="00516B2C" w14:paraId="709CAAE4" w14:textId="77777777">
            <w:pPr>
              <w:jc w:val="center"/>
              <w:rPr>
                <w:b/>
              </w:rPr>
            </w:pPr>
          </w:p>
        </w:tc>
        <w:tc>
          <w:tcPr>
            <w:tcW w:w="510" w:type="dxa"/>
          </w:tcPr>
          <w:p w:rsidR="000E3C51" w:rsidRPr="0006563F" w:rsidP="00516B2C" w14:paraId="4554D846" w14:textId="77777777">
            <w:pPr>
              <w:jc w:val="center"/>
              <w:rPr>
                <w:b/>
              </w:rPr>
            </w:pPr>
          </w:p>
        </w:tc>
        <w:tc>
          <w:tcPr>
            <w:tcW w:w="510" w:type="dxa"/>
          </w:tcPr>
          <w:p w:rsidR="000E3C51" w:rsidRPr="0006563F" w:rsidP="00516B2C" w14:paraId="62F9E18D" w14:textId="77777777">
            <w:pPr>
              <w:jc w:val="center"/>
              <w:rPr>
                <w:b/>
              </w:rPr>
            </w:pPr>
          </w:p>
        </w:tc>
      </w:tr>
      <w:tr w14:paraId="18AA8B2C" w14:textId="77777777" w:rsidTr="00516B2C">
        <w:tblPrEx>
          <w:tblW w:w="9265" w:type="dxa"/>
          <w:tblLayout w:type="fixed"/>
          <w:tblLook w:val="04A0"/>
        </w:tblPrEx>
        <w:tc>
          <w:tcPr>
            <w:tcW w:w="3145" w:type="dxa"/>
          </w:tcPr>
          <w:p w:rsidR="000E3C51" w:rsidRPr="00F3341B" w:rsidP="00516B2C" w14:paraId="12962860" w14:textId="77777777">
            <w:pPr>
              <w:rPr>
                <w:sz w:val="20"/>
                <w:szCs w:val="20"/>
              </w:rPr>
            </w:pPr>
            <w:r>
              <w:rPr>
                <w:sz w:val="20"/>
                <w:szCs w:val="20"/>
              </w:rPr>
              <w:t>Questionnaire Development</w:t>
            </w:r>
          </w:p>
        </w:tc>
        <w:tc>
          <w:tcPr>
            <w:tcW w:w="510" w:type="dxa"/>
          </w:tcPr>
          <w:p w:rsidR="000E3C51" w:rsidRPr="0006563F" w:rsidP="00516B2C" w14:paraId="2597A16D" w14:textId="196B15FA">
            <w:pPr>
              <w:jc w:val="center"/>
              <w:rPr>
                <w:b/>
              </w:rPr>
            </w:pPr>
            <w:r w:rsidRPr="0006563F">
              <w:rPr>
                <w:b/>
              </w:rPr>
              <w:t>x</w:t>
            </w:r>
          </w:p>
        </w:tc>
        <w:tc>
          <w:tcPr>
            <w:tcW w:w="510" w:type="dxa"/>
          </w:tcPr>
          <w:p w:rsidR="000E3C51" w:rsidRPr="0006563F" w:rsidP="00516B2C" w14:paraId="45188F11" w14:textId="1F583ACE">
            <w:pPr>
              <w:jc w:val="center"/>
              <w:rPr>
                <w:b/>
              </w:rPr>
            </w:pPr>
            <w:r>
              <w:rPr>
                <w:b/>
              </w:rPr>
              <w:t>x</w:t>
            </w:r>
          </w:p>
        </w:tc>
        <w:tc>
          <w:tcPr>
            <w:tcW w:w="510" w:type="dxa"/>
          </w:tcPr>
          <w:p w:rsidR="000E3C51" w:rsidRPr="0006563F" w:rsidP="00516B2C" w14:paraId="5A35490E" w14:textId="77777777">
            <w:pPr>
              <w:jc w:val="center"/>
              <w:rPr>
                <w:b/>
              </w:rPr>
            </w:pPr>
          </w:p>
        </w:tc>
        <w:tc>
          <w:tcPr>
            <w:tcW w:w="510" w:type="dxa"/>
          </w:tcPr>
          <w:p w:rsidR="000E3C51" w:rsidRPr="0006563F" w:rsidP="00516B2C" w14:paraId="49407BAC" w14:textId="77777777">
            <w:pPr>
              <w:jc w:val="center"/>
              <w:rPr>
                <w:b/>
              </w:rPr>
            </w:pPr>
          </w:p>
        </w:tc>
        <w:tc>
          <w:tcPr>
            <w:tcW w:w="510" w:type="dxa"/>
          </w:tcPr>
          <w:p w:rsidR="000E3C51" w:rsidRPr="0006563F" w:rsidP="00516B2C" w14:paraId="49D54A4E" w14:textId="77777777">
            <w:pPr>
              <w:jc w:val="center"/>
              <w:rPr>
                <w:b/>
              </w:rPr>
            </w:pPr>
          </w:p>
        </w:tc>
        <w:tc>
          <w:tcPr>
            <w:tcW w:w="510" w:type="dxa"/>
          </w:tcPr>
          <w:p w:rsidR="000E3C51" w:rsidRPr="0006563F" w:rsidP="00516B2C" w14:paraId="16905D7E" w14:textId="77777777">
            <w:pPr>
              <w:jc w:val="center"/>
              <w:rPr>
                <w:b/>
              </w:rPr>
            </w:pPr>
          </w:p>
        </w:tc>
        <w:tc>
          <w:tcPr>
            <w:tcW w:w="510" w:type="dxa"/>
          </w:tcPr>
          <w:p w:rsidR="000E3C51" w:rsidRPr="0006563F" w:rsidP="00516B2C" w14:paraId="3B5F655E" w14:textId="77777777">
            <w:pPr>
              <w:jc w:val="center"/>
              <w:rPr>
                <w:b/>
              </w:rPr>
            </w:pPr>
          </w:p>
        </w:tc>
        <w:tc>
          <w:tcPr>
            <w:tcW w:w="510" w:type="dxa"/>
          </w:tcPr>
          <w:p w:rsidR="000E3C51" w:rsidRPr="0006563F" w:rsidP="00516B2C" w14:paraId="55C0A2A3" w14:textId="77777777">
            <w:pPr>
              <w:jc w:val="center"/>
              <w:rPr>
                <w:b/>
              </w:rPr>
            </w:pPr>
          </w:p>
        </w:tc>
        <w:tc>
          <w:tcPr>
            <w:tcW w:w="510" w:type="dxa"/>
          </w:tcPr>
          <w:p w:rsidR="000E3C51" w:rsidRPr="0006563F" w:rsidP="00516B2C" w14:paraId="5A2C18BC" w14:textId="77777777">
            <w:pPr>
              <w:jc w:val="center"/>
              <w:rPr>
                <w:b/>
              </w:rPr>
            </w:pPr>
          </w:p>
        </w:tc>
        <w:tc>
          <w:tcPr>
            <w:tcW w:w="510" w:type="dxa"/>
          </w:tcPr>
          <w:p w:rsidR="000E3C51" w:rsidRPr="0006563F" w:rsidP="00516B2C" w14:paraId="68BDD61C" w14:textId="77777777">
            <w:pPr>
              <w:jc w:val="center"/>
              <w:rPr>
                <w:b/>
              </w:rPr>
            </w:pPr>
          </w:p>
        </w:tc>
        <w:tc>
          <w:tcPr>
            <w:tcW w:w="510" w:type="dxa"/>
          </w:tcPr>
          <w:p w:rsidR="000E3C51" w:rsidRPr="0006563F" w:rsidP="00516B2C" w14:paraId="55CBED00" w14:textId="77777777">
            <w:pPr>
              <w:jc w:val="center"/>
              <w:rPr>
                <w:b/>
              </w:rPr>
            </w:pPr>
          </w:p>
        </w:tc>
        <w:tc>
          <w:tcPr>
            <w:tcW w:w="510" w:type="dxa"/>
          </w:tcPr>
          <w:p w:rsidR="000E3C51" w:rsidRPr="0006563F" w:rsidP="00516B2C" w14:paraId="0B500A5F" w14:textId="77777777">
            <w:pPr>
              <w:jc w:val="center"/>
              <w:rPr>
                <w:b/>
              </w:rPr>
            </w:pPr>
          </w:p>
        </w:tc>
      </w:tr>
      <w:tr w14:paraId="2A92FF1A" w14:textId="77777777" w:rsidTr="00516B2C">
        <w:tblPrEx>
          <w:tblW w:w="9265" w:type="dxa"/>
          <w:tblLayout w:type="fixed"/>
          <w:tblLook w:val="04A0"/>
        </w:tblPrEx>
        <w:tc>
          <w:tcPr>
            <w:tcW w:w="3145" w:type="dxa"/>
          </w:tcPr>
          <w:p w:rsidR="000E3C51" w:rsidRPr="00F3341B" w:rsidP="00516B2C" w14:paraId="61A9D459" w14:textId="77777777">
            <w:pPr>
              <w:rPr>
                <w:sz w:val="20"/>
                <w:szCs w:val="20"/>
              </w:rPr>
            </w:pPr>
            <w:r>
              <w:rPr>
                <w:sz w:val="20"/>
                <w:szCs w:val="20"/>
              </w:rPr>
              <w:t>Staff Training</w:t>
            </w:r>
          </w:p>
        </w:tc>
        <w:tc>
          <w:tcPr>
            <w:tcW w:w="510" w:type="dxa"/>
          </w:tcPr>
          <w:p w:rsidR="000E3C51" w:rsidRPr="0006563F" w:rsidP="00516B2C" w14:paraId="4B445178" w14:textId="77777777">
            <w:pPr>
              <w:jc w:val="center"/>
              <w:rPr>
                <w:b/>
              </w:rPr>
            </w:pPr>
          </w:p>
        </w:tc>
        <w:tc>
          <w:tcPr>
            <w:tcW w:w="510" w:type="dxa"/>
          </w:tcPr>
          <w:p w:rsidR="000E3C51" w:rsidRPr="0006563F" w:rsidP="00516B2C" w14:paraId="16F63B18" w14:textId="7B704C07">
            <w:pPr>
              <w:jc w:val="center"/>
              <w:rPr>
                <w:b/>
              </w:rPr>
            </w:pPr>
            <w:r>
              <w:rPr>
                <w:b/>
              </w:rPr>
              <w:t>x</w:t>
            </w:r>
          </w:p>
        </w:tc>
        <w:tc>
          <w:tcPr>
            <w:tcW w:w="510" w:type="dxa"/>
          </w:tcPr>
          <w:p w:rsidR="000E3C51" w:rsidRPr="0006563F" w:rsidP="00516B2C" w14:paraId="7F45BAAB" w14:textId="09BB76F0">
            <w:pPr>
              <w:jc w:val="center"/>
              <w:rPr>
                <w:b/>
              </w:rPr>
            </w:pPr>
            <w:r>
              <w:rPr>
                <w:b/>
              </w:rPr>
              <w:t>x</w:t>
            </w:r>
          </w:p>
        </w:tc>
        <w:tc>
          <w:tcPr>
            <w:tcW w:w="510" w:type="dxa"/>
          </w:tcPr>
          <w:p w:rsidR="000E3C51" w:rsidRPr="0006563F" w:rsidP="00516B2C" w14:paraId="31171FBE" w14:textId="77777777">
            <w:pPr>
              <w:jc w:val="center"/>
              <w:rPr>
                <w:b/>
              </w:rPr>
            </w:pPr>
          </w:p>
        </w:tc>
        <w:tc>
          <w:tcPr>
            <w:tcW w:w="510" w:type="dxa"/>
          </w:tcPr>
          <w:p w:rsidR="000E3C51" w:rsidRPr="0006563F" w:rsidP="00516B2C" w14:paraId="5F298BF8" w14:textId="77777777">
            <w:pPr>
              <w:jc w:val="center"/>
              <w:rPr>
                <w:b/>
              </w:rPr>
            </w:pPr>
          </w:p>
        </w:tc>
        <w:tc>
          <w:tcPr>
            <w:tcW w:w="510" w:type="dxa"/>
          </w:tcPr>
          <w:p w:rsidR="000E3C51" w:rsidRPr="0006563F" w:rsidP="00516B2C" w14:paraId="57EBA207" w14:textId="77777777">
            <w:pPr>
              <w:jc w:val="center"/>
              <w:rPr>
                <w:b/>
              </w:rPr>
            </w:pPr>
          </w:p>
        </w:tc>
        <w:tc>
          <w:tcPr>
            <w:tcW w:w="510" w:type="dxa"/>
          </w:tcPr>
          <w:p w:rsidR="000E3C51" w:rsidRPr="0006563F" w:rsidP="00516B2C" w14:paraId="05B3C6D4" w14:textId="77777777">
            <w:pPr>
              <w:jc w:val="center"/>
              <w:rPr>
                <w:b/>
              </w:rPr>
            </w:pPr>
          </w:p>
        </w:tc>
        <w:tc>
          <w:tcPr>
            <w:tcW w:w="510" w:type="dxa"/>
          </w:tcPr>
          <w:p w:rsidR="000E3C51" w:rsidRPr="0006563F" w:rsidP="00516B2C" w14:paraId="5CDF7626" w14:textId="77777777">
            <w:pPr>
              <w:jc w:val="center"/>
              <w:rPr>
                <w:b/>
              </w:rPr>
            </w:pPr>
          </w:p>
        </w:tc>
        <w:tc>
          <w:tcPr>
            <w:tcW w:w="510" w:type="dxa"/>
          </w:tcPr>
          <w:p w:rsidR="000E3C51" w:rsidRPr="0006563F" w:rsidP="00516B2C" w14:paraId="03C4866C" w14:textId="77777777">
            <w:pPr>
              <w:jc w:val="center"/>
              <w:rPr>
                <w:b/>
              </w:rPr>
            </w:pPr>
          </w:p>
        </w:tc>
        <w:tc>
          <w:tcPr>
            <w:tcW w:w="510" w:type="dxa"/>
          </w:tcPr>
          <w:p w:rsidR="000E3C51" w:rsidRPr="0006563F" w:rsidP="00516B2C" w14:paraId="25657EF4" w14:textId="77777777">
            <w:pPr>
              <w:jc w:val="center"/>
              <w:rPr>
                <w:b/>
              </w:rPr>
            </w:pPr>
          </w:p>
        </w:tc>
        <w:tc>
          <w:tcPr>
            <w:tcW w:w="510" w:type="dxa"/>
          </w:tcPr>
          <w:p w:rsidR="000E3C51" w:rsidRPr="0006563F" w:rsidP="00516B2C" w14:paraId="41C42671" w14:textId="77777777">
            <w:pPr>
              <w:jc w:val="center"/>
              <w:rPr>
                <w:b/>
              </w:rPr>
            </w:pPr>
          </w:p>
        </w:tc>
        <w:tc>
          <w:tcPr>
            <w:tcW w:w="510" w:type="dxa"/>
          </w:tcPr>
          <w:p w:rsidR="000E3C51" w:rsidRPr="0006563F" w:rsidP="00516B2C" w14:paraId="1D0381B0" w14:textId="77777777">
            <w:pPr>
              <w:jc w:val="center"/>
              <w:rPr>
                <w:b/>
              </w:rPr>
            </w:pPr>
          </w:p>
        </w:tc>
      </w:tr>
      <w:tr w14:paraId="313B1322" w14:textId="77777777" w:rsidTr="00516B2C">
        <w:tblPrEx>
          <w:tblW w:w="9265" w:type="dxa"/>
          <w:tblLayout w:type="fixed"/>
          <w:tblLook w:val="04A0"/>
        </w:tblPrEx>
        <w:tc>
          <w:tcPr>
            <w:tcW w:w="3145" w:type="dxa"/>
          </w:tcPr>
          <w:p w:rsidR="000E3C51" w:rsidRPr="00F3341B" w:rsidP="00516B2C" w14:paraId="64514AD4" w14:textId="77777777">
            <w:pPr>
              <w:rPr>
                <w:sz w:val="20"/>
                <w:szCs w:val="20"/>
              </w:rPr>
            </w:pPr>
            <w:r w:rsidRPr="00F3341B">
              <w:rPr>
                <w:sz w:val="20"/>
                <w:szCs w:val="20"/>
              </w:rPr>
              <w:t>Recruitment</w:t>
            </w:r>
          </w:p>
        </w:tc>
        <w:tc>
          <w:tcPr>
            <w:tcW w:w="510" w:type="dxa"/>
          </w:tcPr>
          <w:p w:rsidR="000E3C51" w:rsidRPr="0006563F" w:rsidP="00516B2C" w14:paraId="1DB0A4AC" w14:textId="77777777">
            <w:pPr>
              <w:jc w:val="center"/>
              <w:rPr>
                <w:b/>
              </w:rPr>
            </w:pPr>
          </w:p>
        </w:tc>
        <w:tc>
          <w:tcPr>
            <w:tcW w:w="510" w:type="dxa"/>
          </w:tcPr>
          <w:p w:rsidR="000E3C51" w:rsidRPr="0006563F" w:rsidP="00516B2C" w14:paraId="1CAA256A" w14:textId="483B607E">
            <w:pPr>
              <w:jc w:val="center"/>
              <w:rPr>
                <w:b/>
              </w:rPr>
            </w:pPr>
            <w:r>
              <w:rPr>
                <w:b/>
              </w:rPr>
              <w:t>x</w:t>
            </w:r>
          </w:p>
        </w:tc>
        <w:tc>
          <w:tcPr>
            <w:tcW w:w="510" w:type="dxa"/>
          </w:tcPr>
          <w:p w:rsidR="000E3C51" w:rsidRPr="0006563F" w:rsidP="00516B2C" w14:paraId="466A1F8F" w14:textId="56FFF250">
            <w:pPr>
              <w:jc w:val="center"/>
              <w:rPr>
                <w:b/>
              </w:rPr>
            </w:pPr>
            <w:r>
              <w:rPr>
                <w:b/>
              </w:rPr>
              <w:t>x</w:t>
            </w:r>
          </w:p>
        </w:tc>
        <w:tc>
          <w:tcPr>
            <w:tcW w:w="510" w:type="dxa"/>
          </w:tcPr>
          <w:p w:rsidR="000E3C51" w:rsidRPr="0006563F" w:rsidP="00516B2C" w14:paraId="704998CC" w14:textId="746D3D09">
            <w:pPr>
              <w:jc w:val="center"/>
              <w:rPr>
                <w:b/>
              </w:rPr>
            </w:pPr>
            <w:r>
              <w:rPr>
                <w:b/>
              </w:rPr>
              <w:t>x</w:t>
            </w:r>
          </w:p>
        </w:tc>
        <w:tc>
          <w:tcPr>
            <w:tcW w:w="510" w:type="dxa"/>
          </w:tcPr>
          <w:p w:rsidR="000E3C51" w:rsidRPr="0006563F" w:rsidP="00516B2C" w14:paraId="5277C0DF" w14:textId="77777777">
            <w:pPr>
              <w:jc w:val="center"/>
              <w:rPr>
                <w:b/>
              </w:rPr>
            </w:pPr>
          </w:p>
        </w:tc>
        <w:tc>
          <w:tcPr>
            <w:tcW w:w="510" w:type="dxa"/>
          </w:tcPr>
          <w:p w:rsidR="000E3C51" w:rsidRPr="0006563F" w:rsidP="00516B2C" w14:paraId="572F011A" w14:textId="77777777">
            <w:pPr>
              <w:jc w:val="center"/>
              <w:rPr>
                <w:b/>
              </w:rPr>
            </w:pPr>
          </w:p>
        </w:tc>
        <w:tc>
          <w:tcPr>
            <w:tcW w:w="510" w:type="dxa"/>
          </w:tcPr>
          <w:p w:rsidR="000E3C51" w:rsidRPr="0006563F" w:rsidP="00516B2C" w14:paraId="414A3755" w14:textId="77777777">
            <w:pPr>
              <w:jc w:val="center"/>
              <w:rPr>
                <w:b/>
              </w:rPr>
            </w:pPr>
          </w:p>
        </w:tc>
        <w:tc>
          <w:tcPr>
            <w:tcW w:w="510" w:type="dxa"/>
          </w:tcPr>
          <w:p w:rsidR="000E3C51" w:rsidRPr="0006563F" w:rsidP="00516B2C" w14:paraId="57399F81" w14:textId="77777777">
            <w:pPr>
              <w:jc w:val="center"/>
              <w:rPr>
                <w:b/>
              </w:rPr>
            </w:pPr>
          </w:p>
        </w:tc>
        <w:tc>
          <w:tcPr>
            <w:tcW w:w="510" w:type="dxa"/>
          </w:tcPr>
          <w:p w:rsidR="000E3C51" w:rsidRPr="0006563F" w:rsidP="00516B2C" w14:paraId="58A8F9B8" w14:textId="77777777">
            <w:pPr>
              <w:jc w:val="center"/>
              <w:rPr>
                <w:b/>
              </w:rPr>
            </w:pPr>
          </w:p>
        </w:tc>
        <w:tc>
          <w:tcPr>
            <w:tcW w:w="510" w:type="dxa"/>
          </w:tcPr>
          <w:p w:rsidR="000E3C51" w:rsidRPr="0006563F" w:rsidP="00516B2C" w14:paraId="6580EA39" w14:textId="77777777">
            <w:pPr>
              <w:jc w:val="center"/>
              <w:rPr>
                <w:b/>
              </w:rPr>
            </w:pPr>
          </w:p>
        </w:tc>
        <w:tc>
          <w:tcPr>
            <w:tcW w:w="510" w:type="dxa"/>
          </w:tcPr>
          <w:p w:rsidR="000E3C51" w:rsidRPr="0006563F" w:rsidP="00516B2C" w14:paraId="1DA67981" w14:textId="77777777">
            <w:pPr>
              <w:jc w:val="center"/>
              <w:rPr>
                <w:b/>
              </w:rPr>
            </w:pPr>
          </w:p>
        </w:tc>
        <w:tc>
          <w:tcPr>
            <w:tcW w:w="510" w:type="dxa"/>
          </w:tcPr>
          <w:p w:rsidR="000E3C51" w:rsidRPr="0006563F" w:rsidP="00516B2C" w14:paraId="169019D1" w14:textId="77777777">
            <w:pPr>
              <w:jc w:val="center"/>
              <w:rPr>
                <w:b/>
              </w:rPr>
            </w:pPr>
          </w:p>
        </w:tc>
      </w:tr>
      <w:tr w14:paraId="271D19D5" w14:textId="77777777" w:rsidTr="00516B2C">
        <w:tblPrEx>
          <w:tblW w:w="9265" w:type="dxa"/>
          <w:tblLayout w:type="fixed"/>
          <w:tblLook w:val="04A0"/>
        </w:tblPrEx>
        <w:tc>
          <w:tcPr>
            <w:tcW w:w="3145" w:type="dxa"/>
          </w:tcPr>
          <w:p w:rsidR="000E3C51" w:rsidRPr="00F3341B" w:rsidP="00516B2C" w14:paraId="4259DFA2" w14:textId="77777777">
            <w:pPr>
              <w:rPr>
                <w:sz w:val="20"/>
                <w:szCs w:val="20"/>
              </w:rPr>
            </w:pPr>
            <w:r w:rsidRPr="00C001BA">
              <w:rPr>
                <w:sz w:val="20"/>
                <w:szCs w:val="20"/>
              </w:rPr>
              <w:t xml:space="preserve">Data </w:t>
            </w:r>
            <w:r>
              <w:rPr>
                <w:sz w:val="20"/>
                <w:szCs w:val="20"/>
              </w:rPr>
              <w:t>C</w:t>
            </w:r>
            <w:r w:rsidRPr="00C001BA">
              <w:rPr>
                <w:sz w:val="20"/>
                <w:szCs w:val="20"/>
              </w:rPr>
              <w:t>ollection</w:t>
            </w:r>
          </w:p>
        </w:tc>
        <w:tc>
          <w:tcPr>
            <w:tcW w:w="510" w:type="dxa"/>
          </w:tcPr>
          <w:p w:rsidR="000E3C51" w:rsidRPr="0006563F" w:rsidP="00516B2C" w14:paraId="0CE5335B" w14:textId="77777777">
            <w:pPr>
              <w:jc w:val="center"/>
              <w:rPr>
                <w:b/>
              </w:rPr>
            </w:pPr>
          </w:p>
        </w:tc>
        <w:tc>
          <w:tcPr>
            <w:tcW w:w="510" w:type="dxa"/>
          </w:tcPr>
          <w:p w:rsidR="000E3C51" w:rsidRPr="0006563F" w:rsidP="00516B2C" w14:paraId="4FEFD3F1" w14:textId="2444E31A">
            <w:pPr>
              <w:jc w:val="center"/>
              <w:rPr>
                <w:b/>
              </w:rPr>
            </w:pPr>
            <w:r>
              <w:rPr>
                <w:b/>
              </w:rPr>
              <w:t>x</w:t>
            </w:r>
          </w:p>
        </w:tc>
        <w:tc>
          <w:tcPr>
            <w:tcW w:w="510" w:type="dxa"/>
          </w:tcPr>
          <w:p w:rsidR="000E3C51" w:rsidRPr="0006563F" w:rsidP="00516B2C" w14:paraId="3EA2B2FF" w14:textId="1B886A7C">
            <w:pPr>
              <w:jc w:val="center"/>
              <w:rPr>
                <w:b/>
              </w:rPr>
            </w:pPr>
            <w:r>
              <w:rPr>
                <w:b/>
              </w:rPr>
              <w:t>x</w:t>
            </w:r>
          </w:p>
        </w:tc>
        <w:tc>
          <w:tcPr>
            <w:tcW w:w="510" w:type="dxa"/>
          </w:tcPr>
          <w:p w:rsidR="000E3C51" w:rsidRPr="0006563F" w:rsidP="00516B2C" w14:paraId="02B9B070" w14:textId="0534F7BA">
            <w:pPr>
              <w:jc w:val="center"/>
              <w:rPr>
                <w:b/>
              </w:rPr>
            </w:pPr>
            <w:r>
              <w:rPr>
                <w:b/>
              </w:rPr>
              <w:t>x</w:t>
            </w:r>
          </w:p>
        </w:tc>
        <w:tc>
          <w:tcPr>
            <w:tcW w:w="510" w:type="dxa"/>
          </w:tcPr>
          <w:p w:rsidR="000E3C51" w:rsidRPr="0006563F" w:rsidP="00516B2C" w14:paraId="28B27D53" w14:textId="7AF0589C">
            <w:pPr>
              <w:jc w:val="center"/>
              <w:rPr>
                <w:b/>
              </w:rPr>
            </w:pPr>
            <w:r>
              <w:rPr>
                <w:b/>
              </w:rPr>
              <w:t>x</w:t>
            </w:r>
          </w:p>
        </w:tc>
        <w:tc>
          <w:tcPr>
            <w:tcW w:w="510" w:type="dxa"/>
          </w:tcPr>
          <w:p w:rsidR="000E3C51" w:rsidRPr="0006563F" w:rsidP="00516B2C" w14:paraId="627E9B51" w14:textId="7E8E8CE4">
            <w:pPr>
              <w:jc w:val="center"/>
              <w:rPr>
                <w:b/>
              </w:rPr>
            </w:pPr>
            <w:r>
              <w:rPr>
                <w:b/>
              </w:rPr>
              <w:t>x</w:t>
            </w:r>
          </w:p>
        </w:tc>
        <w:tc>
          <w:tcPr>
            <w:tcW w:w="510" w:type="dxa"/>
          </w:tcPr>
          <w:p w:rsidR="000E3C51" w:rsidRPr="0006563F" w:rsidP="00516B2C" w14:paraId="2E194BD1" w14:textId="0CE5B81F">
            <w:pPr>
              <w:jc w:val="center"/>
              <w:rPr>
                <w:b/>
              </w:rPr>
            </w:pPr>
            <w:r>
              <w:rPr>
                <w:b/>
              </w:rPr>
              <w:t>x</w:t>
            </w:r>
          </w:p>
        </w:tc>
        <w:tc>
          <w:tcPr>
            <w:tcW w:w="510" w:type="dxa"/>
          </w:tcPr>
          <w:p w:rsidR="000E3C51" w:rsidRPr="0006563F" w:rsidP="00516B2C" w14:paraId="1B7E5F27" w14:textId="028B0D8E">
            <w:pPr>
              <w:jc w:val="center"/>
              <w:rPr>
                <w:b/>
              </w:rPr>
            </w:pPr>
            <w:r>
              <w:rPr>
                <w:b/>
              </w:rPr>
              <w:t>x</w:t>
            </w:r>
          </w:p>
        </w:tc>
        <w:tc>
          <w:tcPr>
            <w:tcW w:w="510" w:type="dxa"/>
          </w:tcPr>
          <w:p w:rsidR="000E3C51" w:rsidRPr="0006563F" w:rsidP="00516B2C" w14:paraId="5A1526EB" w14:textId="5C10BFC1">
            <w:pPr>
              <w:jc w:val="center"/>
              <w:rPr>
                <w:b/>
              </w:rPr>
            </w:pPr>
            <w:r>
              <w:rPr>
                <w:b/>
              </w:rPr>
              <w:t>x</w:t>
            </w:r>
          </w:p>
        </w:tc>
        <w:tc>
          <w:tcPr>
            <w:tcW w:w="510" w:type="dxa"/>
          </w:tcPr>
          <w:p w:rsidR="000E3C51" w:rsidRPr="0006563F" w:rsidP="00516B2C" w14:paraId="7882F7B5" w14:textId="77777777">
            <w:pPr>
              <w:jc w:val="center"/>
              <w:rPr>
                <w:b/>
              </w:rPr>
            </w:pPr>
          </w:p>
        </w:tc>
        <w:tc>
          <w:tcPr>
            <w:tcW w:w="510" w:type="dxa"/>
          </w:tcPr>
          <w:p w:rsidR="000E3C51" w:rsidRPr="0006563F" w:rsidP="00516B2C" w14:paraId="5365E200" w14:textId="77777777">
            <w:pPr>
              <w:rPr>
                <w:b/>
              </w:rPr>
            </w:pPr>
          </w:p>
        </w:tc>
        <w:tc>
          <w:tcPr>
            <w:tcW w:w="510" w:type="dxa"/>
          </w:tcPr>
          <w:p w:rsidR="000E3C51" w:rsidRPr="0006563F" w:rsidP="00516B2C" w14:paraId="069BEE99" w14:textId="77777777">
            <w:pPr>
              <w:jc w:val="center"/>
              <w:rPr>
                <w:b/>
              </w:rPr>
            </w:pPr>
          </w:p>
        </w:tc>
      </w:tr>
      <w:tr w14:paraId="10DE2DBC" w14:textId="77777777" w:rsidTr="00516B2C">
        <w:tblPrEx>
          <w:tblW w:w="9265" w:type="dxa"/>
          <w:tblLayout w:type="fixed"/>
          <w:tblLook w:val="04A0"/>
        </w:tblPrEx>
        <w:tc>
          <w:tcPr>
            <w:tcW w:w="3145" w:type="dxa"/>
          </w:tcPr>
          <w:p w:rsidR="000E3C51" w:rsidRPr="00F3341B" w:rsidP="00516B2C" w14:paraId="2274C757" w14:textId="77777777">
            <w:pPr>
              <w:rPr>
                <w:sz w:val="20"/>
                <w:szCs w:val="20"/>
              </w:rPr>
            </w:pPr>
            <w:r>
              <w:rPr>
                <w:sz w:val="20"/>
                <w:szCs w:val="20"/>
              </w:rPr>
              <w:t>Data Management</w:t>
            </w:r>
          </w:p>
        </w:tc>
        <w:tc>
          <w:tcPr>
            <w:tcW w:w="510" w:type="dxa"/>
          </w:tcPr>
          <w:p w:rsidR="000E3C51" w:rsidRPr="0006563F" w:rsidP="00516B2C" w14:paraId="7510089A" w14:textId="77777777">
            <w:pPr>
              <w:jc w:val="center"/>
              <w:rPr>
                <w:b/>
              </w:rPr>
            </w:pPr>
          </w:p>
        </w:tc>
        <w:tc>
          <w:tcPr>
            <w:tcW w:w="510" w:type="dxa"/>
          </w:tcPr>
          <w:p w:rsidR="000E3C51" w:rsidRPr="0006563F" w:rsidP="00516B2C" w14:paraId="0326FE66" w14:textId="54886184">
            <w:pPr>
              <w:jc w:val="center"/>
              <w:rPr>
                <w:b/>
              </w:rPr>
            </w:pPr>
            <w:r>
              <w:rPr>
                <w:b/>
              </w:rPr>
              <w:t>x</w:t>
            </w:r>
          </w:p>
        </w:tc>
        <w:tc>
          <w:tcPr>
            <w:tcW w:w="510" w:type="dxa"/>
          </w:tcPr>
          <w:p w:rsidR="000E3C51" w:rsidRPr="0006563F" w:rsidP="00516B2C" w14:paraId="09FA4BAD" w14:textId="3F8AF627">
            <w:pPr>
              <w:jc w:val="center"/>
              <w:rPr>
                <w:b/>
              </w:rPr>
            </w:pPr>
            <w:r>
              <w:rPr>
                <w:b/>
              </w:rPr>
              <w:t>x</w:t>
            </w:r>
          </w:p>
        </w:tc>
        <w:tc>
          <w:tcPr>
            <w:tcW w:w="510" w:type="dxa"/>
          </w:tcPr>
          <w:p w:rsidR="000E3C51" w:rsidRPr="0006563F" w:rsidP="00516B2C" w14:paraId="6235DD4D" w14:textId="3F3BD489">
            <w:pPr>
              <w:jc w:val="center"/>
              <w:rPr>
                <w:b/>
              </w:rPr>
            </w:pPr>
            <w:r>
              <w:rPr>
                <w:b/>
              </w:rPr>
              <w:t>x</w:t>
            </w:r>
          </w:p>
        </w:tc>
        <w:tc>
          <w:tcPr>
            <w:tcW w:w="510" w:type="dxa"/>
          </w:tcPr>
          <w:p w:rsidR="000E3C51" w:rsidRPr="0006563F" w:rsidP="00516B2C" w14:paraId="4777BF4F" w14:textId="654DC431">
            <w:pPr>
              <w:jc w:val="center"/>
              <w:rPr>
                <w:b/>
              </w:rPr>
            </w:pPr>
            <w:r>
              <w:rPr>
                <w:b/>
              </w:rPr>
              <w:t>x</w:t>
            </w:r>
          </w:p>
        </w:tc>
        <w:tc>
          <w:tcPr>
            <w:tcW w:w="510" w:type="dxa"/>
          </w:tcPr>
          <w:p w:rsidR="000E3C51" w:rsidRPr="0006563F" w:rsidP="00516B2C" w14:paraId="57F31D47" w14:textId="22168426">
            <w:pPr>
              <w:jc w:val="center"/>
              <w:rPr>
                <w:b/>
              </w:rPr>
            </w:pPr>
            <w:r>
              <w:rPr>
                <w:b/>
              </w:rPr>
              <w:t>x</w:t>
            </w:r>
          </w:p>
        </w:tc>
        <w:tc>
          <w:tcPr>
            <w:tcW w:w="510" w:type="dxa"/>
          </w:tcPr>
          <w:p w:rsidR="000E3C51" w:rsidRPr="0006563F" w:rsidP="00516B2C" w14:paraId="24B715FF" w14:textId="0AA0F3EF">
            <w:pPr>
              <w:jc w:val="center"/>
              <w:rPr>
                <w:b/>
              </w:rPr>
            </w:pPr>
            <w:r>
              <w:rPr>
                <w:b/>
              </w:rPr>
              <w:t>x</w:t>
            </w:r>
          </w:p>
        </w:tc>
        <w:tc>
          <w:tcPr>
            <w:tcW w:w="510" w:type="dxa"/>
          </w:tcPr>
          <w:p w:rsidR="000E3C51" w:rsidRPr="0006563F" w:rsidP="00516B2C" w14:paraId="1ED38C04" w14:textId="2B57B524">
            <w:pPr>
              <w:jc w:val="center"/>
              <w:rPr>
                <w:b/>
              </w:rPr>
            </w:pPr>
            <w:r>
              <w:rPr>
                <w:b/>
              </w:rPr>
              <w:t>x</w:t>
            </w:r>
          </w:p>
        </w:tc>
        <w:tc>
          <w:tcPr>
            <w:tcW w:w="510" w:type="dxa"/>
          </w:tcPr>
          <w:p w:rsidR="000E3C51" w:rsidRPr="0006563F" w:rsidP="00516B2C" w14:paraId="34AF27A8" w14:textId="789136E7">
            <w:pPr>
              <w:jc w:val="center"/>
              <w:rPr>
                <w:b/>
              </w:rPr>
            </w:pPr>
            <w:r>
              <w:rPr>
                <w:b/>
              </w:rPr>
              <w:t>x</w:t>
            </w:r>
          </w:p>
        </w:tc>
        <w:tc>
          <w:tcPr>
            <w:tcW w:w="510" w:type="dxa"/>
          </w:tcPr>
          <w:p w:rsidR="000E3C51" w:rsidRPr="0006563F" w:rsidP="00516B2C" w14:paraId="3E912655" w14:textId="35C4823C">
            <w:pPr>
              <w:jc w:val="center"/>
              <w:rPr>
                <w:b/>
              </w:rPr>
            </w:pPr>
            <w:r>
              <w:rPr>
                <w:b/>
              </w:rPr>
              <w:t>x</w:t>
            </w:r>
          </w:p>
        </w:tc>
        <w:tc>
          <w:tcPr>
            <w:tcW w:w="510" w:type="dxa"/>
          </w:tcPr>
          <w:p w:rsidR="000E3C51" w:rsidRPr="0006563F" w:rsidP="00516B2C" w14:paraId="61785D99" w14:textId="768ACB2E">
            <w:pPr>
              <w:jc w:val="center"/>
              <w:rPr>
                <w:b/>
              </w:rPr>
            </w:pPr>
            <w:r>
              <w:rPr>
                <w:b/>
              </w:rPr>
              <w:t>x</w:t>
            </w:r>
          </w:p>
        </w:tc>
        <w:tc>
          <w:tcPr>
            <w:tcW w:w="510" w:type="dxa"/>
          </w:tcPr>
          <w:p w:rsidR="000E3C51" w:rsidRPr="0006563F" w:rsidP="00516B2C" w14:paraId="61ABA4CD" w14:textId="65031ACA">
            <w:pPr>
              <w:jc w:val="center"/>
              <w:rPr>
                <w:b/>
              </w:rPr>
            </w:pPr>
            <w:r>
              <w:rPr>
                <w:b/>
              </w:rPr>
              <w:t>x</w:t>
            </w:r>
          </w:p>
        </w:tc>
      </w:tr>
      <w:tr w14:paraId="74B49125" w14:textId="77777777" w:rsidTr="00516B2C">
        <w:tblPrEx>
          <w:tblW w:w="9265" w:type="dxa"/>
          <w:tblLayout w:type="fixed"/>
          <w:tblLook w:val="04A0"/>
        </w:tblPrEx>
        <w:tc>
          <w:tcPr>
            <w:tcW w:w="3145" w:type="dxa"/>
          </w:tcPr>
          <w:p w:rsidR="000E3C51" w:rsidRPr="00F3341B" w:rsidP="00516B2C" w14:paraId="368D2FEF" w14:textId="77777777">
            <w:pPr>
              <w:rPr>
                <w:sz w:val="20"/>
                <w:szCs w:val="20"/>
              </w:rPr>
            </w:pPr>
            <w:r w:rsidRPr="00F3341B">
              <w:rPr>
                <w:sz w:val="20"/>
                <w:szCs w:val="20"/>
              </w:rPr>
              <w:t>Data Analysis</w:t>
            </w:r>
          </w:p>
        </w:tc>
        <w:tc>
          <w:tcPr>
            <w:tcW w:w="510" w:type="dxa"/>
          </w:tcPr>
          <w:p w:rsidR="000E3C51" w:rsidRPr="0006563F" w:rsidP="00516B2C" w14:paraId="6174A4DC" w14:textId="77777777">
            <w:pPr>
              <w:jc w:val="center"/>
              <w:rPr>
                <w:b/>
              </w:rPr>
            </w:pPr>
          </w:p>
        </w:tc>
        <w:tc>
          <w:tcPr>
            <w:tcW w:w="510" w:type="dxa"/>
          </w:tcPr>
          <w:p w:rsidR="000E3C51" w:rsidRPr="0006563F" w:rsidP="00516B2C" w14:paraId="52E57F3C" w14:textId="60262770">
            <w:pPr>
              <w:jc w:val="center"/>
              <w:rPr>
                <w:b/>
              </w:rPr>
            </w:pPr>
            <w:r>
              <w:rPr>
                <w:b/>
              </w:rPr>
              <w:t>x</w:t>
            </w:r>
          </w:p>
        </w:tc>
        <w:tc>
          <w:tcPr>
            <w:tcW w:w="510" w:type="dxa"/>
          </w:tcPr>
          <w:p w:rsidR="000E3C51" w:rsidRPr="0006563F" w:rsidP="00516B2C" w14:paraId="494F0F8A" w14:textId="1EDB4CC2">
            <w:pPr>
              <w:jc w:val="center"/>
              <w:rPr>
                <w:b/>
              </w:rPr>
            </w:pPr>
            <w:r>
              <w:rPr>
                <w:b/>
              </w:rPr>
              <w:t>x</w:t>
            </w:r>
          </w:p>
        </w:tc>
        <w:tc>
          <w:tcPr>
            <w:tcW w:w="510" w:type="dxa"/>
          </w:tcPr>
          <w:p w:rsidR="000E3C51" w:rsidRPr="0006563F" w:rsidP="00516B2C" w14:paraId="79140CCD" w14:textId="035F2E60">
            <w:pPr>
              <w:jc w:val="center"/>
              <w:rPr>
                <w:b/>
              </w:rPr>
            </w:pPr>
            <w:r>
              <w:rPr>
                <w:b/>
              </w:rPr>
              <w:t>x</w:t>
            </w:r>
          </w:p>
        </w:tc>
        <w:tc>
          <w:tcPr>
            <w:tcW w:w="510" w:type="dxa"/>
          </w:tcPr>
          <w:p w:rsidR="000E3C51" w:rsidRPr="0006563F" w:rsidP="00516B2C" w14:paraId="113C155A" w14:textId="356ACFEE">
            <w:pPr>
              <w:jc w:val="center"/>
              <w:rPr>
                <w:b/>
              </w:rPr>
            </w:pPr>
            <w:r>
              <w:rPr>
                <w:b/>
              </w:rPr>
              <w:t>x</w:t>
            </w:r>
          </w:p>
        </w:tc>
        <w:tc>
          <w:tcPr>
            <w:tcW w:w="510" w:type="dxa"/>
          </w:tcPr>
          <w:p w:rsidR="000E3C51" w:rsidRPr="0006563F" w:rsidP="00516B2C" w14:paraId="490BE15B" w14:textId="69C0F082">
            <w:pPr>
              <w:jc w:val="center"/>
              <w:rPr>
                <w:b/>
              </w:rPr>
            </w:pPr>
            <w:r>
              <w:rPr>
                <w:b/>
              </w:rPr>
              <w:t>x</w:t>
            </w:r>
          </w:p>
        </w:tc>
        <w:tc>
          <w:tcPr>
            <w:tcW w:w="510" w:type="dxa"/>
          </w:tcPr>
          <w:p w:rsidR="000E3C51" w:rsidRPr="0006563F" w:rsidP="00516B2C" w14:paraId="67D13AB8" w14:textId="4ED04F8D">
            <w:pPr>
              <w:jc w:val="center"/>
              <w:rPr>
                <w:b/>
              </w:rPr>
            </w:pPr>
            <w:r>
              <w:rPr>
                <w:b/>
              </w:rPr>
              <w:t>x</w:t>
            </w:r>
          </w:p>
        </w:tc>
        <w:tc>
          <w:tcPr>
            <w:tcW w:w="510" w:type="dxa"/>
          </w:tcPr>
          <w:p w:rsidR="000E3C51" w:rsidRPr="0006563F" w:rsidP="00516B2C" w14:paraId="60C69CCD" w14:textId="1E7EEE01">
            <w:pPr>
              <w:jc w:val="center"/>
              <w:rPr>
                <w:b/>
              </w:rPr>
            </w:pPr>
            <w:r>
              <w:rPr>
                <w:b/>
              </w:rPr>
              <w:t>x</w:t>
            </w:r>
          </w:p>
        </w:tc>
        <w:tc>
          <w:tcPr>
            <w:tcW w:w="510" w:type="dxa"/>
          </w:tcPr>
          <w:p w:rsidR="000E3C51" w:rsidRPr="0006563F" w:rsidP="00516B2C" w14:paraId="3E7A5D42" w14:textId="12D3E11B">
            <w:pPr>
              <w:jc w:val="center"/>
              <w:rPr>
                <w:b/>
              </w:rPr>
            </w:pPr>
            <w:r>
              <w:rPr>
                <w:b/>
              </w:rPr>
              <w:t>x</w:t>
            </w:r>
          </w:p>
        </w:tc>
        <w:tc>
          <w:tcPr>
            <w:tcW w:w="510" w:type="dxa"/>
          </w:tcPr>
          <w:p w:rsidR="000E3C51" w:rsidRPr="0006563F" w:rsidP="00516B2C" w14:paraId="77587F52" w14:textId="00FFCE32">
            <w:pPr>
              <w:jc w:val="center"/>
              <w:rPr>
                <w:b/>
              </w:rPr>
            </w:pPr>
            <w:r>
              <w:rPr>
                <w:b/>
              </w:rPr>
              <w:t>x</w:t>
            </w:r>
          </w:p>
        </w:tc>
        <w:tc>
          <w:tcPr>
            <w:tcW w:w="510" w:type="dxa"/>
          </w:tcPr>
          <w:p w:rsidR="000E3C51" w:rsidRPr="0006563F" w:rsidP="00516B2C" w14:paraId="19195E88" w14:textId="469EB107">
            <w:pPr>
              <w:jc w:val="center"/>
              <w:rPr>
                <w:b/>
              </w:rPr>
            </w:pPr>
            <w:r>
              <w:rPr>
                <w:b/>
              </w:rPr>
              <w:t>x</w:t>
            </w:r>
          </w:p>
        </w:tc>
        <w:tc>
          <w:tcPr>
            <w:tcW w:w="510" w:type="dxa"/>
          </w:tcPr>
          <w:p w:rsidR="000E3C51" w:rsidRPr="0006563F" w:rsidP="00516B2C" w14:paraId="7D4C570D" w14:textId="29304CAC">
            <w:pPr>
              <w:jc w:val="center"/>
              <w:rPr>
                <w:b/>
              </w:rPr>
            </w:pPr>
            <w:r>
              <w:rPr>
                <w:b/>
              </w:rPr>
              <w:t>x</w:t>
            </w:r>
          </w:p>
        </w:tc>
      </w:tr>
      <w:tr w14:paraId="7A484702" w14:textId="77777777" w:rsidTr="00516B2C">
        <w:tblPrEx>
          <w:tblW w:w="9265" w:type="dxa"/>
          <w:tblLayout w:type="fixed"/>
          <w:tblLook w:val="04A0"/>
        </w:tblPrEx>
        <w:tc>
          <w:tcPr>
            <w:tcW w:w="3145" w:type="dxa"/>
          </w:tcPr>
          <w:p w:rsidR="000E3C51" w:rsidRPr="00F3341B" w:rsidP="00516B2C" w14:paraId="4E31295C" w14:textId="77777777">
            <w:pPr>
              <w:rPr>
                <w:sz w:val="20"/>
                <w:szCs w:val="20"/>
              </w:rPr>
            </w:pPr>
            <w:r>
              <w:rPr>
                <w:sz w:val="20"/>
                <w:szCs w:val="20"/>
              </w:rPr>
              <w:t>Laboratory Analysis</w:t>
            </w:r>
          </w:p>
        </w:tc>
        <w:tc>
          <w:tcPr>
            <w:tcW w:w="510" w:type="dxa"/>
          </w:tcPr>
          <w:p w:rsidR="000E3C51" w:rsidRPr="0006563F" w:rsidP="00516B2C" w14:paraId="4F0C7E12" w14:textId="77777777">
            <w:pPr>
              <w:jc w:val="center"/>
              <w:rPr>
                <w:b/>
              </w:rPr>
            </w:pPr>
          </w:p>
        </w:tc>
        <w:tc>
          <w:tcPr>
            <w:tcW w:w="510" w:type="dxa"/>
          </w:tcPr>
          <w:p w:rsidR="000E3C51" w:rsidRPr="0006563F" w:rsidP="00516B2C" w14:paraId="2D4D559A" w14:textId="64D8259E">
            <w:pPr>
              <w:jc w:val="center"/>
              <w:rPr>
                <w:b/>
              </w:rPr>
            </w:pPr>
            <w:r>
              <w:rPr>
                <w:b/>
              </w:rPr>
              <w:t>x</w:t>
            </w:r>
          </w:p>
        </w:tc>
        <w:tc>
          <w:tcPr>
            <w:tcW w:w="510" w:type="dxa"/>
          </w:tcPr>
          <w:p w:rsidR="000E3C51" w:rsidRPr="0006563F" w:rsidP="00516B2C" w14:paraId="0AD9BF5A" w14:textId="43C09BEA">
            <w:pPr>
              <w:jc w:val="center"/>
              <w:rPr>
                <w:b/>
              </w:rPr>
            </w:pPr>
            <w:r>
              <w:rPr>
                <w:b/>
              </w:rPr>
              <w:t>x</w:t>
            </w:r>
          </w:p>
        </w:tc>
        <w:tc>
          <w:tcPr>
            <w:tcW w:w="510" w:type="dxa"/>
          </w:tcPr>
          <w:p w:rsidR="000E3C51" w:rsidRPr="0006563F" w:rsidP="00516B2C" w14:paraId="5E8EA155" w14:textId="1F3CAB10">
            <w:pPr>
              <w:jc w:val="center"/>
              <w:rPr>
                <w:b/>
              </w:rPr>
            </w:pPr>
            <w:r>
              <w:rPr>
                <w:b/>
              </w:rPr>
              <w:t>x</w:t>
            </w:r>
          </w:p>
        </w:tc>
        <w:tc>
          <w:tcPr>
            <w:tcW w:w="510" w:type="dxa"/>
          </w:tcPr>
          <w:p w:rsidR="000E3C51" w:rsidRPr="0006563F" w:rsidP="00516B2C" w14:paraId="20D01837" w14:textId="1450735E">
            <w:pPr>
              <w:jc w:val="center"/>
              <w:rPr>
                <w:b/>
              </w:rPr>
            </w:pPr>
            <w:r>
              <w:rPr>
                <w:b/>
              </w:rPr>
              <w:t>x</w:t>
            </w:r>
          </w:p>
        </w:tc>
        <w:tc>
          <w:tcPr>
            <w:tcW w:w="510" w:type="dxa"/>
          </w:tcPr>
          <w:p w:rsidR="000E3C51" w:rsidRPr="0006563F" w:rsidP="00516B2C" w14:paraId="6A3DC3C1" w14:textId="12F519BB">
            <w:pPr>
              <w:jc w:val="center"/>
              <w:rPr>
                <w:b/>
              </w:rPr>
            </w:pPr>
            <w:r>
              <w:rPr>
                <w:b/>
              </w:rPr>
              <w:t>x</w:t>
            </w:r>
          </w:p>
        </w:tc>
        <w:tc>
          <w:tcPr>
            <w:tcW w:w="510" w:type="dxa"/>
          </w:tcPr>
          <w:p w:rsidR="000E3C51" w:rsidRPr="0006563F" w:rsidP="00516B2C" w14:paraId="5E8BB1C8" w14:textId="02D5D1B7">
            <w:pPr>
              <w:jc w:val="center"/>
              <w:rPr>
                <w:b/>
              </w:rPr>
            </w:pPr>
            <w:r>
              <w:rPr>
                <w:b/>
              </w:rPr>
              <w:t>x</w:t>
            </w:r>
          </w:p>
        </w:tc>
        <w:tc>
          <w:tcPr>
            <w:tcW w:w="510" w:type="dxa"/>
          </w:tcPr>
          <w:p w:rsidR="000E3C51" w:rsidRPr="0006563F" w:rsidP="00516B2C" w14:paraId="30302A5C" w14:textId="7142280A">
            <w:pPr>
              <w:jc w:val="center"/>
              <w:rPr>
                <w:b/>
              </w:rPr>
            </w:pPr>
            <w:r>
              <w:rPr>
                <w:b/>
              </w:rPr>
              <w:t>x</w:t>
            </w:r>
          </w:p>
        </w:tc>
        <w:tc>
          <w:tcPr>
            <w:tcW w:w="510" w:type="dxa"/>
          </w:tcPr>
          <w:p w:rsidR="000E3C51" w:rsidRPr="0006563F" w:rsidP="00516B2C" w14:paraId="42D5EA0E" w14:textId="2F353790">
            <w:pPr>
              <w:jc w:val="center"/>
              <w:rPr>
                <w:b/>
              </w:rPr>
            </w:pPr>
            <w:r>
              <w:rPr>
                <w:b/>
              </w:rPr>
              <w:t>x</w:t>
            </w:r>
          </w:p>
        </w:tc>
        <w:tc>
          <w:tcPr>
            <w:tcW w:w="510" w:type="dxa"/>
          </w:tcPr>
          <w:p w:rsidR="000E3C51" w:rsidRPr="0006563F" w:rsidP="00516B2C" w14:paraId="238104BD" w14:textId="72DF1648">
            <w:pPr>
              <w:jc w:val="center"/>
              <w:rPr>
                <w:b/>
              </w:rPr>
            </w:pPr>
            <w:r>
              <w:rPr>
                <w:b/>
              </w:rPr>
              <w:t>x</w:t>
            </w:r>
          </w:p>
        </w:tc>
        <w:tc>
          <w:tcPr>
            <w:tcW w:w="510" w:type="dxa"/>
          </w:tcPr>
          <w:p w:rsidR="000E3C51" w:rsidRPr="0006563F" w:rsidP="00516B2C" w14:paraId="279F7E7C" w14:textId="47B43385">
            <w:pPr>
              <w:jc w:val="center"/>
              <w:rPr>
                <w:b/>
              </w:rPr>
            </w:pPr>
            <w:r>
              <w:rPr>
                <w:b/>
              </w:rPr>
              <w:t>x</w:t>
            </w:r>
          </w:p>
        </w:tc>
        <w:tc>
          <w:tcPr>
            <w:tcW w:w="510" w:type="dxa"/>
          </w:tcPr>
          <w:p w:rsidR="000E3C51" w:rsidRPr="0006563F" w:rsidP="00516B2C" w14:paraId="2CC41AE3" w14:textId="34B21B84">
            <w:pPr>
              <w:jc w:val="center"/>
              <w:rPr>
                <w:b/>
              </w:rPr>
            </w:pPr>
            <w:r>
              <w:rPr>
                <w:b/>
              </w:rPr>
              <w:t>x</w:t>
            </w:r>
          </w:p>
        </w:tc>
      </w:tr>
      <w:tr w14:paraId="250B696C" w14:textId="77777777" w:rsidTr="00516B2C">
        <w:tblPrEx>
          <w:tblW w:w="9265" w:type="dxa"/>
          <w:tblLayout w:type="fixed"/>
          <w:tblLook w:val="04A0"/>
        </w:tblPrEx>
        <w:tc>
          <w:tcPr>
            <w:tcW w:w="3145" w:type="dxa"/>
          </w:tcPr>
          <w:p w:rsidR="000E3C51" w:rsidP="00516B2C" w14:paraId="41D9220B" w14:textId="77777777">
            <w:pPr>
              <w:rPr>
                <w:sz w:val="20"/>
                <w:szCs w:val="20"/>
              </w:rPr>
            </w:pPr>
            <w:r>
              <w:rPr>
                <w:sz w:val="20"/>
                <w:szCs w:val="20"/>
              </w:rPr>
              <w:t>Summarize Preliminary Results</w:t>
            </w:r>
          </w:p>
        </w:tc>
        <w:tc>
          <w:tcPr>
            <w:tcW w:w="510" w:type="dxa"/>
          </w:tcPr>
          <w:p w:rsidR="000E3C51" w:rsidRPr="0006563F" w:rsidP="00516B2C" w14:paraId="41FBE5D3" w14:textId="77777777">
            <w:pPr>
              <w:jc w:val="center"/>
              <w:rPr>
                <w:b/>
              </w:rPr>
            </w:pPr>
          </w:p>
        </w:tc>
        <w:tc>
          <w:tcPr>
            <w:tcW w:w="510" w:type="dxa"/>
          </w:tcPr>
          <w:p w:rsidR="000E3C51" w:rsidRPr="0006563F" w:rsidP="00516B2C" w14:paraId="77ACA3B8" w14:textId="51C02143">
            <w:pPr>
              <w:jc w:val="center"/>
              <w:rPr>
                <w:b/>
              </w:rPr>
            </w:pPr>
            <w:r>
              <w:rPr>
                <w:b/>
              </w:rPr>
              <w:t>x</w:t>
            </w:r>
          </w:p>
        </w:tc>
        <w:tc>
          <w:tcPr>
            <w:tcW w:w="510" w:type="dxa"/>
          </w:tcPr>
          <w:p w:rsidR="000E3C51" w:rsidRPr="0006563F" w:rsidP="00516B2C" w14:paraId="3511C268" w14:textId="7ED27A9F">
            <w:pPr>
              <w:jc w:val="center"/>
              <w:rPr>
                <w:b/>
              </w:rPr>
            </w:pPr>
            <w:r>
              <w:rPr>
                <w:b/>
              </w:rPr>
              <w:t>x</w:t>
            </w:r>
          </w:p>
        </w:tc>
        <w:tc>
          <w:tcPr>
            <w:tcW w:w="510" w:type="dxa"/>
          </w:tcPr>
          <w:p w:rsidR="000E3C51" w:rsidRPr="0006563F" w:rsidP="00516B2C" w14:paraId="055BCD4D" w14:textId="6C3E0637">
            <w:pPr>
              <w:jc w:val="center"/>
              <w:rPr>
                <w:b/>
              </w:rPr>
            </w:pPr>
            <w:r>
              <w:rPr>
                <w:b/>
              </w:rPr>
              <w:t>x</w:t>
            </w:r>
          </w:p>
        </w:tc>
        <w:tc>
          <w:tcPr>
            <w:tcW w:w="510" w:type="dxa"/>
          </w:tcPr>
          <w:p w:rsidR="000E3C51" w:rsidRPr="0006563F" w:rsidP="00516B2C" w14:paraId="2DDFBB52" w14:textId="59E0DBAA">
            <w:pPr>
              <w:jc w:val="center"/>
              <w:rPr>
                <w:b/>
              </w:rPr>
            </w:pPr>
            <w:r>
              <w:rPr>
                <w:b/>
              </w:rPr>
              <w:t>x</w:t>
            </w:r>
          </w:p>
        </w:tc>
        <w:tc>
          <w:tcPr>
            <w:tcW w:w="510" w:type="dxa"/>
          </w:tcPr>
          <w:p w:rsidR="000E3C51" w:rsidRPr="0006563F" w:rsidP="00516B2C" w14:paraId="7B22030A" w14:textId="23AD95F3">
            <w:pPr>
              <w:jc w:val="center"/>
              <w:rPr>
                <w:b/>
              </w:rPr>
            </w:pPr>
            <w:r>
              <w:rPr>
                <w:b/>
              </w:rPr>
              <w:t>x</w:t>
            </w:r>
          </w:p>
        </w:tc>
        <w:tc>
          <w:tcPr>
            <w:tcW w:w="510" w:type="dxa"/>
          </w:tcPr>
          <w:p w:rsidR="000E3C51" w:rsidRPr="0006563F" w:rsidP="00516B2C" w14:paraId="62DB970F" w14:textId="1F68B7F2">
            <w:pPr>
              <w:jc w:val="center"/>
              <w:rPr>
                <w:b/>
              </w:rPr>
            </w:pPr>
            <w:r>
              <w:rPr>
                <w:b/>
              </w:rPr>
              <w:t>x</w:t>
            </w:r>
          </w:p>
        </w:tc>
        <w:tc>
          <w:tcPr>
            <w:tcW w:w="510" w:type="dxa"/>
          </w:tcPr>
          <w:p w:rsidR="000E3C51" w:rsidRPr="0006563F" w:rsidP="00516B2C" w14:paraId="1D3F012E" w14:textId="452C721C">
            <w:pPr>
              <w:jc w:val="center"/>
              <w:rPr>
                <w:b/>
              </w:rPr>
            </w:pPr>
            <w:r>
              <w:rPr>
                <w:b/>
              </w:rPr>
              <w:t>x</w:t>
            </w:r>
          </w:p>
        </w:tc>
        <w:tc>
          <w:tcPr>
            <w:tcW w:w="510" w:type="dxa"/>
          </w:tcPr>
          <w:p w:rsidR="000E3C51" w:rsidRPr="0006563F" w:rsidP="00516B2C" w14:paraId="151CF650" w14:textId="234A62F7">
            <w:pPr>
              <w:jc w:val="center"/>
              <w:rPr>
                <w:b/>
              </w:rPr>
            </w:pPr>
            <w:r>
              <w:rPr>
                <w:b/>
              </w:rPr>
              <w:t>x</w:t>
            </w:r>
          </w:p>
        </w:tc>
        <w:tc>
          <w:tcPr>
            <w:tcW w:w="510" w:type="dxa"/>
          </w:tcPr>
          <w:p w:rsidR="000E3C51" w:rsidRPr="0006563F" w:rsidP="00516B2C" w14:paraId="1322222C" w14:textId="1F4ADF2C">
            <w:pPr>
              <w:jc w:val="center"/>
              <w:rPr>
                <w:b/>
              </w:rPr>
            </w:pPr>
            <w:r>
              <w:rPr>
                <w:b/>
              </w:rPr>
              <w:t>x</w:t>
            </w:r>
          </w:p>
        </w:tc>
        <w:tc>
          <w:tcPr>
            <w:tcW w:w="510" w:type="dxa"/>
          </w:tcPr>
          <w:p w:rsidR="000E3C51" w:rsidRPr="0006563F" w:rsidP="00516B2C" w14:paraId="1F85B3EC" w14:textId="0A8335F4">
            <w:pPr>
              <w:jc w:val="center"/>
              <w:rPr>
                <w:b/>
              </w:rPr>
            </w:pPr>
            <w:r>
              <w:rPr>
                <w:b/>
              </w:rPr>
              <w:t>x</w:t>
            </w:r>
          </w:p>
        </w:tc>
        <w:tc>
          <w:tcPr>
            <w:tcW w:w="510" w:type="dxa"/>
          </w:tcPr>
          <w:p w:rsidR="000E3C51" w:rsidRPr="0006563F" w:rsidP="00516B2C" w14:paraId="67543894" w14:textId="75BBE700">
            <w:pPr>
              <w:jc w:val="center"/>
              <w:rPr>
                <w:b/>
              </w:rPr>
            </w:pPr>
            <w:r>
              <w:rPr>
                <w:b/>
              </w:rPr>
              <w:t>x</w:t>
            </w:r>
          </w:p>
        </w:tc>
      </w:tr>
      <w:tr w14:paraId="53020C92" w14:textId="77777777" w:rsidTr="00516B2C">
        <w:tblPrEx>
          <w:tblW w:w="9265" w:type="dxa"/>
          <w:tblLayout w:type="fixed"/>
          <w:tblLook w:val="04A0"/>
        </w:tblPrEx>
        <w:tc>
          <w:tcPr>
            <w:tcW w:w="3145" w:type="dxa"/>
          </w:tcPr>
          <w:p w:rsidR="000E3C51" w:rsidP="00516B2C" w14:paraId="41D81E0A" w14:textId="77777777">
            <w:pPr>
              <w:rPr>
                <w:sz w:val="20"/>
                <w:szCs w:val="20"/>
              </w:rPr>
            </w:pPr>
            <w:r>
              <w:rPr>
                <w:sz w:val="20"/>
                <w:szCs w:val="20"/>
              </w:rPr>
              <w:t>Dissemination of Project Outcomes</w:t>
            </w:r>
          </w:p>
        </w:tc>
        <w:tc>
          <w:tcPr>
            <w:tcW w:w="510" w:type="dxa"/>
          </w:tcPr>
          <w:p w:rsidR="000E3C51" w:rsidRPr="0006563F" w:rsidP="00516B2C" w14:paraId="1B053C41" w14:textId="77777777">
            <w:pPr>
              <w:jc w:val="center"/>
              <w:rPr>
                <w:b/>
              </w:rPr>
            </w:pPr>
          </w:p>
        </w:tc>
        <w:tc>
          <w:tcPr>
            <w:tcW w:w="510" w:type="dxa"/>
          </w:tcPr>
          <w:p w:rsidR="000E3C51" w:rsidRPr="0006563F" w:rsidP="00516B2C" w14:paraId="32E53C31" w14:textId="5D011CBE">
            <w:pPr>
              <w:jc w:val="center"/>
              <w:rPr>
                <w:b/>
              </w:rPr>
            </w:pPr>
            <w:r>
              <w:rPr>
                <w:b/>
              </w:rPr>
              <w:t>x</w:t>
            </w:r>
          </w:p>
        </w:tc>
        <w:tc>
          <w:tcPr>
            <w:tcW w:w="510" w:type="dxa"/>
          </w:tcPr>
          <w:p w:rsidR="000E3C51" w:rsidRPr="0006563F" w:rsidP="00516B2C" w14:paraId="1F42EE95" w14:textId="5AC1A999">
            <w:pPr>
              <w:jc w:val="center"/>
              <w:rPr>
                <w:b/>
              </w:rPr>
            </w:pPr>
            <w:r>
              <w:rPr>
                <w:b/>
              </w:rPr>
              <w:t>x</w:t>
            </w:r>
          </w:p>
        </w:tc>
        <w:tc>
          <w:tcPr>
            <w:tcW w:w="510" w:type="dxa"/>
          </w:tcPr>
          <w:p w:rsidR="000E3C51" w:rsidRPr="0006563F" w:rsidP="00516B2C" w14:paraId="65C7883E" w14:textId="1A4AD378">
            <w:pPr>
              <w:jc w:val="center"/>
              <w:rPr>
                <w:b/>
              </w:rPr>
            </w:pPr>
            <w:r>
              <w:rPr>
                <w:b/>
              </w:rPr>
              <w:t>x</w:t>
            </w:r>
          </w:p>
        </w:tc>
        <w:tc>
          <w:tcPr>
            <w:tcW w:w="510" w:type="dxa"/>
          </w:tcPr>
          <w:p w:rsidR="000E3C51" w:rsidRPr="0006563F" w:rsidP="00516B2C" w14:paraId="32C2A29E" w14:textId="538D5883">
            <w:pPr>
              <w:jc w:val="center"/>
              <w:rPr>
                <w:b/>
              </w:rPr>
            </w:pPr>
            <w:r>
              <w:rPr>
                <w:b/>
              </w:rPr>
              <w:t>x</w:t>
            </w:r>
          </w:p>
        </w:tc>
        <w:tc>
          <w:tcPr>
            <w:tcW w:w="510" w:type="dxa"/>
          </w:tcPr>
          <w:p w:rsidR="000E3C51" w:rsidRPr="0006563F" w:rsidP="00516B2C" w14:paraId="6FE5570B" w14:textId="63B97928">
            <w:pPr>
              <w:jc w:val="center"/>
              <w:rPr>
                <w:b/>
              </w:rPr>
            </w:pPr>
            <w:r>
              <w:rPr>
                <w:b/>
              </w:rPr>
              <w:t>x</w:t>
            </w:r>
          </w:p>
        </w:tc>
        <w:tc>
          <w:tcPr>
            <w:tcW w:w="510" w:type="dxa"/>
          </w:tcPr>
          <w:p w:rsidR="000E3C51" w:rsidRPr="0006563F" w:rsidP="00516B2C" w14:paraId="4C49446B" w14:textId="43485586">
            <w:pPr>
              <w:jc w:val="center"/>
              <w:rPr>
                <w:b/>
              </w:rPr>
            </w:pPr>
            <w:r>
              <w:rPr>
                <w:b/>
              </w:rPr>
              <w:t>x</w:t>
            </w:r>
          </w:p>
        </w:tc>
        <w:tc>
          <w:tcPr>
            <w:tcW w:w="510" w:type="dxa"/>
          </w:tcPr>
          <w:p w:rsidR="000E3C51" w:rsidRPr="0006563F" w:rsidP="00516B2C" w14:paraId="31D2ADCA" w14:textId="7D75C451">
            <w:pPr>
              <w:jc w:val="center"/>
              <w:rPr>
                <w:b/>
              </w:rPr>
            </w:pPr>
            <w:r>
              <w:rPr>
                <w:b/>
              </w:rPr>
              <w:t>x</w:t>
            </w:r>
          </w:p>
        </w:tc>
        <w:tc>
          <w:tcPr>
            <w:tcW w:w="510" w:type="dxa"/>
          </w:tcPr>
          <w:p w:rsidR="000E3C51" w:rsidRPr="0006563F" w:rsidP="00516B2C" w14:paraId="7A61EDF4" w14:textId="5A17361A">
            <w:pPr>
              <w:jc w:val="center"/>
              <w:rPr>
                <w:b/>
              </w:rPr>
            </w:pPr>
            <w:r>
              <w:rPr>
                <w:b/>
              </w:rPr>
              <w:t>x</w:t>
            </w:r>
          </w:p>
        </w:tc>
        <w:tc>
          <w:tcPr>
            <w:tcW w:w="510" w:type="dxa"/>
          </w:tcPr>
          <w:p w:rsidR="000E3C51" w:rsidRPr="0006563F" w:rsidP="00516B2C" w14:paraId="19F2A619" w14:textId="16482390">
            <w:pPr>
              <w:jc w:val="center"/>
              <w:rPr>
                <w:b/>
              </w:rPr>
            </w:pPr>
            <w:r>
              <w:rPr>
                <w:b/>
              </w:rPr>
              <w:t>x</w:t>
            </w:r>
          </w:p>
        </w:tc>
        <w:tc>
          <w:tcPr>
            <w:tcW w:w="510" w:type="dxa"/>
          </w:tcPr>
          <w:p w:rsidR="000E3C51" w:rsidRPr="0006563F" w:rsidP="00516B2C" w14:paraId="0CDADBAF" w14:textId="6E6091FD">
            <w:pPr>
              <w:jc w:val="center"/>
              <w:rPr>
                <w:b/>
              </w:rPr>
            </w:pPr>
            <w:r>
              <w:rPr>
                <w:b/>
              </w:rPr>
              <w:t>x</w:t>
            </w:r>
          </w:p>
        </w:tc>
        <w:tc>
          <w:tcPr>
            <w:tcW w:w="510" w:type="dxa"/>
          </w:tcPr>
          <w:p w:rsidR="000E3C51" w:rsidRPr="0006563F" w:rsidP="00516B2C" w14:paraId="432A90CE" w14:textId="2AAA5938">
            <w:pPr>
              <w:jc w:val="center"/>
              <w:rPr>
                <w:b/>
              </w:rPr>
            </w:pPr>
            <w:r>
              <w:rPr>
                <w:b/>
              </w:rPr>
              <w:t>x</w:t>
            </w:r>
          </w:p>
        </w:tc>
      </w:tr>
    </w:tbl>
    <w:p w:rsidR="00BB5B44" w:rsidP="00BB5B44" w14:paraId="07DA0B28" w14:textId="77777777">
      <w:pPr>
        <w:spacing w:after="0" w:line="239" w:lineRule="auto"/>
        <w:ind w:right="68"/>
        <w:rPr>
          <w:rFonts w:eastAsia="Arial"/>
        </w:rPr>
      </w:pPr>
    </w:p>
    <w:p w:rsidR="00BB5B44" w:rsidRPr="001724CE" w:rsidP="00BB5B44" w14:paraId="49748A43" w14:textId="382F40E9">
      <w:pPr>
        <w:spacing w:line="239" w:lineRule="auto"/>
        <w:ind w:right="68"/>
        <w:rPr>
          <w:rFonts w:eastAsia="Arial"/>
        </w:rPr>
      </w:pPr>
      <w:r w:rsidRPr="001724CE">
        <w:rPr>
          <w:rFonts w:eastAsia="Arial"/>
        </w:rPr>
        <w:t>Month 1 is September 2024</w:t>
      </w:r>
      <w:r>
        <w:rPr>
          <w:rFonts w:eastAsia="Arial"/>
        </w:rPr>
        <w:t xml:space="preserve">. </w:t>
      </w:r>
    </w:p>
    <w:p w:rsidR="008F1415" w:rsidRPr="00C6392C" w:rsidP="00C6392C" w14:paraId="55FE1813" w14:textId="1B40F6ED">
      <w:pPr>
        <w:spacing w:line="239" w:lineRule="auto"/>
        <w:ind w:right="68"/>
        <w:rPr>
          <w:rFonts w:eastAsia="Arial"/>
        </w:rPr>
      </w:pPr>
      <w:r w:rsidRPr="001724CE">
        <w:rPr>
          <w:rFonts w:eastAsia="Arial"/>
        </w:rPr>
        <w:t>Will analyze data from initial data collection</w:t>
      </w:r>
      <w:r>
        <w:rPr>
          <w:rFonts w:eastAsia="Arial"/>
        </w:rPr>
        <w:t xml:space="preserve"> and contact tracing</w:t>
      </w:r>
      <w:r w:rsidRPr="00DD52F9">
        <w:rPr>
          <w:rFonts w:eastAsia="Arial"/>
        </w:rPr>
        <w:t xml:space="preserve"> and disseminate re</w:t>
      </w:r>
      <w:r>
        <w:rPr>
          <w:rFonts w:eastAsia="Arial"/>
        </w:rPr>
        <w:t xml:space="preserve">levant results to inform response activities, as well as analyze and disseminate results of longitudinal data regarding symptoms and presence of virus and viral RNA in bodily fluids once data collection is complete. </w:t>
      </w:r>
    </w:p>
    <w:p w:rsidR="004A13E8" w:rsidP="0025156B" w14:paraId="55FE1826" w14:textId="77777777">
      <w:pPr>
        <w:pStyle w:val="Heading1"/>
        <w:spacing w:before="240"/>
      </w:pPr>
      <w:bookmarkStart w:id="22" w:name="_Toc180072831"/>
      <w:r>
        <w:t>Reason(s) Display of OMB Expiration Date is Inappropriate</w:t>
      </w:r>
      <w:bookmarkEnd w:id="22"/>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3" w:name="_Toc180072832"/>
      <w:r>
        <w:t>Exceptions to Certification for Paperwork Reduction Act Submissions</w:t>
      </w:r>
      <w:bookmarkEnd w:id="23"/>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4" w:name="_Toc180072833"/>
      <w:r>
        <w:t>Attachments</w:t>
      </w:r>
      <w:bookmarkEnd w:id="24"/>
    </w:p>
    <w:p w:rsidR="004A13E8" w:rsidRPr="00DC7B61" w:rsidP="004A0034" w14:paraId="55FE182B" w14:textId="4F7929CE">
      <w:pPr>
        <w:pStyle w:val="ListParagraph"/>
        <w:numPr>
          <w:ilvl w:val="0"/>
          <w:numId w:val="3"/>
        </w:numPr>
        <w:ind w:left="360"/>
      </w:pPr>
      <w:r w:rsidRPr="00DC7B61">
        <w:t>Authorizing Legislation</w:t>
      </w:r>
      <w:r w:rsidRPr="00DC7B61" w:rsidR="001350C5">
        <w:t>: Section 301 of the Public Health Service Act (42 U.S.C. 241)</w:t>
      </w:r>
    </w:p>
    <w:p w:rsidR="00AD2F36" w:rsidRPr="00DC7B61" w:rsidP="004A0034" w14:paraId="55FE182C" w14:textId="77777777">
      <w:pPr>
        <w:pStyle w:val="ListParagraph"/>
        <w:numPr>
          <w:ilvl w:val="0"/>
          <w:numId w:val="3"/>
        </w:numPr>
        <w:ind w:left="360"/>
      </w:pPr>
      <w:r w:rsidRPr="00DC7B61">
        <w:t>60-Day FRN</w:t>
      </w:r>
    </w:p>
    <w:p w:rsidR="00DC7B61" w:rsidRPr="00682EE4" w:rsidP="00D231DD" w14:paraId="6740FAF7" w14:textId="17DE342A">
      <w:pPr>
        <w:pStyle w:val="ListParagraph"/>
        <w:numPr>
          <w:ilvl w:val="0"/>
          <w:numId w:val="3"/>
        </w:numPr>
        <w:ind w:left="360"/>
        <w:rPr>
          <w:rStyle w:val="normaltextrun"/>
        </w:rPr>
      </w:pPr>
      <w:r w:rsidRPr="00DC7B61">
        <w:rPr>
          <w:rStyle w:val="normaltextrun"/>
          <w:color w:val="000000"/>
          <w:bdr w:val="none" w:sz="0" w:space="0" w:color="auto" w:frame="1"/>
        </w:rPr>
        <w:t xml:space="preserve">Initial Clinical </w:t>
      </w:r>
      <w:r w:rsidRPr="00DC7B61" w:rsidR="3094C448">
        <w:rPr>
          <w:rStyle w:val="normaltextrun"/>
          <w:color w:val="000000"/>
          <w:bdr w:val="none" w:sz="0" w:space="0" w:color="auto" w:frame="1"/>
        </w:rPr>
        <w:t>and Social</w:t>
      </w:r>
      <w:r w:rsidRPr="00DC7B61">
        <w:rPr>
          <w:rStyle w:val="normaltextrun"/>
          <w:color w:val="000000"/>
          <w:bdr w:val="none" w:sz="0" w:space="0" w:color="auto" w:frame="1"/>
        </w:rPr>
        <w:t xml:space="preserve"> Survey</w:t>
      </w:r>
    </w:p>
    <w:p w:rsidR="00682EE4" w:rsidRPr="008C3FF6" w:rsidP="00D231DD" w14:paraId="63ED83D6" w14:textId="588FA199">
      <w:pPr>
        <w:pStyle w:val="ListParagraph"/>
        <w:numPr>
          <w:ilvl w:val="0"/>
          <w:numId w:val="3"/>
        </w:numPr>
        <w:ind w:left="360"/>
        <w:rPr>
          <w:rStyle w:val="normaltextrun"/>
        </w:rPr>
      </w:pPr>
      <w:r>
        <w:rPr>
          <w:rStyle w:val="normaltextrun"/>
          <w:color w:val="000000"/>
          <w:bdr w:val="none" w:sz="0" w:space="0" w:color="auto" w:frame="1"/>
        </w:rPr>
        <w:t>Follow-up Clinical Survey</w:t>
      </w:r>
    </w:p>
    <w:p w:rsidR="008C3FF6" w:rsidRPr="00687D1F" w:rsidP="00D231DD" w14:paraId="38E43311" w14:textId="09E9529D">
      <w:pPr>
        <w:pStyle w:val="ListParagraph"/>
        <w:numPr>
          <w:ilvl w:val="0"/>
          <w:numId w:val="3"/>
        </w:numPr>
        <w:ind w:left="360"/>
        <w:rPr>
          <w:rStyle w:val="normaltextrun"/>
        </w:rPr>
      </w:pPr>
      <w:r>
        <w:rPr>
          <w:rStyle w:val="normaltextrun"/>
          <w:color w:val="000000"/>
          <w:shd w:val="clear" w:color="auto" w:fill="FFFFFF"/>
        </w:rPr>
        <w:t>Symptom Diary</w:t>
      </w:r>
    </w:p>
    <w:p w:rsidR="00687D1F" w:rsidRPr="00D003D1" w:rsidP="00D231DD" w14:paraId="26B35321" w14:textId="63126CB9">
      <w:pPr>
        <w:pStyle w:val="ListParagraph"/>
        <w:numPr>
          <w:ilvl w:val="0"/>
          <w:numId w:val="3"/>
        </w:numPr>
        <w:ind w:left="360"/>
        <w:rPr>
          <w:rStyle w:val="normaltextrun"/>
        </w:rPr>
      </w:pPr>
      <w:r>
        <w:rPr>
          <w:rStyle w:val="normaltextrun"/>
          <w:color w:val="000000"/>
          <w:bdr w:val="none" w:sz="0" w:space="0" w:color="auto" w:frame="1"/>
        </w:rPr>
        <w:t>Contact Tracing Survey</w:t>
      </w:r>
    </w:p>
    <w:p w:rsidR="00D003D1" w:rsidRPr="005B4B40" w:rsidP="00D231DD" w14:paraId="57870330" w14:textId="31B7BAE2">
      <w:pPr>
        <w:pStyle w:val="ListParagraph"/>
        <w:numPr>
          <w:ilvl w:val="0"/>
          <w:numId w:val="3"/>
        </w:numPr>
        <w:ind w:left="360"/>
        <w:rPr>
          <w:rStyle w:val="normaltextrun"/>
        </w:rPr>
      </w:pPr>
      <w:r>
        <w:rPr>
          <w:rStyle w:val="normaltextrun"/>
          <w:color w:val="000000"/>
          <w:bdr w:val="none" w:sz="0" w:space="0" w:color="auto" w:frame="1"/>
        </w:rPr>
        <w:t>Sexual Contact Interview</w:t>
      </w:r>
    </w:p>
    <w:p w:rsidR="005B4B40" w:rsidRPr="00DC7B61" w:rsidP="00D231DD" w14:paraId="256FBE28" w14:textId="0744A809">
      <w:pPr>
        <w:pStyle w:val="ListParagraph"/>
        <w:numPr>
          <w:ilvl w:val="0"/>
          <w:numId w:val="3"/>
        </w:numPr>
        <w:ind w:left="360"/>
      </w:pPr>
      <w:r>
        <w:t>Background information and frequently asked questions for participants</w:t>
      </w:r>
    </w:p>
    <w:p w:rsidR="00784E2A" w:rsidP="004A0034" w14:paraId="2E4998C0" w14:textId="414F3CD2">
      <w:pPr>
        <w:pStyle w:val="ListParagraph"/>
        <w:numPr>
          <w:ilvl w:val="0"/>
          <w:numId w:val="3"/>
        </w:numPr>
        <w:ind w:left="360"/>
      </w:pPr>
      <w:r>
        <w:t>Consent for medical and social information</w:t>
      </w:r>
    </w:p>
    <w:p w:rsidR="00BF3972" w:rsidP="004A0034" w14:paraId="46ACDFD8" w14:textId="159DCEE9">
      <w:pPr>
        <w:pStyle w:val="ListParagraph"/>
        <w:numPr>
          <w:ilvl w:val="0"/>
          <w:numId w:val="3"/>
        </w:numPr>
        <w:ind w:left="360"/>
      </w:pPr>
      <w:r>
        <w:t>Consent for sample collection</w:t>
      </w:r>
    </w:p>
    <w:p w:rsidR="00231759" w:rsidP="004A0034" w14:paraId="3B7A8EEC" w14:textId="4B60A34F">
      <w:pPr>
        <w:pStyle w:val="ListParagraph"/>
        <w:numPr>
          <w:ilvl w:val="0"/>
          <w:numId w:val="3"/>
        </w:numPr>
        <w:ind w:left="360"/>
      </w:pPr>
      <w:r>
        <w:t xml:space="preserve">Script and consent for sexual partner interview and </w:t>
      </w:r>
      <w:r w:rsidR="003A2635">
        <w:t>OROV</w:t>
      </w:r>
      <w:r>
        <w:t xml:space="preserve"> testing</w:t>
      </w:r>
    </w:p>
    <w:p w:rsidR="001123FF" w:rsidP="001123FF" w14:paraId="68033BC8" w14:textId="619710F6">
      <w:pPr>
        <w:pStyle w:val="ListParagraph"/>
        <w:numPr>
          <w:ilvl w:val="0"/>
          <w:numId w:val="3"/>
        </w:numPr>
        <w:ind w:left="360"/>
      </w:pPr>
      <w:r>
        <w:t>Privacy Impact Assessment</w:t>
      </w:r>
    </w:p>
    <w:p w:rsidR="001123FF" w:rsidRPr="00DC7B61" w:rsidP="001123FF" w14:paraId="3F9C9041" w14:textId="2C07FD6E">
      <w:pPr>
        <w:pStyle w:val="ListParagraph"/>
        <w:numPr>
          <w:ilvl w:val="0"/>
          <w:numId w:val="3"/>
        </w:numPr>
        <w:ind w:left="360"/>
      </w:pPr>
      <w:r>
        <w:t xml:space="preserve">Human Subjects Determination Memo </w:t>
      </w:r>
    </w:p>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2B508A"/>
    <w:multiLevelType w:val="hybridMultilevel"/>
    <w:tmpl w:val="EE921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5D2AE9"/>
    <w:multiLevelType w:val="hybridMultilevel"/>
    <w:tmpl w:val="CF964A7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8"/>
  </w:num>
  <w:num w:numId="2" w16cid:durableId="1268074816">
    <w:abstractNumId w:val="4"/>
  </w:num>
  <w:num w:numId="3" w16cid:durableId="433329173">
    <w:abstractNumId w:val="5"/>
  </w:num>
  <w:num w:numId="4" w16cid:durableId="1973755388">
    <w:abstractNumId w:val="6"/>
  </w:num>
  <w:num w:numId="5" w16cid:durableId="1046686360">
    <w:abstractNumId w:val="3"/>
  </w:num>
  <w:num w:numId="6" w16cid:durableId="764957792">
    <w:abstractNumId w:val="7"/>
  </w:num>
  <w:num w:numId="7" w16cid:durableId="608243739">
    <w:abstractNumId w:val="1"/>
  </w:num>
  <w:num w:numId="8" w16cid:durableId="972905634">
    <w:abstractNumId w:val="0"/>
  </w:num>
  <w:num w:numId="9" w16cid:durableId="4236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5D43"/>
    <w:rsid w:val="00011A92"/>
    <w:rsid w:val="00013B09"/>
    <w:rsid w:val="00015C1E"/>
    <w:rsid w:val="00022B60"/>
    <w:rsid w:val="0002341C"/>
    <w:rsid w:val="00027B19"/>
    <w:rsid w:val="0004303B"/>
    <w:rsid w:val="00045472"/>
    <w:rsid w:val="000476CD"/>
    <w:rsid w:val="00047E58"/>
    <w:rsid w:val="00054F3D"/>
    <w:rsid w:val="0005699B"/>
    <w:rsid w:val="00057D7D"/>
    <w:rsid w:val="0006107A"/>
    <w:rsid w:val="0006563F"/>
    <w:rsid w:val="00070F15"/>
    <w:rsid w:val="00072455"/>
    <w:rsid w:val="00075D55"/>
    <w:rsid w:val="00077A77"/>
    <w:rsid w:val="00083E51"/>
    <w:rsid w:val="0008683B"/>
    <w:rsid w:val="0009033D"/>
    <w:rsid w:val="00091053"/>
    <w:rsid w:val="000910E9"/>
    <w:rsid w:val="000A744F"/>
    <w:rsid w:val="000A746F"/>
    <w:rsid w:val="000B0FC9"/>
    <w:rsid w:val="000C040F"/>
    <w:rsid w:val="000C1760"/>
    <w:rsid w:val="000C62B2"/>
    <w:rsid w:val="000D3EBD"/>
    <w:rsid w:val="000E3C51"/>
    <w:rsid w:val="000E6E50"/>
    <w:rsid w:val="000F029E"/>
    <w:rsid w:val="000F1559"/>
    <w:rsid w:val="000F1DE6"/>
    <w:rsid w:val="000F618A"/>
    <w:rsid w:val="00102B12"/>
    <w:rsid w:val="00105D9F"/>
    <w:rsid w:val="00110B65"/>
    <w:rsid w:val="001123FF"/>
    <w:rsid w:val="00122753"/>
    <w:rsid w:val="00124128"/>
    <w:rsid w:val="00131328"/>
    <w:rsid w:val="001350C5"/>
    <w:rsid w:val="001376B1"/>
    <w:rsid w:val="00140BE7"/>
    <w:rsid w:val="001411D8"/>
    <w:rsid w:val="001440D7"/>
    <w:rsid w:val="00151653"/>
    <w:rsid w:val="001523DF"/>
    <w:rsid w:val="00157169"/>
    <w:rsid w:val="00160FA8"/>
    <w:rsid w:val="00161483"/>
    <w:rsid w:val="00163765"/>
    <w:rsid w:val="00164880"/>
    <w:rsid w:val="0016552C"/>
    <w:rsid w:val="00167AF7"/>
    <w:rsid w:val="001724CE"/>
    <w:rsid w:val="00174870"/>
    <w:rsid w:val="001804D9"/>
    <w:rsid w:val="00181BCD"/>
    <w:rsid w:val="00181DB5"/>
    <w:rsid w:val="001857FC"/>
    <w:rsid w:val="00187C20"/>
    <w:rsid w:val="001A58BE"/>
    <w:rsid w:val="001B0823"/>
    <w:rsid w:val="001C5241"/>
    <w:rsid w:val="001C6942"/>
    <w:rsid w:val="001C6AA8"/>
    <w:rsid w:val="001D598C"/>
    <w:rsid w:val="001E08A8"/>
    <w:rsid w:val="001F0637"/>
    <w:rsid w:val="001F6725"/>
    <w:rsid w:val="00200A3E"/>
    <w:rsid w:val="00203B93"/>
    <w:rsid w:val="00211AB7"/>
    <w:rsid w:val="0021419C"/>
    <w:rsid w:val="00215D3E"/>
    <w:rsid w:val="00216D94"/>
    <w:rsid w:val="00231759"/>
    <w:rsid w:val="00237BB7"/>
    <w:rsid w:val="002441B9"/>
    <w:rsid w:val="0025156B"/>
    <w:rsid w:val="00252E6F"/>
    <w:rsid w:val="0026021E"/>
    <w:rsid w:val="00263744"/>
    <w:rsid w:val="00267285"/>
    <w:rsid w:val="00272DC0"/>
    <w:rsid w:val="002954C4"/>
    <w:rsid w:val="002A15BE"/>
    <w:rsid w:val="002A6D23"/>
    <w:rsid w:val="002A73D4"/>
    <w:rsid w:val="002A7CC4"/>
    <w:rsid w:val="002B4613"/>
    <w:rsid w:val="002C6445"/>
    <w:rsid w:val="002C695D"/>
    <w:rsid w:val="002D0758"/>
    <w:rsid w:val="002D18C6"/>
    <w:rsid w:val="002F090F"/>
    <w:rsid w:val="002F1B39"/>
    <w:rsid w:val="002F231C"/>
    <w:rsid w:val="002F2466"/>
    <w:rsid w:val="002F5241"/>
    <w:rsid w:val="002F5BC9"/>
    <w:rsid w:val="002F6749"/>
    <w:rsid w:val="00303198"/>
    <w:rsid w:val="00304BBB"/>
    <w:rsid w:val="00316365"/>
    <w:rsid w:val="003226B9"/>
    <w:rsid w:val="003252FC"/>
    <w:rsid w:val="00331F2E"/>
    <w:rsid w:val="003320F8"/>
    <w:rsid w:val="003419B3"/>
    <w:rsid w:val="003502EA"/>
    <w:rsid w:val="003532CE"/>
    <w:rsid w:val="0035440B"/>
    <w:rsid w:val="00355631"/>
    <w:rsid w:val="00356D4C"/>
    <w:rsid w:val="00357BB9"/>
    <w:rsid w:val="00367EBE"/>
    <w:rsid w:val="00372FD1"/>
    <w:rsid w:val="00374274"/>
    <w:rsid w:val="003869A1"/>
    <w:rsid w:val="003878F2"/>
    <w:rsid w:val="003931CA"/>
    <w:rsid w:val="003949C7"/>
    <w:rsid w:val="00397068"/>
    <w:rsid w:val="003A2635"/>
    <w:rsid w:val="003A322E"/>
    <w:rsid w:val="003A5E1C"/>
    <w:rsid w:val="003A6A84"/>
    <w:rsid w:val="003B2FB4"/>
    <w:rsid w:val="003B45CD"/>
    <w:rsid w:val="003B59CC"/>
    <w:rsid w:val="003C5041"/>
    <w:rsid w:val="003C5A5E"/>
    <w:rsid w:val="003D6AD5"/>
    <w:rsid w:val="003E3B93"/>
    <w:rsid w:val="003E7D16"/>
    <w:rsid w:val="003F0917"/>
    <w:rsid w:val="003F60CF"/>
    <w:rsid w:val="003F7555"/>
    <w:rsid w:val="00400E10"/>
    <w:rsid w:val="00412AFE"/>
    <w:rsid w:val="00421A76"/>
    <w:rsid w:val="00421B0E"/>
    <w:rsid w:val="00421B29"/>
    <w:rsid w:val="00422CE2"/>
    <w:rsid w:val="0042422F"/>
    <w:rsid w:val="00430C8A"/>
    <w:rsid w:val="004337C7"/>
    <w:rsid w:val="0043440D"/>
    <w:rsid w:val="00446A7C"/>
    <w:rsid w:val="004508E9"/>
    <w:rsid w:val="00457614"/>
    <w:rsid w:val="00464E35"/>
    <w:rsid w:val="00465472"/>
    <w:rsid w:val="00467FBB"/>
    <w:rsid w:val="004719A5"/>
    <w:rsid w:val="004760A3"/>
    <w:rsid w:val="00476969"/>
    <w:rsid w:val="00477882"/>
    <w:rsid w:val="00481860"/>
    <w:rsid w:val="004827E7"/>
    <w:rsid w:val="004841D1"/>
    <w:rsid w:val="00490660"/>
    <w:rsid w:val="0049191C"/>
    <w:rsid w:val="00496D86"/>
    <w:rsid w:val="004A0034"/>
    <w:rsid w:val="004A13E8"/>
    <w:rsid w:val="004A6DE8"/>
    <w:rsid w:val="004B0D3D"/>
    <w:rsid w:val="004B45C8"/>
    <w:rsid w:val="004B6CEA"/>
    <w:rsid w:val="004B7E25"/>
    <w:rsid w:val="004C24FD"/>
    <w:rsid w:val="004C54EC"/>
    <w:rsid w:val="004D0CD2"/>
    <w:rsid w:val="004D127D"/>
    <w:rsid w:val="004E455D"/>
    <w:rsid w:val="004E4C60"/>
    <w:rsid w:val="004E5A33"/>
    <w:rsid w:val="00500F53"/>
    <w:rsid w:val="005067CA"/>
    <w:rsid w:val="005121D7"/>
    <w:rsid w:val="00516B2C"/>
    <w:rsid w:val="00523755"/>
    <w:rsid w:val="0052650D"/>
    <w:rsid w:val="005269CB"/>
    <w:rsid w:val="00531885"/>
    <w:rsid w:val="00536F00"/>
    <w:rsid w:val="0053765E"/>
    <w:rsid w:val="00541961"/>
    <w:rsid w:val="00543D03"/>
    <w:rsid w:val="005463FB"/>
    <w:rsid w:val="0054656A"/>
    <w:rsid w:val="00550D87"/>
    <w:rsid w:val="00554063"/>
    <w:rsid w:val="00557D1F"/>
    <w:rsid w:val="00576901"/>
    <w:rsid w:val="005774AF"/>
    <w:rsid w:val="00580CC1"/>
    <w:rsid w:val="00581023"/>
    <w:rsid w:val="00585D01"/>
    <w:rsid w:val="005A3989"/>
    <w:rsid w:val="005B31F1"/>
    <w:rsid w:val="005B3FF3"/>
    <w:rsid w:val="005B4B40"/>
    <w:rsid w:val="005C04CF"/>
    <w:rsid w:val="005C092E"/>
    <w:rsid w:val="005C1A1E"/>
    <w:rsid w:val="005E05F5"/>
    <w:rsid w:val="005E0FA7"/>
    <w:rsid w:val="005E3607"/>
    <w:rsid w:val="005F153D"/>
    <w:rsid w:val="005F6FF2"/>
    <w:rsid w:val="00606A7E"/>
    <w:rsid w:val="0060785E"/>
    <w:rsid w:val="00611CB5"/>
    <w:rsid w:val="006124EF"/>
    <w:rsid w:val="00612C0A"/>
    <w:rsid w:val="00620FF8"/>
    <w:rsid w:val="00625C46"/>
    <w:rsid w:val="006424FC"/>
    <w:rsid w:val="00645DBE"/>
    <w:rsid w:val="006511B0"/>
    <w:rsid w:val="006520D7"/>
    <w:rsid w:val="00653FB3"/>
    <w:rsid w:val="006601AE"/>
    <w:rsid w:val="006649FB"/>
    <w:rsid w:val="00667FF8"/>
    <w:rsid w:val="00674026"/>
    <w:rsid w:val="00680EC8"/>
    <w:rsid w:val="00682EE4"/>
    <w:rsid w:val="00683D9E"/>
    <w:rsid w:val="006846CA"/>
    <w:rsid w:val="00686352"/>
    <w:rsid w:val="00687D1F"/>
    <w:rsid w:val="006927FB"/>
    <w:rsid w:val="00697E5C"/>
    <w:rsid w:val="006A18CF"/>
    <w:rsid w:val="006A7476"/>
    <w:rsid w:val="006B43E7"/>
    <w:rsid w:val="006C4995"/>
    <w:rsid w:val="006C6578"/>
    <w:rsid w:val="006D2AE2"/>
    <w:rsid w:val="006D71FC"/>
    <w:rsid w:val="006D7596"/>
    <w:rsid w:val="006E3F51"/>
    <w:rsid w:val="006F0EED"/>
    <w:rsid w:val="006F1F23"/>
    <w:rsid w:val="006F45E8"/>
    <w:rsid w:val="006F5B71"/>
    <w:rsid w:val="006F6A4E"/>
    <w:rsid w:val="006F7F24"/>
    <w:rsid w:val="007025FE"/>
    <w:rsid w:val="00703F7B"/>
    <w:rsid w:val="007069E5"/>
    <w:rsid w:val="00711184"/>
    <w:rsid w:val="00711A37"/>
    <w:rsid w:val="00713C81"/>
    <w:rsid w:val="007172B2"/>
    <w:rsid w:val="007226C1"/>
    <w:rsid w:val="00726771"/>
    <w:rsid w:val="007267CE"/>
    <w:rsid w:val="00730401"/>
    <w:rsid w:val="007335B2"/>
    <w:rsid w:val="007341E0"/>
    <w:rsid w:val="0074103F"/>
    <w:rsid w:val="00766B83"/>
    <w:rsid w:val="00772A1C"/>
    <w:rsid w:val="00780DC1"/>
    <w:rsid w:val="00784E2A"/>
    <w:rsid w:val="00786B69"/>
    <w:rsid w:val="00787D8A"/>
    <w:rsid w:val="007948BB"/>
    <w:rsid w:val="00796329"/>
    <w:rsid w:val="007A1E06"/>
    <w:rsid w:val="007A53B1"/>
    <w:rsid w:val="007B3374"/>
    <w:rsid w:val="007B35C8"/>
    <w:rsid w:val="007B4488"/>
    <w:rsid w:val="007B4C8C"/>
    <w:rsid w:val="007C110D"/>
    <w:rsid w:val="007C4ADB"/>
    <w:rsid w:val="007C7850"/>
    <w:rsid w:val="007D16A2"/>
    <w:rsid w:val="007D483B"/>
    <w:rsid w:val="007D7188"/>
    <w:rsid w:val="007E3CDF"/>
    <w:rsid w:val="007F20AA"/>
    <w:rsid w:val="007F46E9"/>
    <w:rsid w:val="0080179B"/>
    <w:rsid w:val="00804448"/>
    <w:rsid w:val="00807350"/>
    <w:rsid w:val="00812AAC"/>
    <w:rsid w:val="008139E9"/>
    <w:rsid w:val="0081522A"/>
    <w:rsid w:val="00820617"/>
    <w:rsid w:val="0082631E"/>
    <w:rsid w:val="00827F0C"/>
    <w:rsid w:val="00831F24"/>
    <w:rsid w:val="00833C91"/>
    <w:rsid w:val="008352D1"/>
    <w:rsid w:val="008434D9"/>
    <w:rsid w:val="00855D3E"/>
    <w:rsid w:val="00875ECE"/>
    <w:rsid w:val="0087708C"/>
    <w:rsid w:val="00890CE4"/>
    <w:rsid w:val="00891B1B"/>
    <w:rsid w:val="00893765"/>
    <w:rsid w:val="00895FA9"/>
    <w:rsid w:val="008A5D8F"/>
    <w:rsid w:val="008A6462"/>
    <w:rsid w:val="008A690A"/>
    <w:rsid w:val="008B01D9"/>
    <w:rsid w:val="008B5D54"/>
    <w:rsid w:val="008C2A1E"/>
    <w:rsid w:val="008C31EB"/>
    <w:rsid w:val="008C3FF6"/>
    <w:rsid w:val="008C520C"/>
    <w:rsid w:val="008C5499"/>
    <w:rsid w:val="008D0528"/>
    <w:rsid w:val="008D5AEA"/>
    <w:rsid w:val="008E33C7"/>
    <w:rsid w:val="008E7EDB"/>
    <w:rsid w:val="008F1415"/>
    <w:rsid w:val="00901BCC"/>
    <w:rsid w:val="009065E4"/>
    <w:rsid w:val="00912472"/>
    <w:rsid w:val="00912820"/>
    <w:rsid w:val="0092218D"/>
    <w:rsid w:val="00922601"/>
    <w:rsid w:val="00923B00"/>
    <w:rsid w:val="00925DED"/>
    <w:rsid w:val="009265AA"/>
    <w:rsid w:val="00931B96"/>
    <w:rsid w:val="00937D6B"/>
    <w:rsid w:val="00943D65"/>
    <w:rsid w:val="00944198"/>
    <w:rsid w:val="00963023"/>
    <w:rsid w:val="009632A3"/>
    <w:rsid w:val="00963E7C"/>
    <w:rsid w:val="009721C3"/>
    <w:rsid w:val="00974180"/>
    <w:rsid w:val="009808D8"/>
    <w:rsid w:val="00981B48"/>
    <w:rsid w:val="0098209D"/>
    <w:rsid w:val="00984FE5"/>
    <w:rsid w:val="009859D1"/>
    <w:rsid w:val="00986F09"/>
    <w:rsid w:val="00987FD6"/>
    <w:rsid w:val="00991427"/>
    <w:rsid w:val="00996A16"/>
    <w:rsid w:val="00996F86"/>
    <w:rsid w:val="00997D0E"/>
    <w:rsid w:val="009A4BA1"/>
    <w:rsid w:val="009A6ED6"/>
    <w:rsid w:val="009A79E1"/>
    <w:rsid w:val="009B0947"/>
    <w:rsid w:val="009B4059"/>
    <w:rsid w:val="009B797D"/>
    <w:rsid w:val="009C7774"/>
    <w:rsid w:val="009C7862"/>
    <w:rsid w:val="009C7B9B"/>
    <w:rsid w:val="009D0607"/>
    <w:rsid w:val="009D1105"/>
    <w:rsid w:val="009D7441"/>
    <w:rsid w:val="009E2E09"/>
    <w:rsid w:val="009F60BD"/>
    <w:rsid w:val="00A15B9D"/>
    <w:rsid w:val="00A217F7"/>
    <w:rsid w:val="00A232F2"/>
    <w:rsid w:val="00A237EB"/>
    <w:rsid w:val="00A24876"/>
    <w:rsid w:val="00A26BFA"/>
    <w:rsid w:val="00A3512F"/>
    <w:rsid w:val="00A622CD"/>
    <w:rsid w:val="00A6577F"/>
    <w:rsid w:val="00A67086"/>
    <w:rsid w:val="00A7163F"/>
    <w:rsid w:val="00A7433F"/>
    <w:rsid w:val="00A74EAD"/>
    <w:rsid w:val="00A84233"/>
    <w:rsid w:val="00A8631F"/>
    <w:rsid w:val="00A919A6"/>
    <w:rsid w:val="00A96BDB"/>
    <w:rsid w:val="00AA091C"/>
    <w:rsid w:val="00AA53FC"/>
    <w:rsid w:val="00AB360F"/>
    <w:rsid w:val="00AC2260"/>
    <w:rsid w:val="00AC39FB"/>
    <w:rsid w:val="00AD27E5"/>
    <w:rsid w:val="00AD2F0D"/>
    <w:rsid w:val="00AD2F36"/>
    <w:rsid w:val="00AE15A5"/>
    <w:rsid w:val="00AE2E13"/>
    <w:rsid w:val="00AE3784"/>
    <w:rsid w:val="00AF2438"/>
    <w:rsid w:val="00AF3516"/>
    <w:rsid w:val="00AF6B93"/>
    <w:rsid w:val="00B041ED"/>
    <w:rsid w:val="00B17511"/>
    <w:rsid w:val="00B17916"/>
    <w:rsid w:val="00B21E15"/>
    <w:rsid w:val="00B240D0"/>
    <w:rsid w:val="00B262C9"/>
    <w:rsid w:val="00B43E11"/>
    <w:rsid w:val="00B46E47"/>
    <w:rsid w:val="00B543DC"/>
    <w:rsid w:val="00B555E3"/>
    <w:rsid w:val="00B55735"/>
    <w:rsid w:val="00B608AC"/>
    <w:rsid w:val="00B649A5"/>
    <w:rsid w:val="00B64B9E"/>
    <w:rsid w:val="00B6699E"/>
    <w:rsid w:val="00B71211"/>
    <w:rsid w:val="00B76CF1"/>
    <w:rsid w:val="00B80409"/>
    <w:rsid w:val="00B83C0B"/>
    <w:rsid w:val="00B83F4B"/>
    <w:rsid w:val="00B874BF"/>
    <w:rsid w:val="00B91400"/>
    <w:rsid w:val="00B95220"/>
    <w:rsid w:val="00BA058C"/>
    <w:rsid w:val="00BA59FD"/>
    <w:rsid w:val="00BA6B1A"/>
    <w:rsid w:val="00BA71E8"/>
    <w:rsid w:val="00BB35D2"/>
    <w:rsid w:val="00BB5B44"/>
    <w:rsid w:val="00BC0D5E"/>
    <w:rsid w:val="00BC3774"/>
    <w:rsid w:val="00BC494C"/>
    <w:rsid w:val="00BC5E91"/>
    <w:rsid w:val="00BC7BBC"/>
    <w:rsid w:val="00BD177A"/>
    <w:rsid w:val="00BE6D8A"/>
    <w:rsid w:val="00BF0B45"/>
    <w:rsid w:val="00BF3972"/>
    <w:rsid w:val="00BF416F"/>
    <w:rsid w:val="00BF5DD9"/>
    <w:rsid w:val="00C001BA"/>
    <w:rsid w:val="00C03791"/>
    <w:rsid w:val="00C14D9B"/>
    <w:rsid w:val="00C15031"/>
    <w:rsid w:val="00C154D0"/>
    <w:rsid w:val="00C20B3B"/>
    <w:rsid w:val="00C258A7"/>
    <w:rsid w:val="00C32380"/>
    <w:rsid w:val="00C362B7"/>
    <w:rsid w:val="00C43823"/>
    <w:rsid w:val="00C44CA6"/>
    <w:rsid w:val="00C473CA"/>
    <w:rsid w:val="00C47805"/>
    <w:rsid w:val="00C504EE"/>
    <w:rsid w:val="00C53D43"/>
    <w:rsid w:val="00C553B7"/>
    <w:rsid w:val="00C61473"/>
    <w:rsid w:val="00C622CB"/>
    <w:rsid w:val="00C6392C"/>
    <w:rsid w:val="00C75BA5"/>
    <w:rsid w:val="00C832BB"/>
    <w:rsid w:val="00C90B13"/>
    <w:rsid w:val="00C917B7"/>
    <w:rsid w:val="00C927F8"/>
    <w:rsid w:val="00C92D35"/>
    <w:rsid w:val="00C97DBB"/>
    <w:rsid w:val="00CA216D"/>
    <w:rsid w:val="00CA3902"/>
    <w:rsid w:val="00CB5FBD"/>
    <w:rsid w:val="00CB75EE"/>
    <w:rsid w:val="00CD2AA4"/>
    <w:rsid w:val="00CD5B43"/>
    <w:rsid w:val="00CE1351"/>
    <w:rsid w:val="00CE2DD7"/>
    <w:rsid w:val="00CE5952"/>
    <w:rsid w:val="00CE743B"/>
    <w:rsid w:val="00CF3B0C"/>
    <w:rsid w:val="00CF5069"/>
    <w:rsid w:val="00D003D1"/>
    <w:rsid w:val="00D13EA1"/>
    <w:rsid w:val="00D142DB"/>
    <w:rsid w:val="00D16C0A"/>
    <w:rsid w:val="00D16D39"/>
    <w:rsid w:val="00D231DD"/>
    <w:rsid w:val="00D26BC5"/>
    <w:rsid w:val="00D2749D"/>
    <w:rsid w:val="00D40D85"/>
    <w:rsid w:val="00D42969"/>
    <w:rsid w:val="00D43155"/>
    <w:rsid w:val="00D647D9"/>
    <w:rsid w:val="00D76959"/>
    <w:rsid w:val="00D801B3"/>
    <w:rsid w:val="00D85ABA"/>
    <w:rsid w:val="00D95194"/>
    <w:rsid w:val="00D952DF"/>
    <w:rsid w:val="00D961BD"/>
    <w:rsid w:val="00D96A13"/>
    <w:rsid w:val="00DA161C"/>
    <w:rsid w:val="00DA1CE4"/>
    <w:rsid w:val="00DA2567"/>
    <w:rsid w:val="00DA6F9E"/>
    <w:rsid w:val="00DA75A8"/>
    <w:rsid w:val="00DB2F89"/>
    <w:rsid w:val="00DB5CEB"/>
    <w:rsid w:val="00DC08D0"/>
    <w:rsid w:val="00DC0A42"/>
    <w:rsid w:val="00DC3024"/>
    <w:rsid w:val="00DC3079"/>
    <w:rsid w:val="00DC57CC"/>
    <w:rsid w:val="00DC74EE"/>
    <w:rsid w:val="00DC7B61"/>
    <w:rsid w:val="00DD1559"/>
    <w:rsid w:val="00DD4CAA"/>
    <w:rsid w:val="00DD52F9"/>
    <w:rsid w:val="00DD6ADF"/>
    <w:rsid w:val="00E0257E"/>
    <w:rsid w:val="00E02CA8"/>
    <w:rsid w:val="00E03443"/>
    <w:rsid w:val="00E056EC"/>
    <w:rsid w:val="00E47EAF"/>
    <w:rsid w:val="00E4C7A6"/>
    <w:rsid w:val="00E5274D"/>
    <w:rsid w:val="00E53069"/>
    <w:rsid w:val="00E57611"/>
    <w:rsid w:val="00E6239C"/>
    <w:rsid w:val="00E642C5"/>
    <w:rsid w:val="00E64E84"/>
    <w:rsid w:val="00E73F7B"/>
    <w:rsid w:val="00E80D2C"/>
    <w:rsid w:val="00E82F9C"/>
    <w:rsid w:val="00E954BF"/>
    <w:rsid w:val="00E9634C"/>
    <w:rsid w:val="00EB12AD"/>
    <w:rsid w:val="00EC0277"/>
    <w:rsid w:val="00EC309D"/>
    <w:rsid w:val="00EC5596"/>
    <w:rsid w:val="00EC74C6"/>
    <w:rsid w:val="00EC75A1"/>
    <w:rsid w:val="00ED1C74"/>
    <w:rsid w:val="00ED1E73"/>
    <w:rsid w:val="00ED484E"/>
    <w:rsid w:val="00ED6174"/>
    <w:rsid w:val="00EE1786"/>
    <w:rsid w:val="00EE3687"/>
    <w:rsid w:val="00EE678E"/>
    <w:rsid w:val="00EE6895"/>
    <w:rsid w:val="00EF5CC5"/>
    <w:rsid w:val="00EF7BFD"/>
    <w:rsid w:val="00F00226"/>
    <w:rsid w:val="00F04C60"/>
    <w:rsid w:val="00F055F0"/>
    <w:rsid w:val="00F11813"/>
    <w:rsid w:val="00F20813"/>
    <w:rsid w:val="00F21DA8"/>
    <w:rsid w:val="00F30916"/>
    <w:rsid w:val="00F316B7"/>
    <w:rsid w:val="00F31B8C"/>
    <w:rsid w:val="00F3341B"/>
    <w:rsid w:val="00F478B8"/>
    <w:rsid w:val="00F516BD"/>
    <w:rsid w:val="00F548DB"/>
    <w:rsid w:val="00F56C86"/>
    <w:rsid w:val="00F841C8"/>
    <w:rsid w:val="00F916B3"/>
    <w:rsid w:val="00F95281"/>
    <w:rsid w:val="00FA6E32"/>
    <w:rsid w:val="00FA78D1"/>
    <w:rsid w:val="00FC0F86"/>
    <w:rsid w:val="00FC18A2"/>
    <w:rsid w:val="00FC5912"/>
    <w:rsid w:val="00FC65EF"/>
    <w:rsid w:val="00FD0503"/>
    <w:rsid w:val="00FD6B65"/>
    <w:rsid w:val="00FD7DB6"/>
    <w:rsid w:val="00FE02E0"/>
    <w:rsid w:val="00FE0398"/>
    <w:rsid w:val="00FE49C5"/>
    <w:rsid w:val="00FE63DA"/>
    <w:rsid w:val="00FE7F97"/>
    <w:rsid w:val="00FF2A67"/>
    <w:rsid w:val="00FF3A3A"/>
    <w:rsid w:val="00FF3DCF"/>
    <w:rsid w:val="00FF40BC"/>
    <w:rsid w:val="00FF6E4E"/>
    <w:rsid w:val="0566BE3B"/>
    <w:rsid w:val="079BE57A"/>
    <w:rsid w:val="098255C7"/>
    <w:rsid w:val="0ACF11B6"/>
    <w:rsid w:val="0B03AC30"/>
    <w:rsid w:val="0EB6DC4E"/>
    <w:rsid w:val="0ED6AE04"/>
    <w:rsid w:val="0F003F8C"/>
    <w:rsid w:val="12A8BB46"/>
    <w:rsid w:val="12C59315"/>
    <w:rsid w:val="1571E7D4"/>
    <w:rsid w:val="17450A9E"/>
    <w:rsid w:val="17CA097B"/>
    <w:rsid w:val="1C173F20"/>
    <w:rsid w:val="209BB6E9"/>
    <w:rsid w:val="23411F9C"/>
    <w:rsid w:val="23AE577F"/>
    <w:rsid w:val="23C42A8A"/>
    <w:rsid w:val="267464BA"/>
    <w:rsid w:val="273EB42B"/>
    <w:rsid w:val="2DC6FCE6"/>
    <w:rsid w:val="2E77FF31"/>
    <w:rsid w:val="3094C448"/>
    <w:rsid w:val="309922B9"/>
    <w:rsid w:val="345F246F"/>
    <w:rsid w:val="37F0A279"/>
    <w:rsid w:val="38EF5191"/>
    <w:rsid w:val="3A86D4A5"/>
    <w:rsid w:val="3B5079AD"/>
    <w:rsid w:val="3B6BD577"/>
    <w:rsid w:val="3BCEB327"/>
    <w:rsid w:val="3BD75BD4"/>
    <w:rsid w:val="41886A2C"/>
    <w:rsid w:val="43FD6B00"/>
    <w:rsid w:val="445F9D6A"/>
    <w:rsid w:val="4622B542"/>
    <w:rsid w:val="4635C49A"/>
    <w:rsid w:val="46FB4E6F"/>
    <w:rsid w:val="4B21C904"/>
    <w:rsid w:val="4B7687C9"/>
    <w:rsid w:val="50725FF9"/>
    <w:rsid w:val="512817CE"/>
    <w:rsid w:val="5146752E"/>
    <w:rsid w:val="542CE0FD"/>
    <w:rsid w:val="56C0934C"/>
    <w:rsid w:val="5B6D0B74"/>
    <w:rsid w:val="5BAC14E0"/>
    <w:rsid w:val="5C6C8AB7"/>
    <w:rsid w:val="5F378993"/>
    <w:rsid w:val="61532B28"/>
    <w:rsid w:val="63C6229F"/>
    <w:rsid w:val="642467D6"/>
    <w:rsid w:val="6490873C"/>
    <w:rsid w:val="6B0582AA"/>
    <w:rsid w:val="6D9F43FF"/>
    <w:rsid w:val="6E257E77"/>
    <w:rsid w:val="6E92F3CB"/>
    <w:rsid w:val="6EAE6AD5"/>
    <w:rsid w:val="7A5506CA"/>
    <w:rsid w:val="7C047FB1"/>
    <w:rsid w:val="7C226BC0"/>
    <w:rsid w:val="7C867658"/>
    <w:rsid w:val="7DB46DD6"/>
    <w:rsid w:val="7F34B9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styleId="CommentReference">
    <w:name w:val="annotation reference"/>
    <w:basedOn w:val="DefaultParagraphFont"/>
    <w:uiPriority w:val="99"/>
    <w:semiHidden/>
    <w:unhideWhenUsed/>
    <w:rsid w:val="00943D65"/>
    <w:rPr>
      <w:sz w:val="16"/>
      <w:szCs w:val="16"/>
    </w:rPr>
  </w:style>
  <w:style w:type="paragraph" w:styleId="CommentText">
    <w:name w:val="annotation text"/>
    <w:basedOn w:val="Normal"/>
    <w:link w:val="CommentTextChar"/>
    <w:uiPriority w:val="99"/>
    <w:unhideWhenUsed/>
    <w:rsid w:val="00943D65"/>
    <w:pPr>
      <w:spacing w:line="240" w:lineRule="auto"/>
    </w:pPr>
    <w:rPr>
      <w:sz w:val="20"/>
      <w:szCs w:val="20"/>
    </w:rPr>
  </w:style>
  <w:style w:type="character" w:customStyle="1" w:styleId="CommentTextChar">
    <w:name w:val="Comment Text Char"/>
    <w:basedOn w:val="DefaultParagraphFont"/>
    <w:link w:val="CommentText"/>
    <w:uiPriority w:val="99"/>
    <w:rsid w:val="00943D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43D65"/>
    <w:rPr>
      <w:b/>
      <w:bCs/>
    </w:rPr>
  </w:style>
  <w:style w:type="character" w:customStyle="1" w:styleId="CommentSubjectChar">
    <w:name w:val="Comment Subject Char"/>
    <w:basedOn w:val="CommentTextChar"/>
    <w:link w:val="CommentSubject"/>
    <w:uiPriority w:val="99"/>
    <w:semiHidden/>
    <w:rsid w:val="00943D65"/>
    <w:rPr>
      <w:rFonts w:ascii="Times New Roman" w:hAnsi="Times New Roman"/>
      <w:b/>
      <w:bCs/>
      <w:sz w:val="20"/>
      <w:szCs w:val="20"/>
    </w:rPr>
  </w:style>
  <w:style w:type="character" w:styleId="Mention">
    <w:name w:val="Mention"/>
    <w:basedOn w:val="DefaultParagraphFont"/>
    <w:uiPriority w:val="99"/>
    <w:unhideWhenUsed/>
    <w:rsid w:val="00581023"/>
    <w:rPr>
      <w:color w:val="2B579A"/>
      <w:shd w:val="clear" w:color="auto" w:fill="E1DFDD"/>
    </w:rPr>
  </w:style>
  <w:style w:type="character" w:customStyle="1" w:styleId="normaltextrun">
    <w:name w:val="normaltextrun"/>
    <w:basedOn w:val="DefaultParagraphFont"/>
    <w:rsid w:val="00DC7B61"/>
  </w:style>
  <w:style w:type="paragraph" w:styleId="Revision">
    <w:name w:val="Revision"/>
    <w:hidden/>
    <w:uiPriority w:val="99"/>
    <w:semiHidden/>
    <w:rsid w:val="002A6D2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DEN_h.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9D8A840B-25C6-4B02-810E-B88DCD7D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3908</Words>
  <Characters>22281</Characters>
  <Application>Microsoft Office Word</Application>
  <DocSecurity>0</DocSecurity>
  <Lines>185</Lines>
  <Paragraphs>52</Paragraphs>
  <ScaleCrop>false</ScaleCrop>
  <Company>Centers for Disease Control and Prevention</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3</cp:revision>
  <dcterms:created xsi:type="dcterms:W3CDTF">2025-06-12T18:06:00Z</dcterms:created>
  <dcterms:modified xsi:type="dcterms:W3CDTF">2025-06-12T18:07:00Z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