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2F2334" w14:paraId="55FE1770" w14:textId="77777777">
      <w:pPr>
        <w:spacing w:line="240" w:lineRule="auto"/>
      </w:pPr>
      <w:bookmarkStart w:id="0" w:name="_Toc473880015"/>
    </w:p>
    <w:p w:rsidR="005F75B7" w:rsidP="00DB5853" w14:paraId="6AB0D0FD" w14:textId="77777777">
      <w:pPr>
        <w:spacing w:after="0" w:line="240" w:lineRule="auto"/>
        <w:jc w:val="center"/>
        <w:rPr>
          <w:b/>
        </w:rPr>
      </w:pPr>
    </w:p>
    <w:p w:rsidR="005F75B7" w:rsidRPr="005F75B7" w:rsidP="002F2334" w14:paraId="1C4E6775" w14:textId="77777777">
      <w:pPr>
        <w:spacing w:after="0" w:line="240" w:lineRule="auto"/>
        <w:jc w:val="center"/>
        <w:rPr>
          <w:b/>
          <w:sz w:val="32"/>
          <w:szCs w:val="32"/>
        </w:rPr>
      </w:pPr>
      <w:r w:rsidRPr="005F75B7">
        <w:rPr>
          <w:b/>
          <w:sz w:val="32"/>
          <w:szCs w:val="32"/>
        </w:rPr>
        <w:t>GenIC Clearance for CDC/ATSDR</w:t>
      </w:r>
    </w:p>
    <w:p w:rsidR="005F75B7" w:rsidRPr="005F75B7" w:rsidP="002F2334" w14:paraId="06E3BC6A" w14:textId="77777777">
      <w:pPr>
        <w:spacing w:line="240" w:lineRule="auto"/>
        <w:jc w:val="center"/>
        <w:rPr>
          <w:b/>
          <w:sz w:val="32"/>
          <w:szCs w:val="32"/>
        </w:rPr>
      </w:pPr>
      <w:r w:rsidRPr="005F75B7">
        <w:rPr>
          <w:b/>
          <w:sz w:val="32"/>
          <w:szCs w:val="32"/>
        </w:rPr>
        <w:t>Formative Research and Tool Development</w:t>
      </w:r>
    </w:p>
    <w:p w:rsidR="00304BBB" w:rsidP="002F2334" w14:paraId="55FE1771" w14:textId="77777777">
      <w:pPr>
        <w:spacing w:line="240" w:lineRule="auto"/>
      </w:pPr>
    </w:p>
    <w:p w:rsidR="004A13E8" w:rsidRPr="005F75B7" w:rsidP="002F2334" w14:paraId="55FE1772" w14:textId="0B4FCA1D">
      <w:pPr>
        <w:pStyle w:val="Heading2"/>
        <w:rPr>
          <w:sz w:val="48"/>
          <w:szCs w:val="48"/>
        </w:rPr>
      </w:pPr>
      <w:bookmarkStart w:id="1" w:name="_Hlk150797997"/>
      <w:bookmarkEnd w:id="0"/>
      <w:r>
        <w:rPr>
          <w:sz w:val="48"/>
          <w:szCs w:val="48"/>
        </w:rPr>
        <w:t>Focus Groups with Infectious Disease Physicians and Pharmacists on Antifungal Therapeutic Drug Monitoring</w:t>
      </w:r>
    </w:p>
    <w:bookmarkEnd w:id="1"/>
    <w:p w:rsidR="004A13E8" w:rsidP="002F2334" w14:paraId="55FE1773" w14:textId="77777777">
      <w:pPr>
        <w:spacing w:after="0" w:line="240" w:lineRule="auto"/>
        <w:jc w:val="center"/>
        <w:rPr>
          <w:b/>
        </w:rPr>
      </w:pPr>
    </w:p>
    <w:p w:rsidR="004A13E8" w:rsidRPr="004A13E8" w:rsidP="002F2334" w14:paraId="55FE1774" w14:textId="7F2CFF7A">
      <w:pPr>
        <w:pStyle w:val="Heading3"/>
      </w:pPr>
      <w:r>
        <w:t>OMB Control No. 0920-1154</w:t>
      </w:r>
    </w:p>
    <w:p w:rsidR="004A13E8" w:rsidP="002F2334" w14:paraId="55FE1775" w14:textId="77777777">
      <w:pPr>
        <w:spacing w:after="0" w:line="240" w:lineRule="auto"/>
        <w:jc w:val="center"/>
        <w:rPr>
          <w:b/>
        </w:rPr>
      </w:pPr>
    </w:p>
    <w:p w:rsidR="004A13E8" w:rsidRPr="004A13E8" w:rsidP="002F2334" w14:paraId="55FE1776" w14:textId="61701AFC">
      <w:pPr>
        <w:pStyle w:val="Heading4"/>
      </w:pPr>
      <w:r>
        <w:t>January</w:t>
      </w:r>
      <w:r w:rsidR="008119CB">
        <w:t xml:space="preserve"> </w:t>
      </w:r>
      <w:r w:rsidR="00176B93">
        <w:t>10</w:t>
      </w:r>
      <w:r w:rsidR="000D3799">
        <w:t>, 202</w:t>
      </w:r>
      <w:r>
        <w:t>4</w:t>
      </w:r>
    </w:p>
    <w:p w:rsidR="004A13E8" w:rsidP="002F2334" w14:paraId="55FE1777" w14:textId="77777777">
      <w:pPr>
        <w:spacing w:after="0" w:line="240" w:lineRule="auto"/>
        <w:jc w:val="center"/>
        <w:rPr>
          <w:b/>
        </w:rPr>
      </w:pPr>
    </w:p>
    <w:p w:rsidR="004A13E8" w:rsidP="002F2334" w14:paraId="55FE1778" w14:textId="77777777">
      <w:pPr>
        <w:spacing w:line="240" w:lineRule="auto"/>
      </w:pPr>
    </w:p>
    <w:p w:rsidR="004A13E8" w:rsidP="002F2334" w14:paraId="55FE1779" w14:textId="77777777">
      <w:pPr>
        <w:spacing w:line="240" w:lineRule="auto"/>
      </w:pPr>
    </w:p>
    <w:p w:rsidR="004A13E8" w:rsidP="002F2334" w14:paraId="55FE177A" w14:textId="77777777">
      <w:pPr>
        <w:spacing w:line="240" w:lineRule="auto"/>
      </w:pPr>
    </w:p>
    <w:p w:rsidR="004A13E8" w:rsidP="002F2334" w14:paraId="55FE177E" w14:textId="77777777">
      <w:pPr>
        <w:spacing w:after="0" w:line="240" w:lineRule="auto"/>
        <w:jc w:val="center"/>
        <w:rPr>
          <w:b/>
        </w:rPr>
      </w:pPr>
    </w:p>
    <w:p w:rsidR="004A13E8" w:rsidP="002F2334" w14:paraId="55FE177F" w14:textId="77777777">
      <w:pPr>
        <w:pStyle w:val="Heading4"/>
      </w:pPr>
      <w:r>
        <w:t xml:space="preserve">Supporting </w:t>
      </w:r>
      <w:r>
        <w:t>Statement</w:t>
      </w:r>
      <w:r>
        <w:t xml:space="preserve"> A</w:t>
      </w:r>
    </w:p>
    <w:p w:rsidR="004A13E8" w:rsidP="002F2334" w14:paraId="55FE1780" w14:textId="77777777">
      <w:pPr>
        <w:spacing w:after="0" w:line="240" w:lineRule="auto"/>
        <w:rPr>
          <w:b/>
        </w:rPr>
      </w:pPr>
    </w:p>
    <w:p w:rsidR="004A13E8" w:rsidP="002F2334" w14:paraId="55FE1781" w14:textId="77777777">
      <w:pPr>
        <w:spacing w:after="0" w:line="240" w:lineRule="auto"/>
        <w:rPr>
          <w:b/>
        </w:rPr>
      </w:pPr>
    </w:p>
    <w:p w:rsidR="004A13E8" w:rsidP="002F2334" w14:paraId="55FE1782" w14:textId="77777777">
      <w:pPr>
        <w:spacing w:after="0" w:line="240" w:lineRule="auto"/>
        <w:rPr>
          <w:b/>
        </w:rPr>
      </w:pPr>
    </w:p>
    <w:p w:rsidR="004A13E8" w:rsidP="002F2334" w14:paraId="55FE1783" w14:textId="77777777">
      <w:pPr>
        <w:spacing w:after="0" w:line="240" w:lineRule="auto"/>
        <w:rPr>
          <w:b/>
        </w:rPr>
      </w:pPr>
    </w:p>
    <w:p w:rsidR="004A13E8" w:rsidP="002F2334" w14:paraId="55FE1784" w14:textId="77777777">
      <w:pPr>
        <w:spacing w:after="0" w:line="240" w:lineRule="auto"/>
        <w:rPr>
          <w:b/>
        </w:rPr>
      </w:pPr>
    </w:p>
    <w:p w:rsidR="004A13E8" w:rsidP="002F2334" w14:paraId="55FE1785" w14:textId="77777777">
      <w:pPr>
        <w:spacing w:after="0" w:line="240" w:lineRule="auto"/>
        <w:rPr>
          <w:b/>
        </w:rPr>
      </w:pPr>
    </w:p>
    <w:p w:rsidR="004A13E8" w:rsidP="002F2334" w14:paraId="55FE1786" w14:textId="77777777">
      <w:pPr>
        <w:spacing w:after="0" w:line="240" w:lineRule="auto"/>
        <w:rPr>
          <w:b/>
        </w:rPr>
      </w:pPr>
    </w:p>
    <w:p w:rsidR="004A13E8" w:rsidP="002F2334" w14:paraId="55FE178E" w14:textId="77777777">
      <w:pPr>
        <w:spacing w:after="0" w:line="240" w:lineRule="auto"/>
        <w:rPr>
          <w:b/>
        </w:rPr>
      </w:pPr>
    </w:p>
    <w:p w:rsidR="004A13E8" w:rsidP="002F2334" w14:paraId="55FE178F" w14:textId="77777777">
      <w:pPr>
        <w:spacing w:after="0" w:line="240" w:lineRule="auto"/>
        <w:rPr>
          <w:b/>
        </w:rPr>
      </w:pPr>
    </w:p>
    <w:p w:rsidR="004A13E8" w:rsidP="002F2334" w14:paraId="55FE1791" w14:textId="77777777">
      <w:pPr>
        <w:spacing w:after="0" w:line="240" w:lineRule="auto"/>
        <w:rPr>
          <w:b/>
        </w:rPr>
      </w:pPr>
    </w:p>
    <w:p w:rsidR="004A13E8" w:rsidP="002F2334" w14:paraId="55FE1792" w14:textId="77777777">
      <w:pPr>
        <w:spacing w:after="0" w:line="240" w:lineRule="auto"/>
        <w:rPr>
          <w:b/>
        </w:rPr>
      </w:pPr>
    </w:p>
    <w:p w:rsidR="00490D85" w:rsidP="00490D85" w14:paraId="2902076D" w14:textId="77777777">
      <w:pPr>
        <w:pStyle w:val="NoSpacing"/>
        <w:rPr>
          <w:b/>
        </w:rPr>
      </w:pPr>
      <w:r>
        <w:rPr>
          <w:b/>
        </w:rPr>
        <w:t xml:space="preserve">Contact: </w:t>
      </w:r>
    </w:p>
    <w:p w:rsidR="00490D85" w:rsidP="00490D85" w14:paraId="4DE3A8FA" w14:textId="77777777">
      <w:pPr>
        <w:pStyle w:val="NoSpacing"/>
      </w:pPr>
      <w:r>
        <w:t>Rudith Vice</w:t>
      </w:r>
    </w:p>
    <w:p w:rsidR="00490D85" w:rsidP="00490D85" w14:paraId="31D66A7E" w14:textId="77777777">
      <w:pPr>
        <w:pStyle w:val="NoSpacing"/>
      </w:pPr>
      <w:r>
        <w:t xml:space="preserve">National Center for Emerging and Zoonotic Infectious Diseases </w:t>
      </w:r>
    </w:p>
    <w:p w:rsidR="00490D85" w:rsidP="00490D85" w14:paraId="09C03E4A" w14:textId="77777777">
      <w:pPr>
        <w:pStyle w:val="NoSpacing"/>
      </w:pPr>
      <w:r>
        <w:t xml:space="preserve">Centers for Disease Control and Prevention </w:t>
      </w:r>
    </w:p>
    <w:p w:rsidR="00490D85" w:rsidP="00490D85" w14:paraId="2F22608B" w14:textId="77777777">
      <w:pPr>
        <w:pStyle w:val="NoSpacing"/>
      </w:pPr>
      <w:r>
        <w:t xml:space="preserve">1600 Clifton Road, NE </w:t>
      </w:r>
    </w:p>
    <w:p w:rsidR="00490D85" w:rsidP="00490D85" w14:paraId="54DE8F29" w14:textId="77777777">
      <w:pPr>
        <w:pStyle w:val="NoSpacing"/>
      </w:pPr>
      <w:r>
        <w:t xml:space="preserve">Atlanta, Georgia 30333 </w:t>
      </w:r>
    </w:p>
    <w:p w:rsidR="00490D85" w:rsidP="00490D85" w14:paraId="7926E97D" w14:textId="77777777">
      <w:pPr>
        <w:pStyle w:val="NoSpacing"/>
      </w:pPr>
      <w:r>
        <w:t xml:space="preserve">Phone: (404)718-7292 </w:t>
      </w:r>
    </w:p>
    <w:p w:rsidR="004A13E8" w:rsidP="00490D85" w14:paraId="55FE179A" w14:textId="64D85931">
      <w:pPr>
        <w:pStyle w:val="NoSpacing"/>
      </w:pPr>
      <w:r>
        <w:t xml:space="preserve">Email: </w:t>
      </w:r>
      <w:hyperlink r:id="rId9" w:history="1">
        <w:r>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2F2334" w14:paraId="55FE179B" w14:textId="091556FE">
          <w:pPr>
            <w:pStyle w:val="Heading4"/>
            <w:rPr>
              <w:sz w:val="28"/>
              <w:szCs w:val="28"/>
            </w:rPr>
          </w:pPr>
          <w:r w:rsidRPr="00D13EA1">
            <w:rPr>
              <w:sz w:val="28"/>
              <w:szCs w:val="28"/>
            </w:rPr>
            <w:t xml:space="preserve">Table of </w:t>
          </w:r>
          <w:r w:rsidRPr="00D13EA1">
            <w:rPr>
              <w:sz w:val="28"/>
              <w:szCs w:val="28"/>
            </w:rPr>
            <w:t>Contents</w:t>
          </w:r>
        </w:p>
        <w:p w:rsidR="00C90B13" w:rsidP="002F2334" w14:paraId="55FE179C" w14:textId="77777777">
          <w:pPr>
            <w:pStyle w:val="TOC2"/>
            <w:tabs>
              <w:tab w:val="right" w:leader="dot" w:pos="10070"/>
            </w:tabs>
            <w:spacing w:line="240" w:lineRule="auto"/>
            <w:rPr>
              <w:rFonts w:asciiTheme="minorHAnsi" w:eastAsiaTheme="minorEastAsia" w:hAnsiTheme="minorHAnsi"/>
              <w:noProof/>
              <w:sz w:val="22"/>
            </w:rPr>
          </w:pPr>
          <w:r>
            <w:fldChar w:fldCharType="begin"/>
          </w:r>
          <w:r>
            <w:instrText xml:space="preserve"> TOC \o "1-3" \h \z \u </w:instrText>
          </w:r>
          <w:r>
            <w:fldChar w:fldCharType="separate"/>
          </w:r>
        </w:p>
        <w:p w:rsidR="00C90B13" w:rsidP="002F2334" w14:paraId="55FE179D" w14:textId="25FA88F0">
          <w:pPr>
            <w:pStyle w:val="TOC1"/>
            <w:tabs>
              <w:tab w:val="left" w:pos="480"/>
              <w:tab w:val="right" w:leader="dot" w:pos="10070"/>
            </w:tabs>
            <w:spacing w:line="240" w:lineRule="auto"/>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E903D2">
              <w:rPr>
                <w:noProof/>
                <w:webHidden/>
              </w:rPr>
              <w:t>3</w:t>
            </w:r>
            <w:r>
              <w:rPr>
                <w:noProof/>
                <w:webHidden/>
              </w:rPr>
              <w:fldChar w:fldCharType="end"/>
            </w:r>
          </w:hyperlink>
        </w:p>
        <w:p w:rsidR="00C90B13" w:rsidP="002F2334" w14:paraId="55FE179E" w14:textId="7C7D6294">
          <w:pPr>
            <w:pStyle w:val="TOC1"/>
            <w:tabs>
              <w:tab w:val="left" w:pos="480"/>
              <w:tab w:val="right" w:leader="dot" w:pos="10070"/>
            </w:tabs>
            <w:spacing w:line="240" w:lineRule="auto"/>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E903D2">
              <w:rPr>
                <w:noProof/>
                <w:webHidden/>
              </w:rPr>
              <w:t>4</w:t>
            </w:r>
            <w:r>
              <w:rPr>
                <w:noProof/>
                <w:webHidden/>
              </w:rPr>
              <w:fldChar w:fldCharType="end"/>
            </w:r>
          </w:hyperlink>
        </w:p>
        <w:p w:rsidR="00C90B13" w:rsidP="002F2334" w14:paraId="55FE179F" w14:textId="01EFB8C2">
          <w:pPr>
            <w:pStyle w:val="TOC1"/>
            <w:tabs>
              <w:tab w:val="left" w:pos="480"/>
              <w:tab w:val="right" w:leader="dot" w:pos="10070"/>
            </w:tabs>
            <w:spacing w:line="240" w:lineRule="auto"/>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E903D2">
              <w:rPr>
                <w:noProof/>
                <w:webHidden/>
              </w:rPr>
              <w:t>5</w:t>
            </w:r>
            <w:r>
              <w:rPr>
                <w:noProof/>
                <w:webHidden/>
              </w:rPr>
              <w:fldChar w:fldCharType="end"/>
            </w:r>
          </w:hyperlink>
        </w:p>
        <w:p w:rsidR="00C90B13" w:rsidP="002F2334" w14:paraId="55FE17A0" w14:textId="33F8FB6F">
          <w:pPr>
            <w:pStyle w:val="TOC1"/>
            <w:tabs>
              <w:tab w:val="left" w:pos="480"/>
              <w:tab w:val="right" w:leader="dot" w:pos="10070"/>
            </w:tabs>
            <w:spacing w:line="240" w:lineRule="auto"/>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E903D2">
              <w:rPr>
                <w:noProof/>
                <w:webHidden/>
              </w:rPr>
              <w:t>5</w:t>
            </w:r>
            <w:r>
              <w:rPr>
                <w:noProof/>
                <w:webHidden/>
              </w:rPr>
              <w:fldChar w:fldCharType="end"/>
            </w:r>
          </w:hyperlink>
        </w:p>
        <w:p w:rsidR="00C90B13" w:rsidP="002F2334" w14:paraId="55FE17A1" w14:textId="72258819">
          <w:pPr>
            <w:pStyle w:val="TOC1"/>
            <w:tabs>
              <w:tab w:val="left" w:pos="480"/>
              <w:tab w:val="right" w:leader="dot" w:pos="10070"/>
            </w:tabs>
            <w:spacing w:line="240" w:lineRule="auto"/>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E903D2">
              <w:rPr>
                <w:noProof/>
                <w:webHidden/>
              </w:rPr>
              <w:t>5</w:t>
            </w:r>
            <w:r>
              <w:rPr>
                <w:noProof/>
                <w:webHidden/>
              </w:rPr>
              <w:fldChar w:fldCharType="end"/>
            </w:r>
          </w:hyperlink>
        </w:p>
        <w:p w:rsidR="00C90B13" w:rsidP="002F2334" w14:paraId="55FE17A2" w14:textId="14D68C93">
          <w:pPr>
            <w:pStyle w:val="TOC1"/>
            <w:tabs>
              <w:tab w:val="left" w:pos="480"/>
              <w:tab w:val="right" w:leader="dot" w:pos="10070"/>
            </w:tabs>
            <w:spacing w:line="240" w:lineRule="auto"/>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E903D2">
              <w:rPr>
                <w:noProof/>
                <w:webHidden/>
              </w:rPr>
              <w:t>5</w:t>
            </w:r>
            <w:r>
              <w:rPr>
                <w:noProof/>
                <w:webHidden/>
              </w:rPr>
              <w:fldChar w:fldCharType="end"/>
            </w:r>
          </w:hyperlink>
        </w:p>
        <w:p w:rsidR="00C90B13" w:rsidP="002F2334" w14:paraId="55FE17A3" w14:textId="26D3B1F1">
          <w:pPr>
            <w:pStyle w:val="TOC1"/>
            <w:tabs>
              <w:tab w:val="left" w:pos="480"/>
              <w:tab w:val="right" w:leader="dot" w:pos="10070"/>
            </w:tabs>
            <w:spacing w:line="240" w:lineRule="auto"/>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E903D2">
              <w:rPr>
                <w:noProof/>
                <w:webHidden/>
              </w:rPr>
              <w:t>5</w:t>
            </w:r>
            <w:r>
              <w:rPr>
                <w:noProof/>
                <w:webHidden/>
              </w:rPr>
              <w:fldChar w:fldCharType="end"/>
            </w:r>
          </w:hyperlink>
        </w:p>
        <w:p w:rsidR="00C90B13" w:rsidP="002F2334" w14:paraId="55FE17A4" w14:textId="34C97A67">
          <w:pPr>
            <w:pStyle w:val="TOC1"/>
            <w:tabs>
              <w:tab w:val="left" w:pos="480"/>
              <w:tab w:val="right" w:leader="dot" w:pos="10070"/>
            </w:tabs>
            <w:spacing w:line="240" w:lineRule="auto"/>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E903D2">
              <w:rPr>
                <w:noProof/>
                <w:webHidden/>
              </w:rPr>
              <w:t>5</w:t>
            </w:r>
            <w:r>
              <w:rPr>
                <w:noProof/>
                <w:webHidden/>
              </w:rPr>
              <w:fldChar w:fldCharType="end"/>
            </w:r>
          </w:hyperlink>
        </w:p>
        <w:p w:rsidR="00C90B13" w:rsidP="002F2334" w14:paraId="55FE17A5" w14:textId="381EEA87">
          <w:pPr>
            <w:pStyle w:val="TOC1"/>
            <w:tabs>
              <w:tab w:val="left" w:pos="480"/>
              <w:tab w:val="right" w:leader="dot" w:pos="10070"/>
            </w:tabs>
            <w:spacing w:line="240" w:lineRule="auto"/>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E903D2">
              <w:rPr>
                <w:noProof/>
                <w:webHidden/>
              </w:rPr>
              <w:t>6</w:t>
            </w:r>
            <w:r>
              <w:rPr>
                <w:noProof/>
                <w:webHidden/>
              </w:rPr>
              <w:fldChar w:fldCharType="end"/>
            </w:r>
          </w:hyperlink>
        </w:p>
        <w:p w:rsidR="00C90B13" w:rsidP="002F2334" w14:paraId="55FE17A6" w14:textId="4C057B82">
          <w:pPr>
            <w:pStyle w:val="TOC1"/>
            <w:tabs>
              <w:tab w:val="left" w:pos="660"/>
              <w:tab w:val="right" w:leader="dot" w:pos="10070"/>
            </w:tabs>
            <w:spacing w:line="240" w:lineRule="auto"/>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E903D2">
              <w:rPr>
                <w:noProof/>
                <w:webHidden/>
              </w:rPr>
              <w:t>6</w:t>
            </w:r>
            <w:r>
              <w:rPr>
                <w:noProof/>
                <w:webHidden/>
              </w:rPr>
              <w:fldChar w:fldCharType="end"/>
            </w:r>
          </w:hyperlink>
        </w:p>
        <w:p w:rsidR="00C90B13" w:rsidP="002F2334" w14:paraId="55FE17A7" w14:textId="7AE43D2A">
          <w:pPr>
            <w:pStyle w:val="TOC1"/>
            <w:tabs>
              <w:tab w:val="left" w:pos="660"/>
              <w:tab w:val="right" w:leader="dot" w:pos="10070"/>
            </w:tabs>
            <w:spacing w:line="240" w:lineRule="auto"/>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E903D2">
              <w:rPr>
                <w:noProof/>
                <w:webHidden/>
              </w:rPr>
              <w:t>6</w:t>
            </w:r>
            <w:r>
              <w:rPr>
                <w:noProof/>
                <w:webHidden/>
              </w:rPr>
              <w:fldChar w:fldCharType="end"/>
            </w:r>
          </w:hyperlink>
        </w:p>
        <w:p w:rsidR="00C90B13" w:rsidP="002F2334" w14:paraId="55FE17A8" w14:textId="3BC301D8">
          <w:pPr>
            <w:pStyle w:val="TOC1"/>
            <w:tabs>
              <w:tab w:val="left" w:pos="660"/>
              <w:tab w:val="right" w:leader="dot" w:pos="10070"/>
            </w:tabs>
            <w:spacing w:line="240" w:lineRule="auto"/>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E903D2">
              <w:rPr>
                <w:noProof/>
                <w:webHidden/>
              </w:rPr>
              <w:t>7</w:t>
            </w:r>
            <w:r>
              <w:rPr>
                <w:noProof/>
                <w:webHidden/>
              </w:rPr>
              <w:fldChar w:fldCharType="end"/>
            </w:r>
          </w:hyperlink>
        </w:p>
        <w:p w:rsidR="00C90B13" w:rsidP="002F2334" w14:paraId="55FE17A9" w14:textId="2D0F6F16">
          <w:pPr>
            <w:pStyle w:val="TOC1"/>
            <w:tabs>
              <w:tab w:val="left" w:pos="660"/>
              <w:tab w:val="right" w:leader="dot" w:pos="10070"/>
            </w:tabs>
            <w:spacing w:line="240" w:lineRule="auto"/>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E903D2">
              <w:rPr>
                <w:noProof/>
                <w:webHidden/>
              </w:rPr>
              <w:t>8</w:t>
            </w:r>
            <w:r>
              <w:rPr>
                <w:noProof/>
                <w:webHidden/>
              </w:rPr>
              <w:fldChar w:fldCharType="end"/>
            </w:r>
          </w:hyperlink>
        </w:p>
        <w:p w:rsidR="00C90B13" w:rsidP="002F2334" w14:paraId="55FE17AA" w14:textId="22430B02">
          <w:pPr>
            <w:pStyle w:val="TOC1"/>
            <w:tabs>
              <w:tab w:val="left" w:pos="660"/>
              <w:tab w:val="right" w:leader="dot" w:pos="10070"/>
            </w:tabs>
            <w:spacing w:line="240" w:lineRule="auto"/>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E903D2">
              <w:rPr>
                <w:noProof/>
                <w:webHidden/>
              </w:rPr>
              <w:t>8</w:t>
            </w:r>
            <w:r>
              <w:rPr>
                <w:noProof/>
                <w:webHidden/>
              </w:rPr>
              <w:fldChar w:fldCharType="end"/>
            </w:r>
          </w:hyperlink>
        </w:p>
        <w:p w:rsidR="00C90B13" w:rsidP="002F2334" w14:paraId="55FE17AB" w14:textId="793483A2">
          <w:pPr>
            <w:pStyle w:val="TOC1"/>
            <w:tabs>
              <w:tab w:val="left" w:pos="660"/>
              <w:tab w:val="right" w:leader="dot" w:pos="10070"/>
            </w:tabs>
            <w:spacing w:line="240" w:lineRule="auto"/>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E903D2">
              <w:rPr>
                <w:noProof/>
                <w:webHidden/>
              </w:rPr>
              <w:t>9</w:t>
            </w:r>
            <w:r>
              <w:rPr>
                <w:noProof/>
                <w:webHidden/>
              </w:rPr>
              <w:fldChar w:fldCharType="end"/>
            </w:r>
          </w:hyperlink>
        </w:p>
        <w:p w:rsidR="00C90B13" w:rsidP="002F2334" w14:paraId="55FE17AC" w14:textId="0D07C896">
          <w:pPr>
            <w:pStyle w:val="TOC1"/>
            <w:tabs>
              <w:tab w:val="left" w:pos="660"/>
              <w:tab w:val="right" w:leader="dot" w:pos="10070"/>
            </w:tabs>
            <w:spacing w:line="240" w:lineRule="auto"/>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E903D2">
              <w:rPr>
                <w:noProof/>
                <w:webHidden/>
              </w:rPr>
              <w:t>9</w:t>
            </w:r>
            <w:r>
              <w:rPr>
                <w:noProof/>
                <w:webHidden/>
              </w:rPr>
              <w:fldChar w:fldCharType="end"/>
            </w:r>
          </w:hyperlink>
        </w:p>
        <w:p w:rsidR="00C90B13" w:rsidP="002F2334" w14:paraId="55FE17AD" w14:textId="3072DA12">
          <w:pPr>
            <w:pStyle w:val="TOC1"/>
            <w:tabs>
              <w:tab w:val="left" w:pos="660"/>
              <w:tab w:val="right" w:leader="dot" w:pos="10070"/>
            </w:tabs>
            <w:spacing w:line="240" w:lineRule="auto"/>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E903D2">
              <w:rPr>
                <w:noProof/>
                <w:webHidden/>
              </w:rPr>
              <w:t>9</w:t>
            </w:r>
            <w:r>
              <w:rPr>
                <w:noProof/>
                <w:webHidden/>
              </w:rPr>
              <w:fldChar w:fldCharType="end"/>
            </w:r>
          </w:hyperlink>
        </w:p>
        <w:p w:rsidR="00C90B13" w:rsidP="002F2334" w14:paraId="55FE17AE" w14:textId="78ACA671">
          <w:pPr>
            <w:pStyle w:val="TOC1"/>
            <w:tabs>
              <w:tab w:val="left" w:pos="660"/>
              <w:tab w:val="right" w:leader="dot" w:pos="10070"/>
            </w:tabs>
            <w:spacing w:line="240" w:lineRule="auto"/>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E903D2">
              <w:rPr>
                <w:noProof/>
                <w:webHidden/>
              </w:rPr>
              <w:t>10</w:t>
            </w:r>
            <w:r>
              <w:rPr>
                <w:noProof/>
                <w:webHidden/>
              </w:rPr>
              <w:fldChar w:fldCharType="end"/>
            </w:r>
          </w:hyperlink>
        </w:p>
        <w:p w:rsidR="00C90B13" w:rsidP="002F2334" w14:paraId="55FE17AF" w14:textId="05C89E1B">
          <w:pPr>
            <w:pStyle w:val="TOC1"/>
            <w:tabs>
              <w:tab w:val="right" w:leader="dot" w:pos="10070"/>
            </w:tabs>
            <w:spacing w:line="240" w:lineRule="auto"/>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E903D2">
              <w:rPr>
                <w:noProof/>
                <w:webHidden/>
              </w:rPr>
              <w:t>10</w:t>
            </w:r>
            <w:r>
              <w:rPr>
                <w:noProof/>
                <w:webHidden/>
              </w:rPr>
              <w:fldChar w:fldCharType="end"/>
            </w:r>
          </w:hyperlink>
        </w:p>
        <w:p w:rsidR="004A13E8" w:rsidP="002F2334" w14:paraId="55FE17B0" w14:textId="77777777">
          <w:pPr>
            <w:spacing w:line="240" w:lineRule="auto"/>
          </w:pPr>
          <w:r>
            <w:rPr>
              <w:b/>
              <w:bCs/>
              <w:noProof/>
            </w:rPr>
            <w:fldChar w:fldCharType="end"/>
          </w:r>
        </w:p>
      </w:sdtContent>
    </w:sdt>
    <w:p w:rsidR="004A13E8" w:rsidP="002F2334" w14:paraId="55FE17B1" w14:textId="77777777">
      <w:pPr>
        <w:spacing w:line="240" w:lineRule="auto"/>
      </w:pPr>
      <w:r>
        <w:br w:type="page"/>
      </w:r>
    </w:p>
    <w:p w:rsidR="004A13E8" w:rsidP="002F2334"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5963285" cy="2425065"/>
                <wp:effectExtent l="0" t="0" r="18415" b="13335"/>
                <wp:wrapTight wrapText="bothSides">
                  <wp:wrapPolygon>
                    <wp:start x="0" y="0"/>
                    <wp:lineTo x="0" y="21549"/>
                    <wp:lineTo x="21598" y="21549"/>
                    <wp:lineTo x="21598"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3285" cy="2425065"/>
                        </a:xfrm>
                        <a:prstGeom prst="rect">
                          <a:avLst/>
                        </a:prstGeom>
                        <a:solidFill>
                          <a:srgbClr val="FFFFFF"/>
                        </a:solidFill>
                        <a:ln w="9525">
                          <a:solidFill>
                            <a:srgbClr val="000000"/>
                          </a:solidFill>
                          <a:miter lim="800000"/>
                          <a:headEnd/>
                          <a:tailEnd/>
                        </a:ln>
                      </wps:spPr>
                      <wps:txbx>
                        <w:txbxContent>
                          <w:p w:rsidR="004A13E8" w:rsidRPr="001A58BE" w:rsidP="004A13E8" w14:textId="18152066">
                            <w:pPr>
                              <w:pStyle w:val="Bullets"/>
                              <w:rPr>
                                <w:b/>
                              </w:rPr>
                            </w:pPr>
                            <w:r w:rsidRPr="001A58BE">
                              <w:rPr>
                                <w:b/>
                              </w:rPr>
                              <w:t>Goal of the study:</w:t>
                            </w:r>
                            <w:r w:rsidR="001A58BE">
                              <w:rPr>
                                <w:b/>
                              </w:rPr>
                              <w:t xml:space="preserve"> </w:t>
                            </w:r>
                            <w:r w:rsidR="000D3799">
                              <w:rPr>
                                <w:bCs/>
                              </w:rPr>
                              <w:t xml:space="preserve">The purpose of this project is to </w:t>
                            </w:r>
                            <w:r w:rsidR="00FE72E4">
                              <w:t>assess</w:t>
                            </w:r>
                            <w:r w:rsidR="00083EBB">
                              <w:t xml:space="preserve"> </w:t>
                            </w:r>
                            <w:r w:rsidR="008456E4">
                              <w:t>knowledge</w:t>
                            </w:r>
                            <w:r w:rsidR="00FE72E4">
                              <w:t xml:space="preserve">, </w:t>
                            </w:r>
                            <w:r w:rsidR="00D06A98">
                              <w:t xml:space="preserve">perceptions, </w:t>
                            </w:r>
                            <w:r w:rsidR="00FE72E4">
                              <w:t>experiences, and barriers to antifungal therapeutic drug monitoring among</w:t>
                            </w:r>
                            <w:r w:rsidR="00083EBB">
                              <w:t xml:space="preserve"> </w:t>
                            </w:r>
                            <w:r w:rsidR="008456E4">
                              <w:t xml:space="preserve">infectious disease </w:t>
                            </w:r>
                            <w:r w:rsidR="00083EBB">
                              <w:t xml:space="preserve">physicians and </w:t>
                            </w:r>
                            <w:r w:rsidR="00FE72E4">
                              <w:t xml:space="preserve">hospital or infectious disease </w:t>
                            </w:r>
                            <w:r w:rsidR="00083EBB">
                              <w:t>pharmacists.</w:t>
                            </w:r>
                          </w:p>
                          <w:p w:rsidR="004A13E8" w:rsidRPr="001A58BE" w:rsidP="004A13E8" w14:textId="02F1C430">
                            <w:pPr>
                              <w:pStyle w:val="Bullets"/>
                              <w:rPr>
                                <w:b/>
                              </w:rPr>
                            </w:pPr>
                            <w:r w:rsidRPr="001A58BE">
                              <w:rPr>
                                <w:b/>
                              </w:rPr>
                              <w:t>Intended use of the resulting data:</w:t>
                            </w:r>
                            <w:r w:rsidR="001A58BE">
                              <w:rPr>
                                <w:b/>
                              </w:rPr>
                              <w:t xml:space="preserve"> </w:t>
                            </w:r>
                            <w:r w:rsidR="000D3799">
                              <w:rPr>
                                <w:bCs/>
                              </w:rPr>
                              <w:t>Insights will</w:t>
                            </w:r>
                            <w:r w:rsidR="000D3799">
                              <w:t xml:space="preserve"> i</w:t>
                            </w:r>
                            <w:r w:rsidR="00083EBB">
                              <w:t xml:space="preserve">nform future communications efforts to increase awareness of antifungal therapeutic drug monitoring, address knowledge gaps and barriers to </w:t>
                            </w:r>
                            <w:r w:rsidR="00FE72E4">
                              <w:t>the practice</w:t>
                            </w:r>
                            <w:r w:rsidR="00083EBB">
                              <w:t xml:space="preserve">, and improve antifungal therapeutic drug monitoring adherence. </w:t>
                            </w:r>
                          </w:p>
                          <w:p w:rsidR="004A13E8" w:rsidRPr="001A58BE" w:rsidP="004A13E8" w14:textId="39688DEE">
                            <w:pPr>
                              <w:pStyle w:val="Bullets"/>
                              <w:rPr>
                                <w:b/>
                              </w:rPr>
                            </w:pPr>
                            <w:r w:rsidRPr="001A58BE">
                              <w:rPr>
                                <w:b/>
                              </w:rPr>
                              <w:t>Methods to be used to collect:</w:t>
                            </w:r>
                            <w:r w:rsidR="001A58BE">
                              <w:rPr>
                                <w:b/>
                              </w:rPr>
                              <w:t xml:space="preserve"> </w:t>
                            </w:r>
                            <w:r w:rsidRPr="00FE72E4" w:rsidR="00FE72E4">
                              <w:rPr>
                                <w:bCs/>
                              </w:rPr>
                              <w:t>Online f</w:t>
                            </w:r>
                            <w:r w:rsidRPr="00FE72E4" w:rsidR="000D3799">
                              <w:rPr>
                                <w:bCs/>
                              </w:rPr>
                              <w:t>ocus</w:t>
                            </w:r>
                            <w:r w:rsidR="000D3799">
                              <w:t xml:space="preserve"> groups.</w:t>
                            </w:r>
                          </w:p>
                          <w:p w:rsidR="00FE72E4" w:rsidRPr="00FE72E4" w:rsidP="00596FDD" w14:textId="0234363A">
                            <w:pPr>
                              <w:pStyle w:val="Bullets"/>
                              <w:rPr>
                                <w:b/>
                              </w:rPr>
                            </w:pPr>
                            <w:r w:rsidRPr="00FE72E4">
                              <w:rPr>
                                <w:b/>
                              </w:rPr>
                              <w:t>The subpopulation to be studied:</w:t>
                            </w:r>
                            <w:r w:rsidRPr="00FE72E4" w:rsidR="001A58BE">
                              <w:rPr>
                                <w:b/>
                              </w:rPr>
                              <w:t xml:space="preserve"> </w:t>
                            </w:r>
                            <w:bookmarkStart w:id="2" w:name="_Hlk150796696"/>
                            <w:r>
                              <w:t>I</w:t>
                            </w:r>
                            <w:r w:rsidRPr="00FE72E4">
                              <w:t>nfectious disease physicians and hospital or infectious disease pharmacists</w:t>
                            </w:r>
                            <w:r>
                              <w:t>.</w:t>
                            </w:r>
                          </w:p>
                          <w:bookmarkEnd w:id="2"/>
                          <w:p w:rsidR="004A13E8" w:rsidRPr="00FE72E4" w:rsidP="00596FDD" w14:textId="14CB5BC7">
                            <w:pPr>
                              <w:pStyle w:val="Bullets"/>
                              <w:rPr>
                                <w:b/>
                              </w:rPr>
                            </w:pPr>
                            <w:r w:rsidRPr="00FE72E4">
                              <w:rPr>
                                <w:b/>
                              </w:rPr>
                              <w:t>How data will be analyzed:</w:t>
                            </w:r>
                            <w:r w:rsidRPr="00FE72E4" w:rsidR="001A58BE">
                              <w:rPr>
                                <w:b/>
                              </w:rPr>
                              <w:t xml:space="preserve"> </w:t>
                            </w:r>
                            <w:r w:rsidRPr="00FE72E4" w:rsidR="008456E4">
                              <w:rPr>
                                <w:rFonts w:cs="Times New Roman"/>
                                <w:szCs w:val="24"/>
                              </w:rPr>
                              <w:t>Descriptive and thematic analyses of qualitative data.</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9.55pt;height:190.9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18152066">
                      <w:pPr>
                        <w:pStyle w:val="Bullets"/>
                        <w:rPr>
                          <w:b/>
                        </w:rPr>
                      </w:pPr>
                      <w:r w:rsidRPr="001A58BE">
                        <w:rPr>
                          <w:b/>
                        </w:rPr>
                        <w:t>Goal of the study:</w:t>
                      </w:r>
                      <w:r w:rsidR="001A58BE">
                        <w:rPr>
                          <w:b/>
                        </w:rPr>
                        <w:t xml:space="preserve"> </w:t>
                      </w:r>
                      <w:r w:rsidR="000D3799">
                        <w:rPr>
                          <w:bCs/>
                        </w:rPr>
                        <w:t xml:space="preserve">The purpose of this project is to </w:t>
                      </w:r>
                      <w:r w:rsidR="00FE72E4">
                        <w:t>assess</w:t>
                      </w:r>
                      <w:r w:rsidR="00083EBB">
                        <w:t xml:space="preserve"> </w:t>
                      </w:r>
                      <w:r w:rsidR="008456E4">
                        <w:t>knowledge</w:t>
                      </w:r>
                      <w:r w:rsidR="00FE72E4">
                        <w:t xml:space="preserve">, </w:t>
                      </w:r>
                      <w:r w:rsidR="00D06A98">
                        <w:t xml:space="preserve">perceptions, </w:t>
                      </w:r>
                      <w:r w:rsidR="00FE72E4">
                        <w:t>experiences, and barriers to antifungal therapeutic drug monitoring among</w:t>
                      </w:r>
                      <w:r w:rsidR="00083EBB">
                        <w:t xml:space="preserve"> </w:t>
                      </w:r>
                      <w:r w:rsidR="008456E4">
                        <w:t xml:space="preserve">infectious disease </w:t>
                      </w:r>
                      <w:r w:rsidR="00083EBB">
                        <w:t xml:space="preserve">physicians and </w:t>
                      </w:r>
                      <w:r w:rsidR="00FE72E4">
                        <w:t xml:space="preserve">hospital or infectious disease </w:t>
                      </w:r>
                      <w:r w:rsidR="00083EBB">
                        <w:t>pharmacists.</w:t>
                      </w:r>
                    </w:p>
                    <w:p w:rsidR="004A13E8" w:rsidRPr="001A58BE" w:rsidP="004A13E8" w14:paraId="55FE1838" w14:textId="02F1C430">
                      <w:pPr>
                        <w:pStyle w:val="Bullets"/>
                        <w:rPr>
                          <w:b/>
                        </w:rPr>
                      </w:pPr>
                      <w:r w:rsidRPr="001A58BE">
                        <w:rPr>
                          <w:b/>
                        </w:rPr>
                        <w:t>Intended use of the resulting data:</w:t>
                      </w:r>
                      <w:r w:rsidR="001A58BE">
                        <w:rPr>
                          <w:b/>
                        </w:rPr>
                        <w:t xml:space="preserve"> </w:t>
                      </w:r>
                      <w:r w:rsidR="000D3799">
                        <w:rPr>
                          <w:bCs/>
                        </w:rPr>
                        <w:t>Insights will</w:t>
                      </w:r>
                      <w:r w:rsidR="000D3799">
                        <w:t xml:space="preserve"> i</w:t>
                      </w:r>
                      <w:r w:rsidR="00083EBB">
                        <w:t xml:space="preserve">nform future communications efforts to increase awareness of antifungal therapeutic drug monitoring, address knowledge gaps and barriers to </w:t>
                      </w:r>
                      <w:r w:rsidR="00FE72E4">
                        <w:t>the practice</w:t>
                      </w:r>
                      <w:r w:rsidR="00083EBB">
                        <w:t xml:space="preserve">, and improve antifungal therapeutic drug monitoring adherence. </w:t>
                      </w:r>
                    </w:p>
                    <w:p w:rsidR="004A13E8" w:rsidRPr="001A58BE" w:rsidP="004A13E8" w14:paraId="55FE1839" w14:textId="39688DEE">
                      <w:pPr>
                        <w:pStyle w:val="Bullets"/>
                        <w:rPr>
                          <w:b/>
                        </w:rPr>
                      </w:pPr>
                      <w:r w:rsidRPr="001A58BE">
                        <w:rPr>
                          <w:b/>
                        </w:rPr>
                        <w:t>Methods to be used to collect:</w:t>
                      </w:r>
                      <w:r w:rsidR="001A58BE">
                        <w:rPr>
                          <w:b/>
                        </w:rPr>
                        <w:t xml:space="preserve"> </w:t>
                      </w:r>
                      <w:r w:rsidRPr="00FE72E4" w:rsidR="00FE72E4">
                        <w:rPr>
                          <w:bCs/>
                        </w:rPr>
                        <w:t>Online f</w:t>
                      </w:r>
                      <w:r w:rsidRPr="00FE72E4" w:rsidR="000D3799">
                        <w:rPr>
                          <w:bCs/>
                        </w:rPr>
                        <w:t>ocus</w:t>
                      </w:r>
                      <w:r w:rsidR="000D3799">
                        <w:t xml:space="preserve"> groups.</w:t>
                      </w:r>
                    </w:p>
                    <w:p w:rsidR="00FE72E4" w:rsidRPr="00FE72E4" w:rsidP="00596FDD" w14:paraId="73C2D752" w14:textId="0234363A">
                      <w:pPr>
                        <w:pStyle w:val="Bullets"/>
                        <w:rPr>
                          <w:b/>
                        </w:rPr>
                      </w:pPr>
                      <w:r w:rsidRPr="00FE72E4">
                        <w:rPr>
                          <w:b/>
                        </w:rPr>
                        <w:t>The subpopulation to be studied:</w:t>
                      </w:r>
                      <w:r w:rsidRPr="00FE72E4" w:rsidR="001A58BE">
                        <w:rPr>
                          <w:b/>
                        </w:rPr>
                        <w:t xml:space="preserve"> </w:t>
                      </w:r>
                      <w:bookmarkStart w:id="2" w:name="_Hlk150796696"/>
                      <w:r>
                        <w:t>I</w:t>
                      </w:r>
                      <w:r w:rsidRPr="00FE72E4">
                        <w:t>nfectious disease physicians and hospital or infectious disease pharmacists</w:t>
                      </w:r>
                      <w:r>
                        <w:t>.</w:t>
                      </w:r>
                    </w:p>
                    <w:bookmarkEnd w:id="2"/>
                    <w:p w:rsidR="004A13E8" w:rsidRPr="00FE72E4" w:rsidP="00596FDD" w14:paraId="55FE183D" w14:textId="14CB5BC7">
                      <w:pPr>
                        <w:pStyle w:val="Bullets"/>
                        <w:rPr>
                          <w:b/>
                        </w:rPr>
                      </w:pPr>
                      <w:r w:rsidRPr="00FE72E4">
                        <w:rPr>
                          <w:b/>
                        </w:rPr>
                        <w:t>How data will be analyzed:</w:t>
                      </w:r>
                      <w:r w:rsidRPr="00FE72E4" w:rsidR="001A58BE">
                        <w:rPr>
                          <w:b/>
                        </w:rPr>
                        <w:t xml:space="preserve"> </w:t>
                      </w:r>
                      <w:r w:rsidRPr="00FE72E4" w:rsidR="008456E4">
                        <w:rPr>
                          <w:rFonts w:cs="Times New Roman"/>
                          <w:szCs w:val="24"/>
                        </w:rPr>
                        <w:t>Descriptive and thematic analyses of qualitative data.</w:t>
                      </w:r>
                    </w:p>
                  </w:txbxContent>
                </v:textbox>
                <w10:wrap type="tight"/>
              </v:shape>
            </w:pict>
          </mc:Fallback>
        </mc:AlternateContent>
      </w:r>
    </w:p>
    <w:p w:rsidR="004A13E8" w:rsidP="002F2334" w14:paraId="55FE17B3" w14:textId="77777777">
      <w:pPr>
        <w:pStyle w:val="Heading1"/>
      </w:pPr>
      <w:bookmarkStart w:id="3" w:name="_Toc473880017"/>
      <w:r w:rsidRPr="004A13E8">
        <w:t>Circumstances Making the Collection of Information Necessary</w:t>
      </w:r>
      <w:bookmarkEnd w:id="3"/>
    </w:p>
    <w:p w:rsidR="00E21144" w:rsidP="002F2334" w14:paraId="397D151D" w14:textId="2E88C1BC">
      <w:pPr>
        <w:spacing w:line="240" w:lineRule="auto"/>
      </w:pPr>
      <w:r>
        <w:t>CDC requests approval for a new Gen-IC under OMB Control No. 0920-1154.</w:t>
      </w:r>
    </w:p>
    <w:p w:rsidR="00E21144" w:rsidP="002F2334" w14:paraId="72E55DB5" w14:textId="600945B9">
      <w:pPr>
        <w:spacing w:line="240" w:lineRule="auto"/>
      </w:pPr>
      <w:r>
        <w:t xml:space="preserve">Information collection activities are limited to formative work that will result in the development of </w:t>
      </w:r>
      <w:r w:rsidR="00083EBB">
        <w:t xml:space="preserve">new or improved messages and tools. </w:t>
      </w:r>
    </w:p>
    <w:p w:rsidR="00FE72E4" w:rsidP="002F2334" w14:paraId="0E16322A" w14:textId="1C812DEE">
      <w:pPr>
        <w:spacing w:line="240" w:lineRule="auto"/>
      </w:pPr>
      <w:r>
        <w:t xml:space="preserve">Antifungal therapeutic drug monitoring </w:t>
      </w:r>
      <w:r w:rsidR="00EB7F82">
        <w:t xml:space="preserve">(TDM) </w:t>
      </w:r>
      <w:r>
        <w:t xml:space="preserve">is an important step in ensuring certain patients receive </w:t>
      </w:r>
      <w:r w:rsidR="71742448">
        <w:t xml:space="preserve">the appropriate </w:t>
      </w:r>
      <w:r w:rsidR="2F173AE4">
        <w:t>level of medication to</w:t>
      </w:r>
      <w:r w:rsidR="71742448">
        <w:t xml:space="preserve"> effectively treat fungal diseases</w:t>
      </w:r>
      <w:r w:rsidR="767534EB">
        <w:t xml:space="preserve"> and</w:t>
      </w:r>
      <w:r w:rsidR="5540B341">
        <w:t xml:space="preserve"> reduc</w:t>
      </w:r>
      <w:r w:rsidR="632761A0">
        <w:t>e</w:t>
      </w:r>
      <w:r w:rsidR="5540B341">
        <w:t xml:space="preserve"> side effects and overuse of antifungals.</w:t>
      </w:r>
      <w:r>
        <w:t xml:space="preserve"> </w:t>
      </w:r>
      <w:r w:rsidR="00EB7F82">
        <w:t>This practice</w:t>
      </w:r>
      <w:r w:rsidR="0074273C">
        <w:t xml:space="preserve"> tests the amount of </w:t>
      </w:r>
      <w:r>
        <w:t xml:space="preserve">an </w:t>
      </w:r>
      <w:r w:rsidR="0074273C">
        <w:t xml:space="preserve">antifungal drug present in a patient’s blood to ensure </w:t>
      </w:r>
      <w:r>
        <w:t xml:space="preserve">the drug is administered in the right dose while minimizing side effects. </w:t>
      </w:r>
      <w:r w:rsidR="00EB7F82">
        <w:t>This practice of antifungal TDM is important because antifungal drugs have a narrow therapeutic window, meaning that the difference between an effective and toxic dose can be small. Close monitoring is often very important for patients’ health.</w:t>
      </w:r>
    </w:p>
    <w:p w:rsidR="00EC48F3" w:rsidP="002F2334" w14:paraId="39561453" w14:textId="77777777">
      <w:pPr>
        <w:spacing w:line="240" w:lineRule="auto"/>
      </w:pPr>
      <w:r>
        <w:t>Despite the importance of antifungal TDM, p</w:t>
      </w:r>
      <w:r w:rsidR="008456E4">
        <w:t xml:space="preserve">revious research has highlighted low </w:t>
      </w:r>
      <w:r>
        <w:t>rates</w:t>
      </w:r>
      <w:r w:rsidR="003914F4">
        <w:t xml:space="preserve"> </w:t>
      </w:r>
      <w:r>
        <w:t xml:space="preserve">of its performance </w:t>
      </w:r>
      <w:r>
        <w:t xml:space="preserve">in the United States </w:t>
      </w:r>
      <w:r>
        <w:t xml:space="preserve">and suggested potential barriers to doing so effectively. </w:t>
      </w:r>
    </w:p>
    <w:p w:rsidR="008456E4" w:rsidP="002F2334" w14:paraId="30F912B0" w14:textId="34795344">
      <w:pPr>
        <w:spacing w:line="240" w:lineRule="auto"/>
      </w:pPr>
      <w:r>
        <w:t>For instance, a study found</w:t>
      </w:r>
      <w:r w:rsidR="00EC48F3">
        <w:t>: “In this hospital-based administrative and laboratory dataset, TDM was uncommonly performed (</w:t>
      </w:r>
      <w:r w:rsidR="00EC48F3">
        <w:rPr>
          <w:rFonts w:ascii="Cambria Math" w:hAnsi="Cambria Math" w:cs="Cambria Math"/>
        </w:rPr>
        <w:t>∼</w:t>
      </w:r>
      <w:r w:rsidR="00EC48F3">
        <w:t>16%) among a large cohort of patients for whom TDM is recommended, signifying missed opportunities to monitor antifungal drug levels and potentially improve clinical outcomes.”</w:t>
      </w:r>
      <w:r>
        <w:rPr>
          <w:rStyle w:val="FootnoteReference"/>
        </w:rPr>
        <w:footnoteReference w:id="2"/>
      </w:r>
      <w:r w:rsidR="00EC48F3">
        <w:t xml:space="preserve"> On the topic of barriers to antifungal TDM, another survey study found: “Reported barriers to performing TDM included long turn around times for send-out tests (74%), difficulty coordinating testing logistics (48%), uncertainty around TDM recommendations (39%), difficulty interpreting results (28%), uncertainty about TDM benefits (18%), cost (14%), and challenges with insurance coverage (11%).”</w:t>
      </w:r>
      <w:r>
        <w:rPr>
          <w:rStyle w:val="FootnoteReference"/>
        </w:rPr>
        <w:footnoteReference w:id="3"/>
      </w:r>
    </w:p>
    <w:p w:rsidR="000C1525" w:rsidP="002F2334" w14:paraId="1039B9B8" w14:textId="36E81518">
      <w:pPr>
        <w:spacing w:line="240" w:lineRule="auto"/>
      </w:pPr>
      <w:r>
        <w:t xml:space="preserve">Thus, research has demonstrated a gap in </w:t>
      </w:r>
      <w:r>
        <w:t xml:space="preserve">the practice of </w:t>
      </w:r>
      <w:r>
        <w:t xml:space="preserve">antifungal TDM as well as several barriers preventing more effective or widespread use of the practice. </w:t>
      </w:r>
      <w:r>
        <w:t>This proposed data collection is necessary to understand the extent to which healthcare providers’</w:t>
      </w:r>
      <w:r w:rsidR="18D90A20">
        <w:t xml:space="preserve"> </w:t>
      </w:r>
      <w:r>
        <w:t xml:space="preserve">knowledge, perceptions, and role designations are influencing their decisions or ability to perform antifungal TDM, the details of the challenges and barriers they face and how they can be overcome, and the information, data, and resource needs providers have about this subject that may contribute to their ability to make confident decisions. </w:t>
      </w:r>
    </w:p>
    <w:p w:rsidR="000C1525" w:rsidP="002F2334" w14:paraId="4B3DF5A7" w14:textId="69B063D7">
      <w:pPr>
        <w:spacing w:line="240" w:lineRule="auto"/>
      </w:pPr>
      <w:r>
        <w:t xml:space="preserve">This data collection will be used </w:t>
      </w:r>
      <w:r w:rsidR="002F2334">
        <w:t xml:space="preserve">by CDC NCEZID, and in particular the </w:t>
      </w:r>
      <w:r w:rsidRPr="00AC73D8" w:rsidR="002F2334">
        <w:rPr>
          <w:color w:val="000000" w:themeColor="text1"/>
        </w:rPr>
        <w:t>Division of Foodborne, Waterborne, and Environmental</w:t>
      </w:r>
      <w:r w:rsidR="002F2334">
        <w:rPr>
          <w:color w:val="000000" w:themeColor="text1"/>
        </w:rPr>
        <w:t xml:space="preserve"> Diseases (DFWED),</w:t>
      </w:r>
      <w:r w:rsidR="002F2334">
        <w:t xml:space="preserve"> </w:t>
      </w:r>
      <w:r>
        <w:t xml:space="preserve">to develop and improve providers-focused communications </w:t>
      </w:r>
      <w:r w:rsidR="00E23514">
        <w:t>strategies</w:t>
      </w:r>
      <w:r>
        <w:t xml:space="preserve">, messages, and materials on the topic of antifungal TDM, with </w:t>
      </w:r>
      <w:r w:rsidR="00484CE1">
        <w:t>a goal</w:t>
      </w:r>
      <w:r>
        <w:t xml:space="preserve"> of raising awareness of the importance of the practice and </w:t>
      </w:r>
      <w:r w:rsidR="00484CE1">
        <w:t xml:space="preserve">better </w:t>
      </w:r>
      <w:r>
        <w:t>equipping providers to take appropriate action.</w:t>
      </w:r>
      <w:r w:rsidR="00484CE1">
        <w:t xml:space="preserve"> </w:t>
      </w:r>
    </w:p>
    <w:p w:rsidR="004A13E8" w:rsidP="002F2334" w14:paraId="55FE17B7" w14:textId="77777777">
      <w:pPr>
        <w:pStyle w:val="Heading1"/>
      </w:pPr>
      <w:bookmarkStart w:id="4" w:name="_Toc473880018"/>
      <w:r>
        <w:t>Purpose and Use of Information Collection</w:t>
      </w:r>
      <w:bookmarkEnd w:id="4"/>
    </w:p>
    <w:p w:rsidR="00AC73D8" w:rsidP="002F2334" w14:paraId="7A01F822" w14:textId="5CAAEEAE">
      <w:pPr>
        <w:spacing w:line="240" w:lineRule="auto"/>
        <w:rPr>
          <w:color w:val="000000" w:themeColor="text1"/>
        </w:rPr>
      </w:pPr>
      <w:r w:rsidRPr="67E40C7F">
        <w:rPr>
          <w:color w:val="000000" w:themeColor="text1"/>
        </w:rPr>
        <w:t xml:space="preserve">Previous research has shown that antifungal TDM is often limited in practice in situations where it may be recommended. The goals of this evaluation are to assess: (1) </w:t>
      </w:r>
      <w:r w:rsidRPr="67E40C7F" w:rsidR="6CE3B5F8">
        <w:rPr>
          <w:color w:val="000000" w:themeColor="text1"/>
        </w:rPr>
        <w:t xml:space="preserve">physicians’ and pharmacists’ </w:t>
      </w:r>
      <w:r w:rsidRPr="67E40C7F">
        <w:rPr>
          <w:color w:val="000000" w:themeColor="text1"/>
        </w:rPr>
        <w:t>perceptions of the benefits of antifungal therapeutic drug monitoring, (2) barriers to antifungal therapeutic drug monitoring and how to address them, (3) role(s) that physicians and pharmacists play in antifungal TDM, and how the two roles interact with each other, and (4) information and data needs, plus feedback on existing antifungal TDM data, educational materials, and tools providers use.</w:t>
      </w:r>
    </w:p>
    <w:p w:rsidR="00E23514" w:rsidP="002F2334" w14:paraId="166201FB" w14:textId="5E936A27">
      <w:pPr>
        <w:spacing w:line="240" w:lineRule="auto"/>
        <w:rPr>
          <w:rFonts w:cs="Times New Roman"/>
        </w:rPr>
      </w:pPr>
      <w:r>
        <w:t>Insights generated from the data collection</w:t>
      </w:r>
      <w:r>
        <w:rPr>
          <w:szCs w:val="20"/>
        </w:rPr>
        <w:t xml:space="preserve"> will guide efforts to increase awareness of antifungal TDM, address knowledge gaps and barriers, and improve antifungal TDM use and adherence. </w:t>
      </w:r>
      <w:r w:rsidRPr="00F02BA6">
        <w:rPr>
          <w:rFonts w:cs="Times New Roman"/>
        </w:rPr>
        <w:t xml:space="preserve">The results will be used to develop </w:t>
      </w:r>
      <w:r>
        <w:rPr>
          <w:rFonts w:cs="Times New Roman"/>
        </w:rPr>
        <w:t xml:space="preserve">and improve </w:t>
      </w:r>
      <w:r>
        <w:t>communications strategies, messages, and materials on the topic of antifungal TDM.</w:t>
      </w:r>
    </w:p>
    <w:p w:rsidR="00E23514" w:rsidRPr="00A824A9" w:rsidP="002F2334" w14:paraId="1B46CBF5" w14:textId="3C48887C">
      <w:pPr>
        <w:spacing w:line="240" w:lineRule="auto"/>
      </w:pPr>
      <w:r w:rsidRPr="00AC73D8">
        <w:rPr>
          <w:color w:val="000000" w:themeColor="text1"/>
        </w:rPr>
        <w:t xml:space="preserve">KRC Research, a contracted research firm, will conduct all data collection related to </w:t>
      </w:r>
      <w:r>
        <w:rPr>
          <w:color w:val="000000" w:themeColor="text1"/>
        </w:rPr>
        <w:t>this initiative</w:t>
      </w:r>
      <w:r w:rsidRPr="00AC73D8">
        <w:rPr>
          <w:color w:val="000000" w:themeColor="text1"/>
        </w:rPr>
        <w:t>, under the supervision of</w:t>
      </w:r>
      <w:r w:rsidR="002F2334">
        <w:rPr>
          <w:color w:val="000000" w:themeColor="text1"/>
        </w:rPr>
        <w:t xml:space="preserve"> DFWED</w:t>
      </w:r>
      <w:r w:rsidRPr="00AC73D8">
        <w:rPr>
          <w:color w:val="000000" w:themeColor="text1"/>
        </w:rPr>
        <w:t xml:space="preserve">. KRC’s data collection will include recruiting and screening participants into the project and conducting </w:t>
      </w:r>
      <w:r w:rsidR="002C71D8">
        <w:rPr>
          <w:color w:val="000000" w:themeColor="text1"/>
        </w:rPr>
        <w:t>three</w:t>
      </w:r>
      <w:r w:rsidRPr="00AC73D8">
        <w:rPr>
          <w:color w:val="000000" w:themeColor="text1"/>
        </w:rPr>
        <w:t xml:space="preserve"> </w:t>
      </w:r>
      <w:r>
        <w:rPr>
          <w:color w:val="000000" w:themeColor="text1"/>
        </w:rPr>
        <w:t>90</w:t>
      </w:r>
      <w:r w:rsidRPr="00AC73D8">
        <w:rPr>
          <w:color w:val="000000" w:themeColor="text1"/>
        </w:rPr>
        <w:t>-</w:t>
      </w:r>
      <w:r w:rsidRPr="00A824A9">
        <w:t>minute-long online focus groups with healthcare providers. This data collection will happen once; it is not recurring.</w:t>
      </w:r>
    </w:p>
    <w:p w:rsidR="00E23514" w:rsidRPr="00A824A9" w:rsidP="002F2334" w14:paraId="4594B665" w14:textId="060B243D">
      <w:pPr>
        <w:spacing w:line="240" w:lineRule="auto"/>
        <w:rPr>
          <w:i/>
          <w:iCs/>
        </w:rPr>
      </w:pPr>
      <w:r w:rsidRPr="00A824A9">
        <w:rPr>
          <w:i/>
          <w:iCs/>
        </w:rPr>
        <w:t>Audience Rationale</w:t>
      </w:r>
    </w:p>
    <w:p w:rsidR="00E23514" w:rsidRPr="00A824A9" w:rsidP="002F2334" w14:paraId="336B2877" w14:textId="3C00E902">
      <w:pPr>
        <w:spacing w:line="240" w:lineRule="auto"/>
      </w:pPr>
      <w:r w:rsidRPr="00A824A9">
        <w:t xml:space="preserve">This data collection is based on focus groups of healthcare providers. </w:t>
      </w:r>
      <w:r w:rsidRPr="00A824A9">
        <w:t>In particular, it</w:t>
      </w:r>
      <w:r w:rsidRPr="00A824A9">
        <w:t xml:space="preserve"> focuses on infectious disease (ID) physicians and hospital or ID pharmacists. These audiences have been selected because fungal disease treatment and drug administration fall within their purview, and they are expert audiences that are most involved in TDM for their patients. Physicians and pharmacists play somewhat different roles, and part of the rationale for the inclusion of both audiences is the intent to learn about how their roles overlap and complement each other during the practice of TDM. </w:t>
      </w:r>
    </w:p>
    <w:p w:rsidR="00E23514" w:rsidRPr="00A824A9" w:rsidP="002F2334" w14:paraId="79734999" w14:textId="6E021415">
      <w:pPr>
        <w:spacing w:line="240" w:lineRule="auto"/>
        <w:rPr>
          <w:i/>
          <w:iCs/>
        </w:rPr>
      </w:pPr>
      <w:r w:rsidRPr="00A824A9">
        <w:rPr>
          <w:i/>
          <w:iCs/>
        </w:rPr>
        <w:t>Description of Instruments</w:t>
      </w:r>
    </w:p>
    <w:p w:rsidR="00A824A9" w:rsidRPr="00A824A9" w:rsidP="002F2334" w14:paraId="055C94D1" w14:textId="47FC0CAA">
      <w:pPr>
        <w:spacing w:line="240" w:lineRule="auto"/>
      </w:pPr>
      <w:r w:rsidRPr="00A824A9">
        <w:t xml:space="preserve">This data collection involves </w:t>
      </w:r>
      <w:r w:rsidRPr="00A824A9">
        <w:t>online focus groups. The instruments involved include a screening questionnaire</w:t>
      </w:r>
      <w:r w:rsidR="008110D2">
        <w:t xml:space="preserve"> (Attachment 1)</w:t>
      </w:r>
      <w:r w:rsidRPr="00A824A9">
        <w:t>, a consent form</w:t>
      </w:r>
      <w:r w:rsidR="008110D2">
        <w:t xml:space="preserve"> (Attachment 2)</w:t>
      </w:r>
      <w:r w:rsidRPr="00A824A9">
        <w:t>, and a focus group moderator guide</w:t>
      </w:r>
      <w:r w:rsidR="008110D2">
        <w:t xml:space="preserve"> (Attachment 3)</w:t>
      </w:r>
      <w:r w:rsidRPr="00A824A9">
        <w:t xml:space="preserve">. The screening questionnaire has two primary purposes: (1) to ensure the proper </w:t>
      </w:r>
      <w:r w:rsidRPr="00A824A9">
        <w:t>qualifications for those who participate in the focus groups, and (2) to ensure a balance of included participants based on demographic and healthcare-related variables. The consent form is designed to ensure qualified participants are aware of key information about the group, such as privacy and the voluntary nature of the conversations. The moderator guide will be used by a trained KRC Research focus group moderator to direct the conversation and keep it on track.</w:t>
      </w:r>
    </w:p>
    <w:p w:rsidR="00A824A9" w:rsidP="002F2334" w14:paraId="72D68725" w14:textId="1DE00608">
      <w:pPr>
        <w:spacing w:line="240" w:lineRule="auto"/>
        <w:rPr>
          <w:i/>
          <w:iCs/>
        </w:rPr>
      </w:pPr>
      <w:r w:rsidRPr="00A824A9">
        <w:rPr>
          <w:i/>
          <w:iCs/>
        </w:rPr>
        <w:t>Consequences of Not Collecting</w:t>
      </w:r>
      <w:r>
        <w:rPr>
          <w:i/>
          <w:iCs/>
        </w:rPr>
        <w:t xml:space="preserve"> Information</w:t>
      </w:r>
    </w:p>
    <w:p w:rsidR="00A824A9" w:rsidRPr="00A824A9" w:rsidP="002F2334" w14:paraId="551CE890" w14:textId="470A9EEB">
      <w:pPr>
        <w:spacing w:line="240" w:lineRule="auto"/>
      </w:pPr>
      <w:r>
        <w:t xml:space="preserve">This data collection is necessary to ensure DFWED communications initiatives are based on information gathered directly from the intended audience. If this collection were not to be carried out, DFWED would not have timely, nuanced information about TDM barriers and information needs of its priority audiences. </w:t>
      </w:r>
      <w:r w:rsidR="007438CC">
        <w:t xml:space="preserve">Communications efforts that are not based on research may be ineffective and the CDC resources used </w:t>
      </w:r>
      <w:r w:rsidRPr="0074562B" w:rsidR="0074562B">
        <w:t>may not be used efficiently, may not reach intended populations, or may reach populations with uninformed outreach strategies</w:t>
      </w:r>
      <w:r w:rsidR="007438CC">
        <w:t>. By conducting this data collection, DFWED will have a much clearer understanding of TDM barriers, questions, and provider needs to overcome and answer them.</w:t>
      </w:r>
    </w:p>
    <w:p w:rsidR="004A13E8" w:rsidP="002F2334" w14:paraId="55FE17B9" w14:textId="77777777">
      <w:pPr>
        <w:pStyle w:val="Heading1"/>
      </w:pPr>
      <w:bookmarkStart w:id="5" w:name="_Toc473880019"/>
      <w:r>
        <w:t>Use of Improved Information Technology and Burden Reduction</w:t>
      </w:r>
      <w:bookmarkEnd w:id="5"/>
    </w:p>
    <w:p w:rsidR="003172CD" w:rsidP="002F2334" w14:paraId="50F9D768" w14:textId="6B99D308">
      <w:pPr>
        <w:pStyle w:val="BodyText1"/>
        <w:jc w:val="both"/>
        <w:rPr>
          <w:rFonts w:cs="Times New Roman"/>
          <w:szCs w:val="24"/>
          <w:lang w:val="en-US"/>
        </w:rPr>
      </w:pPr>
      <w:r>
        <w:rPr>
          <w:rFonts w:cs="Times New Roman"/>
          <w:szCs w:val="24"/>
        </w:rPr>
        <w:t>Data will be collected via</w:t>
      </w:r>
      <w:r>
        <w:rPr>
          <w:rFonts w:cs="Times New Roman"/>
          <w:szCs w:val="24"/>
          <w:lang w:val="en-US"/>
        </w:rPr>
        <w:t xml:space="preserve"> online focus groups through a web-based platform</w:t>
      </w:r>
      <w:r w:rsidRPr="00C45270">
        <w:rPr>
          <w:rFonts w:cs="Times New Roman"/>
          <w:szCs w:val="24"/>
          <w:lang w:val="en-US"/>
        </w:rPr>
        <w:t>,</w:t>
      </w:r>
      <w:r>
        <w:rPr>
          <w:rFonts w:cs="Times New Roman"/>
          <w:szCs w:val="24"/>
          <w:lang w:val="en-US"/>
        </w:rPr>
        <w:t xml:space="preserve"> </w:t>
      </w:r>
      <w:r w:rsidRPr="00C45270">
        <w:rPr>
          <w:rFonts w:cs="Times New Roman"/>
          <w:szCs w:val="24"/>
          <w:lang w:val="en-US"/>
        </w:rPr>
        <w:t>meaning</w:t>
      </w:r>
      <w:r>
        <w:rPr>
          <w:rFonts w:cs="Times New Roman"/>
          <w:szCs w:val="24"/>
          <w:lang w:val="en-US"/>
        </w:rPr>
        <w:t xml:space="preserve"> t</w:t>
      </w:r>
      <w:r w:rsidRPr="00C45270">
        <w:rPr>
          <w:rFonts w:cs="Times New Roman"/>
          <w:szCs w:val="24"/>
          <w:lang w:val="en-US"/>
        </w:rPr>
        <w:t xml:space="preserve">hat participants </w:t>
      </w:r>
      <w:r>
        <w:rPr>
          <w:rFonts w:cs="Times New Roman"/>
          <w:szCs w:val="24"/>
          <w:lang w:val="en-US"/>
        </w:rPr>
        <w:t xml:space="preserve">will not have </w:t>
      </w:r>
      <w:r w:rsidRPr="00C45270">
        <w:rPr>
          <w:rFonts w:cs="Times New Roman"/>
          <w:szCs w:val="24"/>
          <w:lang w:val="en-US"/>
        </w:rPr>
        <w:t>to download anything to their personal devices (participants need only to have an internet connection)</w:t>
      </w:r>
      <w:r w:rsidR="00632C10">
        <w:rPr>
          <w:rFonts w:cs="Times New Roman"/>
          <w:szCs w:val="24"/>
          <w:lang w:val="en-US"/>
        </w:rPr>
        <w:t xml:space="preserve"> and participants, CDC, and its contractor KRC Research do not need to travel</w:t>
      </w:r>
      <w:r w:rsidRPr="00C45270">
        <w:rPr>
          <w:rFonts w:cs="Times New Roman"/>
          <w:szCs w:val="24"/>
          <w:lang w:val="en-US"/>
        </w:rPr>
        <w:t>.</w:t>
      </w:r>
      <w:r>
        <w:rPr>
          <w:rFonts w:cs="Times New Roman"/>
          <w:szCs w:val="24"/>
          <w:lang w:val="en-US"/>
        </w:rPr>
        <w:t xml:space="preserve"> All focus groups will be conducted by professional moderators from KRC Research, a contracted company. All </w:t>
      </w:r>
      <w:r w:rsidR="00D609A0">
        <w:rPr>
          <w:rFonts w:cs="Times New Roman"/>
          <w:szCs w:val="24"/>
          <w:lang w:val="en-US"/>
        </w:rPr>
        <w:t>focus groups</w:t>
      </w:r>
      <w:r w:rsidRPr="00B6449E">
        <w:rPr>
          <w:rFonts w:cs="Times New Roman"/>
          <w:szCs w:val="24"/>
        </w:rPr>
        <w:t xml:space="preserve"> </w:t>
      </w:r>
      <w:r w:rsidRPr="00941542">
        <w:rPr>
          <w:rFonts w:cs="Times New Roman"/>
          <w:szCs w:val="24"/>
        </w:rPr>
        <w:t xml:space="preserve">will be </w:t>
      </w:r>
      <w:r w:rsidRPr="00144D4A">
        <w:rPr>
          <w:rFonts w:cs="Times New Roman"/>
          <w:szCs w:val="24"/>
          <w:lang w:val="en-US"/>
        </w:rPr>
        <w:t xml:space="preserve">audio </w:t>
      </w:r>
      <w:r>
        <w:rPr>
          <w:rFonts w:cs="Times New Roman"/>
          <w:szCs w:val="24"/>
          <w:lang w:val="en-US"/>
        </w:rPr>
        <w:t xml:space="preserve">and video </w:t>
      </w:r>
      <w:r w:rsidRPr="00144D4A">
        <w:rPr>
          <w:rFonts w:cs="Times New Roman"/>
          <w:szCs w:val="24"/>
        </w:rPr>
        <w:t>recorded to ensure participant responses are captured accurately</w:t>
      </w:r>
      <w:r>
        <w:rPr>
          <w:rFonts w:cs="Times New Roman"/>
          <w:szCs w:val="24"/>
          <w:lang w:val="en-US"/>
        </w:rPr>
        <w:t xml:space="preserve"> and transcribed</w:t>
      </w:r>
      <w:r w:rsidRPr="00144D4A">
        <w:rPr>
          <w:rFonts w:cs="Times New Roman"/>
          <w:szCs w:val="24"/>
        </w:rPr>
        <w:t xml:space="preserve">. </w:t>
      </w:r>
      <w:r w:rsidRPr="00144D4A">
        <w:rPr>
          <w:rFonts w:cs="Times New Roman"/>
          <w:szCs w:val="24"/>
          <w:lang w:val="en-US"/>
        </w:rPr>
        <w:t xml:space="preserve">Questions included on the </w:t>
      </w:r>
      <w:r w:rsidR="00D609A0">
        <w:rPr>
          <w:rFonts w:cs="Times New Roman"/>
          <w:szCs w:val="24"/>
          <w:lang w:val="en-US"/>
        </w:rPr>
        <w:t>focus group</w:t>
      </w:r>
      <w:r w:rsidRPr="00144D4A">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A13E8" w:rsidP="002F2334" w14:paraId="55FE17BC" w14:textId="77777777">
      <w:pPr>
        <w:pStyle w:val="Heading1"/>
      </w:pPr>
      <w:bookmarkStart w:id="6" w:name="_Toc473880020"/>
      <w:r>
        <w:t>Efforts to Identify Duplication and Use of Similar Information</w:t>
      </w:r>
      <w:bookmarkEnd w:id="6"/>
    </w:p>
    <w:p w:rsidR="000D3799" w:rsidP="002F2334" w14:paraId="5510A239" w14:textId="09AAD561">
      <w:pPr>
        <w:spacing w:line="240" w:lineRule="auto"/>
      </w:pPr>
      <w:r>
        <w:t>To date, there has been little formative qualitative evaluation exploring the perceptions, attitudes, and information needs of infectious disease physicians and pharmacists as it relates to antifungal therapeutic drug monitoring.</w:t>
      </w:r>
      <w:r w:rsidR="00632C10">
        <w:t xml:space="preserve"> This data collection </w:t>
      </w:r>
      <w:r w:rsidRPr="00632C10">
        <w:t xml:space="preserve">builds upon </w:t>
      </w:r>
      <w:r w:rsidRPr="00632C10" w:rsidR="00651B51">
        <w:t xml:space="preserve">several </w:t>
      </w:r>
      <w:r w:rsidRPr="00632C10" w:rsidR="003172CD">
        <w:t>quantitative assessments of TDM</w:t>
      </w:r>
      <w:r w:rsidR="00632C10">
        <w:t xml:space="preserve">; these assessments have limited their scope to evaluating extent to which TDM is practiced and enumeration of barriers that exist. However, no information has been collected that </w:t>
      </w:r>
      <w:r w:rsidR="004A2015">
        <w:t>focuses on perceptions, steps to overcome barriers or challenges, information or resource needs, and other topics covered by this proposed collection</w:t>
      </w:r>
      <w:r w:rsidR="00190555">
        <w:t>—particularly as those topics relate to the development and improvement of CDC communications.</w:t>
      </w:r>
    </w:p>
    <w:p w:rsidR="00DC57CC" w:rsidP="002F2334" w14:paraId="55FE17BF" w14:textId="77777777">
      <w:pPr>
        <w:pStyle w:val="Heading1"/>
      </w:pPr>
      <w:bookmarkStart w:id="7" w:name="_Toc473880021"/>
      <w:r>
        <w:t>Impact on Small Businesses or Other Small Entities</w:t>
      </w:r>
      <w:bookmarkEnd w:id="7"/>
    </w:p>
    <w:p w:rsidR="004A13E8" w:rsidP="002F2334" w14:paraId="55FE17C0" w14:textId="77777777">
      <w:pPr>
        <w:spacing w:line="240" w:lineRule="auto"/>
      </w:pPr>
      <w:r>
        <w:t>This data collection wi</w:t>
      </w:r>
      <w:r w:rsidR="001523DF">
        <w:t>ll not involve small businesses.</w:t>
      </w:r>
    </w:p>
    <w:p w:rsidR="004A13E8" w:rsidP="002F2334" w14:paraId="55FE17C3" w14:textId="77777777">
      <w:pPr>
        <w:pStyle w:val="Heading1"/>
      </w:pPr>
      <w:bookmarkStart w:id="8" w:name="_Toc473880022"/>
      <w:r>
        <w:t>Consequences of Collecting the Information Less Frequently</w:t>
      </w:r>
      <w:bookmarkEnd w:id="8"/>
    </w:p>
    <w:p w:rsidR="00E21144" w:rsidP="002F2334" w14:paraId="450DA76B" w14:textId="67CC9E82">
      <w:pPr>
        <w:spacing w:line="240" w:lineRule="auto"/>
      </w:pPr>
      <w:r>
        <w:t>This is a one-time information collection.</w:t>
      </w:r>
    </w:p>
    <w:p w:rsidR="004A13E8" w:rsidP="002F2334" w14:paraId="55FE17C6" w14:textId="77777777">
      <w:pPr>
        <w:pStyle w:val="Heading1"/>
      </w:pPr>
      <w:bookmarkStart w:id="9" w:name="_Toc473880023"/>
      <w:r>
        <w:t>Special Circumstances Relating to the Guidelines of 5 CFR 1320.5</w:t>
      </w:r>
      <w:bookmarkEnd w:id="9"/>
    </w:p>
    <w:p w:rsidR="004A13E8" w:rsidRPr="004A13E8" w:rsidP="002F2334" w14:paraId="55FE17C7" w14:textId="77777777">
      <w:pPr>
        <w:spacing w:line="240" w:lineRule="auto"/>
      </w:pPr>
      <w:r>
        <w:t>This request fully complies with the regulation 5 CFR 1320.5.</w:t>
      </w:r>
    </w:p>
    <w:p w:rsidR="004A13E8" w:rsidP="002F2334" w14:paraId="55FE17C8" w14:textId="77777777">
      <w:pPr>
        <w:pStyle w:val="Heading1"/>
      </w:pPr>
      <w:bookmarkStart w:id="10" w:name="_Toc473880024"/>
      <w:r>
        <w:t>Comments in Response to the Federal Register Notice and Efforts to Consult Outside the Agency</w:t>
      </w:r>
      <w:bookmarkEnd w:id="10"/>
    </w:p>
    <w:p w:rsidR="004A13E8" w:rsidP="002F2334" w14:paraId="55FE17C9" w14:textId="1C3A0BB0">
      <w:pPr>
        <w:spacing w:line="240" w:lineRule="auto"/>
      </w:pPr>
      <w:r w:rsidRPr="001C646A">
        <w:rPr>
          <w:u w:val="single"/>
        </w:rPr>
        <w:t>A.</w:t>
      </w:r>
      <w:r>
        <w:t xml:space="preserve"> </w:t>
      </w:r>
      <w:r w:rsidR="00E21144">
        <w:t>A</w:t>
      </w:r>
      <w:r w:rsidRPr="00E21144" w:rsidR="00E21144">
        <w:t xml:space="preserve"> </w:t>
      </w:r>
      <w:r w:rsidRPr="00E21144" w:rsidR="00E21144">
        <w:rPr>
          <w:i/>
        </w:rPr>
        <w:t>Federal Register</w:t>
      </w:r>
      <w:r w:rsidRPr="00E21144" w:rsidR="00E21144">
        <w:t xml:space="preserve"> notice was published for this</w:t>
      </w:r>
      <w:r w:rsidR="00E21144">
        <w:t xml:space="preserve"> generic package</w:t>
      </w:r>
      <w:r w:rsidRPr="00E21144" w:rsidR="00E21144">
        <w:t xml:space="preserve"> on July </w:t>
      </w:r>
      <w:r w:rsidR="008110D2">
        <w:t>22</w:t>
      </w:r>
      <w:r w:rsidRPr="00E21144" w:rsidR="00E21144">
        <w:t xml:space="preserve">, </w:t>
      </w:r>
      <w:r w:rsidR="008110D2">
        <w:t>2022</w:t>
      </w:r>
      <w:r w:rsidRPr="00E21144" w:rsidR="00E21144">
        <w:t>, Vol. 8</w:t>
      </w:r>
      <w:r w:rsidR="008110D2">
        <w:t>7</w:t>
      </w:r>
      <w:r w:rsidRPr="00E21144" w:rsidR="00E21144">
        <w:t>, No. 1</w:t>
      </w:r>
      <w:r w:rsidR="008110D2">
        <w:t>40</w:t>
      </w:r>
      <w:r w:rsidRPr="00E21144" w:rsidR="00E21144">
        <w:t>, pp. 4</w:t>
      </w:r>
      <w:r w:rsidR="008110D2">
        <w:t>3860</w:t>
      </w:r>
      <w:r w:rsidRPr="00E21144" w:rsidR="00E21144">
        <w:t xml:space="preserve">. No public comments were received.  </w:t>
      </w:r>
    </w:p>
    <w:p w:rsidR="004A13E8" w:rsidRPr="004A13E8" w:rsidP="002F2334" w14:paraId="55FE17CA" w14:textId="55EEF72A">
      <w:pPr>
        <w:spacing w:line="240" w:lineRule="auto"/>
      </w:pPr>
      <w:r w:rsidRPr="001C646A">
        <w:rPr>
          <w:u w:val="single"/>
        </w:rPr>
        <w:t>B.</w:t>
      </w:r>
      <w:r>
        <w:t xml:space="preserve"> </w:t>
      </w:r>
      <w:r w:rsidRPr="000D3799" w:rsidR="000D3799">
        <w:t xml:space="preserve">KRC Research, a contracted research firm, has been consulted in the development of the research plan, sampling parameters, and </w:t>
      </w:r>
      <w:r w:rsidR="000D3799">
        <w:t>focus group</w:t>
      </w:r>
      <w:r w:rsidRPr="000D3799" w:rsidR="000D3799">
        <w:t xml:space="preserve"> guide. Under the supervision of </w:t>
      </w:r>
      <w:r w:rsidR="000D3799">
        <w:t>DFWED</w:t>
      </w:r>
      <w:r w:rsidRPr="000D3799" w:rsidR="000D3799">
        <w:t xml:space="preserve">, KRC will ultimately conduct all data collection related to the proposed evaluation. </w:t>
      </w:r>
      <w:r w:rsidRPr="0003695E" w:rsidR="000D3799">
        <w:t xml:space="preserve">Data collection will include recruiting and screening participants into the formative research, and conducting three </w:t>
      </w:r>
      <w:r w:rsidRPr="0003695E" w:rsidR="000D3799">
        <w:t>90-minute long</w:t>
      </w:r>
      <w:r w:rsidRPr="0003695E" w:rsidR="000D3799">
        <w:t xml:space="preserve"> online focus groups with </w:t>
      </w:r>
      <w:r w:rsidR="0003695E">
        <w:t>ID</w:t>
      </w:r>
      <w:r w:rsidR="000D3799">
        <w:t xml:space="preserve"> physicians and </w:t>
      </w:r>
      <w:r w:rsidR="0003695E">
        <w:t>hos</w:t>
      </w:r>
      <w:r w:rsidR="000D3799">
        <w:t>p</w:t>
      </w:r>
      <w:r w:rsidR="0003695E">
        <w:t>ital and ID p</w:t>
      </w:r>
      <w:r w:rsidR="000D3799">
        <w:t>harmacists.</w:t>
      </w:r>
    </w:p>
    <w:p w:rsidR="004A13E8" w:rsidP="002F2334" w14:paraId="55FE17CB" w14:textId="77777777">
      <w:pPr>
        <w:pStyle w:val="Heading1"/>
      </w:pPr>
      <w:bookmarkStart w:id="11" w:name="_Toc473880025"/>
      <w:r>
        <w:t>Explanation of Any Payment or Gift to Respondents</w:t>
      </w:r>
      <w:bookmarkEnd w:id="11"/>
    </w:p>
    <w:p w:rsidR="00D609A0" w:rsidRPr="002F2334" w:rsidP="002F2334" w14:paraId="610D09B2" w14:textId="634338DB">
      <w:pPr>
        <w:spacing w:line="240" w:lineRule="auto"/>
      </w:pPr>
      <w:bookmarkStart w:id="12" w:name="_Toc473880026"/>
      <w:r w:rsidRPr="002F2334">
        <w:t>Focus group participants will receive a monetary incentive of $75 for their participation. Such an incentive is a standard practice in the market research industry and helps to ensure efficient recruitment and ultimate participation among the qualified and scheduled participants. The amount is also standard for a specialized healthcare provider audience participating in a 90-minute</w:t>
      </w:r>
      <w:r w:rsidR="008140F2">
        <w:t xml:space="preserve"> online</w:t>
      </w:r>
      <w:r w:rsidRPr="002F2334">
        <w:t xml:space="preserve"> interview. The incentive is also intended to offset the cost of personal or professional time taken to participate.</w:t>
      </w:r>
    </w:p>
    <w:p w:rsidR="004A13E8" w:rsidP="002F2334" w14:paraId="55FE17CD" w14:textId="77777777">
      <w:pPr>
        <w:pStyle w:val="Heading1"/>
      </w:pPr>
      <w:r>
        <w:t>Protection of the Privacy and Confidentiality of Information Provided by Respondents</w:t>
      </w:r>
      <w:bookmarkEnd w:id="12"/>
    </w:p>
    <w:p w:rsidR="00163761" w:rsidP="002F2334" w14:paraId="09B80F63" w14:textId="260C1A56">
      <w:pPr>
        <w:spacing w:line="240" w:lineRule="auto"/>
      </w:pPr>
      <w:bookmarkStart w:id="13" w:name="_Toc473880027"/>
      <w:r w:rsidRPr="00163761">
        <w:t>NCEZID</w:t>
      </w:r>
      <w:r>
        <w:t xml:space="preserve"> has</w:t>
      </w:r>
      <w:r w:rsidRPr="00163761">
        <w:t xml:space="preserve"> reviewed this submission and determined that the Privacy Act does</w:t>
      </w:r>
      <w:r>
        <w:t xml:space="preserve"> </w:t>
      </w:r>
      <w:r w:rsidRPr="00163761">
        <w:t>not apply.</w:t>
      </w:r>
    </w:p>
    <w:p w:rsidR="00D609A0" w:rsidRPr="00144D4A" w:rsidP="002F2334" w14:paraId="6DA2ED1A" w14:textId="195E8557">
      <w:pPr>
        <w:spacing w:line="240" w:lineRule="auto"/>
        <w:rPr>
          <w:rFonts w:cs="Times New Roman"/>
        </w:rPr>
      </w:pPr>
      <w:r w:rsidRPr="006C4E11">
        <w:rPr>
          <w:rFonts w:cs="Times New Roman"/>
        </w:rPr>
        <w:t xml:space="preserve">KRC Research, a contracted firm, will manage recruitment and </w:t>
      </w:r>
      <w:r w:rsidR="009E77F3">
        <w:rPr>
          <w:rFonts w:cs="Times New Roman"/>
        </w:rPr>
        <w:t>execution</w:t>
      </w:r>
      <w:r w:rsidRPr="006C4E11">
        <w:rPr>
          <w:rFonts w:cs="Times New Roman"/>
        </w:rPr>
        <w:t xml:space="preserve"> for this </w:t>
      </w:r>
      <w:r w:rsidR="00163761">
        <w:rPr>
          <w:rFonts w:cs="Times New Roman"/>
        </w:rPr>
        <w:t>evaluation</w:t>
      </w:r>
      <w:r w:rsidRPr="006C4E11">
        <w:rPr>
          <w:rFonts w:cs="Times New Roman"/>
        </w:rPr>
        <w:t xml:space="preserve">, and PII will not be </w:t>
      </w:r>
      <w:r w:rsidRPr="002F2334">
        <w:t>transmitted</w:t>
      </w:r>
      <w:r w:rsidRPr="006C4E11">
        <w:rPr>
          <w:rFonts w:cs="Times New Roman"/>
        </w:rPr>
        <w:t xml:space="preserve"> to NCEZID</w:t>
      </w:r>
      <w:r w:rsidR="00163761">
        <w:rPr>
          <w:rFonts w:cs="Times New Roman"/>
        </w:rPr>
        <w:t>/DFWED</w:t>
      </w:r>
      <w:r w:rsidRPr="006C4E11">
        <w:rPr>
          <w:rFonts w:cs="Times New Roman"/>
        </w:rPr>
        <w:t xml:space="preserve"> or </w:t>
      </w:r>
      <w:r w:rsidR="00163761">
        <w:rPr>
          <w:rFonts w:cs="Times New Roman"/>
        </w:rPr>
        <w:t xml:space="preserve">anyone at </w:t>
      </w:r>
      <w:r w:rsidRPr="006C4E11">
        <w:rPr>
          <w:rFonts w:cs="Times New Roman"/>
        </w:rPr>
        <w:t>CDC.</w:t>
      </w:r>
    </w:p>
    <w:p w:rsidR="00D609A0" w:rsidP="002F2334" w14:paraId="237F543A" w14:textId="68B903F1">
      <w:pPr>
        <w:spacing w:line="240" w:lineRule="auto"/>
        <w:rPr>
          <w:rFonts w:cs="Times New Roman"/>
        </w:rPr>
      </w:pPr>
      <w:r w:rsidRPr="00067A25">
        <w:rPr>
          <w:rFonts w:cs="Times New Roman"/>
        </w:rPr>
        <w:t>This screening instrument</w:t>
      </w:r>
      <w:r w:rsidR="00163761">
        <w:rPr>
          <w:rFonts w:cs="Times New Roman"/>
        </w:rPr>
        <w:t xml:space="preserve">, Attachment 1, </w:t>
      </w:r>
      <w:r w:rsidRPr="00067A25">
        <w:rPr>
          <w:rFonts w:cs="Times New Roman"/>
        </w:rPr>
        <w:t xml:space="preserve">will be used to evaluate the qualification of potential </w:t>
      </w:r>
      <w:r>
        <w:rPr>
          <w:rFonts w:cs="Times New Roman"/>
        </w:rPr>
        <w:t>focus group</w:t>
      </w:r>
      <w:r w:rsidRPr="00067A25">
        <w:rPr>
          <w:rFonts w:cs="Times New Roman"/>
        </w:rPr>
        <w:t xml:space="preserve"> participants. </w:t>
      </w:r>
      <w:r>
        <w:rPr>
          <w:rFonts w:cs="Times New Roman"/>
        </w:rPr>
        <w:t>The screening instrument includes information about privacy and confidentiality; only those individuals who agree to these terms will qualify for participation in focus groups. After an individual agrees to the terms and has qualified for focus group scheduling, they will be given a separate consent form</w:t>
      </w:r>
      <w:r w:rsidR="006C4E11">
        <w:rPr>
          <w:rFonts w:cs="Times New Roman"/>
        </w:rPr>
        <w:t xml:space="preserve">, Attachment 2, </w:t>
      </w:r>
      <w:r>
        <w:rPr>
          <w:rFonts w:cs="Times New Roman"/>
        </w:rPr>
        <w:t xml:space="preserve">that reiterates privacy and confidentiality policies. The participant will be required to sign the form (electronic submission is allowed) and deliver a copy to the recruiting and moderating team. The participant will be reminded that </w:t>
      </w:r>
      <w:r w:rsidRPr="002F2334">
        <w:t>participation</w:t>
      </w:r>
      <w:r>
        <w:rPr>
          <w:rFonts w:cs="Times New Roman"/>
        </w:rPr>
        <w:t xml:space="preserve"> is entirely voluntary.</w:t>
      </w:r>
    </w:p>
    <w:p w:rsidR="00D609A0" w:rsidP="002F2334" w14:paraId="2FC0FAB9" w14:textId="120600CC">
      <w:pPr>
        <w:pStyle w:val="BodyText"/>
        <w:spacing w:after="0" w:line="240" w:lineRule="auto"/>
        <w:jc w:val="both"/>
        <w:rPr>
          <w:rFonts w:cs="Times New Roman"/>
        </w:rPr>
      </w:pPr>
      <w:r>
        <w:rPr>
          <w:rFonts w:cs="Times New Roman"/>
        </w:rPr>
        <w:t xml:space="preserve">After the consent form is signed, participants will confirm their focus group slots. </w:t>
      </w:r>
      <w:r w:rsidRPr="00144D4A">
        <w:rPr>
          <w:rFonts w:cs="Times New Roman"/>
        </w:rPr>
        <w:t xml:space="preserve">During the introduction to </w:t>
      </w:r>
      <w:r>
        <w:rPr>
          <w:rFonts w:cs="Times New Roman"/>
        </w:rPr>
        <w:t>each</w:t>
      </w:r>
      <w:r w:rsidRPr="00144D4A">
        <w:rPr>
          <w:rFonts w:cs="Times New Roman"/>
        </w:rPr>
        <w:t xml:space="preserve"> </w:t>
      </w:r>
      <w:r>
        <w:rPr>
          <w:rFonts w:cs="Times New Roman"/>
        </w:rPr>
        <w:t>focus group</w:t>
      </w:r>
      <w:r w:rsidRPr="00144D4A">
        <w:rPr>
          <w:rFonts w:cs="Times New Roman"/>
        </w:rPr>
        <w:t xml:space="preserve">, the </w:t>
      </w:r>
      <w:r>
        <w:rPr>
          <w:rFonts w:cs="Times New Roman"/>
        </w:rPr>
        <w:t>trained moderator</w:t>
      </w:r>
      <w:r w:rsidRPr="00144D4A">
        <w:rPr>
          <w:rFonts w:cs="Times New Roman"/>
        </w:rPr>
        <w:t xml:space="preserve"> will review key parts of the </w:t>
      </w:r>
      <w:r>
        <w:rPr>
          <w:rFonts w:cs="Times New Roman"/>
        </w:rPr>
        <w:t>privacy and confidentiality agreement</w:t>
      </w:r>
      <w:r w:rsidR="009E77F3">
        <w:rPr>
          <w:rFonts w:cs="Times New Roman"/>
        </w:rPr>
        <w:t>, including</w:t>
      </w:r>
      <w:r w:rsidRPr="00144D4A">
        <w:rPr>
          <w:rFonts w:cs="Times New Roman"/>
        </w:rPr>
        <w:t xml:space="preserve">: </w:t>
      </w:r>
    </w:p>
    <w:p w:rsidR="00D609A0" w:rsidRPr="00144D4A" w:rsidP="002F2334" w14:paraId="195F63ED" w14:textId="77777777">
      <w:pPr>
        <w:pStyle w:val="BodyText"/>
        <w:spacing w:after="0" w:line="240" w:lineRule="auto"/>
        <w:jc w:val="both"/>
        <w:rPr>
          <w:rFonts w:cs="Times New Roman"/>
        </w:rPr>
      </w:pPr>
    </w:p>
    <w:p w:rsidR="009E77F3" w:rsidP="009E77F3" w14:paraId="02BCA391" w14:textId="360787DC">
      <w:pPr>
        <w:pStyle w:val="Bulletblank"/>
        <w:spacing w:line="240" w:lineRule="auto"/>
        <w:jc w:val="both"/>
      </w:pPr>
      <w:r w:rsidRPr="00144D4A">
        <w:t>Th</w:t>
      </w:r>
      <w:r>
        <w:t>e</w:t>
      </w:r>
      <w:r w:rsidRPr="00144D4A">
        <w:t xml:space="preserve"> discussion is completely voluntary. Participants </w:t>
      </w:r>
      <w:r>
        <w:t>do not have to join the focus group and do not have to answer any questions they are not comfortable with</w:t>
      </w:r>
      <w:r w:rsidRPr="00144D4A">
        <w:t xml:space="preserve">. </w:t>
      </w:r>
    </w:p>
    <w:p w:rsidR="009E77F3" w:rsidP="006D0A75" w14:paraId="7B29B95B" w14:textId="7A82A0C5">
      <w:pPr>
        <w:pStyle w:val="Bulletblank"/>
        <w:spacing w:line="240" w:lineRule="auto"/>
      </w:pPr>
      <w:r>
        <w:t>Only first names or preferred names will be used</w:t>
      </w:r>
      <w:r w:rsidRPr="009E77F3">
        <w:t xml:space="preserve"> during the conversation</w:t>
      </w:r>
      <w:r>
        <w:t>, and n</w:t>
      </w:r>
      <w:r w:rsidRPr="009E77F3">
        <w:t xml:space="preserve">othing </w:t>
      </w:r>
      <w:r>
        <w:t>participants</w:t>
      </w:r>
      <w:r w:rsidRPr="009E77F3">
        <w:t xml:space="preserve"> say</w:t>
      </w:r>
      <w:r>
        <w:t xml:space="preserve"> or do</w:t>
      </w:r>
      <w:r w:rsidRPr="009E77F3">
        <w:t xml:space="preserve"> will be reported in association with </w:t>
      </w:r>
      <w:r>
        <w:t>their</w:t>
      </w:r>
      <w:r w:rsidRPr="009E77F3">
        <w:t xml:space="preserve"> name</w:t>
      </w:r>
      <w:r>
        <w:t>s</w:t>
      </w:r>
      <w:r w:rsidRPr="009E77F3">
        <w:t xml:space="preserve">. </w:t>
      </w:r>
    </w:p>
    <w:p w:rsidR="00D609A0" w:rsidRPr="007709B3" w:rsidP="002F2334" w14:paraId="1CF6C2B4" w14:textId="3D5EDC5B">
      <w:pPr>
        <w:pStyle w:val="Bulletblank"/>
        <w:spacing w:line="240" w:lineRule="auto"/>
        <w:jc w:val="both"/>
      </w:pPr>
      <w:r w:rsidRPr="007709B3">
        <w:t>Discussions will be audio</w:t>
      </w:r>
      <w:r w:rsidR="009E77F3">
        <w:t xml:space="preserve"> and video </w:t>
      </w:r>
      <w:r w:rsidRPr="007709B3">
        <w:t>recorded and notes will be ta</w:t>
      </w:r>
      <w:r>
        <w:t xml:space="preserve">ken during the discussion. All </w:t>
      </w:r>
      <w:r w:rsidRPr="007709B3">
        <w:t xml:space="preserve">information, notes, and </w:t>
      </w:r>
      <w:r w:rsidR="009E77F3">
        <w:t>files will be kept</w:t>
      </w:r>
      <w:r w:rsidRPr="007709B3">
        <w:t xml:space="preserve"> </w:t>
      </w:r>
      <w:r w:rsidR="009E77F3">
        <w:t>on a secure server</w:t>
      </w:r>
      <w:r w:rsidRPr="007709B3">
        <w:t xml:space="preserve">. </w:t>
      </w:r>
      <w:r w:rsidR="004760A9">
        <w:t>Only KRC Research and the core DFWED team that manages the evaluation will have access to these files.</w:t>
      </w:r>
      <w:r w:rsidR="008140F2">
        <w:t xml:space="preserve"> </w:t>
      </w:r>
      <w:r w:rsidRPr="00304C37" w:rsidR="008140F2">
        <w:t>Files will be deleted within 30 days of CDC approval of the final report of findings.</w:t>
      </w:r>
    </w:p>
    <w:p w:rsidR="00D609A0" w:rsidP="002F2334" w14:paraId="4198394D" w14:textId="77777777">
      <w:pPr>
        <w:pStyle w:val="after-12"/>
        <w:spacing w:before="0" w:after="0" w:line="240" w:lineRule="auto"/>
        <w:ind w:firstLine="0"/>
        <w:jc w:val="both"/>
      </w:pPr>
    </w:p>
    <w:p w:rsidR="004A13E8" w:rsidP="002F2334" w14:paraId="55FE17D0" w14:textId="77777777">
      <w:pPr>
        <w:pStyle w:val="Heading1"/>
      </w:pPr>
      <w:r>
        <w:t>Institutional Review Board (IRB) and Justification for Sensitive Questions</w:t>
      </w:r>
      <w:bookmarkEnd w:id="13"/>
    </w:p>
    <w:p w:rsidR="004A13E8" w:rsidRPr="001C646A" w:rsidP="001C646A" w14:paraId="55FE17D1" w14:textId="79392E5F">
      <w:pPr>
        <w:pStyle w:val="ListParagraph"/>
        <w:numPr>
          <w:ilvl w:val="0"/>
          <w:numId w:val="12"/>
        </w:numPr>
        <w:spacing w:line="240" w:lineRule="auto"/>
      </w:pPr>
      <w:r w:rsidRPr="001C646A">
        <w:t>Institutional Review Board (IRB)</w:t>
      </w:r>
    </w:p>
    <w:p w:rsidR="004A13E8" w:rsidP="002F2334" w14:paraId="55FE17D2" w14:textId="1EEFA9E0">
      <w:pPr>
        <w:spacing w:line="240" w:lineRule="auto"/>
      </w:pPr>
      <w:r w:rsidRPr="006C4E11">
        <w:t xml:space="preserve">NCEZID’s Human Subjects Advisor has determined that information collection </w:t>
      </w:r>
      <w:r w:rsidRPr="006C4E11" w:rsidR="006C4E11">
        <w:t>i</w:t>
      </w:r>
      <w:r w:rsidRPr="006C4E11">
        <w:t>s no</w:t>
      </w:r>
      <w:r w:rsidRPr="006C4E11" w:rsidR="006C4E11">
        <w:t>t</w:t>
      </w:r>
      <w:r w:rsidRPr="006C4E11">
        <w:t xml:space="preserve"> research involving human subjects. IRB approval </w:t>
      </w:r>
      <w:r w:rsidRPr="006C4E11" w:rsidR="001E08A8">
        <w:t>is</w:t>
      </w:r>
      <w:r w:rsidRPr="006C4E11">
        <w:t xml:space="preserve"> no</w:t>
      </w:r>
      <w:r w:rsidRPr="006C4E11" w:rsidR="006C4E11">
        <w:t>t</w:t>
      </w:r>
      <w:r w:rsidRPr="006C4E11">
        <w:t xml:space="preserve"> required</w:t>
      </w:r>
      <w:r w:rsidRPr="006C4E11" w:rsidR="00D609A0">
        <w:t xml:space="preserve"> (Attachment </w:t>
      </w:r>
      <w:r w:rsidRPr="006C4E11" w:rsidR="006C4E11">
        <w:t>4</w:t>
      </w:r>
      <w:r w:rsidRPr="006C4E11" w:rsidR="00D609A0">
        <w:t>)</w:t>
      </w:r>
      <w:r w:rsidRPr="006C4E11">
        <w:t>.</w:t>
      </w:r>
    </w:p>
    <w:p w:rsidR="004A13E8" w:rsidRPr="001C646A" w:rsidP="001C646A" w14:paraId="55FE17D4" w14:textId="6CE30088">
      <w:pPr>
        <w:pStyle w:val="ListParagraph"/>
        <w:numPr>
          <w:ilvl w:val="0"/>
          <w:numId w:val="12"/>
        </w:numPr>
        <w:spacing w:line="240" w:lineRule="auto"/>
      </w:pPr>
      <w:r w:rsidRPr="001C646A">
        <w:t>Justification for Sensitive Questions</w:t>
      </w:r>
    </w:p>
    <w:p w:rsidR="00D609A0" w:rsidP="002F2334" w14:paraId="49A50C4D" w14:textId="4C424AC2">
      <w:pPr>
        <w:spacing w:after="0" w:line="240" w:lineRule="auto"/>
        <w:jc w:val="both"/>
        <w:rPr>
          <w:rFonts w:cs="Times New Roman"/>
        </w:rPr>
      </w:pPr>
      <w:bookmarkStart w:id="14" w:name="_Toc473880028"/>
      <w:r w:rsidRPr="003F4523">
        <w:rPr>
          <w:rFonts w:eastAsia="Times New Roman" w:cs="Times New Roman"/>
        </w:rPr>
        <w:t xml:space="preserve">All the questions asked in the </w:t>
      </w:r>
      <w:r>
        <w:rPr>
          <w:rFonts w:eastAsia="Times New Roman" w:cs="Times New Roman"/>
        </w:rPr>
        <w:t>interview</w:t>
      </w:r>
      <w:r w:rsidRPr="003F4523">
        <w:rPr>
          <w:rFonts w:eastAsia="Times New Roman" w:cs="Times New Roman"/>
        </w:rPr>
        <w:t xml:space="preserve">s will be non-sensitive in nature and focus </w:t>
      </w:r>
      <w:r w:rsidR="006969B7">
        <w:rPr>
          <w:rFonts w:eastAsia="Times New Roman" w:cs="Times New Roman"/>
        </w:rPr>
        <w:t xml:space="preserve">primarily </w:t>
      </w:r>
      <w:r>
        <w:rPr>
          <w:rFonts w:eastAsia="Times New Roman" w:cs="Times New Roman"/>
        </w:rPr>
        <w:t xml:space="preserve">on knowledge, attitudes, and </w:t>
      </w:r>
      <w:r w:rsidR="006969B7">
        <w:rPr>
          <w:rFonts w:eastAsia="Times New Roman" w:cs="Times New Roman"/>
        </w:rPr>
        <w:t>professional experiences with the practice of</w:t>
      </w:r>
      <w:r>
        <w:rPr>
          <w:rFonts w:eastAsia="Times New Roman" w:cs="Times New Roman"/>
        </w:rPr>
        <w:t xml:space="preserve"> TDM.</w:t>
      </w:r>
      <w:r w:rsidRPr="003F4523">
        <w:rPr>
          <w:rFonts w:eastAsia="Times New Roman" w:cs="Times New Roman"/>
        </w:rPr>
        <w:t xml:space="preserve"> All p</w:t>
      </w:r>
      <w:r w:rsidRPr="003F4523">
        <w:rPr>
          <w:rFonts w:cs="Times New Roman"/>
        </w:rPr>
        <w:t>articipants will be informed that they need not answer any question that makes them feel uncomfortable or that they simply do not wi</w:t>
      </w:r>
      <w:r>
        <w:rPr>
          <w:rFonts w:cs="Times New Roman"/>
        </w:rPr>
        <w:t>sh to answer.</w:t>
      </w:r>
    </w:p>
    <w:p w:rsidR="00D609A0" w:rsidP="002F2334" w14:paraId="1FB97B5B" w14:textId="77777777">
      <w:pPr>
        <w:spacing w:after="0" w:line="240" w:lineRule="auto"/>
        <w:jc w:val="both"/>
        <w:rPr>
          <w:rFonts w:cs="Times New Roman"/>
        </w:rPr>
      </w:pPr>
    </w:p>
    <w:p w:rsidR="004A13E8" w:rsidP="002F2334" w14:paraId="55FE17D7" w14:textId="77777777">
      <w:pPr>
        <w:pStyle w:val="Heading1"/>
      </w:pPr>
      <w:r>
        <w:t>Estimates of Annualized Burden Hours and Costs</w:t>
      </w:r>
      <w:bookmarkEnd w:id="14"/>
    </w:p>
    <w:p w:rsidR="00C553B7" w:rsidP="002F2334" w14:paraId="093B700D" w14:textId="77777777">
      <w:pPr>
        <w:spacing w:line="240" w:lineRule="auto"/>
      </w:pPr>
      <w:r w:rsidRPr="001C646A">
        <w:rPr>
          <w:u w:val="single"/>
        </w:rPr>
        <w:t>A.</w:t>
      </w:r>
      <w:r>
        <w:t xml:space="preserve"> </w:t>
      </w:r>
      <w:r>
        <w:t>Estimated Annualized Burden Hours</w:t>
      </w:r>
    </w:p>
    <w:p w:rsidR="00D609A0" w:rsidP="002F2334" w14:paraId="3EF97709" w14:textId="2A2AB707">
      <w:pPr>
        <w:spacing w:line="240" w:lineRule="auto"/>
      </w:pPr>
      <w:r>
        <w:t xml:space="preserve">The total estimated burden is </w:t>
      </w:r>
      <w:r w:rsidRPr="00176B93" w:rsidR="00165CBA">
        <w:t>5</w:t>
      </w:r>
      <w:r w:rsidRPr="00176B93" w:rsidR="00176B93">
        <w:t>6</w:t>
      </w:r>
      <w:r>
        <w:t xml:space="preserve"> hours. Table </w:t>
      </w:r>
      <w:r w:rsidRPr="00087A53">
        <w:t>1</w:t>
      </w:r>
      <w:r>
        <w:t xml:space="preserve"> below describes the burden associated with the information collection.</w:t>
      </w:r>
    </w:p>
    <w:p w:rsidR="00087A53" w:rsidP="00687CB6" w14:paraId="67FA62ED" w14:textId="77777777">
      <w:pPr>
        <w:spacing w:line="240" w:lineRule="auto"/>
      </w:pPr>
      <w:r>
        <w:t xml:space="preserve">Eight individuals will be recruited for participation in each of three focus groups. </w:t>
      </w:r>
      <w:r w:rsidR="00D609A0">
        <w:t xml:space="preserve">The burden table assumes that </w:t>
      </w:r>
      <w:r w:rsidRPr="00087A53" w:rsidR="00D609A0">
        <w:t>10</w:t>
      </w:r>
      <w:r w:rsidR="00D609A0">
        <w:t xml:space="preserve"> respondents will be screened for </w:t>
      </w:r>
      <w:r w:rsidR="00D609A0">
        <w:t>every one</w:t>
      </w:r>
      <w:r w:rsidR="00D609A0">
        <w:t xml:space="preserve"> successfully recruited and scheduled for a focus </w:t>
      </w:r>
      <w:r w:rsidRPr="00087A53" w:rsidR="00D609A0">
        <w:t xml:space="preserve">group. (This one in ten rate is relatively high because sampling is conducted from within a panel of individuals already opted in surveys, focus groups, and interviews. </w:t>
      </w:r>
      <w:r w:rsidRPr="00087A53" w:rsidR="00D609A0">
        <w:t>Each individual</w:t>
      </w:r>
      <w:r w:rsidRPr="00087A53" w:rsidR="00D609A0">
        <w:t xml:space="preserve"> also has a preexisting demographic profile that makes targeting recruitment much more efficient.)</w:t>
      </w:r>
      <w:r w:rsidR="00D609A0">
        <w:t xml:space="preserve"> </w:t>
      </w:r>
    </w:p>
    <w:p w:rsidR="00D609A0" w:rsidP="00687CB6" w14:paraId="5600D24F" w14:textId="150E9DBF">
      <w:pPr>
        <w:spacing w:line="240" w:lineRule="auto"/>
      </w:pPr>
      <w:r>
        <w:t xml:space="preserve">The burden table assumes screening will take 5 minutes per person, and the consent form will take an additional 5 minutes for those </w:t>
      </w:r>
      <w:r w:rsidR="00087A53">
        <w:t>twenty-four total</w:t>
      </w:r>
      <w:r>
        <w:t xml:space="preserve"> individuals who are successfully recruited. Focus groups last 90 minutes</w:t>
      </w:r>
      <w:r w:rsidR="00087A53">
        <w:t>, or 1.5 hours</w:t>
      </w:r>
      <w:r>
        <w:t>.</w:t>
      </w:r>
    </w:p>
    <w:p w:rsidR="00D609A0" w:rsidRPr="00941542" w:rsidP="002F2334" w14:paraId="0DF3372A" w14:textId="77777777">
      <w:pPr>
        <w:pStyle w:val="BodyText1"/>
        <w:spacing w:after="0"/>
        <w:jc w:val="both"/>
        <w:rPr>
          <w:i/>
        </w:rPr>
      </w:pPr>
      <w:r>
        <w:rPr>
          <w:i/>
        </w:rPr>
        <w:t>Table 1. Annualized Burden</w:t>
      </w:r>
    </w:p>
    <w:tbl>
      <w:tblPr>
        <w:tblStyle w:val="TableGrid1"/>
        <w:tblW w:w="9496" w:type="dxa"/>
        <w:tblLook w:val="04A0"/>
      </w:tblPr>
      <w:tblGrid>
        <w:gridCol w:w="1430"/>
        <w:gridCol w:w="2238"/>
        <w:gridCol w:w="1523"/>
        <w:gridCol w:w="1439"/>
        <w:gridCol w:w="1406"/>
        <w:gridCol w:w="1460"/>
      </w:tblGrid>
      <w:tr w14:paraId="5FF8C991" w14:textId="77777777" w:rsidTr="00176B93">
        <w:tblPrEx>
          <w:tblW w:w="9496" w:type="dxa"/>
          <w:tblLook w:val="04A0"/>
        </w:tblPrEx>
        <w:trPr>
          <w:trHeight w:val="1133"/>
        </w:trPr>
        <w:tc>
          <w:tcPr>
            <w:tcW w:w="1430" w:type="dxa"/>
            <w:vAlign w:val="center"/>
          </w:tcPr>
          <w:p w:rsidR="00D609A0" w:rsidRPr="004028A0" w:rsidP="002F2334" w14:paraId="46980845" w14:textId="77777777">
            <w:pPr>
              <w:rPr>
                <w:rFonts w:eastAsia="Times New Roman"/>
                <w:szCs w:val="24"/>
              </w:rPr>
            </w:pPr>
            <w:bookmarkStart w:id="15" w:name="_Hlk150796946"/>
            <w:r w:rsidRPr="004028A0">
              <w:rPr>
                <w:rFonts w:eastAsia="Times New Roman"/>
                <w:b/>
                <w:szCs w:val="24"/>
              </w:rPr>
              <w:t>Type of Respondent</w:t>
            </w:r>
          </w:p>
        </w:tc>
        <w:tc>
          <w:tcPr>
            <w:tcW w:w="2238" w:type="dxa"/>
            <w:vAlign w:val="center"/>
          </w:tcPr>
          <w:p w:rsidR="00D609A0" w:rsidRPr="00864E3D" w:rsidP="002F2334" w14:paraId="518219E1" w14:textId="77777777">
            <w:pPr>
              <w:rPr>
                <w:rFonts w:eastAsia="Times New Roman"/>
                <w:szCs w:val="24"/>
              </w:rPr>
            </w:pPr>
            <w:r w:rsidRPr="00864E3D">
              <w:rPr>
                <w:rFonts w:eastAsia="Times New Roman"/>
                <w:b/>
                <w:szCs w:val="24"/>
              </w:rPr>
              <w:t>Form Name</w:t>
            </w:r>
          </w:p>
        </w:tc>
        <w:tc>
          <w:tcPr>
            <w:tcW w:w="1523" w:type="dxa"/>
            <w:vAlign w:val="center"/>
          </w:tcPr>
          <w:p w:rsidR="00D609A0" w:rsidRPr="00864E3D" w:rsidP="002F2334" w14:paraId="0727AC47" w14:textId="77777777">
            <w:pPr>
              <w:jc w:val="center"/>
              <w:rPr>
                <w:rFonts w:eastAsia="Times New Roman"/>
                <w:szCs w:val="24"/>
              </w:rPr>
            </w:pPr>
            <w:r w:rsidRPr="00864E3D">
              <w:rPr>
                <w:rFonts w:eastAsia="Times New Roman"/>
                <w:b/>
                <w:szCs w:val="24"/>
              </w:rPr>
              <w:t>No. of Respondents</w:t>
            </w:r>
          </w:p>
        </w:tc>
        <w:tc>
          <w:tcPr>
            <w:tcW w:w="1439" w:type="dxa"/>
            <w:vAlign w:val="center"/>
          </w:tcPr>
          <w:p w:rsidR="00D609A0" w:rsidRPr="00864E3D" w:rsidP="002F2334" w14:paraId="1808C39D" w14:textId="77777777">
            <w:pPr>
              <w:jc w:val="center"/>
              <w:rPr>
                <w:rFonts w:eastAsia="Times New Roman"/>
                <w:szCs w:val="24"/>
              </w:rPr>
            </w:pPr>
            <w:r w:rsidRPr="00864E3D">
              <w:rPr>
                <w:rFonts w:eastAsia="Times New Roman"/>
                <w:b/>
                <w:szCs w:val="24"/>
              </w:rPr>
              <w:t>No. of Responses per Respondent</w:t>
            </w:r>
          </w:p>
        </w:tc>
        <w:tc>
          <w:tcPr>
            <w:tcW w:w="1406" w:type="dxa"/>
            <w:vAlign w:val="center"/>
          </w:tcPr>
          <w:p w:rsidR="00D609A0" w:rsidRPr="00864E3D" w:rsidP="002F2334" w14:paraId="23450AC5" w14:textId="77777777">
            <w:pPr>
              <w:jc w:val="center"/>
              <w:rPr>
                <w:rFonts w:eastAsia="Times New Roman"/>
                <w:szCs w:val="24"/>
              </w:rPr>
            </w:pPr>
            <w:r w:rsidRPr="00864E3D">
              <w:rPr>
                <w:rFonts w:eastAsia="Times New Roman"/>
                <w:b/>
                <w:szCs w:val="24"/>
              </w:rPr>
              <w:t>Average Burden Per Response (hours)</w:t>
            </w:r>
          </w:p>
        </w:tc>
        <w:tc>
          <w:tcPr>
            <w:tcW w:w="1460" w:type="dxa"/>
            <w:vAlign w:val="center"/>
          </w:tcPr>
          <w:p w:rsidR="00D609A0" w:rsidRPr="00864E3D" w:rsidP="002F2334" w14:paraId="2ABAEBE7" w14:textId="77777777">
            <w:pPr>
              <w:jc w:val="center"/>
              <w:rPr>
                <w:rFonts w:eastAsia="Times New Roman"/>
                <w:szCs w:val="24"/>
              </w:rPr>
            </w:pPr>
            <w:r w:rsidRPr="00864E3D">
              <w:rPr>
                <w:rFonts w:eastAsia="Times New Roman"/>
                <w:b/>
                <w:szCs w:val="24"/>
              </w:rPr>
              <w:t>Total Burden Hours</w:t>
            </w:r>
          </w:p>
        </w:tc>
      </w:tr>
      <w:tr w14:paraId="4A22109D" w14:textId="77777777" w:rsidTr="00176B93">
        <w:tblPrEx>
          <w:tblW w:w="9496" w:type="dxa"/>
          <w:tblLook w:val="04A0"/>
        </w:tblPrEx>
        <w:tc>
          <w:tcPr>
            <w:tcW w:w="1430" w:type="dxa"/>
            <w:vMerge w:val="restart"/>
            <w:vAlign w:val="center"/>
          </w:tcPr>
          <w:p w:rsidR="00D609A0" w:rsidRPr="004028A0" w:rsidP="00165CBA" w14:paraId="6659B8E8" w14:textId="3D2A5829">
            <w:pPr>
              <w:rPr>
                <w:rFonts w:eastAsia="Calibri"/>
                <w:szCs w:val="24"/>
              </w:rPr>
            </w:pPr>
            <w:r>
              <w:rPr>
                <w:rFonts w:eastAsia="Calibri"/>
              </w:rPr>
              <w:t xml:space="preserve">ID Physicians </w:t>
            </w:r>
          </w:p>
        </w:tc>
        <w:tc>
          <w:tcPr>
            <w:tcW w:w="2238" w:type="dxa"/>
            <w:vAlign w:val="center"/>
          </w:tcPr>
          <w:p w:rsidR="00D609A0" w:rsidRPr="00687201" w:rsidP="002F2334" w14:paraId="1B179871" w14:textId="77777777">
            <w:pPr>
              <w:rPr>
                <w:rFonts w:eastAsia="Calibri"/>
                <w:szCs w:val="24"/>
              </w:rPr>
            </w:pPr>
            <w:r w:rsidRPr="00687201">
              <w:rPr>
                <w:rFonts w:eastAsia="Calibri"/>
              </w:rPr>
              <w:t>Screener</w:t>
            </w:r>
          </w:p>
        </w:tc>
        <w:tc>
          <w:tcPr>
            <w:tcW w:w="1523" w:type="dxa"/>
            <w:shd w:val="clear" w:color="auto" w:fill="auto"/>
            <w:vAlign w:val="center"/>
          </w:tcPr>
          <w:p w:rsidR="00D609A0" w:rsidRPr="00687201" w:rsidP="002F2334" w14:paraId="733FD9B3" w14:textId="2DB96947">
            <w:pPr>
              <w:jc w:val="center"/>
              <w:rPr>
                <w:rFonts w:eastAsia="Calibri"/>
                <w:szCs w:val="24"/>
              </w:rPr>
            </w:pPr>
            <w:r>
              <w:rPr>
                <w:rFonts w:eastAsia="Calibri"/>
              </w:rPr>
              <w:t>160</w:t>
            </w:r>
          </w:p>
        </w:tc>
        <w:tc>
          <w:tcPr>
            <w:tcW w:w="1439" w:type="dxa"/>
            <w:vAlign w:val="center"/>
          </w:tcPr>
          <w:p w:rsidR="00D609A0" w:rsidRPr="00687201" w:rsidP="002F2334" w14:paraId="738FA022" w14:textId="77777777">
            <w:pPr>
              <w:jc w:val="center"/>
              <w:rPr>
                <w:rFonts w:eastAsia="Calibri"/>
                <w:szCs w:val="24"/>
              </w:rPr>
            </w:pPr>
            <w:r w:rsidRPr="00687201">
              <w:rPr>
                <w:rFonts w:eastAsia="Calibri"/>
              </w:rPr>
              <w:t>1</w:t>
            </w:r>
          </w:p>
        </w:tc>
        <w:tc>
          <w:tcPr>
            <w:tcW w:w="1406" w:type="dxa"/>
            <w:vAlign w:val="center"/>
          </w:tcPr>
          <w:p w:rsidR="00D609A0" w:rsidRPr="00687201" w:rsidP="002F2334" w14:paraId="67FF3F25" w14:textId="77777777">
            <w:pPr>
              <w:jc w:val="center"/>
              <w:rPr>
                <w:rFonts w:eastAsia="Calibri"/>
                <w:szCs w:val="24"/>
              </w:rPr>
            </w:pPr>
            <w:r w:rsidRPr="00687201">
              <w:rPr>
                <w:rFonts w:eastAsia="Calibri"/>
              </w:rPr>
              <w:t>5/60</w:t>
            </w:r>
          </w:p>
        </w:tc>
        <w:tc>
          <w:tcPr>
            <w:tcW w:w="1460" w:type="dxa"/>
            <w:vAlign w:val="center"/>
          </w:tcPr>
          <w:p w:rsidR="00D609A0" w:rsidRPr="00687201" w:rsidP="002F2334" w14:paraId="462665F4" w14:textId="39EFA82C">
            <w:pPr>
              <w:jc w:val="center"/>
              <w:rPr>
                <w:rFonts w:eastAsia="Calibri"/>
                <w:szCs w:val="24"/>
              </w:rPr>
            </w:pPr>
            <w:r>
              <w:rPr>
                <w:rFonts w:eastAsia="Calibri"/>
                <w:szCs w:val="24"/>
              </w:rPr>
              <w:t>13</w:t>
            </w:r>
          </w:p>
        </w:tc>
      </w:tr>
      <w:tr w14:paraId="249F7512" w14:textId="77777777" w:rsidTr="00176B93">
        <w:tblPrEx>
          <w:tblW w:w="9496" w:type="dxa"/>
          <w:tblLook w:val="04A0"/>
        </w:tblPrEx>
        <w:tc>
          <w:tcPr>
            <w:tcW w:w="1430" w:type="dxa"/>
            <w:vMerge/>
            <w:vAlign w:val="center"/>
          </w:tcPr>
          <w:p w:rsidR="00D609A0" w:rsidRPr="004028A0" w:rsidP="00165CBA" w14:paraId="01710C3F" w14:textId="77777777">
            <w:pPr>
              <w:rPr>
                <w:rFonts w:eastAsia="Calibri"/>
                <w:szCs w:val="24"/>
              </w:rPr>
            </w:pPr>
          </w:p>
        </w:tc>
        <w:tc>
          <w:tcPr>
            <w:tcW w:w="2238" w:type="dxa"/>
            <w:vAlign w:val="center"/>
          </w:tcPr>
          <w:p w:rsidR="00D609A0" w:rsidRPr="00144D4A" w:rsidP="002F2334" w14:paraId="68EF7951" w14:textId="4D245CD3">
            <w:pPr>
              <w:rPr>
                <w:rFonts w:eastAsia="Calibri"/>
                <w:szCs w:val="24"/>
              </w:rPr>
            </w:pPr>
            <w:r>
              <w:rPr>
                <w:rFonts w:eastAsia="Calibri"/>
              </w:rPr>
              <w:t xml:space="preserve">Focus Group </w:t>
            </w:r>
            <w:r w:rsidRPr="00144D4A">
              <w:rPr>
                <w:rFonts w:eastAsia="Calibri"/>
              </w:rPr>
              <w:t>Guide</w:t>
            </w:r>
            <w:r w:rsidR="00087A53">
              <w:rPr>
                <w:rFonts w:eastAsia="Calibri"/>
              </w:rPr>
              <w:t xml:space="preserve"> </w:t>
            </w:r>
            <w:r w:rsidRPr="00165CBA" w:rsidR="00087A53">
              <w:rPr>
                <w:rFonts w:eastAsia="Calibri"/>
                <w:i/>
                <w:iCs/>
              </w:rPr>
              <w:t>(</w:t>
            </w:r>
            <w:r w:rsidR="00165CBA">
              <w:rPr>
                <w:rFonts w:eastAsia="Calibri"/>
                <w:i/>
                <w:iCs/>
              </w:rPr>
              <w:t>FG participation</w:t>
            </w:r>
            <w:r w:rsidRPr="00165CBA" w:rsidR="00087A53">
              <w:rPr>
                <w:rFonts w:eastAsia="Calibri"/>
                <w:i/>
                <w:iCs/>
              </w:rPr>
              <w:t>)</w:t>
            </w:r>
          </w:p>
        </w:tc>
        <w:tc>
          <w:tcPr>
            <w:tcW w:w="1523" w:type="dxa"/>
            <w:vAlign w:val="center"/>
          </w:tcPr>
          <w:p w:rsidR="00D609A0" w:rsidRPr="00144D4A" w:rsidP="002F2334" w14:paraId="460E0D9D" w14:textId="26FC3ABD">
            <w:pPr>
              <w:jc w:val="center"/>
              <w:rPr>
                <w:rFonts w:eastAsia="Calibri"/>
                <w:szCs w:val="24"/>
              </w:rPr>
            </w:pPr>
            <w:r>
              <w:rPr>
                <w:rFonts w:eastAsia="Calibri"/>
              </w:rPr>
              <w:t>16</w:t>
            </w:r>
          </w:p>
        </w:tc>
        <w:tc>
          <w:tcPr>
            <w:tcW w:w="1439" w:type="dxa"/>
            <w:vAlign w:val="center"/>
          </w:tcPr>
          <w:p w:rsidR="00D609A0" w:rsidRPr="00144D4A" w:rsidP="002F2334" w14:paraId="242D28A3" w14:textId="77777777">
            <w:pPr>
              <w:jc w:val="center"/>
              <w:rPr>
                <w:rFonts w:eastAsia="Calibri"/>
                <w:szCs w:val="24"/>
              </w:rPr>
            </w:pPr>
            <w:r w:rsidRPr="00144D4A">
              <w:rPr>
                <w:rFonts w:eastAsia="Calibri"/>
              </w:rPr>
              <w:t>1</w:t>
            </w:r>
          </w:p>
        </w:tc>
        <w:tc>
          <w:tcPr>
            <w:tcW w:w="1406" w:type="dxa"/>
            <w:vAlign w:val="center"/>
          </w:tcPr>
          <w:p w:rsidR="00D609A0" w:rsidRPr="00144D4A" w:rsidP="002F2334" w14:paraId="737CBE91" w14:textId="04EAB5F0">
            <w:pPr>
              <w:jc w:val="center"/>
              <w:rPr>
                <w:rFonts w:eastAsia="Calibri"/>
                <w:szCs w:val="24"/>
              </w:rPr>
            </w:pPr>
            <w:r w:rsidRPr="00144D4A">
              <w:rPr>
                <w:rFonts w:eastAsia="Calibri"/>
              </w:rPr>
              <w:t>1</w:t>
            </w:r>
            <w:r w:rsidR="00A82C88">
              <w:rPr>
                <w:rFonts w:eastAsia="Calibri"/>
              </w:rPr>
              <w:t>.5</w:t>
            </w:r>
          </w:p>
        </w:tc>
        <w:tc>
          <w:tcPr>
            <w:tcW w:w="1460" w:type="dxa"/>
            <w:vAlign w:val="center"/>
          </w:tcPr>
          <w:p w:rsidR="00D609A0" w:rsidRPr="006B4E7B" w:rsidP="002F2334" w14:paraId="13A7BA36" w14:textId="69CB206C">
            <w:pPr>
              <w:jc w:val="center"/>
              <w:rPr>
                <w:rFonts w:eastAsia="Calibri"/>
                <w:szCs w:val="24"/>
                <w:highlight w:val="yellow"/>
              </w:rPr>
            </w:pPr>
            <w:r>
              <w:rPr>
                <w:rFonts w:eastAsia="Calibri"/>
                <w:szCs w:val="24"/>
              </w:rPr>
              <w:t>24</w:t>
            </w:r>
          </w:p>
        </w:tc>
      </w:tr>
      <w:tr w14:paraId="35FA6A3B" w14:textId="77777777" w:rsidTr="00176B93">
        <w:tblPrEx>
          <w:tblW w:w="9496" w:type="dxa"/>
          <w:tblLook w:val="04A0"/>
        </w:tblPrEx>
        <w:tc>
          <w:tcPr>
            <w:tcW w:w="1430" w:type="dxa"/>
            <w:vMerge w:val="restart"/>
            <w:vAlign w:val="center"/>
          </w:tcPr>
          <w:p w:rsidR="00A82C88" w:rsidRPr="004028A0" w:rsidP="00165CBA" w14:paraId="3F2C13EB" w14:textId="3185A057">
            <w:pPr>
              <w:rPr>
                <w:rFonts w:eastAsia="Calibri"/>
                <w:szCs w:val="24"/>
              </w:rPr>
            </w:pPr>
            <w:r>
              <w:rPr>
                <w:rFonts w:eastAsia="Calibri"/>
                <w:szCs w:val="24"/>
              </w:rPr>
              <w:t>ID</w:t>
            </w:r>
            <w:r w:rsidR="00165CBA">
              <w:rPr>
                <w:rFonts w:eastAsia="Calibri"/>
                <w:szCs w:val="24"/>
              </w:rPr>
              <w:t xml:space="preserve"> and Hospital</w:t>
            </w:r>
            <w:r>
              <w:rPr>
                <w:rFonts w:eastAsia="Calibri"/>
                <w:szCs w:val="24"/>
              </w:rPr>
              <w:t xml:space="preserve"> Pharmacists</w:t>
            </w:r>
          </w:p>
        </w:tc>
        <w:tc>
          <w:tcPr>
            <w:tcW w:w="2238" w:type="dxa"/>
            <w:vAlign w:val="center"/>
          </w:tcPr>
          <w:p w:rsidR="00A82C88" w:rsidP="002F2334" w14:paraId="1904F358" w14:textId="04CB08C8">
            <w:pPr>
              <w:rPr>
                <w:rFonts w:eastAsia="Calibri"/>
              </w:rPr>
            </w:pPr>
            <w:r w:rsidRPr="00687201">
              <w:rPr>
                <w:rFonts w:eastAsia="Calibri"/>
              </w:rPr>
              <w:t>Screener</w:t>
            </w:r>
          </w:p>
        </w:tc>
        <w:tc>
          <w:tcPr>
            <w:tcW w:w="1523" w:type="dxa"/>
            <w:vAlign w:val="center"/>
          </w:tcPr>
          <w:p w:rsidR="00A82C88" w:rsidP="002F2334" w14:paraId="6DF829B1" w14:textId="41509284">
            <w:pPr>
              <w:jc w:val="center"/>
              <w:rPr>
                <w:rFonts w:eastAsia="Calibri"/>
              </w:rPr>
            </w:pPr>
            <w:r>
              <w:rPr>
                <w:rFonts w:eastAsia="Calibri"/>
              </w:rPr>
              <w:t>80</w:t>
            </w:r>
          </w:p>
        </w:tc>
        <w:tc>
          <w:tcPr>
            <w:tcW w:w="1439" w:type="dxa"/>
            <w:vAlign w:val="center"/>
          </w:tcPr>
          <w:p w:rsidR="00A82C88" w:rsidRPr="00144D4A" w:rsidP="002F2334" w14:paraId="64646A61" w14:textId="6E7A38E2">
            <w:pPr>
              <w:jc w:val="center"/>
              <w:rPr>
                <w:rFonts w:eastAsia="Calibri"/>
              </w:rPr>
            </w:pPr>
            <w:r w:rsidRPr="00687201">
              <w:rPr>
                <w:rFonts w:eastAsia="Calibri"/>
              </w:rPr>
              <w:t>1</w:t>
            </w:r>
          </w:p>
        </w:tc>
        <w:tc>
          <w:tcPr>
            <w:tcW w:w="1406" w:type="dxa"/>
            <w:vAlign w:val="center"/>
          </w:tcPr>
          <w:p w:rsidR="00A82C88" w:rsidRPr="00144D4A" w:rsidP="002F2334" w14:paraId="7B51E779" w14:textId="2BDC0C29">
            <w:pPr>
              <w:jc w:val="center"/>
              <w:rPr>
                <w:rFonts w:eastAsia="Calibri"/>
              </w:rPr>
            </w:pPr>
            <w:r w:rsidRPr="00687201">
              <w:rPr>
                <w:rFonts w:eastAsia="Calibri"/>
              </w:rPr>
              <w:t>5/60</w:t>
            </w:r>
          </w:p>
        </w:tc>
        <w:tc>
          <w:tcPr>
            <w:tcW w:w="1460" w:type="dxa"/>
            <w:vAlign w:val="center"/>
          </w:tcPr>
          <w:p w:rsidR="00A82C88" w:rsidRPr="006B4E7B" w:rsidP="002F2334" w14:paraId="1029FDCD" w14:textId="3A137EB2">
            <w:pPr>
              <w:jc w:val="center"/>
              <w:rPr>
                <w:rFonts w:eastAsia="Calibri"/>
              </w:rPr>
            </w:pPr>
            <w:r>
              <w:rPr>
                <w:rFonts w:eastAsia="Calibri"/>
              </w:rPr>
              <w:t>7</w:t>
            </w:r>
          </w:p>
        </w:tc>
      </w:tr>
      <w:tr w14:paraId="497FA378" w14:textId="77777777" w:rsidTr="00176B93">
        <w:tblPrEx>
          <w:tblW w:w="9496" w:type="dxa"/>
          <w:tblLook w:val="04A0"/>
        </w:tblPrEx>
        <w:tc>
          <w:tcPr>
            <w:tcW w:w="1430" w:type="dxa"/>
            <w:vMerge/>
            <w:vAlign w:val="center"/>
          </w:tcPr>
          <w:p w:rsidR="00A82C88" w:rsidRPr="004028A0" w:rsidP="002F2334" w14:paraId="4E303F4F" w14:textId="77777777">
            <w:pPr>
              <w:jc w:val="center"/>
              <w:rPr>
                <w:rFonts w:eastAsia="Calibri"/>
                <w:szCs w:val="24"/>
              </w:rPr>
            </w:pPr>
          </w:p>
        </w:tc>
        <w:tc>
          <w:tcPr>
            <w:tcW w:w="2238" w:type="dxa"/>
            <w:vAlign w:val="center"/>
          </w:tcPr>
          <w:p w:rsidR="00A82C88" w:rsidP="002F2334" w14:paraId="2BF99BC8" w14:textId="10AA6861">
            <w:pPr>
              <w:rPr>
                <w:rFonts w:eastAsia="Calibri"/>
              </w:rPr>
            </w:pPr>
            <w:r>
              <w:rPr>
                <w:rFonts w:eastAsia="Calibri"/>
              </w:rPr>
              <w:t xml:space="preserve">Focus Group </w:t>
            </w:r>
            <w:r w:rsidRPr="00144D4A">
              <w:rPr>
                <w:rFonts w:eastAsia="Calibri"/>
              </w:rPr>
              <w:t>Guide</w:t>
            </w:r>
            <w:r>
              <w:rPr>
                <w:rFonts w:eastAsia="Calibri"/>
              </w:rPr>
              <w:t xml:space="preserve"> </w:t>
            </w:r>
            <w:r w:rsidRPr="00165CBA">
              <w:rPr>
                <w:rFonts w:eastAsia="Calibri"/>
                <w:i/>
                <w:iCs/>
              </w:rPr>
              <w:t>(</w:t>
            </w:r>
            <w:r>
              <w:rPr>
                <w:rFonts w:eastAsia="Calibri"/>
                <w:i/>
                <w:iCs/>
              </w:rPr>
              <w:t>FG participation</w:t>
            </w:r>
            <w:r w:rsidRPr="00165CBA">
              <w:rPr>
                <w:rFonts w:eastAsia="Calibri"/>
                <w:i/>
                <w:iCs/>
              </w:rPr>
              <w:t>)</w:t>
            </w:r>
          </w:p>
        </w:tc>
        <w:tc>
          <w:tcPr>
            <w:tcW w:w="1523" w:type="dxa"/>
            <w:vAlign w:val="center"/>
          </w:tcPr>
          <w:p w:rsidR="00A82C88" w:rsidP="002F2334" w14:paraId="21DA1895" w14:textId="30FF8F11">
            <w:pPr>
              <w:jc w:val="center"/>
              <w:rPr>
                <w:rFonts w:eastAsia="Calibri"/>
              </w:rPr>
            </w:pPr>
            <w:r>
              <w:rPr>
                <w:rFonts w:eastAsia="Calibri"/>
              </w:rPr>
              <w:t>8</w:t>
            </w:r>
          </w:p>
        </w:tc>
        <w:tc>
          <w:tcPr>
            <w:tcW w:w="1439" w:type="dxa"/>
            <w:vAlign w:val="center"/>
          </w:tcPr>
          <w:p w:rsidR="00A82C88" w:rsidRPr="00144D4A" w:rsidP="002F2334" w14:paraId="46EDC633" w14:textId="534771D6">
            <w:pPr>
              <w:jc w:val="center"/>
              <w:rPr>
                <w:rFonts w:eastAsia="Calibri"/>
              </w:rPr>
            </w:pPr>
            <w:r w:rsidRPr="00144D4A">
              <w:rPr>
                <w:rFonts w:eastAsia="Calibri"/>
              </w:rPr>
              <w:t>1</w:t>
            </w:r>
          </w:p>
        </w:tc>
        <w:tc>
          <w:tcPr>
            <w:tcW w:w="1406" w:type="dxa"/>
            <w:vAlign w:val="center"/>
          </w:tcPr>
          <w:p w:rsidR="00A82C88" w:rsidRPr="00144D4A" w:rsidP="002F2334" w14:paraId="2AD9639A" w14:textId="45E6DF8F">
            <w:pPr>
              <w:jc w:val="center"/>
              <w:rPr>
                <w:rFonts w:eastAsia="Calibri"/>
              </w:rPr>
            </w:pPr>
            <w:r>
              <w:rPr>
                <w:rFonts w:eastAsia="Calibri"/>
              </w:rPr>
              <w:t>1.5</w:t>
            </w:r>
          </w:p>
        </w:tc>
        <w:tc>
          <w:tcPr>
            <w:tcW w:w="1460" w:type="dxa"/>
            <w:vAlign w:val="center"/>
          </w:tcPr>
          <w:p w:rsidR="00A82C88" w:rsidRPr="006B4E7B" w:rsidP="002F2334" w14:paraId="70CED2F3" w14:textId="065D18AA">
            <w:pPr>
              <w:jc w:val="center"/>
              <w:rPr>
                <w:rFonts w:eastAsia="Calibri"/>
              </w:rPr>
            </w:pPr>
            <w:r>
              <w:rPr>
                <w:rFonts w:eastAsia="Calibri"/>
              </w:rPr>
              <w:t>12</w:t>
            </w:r>
          </w:p>
        </w:tc>
      </w:tr>
      <w:tr w14:paraId="534B68F0" w14:textId="77777777" w:rsidTr="00176B93">
        <w:tblPrEx>
          <w:tblW w:w="9496" w:type="dxa"/>
          <w:tblLook w:val="04A0"/>
        </w:tblPrEx>
        <w:tc>
          <w:tcPr>
            <w:tcW w:w="1430" w:type="dxa"/>
          </w:tcPr>
          <w:p w:rsidR="00165CBA" w:rsidRPr="004028A0" w:rsidP="00D66240" w14:paraId="538E2935" w14:textId="68A3D30C">
            <w:pPr>
              <w:rPr>
                <w:rFonts w:eastAsia="Calibri"/>
                <w:szCs w:val="24"/>
              </w:rPr>
            </w:pPr>
            <w:r w:rsidRPr="004028A0">
              <w:rPr>
                <w:rFonts w:eastAsia="Calibri"/>
              </w:rPr>
              <w:t>Total</w:t>
            </w:r>
          </w:p>
        </w:tc>
        <w:tc>
          <w:tcPr>
            <w:tcW w:w="6606" w:type="dxa"/>
            <w:gridSpan w:val="4"/>
            <w:vAlign w:val="center"/>
          </w:tcPr>
          <w:p w:rsidR="00165CBA" w:rsidP="00165CBA" w14:paraId="32E47B89" w14:textId="77777777">
            <w:pPr>
              <w:jc w:val="center"/>
              <w:rPr>
                <w:rFonts w:eastAsia="Calibri"/>
              </w:rPr>
            </w:pPr>
          </w:p>
        </w:tc>
        <w:tc>
          <w:tcPr>
            <w:tcW w:w="1460" w:type="dxa"/>
            <w:vAlign w:val="center"/>
          </w:tcPr>
          <w:p w:rsidR="00165CBA" w:rsidP="00165CBA" w14:paraId="02640CCB" w14:textId="45C4E0E2">
            <w:pPr>
              <w:jc w:val="center"/>
              <w:rPr>
                <w:rFonts w:eastAsia="Calibri"/>
              </w:rPr>
            </w:pPr>
            <w:r w:rsidRPr="00176B93">
              <w:rPr>
                <w:rFonts w:eastAsia="Calibri"/>
              </w:rPr>
              <w:t>5</w:t>
            </w:r>
            <w:r w:rsidRPr="00176B93" w:rsidR="00176B93">
              <w:rPr>
                <w:rFonts w:eastAsia="Calibri"/>
              </w:rPr>
              <w:t>6</w:t>
            </w:r>
          </w:p>
        </w:tc>
      </w:tr>
      <w:bookmarkEnd w:id="15"/>
    </w:tbl>
    <w:p w:rsidR="00D609A0" w:rsidP="002F2334" w14:paraId="2B666649" w14:textId="77777777">
      <w:pPr>
        <w:spacing w:after="0" w:line="240" w:lineRule="auto"/>
        <w:jc w:val="both"/>
        <w:rPr>
          <w:rFonts w:eastAsia="Calibri" w:cs="Times New Roman"/>
        </w:rPr>
      </w:pPr>
    </w:p>
    <w:p w:rsidR="00A82C88" w:rsidP="006969B7" w14:paraId="7647B2D5" w14:textId="07EDF4F6">
      <w:pPr>
        <w:spacing w:line="240" w:lineRule="auto"/>
      </w:pPr>
      <w:r w:rsidRPr="001C646A">
        <w:rPr>
          <w:u w:val="single"/>
        </w:rPr>
        <w:t>B.</w:t>
      </w:r>
      <w:r>
        <w:t xml:space="preserve"> Esti</w:t>
      </w:r>
      <w:r w:rsidR="006969B7">
        <w:t>m</w:t>
      </w:r>
      <w:r>
        <w:t xml:space="preserve">ated Annualized Burden Costs </w:t>
      </w:r>
    </w:p>
    <w:p w:rsidR="00A82C88" w:rsidP="002F2334" w14:paraId="37EE3A2F" w14:textId="498F75B7">
      <w:pPr>
        <w:spacing w:after="0" w:line="240" w:lineRule="auto"/>
        <w:jc w:val="both"/>
        <w:rPr>
          <w:rFonts w:eastAsia="Calibri" w:cs="Times New Roman"/>
        </w:rPr>
      </w:pPr>
      <w:r w:rsidRPr="00F170F4">
        <w:rPr>
          <w:rFonts w:eastAsia="Calibri" w:cs="Times New Roman"/>
        </w:rPr>
        <w:t xml:space="preserve">According to the U.S. Bureau of Labor Statistics (BLS) May 2022 National Occupational Employment and </w:t>
      </w:r>
      <w:r w:rsidRPr="002519D8">
        <w:rPr>
          <w:rFonts w:eastAsia="Calibri" w:cs="Times New Roman"/>
        </w:rPr>
        <w:t xml:space="preserve">Wage Estimates, the </w:t>
      </w:r>
      <w:r w:rsidR="00087A53">
        <w:rPr>
          <w:rFonts w:eastAsia="Calibri" w:cs="Times New Roman"/>
        </w:rPr>
        <w:t>median</w:t>
      </w:r>
      <w:r w:rsidRPr="002519D8">
        <w:rPr>
          <w:rFonts w:eastAsia="Calibri" w:cs="Times New Roman"/>
        </w:rPr>
        <w:t xml:space="preserve"> hourly wage for </w:t>
      </w:r>
      <w:r w:rsidRPr="00087A53">
        <w:rPr>
          <w:rFonts w:eastAsia="Calibri" w:cs="Times New Roman"/>
        </w:rPr>
        <w:t>physicians is $</w:t>
      </w:r>
      <w:r w:rsidRPr="00087A53" w:rsidR="00087A53">
        <w:rPr>
          <w:rFonts w:eastAsia="Calibri" w:cs="Times New Roman"/>
        </w:rPr>
        <w:t>109</w:t>
      </w:r>
      <w:r w:rsidRPr="00087A53">
        <w:rPr>
          <w:rFonts w:eastAsia="Calibri" w:cs="Times New Roman"/>
        </w:rPr>
        <w:t>.</w:t>
      </w:r>
      <w:r w:rsidRPr="00087A53" w:rsidR="00087A53">
        <w:rPr>
          <w:rFonts w:eastAsia="Calibri" w:cs="Times New Roman"/>
        </w:rPr>
        <w:t>22</w:t>
      </w:r>
      <w:r w:rsidRPr="00087A53">
        <w:rPr>
          <w:rFonts w:eastAsia="Calibri" w:cs="Times New Roman"/>
        </w:rPr>
        <w:t xml:space="preserve"> and </w:t>
      </w:r>
      <w:r w:rsidR="00D66240">
        <w:rPr>
          <w:rFonts w:eastAsia="Calibri" w:cs="Times New Roman"/>
        </w:rPr>
        <w:t xml:space="preserve">for </w:t>
      </w:r>
      <w:r w:rsidRPr="00087A53">
        <w:rPr>
          <w:rFonts w:eastAsia="Calibri" w:cs="Times New Roman"/>
        </w:rPr>
        <w:t>pharmacists is $6</w:t>
      </w:r>
      <w:r w:rsidRPr="00087A53" w:rsidR="00087A53">
        <w:rPr>
          <w:rFonts w:eastAsia="Calibri" w:cs="Times New Roman"/>
        </w:rPr>
        <w:t>3</w:t>
      </w:r>
      <w:r w:rsidRPr="00087A53">
        <w:rPr>
          <w:rFonts w:eastAsia="Calibri" w:cs="Times New Roman"/>
        </w:rPr>
        <w:t>.</w:t>
      </w:r>
      <w:r w:rsidRPr="00087A53" w:rsidR="00087A53">
        <w:rPr>
          <w:rFonts w:eastAsia="Calibri" w:cs="Times New Roman"/>
        </w:rPr>
        <w:t>8</w:t>
      </w:r>
      <w:r w:rsidRPr="00087A53">
        <w:rPr>
          <w:rFonts w:eastAsia="Calibri" w:cs="Times New Roman"/>
        </w:rPr>
        <w:t>2. This</w:t>
      </w:r>
      <w:r w:rsidRPr="002519D8">
        <w:rPr>
          <w:rFonts w:eastAsia="Calibri" w:cs="Times New Roman"/>
        </w:rPr>
        <w:t xml:space="preserve"> amount has been used to calculate </w:t>
      </w:r>
      <w:r>
        <w:rPr>
          <w:rFonts w:eastAsia="Calibri" w:cs="Times New Roman"/>
        </w:rPr>
        <w:t xml:space="preserve">the </w:t>
      </w:r>
      <w:r w:rsidRPr="002519D8">
        <w:rPr>
          <w:rFonts w:eastAsia="Calibri" w:cs="Times New Roman"/>
        </w:rPr>
        <w:t xml:space="preserve">cost of participation for the </w:t>
      </w:r>
      <w:r>
        <w:rPr>
          <w:rFonts w:eastAsia="Calibri" w:cs="Times New Roman"/>
        </w:rPr>
        <w:t>physician and pharmacist</w:t>
      </w:r>
      <w:r w:rsidRPr="002519D8">
        <w:rPr>
          <w:rFonts w:eastAsia="Calibri" w:cs="Times New Roman"/>
        </w:rPr>
        <w:t xml:space="preserve"> audience</w:t>
      </w:r>
      <w:r>
        <w:rPr>
          <w:rFonts w:eastAsia="Calibri" w:cs="Times New Roman"/>
        </w:rPr>
        <w:t>s</w:t>
      </w:r>
      <w:r w:rsidRPr="002519D8">
        <w:rPr>
          <w:rFonts w:eastAsia="Calibri" w:cs="Times New Roman"/>
        </w:rPr>
        <w:t xml:space="preserve">. The total estimated cost burden </w:t>
      </w:r>
      <w:r w:rsidRPr="00176B93">
        <w:rPr>
          <w:rFonts w:eastAsia="Calibri" w:cs="Times New Roman"/>
        </w:rPr>
        <w:t xml:space="preserve">is </w:t>
      </w:r>
      <w:r w:rsidRPr="00176B93">
        <w:rPr>
          <w:rFonts w:eastAsia="Calibri" w:cs="Times New Roman"/>
        </w:rPr>
        <w:t>$</w:t>
      </w:r>
      <w:r w:rsidRPr="00176B93" w:rsidR="001C646A">
        <w:rPr>
          <w:rFonts w:eastAsia="Calibri" w:cs="Times New Roman"/>
        </w:rPr>
        <w:t>5,</w:t>
      </w:r>
      <w:r w:rsidRPr="00176B93" w:rsidR="00176B93">
        <w:rPr>
          <w:rFonts w:eastAsia="Calibri" w:cs="Times New Roman"/>
        </w:rPr>
        <w:t>2</w:t>
      </w:r>
      <w:r w:rsidR="008E6A99">
        <w:rPr>
          <w:rFonts w:eastAsia="Calibri" w:cs="Times New Roman"/>
        </w:rPr>
        <w:t>53.72</w:t>
      </w:r>
    </w:p>
    <w:p w:rsidR="00A82C88" w:rsidP="002F2334" w14:paraId="0C67CADB" w14:textId="77777777">
      <w:pPr>
        <w:spacing w:after="0" w:line="240" w:lineRule="auto"/>
        <w:jc w:val="both"/>
        <w:rPr>
          <w:rFonts w:eastAsia="Calibri" w:cs="Times New Roman"/>
        </w:rPr>
      </w:pPr>
    </w:p>
    <w:p w:rsidR="00A82C88" w:rsidRPr="00941542" w:rsidP="002F2334" w14:paraId="1A9A1381" w14:textId="1866E8E1">
      <w:pPr>
        <w:pStyle w:val="BodyText1"/>
        <w:spacing w:after="0"/>
        <w:jc w:val="both"/>
        <w:rPr>
          <w:i/>
        </w:rPr>
      </w:pPr>
      <w:r>
        <w:rPr>
          <w:i/>
        </w:rPr>
        <w:t xml:space="preserve">Table </w:t>
      </w:r>
      <w:r>
        <w:rPr>
          <w:i/>
          <w:lang w:val="en-US"/>
        </w:rPr>
        <w:t>2</w:t>
      </w:r>
      <w:r>
        <w:rPr>
          <w:i/>
        </w:rPr>
        <w:t xml:space="preserve">. </w:t>
      </w:r>
      <w:r>
        <w:rPr>
          <w:rFonts w:cs="Times New Roman"/>
          <w:i/>
        </w:rPr>
        <w:t>Cost burden associated with information collection</w:t>
      </w:r>
    </w:p>
    <w:tbl>
      <w:tblPr>
        <w:tblStyle w:val="TableGrid1"/>
        <w:tblW w:w="9471" w:type="dxa"/>
        <w:tblLook w:val="04A0"/>
      </w:tblPr>
      <w:tblGrid>
        <w:gridCol w:w="1839"/>
        <w:gridCol w:w="2592"/>
        <w:gridCol w:w="1728"/>
        <w:gridCol w:w="1728"/>
        <w:gridCol w:w="1584"/>
      </w:tblGrid>
      <w:tr w14:paraId="06A4E57E" w14:textId="77777777" w:rsidTr="00E903D2">
        <w:tblPrEx>
          <w:tblW w:w="9471" w:type="dxa"/>
          <w:tblLook w:val="04A0"/>
        </w:tblPrEx>
        <w:trPr>
          <w:trHeight w:val="1133"/>
        </w:trPr>
        <w:tc>
          <w:tcPr>
            <w:tcW w:w="1839" w:type="dxa"/>
            <w:vAlign w:val="center"/>
          </w:tcPr>
          <w:p w:rsidR="00A82C88" w:rsidRPr="004028A0" w:rsidP="002F2334" w14:paraId="23EAF602" w14:textId="77777777">
            <w:pPr>
              <w:rPr>
                <w:rFonts w:eastAsia="Times New Roman"/>
                <w:szCs w:val="24"/>
              </w:rPr>
            </w:pPr>
            <w:r w:rsidRPr="004028A0">
              <w:rPr>
                <w:rFonts w:eastAsia="Times New Roman"/>
                <w:b/>
                <w:szCs w:val="24"/>
              </w:rPr>
              <w:t>Type of Respondent</w:t>
            </w:r>
          </w:p>
        </w:tc>
        <w:tc>
          <w:tcPr>
            <w:tcW w:w="2592" w:type="dxa"/>
            <w:vAlign w:val="center"/>
          </w:tcPr>
          <w:p w:rsidR="00A82C88" w:rsidRPr="00864E3D" w:rsidP="002F2334" w14:paraId="07EC82C5" w14:textId="77777777">
            <w:pPr>
              <w:rPr>
                <w:rFonts w:eastAsia="Times New Roman"/>
                <w:szCs w:val="24"/>
              </w:rPr>
            </w:pPr>
            <w:r w:rsidRPr="00864E3D">
              <w:rPr>
                <w:rFonts w:eastAsia="Times New Roman"/>
                <w:b/>
                <w:szCs w:val="24"/>
              </w:rPr>
              <w:t>Form Name</w:t>
            </w:r>
          </w:p>
        </w:tc>
        <w:tc>
          <w:tcPr>
            <w:tcW w:w="1728" w:type="dxa"/>
            <w:vAlign w:val="center"/>
          </w:tcPr>
          <w:p w:rsidR="00A82C88" w:rsidRPr="00864E3D" w:rsidP="002F2334" w14:paraId="17618374" w14:textId="5F5C6E1E">
            <w:pPr>
              <w:jc w:val="center"/>
              <w:rPr>
                <w:rFonts w:eastAsia="Times New Roman"/>
                <w:szCs w:val="24"/>
              </w:rPr>
            </w:pPr>
            <w:r>
              <w:rPr>
                <w:rFonts w:eastAsia="Times New Roman"/>
                <w:b/>
                <w:szCs w:val="24"/>
              </w:rPr>
              <w:t>Total Burden Hours</w:t>
            </w:r>
          </w:p>
        </w:tc>
        <w:tc>
          <w:tcPr>
            <w:tcW w:w="1728" w:type="dxa"/>
            <w:vAlign w:val="center"/>
          </w:tcPr>
          <w:p w:rsidR="00A82C88" w:rsidRPr="00864E3D" w:rsidP="002F2334" w14:paraId="12FCC259" w14:textId="132417ED">
            <w:pPr>
              <w:jc w:val="center"/>
              <w:rPr>
                <w:rFonts w:eastAsia="Times New Roman"/>
                <w:szCs w:val="24"/>
              </w:rPr>
            </w:pPr>
            <w:r>
              <w:rPr>
                <w:rFonts w:eastAsia="Times New Roman"/>
                <w:b/>
                <w:szCs w:val="24"/>
              </w:rPr>
              <w:t>Hourly Wage Rate</w:t>
            </w:r>
          </w:p>
        </w:tc>
        <w:tc>
          <w:tcPr>
            <w:tcW w:w="1584" w:type="dxa"/>
            <w:vAlign w:val="center"/>
          </w:tcPr>
          <w:p w:rsidR="00A82C88" w:rsidRPr="00A82C88" w:rsidP="002F2334" w14:paraId="05B89592" w14:textId="349C681B">
            <w:pPr>
              <w:jc w:val="center"/>
              <w:rPr>
                <w:rFonts w:eastAsia="Times New Roman"/>
                <w:b/>
                <w:bCs/>
                <w:szCs w:val="24"/>
              </w:rPr>
            </w:pPr>
            <w:r w:rsidRPr="00A82C88">
              <w:rPr>
                <w:rFonts w:eastAsia="Times New Roman"/>
                <w:b/>
                <w:bCs/>
                <w:szCs w:val="24"/>
              </w:rPr>
              <w:t>Total Respondent Costs</w:t>
            </w:r>
          </w:p>
        </w:tc>
      </w:tr>
      <w:tr w14:paraId="596735A0" w14:textId="77777777" w:rsidTr="00E903D2">
        <w:tblPrEx>
          <w:tblW w:w="9471" w:type="dxa"/>
          <w:tblLook w:val="04A0"/>
        </w:tblPrEx>
        <w:tc>
          <w:tcPr>
            <w:tcW w:w="1839" w:type="dxa"/>
            <w:vMerge w:val="restart"/>
            <w:vAlign w:val="center"/>
          </w:tcPr>
          <w:p w:rsidR="00D66240" w:rsidRPr="004028A0" w:rsidP="00D66240" w14:paraId="7F04C6B2" w14:textId="77777777">
            <w:pPr>
              <w:rPr>
                <w:rFonts w:eastAsia="Calibri"/>
                <w:szCs w:val="24"/>
              </w:rPr>
            </w:pPr>
            <w:r>
              <w:rPr>
                <w:rFonts w:eastAsia="Calibri"/>
              </w:rPr>
              <w:t xml:space="preserve">ID Physicians </w:t>
            </w:r>
          </w:p>
        </w:tc>
        <w:tc>
          <w:tcPr>
            <w:tcW w:w="2592" w:type="dxa"/>
            <w:vAlign w:val="center"/>
          </w:tcPr>
          <w:p w:rsidR="00D66240" w:rsidRPr="00687201" w:rsidP="00D66240" w14:paraId="75479625" w14:textId="77777777">
            <w:pPr>
              <w:rPr>
                <w:rFonts w:eastAsia="Calibri"/>
                <w:szCs w:val="24"/>
              </w:rPr>
            </w:pPr>
            <w:r w:rsidRPr="00687201">
              <w:rPr>
                <w:rFonts w:eastAsia="Calibri"/>
              </w:rPr>
              <w:t>Screener</w:t>
            </w:r>
          </w:p>
        </w:tc>
        <w:tc>
          <w:tcPr>
            <w:tcW w:w="1728" w:type="dxa"/>
            <w:shd w:val="clear" w:color="auto" w:fill="auto"/>
            <w:vAlign w:val="center"/>
          </w:tcPr>
          <w:p w:rsidR="00D66240" w:rsidRPr="00687201" w:rsidP="00D66240" w14:paraId="5657F077" w14:textId="1FA3C6CC">
            <w:pPr>
              <w:jc w:val="center"/>
              <w:rPr>
                <w:rFonts w:eastAsia="Calibri"/>
                <w:szCs w:val="24"/>
              </w:rPr>
            </w:pPr>
            <w:r>
              <w:rPr>
                <w:rFonts w:eastAsia="Calibri"/>
                <w:szCs w:val="24"/>
              </w:rPr>
              <w:t>13</w:t>
            </w:r>
          </w:p>
        </w:tc>
        <w:tc>
          <w:tcPr>
            <w:tcW w:w="1728" w:type="dxa"/>
            <w:vAlign w:val="center"/>
          </w:tcPr>
          <w:p w:rsidR="00D66240" w:rsidRPr="00687201" w:rsidP="00D66240" w14:paraId="06B0FC25" w14:textId="3843B0D8">
            <w:pPr>
              <w:jc w:val="right"/>
              <w:rPr>
                <w:rFonts w:eastAsia="Calibri"/>
                <w:szCs w:val="24"/>
              </w:rPr>
            </w:pPr>
            <w:r>
              <w:rPr>
                <w:rFonts w:eastAsia="Calibri"/>
                <w:szCs w:val="24"/>
              </w:rPr>
              <w:t>$109.22</w:t>
            </w:r>
          </w:p>
        </w:tc>
        <w:tc>
          <w:tcPr>
            <w:tcW w:w="1584" w:type="dxa"/>
            <w:vAlign w:val="center"/>
          </w:tcPr>
          <w:p w:rsidR="00D66240" w:rsidRPr="00687201" w:rsidP="00D66240" w14:paraId="4EC5D508" w14:textId="690E475D">
            <w:pPr>
              <w:jc w:val="right"/>
              <w:rPr>
                <w:rFonts w:eastAsia="Calibri"/>
                <w:szCs w:val="24"/>
              </w:rPr>
            </w:pPr>
            <w:r>
              <w:rPr>
                <w:rFonts w:eastAsia="Calibri"/>
                <w:szCs w:val="24"/>
              </w:rPr>
              <w:t>$1,4</w:t>
            </w:r>
            <w:r w:rsidR="00382FD8">
              <w:rPr>
                <w:rFonts w:eastAsia="Calibri"/>
                <w:szCs w:val="24"/>
              </w:rPr>
              <w:t>19.86</w:t>
            </w:r>
          </w:p>
        </w:tc>
      </w:tr>
      <w:tr w14:paraId="0FC888DC" w14:textId="77777777" w:rsidTr="00E903D2">
        <w:tblPrEx>
          <w:tblW w:w="9471" w:type="dxa"/>
          <w:tblLook w:val="04A0"/>
        </w:tblPrEx>
        <w:tc>
          <w:tcPr>
            <w:tcW w:w="1839" w:type="dxa"/>
            <w:vMerge/>
            <w:vAlign w:val="center"/>
          </w:tcPr>
          <w:p w:rsidR="00D66240" w:rsidRPr="004028A0" w:rsidP="00D66240" w14:paraId="0FFC860E" w14:textId="77777777">
            <w:pPr>
              <w:rPr>
                <w:rFonts w:eastAsia="Calibri"/>
                <w:szCs w:val="24"/>
              </w:rPr>
            </w:pPr>
          </w:p>
        </w:tc>
        <w:tc>
          <w:tcPr>
            <w:tcW w:w="2592" w:type="dxa"/>
            <w:vAlign w:val="center"/>
          </w:tcPr>
          <w:p w:rsidR="00D66240" w:rsidP="00D66240" w14:paraId="166928DA" w14:textId="77777777">
            <w:pPr>
              <w:rPr>
                <w:rFonts w:eastAsia="Calibri"/>
              </w:rPr>
            </w:pPr>
            <w:r>
              <w:rPr>
                <w:rFonts w:eastAsia="Calibri"/>
              </w:rPr>
              <w:t xml:space="preserve">Focus Group </w:t>
            </w:r>
            <w:r w:rsidRPr="00144D4A">
              <w:rPr>
                <w:rFonts w:eastAsia="Calibri"/>
              </w:rPr>
              <w:t>Guide</w:t>
            </w:r>
            <w:r>
              <w:rPr>
                <w:rFonts w:eastAsia="Calibri"/>
              </w:rPr>
              <w:t xml:space="preserve"> </w:t>
            </w:r>
          </w:p>
          <w:p w:rsidR="00D66240" w:rsidRPr="00144D4A" w:rsidP="00D66240" w14:paraId="65AF8A25" w14:textId="1F40DCF3">
            <w:pPr>
              <w:rPr>
                <w:rFonts w:eastAsia="Calibri"/>
                <w:szCs w:val="24"/>
              </w:rPr>
            </w:pPr>
            <w:r w:rsidRPr="00165CBA">
              <w:rPr>
                <w:rFonts w:eastAsia="Calibri"/>
                <w:i/>
                <w:iCs/>
              </w:rPr>
              <w:t>(</w:t>
            </w:r>
            <w:r>
              <w:rPr>
                <w:rFonts w:eastAsia="Calibri"/>
                <w:i/>
                <w:iCs/>
              </w:rPr>
              <w:t>FG participation</w:t>
            </w:r>
            <w:r w:rsidRPr="00165CBA">
              <w:rPr>
                <w:rFonts w:eastAsia="Calibri"/>
                <w:i/>
                <w:iCs/>
              </w:rPr>
              <w:t>)</w:t>
            </w:r>
          </w:p>
        </w:tc>
        <w:tc>
          <w:tcPr>
            <w:tcW w:w="1728" w:type="dxa"/>
            <w:vAlign w:val="center"/>
          </w:tcPr>
          <w:p w:rsidR="00D66240" w:rsidRPr="00144D4A" w:rsidP="00D66240" w14:paraId="1A539D16" w14:textId="203183D4">
            <w:pPr>
              <w:jc w:val="center"/>
              <w:rPr>
                <w:rFonts w:eastAsia="Calibri"/>
                <w:szCs w:val="24"/>
              </w:rPr>
            </w:pPr>
            <w:r>
              <w:rPr>
                <w:rFonts w:eastAsia="Calibri"/>
                <w:szCs w:val="24"/>
              </w:rPr>
              <w:t>24</w:t>
            </w:r>
          </w:p>
        </w:tc>
        <w:tc>
          <w:tcPr>
            <w:tcW w:w="1728" w:type="dxa"/>
            <w:vAlign w:val="center"/>
          </w:tcPr>
          <w:p w:rsidR="00D66240" w:rsidRPr="00144D4A" w:rsidP="00D66240" w14:paraId="14BE2132" w14:textId="226D2AC5">
            <w:pPr>
              <w:jc w:val="right"/>
              <w:rPr>
                <w:rFonts w:eastAsia="Calibri"/>
                <w:szCs w:val="24"/>
              </w:rPr>
            </w:pPr>
            <w:r>
              <w:rPr>
                <w:rFonts w:eastAsia="Calibri"/>
                <w:szCs w:val="24"/>
              </w:rPr>
              <w:t>$109.22</w:t>
            </w:r>
          </w:p>
        </w:tc>
        <w:tc>
          <w:tcPr>
            <w:tcW w:w="1584" w:type="dxa"/>
            <w:vAlign w:val="center"/>
          </w:tcPr>
          <w:p w:rsidR="00D66240" w:rsidRPr="00144D4A" w:rsidP="00D66240" w14:paraId="5D0C4A96" w14:textId="0D63787C">
            <w:pPr>
              <w:jc w:val="right"/>
              <w:rPr>
                <w:rFonts w:eastAsia="Calibri"/>
                <w:szCs w:val="24"/>
              </w:rPr>
            </w:pPr>
            <w:r>
              <w:rPr>
                <w:rFonts w:eastAsia="Calibri"/>
                <w:szCs w:val="24"/>
              </w:rPr>
              <w:t>$2,621.28</w:t>
            </w:r>
          </w:p>
        </w:tc>
      </w:tr>
      <w:tr w14:paraId="180F6816" w14:textId="77777777" w:rsidTr="00E903D2">
        <w:tblPrEx>
          <w:tblW w:w="9471" w:type="dxa"/>
          <w:tblLook w:val="04A0"/>
        </w:tblPrEx>
        <w:tc>
          <w:tcPr>
            <w:tcW w:w="1839" w:type="dxa"/>
            <w:vMerge w:val="restart"/>
            <w:vAlign w:val="center"/>
          </w:tcPr>
          <w:p w:rsidR="00D66240" w:rsidRPr="004028A0" w:rsidP="00D66240" w14:paraId="1B372070" w14:textId="79B774C6">
            <w:pPr>
              <w:rPr>
                <w:rFonts w:eastAsia="Calibri"/>
                <w:szCs w:val="24"/>
              </w:rPr>
            </w:pPr>
            <w:r>
              <w:rPr>
                <w:rFonts w:eastAsia="Calibri"/>
                <w:szCs w:val="24"/>
              </w:rPr>
              <w:t>ID and Hospital Pharmacists</w:t>
            </w:r>
          </w:p>
        </w:tc>
        <w:tc>
          <w:tcPr>
            <w:tcW w:w="2592" w:type="dxa"/>
            <w:vAlign w:val="center"/>
          </w:tcPr>
          <w:p w:rsidR="00D66240" w:rsidP="00D66240" w14:paraId="2CE42B3A" w14:textId="77777777">
            <w:pPr>
              <w:rPr>
                <w:rFonts w:eastAsia="Calibri"/>
              </w:rPr>
            </w:pPr>
            <w:r w:rsidRPr="00687201">
              <w:rPr>
                <w:rFonts w:eastAsia="Calibri"/>
              </w:rPr>
              <w:t>Screener</w:t>
            </w:r>
          </w:p>
        </w:tc>
        <w:tc>
          <w:tcPr>
            <w:tcW w:w="1728" w:type="dxa"/>
            <w:vAlign w:val="center"/>
          </w:tcPr>
          <w:p w:rsidR="00D66240" w:rsidP="00D66240" w14:paraId="485B0EEF" w14:textId="73C51D8F">
            <w:pPr>
              <w:jc w:val="center"/>
              <w:rPr>
                <w:rFonts w:eastAsia="Calibri"/>
              </w:rPr>
            </w:pPr>
            <w:r>
              <w:rPr>
                <w:rFonts w:eastAsia="Calibri"/>
              </w:rPr>
              <w:t>7</w:t>
            </w:r>
          </w:p>
        </w:tc>
        <w:tc>
          <w:tcPr>
            <w:tcW w:w="1728" w:type="dxa"/>
            <w:vAlign w:val="center"/>
          </w:tcPr>
          <w:p w:rsidR="00D66240" w:rsidRPr="00144D4A" w:rsidP="00D66240" w14:paraId="6858CFDF" w14:textId="3ED94397">
            <w:pPr>
              <w:jc w:val="right"/>
              <w:rPr>
                <w:rFonts w:eastAsia="Calibri"/>
              </w:rPr>
            </w:pPr>
            <w:r>
              <w:rPr>
                <w:rFonts w:eastAsia="Calibri"/>
              </w:rPr>
              <w:t>$63.82</w:t>
            </w:r>
          </w:p>
        </w:tc>
        <w:tc>
          <w:tcPr>
            <w:tcW w:w="1584" w:type="dxa"/>
            <w:vAlign w:val="center"/>
          </w:tcPr>
          <w:p w:rsidR="00D66240" w:rsidRPr="00144D4A" w:rsidP="00D66240" w14:paraId="322B912D" w14:textId="7197FEC8">
            <w:pPr>
              <w:jc w:val="right"/>
              <w:rPr>
                <w:rFonts w:eastAsia="Calibri"/>
              </w:rPr>
            </w:pPr>
            <w:r>
              <w:rPr>
                <w:rFonts w:eastAsia="Calibri"/>
              </w:rPr>
              <w:t>$4</w:t>
            </w:r>
            <w:r w:rsidR="00382FD8">
              <w:rPr>
                <w:rFonts w:eastAsia="Calibri"/>
              </w:rPr>
              <w:t>46.74</w:t>
            </w:r>
          </w:p>
        </w:tc>
      </w:tr>
      <w:tr w14:paraId="3C88022A" w14:textId="77777777" w:rsidTr="00E903D2">
        <w:tblPrEx>
          <w:tblW w:w="9471" w:type="dxa"/>
          <w:tblLook w:val="04A0"/>
        </w:tblPrEx>
        <w:tc>
          <w:tcPr>
            <w:tcW w:w="1839" w:type="dxa"/>
            <w:vMerge/>
            <w:vAlign w:val="center"/>
          </w:tcPr>
          <w:p w:rsidR="00D66240" w:rsidRPr="004028A0" w:rsidP="00D66240" w14:paraId="7476E553" w14:textId="77777777">
            <w:pPr>
              <w:jc w:val="center"/>
              <w:rPr>
                <w:rFonts w:eastAsia="Calibri"/>
                <w:szCs w:val="24"/>
              </w:rPr>
            </w:pPr>
          </w:p>
        </w:tc>
        <w:tc>
          <w:tcPr>
            <w:tcW w:w="2592" w:type="dxa"/>
            <w:vAlign w:val="center"/>
          </w:tcPr>
          <w:p w:rsidR="00D66240" w:rsidP="00D66240" w14:paraId="4AA55B09" w14:textId="77777777">
            <w:pPr>
              <w:rPr>
                <w:rFonts w:eastAsia="Calibri"/>
              </w:rPr>
            </w:pPr>
            <w:r>
              <w:rPr>
                <w:rFonts w:eastAsia="Calibri"/>
              </w:rPr>
              <w:t xml:space="preserve">Focus Group </w:t>
            </w:r>
            <w:r w:rsidRPr="00144D4A">
              <w:rPr>
                <w:rFonts w:eastAsia="Calibri"/>
              </w:rPr>
              <w:t>Guide</w:t>
            </w:r>
            <w:r>
              <w:rPr>
                <w:rFonts w:eastAsia="Calibri"/>
              </w:rPr>
              <w:t xml:space="preserve"> </w:t>
            </w:r>
          </w:p>
          <w:p w:rsidR="00D66240" w:rsidP="00D66240" w14:paraId="10489119" w14:textId="5B50ED1D">
            <w:pPr>
              <w:rPr>
                <w:rFonts w:eastAsia="Calibri"/>
              </w:rPr>
            </w:pPr>
            <w:r w:rsidRPr="00165CBA">
              <w:rPr>
                <w:rFonts w:eastAsia="Calibri"/>
                <w:i/>
                <w:iCs/>
              </w:rPr>
              <w:t>(</w:t>
            </w:r>
            <w:r>
              <w:rPr>
                <w:rFonts w:eastAsia="Calibri"/>
                <w:i/>
                <w:iCs/>
              </w:rPr>
              <w:t>FG participation</w:t>
            </w:r>
            <w:r w:rsidRPr="00165CBA">
              <w:rPr>
                <w:rFonts w:eastAsia="Calibri"/>
                <w:i/>
                <w:iCs/>
              </w:rPr>
              <w:t>)</w:t>
            </w:r>
          </w:p>
        </w:tc>
        <w:tc>
          <w:tcPr>
            <w:tcW w:w="1728" w:type="dxa"/>
            <w:vAlign w:val="center"/>
          </w:tcPr>
          <w:p w:rsidR="00D66240" w:rsidP="00D66240" w14:paraId="4AF32DF2" w14:textId="122070EC">
            <w:pPr>
              <w:jc w:val="center"/>
              <w:rPr>
                <w:rFonts w:eastAsia="Calibri"/>
              </w:rPr>
            </w:pPr>
            <w:r>
              <w:rPr>
                <w:rFonts w:eastAsia="Calibri"/>
              </w:rPr>
              <w:t>12</w:t>
            </w:r>
          </w:p>
        </w:tc>
        <w:tc>
          <w:tcPr>
            <w:tcW w:w="1728" w:type="dxa"/>
            <w:vAlign w:val="center"/>
          </w:tcPr>
          <w:p w:rsidR="00D66240" w:rsidRPr="00144D4A" w:rsidP="00D66240" w14:paraId="6E3669CA" w14:textId="67CB3115">
            <w:pPr>
              <w:jc w:val="right"/>
              <w:rPr>
                <w:rFonts w:eastAsia="Calibri"/>
              </w:rPr>
            </w:pPr>
            <w:r>
              <w:rPr>
                <w:rFonts w:eastAsia="Calibri"/>
              </w:rPr>
              <w:t>$63.82</w:t>
            </w:r>
          </w:p>
        </w:tc>
        <w:tc>
          <w:tcPr>
            <w:tcW w:w="1584" w:type="dxa"/>
            <w:vAlign w:val="center"/>
          </w:tcPr>
          <w:p w:rsidR="00D66240" w:rsidRPr="00144D4A" w:rsidP="00D66240" w14:paraId="38855229" w14:textId="4A4673A2">
            <w:pPr>
              <w:jc w:val="right"/>
              <w:rPr>
                <w:rFonts w:eastAsia="Calibri"/>
              </w:rPr>
            </w:pPr>
            <w:r>
              <w:rPr>
                <w:rFonts w:eastAsia="Calibri"/>
              </w:rPr>
              <w:t>$765.84</w:t>
            </w:r>
          </w:p>
        </w:tc>
      </w:tr>
      <w:tr w14:paraId="63EFD9AC" w14:textId="77777777" w:rsidTr="00E903D2">
        <w:tblPrEx>
          <w:tblW w:w="9471" w:type="dxa"/>
          <w:tblLook w:val="04A0"/>
        </w:tblPrEx>
        <w:tc>
          <w:tcPr>
            <w:tcW w:w="1839" w:type="dxa"/>
            <w:vAlign w:val="center"/>
          </w:tcPr>
          <w:p w:rsidR="00E903D2" w:rsidRPr="004028A0" w:rsidP="00E903D2" w14:paraId="5D0DFD6B" w14:textId="0B7E0693">
            <w:pPr>
              <w:rPr>
                <w:rFonts w:eastAsia="Calibri"/>
                <w:szCs w:val="24"/>
              </w:rPr>
            </w:pPr>
            <w:r>
              <w:rPr>
                <w:rFonts w:eastAsia="Calibri"/>
                <w:szCs w:val="24"/>
              </w:rPr>
              <w:t>Total</w:t>
            </w:r>
          </w:p>
        </w:tc>
        <w:tc>
          <w:tcPr>
            <w:tcW w:w="2592" w:type="dxa"/>
            <w:vAlign w:val="center"/>
          </w:tcPr>
          <w:p w:rsidR="00E903D2" w:rsidP="00E903D2" w14:paraId="7CBFDD17" w14:textId="77777777">
            <w:pPr>
              <w:rPr>
                <w:rFonts w:eastAsia="Calibri"/>
              </w:rPr>
            </w:pPr>
          </w:p>
        </w:tc>
        <w:tc>
          <w:tcPr>
            <w:tcW w:w="1728" w:type="dxa"/>
            <w:vAlign w:val="center"/>
          </w:tcPr>
          <w:p w:rsidR="00E903D2" w:rsidP="00E903D2" w14:paraId="6791B8C9" w14:textId="77777777">
            <w:pPr>
              <w:jc w:val="center"/>
              <w:rPr>
                <w:rFonts w:eastAsia="Calibri"/>
              </w:rPr>
            </w:pPr>
          </w:p>
        </w:tc>
        <w:tc>
          <w:tcPr>
            <w:tcW w:w="1728" w:type="dxa"/>
            <w:vAlign w:val="center"/>
          </w:tcPr>
          <w:p w:rsidR="00E903D2" w:rsidP="00E903D2" w14:paraId="5C6AD38E" w14:textId="77777777">
            <w:pPr>
              <w:jc w:val="right"/>
              <w:rPr>
                <w:rFonts w:eastAsia="Calibri"/>
              </w:rPr>
            </w:pPr>
          </w:p>
        </w:tc>
        <w:tc>
          <w:tcPr>
            <w:tcW w:w="1584" w:type="dxa"/>
            <w:vAlign w:val="center"/>
          </w:tcPr>
          <w:p w:rsidR="00E903D2" w:rsidRPr="00176B93" w:rsidP="00E903D2" w14:paraId="0942D4F1" w14:textId="6F16230F">
            <w:pPr>
              <w:jc w:val="right"/>
              <w:rPr>
                <w:rFonts w:eastAsia="Calibri"/>
              </w:rPr>
            </w:pPr>
            <w:r w:rsidRPr="00176B93">
              <w:rPr>
                <w:rFonts w:eastAsia="Calibri"/>
              </w:rPr>
              <w:t>$</w:t>
            </w:r>
            <w:r w:rsidRPr="00176B93" w:rsidR="00176B93">
              <w:rPr>
                <w:rFonts w:eastAsia="Calibri"/>
              </w:rPr>
              <w:t>52</w:t>
            </w:r>
            <w:r w:rsidR="00382FD8">
              <w:rPr>
                <w:rFonts w:eastAsia="Calibri"/>
              </w:rPr>
              <w:t>53.72</w:t>
            </w:r>
          </w:p>
        </w:tc>
      </w:tr>
    </w:tbl>
    <w:p w:rsidR="00D609A0" w:rsidP="001C646A" w14:paraId="266D9BDA" w14:textId="77777777">
      <w:pPr>
        <w:spacing w:after="0" w:line="240" w:lineRule="auto"/>
      </w:pPr>
    </w:p>
    <w:p w:rsidR="004A13E8" w:rsidP="001C646A" w14:paraId="55FE17FE" w14:textId="77777777">
      <w:pPr>
        <w:pStyle w:val="Heading1"/>
      </w:pPr>
      <w:bookmarkStart w:id="16" w:name="_Toc473880029"/>
      <w:r>
        <w:t>Estimates of Other Total Annual Cost Burden to Respondents or Record Keepers</w:t>
      </w:r>
      <w:bookmarkEnd w:id="16"/>
    </w:p>
    <w:p w:rsidR="004A13E8" w:rsidRPr="004A13E8" w:rsidP="002F2334" w14:paraId="55FE1800" w14:textId="00A2EF09">
      <w:pPr>
        <w:spacing w:line="240" w:lineRule="auto"/>
      </w:pPr>
      <w:r>
        <w:t>There are no costs to respondents other than their time to participate.</w:t>
      </w:r>
    </w:p>
    <w:p w:rsidR="004A13E8" w:rsidRPr="00687CB6" w:rsidP="002F2334" w14:paraId="55FE1801" w14:textId="77777777">
      <w:pPr>
        <w:pStyle w:val="Heading1"/>
      </w:pPr>
      <w:bookmarkStart w:id="17" w:name="_Toc473880030"/>
      <w:r w:rsidRPr="00687CB6">
        <w:t>Annualized Cost to the Government</w:t>
      </w:r>
      <w:bookmarkEnd w:id="17"/>
    </w:p>
    <w:p w:rsidR="007E0C99" w:rsidRPr="00687CB6" w:rsidP="00687CB6" w14:paraId="373DCB9F" w14:textId="5707C62B">
      <w:pPr>
        <w:spacing w:line="240" w:lineRule="auto"/>
      </w:pPr>
      <w:r w:rsidRPr="00687CB6">
        <w:t>The annualized cost to the Federal Government to collect this information is $</w:t>
      </w:r>
      <w:r w:rsidRPr="00514E10" w:rsidR="00514E10">
        <w:rPr>
          <w:rFonts w:cs="Times New Roman"/>
        </w:rPr>
        <w:t>94,641</w:t>
      </w:r>
      <w:r w:rsidRPr="00687CB6">
        <w:t xml:space="preserve">. Table 3 below describes the cost in more detail. </w:t>
      </w:r>
    </w:p>
    <w:p w:rsidR="007E0C99" w:rsidP="00574914" w14:paraId="228C2903" w14:textId="7188C6DE">
      <w:pPr>
        <w:spacing w:line="240" w:lineRule="auto"/>
        <w:rPr>
          <w:rFonts w:cs="Times New Roman"/>
        </w:rPr>
      </w:pPr>
      <w:r w:rsidRPr="00687CB6">
        <w:t>Recruiting</w:t>
      </w:r>
      <w:r>
        <w:rPr>
          <w:rFonts w:cs="Times New Roman"/>
        </w:rPr>
        <w:t xml:space="preserve"> and interviewing will be conducted by KRC Research, a contracted firm. KRC’s work includes recruitment, screening, scheduling, management of consent forms, conducting focus groups, transcription and data cleaning, reporting, and presentation. Contractor costs cover the work of an existing team working with </w:t>
      </w:r>
      <w:r w:rsidR="00687CB6">
        <w:rPr>
          <w:rFonts w:cs="Times New Roman"/>
        </w:rPr>
        <w:t>DFWED</w:t>
      </w:r>
      <w:r>
        <w:rPr>
          <w:rFonts w:cs="Times New Roman"/>
        </w:rPr>
        <w:t xml:space="preserve"> on this initiative and include </w:t>
      </w:r>
      <w:r w:rsidR="00A17F38">
        <w:rPr>
          <w:rFonts w:cs="Times New Roman"/>
        </w:rPr>
        <w:t>16</w:t>
      </w:r>
      <w:r>
        <w:rPr>
          <w:rFonts w:cs="Times New Roman"/>
        </w:rPr>
        <w:t xml:space="preserve"> hours of labor for a KRC Senior Vice President, </w:t>
      </w:r>
      <w:r w:rsidR="00A17F38">
        <w:rPr>
          <w:rFonts w:cs="Times New Roman"/>
        </w:rPr>
        <w:t>24</w:t>
      </w:r>
      <w:r>
        <w:rPr>
          <w:rFonts w:cs="Times New Roman"/>
        </w:rPr>
        <w:t xml:space="preserve"> hours for a Vice President, </w:t>
      </w:r>
      <w:r w:rsidR="00A17F38">
        <w:rPr>
          <w:rFonts w:cs="Times New Roman"/>
        </w:rPr>
        <w:t>33.5</w:t>
      </w:r>
      <w:r>
        <w:rPr>
          <w:rFonts w:cs="Times New Roman"/>
        </w:rPr>
        <w:t xml:space="preserve"> hours for an Analyst, and </w:t>
      </w:r>
      <w:r w:rsidR="00A17F38">
        <w:rPr>
          <w:rFonts w:cs="Times New Roman"/>
        </w:rPr>
        <w:t>12</w:t>
      </w:r>
      <w:r>
        <w:rPr>
          <w:rFonts w:cs="Times New Roman"/>
        </w:rPr>
        <w:t xml:space="preserve"> hours for a Field Vice President (recruitment management tasks). Hours are tabulated based on existing contractor </w:t>
      </w:r>
      <w:r w:rsidRPr="00687CB6">
        <w:t>hourly rates. Contractor expenses are based on competitively bid prices for panel recruitment / screening and transcription, plus cost of incentives.</w:t>
      </w:r>
    </w:p>
    <w:p w:rsidR="007E0C99" w:rsidRPr="00514E10" w:rsidP="00574914" w14:paraId="159C174E" w14:textId="16235BBF">
      <w:pPr>
        <w:spacing w:line="240" w:lineRule="auto"/>
        <w:rPr>
          <w:rFonts w:cs="Times New Roman"/>
        </w:rPr>
      </w:pPr>
      <w:r>
        <w:t>Oversight</w:t>
      </w:r>
      <w:r w:rsidRPr="2AC6818D">
        <w:rPr>
          <w:rFonts w:cs="Times New Roman"/>
        </w:rPr>
        <w:t xml:space="preserve"> and review of all materials and reports will be conducted b</w:t>
      </w:r>
      <w:r w:rsidRPr="00514E10">
        <w:rPr>
          <w:rFonts w:cs="Times New Roman"/>
        </w:rPr>
        <w:t xml:space="preserve">y </w:t>
      </w:r>
      <w:r w:rsidRPr="00514E10" w:rsidR="48ED49A9">
        <w:rPr>
          <w:rFonts w:cs="Times New Roman"/>
        </w:rPr>
        <w:t>two</w:t>
      </w:r>
      <w:r w:rsidRPr="00514E10">
        <w:rPr>
          <w:rFonts w:cs="Times New Roman"/>
          <w:b/>
          <w:bCs/>
        </w:rPr>
        <w:t xml:space="preserve"> </w:t>
      </w:r>
      <w:r w:rsidRPr="00514E10">
        <w:rPr>
          <w:rFonts w:cs="Times New Roman"/>
        </w:rPr>
        <w:t>fed</w:t>
      </w:r>
      <w:r w:rsidRPr="2AC6818D">
        <w:rPr>
          <w:rFonts w:cs="Times New Roman"/>
        </w:rPr>
        <w:t xml:space="preserve">eral government employees who are </w:t>
      </w:r>
      <w:r w:rsidRPr="2AC6818D" w:rsidR="00DC2D2E">
        <w:rPr>
          <w:rFonts w:cs="Times New Roman"/>
        </w:rPr>
        <w:t>jointly leading</w:t>
      </w:r>
      <w:r w:rsidRPr="2AC6818D">
        <w:rPr>
          <w:rFonts w:cs="Times New Roman"/>
        </w:rPr>
        <w:t xml:space="preserve"> the project. Their work will include providing oversight to KRC Research on the purpose and objectives of the project; guidance and feedback on recruitment, screening, and focus group guide materials; entering the project materials into </w:t>
      </w:r>
      <w:r w:rsidRPr="2AC6818D">
        <w:rPr>
          <w:rFonts w:cs="Times New Roman"/>
        </w:rPr>
        <w:t>CDC’s STARS system for project determination; meeting regularly with KRC Research staff to discuss the project’s progress and answer any questions; reviewing the transcripts and reports; an</w:t>
      </w:r>
      <w:r w:rsidRPr="00514E10">
        <w:rPr>
          <w:rFonts w:cs="Times New Roman"/>
        </w:rPr>
        <w:t xml:space="preserve">d sharing topline findings with </w:t>
      </w:r>
      <w:r w:rsidRPr="00514E10" w:rsidR="00DC2D2E">
        <w:rPr>
          <w:rFonts w:cs="Times New Roman"/>
        </w:rPr>
        <w:t>DFWED</w:t>
      </w:r>
      <w:r w:rsidRPr="00514E10">
        <w:rPr>
          <w:rFonts w:cs="Times New Roman"/>
        </w:rPr>
        <w:t xml:space="preserve"> staff so they can use the findings to strengthen communication messages. The estimate includes </w:t>
      </w:r>
      <w:r w:rsidRPr="00514E10" w:rsidR="00514E10">
        <w:rPr>
          <w:rFonts w:cs="Times New Roman"/>
        </w:rPr>
        <w:t>700</w:t>
      </w:r>
      <w:r w:rsidRPr="00514E10">
        <w:rPr>
          <w:rFonts w:cs="Times New Roman"/>
        </w:rPr>
        <w:t xml:space="preserve"> hours for Health communication specialist 1 and </w:t>
      </w:r>
      <w:r w:rsidRPr="00514E10" w:rsidR="00514E10">
        <w:rPr>
          <w:rFonts w:cs="Times New Roman"/>
        </w:rPr>
        <w:t>500</w:t>
      </w:r>
      <w:r w:rsidRPr="00514E10">
        <w:rPr>
          <w:rFonts w:cs="Times New Roman"/>
        </w:rPr>
        <w:t xml:space="preserve"> hours for Health Communication Specialist 2. </w:t>
      </w:r>
    </w:p>
    <w:p w:rsidR="007E0C99" w:rsidRPr="00514E10" w:rsidP="00574914" w14:paraId="71372CBB" w14:textId="2A69CC6B">
      <w:pPr>
        <w:spacing w:line="240" w:lineRule="auto"/>
        <w:rPr>
          <w:rFonts w:cs="Times New Roman"/>
        </w:rPr>
      </w:pPr>
      <w:r w:rsidRPr="00514E10">
        <w:t>Estimated</w:t>
      </w:r>
      <w:r w:rsidRPr="00514E10">
        <w:rPr>
          <w:rFonts w:cs="Times New Roman"/>
        </w:rPr>
        <w:t xml:space="preserve"> federal employee cost is tabulated based on these employees’ current hourly wages (locality-adjusted GS pay table for Atlanta-area workers):</w:t>
      </w:r>
    </w:p>
    <w:p w:rsidR="007E0C99" w:rsidRPr="00514E10" w:rsidP="009604E1" w14:paraId="6CBBE729" w14:textId="29D03F48">
      <w:pPr>
        <w:pStyle w:val="ListParagraph"/>
        <w:numPr>
          <w:ilvl w:val="0"/>
          <w:numId w:val="9"/>
        </w:numPr>
        <w:spacing w:after="0" w:line="240" w:lineRule="auto"/>
        <w:rPr>
          <w:rFonts w:cs="Times New Roman"/>
        </w:rPr>
      </w:pPr>
      <w:r w:rsidRPr="00514E10">
        <w:rPr>
          <w:rFonts w:cs="Times New Roman"/>
        </w:rPr>
        <w:t>Health Communication Specialist 1</w:t>
      </w:r>
      <w:r w:rsidRPr="00514E10" w:rsidR="6D7EBB23">
        <w:rPr>
          <w:rFonts w:cs="Times New Roman"/>
        </w:rPr>
        <w:t xml:space="preserve"> (CDC Project Officer)</w:t>
      </w:r>
      <w:r w:rsidRPr="00514E10">
        <w:rPr>
          <w:rFonts w:cs="Times New Roman"/>
        </w:rPr>
        <w:t xml:space="preserve">: </w:t>
      </w:r>
      <w:r w:rsidRPr="00514E10" w:rsidR="55EDF9BD">
        <w:rPr>
          <w:rFonts w:cs="Times New Roman"/>
        </w:rPr>
        <w:t>700</w:t>
      </w:r>
      <w:r w:rsidRPr="00514E10">
        <w:rPr>
          <w:rFonts w:cs="Times New Roman"/>
        </w:rPr>
        <w:t xml:space="preserve"> hours @ $</w:t>
      </w:r>
      <w:r w:rsidRPr="00514E10" w:rsidR="02E481CB">
        <w:rPr>
          <w:rFonts w:cs="Times New Roman"/>
        </w:rPr>
        <w:t>50</w:t>
      </w:r>
      <w:r w:rsidRPr="00514E10">
        <w:rPr>
          <w:rFonts w:cs="Times New Roman"/>
        </w:rPr>
        <w:t>/hour = $</w:t>
      </w:r>
      <w:r w:rsidRPr="00514E10" w:rsidR="35406C56">
        <w:rPr>
          <w:rFonts w:cs="Times New Roman"/>
        </w:rPr>
        <w:t>35,000</w:t>
      </w:r>
    </w:p>
    <w:p w:rsidR="007E0C99" w:rsidRPr="00514E10" w:rsidP="009604E1" w14:paraId="7F9FF904" w14:textId="594C0AA5">
      <w:pPr>
        <w:pStyle w:val="ListParagraph"/>
        <w:numPr>
          <w:ilvl w:val="0"/>
          <w:numId w:val="9"/>
        </w:numPr>
        <w:spacing w:after="0" w:line="240" w:lineRule="auto"/>
        <w:rPr>
          <w:rFonts w:cs="Times New Roman"/>
        </w:rPr>
      </w:pPr>
      <w:r w:rsidRPr="00514E10">
        <w:rPr>
          <w:rFonts w:cs="Times New Roman"/>
        </w:rPr>
        <w:t>Health Communication Specialist 2</w:t>
      </w:r>
      <w:r w:rsidRPr="00514E10" w:rsidR="00F6E53B">
        <w:rPr>
          <w:rFonts w:cs="Times New Roman"/>
        </w:rPr>
        <w:t xml:space="preserve"> (CDC Co-Principal Investigator)</w:t>
      </w:r>
      <w:r w:rsidRPr="00514E10">
        <w:rPr>
          <w:rFonts w:cs="Times New Roman"/>
        </w:rPr>
        <w:t xml:space="preserve">: </w:t>
      </w:r>
      <w:r w:rsidRPr="00514E10" w:rsidR="26ED0042">
        <w:rPr>
          <w:rFonts w:cs="Times New Roman"/>
        </w:rPr>
        <w:t>500</w:t>
      </w:r>
      <w:r w:rsidRPr="00514E10">
        <w:rPr>
          <w:rFonts w:cs="Times New Roman"/>
        </w:rPr>
        <w:t xml:space="preserve"> hours @ $</w:t>
      </w:r>
      <w:r w:rsidRPr="00514E10" w:rsidR="777CD60F">
        <w:rPr>
          <w:rFonts w:cs="Times New Roman"/>
        </w:rPr>
        <w:t>50</w:t>
      </w:r>
      <w:r w:rsidRPr="00514E10">
        <w:rPr>
          <w:rFonts w:cs="Times New Roman"/>
        </w:rPr>
        <w:t>/hour = $</w:t>
      </w:r>
      <w:r w:rsidRPr="00514E10" w:rsidR="0EB6D849">
        <w:rPr>
          <w:rFonts w:cs="Times New Roman"/>
        </w:rPr>
        <w:t>25,000</w:t>
      </w:r>
    </w:p>
    <w:p w:rsidR="007E0C99" w:rsidRPr="00514E10" w:rsidP="009604E1" w14:paraId="372108A9" w14:textId="55413076">
      <w:pPr>
        <w:pStyle w:val="ListParagraph"/>
        <w:numPr>
          <w:ilvl w:val="0"/>
          <w:numId w:val="9"/>
        </w:numPr>
        <w:spacing w:after="0" w:line="240" w:lineRule="auto"/>
        <w:rPr>
          <w:rFonts w:cs="Times New Roman"/>
        </w:rPr>
      </w:pPr>
      <w:r w:rsidRPr="00514E10">
        <w:rPr>
          <w:rFonts w:cs="Times New Roman"/>
        </w:rPr>
        <w:t>Total = $</w:t>
      </w:r>
      <w:r w:rsidRPr="00514E10" w:rsidR="68A4080B">
        <w:rPr>
          <w:rFonts w:cs="Times New Roman"/>
        </w:rPr>
        <w:t>60,000</w:t>
      </w:r>
    </w:p>
    <w:p w:rsidR="007E0C99" w:rsidP="002F2334" w14:paraId="09561F21" w14:textId="77777777">
      <w:pPr>
        <w:spacing w:after="0" w:line="240" w:lineRule="auto"/>
        <w:jc w:val="both"/>
        <w:rPr>
          <w:rFonts w:cs="Times New Roman"/>
        </w:rPr>
      </w:pPr>
    </w:p>
    <w:p w:rsidR="007E0C99" w:rsidP="002F2334" w14:paraId="47F4DF66" w14:textId="77777777">
      <w:pPr>
        <w:spacing w:after="0" w:line="240" w:lineRule="auto"/>
        <w:jc w:val="both"/>
        <w:rPr>
          <w:rFonts w:cs="Times New Roman"/>
          <w:i/>
          <w:iCs/>
        </w:rPr>
      </w:pPr>
      <w:r w:rsidRPr="00BF4D70">
        <w:rPr>
          <w:rFonts w:cs="Times New Roman"/>
          <w:i/>
          <w:iCs/>
        </w:rPr>
        <w:t>Table 3.</w:t>
      </w:r>
      <w:r w:rsidRPr="00BF4D70">
        <w:rPr>
          <w:i/>
          <w:iCs/>
        </w:rPr>
        <w:t xml:space="preserve"> </w:t>
      </w:r>
      <w:r w:rsidRPr="00BF4D70">
        <w:rPr>
          <w:rFonts w:cs="Times New Roman"/>
          <w:i/>
          <w:iCs/>
        </w:rPr>
        <w:t>Estimated Annualized Cost to the Government per Activity</w:t>
      </w:r>
    </w:p>
    <w:tbl>
      <w:tblPr>
        <w:tblStyle w:val="TableGrid"/>
        <w:tblW w:w="0" w:type="auto"/>
        <w:tblLook w:val="04A0"/>
      </w:tblPr>
      <w:tblGrid>
        <w:gridCol w:w="7200"/>
        <w:gridCol w:w="2122"/>
      </w:tblGrid>
      <w:tr w14:paraId="3295D564" w14:textId="77777777" w:rsidTr="2AC6818D">
        <w:tblPrEx>
          <w:tblW w:w="0" w:type="auto"/>
          <w:tblLook w:val="04A0"/>
        </w:tblPrEx>
        <w:trPr>
          <w:trHeight w:val="432"/>
        </w:trPr>
        <w:tc>
          <w:tcPr>
            <w:tcW w:w="7200" w:type="dxa"/>
            <w:vAlign w:val="center"/>
          </w:tcPr>
          <w:p w:rsidR="007E0C99" w:rsidRPr="00D525E8" w:rsidP="002F2334" w14:paraId="182B1E8E" w14:textId="77777777">
            <w:pPr>
              <w:rPr>
                <w:rFonts w:cs="Times New Roman"/>
                <w:b/>
                <w:bCs/>
              </w:rPr>
            </w:pPr>
            <w:r w:rsidRPr="00D525E8">
              <w:rPr>
                <w:rFonts w:cs="Times New Roman"/>
                <w:b/>
                <w:bCs/>
              </w:rPr>
              <w:t>Cost Category</w:t>
            </w:r>
          </w:p>
        </w:tc>
        <w:tc>
          <w:tcPr>
            <w:tcW w:w="2122" w:type="dxa"/>
            <w:vAlign w:val="center"/>
          </w:tcPr>
          <w:p w:rsidR="007E0C99" w:rsidRPr="00D525E8" w:rsidP="002F2334" w14:paraId="493FE089" w14:textId="77777777">
            <w:pPr>
              <w:jc w:val="center"/>
              <w:rPr>
                <w:rFonts w:cs="Times New Roman"/>
                <w:b/>
                <w:bCs/>
              </w:rPr>
            </w:pPr>
            <w:r w:rsidRPr="00D525E8">
              <w:rPr>
                <w:rFonts w:cs="Times New Roman"/>
                <w:b/>
                <w:bCs/>
              </w:rPr>
              <w:t>Estimated Annualized Cost</w:t>
            </w:r>
          </w:p>
        </w:tc>
      </w:tr>
      <w:tr w14:paraId="1CA2992E" w14:textId="77777777" w:rsidTr="2AC6818D">
        <w:tblPrEx>
          <w:tblW w:w="0" w:type="auto"/>
          <w:tblLook w:val="04A0"/>
        </w:tblPrEx>
        <w:trPr>
          <w:trHeight w:val="432"/>
        </w:trPr>
        <w:tc>
          <w:tcPr>
            <w:tcW w:w="7200" w:type="dxa"/>
            <w:vAlign w:val="center"/>
          </w:tcPr>
          <w:p w:rsidR="007E0C99" w:rsidRPr="00EA768C" w:rsidP="002F2334" w14:paraId="39282D34" w14:textId="77E996FA">
            <w:pPr>
              <w:rPr>
                <w:rFonts w:cs="Times New Roman"/>
              </w:rPr>
            </w:pPr>
            <w:r>
              <w:rPr>
                <w:rFonts w:cs="Times New Roman"/>
              </w:rPr>
              <w:t xml:space="preserve">Contractor personnel costs: costs to oversee recruit, conduct </w:t>
            </w:r>
            <w:r w:rsidR="00547009">
              <w:rPr>
                <w:rFonts w:cs="Times New Roman"/>
              </w:rPr>
              <w:t>focus groups</w:t>
            </w:r>
          </w:p>
        </w:tc>
        <w:tc>
          <w:tcPr>
            <w:tcW w:w="2122" w:type="dxa"/>
            <w:vAlign w:val="center"/>
          </w:tcPr>
          <w:p w:rsidR="007E0C99" w:rsidRPr="00DC2D2E" w:rsidP="002F2334" w14:paraId="555AEF7E" w14:textId="70D6FBF2">
            <w:pPr>
              <w:jc w:val="right"/>
              <w:rPr>
                <w:rFonts w:cs="Times New Roman"/>
              </w:rPr>
            </w:pPr>
            <w:r w:rsidRPr="00DC2D2E">
              <w:rPr>
                <w:rFonts w:cs="Times New Roman"/>
              </w:rPr>
              <w:t>$</w:t>
            </w:r>
            <w:r w:rsidRPr="00DC2D2E" w:rsidR="00DC2D2E">
              <w:rPr>
                <w:rFonts w:cs="Times New Roman"/>
              </w:rPr>
              <w:t>8,629</w:t>
            </w:r>
          </w:p>
        </w:tc>
      </w:tr>
      <w:tr w14:paraId="1D33D942" w14:textId="77777777" w:rsidTr="2AC6818D">
        <w:tblPrEx>
          <w:tblW w:w="0" w:type="auto"/>
          <w:tblLook w:val="04A0"/>
        </w:tblPrEx>
        <w:trPr>
          <w:trHeight w:val="432"/>
        </w:trPr>
        <w:tc>
          <w:tcPr>
            <w:tcW w:w="7200" w:type="dxa"/>
            <w:vAlign w:val="center"/>
          </w:tcPr>
          <w:p w:rsidR="007E0C99" w:rsidRPr="00EA768C" w:rsidP="002F2334" w14:paraId="24DB3C79" w14:textId="77777777">
            <w:pPr>
              <w:rPr>
                <w:rFonts w:cs="Times New Roman"/>
              </w:rPr>
            </w:pPr>
            <w:r>
              <w:rPr>
                <w:rFonts w:cs="Times New Roman"/>
              </w:rPr>
              <w:t>Contractor personnel costs: costs to report on results</w:t>
            </w:r>
          </w:p>
        </w:tc>
        <w:tc>
          <w:tcPr>
            <w:tcW w:w="2122" w:type="dxa"/>
            <w:vAlign w:val="center"/>
          </w:tcPr>
          <w:p w:rsidR="007E0C99" w:rsidRPr="00DC2D2E" w:rsidP="002F2334" w14:paraId="09ABC1BB" w14:textId="183C1A66">
            <w:pPr>
              <w:jc w:val="right"/>
              <w:rPr>
                <w:rFonts w:cs="Times New Roman"/>
              </w:rPr>
            </w:pPr>
            <w:r w:rsidRPr="00DC2D2E">
              <w:rPr>
                <w:rFonts w:cs="Times New Roman"/>
              </w:rPr>
              <w:t>$</w:t>
            </w:r>
            <w:r w:rsidRPr="00DC2D2E" w:rsidR="00A17F38">
              <w:rPr>
                <w:rFonts w:cs="Times New Roman"/>
              </w:rPr>
              <w:t>5,897</w:t>
            </w:r>
          </w:p>
        </w:tc>
      </w:tr>
      <w:tr w14:paraId="09915B5C" w14:textId="77777777" w:rsidTr="2AC6818D">
        <w:tblPrEx>
          <w:tblW w:w="0" w:type="auto"/>
          <w:tblLook w:val="04A0"/>
        </w:tblPrEx>
        <w:trPr>
          <w:trHeight w:val="432"/>
        </w:trPr>
        <w:tc>
          <w:tcPr>
            <w:tcW w:w="7200" w:type="dxa"/>
            <w:vAlign w:val="center"/>
          </w:tcPr>
          <w:p w:rsidR="007E0C99" w:rsidP="002F2334" w14:paraId="692286E6" w14:textId="77777777">
            <w:pPr>
              <w:rPr>
                <w:rFonts w:cs="Times New Roman"/>
              </w:rPr>
            </w:pPr>
            <w:r>
              <w:rPr>
                <w:rFonts w:cs="Times New Roman"/>
              </w:rPr>
              <w:t>Contractor expenses: recruitment panel, transcription, incentives</w:t>
            </w:r>
          </w:p>
        </w:tc>
        <w:tc>
          <w:tcPr>
            <w:tcW w:w="2122" w:type="dxa"/>
            <w:vAlign w:val="center"/>
          </w:tcPr>
          <w:p w:rsidR="007E0C99" w:rsidRPr="00DC2D2E" w:rsidP="002F2334" w14:paraId="6C9E2228" w14:textId="4E842559">
            <w:pPr>
              <w:jc w:val="right"/>
              <w:rPr>
                <w:rFonts w:cs="Times New Roman"/>
              </w:rPr>
            </w:pPr>
            <w:r w:rsidRPr="00DC2D2E">
              <w:rPr>
                <w:rFonts w:cs="Times New Roman"/>
              </w:rPr>
              <w:t>$</w:t>
            </w:r>
            <w:r w:rsidRPr="00DC2D2E" w:rsidR="00DC2D2E">
              <w:rPr>
                <w:rFonts w:cs="Times New Roman"/>
              </w:rPr>
              <w:t>20,115</w:t>
            </w:r>
          </w:p>
        </w:tc>
      </w:tr>
      <w:tr w14:paraId="5646A226" w14:textId="77777777" w:rsidTr="2AC6818D">
        <w:tblPrEx>
          <w:tblW w:w="0" w:type="auto"/>
          <w:tblLook w:val="04A0"/>
        </w:tblPrEx>
        <w:trPr>
          <w:trHeight w:val="432"/>
        </w:trPr>
        <w:tc>
          <w:tcPr>
            <w:tcW w:w="7200" w:type="dxa"/>
            <w:vAlign w:val="center"/>
          </w:tcPr>
          <w:p w:rsidR="007E0C99" w:rsidP="002F2334" w14:paraId="286A9198" w14:textId="77777777">
            <w:pPr>
              <w:rPr>
                <w:rFonts w:cs="Times New Roman"/>
              </w:rPr>
            </w:pPr>
            <w:r>
              <w:rPr>
                <w:rFonts w:cs="Times New Roman"/>
              </w:rPr>
              <w:t>Federal government personnel costs: oversight, report review</w:t>
            </w:r>
          </w:p>
        </w:tc>
        <w:tc>
          <w:tcPr>
            <w:tcW w:w="2122" w:type="dxa"/>
            <w:vAlign w:val="center"/>
          </w:tcPr>
          <w:p w:rsidR="007E0C99" w:rsidRPr="008C5448" w:rsidP="002F2334" w14:paraId="1B603E66" w14:textId="23612081">
            <w:pPr>
              <w:jc w:val="right"/>
              <w:rPr>
                <w:rFonts w:cs="Times New Roman"/>
              </w:rPr>
            </w:pPr>
            <w:r w:rsidRPr="2AC6818D">
              <w:rPr>
                <w:rFonts w:cs="Times New Roman"/>
              </w:rPr>
              <w:t>$</w:t>
            </w:r>
            <w:r w:rsidRPr="2AC6818D" w:rsidR="04A2D2F6">
              <w:rPr>
                <w:rFonts w:cs="Times New Roman"/>
              </w:rPr>
              <w:t>60,000</w:t>
            </w:r>
          </w:p>
        </w:tc>
      </w:tr>
      <w:tr w14:paraId="016C3DE7" w14:textId="77777777" w:rsidTr="2AC6818D">
        <w:tblPrEx>
          <w:tblW w:w="0" w:type="auto"/>
          <w:tblLook w:val="04A0"/>
        </w:tblPrEx>
        <w:trPr>
          <w:trHeight w:val="432"/>
        </w:trPr>
        <w:tc>
          <w:tcPr>
            <w:tcW w:w="7200" w:type="dxa"/>
            <w:vAlign w:val="center"/>
          </w:tcPr>
          <w:p w:rsidR="007E0C99" w:rsidP="002F2334" w14:paraId="6EC77680" w14:textId="77777777">
            <w:pPr>
              <w:rPr>
                <w:rFonts w:cs="Times New Roman"/>
              </w:rPr>
            </w:pPr>
            <w:r>
              <w:rPr>
                <w:rFonts w:cs="Times New Roman"/>
              </w:rPr>
              <w:t>Total</w:t>
            </w:r>
          </w:p>
        </w:tc>
        <w:tc>
          <w:tcPr>
            <w:tcW w:w="2122" w:type="dxa"/>
            <w:vAlign w:val="center"/>
          </w:tcPr>
          <w:p w:rsidR="007E0C99" w:rsidRPr="00547009" w:rsidP="002F2334" w14:paraId="7519FF83" w14:textId="0E3E85EB">
            <w:pPr>
              <w:jc w:val="right"/>
              <w:rPr>
                <w:rFonts w:cs="Times New Roman"/>
                <w:highlight w:val="yellow"/>
              </w:rPr>
            </w:pPr>
            <w:r w:rsidRPr="00514E10">
              <w:rPr>
                <w:rFonts w:cs="Times New Roman"/>
              </w:rPr>
              <w:t>$94,641</w:t>
            </w:r>
          </w:p>
        </w:tc>
      </w:tr>
    </w:tbl>
    <w:p w:rsidR="006969B7" w:rsidP="006969B7" w14:paraId="455EAC42" w14:textId="77777777">
      <w:pPr>
        <w:pStyle w:val="Heading1"/>
        <w:numPr>
          <w:ilvl w:val="0"/>
          <w:numId w:val="0"/>
        </w:numPr>
        <w:spacing w:after="0"/>
        <w:ind w:left="360"/>
      </w:pPr>
      <w:bookmarkStart w:id="18" w:name="_Toc473880031"/>
    </w:p>
    <w:p w:rsidR="004A13E8" w:rsidP="006969B7" w14:paraId="55FE1810" w14:textId="208FBD52">
      <w:pPr>
        <w:pStyle w:val="Heading1"/>
      </w:pPr>
      <w:r>
        <w:t>Explanation for Program Changes or Adjustments</w:t>
      </w:r>
      <w:bookmarkEnd w:id="18"/>
    </w:p>
    <w:p w:rsidR="00F2121E" w:rsidRPr="00F2121E" w:rsidP="002F2334" w14:paraId="5E28B83B" w14:textId="77777777">
      <w:pPr>
        <w:pStyle w:val="Heading1"/>
        <w:numPr>
          <w:ilvl w:val="0"/>
          <w:numId w:val="0"/>
        </w:numPr>
      </w:pPr>
      <w:bookmarkStart w:id="19" w:name="_Toc473880032"/>
      <w:r w:rsidRPr="00F2121E">
        <w:rPr>
          <w:b w:val="0"/>
        </w:rPr>
        <w:t>No change in burden is requested as this is a new information collection.</w:t>
      </w:r>
    </w:p>
    <w:p w:rsidR="004A13E8" w:rsidP="002F2334" w14:paraId="55FE1812" w14:textId="013B61EF">
      <w:pPr>
        <w:pStyle w:val="Heading1"/>
      </w:pPr>
      <w:r>
        <w:t>Plans for Tabulation and Publication and Project Time Schedule</w:t>
      </w:r>
      <w:bookmarkEnd w:id="19"/>
    </w:p>
    <w:p w:rsidR="00A82C88" w:rsidP="002F2334" w14:paraId="4F205F83" w14:textId="402F3A9D">
      <w:pPr>
        <w:spacing w:line="240" w:lineRule="auto"/>
      </w:pPr>
      <w:r>
        <w:t xml:space="preserve">This initiative is expected to take </w:t>
      </w:r>
      <w:r w:rsidR="006969B7">
        <w:t>nine</w:t>
      </w:r>
      <w:r w:rsidR="00535051">
        <w:t xml:space="preserve"> weeks from start to finish. </w:t>
      </w:r>
      <w:r w:rsidR="006969B7">
        <w:t>Three</w:t>
      </w:r>
      <w:r w:rsidR="00535051">
        <w:t xml:space="preserve"> weeks will be spent recruiting</w:t>
      </w:r>
      <w:r w:rsidR="006969B7">
        <w:t xml:space="preserve"> participants, three weeks will be spent </w:t>
      </w:r>
      <w:r w:rsidR="00535051">
        <w:t xml:space="preserve">and conducting focus groups, and </w:t>
      </w:r>
      <w:r w:rsidR="006969B7">
        <w:t>three</w:t>
      </w:r>
      <w:r w:rsidR="00535051">
        <w:t xml:space="preserve"> weeks will be spent in analysis and reporting. A timeline is available in Table 4. </w:t>
      </w:r>
    </w:p>
    <w:p w:rsidR="00535051" w:rsidP="002F2334" w14:paraId="6B9F65D9" w14:textId="77777777">
      <w:pPr>
        <w:spacing w:after="0" w:line="240" w:lineRule="auto"/>
        <w:jc w:val="both"/>
        <w:rPr>
          <w:rFonts w:cs="Times New Roman"/>
          <w:i/>
        </w:rPr>
      </w:pPr>
      <w:r>
        <w:rPr>
          <w:rFonts w:cs="Times New Roman"/>
          <w:i/>
        </w:rPr>
        <w:t xml:space="preserve">Table 4. </w:t>
      </w:r>
      <w:r w:rsidRPr="004B1B52">
        <w:rPr>
          <w:rFonts w:cs="Times New Roman"/>
          <w:i/>
        </w:rPr>
        <w:t>Project Time Schedule</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3"/>
        <w:gridCol w:w="4863"/>
      </w:tblGrid>
      <w:tr w14:paraId="5B65F635" w14:textId="77777777" w:rsidTr="00E903D2">
        <w:tblPrEx>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3" w:type="pct"/>
            <w:shd w:val="clear" w:color="auto" w:fill="auto"/>
            <w:noWrap/>
          </w:tcPr>
          <w:p w:rsidR="00535051" w:rsidRPr="009E6489" w:rsidP="002F2334" w14:paraId="5D1337E8" w14:textId="77777777">
            <w:pPr>
              <w:keepNext/>
              <w:widowControl w:val="0"/>
              <w:autoSpaceDE w:val="0"/>
              <w:autoSpaceDN w:val="0"/>
              <w:adjustRightInd w:val="0"/>
              <w:spacing w:before="40" w:after="40" w:line="240" w:lineRule="auto"/>
              <w:jc w:val="both"/>
              <w:rPr>
                <w:rFonts w:cs="Times New Roman"/>
                <w:b/>
              </w:rPr>
            </w:pPr>
            <w:r w:rsidRPr="009E6489">
              <w:rPr>
                <w:rFonts w:cs="Times New Roman"/>
                <w:b/>
              </w:rPr>
              <w:t>Activity</w:t>
            </w:r>
          </w:p>
        </w:tc>
        <w:tc>
          <w:tcPr>
            <w:tcW w:w="2607" w:type="pct"/>
            <w:shd w:val="clear" w:color="auto" w:fill="auto"/>
          </w:tcPr>
          <w:p w:rsidR="00535051" w:rsidRPr="009E6489" w:rsidP="002F2334" w14:paraId="4554A5B5" w14:textId="77777777">
            <w:pPr>
              <w:keepNext/>
              <w:widowControl w:val="0"/>
              <w:autoSpaceDE w:val="0"/>
              <w:autoSpaceDN w:val="0"/>
              <w:adjustRightInd w:val="0"/>
              <w:spacing w:before="40" w:after="40" w:line="240" w:lineRule="auto"/>
              <w:jc w:val="both"/>
              <w:rPr>
                <w:rFonts w:cs="Times New Roman"/>
                <w:b/>
              </w:rPr>
            </w:pPr>
            <w:r w:rsidRPr="009E6489">
              <w:rPr>
                <w:rFonts w:cs="Times New Roman"/>
                <w:b/>
              </w:rPr>
              <w:t>Time Schedule</w:t>
            </w:r>
          </w:p>
        </w:tc>
      </w:tr>
      <w:tr w14:paraId="38EE2000" w14:textId="77777777" w:rsidTr="00E903D2">
        <w:tblPrEx>
          <w:tblW w:w="4987" w:type="pct"/>
          <w:tblLook w:val="01E0"/>
        </w:tblPrEx>
        <w:tc>
          <w:tcPr>
            <w:tcW w:w="2393" w:type="pct"/>
            <w:shd w:val="clear" w:color="auto" w:fill="auto"/>
            <w:noWrap/>
          </w:tcPr>
          <w:p w:rsidR="00535051" w:rsidRPr="009E6489" w:rsidP="002F2334" w14:paraId="71A326D8" w14:textId="5ABA903D">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Recruit participants </w:t>
            </w:r>
          </w:p>
        </w:tc>
        <w:tc>
          <w:tcPr>
            <w:tcW w:w="2607" w:type="pct"/>
            <w:shd w:val="clear" w:color="auto" w:fill="auto"/>
            <w:vAlign w:val="center"/>
          </w:tcPr>
          <w:p w:rsidR="00535051" w:rsidRPr="009E6489" w:rsidP="002F2334" w14:paraId="1B161346" w14:textId="1A218670">
            <w:pPr>
              <w:keepNext/>
              <w:widowControl w:val="0"/>
              <w:autoSpaceDE w:val="0"/>
              <w:autoSpaceDN w:val="0"/>
              <w:adjustRightInd w:val="0"/>
              <w:spacing w:before="40" w:after="40" w:line="240" w:lineRule="auto"/>
              <w:rPr>
                <w:rFonts w:cs="Times New Roman"/>
                <w:bCs/>
              </w:rPr>
            </w:pPr>
            <w:r>
              <w:rPr>
                <w:rFonts w:cs="Times New Roman"/>
                <w:bCs/>
              </w:rPr>
              <w:t>3 weeks, beginning immediately after gen-IC approved</w:t>
            </w:r>
          </w:p>
        </w:tc>
      </w:tr>
      <w:tr w14:paraId="6DEAC907" w14:textId="77777777" w:rsidTr="00E903D2">
        <w:tblPrEx>
          <w:tblW w:w="4987" w:type="pct"/>
          <w:tblLook w:val="01E0"/>
        </w:tblPrEx>
        <w:tc>
          <w:tcPr>
            <w:tcW w:w="2393" w:type="pct"/>
            <w:shd w:val="clear" w:color="auto" w:fill="auto"/>
            <w:noWrap/>
          </w:tcPr>
          <w:p w:rsidR="00535051" w:rsidRPr="009E6489" w:rsidP="002F2334" w14:paraId="224E62FD" w14:textId="2A937C22">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Conduct </w:t>
            </w:r>
            <w:r>
              <w:rPr>
                <w:rFonts w:eastAsiaTheme="majorEastAsia" w:cs="Times New Roman"/>
              </w:rPr>
              <w:t>focus groups</w:t>
            </w:r>
            <w:r w:rsidRPr="009E6489">
              <w:rPr>
                <w:rFonts w:eastAsiaTheme="majorEastAsia" w:cs="Times New Roman"/>
              </w:rPr>
              <w:t xml:space="preserve"> </w:t>
            </w:r>
          </w:p>
        </w:tc>
        <w:tc>
          <w:tcPr>
            <w:tcW w:w="2607" w:type="pct"/>
            <w:shd w:val="clear" w:color="auto" w:fill="auto"/>
            <w:vAlign w:val="center"/>
          </w:tcPr>
          <w:p w:rsidR="00535051" w:rsidRPr="009E6489" w:rsidP="002F2334" w14:paraId="34384639" w14:textId="7A372D8D">
            <w:pPr>
              <w:keepNext/>
              <w:widowControl w:val="0"/>
              <w:autoSpaceDE w:val="0"/>
              <w:autoSpaceDN w:val="0"/>
              <w:adjustRightInd w:val="0"/>
              <w:spacing w:before="40" w:after="40" w:line="240" w:lineRule="auto"/>
              <w:rPr>
                <w:rFonts w:cs="Times New Roman"/>
                <w:bCs/>
              </w:rPr>
            </w:pPr>
            <w:r>
              <w:rPr>
                <w:rFonts w:eastAsiaTheme="majorEastAsia" w:cs="Times New Roman"/>
              </w:rPr>
              <w:t>3</w:t>
            </w:r>
            <w:r w:rsidRPr="009E6489">
              <w:rPr>
                <w:rFonts w:eastAsiaTheme="majorEastAsia" w:cs="Times New Roman"/>
              </w:rPr>
              <w:t xml:space="preserve"> weeks</w:t>
            </w:r>
            <w:r w:rsidR="005F2BAB">
              <w:rPr>
                <w:rFonts w:eastAsiaTheme="majorEastAsia" w:cs="Times New Roman"/>
              </w:rPr>
              <w:t xml:space="preserve"> after recruitment</w:t>
            </w:r>
          </w:p>
        </w:tc>
      </w:tr>
      <w:tr w14:paraId="66CBCE74" w14:textId="77777777" w:rsidTr="00E903D2">
        <w:tblPrEx>
          <w:tblW w:w="4987" w:type="pct"/>
          <w:tblLook w:val="01E0"/>
        </w:tblPrEx>
        <w:tc>
          <w:tcPr>
            <w:tcW w:w="2393" w:type="pct"/>
            <w:shd w:val="clear" w:color="auto" w:fill="auto"/>
            <w:noWrap/>
          </w:tcPr>
          <w:p w:rsidR="00535051" w:rsidRPr="009E6489" w:rsidP="002F2334" w14:paraId="632F06F4" w14:textId="65A3D40E">
            <w:pPr>
              <w:keepNext/>
              <w:widowControl w:val="0"/>
              <w:autoSpaceDE w:val="0"/>
              <w:autoSpaceDN w:val="0"/>
              <w:adjustRightInd w:val="0"/>
              <w:spacing w:before="40" w:after="40" w:line="240" w:lineRule="auto"/>
              <w:jc w:val="both"/>
              <w:rPr>
                <w:rFonts w:cs="Times New Roman"/>
                <w:bCs/>
              </w:rPr>
            </w:pPr>
            <w:r>
              <w:rPr>
                <w:rFonts w:eastAsiaTheme="majorEastAsia" w:cs="Times New Roman"/>
              </w:rPr>
              <w:t>Transcription</w:t>
            </w:r>
            <w:r w:rsidR="001D6401">
              <w:rPr>
                <w:rFonts w:eastAsiaTheme="majorEastAsia" w:cs="Times New Roman"/>
              </w:rPr>
              <w:t>, a</w:t>
            </w:r>
            <w:r>
              <w:rPr>
                <w:rFonts w:eastAsiaTheme="majorEastAsia" w:cs="Times New Roman"/>
              </w:rPr>
              <w:t>nalysis</w:t>
            </w:r>
            <w:r w:rsidR="001D6401">
              <w:rPr>
                <w:rFonts w:eastAsiaTheme="majorEastAsia" w:cs="Times New Roman"/>
              </w:rPr>
              <w:t>, report development</w:t>
            </w:r>
          </w:p>
        </w:tc>
        <w:tc>
          <w:tcPr>
            <w:tcW w:w="2607" w:type="pct"/>
            <w:shd w:val="clear" w:color="auto" w:fill="auto"/>
            <w:vAlign w:val="center"/>
          </w:tcPr>
          <w:p w:rsidR="00535051" w:rsidRPr="009E6489" w:rsidP="002F2334" w14:paraId="1E2AB0C2" w14:textId="5DAFEBE3">
            <w:pPr>
              <w:keepNext/>
              <w:widowControl w:val="0"/>
              <w:autoSpaceDE w:val="0"/>
              <w:autoSpaceDN w:val="0"/>
              <w:adjustRightInd w:val="0"/>
              <w:spacing w:before="40" w:after="40" w:line="240" w:lineRule="auto"/>
              <w:rPr>
                <w:rFonts w:cs="Times New Roman"/>
                <w:bCs/>
              </w:rPr>
            </w:pPr>
            <w:r>
              <w:rPr>
                <w:rFonts w:cs="Times New Roman"/>
                <w:bCs/>
              </w:rPr>
              <w:t>3</w:t>
            </w:r>
            <w:r w:rsidRPr="009E6489">
              <w:rPr>
                <w:rFonts w:cs="Times New Roman"/>
                <w:bCs/>
              </w:rPr>
              <w:t xml:space="preserve"> week</w:t>
            </w:r>
            <w:r>
              <w:rPr>
                <w:rFonts w:cs="Times New Roman"/>
                <w:bCs/>
              </w:rPr>
              <w:t>s</w:t>
            </w:r>
            <w:r w:rsidRPr="009E6489">
              <w:rPr>
                <w:rFonts w:cs="Times New Roman"/>
                <w:bCs/>
              </w:rPr>
              <w:t xml:space="preserve"> after </w:t>
            </w:r>
            <w:r>
              <w:rPr>
                <w:rFonts w:cs="Times New Roman"/>
                <w:bCs/>
              </w:rPr>
              <w:t>focus groups</w:t>
            </w:r>
            <w:r w:rsidRPr="009E6489">
              <w:rPr>
                <w:rFonts w:cs="Times New Roman"/>
                <w:bCs/>
              </w:rPr>
              <w:t xml:space="preserve"> end</w:t>
            </w:r>
          </w:p>
        </w:tc>
      </w:tr>
      <w:tr w14:paraId="68D37F94" w14:textId="77777777" w:rsidTr="00E903D2">
        <w:tblPrEx>
          <w:tblW w:w="4987" w:type="pct"/>
          <w:tblLook w:val="01E0"/>
        </w:tblPrEx>
        <w:tc>
          <w:tcPr>
            <w:tcW w:w="2393" w:type="pct"/>
            <w:shd w:val="clear" w:color="auto" w:fill="auto"/>
            <w:noWrap/>
          </w:tcPr>
          <w:p w:rsidR="00535051" w:rsidRPr="009E6489" w:rsidP="002F2334" w14:paraId="12CC2091" w14:textId="77777777">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Disseminate results/reports </w:t>
            </w:r>
          </w:p>
        </w:tc>
        <w:tc>
          <w:tcPr>
            <w:tcW w:w="2607" w:type="pct"/>
            <w:shd w:val="clear" w:color="auto" w:fill="auto"/>
            <w:vAlign w:val="center"/>
          </w:tcPr>
          <w:p w:rsidR="00535051" w:rsidRPr="009E6489" w:rsidP="002F2334" w14:paraId="3C0A0E4D" w14:textId="77777777">
            <w:pPr>
              <w:keepNext/>
              <w:widowControl w:val="0"/>
              <w:autoSpaceDE w:val="0"/>
              <w:autoSpaceDN w:val="0"/>
              <w:adjustRightInd w:val="0"/>
              <w:spacing w:before="40" w:after="40" w:line="240" w:lineRule="auto"/>
              <w:rPr>
                <w:rFonts w:cs="Times New Roman"/>
                <w:bCs/>
              </w:rPr>
            </w:pPr>
            <w:r w:rsidRPr="009E6489">
              <w:rPr>
                <w:rFonts w:cs="Times New Roman"/>
                <w:bCs/>
              </w:rPr>
              <w:t>As soon as summary report is complete</w:t>
            </w:r>
          </w:p>
        </w:tc>
      </w:tr>
    </w:tbl>
    <w:p w:rsidR="00535051" w:rsidP="002F2334" w14:paraId="4303E361" w14:textId="77777777">
      <w:pPr>
        <w:spacing w:after="0" w:line="240" w:lineRule="auto"/>
        <w:jc w:val="both"/>
        <w:rPr>
          <w:rFonts w:cs="Times New Roman"/>
        </w:rPr>
      </w:pPr>
    </w:p>
    <w:p w:rsidR="00535051" w:rsidP="00687CB6" w14:paraId="4E238BAD" w14:textId="53FD2936">
      <w:pPr>
        <w:spacing w:line="240" w:lineRule="auto"/>
        <w:rPr>
          <w:rFonts w:cs="Times New Roman"/>
        </w:rPr>
      </w:pPr>
      <w:r w:rsidRPr="00687CB6">
        <w:t>Focus</w:t>
      </w:r>
      <w:r w:rsidRPr="00087A53">
        <w:rPr>
          <w:rFonts w:cs="Times New Roman"/>
        </w:rPr>
        <w:t xml:space="preserve"> groups will be audio and video recorded for aid in reporting and analysis. Audio files will be transcribed verbatim in Microsoft Word and used for reporting. (Deidentified transcripts will be delivered to </w:t>
      </w:r>
      <w:r w:rsidRPr="00087A53" w:rsidR="00087A53">
        <w:rPr>
          <w:rFonts w:cs="Times New Roman"/>
        </w:rPr>
        <w:t>DFWED</w:t>
      </w:r>
      <w:r w:rsidRPr="00087A53">
        <w:rPr>
          <w:rFonts w:cs="Times New Roman"/>
        </w:rPr>
        <w:t>.) Results will be used to develop a written report with an assessment of findings and recommendations for targeted messaging strategies for CDC communications with this audience</w:t>
      </w:r>
      <w:r w:rsidR="00087A53">
        <w:rPr>
          <w:rFonts w:cs="Times New Roman"/>
        </w:rPr>
        <w:t>.</w:t>
      </w:r>
    </w:p>
    <w:p w:rsidR="004A13E8" w:rsidP="00687CB6" w14:paraId="55FE1826" w14:textId="77777777">
      <w:pPr>
        <w:pStyle w:val="Heading1"/>
      </w:pPr>
      <w:bookmarkStart w:id="20" w:name="_Toc473880033"/>
      <w:r>
        <w:t>Reason(s) Display of OMB Expiration Date is Inappropriate</w:t>
      </w:r>
      <w:bookmarkEnd w:id="20"/>
    </w:p>
    <w:p w:rsidR="00E90E87" w:rsidRPr="00E90E87" w:rsidP="00E90E87" w14:paraId="3DFFF138" w14:textId="1ED5C677">
      <w:r>
        <w:rPr>
          <w:rFonts w:cs="ITC Franklin Gothic Std Book"/>
          <w:color w:val="000000"/>
        </w:rPr>
        <w:t xml:space="preserve">The display of the OMB expiration date is </w:t>
      </w:r>
      <w:r>
        <w:rPr>
          <w:rFonts w:cs="ITC Franklin Gothic Std Book"/>
          <w:color w:val="000000"/>
          <w:sz w:val="22"/>
        </w:rPr>
        <w:t xml:space="preserve">not </w:t>
      </w:r>
      <w:r>
        <w:rPr>
          <w:rFonts w:cs="ITC Franklin Gothic Std Book"/>
          <w:color w:val="000000"/>
          <w:sz w:val="22"/>
        </w:rPr>
        <w:t>inappropriate</w:t>
      </w:r>
    </w:p>
    <w:p w:rsidR="004A13E8" w:rsidP="002F2334" w14:paraId="55FE1828" w14:textId="76907326">
      <w:pPr>
        <w:pStyle w:val="Heading1"/>
      </w:pPr>
      <w:bookmarkStart w:id="21" w:name="_Toc473880034"/>
      <w:r>
        <w:t>Exceptions to Certification for Paperwork Reduction Act Submissions</w:t>
      </w:r>
      <w:bookmarkEnd w:id="21"/>
    </w:p>
    <w:p w:rsidR="004A13E8" w:rsidRPr="004A13E8" w:rsidP="002F2334" w14:paraId="55FE1829" w14:textId="77777777">
      <w:pPr>
        <w:spacing w:line="240" w:lineRule="auto"/>
      </w:pPr>
      <w:r>
        <w:t>There are no exceptions to the certification.</w:t>
      </w:r>
    </w:p>
    <w:p w:rsidR="004A13E8" w:rsidRPr="004A13E8" w:rsidP="002F2334" w14:paraId="55FE182A" w14:textId="77777777">
      <w:pPr>
        <w:pStyle w:val="Heading1"/>
        <w:numPr>
          <w:ilvl w:val="0"/>
          <w:numId w:val="0"/>
        </w:numPr>
      </w:pPr>
      <w:bookmarkStart w:id="22" w:name="_Toc473880035"/>
      <w:r>
        <w:t>Attachments</w:t>
      </w:r>
      <w:bookmarkEnd w:id="22"/>
    </w:p>
    <w:p w:rsidR="00535051" w:rsidP="002F2334" w14:paraId="7267D0A0" w14:textId="77607B11">
      <w:pPr>
        <w:pStyle w:val="ListParagraph"/>
        <w:numPr>
          <w:ilvl w:val="0"/>
          <w:numId w:val="3"/>
        </w:numPr>
        <w:spacing w:line="240" w:lineRule="auto"/>
        <w:ind w:left="360"/>
      </w:pPr>
      <w:r>
        <w:t>Screener</w:t>
      </w:r>
    </w:p>
    <w:p w:rsidR="00535051" w:rsidP="002F2334" w14:paraId="75E58EEA" w14:textId="201F335A">
      <w:pPr>
        <w:pStyle w:val="ListParagraph"/>
        <w:numPr>
          <w:ilvl w:val="0"/>
          <w:numId w:val="3"/>
        </w:numPr>
        <w:spacing w:line="240" w:lineRule="auto"/>
        <w:ind w:left="360"/>
      </w:pPr>
      <w:r>
        <w:t>Consent Form</w:t>
      </w:r>
    </w:p>
    <w:p w:rsidR="00535051" w:rsidRPr="00A72B08" w:rsidP="002F2334" w14:paraId="278EC59F" w14:textId="4F98D2A8">
      <w:pPr>
        <w:pStyle w:val="ListParagraph"/>
        <w:numPr>
          <w:ilvl w:val="0"/>
          <w:numId w:val="3"/>
        </w:numPr>
        <w:spacing w:line="240" w:lineRule="auto"/>
        <w:ind w:left="360"/>
      </w:pPr>
      <w:r w:rsidRPr="00A72B08">
        <w:t>Focus Group Guide</w:t>
      </w:r>
    </w:p>
    <w:p w:rsidR="00535051" w:rsidRPr="00535051" w:rsidP="002F2334" w14:paraId="6C98E774" w14:textId="699C2FF6">
      <w:pPr>
        <w:pStyle w:val="ListParagraph"/>
        <w:numPr>
          <w:ilvl w:val="0"/>
          <w:numId w:val="3"/>
        </w:numPr>
        <w:spacing w:line="240" w:lineRule="auto"/>
        <w:ind w:left="360"/>
      </w:pPr>
      <w:r w:rsidRPr="00535051">
        <w:t>Human Subjects Determination</w:t>
      </w:r>
    </w:p>
    <w:sectPr w:rsidSect="00E903D2">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8B5D54" w:rsidP="00407A5A" w14:paraId="55FE1836" w14:textId="2D915E79">
        <w:pPr>
          <w:pStyle w:val="Footer"/>
          <w:jc w:val="right"/>
        </w:pPr>
        <w:r>
          <w:t xml:space="preserve">CDC DFWED – Antifungal TDM – Supporting Statement A    </w:t>
        </w:r>
        <w:r w:rsidR="00780DC1">
          <w:fldChar w:fldCharType="begin"/>
        </w:r>
        <w:r w:rsidR="00780DC1">
          <w:instrText xml:space="preserve"> PAGE   \* MERGEFORMAT </w:instrText>
        </w:r>
        <w:r w:rsidR="00780DC1">
          <w:fldChar w:fldCharType="separate"/>
        </w:r>
        <w:r w:rsidR="00C45924">
          <w:rPr>
            <w:noProof/>
          </w:rPr>
          <w:t>3</w:t>
        </w:r>
        <w:r w:rsidR="00780DC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4B4E" w:rsidP="008B5D54" w14:paraId="234A7DFE" w14:textId="77777777">
      <w:pPr>
        <w:spacing w:after="0" w:line="240" w:lineRule="auto"/>
      </w:pPr>
      <w:r>
        <w:separator/>
      </w:r>
    </w:p>
  </w:footnote>
  <w:footnote w:type="continuationSeparator" w:id="1">
    <w:p w:rsidR="00474B4E" w:rsidP="008B5D54" w14:paraId="00DDBF0D" w14:textId="77777777">
      <w:pPr>
        <w:spacing w:after="0" w:line="240" w:lineRule="auto"/>
      </w:pPr>
      <w:r>
        <w:continuationSeparator/>
      </w:r>
    </w:p>
  </w:footnote>
  <w:footnote w:id="2">
    <w:p w:rsidR="00EC48F3" w14:paraId="0936244F" w14:textId="19FD747D">
      <w:pPr>
        <w:pStyle w:val="FootnoteText"/>
      </w:pPr>
      <w:r>
        <w:rPr>
          <w:rStyle w:val="FootnoteReference"/>
        </w:rPr>
        <w:footnoteRef/>
      </w:r>
      <w:r>
        <w:t xml:space="preserve"> </w:t>
      </w:r>
      <w:r w:rsidRPr="00EC48F3">
        <w:rPr>
          <w:sz w:val="18"/>
          <w:szCs w:val="18"/>
        </w:rPr>
        <w:t>Benedict, K., Gold, J. A. W., Toda, M., Thompson, G. R., 3rd, Wiederhold, N. P., &amp; Smith, D. J. (2023). Low Rates of Antifungal Therapeutic Drug Monitoring Among Inpatients Who Received Itraconazole, Posaconazole, or Voriconazole, United States, 2019-2021. Open forum infectious diseases, 10(8), ofad389. https://doi.org/10.1093/ofid/ofad389</w:t>
      </w:r>
    </w:p>
  </w:footnote>
  <w:footnote w:id="3">
    <w:p w:rsidR="00EC48F3" w14:paraId="02607C49" w14:textId="517EDD4C">
      <w:pPr>
        <w:pStyle w:val="FootnoteText"/>
      </w:pPr>
      <w:r>
        <w:rPr>
          <w:rStyle w:val="FootnoteReference"/>
        </w:rPr>
        <w:footnoteRef/>
      </w:r>
      <w:r>
        <w:t xml:space="preserve"> </w:t>
      </w:r>
      <w:r w:rsidRPr="00EC48F3">
        <w:rPr>
          <w:sz w:val="18"/>
          <w:szCs w:val="18"/>
        </w:rPr>
        <w:t>Benedict, K., Gold, J. A. W., Beekmann, S. E., Polgreen, P. M., Toda, M., &amp; Smith, D. J. (2023). Antifungal Therapeutic Drug Monitoring Practices: Results of an Emerging Infections Network Survey. Open forum infectious diseases, 10(9), ofad468. https://doi.org/10.1093/ofid/ofad468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35E6D"/>
    <w:multiLevelType w:val="hybridMultilevel"/>
    <w:tmpl w:val="691CDD06"/>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C5296"/>
    <w:multiLevelType w:val="hybridMultilevel"/>
    <w:tmpl w:val="F7AC1F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151786"/>
    <w:multiLevelType w:val="hybridMultilevel"/>
    <w:tmpl w:val="9D30E2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595426"/>
    <w:multiLevelType w:val="hybridMultilevel"/>
    <w:tmpl w:val="DF4AC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6">
    <w:nsid w:val="69CB4C54"/>
    <w:multiLevelType w:val="hybridMultilevel"/>
    <w:tmpl w:val="E22666BA"/>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9142122">
    <w:abstractNumId w:val="8"/>
  </w:num>
  <w:num w:numId="2" w16cid:durableId="1442652843">
    <w:abstractNumId w:val="4"/>
  </w:num>
  <w:num w:numId="3" w16cid:durableId="349841142">
    <w:abstractNumId w:val="7"/>
  </w:num>
  <w:num w:numId="4" w16cid:durableId="276379067">
    <w:abstractNumId w:val="5"/>
  </w:num>
  <w:num w:numId="5" w16cid:durableId="1903828531">
    <w:abstractNumId w:val="3"/>
  </w:num>
  <w:num w:numId="6" w16cid:durableId="1605187615">
    <w:abstractNumId w:val="2"/>
  </w:num>
  <w:num w:numId="7" w16cid:durableId="2110468452">
    <w:abstractNumId w:val="0"/>
  </w:num>
  <w:num w:numId="8" w16cid:durableId="545335131">
    <w:abstractNumId w:val="1"/>
  </w:num>
  <w:num w:numId="9" w16cid:durableId="2047638402">
    <w:abstractNumId w:val="9"/>
  </w:num>
  <w:num w:numId="10" w16cid:durableId="1020426086">
    <w:abstractNumId w:val="4"/>
  </w:num>
  <w:num w:numId="11" w16cid:durableId="1737439285">
    <w:abstractNumId w:val="4"/>
  </w:num>
  <w:num w:numId="12" w16cid:durableId="116220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3695E"/>
    <w:rsid w:val="0005699B"/>
    <w:rsid w:val="00067A25"/>
    <w:rsid w:val="00077A77"/>
    <w:rsid w:val="00083EBB"/>
    <w:rsid w:val="00087A53"/>
    <w:rsid w:val="000C1525"/>
    <w:rsid w:val="000C1760"/>
    <w:rsid w:val="000C7301"/>
    <w:rsid w:val="000D2FB5"/>
    <w:rsid w:val="000D3799"/>
    <w:rsid w:val="00124128"/>
    <w:rsid w:val="00144D4A"/>
    <w:rsid w:val="001523DF"/>
    <w:rsid w:val="00163761"/>
    <w:rsid w:val="00165CBA"/>
    <w:rsid w:val="00176B93"/>
    <w:rsid w:val="00181DB5"/>
    <w:rsid w:val="00190555"/>
    <w:rsid w:val="001A58BE"/>
    <w:rsid w:val="001C646A"/>
    <w:rsid w:val="001D6401"/>
    <w:rsid w:val="001E08A8"/>
    <w:rsid w:val="00237BB7"/>
    <w:rsid w:val="002441B9"/>
    <w:rsid w:val="0025156B"/>
    <w:rsid w:val="002519D8"/>
    <w:rsid w:val="00252E6F"/>
    <w:rsid w:val="0025675F"/>
    <w:rsid w:val="002614AC"/>
    <w:rsid w:val="00277E2B"/>
    <w:rsid w:val="002A15BE"/>
    <w:rsid w:val="002C71D8"/>
    <w:rsid w:val="002D53D3"/>
    <w:rsid w:val="002F1B39"/>
    <w:rsid w:val="002F2334"/>
    <w:rsid w:val="00304BBB"/>
    <w:rsid w:val="00304C37"/>
    <w:rsid w:val="003172CD"/>
    <w:rsid w:val="00333428"/>
    <w:rsid w:val="003419B3"/>
    <w:rsid w:val="00382FD8"/>
    <w:rsid w:val="003914F4"/>
    <w:rsid w:val="003B2FB4"/>
    <w:rsid w:val="003F4523"/>
    <w:rsid w:val="003F60CF"/>
    <w:rsid w:val="004028A0"/>
    <w:rsid w:val="00406389"/>
    <w:rsid w:val="00407A5A"/>
    <w:rsid w:val="004177C6"/>
    <w:rsid w:val="0043440D"/>
    <w:rsid w:val="00446A7C"/>
    <w:rsid w:val="00474B4E"/>
    <w:rsid w:val="004760A9"/>
    <w:rsid w:val="004841D1"/>
    <w:rsid w:val="00484CE1"/>
    <w:rsid w:val="00490D85"/>
    <w:rsid w:val="004939AB"/>
    <w:rsid w:val="004A0034"/>
    <w:rsid w:val="004A13E8"/>
    <w:rsid w:val="004A2015"/>
    <w:rsid w:val="004B1B52"/>
    <w:rsid w:val="004B2E2A"/>
    <w:rsid w:val="004C24FD"/>
    <w:rsid w:val="004D0CD2"/>
    <w:rsid w:val="00514E10"/>
    <w:rsid w:val="00535051"/>
    <w:rsid w:val="00547009"/>
    <w:rsid w:val="00574914"/>
    <w:rsid w:val="00596FDD"/>
    <w:rsid w:val="005F2BAB"/>
    <w:rsid w:val="005F75B7"/>
    <w:rsid w:val="00632C10"/>
    <w:rsid w:val="00651B51"/>
    <w:rsid w:val="00674026"/>
    <w:rsid w:val="00687201"/>
    <w:rsid w:val="00687CB6"/>
    <w:rsid w:val="006969B7"/>
    <w:rsid w:val="006B4E7B"/>
    <w:rsid w:val="006C4E11"/>
    <w:rsid w:val="006C6578"/>
    <w:rsid w:val="006D0A75"/>
    <w:rsid w:val="00713C81"/>
    <w:rsid w:val="00715203"/>
    <w:rsid w:val="007335B2"/>
    <w:rsid w:val="0074273C"/>
    <w:rsid w:val="007438CC"/>
    <w:rsid w:val="0074562B"/>
    <w:rsid w:val="00766B83"/>
    <w:rsid w:val="007709B3"/>
    <w:rsid w:val="00780DC1"/>
    <w:rsid w:val="007E0C99"/>
    <w:rsid w:val="007F3DD3"/>
    <w:rsid w:val="007F46E9"/>
    <w:rsid w:val="00804687"/>
    <w:rsid w:val="008110D2"/>
    <w:rsid w:val="008119CB"/>
    <w:rsid w:val="008140F2"/>
    <w:rsid w:val="00827F0C"/>
    <w:rsid w:val="008456E4"/>
    <w:rsid w:val="00864E3D"/>
    <w:rsid w:val="008B5D54"/>
    <w:rsid w:val="008C2A1E"/>
    <w:rsid w:val="008C5448"/>
    <w:rsid w:val="008D5AEA"/>
    <w:rsid w:val="008E6A99"/>
    <w:rsid w:val="008F1415"/>
    <w:rsid w:val="00937D6B"/>
    <w:rsid w:val="00941542"/>
    <w:rsid w:val="009604E1"/>
    <w:rsid w:val="00963E7C"/>
    <w:rsid w:val="00984FE5"/>
    <w:rsid w:val="00997D0E"/>
    <w:rsid w:val="009A79E1"/>
    <w:rsid w:val="009B0947"/>
    <w:rsid w:val="009E6489"/>
    <w:rsid w:val="009E77F3"/>
    <w:rsid w:val="00A17F38"/>
    <w:rsid w:val="00A67086"/>
    <w:rsid w:val="00A72B08"/>
    <w:rsid w:val="00A824A9"/>
    <w:rsid w:val="00A82C88"/>
    <w:rsid w:val="00AA1CBC"/>
    <w:rsid w:val="00AC73D8"/>
    <w:rsid w:val="00AD2F36"/>
    <w:rsid w:val="00AF40DD"/>
    <w:rsid w:val="00B55735"/>
    <w:rsid w:val="00B608AC"/>
    <w:rsid w:val="00B62E41"/>
    <w:rsid w:val="00B6449E"/>
    <w:rsid w:val="00B64B9E"/>
    <w:rsid w:val="00B83650"/>
    <w:rsid w:val="00B91400"/>
    <w:rsid w:val="00BA6B1A"/>
    <w:rsid w:val="00BC7BBC"/>
    <w:rsid w:val="00BF4D70"/>
    <w:rsid w:val="00C32380"/>
    <w:rsid w:val="00C45270"/>
    <w:rsid w:val="00C45924"/>
    <w:rsid w:val="00C54794"/>
    <w:rsid w:val="00C553B7"/>
    <w:rsid w:val="00C90B13"/>
    <w:rsid w:val="00CD2AA4"/>
    <w:rsid w:val="00D06297"/>
    <w:rsid w:val="00D06A98"/>
    <w:rsid w:val="00D13EA1"/>
    <w:rsid w:val="00D42969"/>
    <w:rsid w:val="00D525E8"/>
    <w:rsid w:val="00D609A0"/>
    <w:rsid w:val="00D65659"/>
    <w:rsid w:val="00D66240"/>
    <w:rsid w:val="00D728C2"/>
    <w:rsid w:val="00D952DF"/>
    <w:rsid w:val="00DB5853"/>
    <w:rsid w:val="00DC2D2E"/>
    <w:rsid w:val="00DC57CC"/>
    <w:rsid w:val="00DC74EE"/>
    <w:rsid w:val="00E03DF0"/>
    <w:rsid w:val="00E21144"/>
    <w:rsid w:val="00E23514"/>
    <w:rsid w:val="00E57D36"/>
    <w:rsid w:val="00E80D2C"/>
    <w:rsid w:val="00E903D2"/>
    <w:rsid w:val="00E90E87"/>
    <w:rsid w:val="00EA768C"/>
    <w:rsid w:val="00EB7F82"/>
    <w:rsid w:val="00EC309D"/>
    <w:rsid w:val="00EC48F3"/>
    <w:rsid w:val="00ED4D0D"/>
    <w:rsid w:val="00F00226"/>
    <w:rsid w:val="00F02BA6"/>
    <w:rsid w:val="00F170F4"/>
    <w:rsid w:val="00F2121E"/>
    <w:rsid w:val="00F548DB"/>
    <w:rsid w:val="00F56C86"/>
    <w:rsid w:val="00F6E53B"/>
    <w:rsid w:val="00F91590"/>
    <w:rsid w:val="00FB266C"/>
    <w:rsid w:val="00FE0398"/>
    <w:rsid w:val="00FE72E4"/>
    <w:rsid w:val="00FF40BC"/>
    <w:rsid w:val="010DBCB2"/>
    <w:rsid w:val="02E481CB"/>
    <w:rsid w:val="04A2D2F6"/>
    <w:rsid w:val="0EB6D849"/>
    <w:rsid w:val="11018DF7"/>
    <w:rsid w:val="16B1F790"/>
    <w:rsid w:val="18D90A20"/>
    <w:rsid w:val="1B54B3B5"/>
    <w:rsid w:val="1DC5A6A0"/>
    <w:rsid w:val="21BB4A19"/>
    <w:rsid w:val="26ED0042"/>
    <w:rsid w:val="2AC6818D"/>
    <w:rsid w:val="2F173AE4"/>
    <w:rsid w:val="35406C56"/>
    <w:rsid w:val="48ED49A9"/>
    <w:rsid w:val="4D967740"/>
    <w:rsid w:val="5134B2D1"/>
    <w:rsid w:val="542B6C27"/>
    <w:rsid w:val="5540B341"/>
    <w:rsid w:val="55EDF9BD"/>
    <w:rsid w:val="56CD6A41"/>
    <w:rsid w:val="632761A0"/>
    <w:rsid w:val="67E40C7F"/>
    <w:rsid w:val="68A4080B"/>
    <w:rsid w:val="697FDCE0"/>
    <w:rsid w:val="6CE3B5F8"/>
    <w:rsid w:val="6D7EBB23"/>
    <w:rsid w:val="71742448"/>
    <w:rsid w:val="730FF4A9"/>
    <w:rsid w:val="767534EB"/>
    <w:rsid w:val="777CD60F"/>
    <w:rsid w:val="79A18E12"/>
    <w:rsid w:val="7AC9D66B"/>
    <w:rsid w:val="7B3D5E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evel 2"/>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aliases w:val="Bullet Level 2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D72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8C2"/>
    <w:rPr>
      <w:rFonts w:ascii="Times New Roman" w:hAnsi="Times New Roman"/>
      <w:sz w:val="20"/>
      <w:szCs w:val="20"/>
    </w:rPr>
  </w:style>
  <w:style w:type="character" w:styleId="FootnoteReference">
    <w:name w:val="footnote reference"/>
    <w:basedOn w:val="DefaultParagraphFont"/>
    <w:uiPriority w:val="99"/>
    <w:semiHidden/>
    <w:unhideWhenUsed/>
    <w:rsid w:val="00D728C2"/>
    <w:rPr>
      <w:vertAlign w:val="superscript"/>
    </w:rPr>
  </w:style>
  <w:style w:type="character" w:styleId="UnresolvedMention">
    <w:name w:val="Unresolved Mention"/>
    <w:basedOn w:val="DefaultParagraphFont"/>
    <w:uiPriority w:val="99"/>
    <w:semiHidden/>
    <w:unhideWhenUsed/>
    <w:rsid w:val="00D728C2"/>
    <w:rPr>
      <w:color w:val="605E5C"/>
      <w:shd w:val="clear" w:color="auto" w:fill="E1DFDD"/>
    </w:rPr>
  </w:style>
  <w:style w:type="paragraph" w:customStyle="1" w:styleId="BodyText1">
    <w:name w:val="Body Text1"/>
    <w:basedOn w:val="Normal"/>
    <w:next w:val="BodyText"/>
    <w:link w:val="bodytextChar"/>
    <w:qFormat/>
    <w:rsid w:val="003172CD"/>
    <w:pPr>
      <w:spacing w:line="240" w:lineRule="auto"/>
    </w:pPr>
    <w:rPr>
      <w:rFonts w:eastAsia="Calibri"/>
      <w:lang w:val="x-none" w:eastAsia="x-none"/>
    </w:rPr>
  </w:style>
  <w:style w:type="character" w:customStyle="1" w:styleId="bodytextChar">
    <w:name w:val="body text Char"/>
    <w:link w:val="BodyText1"/>
    <w:rsid w:val="003172CD"/>
    <w:rPr>
      <w:rFonts w:ascii="Times New Roman" w:eastAsia="Calibri" w:hAnsi="Times New Roman"/>
      <w:sz w:val="24"/>
      <w:lang w:val="x-none" w:eastAsia="x-none"/>
    </w:rPr>
  </w:style>
  <w:style w:type="paragraph" w:styleId="BodyText">
    <w:name w:val="Body Text"/>
    <w:basedOn w:val="Normal"/>
    <w:link w:val="BodyTextChar0"/>
    <w:uiPriority w:val="99"/>
    <w:semiHidden/>
    <w:unhideWhenUsed/>
    <w:rsid w:val="003172CD"/>
    <w:pPr>
      <w:spacing w:after="120"/>
    </w:pPr>
  </w:style>
  <w:style w:type="character" w:customStyle="1" w:styleId="BodyTextChar0">
    <w:name w:val="Body Text Char"/>
    <w:basedOn w:val="DefaultParagraphFont"/>
    <w:link w:val="BodyText"/>
    <w:uiPriority w:val="99"/>
    <w:semiHidden/>
    <w:rsid w:val="003172CD"/>
    <w:rPr>
      <w:rFonts w:ascii="Times New Roman" w:hAnsi="Times New Roman"/>
      <w:sz w:val="24"/>
    </w:rPr>
  </w:style>
  <w:style w:type="paragraph" w:customStyle="1" w:styleId="bodytextpsg">
    <w:name w:val="body text_psg"/>
    <w:basedOn w:val="Normal"/>
    <w:link w:val="bodytextpsgCharChar"/>
    <w:rsid w:val="00D609A0"/>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D609A0"/>
    <w:rPr>
      <w:rFonts w:ascii="Times New Roman" w:eastAsia="Times New Roman" w:hAnsi="Times New Roman" w:cs="Times New Roman"/>
      <w:szCs w:val="20"/>
    </w:rPr>
  </w:style>
  <w:style w:type="paragraph" w:customStyle="1" w:styleId="Bulletblank">
    <w:name w:val="Bullet_blank"/>
    <w:basedOn w:val="Normal"/>
    <w:qFormat/>
    <w:rsid w:val="00D609A0"/>
    <w:pPr>
      <w:numPr>
        <w:numId w:val="4"/>
      </w:numPr>
      <w:spacing w:after="0" w:line="360" w:lineRule="auto"/>
      <w:ind w:left="1080"/>
    </w:pPr>
    <w:rPr>
      <w:rFonts w:eastAsia="Times New Roman" w:cs="Times New Roman"/>
      <w:szCs w:val="24"/>
    </w:rPr>
  </w:style>
  <w:style w:type="paragraph" w:customStyle="1" w:styleId="after-12">
    <w:name w:val="after-12"/>
    <w:basedOn w:val="BodyText"/>
    <w:qFormat/>
    <w:rsid w:val="00D609A0"/>
    <w:pPr>
      <w:spacing w:before="240" w:after="240" w:line="360" w:lineRule="auto"/>
      <w:ind w:firstLine="720"/>
    </w:pPr>
    <w:rPr>
      <w:rFonts w:eastAsia="Times New Roman" w:cs="Times New Roman"/>
      <w:szCs w:val="24"/>
    </w:rPr>
  </w:style>
  <w:style w:type="table" w:customStyle="1" w:styleId="TableGrid1">
    <w:name w:val="Table Grid1"/>
    <w:basedOn w:val="TableNormal"/>
    <w:next w:val="TableGrid"/>
    <w:uiPriority w:val="59"/>
    <w:rsid w:val="00D609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09A0"/>
    <w:rPr>
      <w:sz w:val="16"/>
      <w:szCs w:val="16"/>
    </w:rPr>
  </w:style>
  <w:style w:type="paragraph" w:styleId="CommentText">
    <w:name w:val="annotation text"/>
    <w:basedOn w:val="Normal"/>
    <w:link w:val="CommentTextChar"/>
    <w:uiPriority w:val="99"/>
    <w:unhideWhenUsed/>
    <w:rsid w:val="00D609A0"/>
    <w:pPr>
      <w:spacing w:line="240" w:lineRule="auto"/>
    </w:pPr>
    <w:rPr>
      <w:sz w:val="20"/>
      <w:szCs w:val="20"/>
    </w:rPr>
  </w:style>
  <w:style w:type="character" w:customStyle="1" w:styleId="CommentTextChar">
    <w:name w:val="Comment Text Char"/>
    <w:basedOn w:val="DefaultParagraphFont"/>
    <w:link w:val="CommentText"/>
    <w:uiPriority w:val="99"/>
    <w:rsid w:val="00D609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9A0"/>
    <w:rPr>
      <w:b/>
      <w:bCs/>
    </w:rPr>
  </w:style>
  <w:style w:type="character" w:customStyle="1" w:styleId="CommentSubjectChar">
    <w:name w:val="Comment Subject Char"/>
    <w:basedOn w:val="CommentTextChar"/>
    <w:link w:val="CommentSubject"/>
    <w:uiPriority w:val="99"/>
    <w:semiHidden/>
    <w:rsid w:val="00D609A0"/>
    <w:rPr>
      <w:rFonts w:ascii="Times New Roman" w:hAnsi="Times New Roman"/>
      <w:b/>
      <w:bCs/>
      <w:sz w:val="20"/>
      <w:szCs w:val="20"/>
    </w:rPr>
  </w:style>
  <w:style w:type="paragraph" w:styleId="Revision">
    <w:name w:val="Revision"/>
    <w:hidden/>
    <w:uiPriority w:val="99"/>
    <w:semiHidden/>
    <w:rsid w:val="00514E1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customXml/itemProps2.xml><?xml version="1.0" encoding="utf-8"?>
<ds:datastoreItem xmlns:ds="http://schemas.openxmlformats.org/officeDocument/2006/customXml" ds:itemID="{D135BBDE-C279-4D57-A55F-BB8A5B1F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 ds:uri="92fbbc55-9409-4142-b68d-a1b40e777604"/>
    <ds:schemaRef ds:uri="2c9027b9-d1cd-485f-aa29-2017f722a320"/>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4</cp:revision>
  <dcterms:created xsi:type="dcterms:W3CDTF">2024-01-30T13:48:00Z</dcterms:created>
  <dcterms:modified xsi:type="dcterms:W3CDTF">2024-01-30T13:59:00Z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0d08065f-6cec-4518-8ca6-47cd80bc9c71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2023-11-24T14:48:57Z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