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76AA" w14:paraId="612256C3" w14:textId="77777777">
      <w:pPr>
        <w:spacing w:line="276" w:lineRule="auto"/>
        <w:jc w:val="center"/>
        <w:rPr>
          <w:b/>
          <w:sz w:val="32"/>
          <w:szCs w:val="32"/>
        </w:rPr>
      </w:pPr>
      <w:r>
        <w:rPr>
          <w:b/>
          <w:sz w:val="32"/>
          <w:szCs w:val="32"/>
        </w:rPr>
        <w:t>GenIC Clearance for CDC/ATSDR</w:t>
      </w:r>
    </w:p>
    <w:p w:rsidR="000F76AA" w14:paraId="6D0183A0" w14:textId="77777777">
      <w:pPr>
        <w:spacing w:after="200" w:line="276" w:lineRule="auto"/>
        <w:jc w:val="center"/>
        <w:rPr>
          <w:b/>
          <w:sz w:val="32"/>
          <w:szCs w:val="32"/>
        </w:rPr>
      </w:pPr>
      <w:r>
        <w:rPr>
          <w:b/>
          <w:sz w:val="32"/>
          <w:szCs w:val="32"/>
        </w:rPr>
        <w:t>Formative Research and Tool Development</w:t>
      </w:r>
    </w:p>
    <w:p w:rsidR="000F76AA" w14:paraId="672A6659" w14:textId="77777777">
      <w:pPr>
        <w:spacing w:after="200" w:line="276" w:lineRule="auto"/>
        <w:rPr>
          <w:sz w:val="24"/>
          <w:szCs w:val="24"/>
        </w:rPr>
      </w:pPr>
    </w:p>
    <w:p w:rsidR="005B721A" w14:paraId="3F669048" w14:textId="77777777">
      <w:pPr>
        <w:jc w:val="center"/>
        <w:rPr>
          <w:b/>
          <w:sz w:val="48"/>
          <w:szCs w:val="48"/>
        </w:rPr>
      </w:pPr>
      <w:r>
        <w:rPr>
          <w:b/>
          <w:sz w:val="48"/>
          <w:szCs w:val="48"/>
        </w:rPr>
        <w:t>Wastewater Surveillance Communication Evaluation: Assessing Water Surveillance Messages, Knowledge, and Attitudes</w:t>
      </w:r>
    </w:p>
    <w:p w:rsidR="000F76AA" w14:paraId="03B3A56A" w14:textId="1113CB2F">
      <w:pPr>
        <w:jc w:val="center"/>
        <w:rPr>
          <w:b/>
          <w:sz w:val="48"/>
          <w:szCs w:val="48"/>
        </w:rPr>
      </w:pPr>
      <w:r>
        <w:rPr>
          <w:b/>
          <w:sz w:val="48"/>
          <w:szCs w:val="48"/>
        </w:rPr>
        <w:t xml:space="preserve"> </w:t>
      </w:r>
    </w:p>
    <w:p w:rsidR="00BA00B6" w:rsidRPr="004B09D2" w14:paraId="72FD2EFC" w14:textId="3BBE4C18">
      <w:pPr>
        <w:jc w:val="center"/>
        <w:rPr>
          <w:b/>
          <w:sz w:val="32"/>
          <w:szCs w:val="32"/>
        </w:rPr>
      </w:pPr>
      <w:r w:rsidRPr="004B09D2">
        <w:rPr>
          <w:b/>
          <w:sz w:val="32"/>
          <w:szCs w:val="32"/>
        </w:rPr>
        <w:t>OMB Control No. 0920-1154</w:t>
      </w:r>
    </w:p>
    <w:p w:rsidR="000F76AA" w14:paraId="0A37501D" w14:textId="77777777">
      <w:pPr>
        <w:jc w:val="center"/>
        <w:rPr>
          <w:b/>
          <w:sz w:val="24"/>
          <w:szCs w:val="24"/>
        </w:rPr>
      </w:pPr>
    </w:p>
    <w:p w:rsidR="000F76AA" w14:paraId="5DAB6C7B" w14:textId="77777777">
      <w:pPr>
        <w:jc w:val="center"/>
        <w:rPr>
          <w:b/>
          <w:sz w:val="24"/>
          <w:szCs w:val="24"/>
        </w:rPr>
      </w:pPr>
    </w:p>
    <w:p w:rsidR="000F76AA" w14:paraId="02EB378F" w14:textId="77777777">
      <w:pPr>
        <w:spacing w:after="200" w:line="276" w:lineRule="auto"/>
        <w:rPr>
          <w:sz w:val="24"/>
          <w:szCs w:val="24"/>
        </w:rPr>
      </w:pPr>
    </w:p>
    <w:p w:rsidR="000F76AA" w14:paraId="6A05A809" w14:textId="77777777">
      <w:pPr>
        <w:spacing w:after="200" w:line="276" w:lineRule="auto"/>
        <w:rPr>
          <w:sz w:val="24"/>
          <w:szCs w:val="24"/>
        </w:rPr>
      </w:pPr>
    </w:p>
    <w:p w:rsidR="000F76AA" w14:paraId="5A39BBE3" w14:textId="77777777">
      <w:pPr>
        <w:spacing w:after="200" w:line="276" w:lineRule="auto"/>
        <w:rPr>
          <w:sz w:val="24"/>
          <w:szCs w:val="24"/>
        </w:rPr>
      </w:pPr>
    </w:p>
    <w:p w:rsidR="000F76AA" w14:paraId="41C8F396" w14:textId="77777777">
      <w:pPr>
        <w:jc w:val="center"/>
        <w:rPr>
          <w:b/>
          <w:sz w:val="24"/>
          <w:szCs w:val="24"/>
        </w:rPr>
      </w:pPr>
    </w:p>
    <w:p w:rsidR="000F76AA" w14:paraId="204D76A8" w14:textId="77777777">
      <w:pPr>
        <w:pStyle w:val="Heading4"/>
        <w:keepNext w:val="0"/>
        <w:spacing w:before="0" w:after="0"/>
        <w:ind w:left="0" w:firstLine="0"/>
        <w:jc w:val="center"/>
        <w:rPr>
          <w:b/>
          <w:i w:val="0"/>
          <w:sz w:val="24"/>
          <w:szCs w:val="24"/>
        </w:rPr>
      </w:pPr>
      <w:bookmarkStart w:id="0" w:name="_heading=h.l14owpsge8bf" w:colFirst="0" w:colLast="0"/>
      <w:bookmarkEnd w:id="0"/>
      <w:r>
        <w:rPr>
          <w:b/>
          <w:i w:val="0"/>
          <w:sz w:val="24"/>
          <w:szCs w:val="24"/>
        </w:rPr>
        <w:t xml:space="preserve">Supporting </w:t>
      </w:r>
      <w:r>
        <w:rPr>
          <w:b/>
          <w:i w:val="0"/>
          <w:sz w:val="24"/>
          <w:szCs w:val="24"/>
        </w:rPr>
        <w:t>Statement</w:t>
      </w:r>
      <w:r>
        <w:rPr>
          <w:b/>
          <w:i w:val="0"/>
          <w:sz w:val="24"/>
          <w:szCs w:val="24"/>
        </w:rPr>
        <w:t xml:space="preserve"> A</w:t>
      </w:r>
    </w:p>
    <w:p w:rsidR="000F76AA" w14:paraId="72A3D3EC" w14:textId="77777777">
      <w:pPr>
        <w:rPr>
          <w:b/>
          <w:sz w:val="24"/>
          <w:szCs w:val="24"/>
        </w:rPr>
      </w:pPr>
    </w:p>
    <w:p w:rsidR="000F76AA" w14:paraId="0D0B940D" w14:textId="77777777">
      <w:pPr>
        <w:rPr>
          <w:b/>
          <w:sz w:val="24"/>
          <w:szCs w:val="24"/>
        </w:rPr>
      </w:pPr>
    </w:p>
    <w:p w:rsidR="000F76AA" w14:paraId="0E27B00A" w14:textId="77777777">
      <w:pPr>
        <w:rPr>
          <w:b/>
          <w:sz w:val="24"/>
          <w:szCs w:val="24"/>
        </w:rPr>
      </w:pPr>
    </w:p>
    <w:p w:rsidR="000F76AA" w14:paraId="60061E4C" w14:textId="77777777">
      <w:pPr>
        <w:rPr>
          <w:b/>
          <w:sz w:val="24"/>
          <w:szCs w:val="24"/>
        </w:rPr>
      </w:pPr>
    </w:p>
    <w:p w:rsidR="000F76AA" w14:paraId="44EAFD9C" w14:textId="77777777">
      <w:pPr>
        <w:rPr>
          <w:b/>
          <w:sz w:val="24"/>
          <w:szCs w:val="24"/>
        </w:rPr>
      </w:pPr>
    </w:p>
    <w:p w:rsidR="000F76AA" w14:paraId="4B94D5A5" w14:textId="77777777">
      <w:pPr>
        <w:rPr>
          <w:b/>
          <w:sz w:val="24"/>
          <w:szCs w:val="24"/>
        </w:rPr>
      </w:pPr>
    </w:p>
    <w:p w:rsidR="000F76AA" w14:paraId="3DEEC669" w14:textId="77777777">
      <w:pPr>
        <w:rPr>
          <w:b/>
          <w:sz w:val="24"/>
          <w:szCs w:val="24"/>
        </w:rPr>
      </w:pPr>
    </w:p>
    <w:p w:rsidR="000F76AA" w14:paraId="3656B9AB" w14:textId="77777777">
      <w:pPr>
        <w:rPr>
          <w:b/>
          <w:sz w:val="24"/>
          <w:szCs w:val="24"/>
        </w:rPr>
      </w:pPr>
    </w:p>
    <w:p w:rsidR="000F76AA" w14:paraId="45FB0818" w14:textId="77777777">
      <w:pPr>
        <w:rPr>
          <w:b/>
          <w:sz w:val="24"/>
          <w:szCs w:val="24"/>
        </w:rPr>
      </w:pPr>
    </w:p>
    <w:p w:rsidR="000F76AA" w14:paraId="049F31CB" w14:textId="77777777">
      <w:pPr>
        <w:rPr>
          <w:b/>
          <w:sz w:val="24"/>
          <w:szCs w:val="24"/>
        </w:rPr>
      </w:pPr>
    </w:p>
    <w:p w:rsidR="000F76AA" w14:paraId="53128261" w14:textId="77777777">
      <w:pPr>
        <w:rPr>
          <w:b/>
          <w:sz w:val="24"/>
          <w:szCs w:val="24"/>
        </w:rPr>
      </w:pPr>
    </w:p>
    <w:p w:rsidR="000F76AA" w14:paraId="62486C05" w14:textId="77777777">
      <w:pPr>
        <w:rPr>
          <w:b/>
          <w:sz w:val="24"/>
          <w:szCs w:val="24"/>
        </w:rPr>
      </w:pPr>
    </w:p>
    <w:p w:rsidR="000F76AA" w14:paraId="4101652C" w14:textId="77777777">
      <w:pPr>
        <w:rPr>
          <w:b/>
          <w:sz w:val="24"/>
          <w:szCs w:val="24"/>
        </w:rPr>
      </w:pPr>
    </w:p>
    <w:p w:rsidR="000F76AA" w14:paraId="4B99056E" w14:textId="77777777">
      <w:pPr>
        <w:rPr>
          <w:b/>
          <w:sz w:val="24"/>
          <w:szCs w:val="24"/>
        </w:rPr>
      </w:pPr>
    </w:p>
    <w:p w:rsidR="000F76AA" w14:paraId="1299C43A" w14:textId="77777777">
      <w:pPr>
        <w:rPr>
          <w:b/>
          <w:sz w:val="24"/>
          <w:szCs w:val="24"/>
        </w:rPr>
      </w:pPr>
    </w:p>
    <w:p w:rsidR="000F76AA" w14:paraId="4D6CCD69" w14:textId="77777777">
      <w:pPr>
        <w:rPr>
          <w:color w:val="000000"/>
          <w:sz w:val="24"/>
          <w:szCs w:val="24"/>
        </w:rPr>
      </w:pPr>
      <w:r>
        <w:rPr>
          <w:b/>
          <w:color w:val="000000"/>
          <w:sz w:val="24"/>
          <w:szCs w:val="24"/>
        </w:rPr>
        <w:t xml:space="preserve">Contact: </w:t>
      </w:r>
      <w:r>
        <w:rPr>
          <w:color w:val="000000"/>
          <w:sz w:val="24"/>
          <w:szCs w:val="24"/>
        </w:rPr>
        <w:t>Jena Losch, MPH</w:t>
      </w:r>
    </w:p>
    <w:p w:rsidR="000F76AA" w14:paraId="1E1D6E27" w14:textId="77777777">
      <w:pPr>
        <w:rPr>
          <w:color w:val="000000"/>
          <w:sz w:val="24"/>
          <w:szCs w:val="24"/>
        </w:rPr>
      </w:pPr>
      <w:r>
        <w:rPr>
          <w:color w:val="000000"/>
          <w:sz w:val="24"/>
          <w:szCs w:val="24"/>
        </w:rPr>
        <w:t>Office of the Director</w:t>
      </w:r>
    </w:p>
    <w:p w:rsidR="000F76AA" w14:paraId="247D2DED" w14:textId="77777777">
      <w:pPr>
        <w:rPr>
          <w:color w:val="000000"/>
          <w:sz w:val="24"/>
          <w:szCs w:val="24"/>
        </w:rPr>
      </w:pPr>
      <w:r>
        <w:rPr>
          <w:color w:val="000000"/>
          <w:sz w:val="24"/>
          <w:szCs w:val="24"/>
        </w:rPr>
        <w:t>Division of Infectious Disease Readiness &amp; Innovation</w:t>
      </w:r>
    </w:p>
    <w:p w:rsidR="000F76AA" w14:paraId="1EFEDAE3" w14:textId="77777777">
      <w:pPr>
        <w:rPr>
          <w:color w:val="000000"/>
          <w:sz w:val="24"/>
          <w:szCs w:val="24"/>
        </w:rPr>
      </w:pPr>
      <w:r>
        <w:rPr>
          <w:color w:val="000000"/>
          <w:sz w:val="24"/>
          <w:szCs w:val="24"/>
        </w:rPr>
        <w:t xml:space="preserve">Centers for Disease Control and Prevention </w:t>
      </w:r>
    </w:p>
    <w:p w:rsidR="000F76AA" w14:paraId="500E6A3C" w14:textId="77777777">
      <w:pPr>
        <w:rPr>
          <w:color w:val="000000"/>
          <w:sz w:val="24"/>
          <w:szCs w:val="24"/>
        </w:rPr>
      </w:pPr>
      <w:r>
        <w:rPr>
          <w:color w:val="000000"/>
          <w:sz w:val="24"/>
          <w:szCs w:val="24"/>
        </w:rPr>
        <w:t xml:space="preserve">1600 Clifton Road, NE </w:t>
      </w:r>
    </w:p>
    <w:p w:rsidR="000F76AA" w14:paraId="06B064BA" w14:textId="77777777">
      <w:pPr>
        <w:rPr>
          <w:color w:val="000000"/>
          <w:sz w:val="24"/>
          <w:szCs w:val="24"/>
        </w:rPr>
      </w:pPr>
      <w:r>
        <w:rPr>
          <w:color w:val="000000"/>
          <w:sz w:val="24"/>
          <w:szCs w:val="24"/>
        </w:rPr>
        <w:t xml:space="preserve">Atlanta, Georgia 30333 </w:t>
      </w:r>
    </w:p>
    <w:p w:rsidR="000F76AA" w14:paraId="5544F15E" w14:textId="77777777">
      <w:pPr>
        <w:rPr>
          <w:color w:val="000000"/>
          <w:sz w:val="24"/>
          <w:szCs w:val="24"/>
        </w:rPr>
      </w:pPr>
      <w:r>
        <w:rPr>
          <w:color w:val="000000"/>
          <w:sz w:val="24"/>
          <w:szCs w:val="24"/>
        </w:rPr>
        <w:t>Phone:  770.488.3834</w:t>
      </w:r>
    </w:p>
    <w:p w:rsidR="000F76AA" w14:paraId="1F123044" w14:textId="77777777">
      <w:pPr>
        <w:rPr>
          <w:color w:val="000000"/>
          <w:sz w:val="24"/>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pPr>
      <w:r>
        <w:rPr>
          <w:color w:val="000000"/>
          <w:sz w:val="24"/>
          <w:szCs w:val="24"/>
        </w:rPr>
        <w:t xml:space="preserve">Email: </w:t>
      </w:r>
      <w:hyperlink r:id="rId14">
        <w:r>
          <w:rPr>
            <w:color w:val="0000FF"/>
            <w:sz w:val="24"/>
            <w:szCs w:val="24"/>
            <w:u w:val="single"/>
          </w:rPr>
          <w:t>xkd6@cdc.gov</w:t>
        </w:r>
      </w:hyperlink>
      <w:r>
        <w:rPr>
          <w:color w:val="000000"/>
          <w:sz w:val="24"/>
          <w:szCs w:val="24"/>
        </w:rPr>
        <w:t xml:space="preserve">   </w:t>
      </w:r>
    </w:p>
    <w:p w:rsidR="000F76AA" w14:paraId="78356A93" w14:textId="77777777">
      <w:pPr>
        <w:spacing w:line="276" w:lineRule="auto"/>
        <w:jc w:val="center"/>
        <w:rPr>
          <w:b/>
          <w:smallCaps/>
        </w:rPr>
      </w:pPr>
      <w:r>
        <w:rPr>
          <w:b/>
          <w:smallCaps/>
        </w:rPr>
        <w:t>TABLE OF CONTENTS</w:t>
      </w:r>
    </w:p>
    <w:sdt>
      <w:sdtPr>
        <w:id w:val="1230506713"/>
        <w:docPartObj>
          <w:docPartGallery w:val="Table of Contents"/>
          <w:docPartUnique/>
        </w:docPartObj>
      </w:sdtPr>
      <w:sdtContent>
        <w:p w:rsidR="000F76AA" w14:paraId="3A4E7006" w14:textId="77777777">
          <w:pPr>
            <w:widowControl w:val="0"/>
            <w:tabs>
              <w:tab w:val="right" w:pos="12000"/>
            </w:tabs>
            <w:spacing w:before="60"/>
            <w:ind w:left="1080"/>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l14owpsge8bf">
            <w:r>
              <w:rPr>
                <w:rFonts w:ascii="Calibri" w:eastAsia="Calibri" w:hAnsi="Calibri" w:cs="Calibri"/>
                <w:color w:val="000000"/>
                <w:sz w:val="18"/>
                <w:szCs w:val="18"/>
              </w:rPr>
              <w:t>Supporting Statement A</w:t>
            </w:r>
            <w:r>
              <w:rPr>
                <w:rFonts w:ascii="Calibri" w:eastAsia="Calibri" w:hAnsi="Calibri" w:cs="Calibri"/>
                <w:color w:val="000000"/>
                <w:sz w:val="18"/>
                <w:szCs w:val="18"/>
              </w:rPr>
              <w:tab/>
              <w:t>1</w:t>
            </w:r>
          </w:hyperlink>
        </w:p>
        <w:p w:rsidR="000F76AA" w14:paraId="31B92CD3" w14:textId="77777777">
          <w:pPr>
            <w:widowControl w:val="0"/>
            <w:tabs>
              <w:tab w:val="right" w:pos="12000"/>
            </w:tabs>
            <w:spacing w:before="60"/>
            <w:rPr>
              <w:rFonts w:ascii="Arial" w:eastAsia="Arial" w:hAnsi="Arial" w:cs="Arial"/>
              <w:b/>
              <w:color w:val="000000"/>
            </w:rPr>
          </w:pPr>
          <w:hyperlink w:anchor="_heading=h.gjdgxs">
            <w:r w:rsidR="009B4D08">
              <w:rPr>
                <w:rFonts w:ascii="Calibri" w:eastAsia="Calibri" w:hAnsi="Calibri" w:cs="Calibri"/>
                <w:b/>
                <w:smallCaps/>
                <w:color w:val="000000"/>
                <w:sz w:val="20"/>
                <w:szCs w:val="20"/>
              </w:rPr>
              <w:t>A . Justification</w:t>
            </w:r>
            <w:r w:rsidR="009B4D08">
              <w:rPr>
                <w:rFonts w:ascii="Calibri" w:eastAsia="Calibri" w:hAnsi="Calibri" w:cs="Calibri"/>
                <w:b/>
                <w:smallCaps/>
                <w:color w:val="000000"/>
                <w:sz w:val="20"/>
                <w:szCs w:val="20"/>
              </w:rPr>
              <w:tab/>
              <w:t>3</w:t>
            </w:r>
          </w:hyperlink>
        </w:p>
        <w:p w:rsidR="000F76AA" w14:paraId="56B6B28B" w14:textId="77777777">
          <w:pPr>
            <w:widowControl w:val="0"/>
            <w:tabs>
              <w:tab w:val="right" w:pos="12000"/>
            </w:tabs>
            <w:spacing w:before="60"/>
            <w:ind w:left="360"/>
            <w:rPr>
              <w:rFonts w:ascii="Arial" w:eastAsia="Arial" w:hAnsi="Arial" w:cs="Arial"/>
              <w:color w:val="000000"/>
            </w:rPr>
          </w:pPr>
          <w:hyperlink w:anchor="_heading=h.1mrcu09">
            <w:r w:rsidR="009B4D08">
              <w:rPr>
                <w:rFonts w:ascii="Calibri" w:eastAsia="Calibri" w:hAnsi="Calibri" w:cs="Calibri"/>
                <w:smallCaps/>
                <w:color w:val="000000"/>
                <w:sz w:val="20"/>
                <w:szCs w:val="20"/>
              </w:rPr>
              <w:t>1 Circumstances Making the Collection of Information Necessary</w:t>
            </w:r>
            <w:r w:rsidR="009B4D08">
              <w:rPr>
                <w:rFonts w:ascii="Calibri" w:eastAsia="Calibri" w:hAnsi="Calibri" w:cs="Calibri"/>
                <w:smallCaps/>
                <w:color w:val="000000"/>
                <w:sz w:val="20"/>
                <w:szCs w:val="20"/>
              </w:rPr>
              <w:tab/>
              <w:t>3</w:t>
            </w:r>
          </w:hyperlink>
        </w:p>
        <w:p w:rsidR="000F76AA" w14:paraId="2A9B37B8" w14:textId="77777777">
          <w:pPr>
            <w:widowControl w:val="0"/>
            <w:tabs>
              <w:tab w:val="right" w:pos="12000"/>
            </w:tabs>
            <w:spacing w:before="60"/>
            <w:ind w:left="360"/>
            <w:rPr>
              <w:rFonts w:ascii="Arial" w:eastAsia="Arial" w:hAnsi="Arial" w:cs="Arial"/>
              <w:color w:val="000000"/>
            </w:rPr>
          </w:pPr>
          <w:hyperlink w:anchor="_heading=h.46r0co2">
            <w:r w:rsidR="009B4D08">
              <w:rPr>
                <w:rFonts w:ascii="Calibri" w:eastAsia="Calibri" w:hAnsi="Calibri" w:cs="Calibri"/>
                <w:smallCaps/>
                <w:color w:val="000000"/>
                <w:sz w:val="20"/>
                <w:szCs w:val="20"/>
              </w:rPr>
              <w:t>2 Purpose and Use of the Information Collection</w:t>
            </w:r>
            <w:r w:rsidR="009B4D08">
              <w:rPr>
                <w:rFonts w:ascii="Calibri" w:eastAsia="Calibri" w:hAnsi="Calibri" w:cs="Calibri"/>
                <w:smallCaps/>
                <w:color w:val="000000"/>
                <w:sz w:val="20"/>
                <w:szCs w:val="20"/>
              </w:rPr>
              <w:tab/>
              <w:t>4</w:t>
            </w:r>
          </w:hyperlink>
        </w:p>
        <w:p w:rsidR="000F76AA" w14:paraId="1B3580F7" w14:textId="77777777">
          <w:pPr>
            <w:widowControl w:val="0"/>
            <w:tabs>
              <w:tab w:val="right" w:pos="12000"/>
            </w:tabs>
            <w:spacing w:before="60"/>
            <w:ind w:left="360"/>
            <w:rPr>
              <w:rFonts w:ascii="Arial" w:eastAsia="Arial" w:hAnsi="Arial" w:cs="Arial"/>
              <w:color w:val="000000"/>
            </w:rPr>
          </w:pPr>
          <w:hyperlink w:anchor="_heading=h.2lwamvv">
            <w:r w:rsidR="009B4D08">
              <w:rPr>
                <w:rFonts w:ascii="Calibri" w:eastAsia="Calibri" w:hAnsi="Calibri" w:cs="Calibri"/>
                <w:smallCaps/>
                <w:color w:val="000000"/>
                <w:sz w:val="20"/>
                <w:szCs w:val="20"/>
              </w:rPr>
              <w:t>4 Efforts to Identify Duplication and Use of Similar Information</w:t>
            </w:r>
            <w:r w:rsidR="009B4D08">
              <w:rPr>
                <w:rFonts w:ascii="Calibri" w:eastAsia="Calibri" w:hAnsi="Calibri" w:cs="Calibri"/>
                <w:smallCaps/>
                <w:color w:val="000000"/>
                <w:sz w:val="20"/>
                <w:szCs w:val="20"/>
              </w:rPr>
              <w:tab/>
              <w:t>5</w:t>
            </w:r>
          </w:hyperlink>
        </w:p>
        <w:p w:rsidR="000F76AA" w14:paraId="326E6A1D" w14:textId="77777777">
          <w:pPr>
            <w:widowControl w:val="0"/>
            <w:tabs>
              <w:tab w:val="right" w:pos="12000"/>
            </w:tabs>
            <w:spacing w:before="60"/>
            <w:ind w:left="360"/>
            <w:rPr>
              <w:rFonts w:ascii="Arial" w:eastAsia="Arial" w:hAnsi="Arial" w:cs="Arial"/>
              <w:color w:val="000000"/>
            </w:rPr>
          </w:pPr>
          <w:hyperlink w:anchor="_heading=h.111kx3o">
            <w:r w:rsidR="009B4D08">
              <w:rPr>
                <w:rFonts w:ascii="Calibri" w:eastAsia="Calibri" w:hAnsi="Calibri" w:cs="Calibri"/>
                <w:smallCaps/>
                <w:color w:val="000000"/>
                <w:sz w:val="20"/>
                <w:szCs w:val="20"/>
              </w:rPr>
              <w:t>5 Impact on Small Businesses or Other Small Entities</w:t>
            </w:r>
            <w:r w:rsidR="009B4D08">
              <w:rPr>
                <w:rFonts w:ascii="Calibri" w:eastAsia="Calibri" w:hAnsi="Calibri" w:cs="Calibri"/>
                <w:smallCaps/>
                <w:color w:val="000000"/>
                <w:sz w:val="20"/>
                <w:szCs w:val="20"/>
              </w:rPr>
              <w:tab/>
              <w:t>5</w:t>
            </w:r>
          </w:hyperlink>
        </w:p>
        <w:p w:rsidR="000F76AA" w14:paraId="323EEF40" w14:textId="77777777">
          <w:pPr>
            <w:widowControl w:val="0"/>
            <w:tabs>
              <w:tab w:val="right" w:pos="12000"/>
            </w:tabs>
            <w:spacing w:before="60"/>
            <w:ind w:left="360"/>
            <w:rPr>
              <w:rFonts w:ascii="Arial" w:eastAsia="Arial" w:hAnsi="Arial" w:cs="Arial"/>
              <w:color w:val="000000"/>
            </w:rPr>
          </w:pPr>
          <w:hyperlink w:anchor="_heading=h.3l18frh">
            <w:r w:rsidR="009B4D08">
              <w:rPr>
                <w:rFonts w:ascii="Calibri" w:eastAsia="Calibri" w:hAnsi="Calibri" w:cs="Calibri"/>
                <w:smallCaps/>
                <w:color w:val="000000"/>
                <w:sz w:val="20"/>
                <w:szCs w:val="20"/>
              </w:rPr>
              <w:t>6 Consequences of Collecting the Information Less Frequently</w:t>
            </w:r>
            <w:r w:rsidR="009B4D08">
              <w:rPr>
                <w:rFonts w:ascii="Calibri" w:eastAsia="Calibri" w:hAnsi="Calibri" w:cs="Calibri"/>
                <w:smallCaps/>
                <w:color w:val="000000"/>
                <w:sz w:val="20"/>
                <w:szCs w:val="20"/>
              </w:rPr>
              <w:tab/>
              <w:t>5</w:t>
            </w:r>
          </w:hyperlink>
        </w:p>
        <w:p w:rsidR="000F76AA" w14:paraId="4CC6FF1A" w14:textId="77777777">
          <w:pPr>
            <w:widowControl w:val="0"/>
            <w:tabs>
              <w:tab w:val="right" w:pos="12000"/>
            </w:tabs>
            <w:spacing w:before="60"/>
            <w:ind w:left="360"/>
            <w:rPr>
              <w:rFonts w:ascii="Arial" w:eastAsia="Arial" w:hAnsi="Arial" w:cs="Arial"/>
              <w:color w:val="000000"/>
            </w:rPr>
          </w:pPr>
          <w:hyperlink w:anchor="_heading=h.206ipza">
            <w:r w:rsidR="009B4D08">
              <w:rPr>
                <w:rFonts w:ascii="Calibri" w:eastAsia="Calibri" w:hAnsi="Calibri" w:cs="Calibri"/>
                <w:smallCaps/>
                <w:color w:val="000000"/>
                <w:sz w:val="20"/>
                <w:szCs w:val="20"/>
              </w:rPr>
              <w:t>7 Special Circumstances Relating to the Guidelines of 5 CFR 1320.5</w:t>
            </w:r>
            <w:r w:rsidR="009B4D08">
              <w:rPr>
                <w:rFonts w:ascii="Calibri" w:eastAsia="Calibri" w:hAnsi="Calibri" w:cs="Calibri"/>
                <w:smallCaps/>
                <w:color w:val="000000"/>
                <w:sz w:val="20"/>
                <w:szCs w:val="20"/>
              </w:rPr>
              <w:tab/>
              <w:t>5</w:t>
            </w:r>
          </w:hyperlink>
        </w:p>
        <w:p w:rsidR="000F76AA" w14:paraId="235A5965" w14:textId="77777777">
          <w:pPr>
            <w:widowControl w:val="0"/>
            <w:tabs>
              <w:tab w:val="right" w:pos="12000"/>
            </w:tabs>
            <w:spacing w:before="60"/>
            <w:ind w:left="360"/>
            <w:rPr>
              <w:rFonts w:ascii="Arial" w:eastAsia="Arial" w:hAnsi="Arial" w:cs="Arial"/>
              <w:color w:val="000000"/>
            </w:rPr>
          </w:pPr>
          <w:hyperlink w:anchor="_heading=h.4k668n3">
            <w:r w:rsidR="009B4D08">
              <w:rPr>
                <w:rFonts w:ascii="Calibri" w:eastAsia="Calibri" w:hAnsi="Calibri" w:cs="Calibri"/>
                <w:smallCaps/>
                <w:color w:val="000000"/>
                <w:sz w:val="20"/>
                <w:szCs w:val="20"/>
              </w:rPr>
              <w:t>8 Comments in Response to the Federal Register Notice and Efforts to Consult Outside the Agency</w:t>
            </w:r>
            <w:r w:rsidR="009B4D08">
              <w:rPr>
                <w:rFonts w:ascii="Calibri" w:eastAsia="Calibri" w:hAnsi="Calibri" w:cs="Calibri"/>
                <w:smallCaps/>
                <w:color w:val="000000"/>
                <w:sz w:val="20"/>
                <w:szCs w:val="20"/>
              </w:rPr>
              <w:tab/>
              <w:t>5</w:t>
            </w:r>
          </w:hyperlink>
        </w:p>
        <w:p w:rsidR="000F76AA" w14:paraId="075600DD" w14:textId="77777777">
          <w:pPr>
            <w:widowControl w:val="0"/>
            <w:tabs>
              <w:tab w:val="right" w:pos="12000"/>
            </w:tabs>
            <w:spacing w:before="60"/>
            <w:ind w:left="360"/>
            <w:rPr>
              <w:rFonts w:ascii="Arial" w:eastAsia="Arial" w:hAnsi="Arial" w:cs="Arial"/>
              <w:color w:val="000000"/>
            </w:rPr>
          </w:pPr>
          <w:hyperlink w:anchor="_heading=h.2zbgiuw">
            <w:r w:rsidR="009B4D08">
              <w:rPr>
                <w:rFonts w:ascii="Calibri" w:eastAsia="Calibri" w:hAnsi="Calibri" w:cs="Calibri"/>
                <w:smallCaps/>
                <w:color w:val="000000"/>
                <w:sz w:val="20"/>
                <w:szCs w:val="20"/>
              </w:rPr>
              <w:t>9 Explanation of Any Payment or Gift to Respondents</w:t>
            </w:r>
            <w:r w:rsidR="009B4D08">
              <w:rPr>
                <w:rFonts w:ascii="Calibri" w:eastAsia="Calibri" w:hAnsi="Calibri" w:cs="Calibri"/>
                <w:smallCaps/>
                <w:color w:val="000000"/>
                <w:sz w:val="20"/>
                <w:szCs w:val="20"/>
              </w:rPr>
              <w:tab/>
              <w:t>6</w:t>
            </w:r>
          </w:hyperlink>
        </w:p>
        <w:p w:rsidR="000F76AA" w14:paraId="7F7E3041" w14:textId="77777777">
          <w:pPr>
            <w:widowControl w:val="0"/>
            <w:tabs>
              <w:tab w:val="right" w:pos="12000"/>
            </w:tabs>
            <w:spacing w:before="60"/>
            <w:ind w:left="360"/>
            <w:rPr>
              <w:rFonts w:ascii="Arial" w:eastAsia="Arial" w:hAnsi="Arial" w:cs="Arial"/>
              <w:color w:val="000000"/>
            </w:rPr>
          </w:pPr>
          <w:hyperlink w:anchor="_heading=h.2dlolyb">
            <w:r w:rsidR="009B4D08">
              <w:rPr>
                <w:rFonts w:ascii="Calibri" w:eastAsia="Calibri" w:hAnsi="Calibri" w:cs="Calibri"/>
                <w:smallCaps/>
                <w:color w:val="000000"/>
                <w:sz w:val="20"/>
                <w:szCs w:val="20"/>
              </w:rPr>
              <w:t>10 Assurance of Privacy Provided to Respondents</w:t>
            </w:r>
            <w:r w:rsidR="009B4D08">
              <w:rPr>
                <w:rFonts w:ascii="Calibri" w:eastAsia="Calibri" w:hAnsi="Calibri" w:cs="Calibri"/>
                <w:smallCaps/>
                <w:color w:val="000000"/>
                <w:sz w:val="20"/>
                <w:szCs w:val="20"/>
              </w:rPr>
              <w:tab/>
              <w:t>7</w:t>
            </w:r>
          </w:hyperlink>
        </w:p>
        <w:p w:rsidR="000F76AA" w14:paraId="256CFA43" w14:textId="77777777">
          <w:pPr>
            <w:widowControl w:val="0"/>
            <w:tabs>
              <w:tab w:val="right" w:pos="12000"/>
            </w:tabs>
            <w:spacing w:before="60"/>
            <w:ind w:left="360"/>
            <w:rPr>
              <w:rFonts w:ascii="Arial" w:eastAsia="Arial" w:hAnsi="Arial" w:cs="Arial"/>
              <w:color w:val="000000"/>
            </w:rPr>
          </w:pPr>
          <w:hyperlink w:anchor="_heading=h.4i7ojhp">
            <w:r w:rsidR="009B4D08">
              <w:rPr>
                <w:rFonts w:ascii="Calibri" w:eastAsia="Calibri" w:hAnsi="Calibri" w:cs="Calibri"/>
                <w:smallCaps/>
                <w:color w:val="000000"/>
                <w:sz w:val="20"/>
                <w:szCs w:val="20"/>
              </w:rPr>
              <w:t>11 Justification for Sensitive Questions</w:t>
            </w:r>
            <w:r w:rsidR="009B4D08">
              <w:rPr>
                <w:rFonts w:ascii="Calibri" w:eastAsia="Calibri" w:hAnsi="Calibri" w:cs="Calibri"/>
                <w:smallCaps/>
                <w:color w:val="000000"/>
                <w:sz w:val="20"/>
                <w:szCs w:val="20"/>
              </w:rPr>
              <w:tab/>
              <w:t>8</w:t>
            </w:r>
          </w:hyperlink>
        </w:p>
        <w:p w:rsidR="000F76AA" w14:paraId="47A4D7F7" w14:textId="77777777">
          <w:pPr>
            <w:widowControl w:val="0"/>
            <w:tabs>
              <w:tab w:val="right" w:pos="12000"/>
            </w:tabs>
            <w:spacing w:before="60"/>
            <w:ind w:left="360"/>
            <w:rPr>
              <w:rFonts w:ascii="Arial" w:eastAsia="Arial" w:hAnsi="Arial" w:cs="Arial"/>
              <w:color w:val="000000"/>
            </w:rPr>
          </w:pPr>
          <w:hyperlink w:anchor="_heading=h.sqyw64">
            <w:r w:rsidR="009B4D08">
              <w:rPr>
                <w:rFonts w:ascii="Calibri" w:eastAsia="Calibri" w:hAnsi="Calibri" w:cs="Calibri"/>
                <w:smallCaps/>
                <w:color w:val="000000"/>
                <w:sz w:val="20"/>
                <w:szCs w:val="20"/>
              </w:rPr>
              <w:t>12 Estimates of Annualized Burden Hours and Costs</w:t>
            </w:r>
            <w:r w:rsidR="009B4D08">
              <w:rPr>
                <w:rFonts w:ascii="Calibri" w:eastAsia="Calibri" w:hAnsi="Calibri" w:cs="Calibri"/>
                <w:smallCaps/>
                <w:color w:val="000000"/>
                <w:sz w:val="20"/>
                <w:szCs w:val="20"/>
              </w:rPr>
              <w:tab/>
              <w:t>8</w:t>
            </w:r>
          </w:hyperlink>
        </w:p>
        <w:p w:rsidR="000F76AA" w14:paraId="095B8CA7" w14:textId="77777777">
          <w:pPr>
            <w:widowControl w:val="0"/>
            <w:tabs>
              <w:tab w:val="right" w:pos="12000"/>
            </w:tabs>
            <w:spacing w:before="60"/>
            <w:ind w:left="360"/>
            <w:rPr>
              <w:rFonts w:ascii="Arial" w:eastAsia="Arial" w:hAnsi="Arial" w:cs="Arial"/>
              <w:color w:val="000000"/>
            </w:rPr>
          </w:pPr>
          <w:hyperlink w:anchor="_heading=h.3cqmetx">
            <w:r w:rsidR="009B4D08">
              <w:rPr>
                <w:rFonts w:ascii="Calibri" w:eastAsia="Calibri" w:hAnsi="Calibri" w:cs="Calibri"/>
                <w:smallCaps/>
                <w:color w:val="000000"/>
                <w:sz w:val="20"/>
                <w:szCs w:val="20"/>
              </w:rPr>
              <w:t>13 Estimates of Other Total Annual Cost Burden to Respondents and Record Keepers</w:t>
            </w:r>
            <w:r w:rsidR="009B4D08">
              <w:rPr>
                <w:rFonts w:ascii="Calibri" w:eastAsia="Calibri" w:hAnsi="Calibri" w:cs="Calibri"/>
                <w:smallCaps/>
                <w:color w:val="000000"/>
                <w:sz w:val="20"/>
                <w:szCs w:val="20"/>
              </w:rPr>
              <w:tab/>
              <w:t>10</w:t>
            </w:r>
          </w:hyperlink>
        </w:p>
        <w:p w:rsidR="000F76AA" w14:paraId="4573066F" w14:textId="77777777">
          <w:pPr>
            <w:widowControl w:val="0"/>
            <w:tabs>
              <w:tab w:val="right" w:pos="12000"/>
            </w:tabs>
            <w:spacing w:before="60"/>
            <w:ind w:left="360"/>
            <w:rPr>
              <w:rFonts w:ascii="Arial" w:eastAsia="Arial" w:hAnsi="Arial" w:cs="Arial"/>
              <w:color w:val="000000"/>
            </w:rPr>
          </w:pPr>
          <w:hyperlink w:anchor="_heading=h.1rvwp1q">
            <w:r w:rsidR="009B4D08">
              <w:rPr>
                <w:rFonts w:ascii="Calibri" w:eastAsia="Calibri" w:hAnsi="Calibri" w:cs="Calibri"/>
                <w:smallCaps/>
                <w:color w:val="000000"/>
                <w:sz w:val="20"/>
                <w:szCs w:val="20"/>
              </w:rPr>
              <w:t>14 Annualized Cost to the Federal Government</w:t>
            </w:r>
            <w:r w:rsidR="009B4D08">
              <w:rPr>
                <w:rFonts w:ascii="Calibri" w:eastAsia="Calibri" w:hAnsi="Calibri" w:cs="Calibri"/>
                <w:smallCaps/>
                <w:color w:val="000000"/>
                <w:sz w:val="20"/>
                <w:szCs w:val="20"/>
              </w:rPr>
              <w:tab/>
              <w:t>10</w:t>
            </w:r>
          </w:hyperlink>
        </w:p>
        <w:p w:rsidR="000F76AA" w14:paraId="040A3ABC" w14:textId="77777777">
          <w:pPr>
            <w:widowControl w:val="0"/>
            <w:tabs>
              <w:tab w:val="right" w:pos="12000"/>
            </w:tabs>
            <w:spacing w:before="60"/>
            <w:ind w:left="360"/>
            <w:rPr>
              <w:rFonts w:ascii="Arial" w:eastAsia="Arial" w:hAnsi="Arial" w:cs="Arial"/>
              <w:color w:val="000000"/>
            </w:rPr>
          </w:pPr>
          <w:hyperlink w:anchor="_heading=h.4bvk7pj">
            <w:r w:rsidR="009B4D08">
              <w:rPr>
                <w:rFonts w:ascii="Calibri" w:eastAsia="Calibri" w:hAnsi="Calibri" w:cs="Calibri"/>
                <w:smallCaps/>
                <w:color w:val="000000"/>
                <w:sz w:val="20"/>
                <w:szCs w:val="20"/>
              </w:rPr>
              <w:t>15 Explanation for Program Changes or Adjustments</w:t>
            </w:r>
            <w:r w:rsidR="009B4D08">
              <w:rPr>
                <w:rFonts w:ascii="Calibri" w:eastAsia="Calibri" w:hAnsi="Calibri" w:cs="Calibri"/>
                <w:smallCaps/>
                <w:color w:val="000000"/>
                <w:sz w:val="20"/>
                <w:szCs w:val="20"/>
              </w:rPr>
              <w:tab/>
              <w:t>10</w:t>
            </w:r>
          </w:hyperlink>
        </w:p>
        <w:p w:rsidR="000F76AA" w14:paraId="3629AE24" w14:textId="77777777">
          <w:pPr>
            <w:widowControl w:val="0"/>
            <w:tabs>
              <w:tab w:val="right" w:pos="12000"/>
            </w:tabs>
            <w:spacing w:before="60"/>
            <w:ind w:left="360"/>
            <w:rPr>
              <w:rFonts w:ascii="Arial" w:eastAsia="Arial" w:hAnsi="Arial" w:cs="Arial"/>
              <w:color w:val="000000"/>
            </w:rPr>
          </w:pPr>
          <w:hyperlink w:anchor="_heading=h.2r0uhxc">
            <w:r w:rsidR="009B4D08">
              <w:rPr>
                <w:rFonts w:ascii="Calibri" w:eastAsia="Calibri" w:hAnsi="Calibri" w:cs="Calibri"/>
                <w:smallCaps/>
                <w:color w:val="000000"/>
                <w:sz w:val="20"/>
                <w:szCs w:val="20"/>
              </w:rPr>
              <w:t>16 Plans for Tabulation and Publication and Project Time Schedule</w:t>
            </w:r>
            <w:r w:rsidR="009B4D08">
              <w:rPr>
                <w:rFonts w:ascii="Calibri" w:eastAsia="Calibri" w:hAnsi="Calibri" w:cs="Calibri"/>
                <w:smallCaps/>
                <w:color w:val="000000"/>
                <w:sz w:val="20"/>
                <w:szCs w:val="20"/>
              </w:rPr>
              <w:tab/>
              <w:t>10</w:t>
            </w:r>
          </w:hyperlink>
        </w:p>
        <w:p w:rsidR="000F76AA" w14:paraId="4BEE0146" w14:textId="77777777">
          <w:pPr>
            <w:widowControl w:val="0"/>
            <w:tabs>
              <w:tab w:val="right" w:pos="12000"/>
            </w:tabs>
            <w:spacing w:before="60"/>
            <w:ind w:left="360"/>
            <w:rPr>
              <w:rFonts w:ascii="Arial" w:eastAsia="Arial" w:hAnsi="Arial" w:cs="Arial"/>
              <w:color w:val="000000"/>
            </w:rPr>
          </w:pPr>
          <w:hyperlink w:anchor="_heading=h.1664s55">
            <w:r w:rsidR="009B4D08">
              <w:rPr>
                <w:rFonts w:ascii="Calibri" w:eastAsia="Calibri" w:hAnsi="Calibri" w:cs="Calibri"/>
                <w:smallCaps/>
                <w:color w:val="000000"/>
                <w:sz w:val="20"/>
                <w:szCs w:val="20"/>
              </w:rPr>
              <w:t>17 Reason(s) Display of OMB Expiration Date Is Inappropriate</w:t>
            </w:r>
            <w:r w:rsidR="009B4D08">
              <w:rPr>
                <w:rFonts w:ascii="Calibri" w:eastAsia="Calibri" w:hAnsi="Calibri" w:cs="Calibri"/>
                <w:smallCaps/>
                <w:color w:val="000000"/>
                <w:sz w:val="20"/>
                <w:szCs w:val="20"/>
              </w:rPr>
              <w:tab/>
              <w:t>11</w:t>
            </w:r>
          </w:hyperlink>
        </w:p>
        <w:p w:rsidR="000F76AA" w14:paraId="7549C08D" w14:textId="77777777">
          <w:pPr>
            <w:widowControl w:val="0"/>
            <w:tabs>
              <w:tab w:val="right" w:pos="12000"/>
            </w:tabs>
            <w:spacing w:before="60"/>
            <w:ind w:left="360"/>
            <w:rPr>
              <w:rFonts w:ascii="Arial" w:eastAsia="Arial" w:hAnsi="Arial" w:cs="Arial"/>
              <w:color w:val="000000"/>
            </w:rPr>
          </w:pPr>
          <w:hyperlink w:anchor="_heading=h.3q5sasy">
            <w:r w:rsidR="009B4D08">
              <w:rPr>
                <w:rFonts w:ascii="Calibri" w:eastAsia="Calibri" w:hAnsi="Calibri" w:cs="Calibri"/>
                <w:smallCaps/>
                <w:color w:val="000000"/>
                <w:sz w:val="20"/>
                <w:szCs w:val="20"/>
              </w:rPr>
              <w:t>18 Exceptions to Certification for Paperwork Reduction Act Submissions</w:t>
            </w:r>
            <w:r w:rsidR="009B4D08">
              <w:rPr>
                <w:rFonts w:ascii="Calibri" w:eastAsia="Calibri" w:hAnsi="Calibri" w:cs="Calibri"/>
                <w:smallCaps/>
                <w:color w:val="000000"/>
                <w:sz w:val="20"/>
                <w:szCs w:val="20"/>
              </w:rPr>
              <w:tab/>
              <w:t>11</w:t>
            </w:r>
          </w:hyperlink>
        </w:p>
        <w:p w:rsidR="000F76AA" w14:paraId="27A40F1D" w14:textId="77777777">
          <w:pPr>
            <w:widowControl w:val="0"/>
            <w:tabs>
              <w:tab w:val="right" w:pos="12000"/>
            </w:tabs>
            <w:spacing w:before="60"/>
            <w:ind w:left="360"/>
            <w:rPr>
              <w:rFonts w:ascii="Arial" w:eastAsia="Arial" w:hAnsi="Arial" w:cs="Arial"/>
              <w:color w:val="000000"/>
            </w:rPr>
          </w:pPr>
          <w:hyperlink w:anchor="_heading=h.25b2l0r">
            <w:r w:rsidR="009B4D08">
              <w:rPr>
                <w:rFonts w:ascii="Calibri" w:eastAsia="Calibri" w:hAnsi="Calibri" w:cs="Calibri"/>
                <w:smallCaps/>
                <w:color w:val="000000"/>
                <w:sz w:val="20"/>
                <w:szCs w:val="20"/>
              </w:rPr>
              <w:t>References</w:t>
            </w:r>
            <w:r w:rsidR="009B4D08">
              <w:rPr>
                <w:rFonts w:ascii="Calibri" w:eastAsia="Calibri" w:hAnsi="Calibri" w:cs="Calibri"/>
                <w:smallCaps/>
                <w:color w:val="000000"/>
                <w:sz w:val="20"/>
                <w:szCs w:val="20"/>
              </w:rPr>
              <w:tab/>
              <w:t>11</w:t>
            </w:r>
          </w:hyperlink>
          <w:r w:rsidR="009B4D08">
            <w:fldChar w:fldCharType="end"/>
          </w:r>
        </w:p>
      </w:sdtContent>
    </w:sdt>
    <w:p w:rsidR="000F76AA" w14:paraId="4DDBEF00" w14:textId="77777777">
      <w:pPr>
        <w:tabs>
          <w:tab w:val="right" w:pos="9270"/>
        </w:tabs>
        <w:spacing w:line="360" w:lineRule="auto"/>
        <w:rPr>
          <w:b/>
        </w:rPr>
      </w:pPr>
      <w:r>
        <w:rPr>
          <w:b/>
        </w:rPr>
        <w:tab/>
      </w:r>
    </w:p>
    <w:p w:rsidR="000F76AA" w14:paraId="6245B966" w14:textId="77777777">
      <w:pPr>
        <w:pBdr>
          <w:top w:val="nil"/>
          <w:left w:val="nil"/>
          <w:bottom w:val="nil"/>
          <w:right w:val="nil"/>
          <w:between w:val="nil"/>
        </w:pBdr>
        <w:tabs>
          <w:tab w:val="right" w:pos="9360"/>
        </w:tabs>
        <w:spacing w:after="240" w:line="360" w:lineRule="auto"/>
        <w:rPr>
          <w:color w:val="000000"/>
          <w:u w:val="single"/>
        </w:rPr>
      </w:pPr>
      <w:r>
        <w:rPr>
          <w:color w:val="000000"/>
          <w:u w:val="single"/>
        </w:rPr>
        <w:t>Exhibits</w:t>
      </w:r>
    </w:p>
    <w:sdt>
      <w:sdtPr>
        <w:id w:val="1690110202"/>
        <w:docPartObj>
          <w:docPartGallery w:val="Table of Contents"/>
          <w:docPartUnique/>
        </w:docPartObj>
      </w:sdtPr>
      <w:sdtContent>
        <w:p w:rsidR="000F76AA" w14:paraId="4E9878F9"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\t "Heading 1,1,Heading 2,2,Heading 3,3,Heading 4,4,Heading 5,5,Heading 6,6,"</w:instrText>
          </w:r>
          <w:r>
            <w:fldChar w:fldCharType="separate"/>
          </w:r>
          <w:hyperlink w:anchor="_heading=h.lnxbz9">
            <w:r>
              <w:rPr>
                <w:color w:val="000000"/>
              </w:rPr>
              <w:t>Exhibit A.8.1.</w:t>
            </w:r>
            <w:r>
              <w:rPr>
                <w:color w:val="000000"/>
              </w:rPr>
              <w:tab/>
              <w:t>Individuals Consulted During</w:t>
            </w:r>
            <w:r>
              <w:rPr>
                <w:color w:val="000000"/>
              </w:rPr>
              <w:tab/>
              <w:t>A-</w:t>
            </w:r>
          </w:hyperlink>
          <w:r>
            <w:fldChar w:fldCharType="begin"/>
          </w:r>
          <w:r>
            <w:instrText xml:space="preserve"> PAGEREF _heading=h.lnxbz9 \h </w:instrText>
          </w:r>
          <w:r>
            <w:fldChar w:fldCharType="separate"/>
          </w:r>
          <w:r>
            <w:t>6</w:t>
          </w:r>
        </w:p>
        <w:p w:rsidR="000F76AA" w14:paraId="0CD7DBE8"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whwml4">
            <w:r>
              <w:rPr>
                <w:color w:val="000000"/>
              </w:rPr>
              <w:t>Exhibit A.12.1.</w:t>
            </w:r>
            <w:r>
              <w:rPr>
                <w:color w:val="000000"/>
              </w:rPr>
              <w:tab/>
              <w:t>Estimated Annualized Burden Hours</w:t>
            </w:r>
            <w:r>
              <w:rPr>
                <w:color w:val="000000"/>
              </w:rPr>
              <w:tab/>
              <w:t>A-</w:t>
            </w:r>
          </w:hyperlink>
          <w:r>
            <w:t>9</w:t>
          </w:r>
        </w:p>
        <w:p w:rsidR="000F76AA" w14:paraId="69DEDA37"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_heading=h.kgcv8k">
            <w:r w:rsidR="009B4D08">
              <w:rPr>
                <w:color w:val="000000"/>
              </w:rPr>
              <w:t>Exhibit A.12.2</w:t>
            </w:r>
            <w:r w:rsidR="009B4D08">
              <w:rPr>
                <w:color w:val="000000"/>
              </w:rPr>
              <w:tab/>
              <w:t>Estimated Annualized Burden Costs</w:t>
            </w:r>
            <w:r w:rsidR="009B4D08">
              <w:rPr>
                <w:color w:val="000000"/>
              </w:rPr>
              <w:tab/>
              <w:t>A-</w:t>
            </w:r>
          </w:hyperlink>
          <w:r w:rsidR="009B4D08">
            <w:fldChar w:fldCharType="begin"/>
          </w:r>
          <w:r w:rsidR="009B4D08">
            <w:instrText xml:space="preserve"> PAGEREF _heading=h.kgcv8k \h </w:instrText>
          </w:r>
          <w:r w:rsidR="009B4D08">
            <w:fldChar w:fldCharType="separate"/>
          </w:r>
          <w:r w:rsidR="009B4D08">
            <w:t>9</w:t>
          </w:r>
        </w:p>
        <w:p w:rsidR="000F76AA" w14:paraId="642F1084"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2p2csry">
            <w:r>
              <w:rPr>
                <w:color w:val="000000"/>
              </w:rPr>
              <w:t>Exhibit A.14.1.</w:t>
            </w:r>
            <w:r>
              <w:rPr>
                <w:color w:val="000000"/>
              </w:rPr>
              <w:tab/>
              <w:t>Estimated Cost to the Government</w:t>
            </w:r>
            <w:r>
              <w:rPr>
                <w:color w:val="000000"/>
              </w:rPr>
              <w:tab/>
              <w:t>A-</w:t>
            </w:r>
          </w:hyperlink>
          <w:r>
            <w:fldChar w:fldCharType="begin"/>
          </w:r>
          <w:r>
            <w:instrText xml:space="preserve"> PAGEREF _heading=h.2p2csry \h </w:instrText>
          </w:r>
          <w:r>
            <w:fldChar w:fldCharType="separate"/>
          </w:r>
          <w:r>
            <w:t>10</w:t>
          </w:r>
        </w:p>
        <w:p w:rsidR="000F76AA" w14:paraId="6D55083A"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2hioqz">
            <w:r>
              <w:rPr>
                <w:color w:val="000000"/>
              </w:rPr>
              <w:t>Exhibit A.16.1.</w:t>
            </w:r>
            <w:r>
              <w:rPr>
                <w:color w:val="000000"/>
              </w:rPr>
              <w:tab/>
              <w:t xml:space="preserve">Project Time Schedule by City </w:t>
            </w:r>
            <w:r>
              <w:rPr>
                <w:color w:val="000000"/>
              </w:rPr>
              <w:tab/>
              <w:t>A-</w:t>
            </w:r>
          </w:hyperlink>
          <w:r>
            <w:fldChar w:fldCharType="begin"/>
          </w:r>
          <w:r>
            <w:instrText xml:space="preserve"> PAGEREF _heading=h.32hioqz \h </w:instrText>
          </w:r>
          <w:r>
            <w:fldChar w:fldCharType="separate"/>
          </w:r>
          <w:r>
            <w:t>11</w:t>
          </w:r>
        </w:p>
        <w:p w:rsidR="000F76AA" w14:paraId="3461D779" w14:textId="77777777">
          <w:pPr>
            <w:pBdr>
              <w:top w:val="nil"/>
              <w:left w:val="nil"/>
              <w:bottom w:val="nil"/>
              <w:right w:val="nil"/>
              <w:between w:val="nil"/>
            </w:pBdr>
            <w:tabs>
              <w:tab w:val="right" w:pos="9360"/>
            </w:tabs>
            <w:spacing w:before="240" w:after="80" w:line="360" w:lineRule="auto"/>
            <w:ind w:right="720"/>
          </w:pPr>
          <w:r>
            <w:fldChar w:fldCharType="end"/>
          </w:r>
          <w:r>
            <w:fldChar w:fldCharType="end"/>
          </w:r>
        </w:p>
      </w:sdtContent>
    </w:sdt>
    <w:p w:rsidR="000F76AA" w14:paraId="34D42B0C" w14:textId="77777777">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0F76AA" w14:paraId="1D092BA1"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Eligibility Screener</w:t>
      </w:r>
    </w:p>
    <w:p w:rsidR="000F76AA" w14:paraId="5A3A4E10"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Recruitment Materials</w:t>
      </w:r>
    </w:p>
    <w:p w:rsidR="000F76AA" w14:paraId="0A385441"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Eligible Participant Screener</w:t>
      </w:r>
    </w:p>
    <w:p w:rsidR="000F76AA" w14:paraId="012CDBD0"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Privacy Agreement</w:t>
      </w:r>
    </w:p>
    <w:p w:rsidR="000F76AA" w14:paraId="1AA3FD81"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Respondent Consent Form for Focus Groups</w:t>
      </w:r>
    </w:p>
    <w:p w:rsidR="000F76AA" w14:paraId="658DE863"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Standard Invitation for FGs</w:t>
      </w:r>
    </w:p>
    <w:p w:rsidR="000F76AA" w14:paraId="5B9862F4"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Participant Confirmation Email</w:t>
      </w:r>
    </w:p>
    <w:p w:rsidR="000F76AA" w14:paraId="00A32238" w14:textId="77777777">
      <w:pPr>
        <w:numPr>
          <w:ilvl w:val="0"/>
          <w:numId w:val="2"/>
        </w:numPr>
        <w:pBdr>
          <w:top w:val="nil"/>
          <w:left w:val="nil"/>
          <w:bottom w:val="nil"/>
          <w:right w:val="nil"/>
          <w:between w:val="nil"/>
        </w:pBdr>
        <w:tabs>
          <w:tab w:val="left" w:pos="2160"/>
        </w:tabs>
        <w:spacing w:line="276" w:lineRule="auto"/>
        <w:rPr>
          <w:color w:val="000000"/>
        </w:rPr>
      </w:pPr>
      <w:r>
        <w:rPr>
          <w:color w:val="000000"/>
        </w:rPr>
        <w:t>Focus Group Moderator Guide</w:t>
      </w:r>
    </w:p>
    <w:p w:rsidR="000F76AA" w14:paraId="66CA960C" w14:textId="028C87FF">
      <w:pPr>
        <w:numPr>
          <w:ilvl w:val="0"/>
          <w:numId w:val="2"/>
        </w:numPr>
        <w:pBdr>
          <w:top w:val="nil"/>
          <w:left w:val="nil"/>
          <w:bottom w:val="nil"/>
          <w:right w:val="nil"/>
          <w:between w:val="nil"/>
        </w:pBdr>
        <w:tabs>
          <w:tab w:val="left" w:pos="2160"/>
        </w:tabs>
        <w:spacing w:line="276" w:lineRule="auto"/>
        <w:rPr>
          <w:color w:val="000000"/>
        </w:rPr>
      </w:pPr>
      <w:r>
        <w:rPr>
          <w:color w:val="000000"/>
        </w:rPr>
        <w:t xml:space="preserve">Messages to be </w:t>
      </w:r>
      <w:r>
        <w:rPr>
          <w:color w:val="000000"/>
        </w:rPr>
        <w:t>Tested</w:t>
      </w:r>
    </w:p>
    <w:p w:rsidR="00EE72ED" w14:paraId="6449E946" w14:textId="47441E44">
      <w:pPr>
        <w:numPr>
          <w:ilvl w:val="0"/>
          <w:numId w:val="2"/>
        </w:numPr>
        <w:pBdr>
          <w:top w:val="nil"/>
          <w:left w:val="nil"/>
          <w:bottom w:val="nil"/>
          <w:right w:val="nil"/>
          <w:between w:val="nil"/>
        </w:pBdr>
        <w:tabs>
          <w:tab w:val="left" w:pos="2160"/>
        </w:tabs>
        <w:spacing w:line="276" w:lineRule="auto"/>
        <w:rPr>
          <w:color w:val="000000"/>
        </w:rPr>
      </w:pPr>
      <w:r>
        <w:rPr>
          <w:color w:val="000000"/>
        </w:rPr>
        <w:t xml:space="preserve">Human Subjects Determination </w:t>
      </w:r>
    </w:p>
    <w:p w:rsidR="000F76AA" w14:paraId="3CF2D8B6" w14:textId="77777777">
      <w:pPr>
        <w:tabs>
          <w:tab w:val="left" w:pos="2160"/>
        </w:tabs>
        <w:spacing w:line="276" w:lineRule="auto"/>
      </w:pPr>
    </w:p>
    <w:p w:rsidR="000F76AA" w14:paraId="0FB78278" w14:textId="77777777">
      <w:pPr>
        <w:tabs>
          <w:tab w:val="left" w:pos="2160"/>
        </w:tabs>
        <w:spacing w:line="276" w:lineRule="auto"/>
      </w:pPr>
    </w:p>
    <w:p w:rsidR="000F76AA" w14:paraId="7C362017" w14:textId="77777777">
      <w:pPr>
        <w:pStyle w:val="Heading1"/>
        <w:spacing w:after="0" w:line="276" w:lineRule="auto"/>
        <w:jc w:val="left"/>
      </w:pPr>
      <w:bookmarkStart w:id="1" w:name="_heading=h.gjdgxs" w:colFirst="0" w:colLast="0"/>
      <w:bookmarkEnd w:id="1"/>
      <w:r>
        <w:t>A .</w:t>
      </w:r>
      <w:r>
        <w:tab/>
        <w:t>Justification</w:t>
      </w:r>
    </w:p>
    <w:p w:rsidR="000F76AA" w14:paraId="1FC39945" w14:textId="77777777">
      <w:pPr>
        <w:pStyle w:val="Heading2"/>
        <w:spacing w:before="0" w:after="0" w:line="276" w:lineRule="auto"/>
      </w:pPr>
      <w:bookmarkStart w:id="2" w:name="_heading=h.1fob9te" w:colFirst="0" w:colLast="0"/>
      <w:bookmarkEnd w:id="2"/>
    </w:p>
    <w:p w:rsidR="000F76AA" w14:paraId="4E89DD92" w14:textId="77777777">
      <w:pPr>
        <w:pStyle w:val="Heading2"/>
        <w:spacing w:before="0" w:after="0" w:line="276" w:lineRule="auto"/>
      </w:pPr>
      <w:bookmarkStart w:id="3" w:name="_heading=h.1mrcu09" w:colFirst="0" w:colLast="0"/>
      <w:bookmarkEnd w:id="3"/>
      <w:r>
        <w:t>1</w:t>
      </w:r>
      <w:r>
        <w:tab/>
        <w:t xml:space="preserve">Circumstances Making the Collection of Information Necessary </w:t>
      </w:r>
    </w:p>
    <w:p w:rsidR="000F76AA" w14:paraId="0562CB0E" w14:textId="77777777">
      <w:pPr>
        <w:spacing w:line="276" w:lineRule="auto"/>
      </w:pPr>
    </w:p>
    <w:p w:rsidR="000F76AA" w14:paraId="0A09ACFC" w14:textId="1A5066AC">
      <w:pPr>
        <w:spacing w:line="276" w:lineRule="auto"/>
      </w:pPr>
      <w:r>
        <w:t xml:space="preserve">CDC’s National Wastewater Surveillance System (NWSS) is the agency’s primary outlet to monitor infectious diseases through wastewater across the country. The system was initially built to coordinate and build the nation’s capacity to track the presence of SARS-CoV-2, the virus that causes COVID-19 in wastewater samples collected across the country but also tracks the presence of other infectious diseases such as </w:t>
      </w:r>
      <w:r>
        <w:t>mpox</w:t>
      </w:r>
      <w:r>
        <w:t xml:space="preserve">. The system serves to educate the public on early detection tools that can help communities prepare for and take action to address increasing cases of infectious diseases. Health departments, community leaders, and individuals can use wastewater monitoring data to make decisions about how best to protect their community. The CDC estimates that more than 1000 sites reported to NWSS in the last two months covering 35% of the U.S. population. CDC is interested in collecting </w:t>
      </w:r>
      <w:r>
        <w:t>nationally-representative</w:t>
      </w:r>
      <w:r>
        <w:t xml:space="preserve"> qualitative information to explore and understand the context and rationale behind audience preferences, knowledge, perceptions of wastewater monitoring, and test specific CDC messages and materials with audiences</w:t>
      </w:r>
      <w:r w:rsidR="00151A17">
        <w:t xml:space="preserve"> (Attachment 9)</w:t>
      </w:r>
      <w:r>
        <w:t xml:space="preserve">. </w:t>
      </w:r>
    </w:p>
    <w:p w:rsidR="000F76AA" w14:paraId="34CE0A41" w14:textId="77777777">
      <w:pPr>
        <w:spacing w:line="276" w:lineRule="auto"/>
      </w:pPr>
    </w:p>
    <w:p w:rsidR="000F76AA" w14:paraId="7D5A1BA7" w14:textId="77777777">
      <w:pPr>
        <w:spacing w:line="276" w:lineRule="auto"/>
      </w:pPr>
      <w:r>
        <w:t>The objectives of this project are to:</w:t>
      </w:r>
    </w:p>
    <w:p w:rsidR="000F76AA" w14:paraId="37BF19A6" w14:textId="77777777">
      <w:pPr>
        <w:numPr>
          <w:ilvl w:val="0"/>
          <w:numId w:val="5"/>
        </w:numPr>
        <w:spacing w:line="276" w:lineRule="auto"/>
        <w:rPr>
          <w:color w:val="000000"/>
        </w:rPr>
      </w:pPr>
      <w:r>
        <w:t>Obtain information about the suitability (e.g., clarity, applicability) of current messages and materials about the National Wastewater Surveillance System (NWSS), including aspects of the in-development website.</w:t>
      </w:r>
    </w:p>
    <w:p w:rsidR="000F76AA" w14:paraId="414CE200" w14:textId="4FC31CA0">
      <w:pPr>
        <w:numPr>
          <w:ilvl w:val="0"/>
          <w:numId w:val="5"/>
        </w:numPr>
        <w:spacing w:line="276" w:lineRule="auto"/>
      </w:pPr>
      <w:r>
        <w:t xml:space="preserve">Obtain findings on knowledge gaps and communication preferences for viral disease data presentation tools and surveillance messages among </w:t>
      </w:r>
      <w:r w:rsidRPr="41222DE0">
        <w:rPr>
          <w:color w:val="000000" w:themeColor="text1"/>
        </w:rPr>
        <w:t>those disproportionately affected by diseases t</w:t>
      </w:r>
      <w:r>
        <w:t>hat wastewater surveillance can monitor, including caregivers</w:t>
      </w:r>
      <w:r w:rsidR="789D3A81">
        <w:t xml:space="preserve"> of children under 5, caregivers of elderly individuals</w:t>
      </w:r>
      <w:r>
        <w:t>, business leaders, individuals at high risk for viral diseases, and rural populations, to promote health equity among these populations.</w:t>
      </w:r>
    </w:p>
    <w:p w:rsidR="000F76AA" w14:paraId="1DE02152" w14:textId="77777777">
      <w:pPr>
        <w:numPr>
          <w:ilvl w:val="0"/>
          <w:numId w:val="5"/>
        </w:numPr>
        <w:spacing w:line="276" w:lineRule="auto"/>
      </w:pPr>
      <w:r>
        <w:t>Obtain insights about educational factors that may influence the attitudes, perceptions, and behaviors of individuals who receive health guidance related to viral diseases from CDC.</w:t>
      </w:r>
    </w:p>
    <w:p w:rsidR="000F76AA" w14:paraId="62EBF3C5" w14:textId="77777777">
      <w:pPr>
        <w:spacing w:line="276" w:lineRule="auto"/>
      </w:pPr>
    </w:p>
    <w:p w:rsidR="000F76AA" w14:paraId="00D7756C" w14:textId="77777777">
      <w:pPr>
        <w:spacing w:line="276" w:lineRule="auto"/>
      </w:pPr>
      <w:r>
        <w:t>Data will be used to:</w:t>
      </w:r>
    </w:p>
    <w:p w:rsidR="000F76AA" w14:paraId="6B8D2822" w14:textId="77777777">
      <w:pPr>
        <w:numPr>
          <w:ilvl w:val="0"/>
          <w:numId w:val="3"/>
        </w:numPr>
        <w:spacing w:line="276" w:lineRule="auto"/>
        <w:rPr>
          <w:color w:val="000000"/>
        </w:rPr>
      </w:pPr>
      <w:r>
        <w:t>Provide updates to wastewater surveillance messages that can help position NWSS as a trusted source of information—along with other CDC resources—for respiratory disease tracking (for example, COVID-19, Flu, and Respiratory Syncytial Virus), management, and best practices for the general public.</w:t>
      </w:r>
    </w:p>
    <w:p w:rsidR="000F76AA" w14:paraId="41441D42" w14:textId="77777777">
      <w:pPr>
        <w:numPr>
          <w:ilvl w:val="0"/>
          <w:numId w:val="3"/>
        </w:numPr>
        <w:spacing w:line="276" w:lineRule="auto"/>
        <w:rPr>
          <w:color w:val="000000"/>
        </w:rPr>
      </w:pPr>
      <w:r>
        <w:t>Inform the development of the new dashboard/website which includes guidance based on national and localized data and the development of a toolkit to guide health departments with decision-making and disseminating information statewide and locally.</w:t>
      </w:r>
    </w:p>
    <w:p w:rsidR="000F76AA" w14:paraId="3B73D689" w14:textId="77777777">
      <w:pPr>
        <w:numPr>
          <w:ilvl w:val="0"/>
          <w:numId w:val="3"/>
        </w:numPr>
        <w:spacing w:line="276" w:lineRule="auto"/>
        <w:rPr>
          <w:color w:val="000000"/>
        </w:rPr>
      </w:pPr>
      <w:r>
        <w:t xml:space="preserve">Provide recommendations on types of communication products that could be created to inform the public (audiences of interest), decision-makers, and public health departments about the NWSS dashboard and motivate them to use and share the resource. </w:t>
      </w:r>
    </w:p>
    <w:p w:rsidR="000F76AA" w14:paraId="6D98A12B" w14:textId="77777777">
      <w:pPr>
        <w:spacing w:line="276" w:lineRule="auto"/>
      </w:pPr>
      <w:bookmarkStart w:id="4" w:name="_heading=h.44sinio" w:colFirst="0" w:colLast="0"/>
      <w:bookmarkEnd w:id="4"/>
    </w:p>
    <w:p w:rsidR="000F76AA" w14:paraId="49AD41AE" w14:textId="77777777">
      <w:pPr>
        <w:spacing w:line="276" w:lineRule="auto"/>
      </w:pPr>
      <w:r>
        <w:t xml:space="preserve">CDC’s contractor, Banyan Communications, will implement qualitative focus groups. The focus group respondents for this project will be a maximum of 60 individuals recruited by Banyan Communications. The project will work with volunteer respondents. Participants must meet a set of criteria to ensure all focus groups will include a maximally diverse group of participants considering age, educational level, and socioeconomic status, gender, and ethnicity and include a mix of geographical areas and urban/rural residents. The focus groups will be conducted between adults (18+) and at least one research staff member. The goal is to obtain feedback to support wastewater surveillance communication initiatives.  </w:t>
      </w:r>
    </w:p>
    <w:p w:rsidR="000F76AA" w14:paraId="2946DB82" w14:textId="77777777">
      <w:pPr>
        <w:pBdr>
          <w:top w:val="nil"/>
          <w:left w:val="nil"/>
          <w:bottom w:val="nil"/>
          <w:right w:val="nil"/>
          <w:between w:val="nil"/>
        </w:pBdr>
        <w:spacing w:line="276" w:lineRule="auto"/>
        <w:rPr>
          <w:color w:val="000000"/>
        </w:rPr>
      </w:pPr>
      <w:bookmarkStart w:id="5" w:name="_heading=h.147n2zr" w:colFirst="0" w:colLast="0"/>
      <w:bookmarkEnd w:id="5"/>
    </w:p>
    <w:p w:rsidR="000F76AA" w14:paraId="7E0880B3" w14:textId="77777777">
      <w:pPr>
        <w:pBdr>
          <w:top w:val="nil"/>
          <w:left w:val="nil"/>
          <w:bottom w:val="nil"/>
          <w:right w:val="nil"/>
          <w:between w:val="nil"/>
        </w:pBdr>
        <w:spacing w:line="276" w:lineRule="auto"/>
        <w:rPr>
          <w:color w:val="000000"/>
        </w:rPr>
      </w:pPr>
      <w:r>
        <w:rPr>
          <w:color w:val="000000"/>
        </w:rPr>
        <w:t xml:space="preserve">Data to be collected include the following: </w:t>
      </w:r>
      <w:r>
        <w:rPr>
          <w:color w:val="000000"/>
        </w:rPr>
        <w:t>sociodemographics</w:t>
      </w:r>
      <w:r>
        <w:rPr>
          <w:color w:val="000000"/>
        </w:rPr>
        <w:t xml:space="preserve">; knowledge, attitudes, beliefs, and perceptions related to </w:t>
      </w:r>
      <w:r>
        <w:t>wastewater surveillance</w:t>
      </w:r>
      <w:r>
        <w:rPr>
          <w:color w:val="000000"/>
        </w:rPr>
        <w:t xml:space="preserve">; and reactions and receptivity to </w:t>
      </w:r>
      <w:r>
        <w:t>wastewater surveillance</w:t>
      </w:r>
      <w:r>
        <w:rPr>
          <w:color w:val="000000"/>
        </w:rPr>
        <w:t xml:space="preserve"> messages</w:t>
      </w:r>
      <w:r>
        <w:t xml:space="preserve">, </w:t>
      </w:r>
      <w:r>
        <w:rPr>
          <w:color w:val="000000"/>
        </w:rPr>
        <w:t>content, and waste</w:t>
      </w:r>
      <w:r>
        <w:t>water surveillance website</w:t>
      </w:r>
      <w:r>
        <w:rPr>
          <w:color w:val="000000"/>
        </w:rPr>
        <w:t xml:space="preserve">. Questions shall assess ways in which participants obtain and/or seek information related to </w:t>
      </w:r>
      <w:r>
        <w:t>wastewater surveillance</w:t>
      </w:r>
      <w:r>
        <w:rPr>
          <w:color w:val="000000"/>
        </w:rPr>
        <w:t xml:space="preserve">, how they interpret this information, message receptivity and </w:t>
      </w:r>
      <w:r>
        <w:t>whether/</w:t>
      </w:r>
      <w:r>
        <w:rPr>
          <w:color w:val="000000"/>
        </w:rPr>
        <w:t xml:space="preserve">how the participants </w:t>
      </w:r>
      <w:r>
        <w:t xml:space="preserve">intend to </w:t>
      </w:r>
      <w:r>
        <w:rPr>
          <w:color w:val="000000"/>
        </w:rPr>
        <w:t xml:space="preserve">change their behavior based on the message. Participants shall also elaborate on ways in which the presented messages, through text or presentation changes, could be improved so that they are more effective. </w:t>
      </w:r>
    </w:p>
    <w:p w:rsidR="000F76AA" w14:paraId="5997CC1D" w14:textId="77777777">
      <w:pPr>
        <w:pBdr>
          <w:top w:val="nil"/>
          <w:left w:val="nil"/>
          <w:bottom w:val="nil"/>
          <w:right w:val="nil"/>
          <w:between w:val="nil"/>
        </w:pBdr>
        <w:spacing w:line="276" w:lineRule="auto"/>
        <w:rPr>
          <w:color w:val="000000"/>
        </w:rPr>
      </w:pPr>
    </w:p>
    <w:p w:rsidR="000F76AA" w14:paraId="45266FCD" w14:textId="77777777">
      <w:pPr>
        <w:pBdr>
          <w:top w:val="nil"/>
          <w:left w:val="nil"/>
          <w:bottom w:val="nil"/>
          <w:right w:val="nil"/>
          <w:between w:val="nil"/>
        </w:pBdr>
        <w:spacing w:line="276" w:lineRule="auto"/>
        <w:rPr>
          <w:color w:val="000000"/>
        </w:rPr>
      </w:pPr>
      <w:r>
        <w:rPr>
          <w:color w:val="000000"/>
        </w:rPr>
        <w:t xml:space="preserve">The data collection will </w:t>
      </w:r>
      <w:r>
        <w:rPr>
          <w:color w:val="000000"/>
        </w:rPr>
        <w:t>use</w:t>
      </w:r>
      <w:r>
        <w:rPr>
          <w:color w:val="000000"/>
        </w:rPr>
        <w:t xml:space="preserve"> </w:t>
      </w:r>
    </w:p>
    <w:p w:rsidR="000F76AA" w14:paraId="37DAE135" w14:textId="77777777">
      <w:pPr>
        <w:numPr>
          <w:ilvl w:val="0"/>
          <w:numId w:val="1"/>
        </w:numPr>
        <w:pBdr>
          <w:top w:val="nil"/>
          <w:left w:val="nil"/>
          <w:bottom w:val="nil"/>
          <w:right w:val="nil"/>
          <w:between w:val="nil"/>
        </w:pBdr>
        <w:spacing w:line="276" w:lineRule="auto"/>
        <w:rPr>
          <w:color w:val="000000"/>
        </w:rPr>
      </w:pPr>
      <w:r>
        <w:rPr>
          <w:color w:val="000000"/>
        </w:rPr>
        <w:t>a 5-minute Eligibility Screener before the virtual focus group (Attachment 1)</w:t>
      </w:r>
    </w:p>
    <w:p w:rsidR="000F76AA" w14:paraId="3C33E6A8" w14:textId="77777777">
      <w:pPr>
        <w:numPr>
          <w:ilvl w:val="0"/>
          <w:numId w:val="1"/>
        </w:numPr>
        <w:pBdr>
          <w:top w:val="nil"/>
          <w:left w:val="nil"/>
          <w:bottom w:val="nil"/>
          <w:right w:val="nil"/>
          <w:between w:val="nil"/>
        </w:pBdr>
        <w:spacing w:line="276" w:lineRule="auto"/>
        <w:rPr>
          <w:color w:val="000000"/>
        </w:rPr>
      </w:pPr>
      <w:r>
        <w:rPr>
          <w:color w:val="000000"/>
        </w:rPr>
        <w:t>a 5-minute Eligible participant screener (Attachment 3)</w:t>
      </w:r>
    </w:p>
    <w:p w:rsidR="000F76AA" w14:paraId="07FC14B5" w14:textId="77777777">
      <w:pPr>
        <w:numPr>
          <w:ilvl w:val="0"/>
          <w:numId w:val="1"/>
        </w:numPr>
        <w:pBdr>
          <w:top w:val="nil"/>
          <w:left w:val="nil"/>
          <w:bottom w:val="nil"/>
          <w:right w:val="nil"/>
          <w:between w:val="nil"/>
        </w:pBdr>
        <w:spacing w:line="276" w:lineRule="auto"/>
        <w:rPr>
          <w:color w:val="000000"/>
        </w:rPr>
      </w:pPr>
      <w:r>
        <w:rPr>
          <w:color w:val="000000"/>
        </w:rPr>
        <w:t>a virtual 60-minute focus group (Attachment 8)</w:t>
      </w:r>
    </w:p>
    <w:p w:rsidR="000F76AA" w14:paraId="110FFD37" w14:textId="77777777">
      <w:pPr>
        <w:pBdr>
          <w:top w:val="nil"/>
          <w:left w:val="nil"/>
          <w:bottom w:val="nil"/>
          <w:right w:val="nil"/>
          <w:between w:val="nil"/>
        </w:pBdr>
        <w:spacing w:line="276" w:lineRule="auto"/>
        <w:rPr>
          <w:color w:val="000000"/>
        </w:rPr>
      </w:pPr>
      <w:bookmarkStart w:id="6" w:name="_heading=h.3o7alnk" w:colFirst="0" w:colLast="0"/>
      <w:bookmarkEnd w:id="6"/>
    </w:p>
    <w:p w:rsidR="000F76AA" w14:paraId="27223086"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0F76AA" w14:paraId="6B699379" w14:textId="77777777">
      <w:pPr>
        <w:pStyle w:val="Heading2"/>
        <w:spacing w:before="0" w:after="0" w:line="276" w:lineRule="auto"/>
      </w:pPr>
      <w:bookmarkStart w:id="7" w:name="_heading=h.2et92p0" w:colFirst="0" w:colLast="0"/>
      <w:bookmarkEnd w:id="7"/>
    </w:p>
    <w:p w:rsidR="000F76AA" w14:paraId="38F061CA" w14:textId="77777777">
      <w:pPr>
        <w:pStyle w:val="Heading2"/>
        <w:spacing w:before="0" w:after="0" w:line="276" w:lineRule="auto"/>
      </w:pPr>
      <w:bookmarkStart w:id="8" w:name="_heading=h.46r0co2" w:colFirst="0" w:colLast="0"/>
      <w:bookmarkEnd w:id="8"/>
      <w:r>
        <w:t>2</w:t>
      </w:r>
      <w:r>
        <w:tab/>
        <w:t xml:space="preserve">Purpose and Use of the Information Collection </w:t>
      </w:r>
    </w:p>
    <w:p w:rsidR="000F76AA" w14:paraId="4041CC03" w14:textId="59C9AB9E">
      <w:pPr>
        <w:spacing w:line="276" w:lineRule="auto"/>
        <w:rPr>
          <w:rFonts w:ascii="Calibri" w:eastAsia="Calibri" w:hAnsi="Calibri" w:cs="Calibri"/>
          <w:sz w:val="24"/>
          <w:szCs w:val="24"/>
        </w:rPr>
      </w:pPr>
      <w:r>
        <w:t>The purpose of this project is to conduct focus group discussions with U.S. adults (caregivers of children and elderly individuals</w:t>
      </w:r>
      <w:r w:rsidR="43A970E6">
        <w:t>)</w:t>
      </w:r>
      <w:r>
        <w:t>, business leaders (with a subgroup identifying as low education; less than high school diploma), adults at high-risk of viral diseases, and adults living in a rural area to improve wastewater surveillance message and web content. Banyan Communications will conduct the focus groups.</w:t>
      </w:r>
    </w:p>
    <w:p w:rsidR="000F76AA" w14:paraId="3FE9F23F" w14:textId="77777777">
      <w:pPr>
        <w:spacing w:line="276" w:lineRule="auto"/>
        <w:ind w:left="720"/>
        <w:rPr>
          <w:rFonts w:ascii="Calibri" w:eastAsia="Calibri" w:hAnsi="Calibri" w:cs="Calibri"/>
          <w:color w:val="000000"/>
          <w:sz w:val="24"/>
          <w:szCs w:val="24"/>
        </w:rPr>
      </w:pPr>
    </w:p>
    <w:p w:rsidR="000F76AA" w14:paraId="28A36B92" w14:textId="77777777">
      <w:pPr>
        <w:pBdr>
          <w:top w:val="nil"/>
          <w:left w:val="nil"/>
          <w:bottom w:val="nil"/>
          <w:right w:val="nil"/>
          <w:between w:val="nil"/>
        </w:pBdr>
        <w:spacing w:line="276" w:lineRule="auto"/>
        <w:rPr>
          <w:b/>
          <w:color w:val="000000"/>
        </w:rPr>
      </w:pPr>
      <w:r>
        <w:rPr>
          <w:b/>
          <w:color w:val="000000"/>
        </w:rPr>
        <w:t>3</w:t>
      </w:r>
      <w:r>
        <w:rPr>
          <w:b/>
          <w:color w:val="000000"/>
        </w:rPr>
        <w:tab/>
        <w:t xml:space="preserve">Use of Improved Information Technology and Burden Reduction </w:t>
      </w:r>
    </w:p>
    <w:p w:rsidR="000F76AA" w14:paraId="0CAFE09C" w14:textId="77777777">
      <w:pPr>
        <w:pBdr>
          <w:top w:val="nil"/>
          <w:left w:val="nil"/>
          <w:bottom w:val="nil"/>
          <w:right w:val="nil"/>
          <w:between w:val="nil"/>
        </w:pBdr>
        <w:spacing w:line="276" w:lineRule="auto"/>
        <w:rPr>
          <w:color w:val="000000"/>
        </w:rPr>
      </w:pPr>
      <w:r>
        <w:rPr>
          <w:color w:val="000000"/>
        </w:rPr>
        <w:t xml:space="preserve">We will record each </w:t>
      </w:r>
      <w:r>
        <w:t>focus group</w:t>
      </w:r>
      <w:r>
        <w:rPr>
          <w:color w:val="000000"/>
        </w:rPr>
        <w:t xml:space="preserve"> to use for preparing reports. Our data collection requires that we employ qualitative research methods using one-time virtual </w:t>
      </w:r>
      <w:r>
        <w:t>focus group discussion</w:t>
      </w:r>
      <w:r>
        <w:rPr>
          <w:color w:val="000000"/>
        </w:rPr>
        <w:t xml:space="preserve">s. We will receive recorded verbal confirmation from participants to record the discussion. Questions within the focus group discussions will be kept to a minimum required for the intended use of the data. </w:t>
      </w:r>
    </w:p>
    <w:p w:rsidR="00A57E48" w14:paraId="714C82F3" w14:textId="77777777">
      <w:pPr>
        <w:pBdr>
          <w:top w:val="nil"/>
          <w:left w:val="nil"/>
          <w:bottom w:val="nil"/>
          <w:right w:val="nil"/>
          <w:between w:val="nil"/>
        </w:pBdr>
        <w:spacing w:line="276" w:lineRule="auto"/>
        <w:rPr>
          <w:color w:val="000000"/>
        </w:rPr>
      </w:pPr>
    </w:p>
    <w:p w:rsidR="000F76AA" w14:paraId="08CE6F91" w14:textId="77777777">
      <w:pPr>
        <w:pStyle w:val="Heading2"/>
        <w:spacing w:before="0" w:after="0" w:line="276" w:lineRule="auto"/>
      </w:pPr>
      <w:bookmarkStart w:id="9" w:name="_heading=h.3dy6vkm" w:colFirst="0" w:colLast="0"/>
      <w:bookmarkEnd w:id="9"/>
    </w:p>
    <w:p w:rsidR="000F76AA" w14:paraId="753CF3AA" w14:textId="77777777">
      <w:pPr>
        <w:pStyle w:val="Heading2"/>
        <w:spacing w:before="0" w:after="0" w:line="276" w:lineRule="auto"/>
      </w:pPr>
      <w:bookmarkStart w:id="10" w:name="_heading=h.2lwamvv" w:colFirst="0" w:colLast="0"/>
      <w:bookmarkEnd w:id="10"/>
      <w:r>
        <w:t>4</w:t>
      </w:r>
      <w:r>
        <w:tab/>
        <w:t xml:space="preserve">Efforts to Identify Duplication and Use of Similar Information </w:t>
      </w:r>
    </w:p>
    <w:p w:rsidR="000F76AA" w14:paraId="3DC12879" w14:textId="77777777">
      <w:pPr>
        <w:widowControl w:val="0"/>
        <w:pBdr>
          <w:top w:val="nil"/>
          <w:left w:val="nil"/>
          <w:bottom w:val="nil"/>
          <w:right w:val="nil"/>
          <w:between w:val="nil"/>
        </w:pBdr>
        <w:spacing w:line="276" w:lineRule="auto"/>
        <w:rPr>
          <w:color w:val="000000"/>
        </w:rPr>
      </w:pPr>
      <w:bookmarkStart w:id="11" w:name="_heading=h.1t3h5sf" w:colFirst="0" w:colLast="0"/>
      <w:bookmarkEnd w:id="11"/>
      <w:r>
        <w:rPr>
          <w:color w:val="000000"/>
        </w:rPr>
        <w:t xml:space="preserve">There are no other federal generic collections that duplicate the project types included in this request. Health messages developed by CDC are unique in their mix of intended audience, health behavior, concept, and execution. Therefore, in most cases, there </w:t>
      </w:r>
      <w:r>
        <w:t>are</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0F76AA" w14:paraId="6BB9E253" w14:textId="77777777">
      <w:pPr>
        <w:pStyle w:val="Heading2"/>
        <w:spacing w:before="0" w:after="0" w:line="276" w:lineRule="auto"/>
      </w:pPr>
      <w:bookmarkStart w:id="12" w:name="_heading=h.4d34og8" w:colFirst="0" w:colLast="0"/>
      <w:bookmarkEnd w:id="12"/>
    </w:p>
    <w:p w:rsidR="000F76AA" w14:paraId="7DEDAAEC" w14:textId="77777777">
      <w:pPr>
        <w:pStyle w:val="Heading2"/>
        <w:spacing w:before="0" w:after="0" w:line="276" w:lineRule="auto"/>
      </w:pPr>
      <w:bookmarkStart w:id="13" w:name="_heading=h.111kx3o" w:colFirst="0" w:colLast="0"/>
      <w:bookmarkEnd w:id="13"/>
      <w:r>
        <w:t>5</w:t>
      </w:r>
      <w:r>
        <w:tab/>
        <w:t xml:space="preserve">Impact on Small Businesses or Other Small Entities </w:t>
      </w:r>
    </w:p>
    <w:p w:rsidR="000F76AA" w14:paraId="49D0A198" w14:textId="764112EB">
      <w:pPr>
        <w:pBdr>
          <w:top w:val="nil"/>
          <w:left w:val="nil"/>
          <w:bottom w:val="nil"/>
          <w:right w:val="nil"/>
          <w:between w:val="nil"/>
        </w:pBdr>
        <w:spacing w:line="276" w:lineRule="auto"/>
        <w:rPr>
          <w:color w:val="000000"/>
        </w:rPr>
      </w:pPr>
      <w:bookmarkStart w:id="14" w:name="_heading=h.2s8eyo1" w:colFirst="0" w:colLast="0"/>
      <w:bookmarkEnd w:id="14"/>
      <w:r>
        <w:rPr>
          <w:color w:val="000000"/>
        </w:rPr>
        <w:t xml:space="preserve">This </w:t>
      </w:r>
      <w:r w:rsidR="00A57E48">
        <w:rPr>
          <w:color w:val="000000"/>
        </w:rPr>
        <w:t>data collection will</w:t>
      </w:r>
      <w:r>
        <w:rPr>
          <w:color w:val="000000"/>
        </w:rPr>
        <w:t xml:space="preserve"> not </w:t>
      </w:r>
      <w:r w:rsidR="00A57E48">
        <w:t>involve</w:t>
      </w:r>
      <w:r>
        <w:rPr>
          <w:color w:val="000000"/>
        </w:rPr>
        <w:t xml:space="preserve"> small businesses or other small entities. </w:t>
      </w:r>
    </w:p>
    <w:p w:rsidR="00A57E48" w14:paraId="6B26DD1D" w14:textId="77777777">
      <w:pPr>
        <w:pBdr>
          <w:top w:val="nil"/>
          <w:left w:val="nil"/>
          <w:bottom w:val="nil"/>
          <w:right w:val="nil"/>
          <w:between w:val="nil"/>
        </w:pBdr>
        <w:spacing w:line="276" w:lineRule="auto"/>
        <w:rPr>
          <w:color w:val="000000"/>
        </w:rPr>
      </w:pPr>
    </w:p>
    <w:p w:rsidR="000F76AA" w14:paraId="03DC0B48" w14:textId="77777777">
      <w:pPr>
        <w:pStyle w:val="Heading2"/>
        <w:spacing w:before="0" w:after="0" w:line="276" w:lineRule="auto"/>
      </w:pPr>
      <w:bookmarkStart w:id="15" w:name="_heading=h.3l18frh" w:colFirst="0" w:colLast="0"/>
      <w:bookmarkEnd w:id="15"/>
      <w:r>
        <w:t>6</w:t>
      </w:r>
      <w:r>
        <w:tab/>
        <w:t xml:space="preserve">Consequences of Collecting the Information Less Frequently </w:t>
      </w:r>
    </w:p>
    <w:p w:rsidR="000F76AA" w14:paraId="30820CCE" w14:textId="7777777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A57E48" w14:paraId="3C9F2543" w14:textId="77777777">
      <w:pPr>
        <w:pBdr>
          <w:top w:val="nil"/>
          <w:left w:val="nil"/>
          <w:bottom w:val="nil"/>
          <w:right w:val="nil"/>
          <w:between w:val="nil"/>
        </w:pBdr>
        <w:spacing w:line="276" w:lineRule="auto"/>
        <w:rPr>
          <w:color w:val="000000"/>
        </w:rPr>
      </w:pPr>
    </w:p>
    <w:p w:rsidR="000F76AA" w14:paraId="6084D88E" w14:textId="77777777">
      <w:pPr>
        <w:pStyle w:val="Heading2"/>
        <w:spacing w:before="0" w:after="0" w:line="276" w:lineRule="auto"/>
      </w:pPr>
      <w:bookmarkStart w:id="16" w:name="_heading=h.206ipza" w:colFirst="0" w:colLast="0"/>
      <w:bookmarkEnd w:id="16"/>
      <w:r>
        <w:t>7</w:t>
      </w:r>
      <w:r>
        <w:tab/>
        <w:t xml:space="preserve">Special Circumstances Relating to the Guidelines of 5 CFR 1320.5 </w:t>
      </w:r>
    </w:p>
    <w:p w:rsidR="000F76AA" w14:paraId="1998264C" w14:textId="77777777">
      <w:pPr>
        <w:pBdr>
          <w:top w:val="nil"/>
          <w:left w:val="nil"/>
          <w:bottom w:val="nil"/>
          <w:right w:val="nil"/>
          <w:between w:val="nil"/>
        </w:pBdr>
        <w:spacing w:line="276" w:lineRule="auto"/>
        <w:rPr>
          <w:color w:val="000000"/>
        </w:rPr>
      </w:pPr>
      <w:r>
        <w:rPr>
          <w:color w:val="000000"/>
        </w:rPr>
        <w:t>This request fully complies with regulation 5 CFR 1320.5.</w:t>
      </w:r>
    </w:p>
    <w:p w:rsidR="00A57E48" w14:paraId="09A44158" w14:textId="77777777">
      <w:pPr>
        <w:pBdr>
          <w:top w:val="nil"/>
          <w:left w:val="nil"/>
          <w:bottom w:val="nil"/>
          <w:right w:val="nil"/>
          <w:between w:val="nil"/>
        </w:pBdr>
        <w:spacing w:line="276" w:lineRule="auto"/>
        <w:rPr>
          <w:color w:val="000000"/>
        </w:rPr>
      </w:pPr>
    </w:p>
    <w:p w:rsidR="000F76AA" w14:paraId="70700A88" w14:textId="77777777">
      <w:pPr>
        <w:pStyle w:val="Heading2"/>
        <w:spacing w:before="0" w:after="0" w:line="276" w:lineRule="auto"/>
      </w:pPr>
      <w:bookmarkStart w:id="17" w:name="_heading=h.4k668n3" w:colFirst="0" w:colLast="0"/>
      <w:bookmarkEnd w:id="17"/>
      <w:r>
        <w:t>8</w:t>
      </w:r>
      <w:r>
        <w:tab/>
        <w:t xml:space="preserve">Comments in Response to the Federal Register Notice and Efforts to Consult Outside the Agency </w:t>
      </w:r>
    </w:p>
    <w:p w:rsidR="00D437FE" w:rsidP="00D437FE" w14:paraId="1051A60D" w14:textId="21627AA0">
      <w:r>
        <w:rPr>
          <w:color w:val="000000"/>
        </w:rPr>
        <w:t xml:space="preserve">For subcollection requests under an approved generic ICR, Federal Register notices are not required, and none were published. </w:t>
      </w:r>
      <w:r>
        <w:rPr>
          <w:color w:val="000000"/>
        </w:rPr>
        <w:t xml:space="preserve"> </w:t>
      </w:r>
      <w:r>
        <w:t>A</w:t>
      </w:r>
      <w:r w:rsidRPr="00E21144">
        <w:t xml:space="preserve"> </w:t>
      </w:r>
      <w:r w:rsidRPr="00E21144">
        <w:rPr>
          <w:i/>
        </w:rPr>
        <w:t>Federal Register</w:t>
      </w:r>
      <w:r w:rsidRPr="00E21144">
        <w:t xml:space="preserve"> notice was published for this</w:t>
      </w:r>
      <w:r>
        <w:t xml:space="preserve"> generic package</w:t>
      </w:r>
      <w:r w:rsidRPr="00E21144">
        <w:t xml:space="preserve"> on </w:t>
      </w:r>
      <w:r>
        <w:t xml:space="preserve">July 22, 2022, </w:t>
      </w:r>
      <w:r w:rsidRPr="00A26E81">
        <w:t>Vol.</w:t>
      </w:r>
      <w:r>
        <w:t xml:space="preserve"> 87</w:t>
      </w:r>
      <w:r w:rsidRPr="00A26E81">
        <w:t>, No.</w:t>
      </w:r>
      <w:r>
        <w:t>140 ,</w:t>
      </w:r>
      <w:r w:rsidRPr="00022A54">
        <w:t xml:space="preserve"> pp. </w:t>
      </w:r>
      <w:r>
        <w:t>438360</w:t>
      </w:r>
      <w:r w:rsidRPr="00E21144">
        <w:t xml:space="preserve">. No public comments were received.  </w:t>
      </w:r>
    </w:p>
    <w:p w:rsidR="000F76AA" w14:paraId="6537F28F" w14:textId="77777777">
      <w:pPr>
        <w:keepNext/>
        <w:keepLines/>
        <w:pBdr>
          <w:top w:val="nil"/>
          <w:left w:val="nil"/>
          <w:bottom w:val="nil"/>
          <w:right w:val="nil"/>
          <w:between w:val="nil"/>
        </w:pBdr>
        <w:spacing w:line="276" w:lineRule="auto"/>
        <w:ind w:left="1260" w:hanging="1260"/>
        <w:rPr>
          <w:b/>
          <w:color w:val="000000"/>
        </w:rPr>
      </w:pPr>
      <w:bookmarkStart w:id="18" w:name="_heading=h.lnxbz9" w:colFirst="0" w:colLast="0"/>
      <w:bookmarkEnd w:id="18"/>
    </w:p>
    <w:p w:rsidR="000F76AA" w14:paraId="022DECD9"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Style w:val="a"/>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55"/>
        <w:gridCol w:w="1830"/>
        <w:gridCol w:w="3285"/>
        <w:gridCol w:w="2145"/>
      </w:tblGrid>
      <w:tr w14:paraId="65C15E97" w14:textId="77777777">
        <w:tblPrEx>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55" w:type="dxa"/>
          </w:tcPr>
          <w:p w:rsidR="000F76AA" w14:paraId="16B86293" w14:textId="77777777">
            <w:pPr>
              <w:spacing w:line="276" w:lineRule="auto"/>
              <w:rPr>
                <w:b/>
              </w:rPr>
            </w:pPr>
            <w:bookmarkStart w:id="19" w:name="bookmark=id.1ksv4uv" w:colFirst="0" w:colLast="0"/>
            <w:bookmarkStart w:id="20" w:name="bookmark=id.44sinio" w:colFirst="0" w:colLast="0"/>
            <w:bookmarkStart w:id="21" w:name="_heading=h.35nkun2" w:colFirst="0" w:colLast="0"/>
            <w:bookmarkEnd w:id="19"/>
            <w:bookmarkEnd w:id="20"/>
            <w:bookmarkEnd w:id="21"/>
            <w:r>
              <w:rPr>
                <w:b/>
              </w:rPr>
              <w:t xml:space="preserve">Name </w:t>
            </w:r>
          </w:p>
        </w:tc>
        <w:tc>
          <w:tcPr>
            <w:tcW w:w="1830" w:type="dxa"/>
          </w:tcPr>
          <w:p w:rsidR="000F76AA" w14:paraId="36D4B891" w14:textId="77777777">
            <w:pPr>
              <w:spacing w:line="276" w:lineRule="auto"/>
              <w:rPr>
                <w:b/>
              </w:rPr>
            </w:pPr>
            <w:r>
              <w:rPr>
                <w:b/>
              </w:rPr>
              <w:t xml:space="preserve">Affiliation  </w:t>
            </w:r>
          </w:p>
        </w:tc>
        <w:tc>
          <w:tcPr>
            <w:tcW w:w="3285" w:type="dxa"/>
          </w:tcPr>
          <w:p w:rsidR="000F76AA" w14:paraId="2BD89EA4" w14:textId="77777777">
            <w:pPr>
              <w:spacing w:line="276" w:lineRule="auto"/>
              <w:rPr>
                <w:b/>
              </w:rPr>
            </w:pPr>
            <w:r>
              <w:rPr>
                <w:b/>
              </w:rPr>
              <w:t xml:space="preserve">Email </w:t>
            </w:r>
          </w:p>
        </w:tc>
        <w:tc>
          <w:tcPr>
            <w:tcW w:w="2145" w:type="dxa"/>
          </w:tcPr>
          <w:p w:rsidR="000F76AA" w14:paraId="69047E7B" w14:textId="77777777">
            <w:pPr>
              <w:spacing w:line="276" w:lineRule="auto"/>
              <w:rPr>
                <w:b/>
              </w:rPr>
            </w:pPr>
            <w:r>
              <w:rPr>
                <w:b/>
              </w:rPr>
              <w:t>Phone</w:t>
            </w:r>
          </w:p>
        </w:tc>
      </w:tr>
      <w:tr w14:paraId="44027F22" w14:textId="77777777">
        <w:tblPrEx>
          <w:tblW w:w="9615" w:type="dxa"/>
          <w:tblInd w:w="-5" w:type="dxa"/>
          <w:tblLayout w:type="fixed"/>
          <w:tblLook w:val="0400"/>
        </w:tblPrEx>
        <w:tc>
          <w:tcPr>
            <w:tcW w:w="2355" w:type="dxa"/>
          </w:tcPr>
          <w:p w:rsidR="000F76AA" w14:paraId="5CFB573D" w14:textId="77777777">
            <w:pPr>
              <w:spacing w:line="276" w:lineRule="auto"/>
            </w:pPr>
            <w:r>
              <w:t xml:space="preserve">Sara Bresee </w:t>
            </w:r>
          </w:p>
        </w:tc>
        <w:tc>
          <w:tcPr>
            <w:tcW w:w="1830" w:type="dxa"/>
          </w:tcPr>
          <w:p w:rsidR="000F76AA" w14:paraId="749E44DE" w14:textId="77777777">
            <w:pPr>
              <w:spacing w:line="276" w:lineRule="auto"/>
            </w:pPr>
            <w:r>
              <w:t>CDC</w:t>
            </w:r>
          </w:p>
        </w:tc>
        <w:tc>
          <w:tcPr>
            <w:tcW w:w="3285" w:type="dxa"/>
          </w:tcPr>
          <w:p w:rsidR="000F76AA" w14:paraId="7BE5A7B7" w14:textId="77777777">
            <w:pPr>
              <w:spacing w:line="276" w:lineRule="auto"/>
            </w:pPr>
            <w:hyperlink r:id="rId15">
              <w:r w:rsidR="009B4D08">
                <w:rPr>
                  <w:color w:val="0000FF"/>
                  <w:highlight w:val="white"/>
                  <w:u w:val="single"/>
                </w:rPr>
                <w:t>yla4@cdc.gov</w:t>
              </w:r>
            </w:hyperlink>
          </w:p>
        </w:tc>
        <w:tc>
          <w:tcPr>
            <w:tcW w:w="2145" w:type="dxa"/>
          </w:tcPr>
          <w:p w:rsidR="000F76AA" w14:paraId="689A4DE9" w14:textId="77777777">
            <w:pPr>
              <w:spacing w:line="276" w:lineRule="auto"/>
            </w:pPr>
            <w:r>
              <w:t>Office: 404.639.3371</w:t>
            </w:r>
          </w:p>
        </w:tc>
      </w:tr>
      <w:tr w14:paraId="2FE33E02" w14:textId="77777777">
        <w:tblPrEx>
          <w:tblW w:w="9615" w:type="dxa"/>
          <w:tblInd w:w="-5" w:type="dxa"/>
          <w:tblLayout w:type="fixed"/>
          <w:tblLook w:val="0400"/>
        </w:tblPrEx>
        <w:tc>
          <w:tcPr>
            <w:tcW w:w="2355" w:type="dxa"/>
          </w:tcPr>
          <w:p w:rsidR="000F76AA" w14:paraId="6A1A91CB" w14:textId="77777777">
            <w:pPr>
              <w:spacing w:line="276" w:lineRule="auto"/>
            </w:pPr>
            <w:r>
              <w:t>Leslie Wade</w:t>
            </w:r>
          </w:p>
        </w:tc>
        <w:tc>
          <w:tcPr>
            <w:tcW w:w="1830" w:type="dxa"/>
          </w:tcPr>
          <w:p w:rsidR="000F76AA" w14:paraId="108AF1AD" w14:textId="77777777">
            <w:pPr>
              <w:spacing w:line="276" w:lineRule="auto"/>
            </w:pPr>
            <w:r>
              <w:t>CDC</w:t>
            </w:r>
          </w:p>
        </w:tc>
        <w:tc>
          <w:tcPr>
            <w:tcW w:w="3285" w:type="dxa"/>
          </w:tcPr>
          <w:p w:rsidR="000F76AA" w14:paraId="1ED20429" w14:textId="77777777">
            <w:pPr>
              <w:spacing w:line="276" w:lineRule="auto"/>
            </w:pPr>
            <w:hyperlink r:id="rId16">
              <w:r w:rsidR="009B4D08">
                <w:rPr>
                  <w:color w:val="1155CC"/>
                  <w:u w:val="single"/>
                </w:rPr>
                <w:t>Kne4@cdc.gov</w:t>
              </w:r>
            </w:hyperlink>
          </w:p>
        </w:tc>
        <w:tc>
          <w:tcPr>
            <w:tcW w:w="2145" w:type="dxa"/>
          </w:tcPr>
          <w:p w:rsidR="000F76AA" w14:paraId="78074B2A" w14:textId="77777777">
            <w:pPr>
              <w:spacing w:line="276" w:lineRule="auto"/>
            </w:pPr>
            <w:r>
              <w:t>Office: 404.718.4683</w:t>
            </w:r>
          </w:p>
        </w:tc>
      </w:tr>
      <w:tr w14:paraId="790B7C41" w14:textId="77777777">
        <w:tblPrEx>
          <w:tblW w:w="9615" w:type="dxa"/>
          <w:tblInd w:w="-5" w:type="dxa"/>
          <w:tblLayout w:type="fixed"/>
          <w:tblLook w:val="0400"/>
        </w:tblPrEx>
        <w:tc>
          <w:tcPr>
            <w:tcW w:w="2355" w:type="dxa"/>
          </w:tcPr>
          <w:p w:rsidR="000F76AA" w14:paraId="6A02C32B" w14:textId="77777777">
            <w:pPr>
              <w:spacing w:line="276" w:lineRule="auto"/>
            </w:pPr>
            <w:r>
              <w:t>Jena Losch</w:t>
            </w:r>
          </w:p>
        </w:tc>
        <w:tc>
          <w:tcPr>
            <w:tcW w:w="1830" w:type="dxa"/>
          </w:tcPr>
          <w:p w:rsidR="000F76AA" w14:paraId="6357523E" w14:textId="77777777">
            <w:pPr>
              <w:spacing w:line="276" w:lineRule="auto"/>
            </w:pPr>
            <w:r>
              <w:t>CDC</w:t>
            </w:r>
          </w:p>
        </w:tc>
        <w:tc>
          <w:tcPr>
            <w:tcW w:w="3285" w:type="dxa"/>
          </w:tcPr>
          <w:p w:rsidR="000F76AA" w14:paraId="696E0BCE" w14:textId="77777777">
            <w:pPr>
              <w:spacing w:line="276" w:lineRule="auto"/>
              <w:rPr>
                <w:color w:val="1155CC"/>
                <w:u w:val="single"/>
              </w:rPr>
            </w:pPr>
            <w:r>
              <w:rPr>
                <w:color w:val="1155CC"/>
                <w:u w:val="single"/>
              </w:rPr>
              <w:t>Xkd6@cdc.gov</w:t>
            </w:r>
          </w:p>
        </w:tc>
        <w:tc>
          <w:tcPr>
            <w:tcW w:w="2145" w:type="dxa"/>
          </w:tcPr>
          <w:p w:rsidR="000F76AA" w14:paraId="6461E414" w14:textId="77777777">
            <w:pPr>
              <w:pBdr>
                <w:top w:val="nil"/>
                <w:left w:val="nil"/>
                <w:bottom w:val="nil"/>
                <w:right w:val="nil"/>
                <w:between w:val="nil"/>
              </w:pBdr>
              <w:spacing w:line="276" w:lineRule="auto"/>
            </w:pPr>
            <w:r>
              <w:t>Office: 770.488.3834</w:t>
            </w:r>
          </w:p>
        </w:tc>
      </w:tr>
      <w:tr w14:paraId="27A7700F" w14:textId="77777777">
        <w:tblPrEx>
          <w:tblW w:w="9615" w:type="dxa"/>
          <w:tblInd w:w="-5" w:type="dxa"/>
          <w:tblLayout w:type="fixed"/>
          <w:tblLook w:val="0400"/>
        </w:tblPrEx>
        <w:trPr>
          <w:trHeight w:val="300"/>
        </w:trPr>
        <w:tc>
          <w:tcPr>
            <w:tcW w:w="2355" w:type="dxa"/>
          </w:tcPr>
          <w:p w:rsidR="000F76AA" w14:paraId="6E8F4341" w14:textId="77777777">
            <w:pPr>
              <w:spacing w:line="276" w:lineRule="auto"/>
            </w:pPr>
            <w:r>
              <w:t>Deanna Amarosa</w:t>
            </w:r>
          </w:p>
        </w:tc>
        <w:tc>
          <w:tcPr>
            <w:tcW w:w="1830" w:type="dxa"/>
          </w:tcPr>
          <w:p w:rsidR="000F76AA" w14:paraId="36EDAB09" w14:textId="77777777">
            <w:pPr>
              <w:spacing w:line="276" w:lineRule="auto"/>
            </w:pPr>
            <w:r>
              <w:t>CDC</w:t>
            </w:r>
          </w:p>
        </w:tc>
        <w:tc>
          <w:tcPr>
            <w:tcW w:w="3285" w:type="dxa"/>
          </w:tcPr>
          <w:p w:rsidR="000F76AA" w14:paraId="6077A195" w14:textId="77777777">
            <w:pPr>
              <w:spacing w:line="276" w:lineRule="auto"/>
              <w:rPr>
                <w:color w:val="1155CC"/>
                <w:u w:val="single"/>
              </w:rPr>
            </w:pPr>
            <w:r>
              <w:rPr>
                <w:color w:val="1155CC"/>
                <w:u w:val="single"/>
              </w:rPr>
              <w:t>Uqm3@cdc.gov</w:t>
            </w:r>
          </w:p>
        </w:tc>
        <w:tc>
          <w:tcPr>
            <w:tcW w:w="2145" w:type="dxa"/>
          </w:tcPr>
          <w:p w:rsidR="000F76AA" w14:paraId="5E7CE3F2" w14:textId="77777777">
            <w:pPr>
              <w:spacing w:line="276" w:lineRule="auto"/>
            </w:pPr>
            <w:r>
              <w:t>Office: 404.639.8805</w:t>
            </w:r>
          </w:p>
        </w:tc>
      </w:tr>
      <w:tr w14:paraId="5A6A7B86" w14:textId="77777777">
        <w:tblPrEx>
          <w:tblW w:w="9615" w:type="dxa"/>
          <w:tblInd w:w="-5" w:type="dxa"/>
          <w:tblLayout w:type="fixed"/>
          <w:tblLook w:val="0400"/>
        </w:tblPrEx>
        <w:tc>
          <w:tcPr>
            <w:tcW w:w="2355" w:type="dxa"/>
          </w:tcPr>
          <w:p w:rsidR="000F76AA" w14:paraId="3579E006" w14:textId="77777777">
            <w:pPr>
              <w:spacing w:line="276" w:lineRule="auto"/>
            </w:pPr>
            <w:r>
              <w:t>Nora Kuiper</w:t>
            </w:r>
          </w:p>
        </w:tc>
        <w:tc>
          <w:tcPr>
            <w:tcW w:w="1830" w:type="dxa"/>
          </w:tcPr>
          <w:p w:rsidR="000F76AA" w14:paraId="70B73397" w14:textId="77777777">
            <w:pPr>
              <w:spacing w:line="276" w:lineRule="auto"/>
            </w:pPr>
            <w:r>
              <w:t>Banyan Communication</w:t>
            </w:r>
          </w:p>
        </w:tc>
        <w:tc>
          <w:tcPr>
            <w:tcW w:w="3285" w:type="dxa"/>
          </w:tcPr>
          <w:p w:rsidR="000F76AA" w14:paraId="686C4355" w14:textId="77777777">
            <w:pPr>
              <w:spacing w:line="276" w:lineRule="auto"/>
            </w:pPr>
            <w:r>
              <w:t>nkuiper@banyancom.com</w:t>
            </w:r>
          </w:p>
        </w:tc>
        <w:tc>
          <w:tcPr>
            <w:tcW w:w="2145" w:type="dxa"/>
          </w:tcPr>
          <w:p w:rsidR="000F76AA" w14:paraId="3385E1F1" w14:textId="77777777">
            <w:pPr>
              <w:spacing w:line="276" w:lineRule="auto"/>
            </w:pPr>
            <w:r>
              <w:t>Office:</w:t>
            </w:r>
          </w:p>
          <w:p w:rsidR="000F76AA" w14:paraId="5BC32DAC" w14:textId="77777777">
            <w:pPr>
              <w:spacing w:line="276" w:lineRule="auto"/>
            </w:pPr>
            <w:r>
              <w:t>404.682.3008 x 344</w:t>
            </w:r>
          </w:p>
        </w:tc>
      </w:tr>
      <w:tr w14:paraId="1A0B2585" w14:textId="77777777">
        <w:tblPrEx>
          <w:tblW w:w="9615" w:type="dxa"/>
          <w:tblInd w:w="-5" w:type="dxa"/>
          <w:tblLayout w:type="fixed"/>
          <w:tblLook w:val="0400"/>
        </w:tblPrEx>
        <w:tc>
          <w:tcPr>
            <w:tcW w:w="2355" w:type="dxa"/>
          </w:tcPr>
          <w:p w:rsidR="000F76AA" w14:paraId="3AF7CA88" w14:textId="77777777">
            <w:pPr>
              <w:spacing w:line="276" w:lineRule="auto"/>
            </w:pPr>
            <w:r>
              <w:t>Tola Aina</w:t>
            </w:r>
          </w:p>
        </w:tc>
        <w:tc>
          <w:tcPr>
            <w:tcW w:w="1830" w:type="dxa"/>
          </w:tcPr>
          <w:p w:rsidR="000F76AA" w14:paraId="27F2977D" w14:textId="77777777">
            <w:pPr>
              <w:spacing w:line="276" w:lineRule="auto"/>
            </w:pPr>
            <w:r>
              <w:t>Banyan Communications</w:t>
            </w:r>
          </w:p>
        </w:tc>
        <w:tc>
          <w:tcPr>
            <w:tcW w:w="3285" w:type="dxa"/>
          </w:tcPr>
          <w:p w:rsidR="000F76AA" w14:paraId="0C10F9D1" w14:textId="77777777">
            <w:pPr>
              <w:spacing w:line="276" w:lineRule="auto"/>
            </w:pPr>
            <w:r>
              <w:t>taina@banyancom.com</w:t>
            </w:r>
          </w:p>
        </w:tc>
        <w:tc>
          <w:tcPr>
            <w:tcW w:w="2145" w:type="dxa"/>
          </w:tcPr>
          <w:p w:rsidR="000F76AA" w14:paraId="088D7990" w14:textId="77777777">
            <w:pPr>
              <w:spacing w:line="276" w:lineRule="auto"/>
            </w:pPr>
            <w:r>
              <w:t>Office: 404.682.3008</w:t>
            </w:r>
          </w:p>
        </w:tc>
      </w:tr>
      <w:tr w14:paraId="38D70100" w14:textId="77777777">
        <w:tblPrEx>
          <w:tblW w:w="9615" w:type="dxa"/>
          <w:tblInd w:w="-5" w:type="dxa"/>
          <w:tblLayout w:type="fixed"/>
          <w:tblLook w:val="0400"/>
        </w:tblPrEx>
        <w:tc>
          <w:tcPr>
            <w:tcW w:w="2355" w:type="dxa"/>
          </w:tcPr>
          <w:p w:rsidR="000F76AA" w14:paraId="61327D54" w14:textId="77777777">
            <w:pPr>
              <w:spacing w:line="276" w:lineRule="auto"/>
            </w:pPr>
            <w:r>
              <w:t>Sharanya Thummalapally</w:t>
            </w:r>
          </w:p>
        </w:tc>
        <w:tc>
          <w:tcPr>
            <w:tcW w:w="1830" w:type="dxa"/>
          </w:tcPr>
          <w:p w:rsidR="000F76AA" w14:paraId="5F089365" w14:textId="77777777">
            <w:pPr>
              <w:spacing w:line="276" w:lineRule="auto"/>
            </w:pPr>
            <w:r>
              <w:t>Banyan Communications</w:t>
            </w:r>
          </w:p>
        </w:tc>
        <w:tc>
          <w:tcPr>
            <w:tcW w:w="3285" w:type="dxa"/>
          </w:tcPr>
          <w:p w:rsidR="000F76AA" w14:paraId="26584303" w14:textId="77777777">
            <w:pPr>
              <w:spacing w:line="276" w:lineRule="auto"/>
            </w:pPr>
            <w:r>
              <w:t>sthummalapally@banyancom.com</w:t>
            </w:r>
          </w:p>
        </w:tc>
        <w:tc>
          <w:tcPr>
            <w:tcW w:w="2145" w:type="dxa"/>
          </w:tcPr>
          <w:p w:rsidR="000F76AA" w14:paraId="49B2D693" w14:textId="77777777">
            <w:pPr>
              <w:spacing w:line="276" w:lineRule="auto"/>
            </w:pPr>
            <w:r>
              <w:t>Office: 404.682.3008</w:t>
            </w:r>
          </w:p>
        </w:tc>
      </w:tr>
      <w:tr w14:paraId="421BFCCB" w14:textId="77777777">
        <w:tblPrEx>
          <w:tblW w:w="9615" w:type="dxa"/>
          <w:tblInd w:w="-5" w:type="dxa"/>
          <w:tblLayout w:type="fixed"/>
          <w:tblLook w:val="0400"/>
        </w:tblPrEx>
        <w:tc>
          <w:tcPr>
            <w:tcW w:w="2355" w:type="dxa"/>
          </w:tcPr>
          <w:p w:rsidR="000F76AA" w14:paraId="71EF564E" w14:textId="77777777">
            <w:pPr>
              <w:spacing w:line="276" w:lineRule="auto"/>
            </w:pPr>
            <w:r>
              <w:t>Amanda White</w:t>
            </w:r>
          </w:p>
        </w:tc>
        <w:tc>
          <w:tcPr>
            <w:tcW w:w="1830" w:type="dxa"/>
          </w:tcPr>
          <w:p w:rsidR="000F76AA" w14:paraId="4CB9F26B" w14:textId="77777777">
            <w:pPr>
              <w:spacing w:line="276" w:lineRule="auto"/>
            </w:pPr>
            <w:r>
              <w:t>Banyan Communications</w:t>
            </w:r>
          </w:p>
        </w:tc>
        <w:tc>
          <w:tcPr>
            <w:tcW w:w="3285" w:type="dxa"/>
          </w:tcPr>
          <w:p w:rsidR="000F76AA" w14:paraId="1001AAFE" w14:textId="77777777">
            <w:pPr>
              <w:spacing w:line="276" w:lineRule="auto"/>
            </w:pPr>
            <w:r>
              <w:t>awhite@banyancom.com</w:t>
            </w:r>
          </w:p>
        </w:tc>
        <w:tc>
          <w:tcPr>
            <w:tcW w:w="2145" w:type="dxa"/>
          </w:tcPr>
          <w:p w:rsidR="000F76AA" w14:paraId="7C136DF1" w14:textId="77777777">
            <w:pPr>
              <w:spacing w:line="276" w:lineRule="auto"/>
            </w:pPr>
            <w:r>
              <w:t>Office: 404.682.3008</w:t>
            </w:r>
          </w:p>
        </w:tc>
      </w:tr>
      <w:tr w14:paraId="6012D705" w14:textId="77777777">
        <w:tblPrEx>
          <w:tblW w:w="9615" w:type="dxa"/>
          <w:tblInd w:w="-5" w:type="dxa"/>
          <w:tblLayout w:type="fixed"/>
          <w:tblLook w:val="0400"/>
        </w:tblPrEx>
        <w:tc>
          <w:tcPr>
            <w:tcW w:w="2355" w:type="dxa"/>
          </w:tcPr>
          <w:p w:rsidR="000F76AA" w14:paraId="6351F284" w14:textId="77777777">
            <w:pPr>
              <w:spacing w:line="276" w:lineRule="auto"/>
            </w:pPr>
            <w:r>
              <w:t>Bria Berry</w:t>
            </w:r>
          </w:p>
        </w:tc>
        <w:tc>
          <w:tcPr>
            <w:tcW w:w="1830" w:type="dxa"/>
          </w:tcPr>
          <w:p w:rsidR="000F76AA" w14:paraId="5891342D" w14:textId="77777777">
            <w:pPr>
              <w:spacing w:line="276" w:lineRule="auto"/>
            </w:pPr>
            <w:r>
              <w:t>Banyan Communications</w:t>
            </w:r>
          </w:p>
        </w:tc>
        <w:tc>
          <w:tcPr>
            <w:tcW w:w="3285" w:type="dxa"/>
          </w:tcPr>
          <w:p w:rsidR="000F76AA" w14:paraId="2C91A720" w14:textId="77777777">
            <w:pPr>
              <w:spacing w:line="276" w:lineRule="auto"/>
            </w:pPr>
            <w:r>
              <w:t>bberry@banyancom.com</w:t>
            </w:r>
          </w:p>
        </w:tc>
        <w:tc>
          <w:tcPr>
            <w:tcW w:w="2145" w:type="dxa"/>
          </w:tcPr>
          <w:p w:rsidR="000F76AA" w14:paraId="69CEC5C3" w14:textId="77777777">
            <w:pPr>
              <w:spacing w:line="276" w:lineRule="auto"/>
            </w:pPr>
            <w:r>
              <w:t>Office: 404.682.3008</w:t>
            </w:r>
          </w:p>
        </w:tc>
      </w:tr>
    </w:tbl>
    <w:p w:rsidR="000F76AA" w14:paraId="6DFB9E20"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0F76AA" w14:paraId="7F511743" w14:textId="77777777">
      <w:pPr>
        <w:keepLines/>
        <w:pBdr>
          <w:top w:val="nil"/>
          <w:left w:val="nil"/>
          <w:bottom w:val="nil"/>
          <w:right w:val="nil"/>
          <w:between w:val="nil"/>
        </w:pBdr>
        <w:spacing w:line="276" w:lineRule="auto"/>
      </w:pPr>
      <w:r>
        <w:rPr>
          <w:color w:val="000000"/>
        </w:rPr>
        <w:t xml:space="preserve">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w:t>
      </w:r>
    </w:p>
    <w:p w:rsidR="000F76AA" w14:paraId="70DF9E56" w14:textId="77777777">
      <w:pPr>
        <w:keepLines/>
        <w:pBdr>
          <w:top w:val="nil"/>
          <w:left w:val="nil"/>
          <w:bottom w:val="nil"/>
          <w:right w:val="nil"/>
          <w:between w:val="nil"/>
        </w:pBdr>
        <w:spacing w:line="276" w:lineRule="auto"/>
      </w:pPr>
    </w:p>
    <w:p w:rsidR="000F76AA" w14:paraId="4CCAAB12" w14:textId="77777777">
      <w:pPr>
        <w:pStyle w:val="Heading2"/>
        <w:spacing w:before="0" w:after="0" w:line="276" w:lineRule="auto"/>
        <w:ind w:left="0" w:firstLine="0"/>
      </w:pPr>
      <w:bookmarkStart w:id="22" w:name="_heading=h.2zbgiuw" w:colFirst="0" w:colLast="0"/>
      <w:bookmarkEnd w:id="22"/>
      <w:r>
        <w:t>9</w:t>
      </w:r>
      <w:r>
        <w:tab/>
        <w:t xml:space="preserve">Explanation of Any Payment or Gift to Respondents </w:t>
      </w:r>
    </w:p>
    <w:p w:rsidR="000F76AA" w14:paraId="637B7350" w14:textId="77777777">
      <w:pPr>
        <w:pBdr>
          <w:top w:val="nil"/>
          <w:left w:val="nil"/>
          <w:bottom w:val="nil"/>
          <w:right w:val="nil"/>
          <w:between w:val="nil"/>
        </w:pBdr>
        <w:rPr>
          <w:color w:val="000000"/>
        </w:rPr>
      </w:pPr>
      <w:bookmarkStart w:id="23" w:name="_heading=h.z337ya" w:colFirst="0" w:colLast="0"/>
      <w:bookmarkEnd w:id="23"/>
      <w:r>
        <w:rPr>
          <w:color w:val="000000"/>
        </w:rPr>
        <w:t>We will provide a token of appreciation of $</w:t>
      </w:r>
      <w:r>
        <w:t>75</w:t>
      </w:r>
      <w:r>
        <w:rPr>
          <w:color w:val="000000"/>
        </w:rPr>
        <w:t xml:space="preserve"> for each individual who participates in the </w:t>
      </w:r>
      <w:r>
        <w:t>focus group</w:t>
      </w:r>
      <w:r>
        <w:rPr>
          <w:color w:val="000000"/>
        </w:rPr>
        <w:t xml:space="preserve">. Tokens of appreciation were determined based on previous projects and experience with conducting </w:t>
      </w:r>
      <w:r>
        <w:t>focus groups</w:t>
      </w:r>
      <w:r>
        <w:rPr>
          <w:color w:val="000000"/>
        </w:rPr>
        <w:t xml:space="preserve"> with individuals. The range of monetary reward is consistent with current rates for participation in formative projects. </w:t>
      </w:r>
      <w:r>
        <w:t>Tokens of appreciation</w:t>
      </w:r>
      <w:r>
        <w:rPr>
          <w:color w:val="000000"/>
        </w:rPr>
        <w:t xml:space="preserve"> will take the form of gift cards. </w:t>
      </w:r>
    </w:p>
    <w:p w:rsidR="000F76AA" w14:paraId="144A5D23" w14:textId="77777777">
      <w:pPr>
        <w:rPr>
          <w:color w:val="000000"/>
        </w:rPr>
      </w:pPr>
    </w:p>
    <w:p w:rsidR="000F76AA" w14:paraId="0E633B60" w14:textId="77777777">
      <w:pPr>
        <w:rPr>
          <w:color w:val="000000"/>
        </w:rPr>
      </w:pPr>
      <w:r>
        <w:rPr>
          <w:color w:val="000000"/>
        </w:rPr>
        <w:t>Reviewed literature revealed the payment of incentives can provide significant advantages to the government in terms of direct cost savings and improved data quality (See References</w:t>
      </w:r>
      <w:r>
        <w:t xml:space="preserve">). As participants often have competing demands for their time, a token of appreciation for participation in a study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w:t>
      </w:r>
      <w:r>
        <w:t>Pforr</w:t>
      </w:r>
      <w:r>
        <w:t xml:space="preserve">, &amp; Krieger, 2008).  </w:t>
      </w:r>
      <w:r>
        <w:rPr>
          <w:color w:val="000000"/>
        </w:rPr>
        <w:t xml:space="preserve">It also should be noted that message testing is a marketing technique, and it is standard practice among commercial market researchers to offer incentives as part of respondent recruitment. </w:t>
      </w:r>
    </w:p>
    <w:p w:rsidR="000F76AA" w14:paraId="738610EB" w14:textId="77777777">
      <w:pPr>
        <w:rPr>
          <w:color w:val="000000"/>
        </w:rPr>
      </w:pPr>
    </w:p>
    <w:p w:rsidR="000F76AA" w14:paraId="0DA40F03" w14:textId="77777777">
      <w:pPr>
        <w:rPr>
          <w:color w:val="000000"/>
        </w:rPr>
      </w:pPr>
      <w:r>
        <w:rPr>
          <w:color w:val="000000"/>
        </w:rPr>
        <w:t xml:space="preserve">We are applying a health equity lens to select our recruitment sample in this project. In the case of </w:t>
      </w:r>
      <w:r>
        <w:t>wastewater surveillance</w:t>
      </w:r>
      <w:r>
        <w:rPr>
          <w:color w:val="000000"/>
        </w:rPr>
        <w:t>, a health equity lens would include over-sampling those disproportionately affected by diseases t</w:t>
      </w:r>
      <w:r>
        <w:t xml:space="preserve">hat wastewater surveillance can monitor </w:t>
      </w:r>
      <w:r>
        <w:rPr>
          <w:color w:val="000000"/>
        </w:rPr>
        <w:t>including rural populations</w:t>
      </w:r>
      <w:r>
        <w:t xml:space="preserve"> and low education subgroups. </w:t>
      </w:r>
      <w:r>
        <w:rPr>
          <w:color w:val="000000"/>
        </w:rPr>
        <w:t xml:space="preserve">Having insufficient representation from these subgroups means their perspectives are not adequately included in message development and results in less effective messaging to support DIDRI’s goals to "prepare for, prevent, and respond to infectious diseases, including outbreaks, bioterrorism, and other public health </w:t>
      </w:r>
      <w:r>
        <w:t>emergencies''</w:t>
      </w:r>
      <w:r>
        <w:rPr>
          <w:color w:val="000000"/>
        </w:rPr>
        <w:t>. An appropriate incentive improves the chances for these subgroups to participate, therefore increasing the government's efficiency in data collection and reducing redundancies for future efforts.</w:t>
      </w:r>
    </w:p>
    <w:p w:rsidR="000F76AA" w14:paraId="637805D2" w14:textId="77777777"/>
    <w:p w:rsidR="000F76AA" w14:paraId="479C8596" w14:textId="77777777">
      <w:r>
        <w:t>These subgroups have been difficult for CDC to reach for several reasons. </w:t>
      </w:r>
    </w:p>
    <w:p w:rsidR="000F76AA" w14:paraId="209E04F4" w14:textId="77777777">
      <w:pPr>
        <w:numPr>
          <w:ilvl w:val="0"/>
          <w:numId w:val="4"/>
        </w:numPr>
      </w:pPr>
      <w:r>
        <w:t>For rural groups, their geographic location makes it harder to participate in similar projects. Additionally, they may not have access to constant wireless services making it harder for them to participate in such projects. An appropriate token of appreciation may address this issue.</w:t>
      </w:r>
    </w:p>
    <w:p w:rsidR="000F76AA" w14:paraId="5E2DB330" w14:textId="77777777">
      <w:pPr>
        <w:numPr>
          <w:ilvl w:val="0"/>
          <w:numId w:val="4"/>
        </w:numPr>
      </w:pPr>
      <w:r>
        <w:t xml:space="preserve">Low education subgroups are more likely to be low-income and </w:t>
      </w:r>
      <w:r>
        <w:t>economically disadvantaged</w:t>
      </w:r>
      <w:r>
        <w:t>. Low health literacy skills have not only been found to be related to poor health but have also been shown to have a relationship with level of education: People with lower education were found to demonstrate lower health literacy skills in comparison with people with higher education (Lee et al., 2010). Their social economic situation makes it harder for these groups to take off from or miss work to participate in research. Though the groups are virtual, low-income populations are less likely to have jobs where they work from home and may have to miss work or leave work to participate. Offering a higher token of appreciation may address this issue.</w:t>
      </w:r>
    </w:p>
    <w:p w:rsidR="000F76AA" w14:paraId="463F29E8" w14:textId="77777777">
      <w:pPr>
        <w:ind w:left="720"/>
      </w:pPr>
    </w:p>
    <w:p w:rsidR="000F76AA" w14:paraId="3893DA5C" w14:textId="29FB6A1A">
      <w:bookmarkStart w:id="24" w:name="_heading=h.1egqt2p" w:colFirst="0" w:colLast="0"/>
      <w:bookmarkEnd w:id="24"/>
      <w:r>
        <w:t xml:space="preserve">A similar communication evaluation project that was conducted in the summer of 2023 proposed and was approved for </w:t>
      </w:r>
      <w:r w:rsidR="00704152">
        <w:t>$</w:t>
      </w:r>
      <w:r>
        <w:t>75 per person for a 60-minute focus group discussion (OMB No. 0920-1154,</w:t>
      </w:r>
      <w:r w:rsidRPr="000D0637" w:rsidR="000D0637">
        <w:t xml:space="preserve">Food Safety Communication Evaluation: Assessing Food Safety Messages, Knowledge, and Attitudes </w:t>
      </w:r>
      <w:r>
        <w:t xml:space="preserve">). During this </w:t>
      </w:r>
      <w:r>
        <w:t xml:space="preserve">project, the team was very successful and were able to recruit 115 individuals (the goal was to recruit 144). </w:t>
      </w:r>
    </w:p>
    <w:p w:rsidR="000F76AA" w14:paraId="3B7B4B86" w14:textId="77777777">
      <w:bookmarkStart w:id="25" w:name="_heading=h.3ygebqi" w:colFirst="0" w:colLast="0"/>
      <w:bookmarkEnd w:id="25"/>
    </w:p>
    <w:p w:rsidR="000F76AA" w14:paraId="3A0FF5F2" w14:textId="77777777">
      <w:pPr>
        <w:spacing w:line="276" w:lineRule="auto"/>
        <w:rPr>
          <w:color w:val="000000"/>
        </w:rPr>
      </w:pPr>
    </w:p>
    <w:p w:rsidR="000F76AA" w14:paraId="6CEC9D64" w14:textId="77777777">
      <w:pPr>
        <w:pStyle w:val="Heading2"/>
        <w:spacing w:before="0" w:after="0" w:line="276" w:lineRule="auto"/>
      </w:pPr>
      <w:bookmarkStart w:id="26" w:name="_heading=h.2dlolyb" w:colFirst="0" w:colLast="0"/>
      <w:bookmarkEnd w:id="26"/>
      <w:r>
        <w:t>10</w:t>
      </w:r>
      <w:r>
        <w:tab/>
        <w:t xml:space="preserve">Assurance of Privacy Provided to Respondents </w:t>
      </w:r>
    </w:p>
    <w:p w:rsidR="000F76AA" w14:paraId="1415FC0D" w14:textId="77777777">
      <w:pPr>
        <w:spacing w:line="276" w:lineRule="auto"/>
      </w:pPr>
      <w:bookmarkStart w:id="27" w:name="_heading=h.1y810tw" w:colFirst="0" w:colLast="0"/>
      <w:bookmarkEnd w:id="27"/>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Focus group findings will be reported in summary form, and participants’ names and identifying information will not be included in the findings. Identifiable information will be kept separate from focus group data, so that participants’ responses cannot be linked with their names. All audio and video files will be destroyed three years after completion of the project. No identifiable information describing individual respondents will be included in the analyzed data and aggregate reports provided to CDC.</w:t>
      </w:r>
    </w:p>
    <w:p w:rsidR="000F76AA" w14:paraId="61829076" w14:textId="77777777">
      <w:pPr>
        <w:pBdr>
          <w:top w:val="nil"/>
          <w:left w:val="nil"/>
          <w:bottom w:val="nil"/>
          <w:right w:val="nil"/>
          <w:between w:val="nil"/>
        </w:pBdr>
        <w:spacing w:line="276" w:lineRule="auto"/>
        <w:rPr>
          <w:color w:val="000000"/>
        </w:rPr>
      </w:pPr>
    </w:p>
    <w:p w:rsidR="000F76AA" w14:paraId="2845618E"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0F76AA" w14:paraId="135F6F12"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0F76AA" w14:paraId="2BA226A1" w14:textId="77777777">
      <w:pPr>
        <w:pBdr>
          <w:top w:val="nil"/>
          <w:left w:val="nil"/>
          <w:bottom w:val="nil"/>
          <w:right w:val="nil"/>
          <w:between w:val="nil"/>
        </w:pBdr>
        <w:spacing w:line="276" w:lineRule="auto"/>
        <w:rPr>
          <w:i/>
          <w:color w:val="000000"/>
        </w:rPr>
      </w:pPr>
    </w:p>
    <w:p w:rsidR="000F76AA" w14:paraId="1827629C" w14:textId="14E75FF4">
      <w:pPr>
        <w:pBdr>
          <w:top w:val="nil"/>
          <w:left w:val="nil"/>
          <w:bottom w:val="nil"/>
          <w:right w:val="nil"/>
          <w:between w:val="nil"/>
        </w:pBdr>
        <w:spacing w:line="276" w:lineRule="auto"/>
        <w:rPr>
          <w:color w:val="000000"/>
        </w:rPr>
      </w:pPr>
      <w:r>
        <w:rPr>
          <w:color w:val="000000"/>
        </w:rPr>
        <w:t xml:space="preserve">Individuals will first be screened to assess if they are eligible to be a part of the focus groups </w:t>
      </w:r>
      <w:r>
        <w:rPr>
          <w:b/>
          <w:color w:val="000000"/>
        </w:rPr>
        <w:t>(Attach</w:t>
      </w:r>
      <w:r>
        <w:rPr>
          <w:b/>
        </w:rPr>
        <w:t>men</w:t>
      </w:r>
      <w:r>
        <w:rPr>
          <w:b/>
          <w:color w:val="000000"/>
        </w:rPr>
        <w:t>t 1</w:t>
      </w:r>
      <w:r>
        <w:rPr>
          <w:color w:val="000000"/>
        </w:rPr>
        <w:t xml:space="preserve">). Those who meet the screening criteria for the focus groups will then </w:t>
      </w:r>
      <w:r>
        <w:t>receive</w:t>
      </w:r>
      <w:r>
        <w:rPr>
          <w:color w:val="000000"/>
        </w:rPr>
        <w:t xml:space="preserve"> a second demographic screener to assess which focus groups they will be put into </w:t>
      </w:r>
      <w:r>
        <w:rPr>
          <w:b/>
          <w:color w:val="000000"/>
        </w:rPr>
        <w:t>(Attachment 3)</w:t>
      </w:r>
      <w:r>
        <w:rPr>
          <w:color w:val="000000"/>
        </w:rPr>
        <w:t>. Finally, they will be invited to attend a virtual 60</w:t>
      </w:r>
      <w:r>
        <w:t>-minute</w:t>
      </w:r>
      <w:r>
        <w:rPr>
          <w:color w:val="000000"/>
        </w:rPr>
        <w:t xml:space="preserve"> </w:t>
      </w:r>
      <w:r>
        <w:t>focus group</w:t>
      </w:r>
      <w:r w:rsidR="00555A0C">
        <w:t xml:space="preserve"> (Attachment 6)</w:t>
      </w:r>
      <w:r>
        <w:rPr>
          <w:color w:val="000000"/>
        </w:rPr>
        <w:t xml:space="preserve">. Participants will be asked to give verbal consent on a recording prior to the start of the </w:t>
      </w:r>
      <w:r>
        <w:t>focus group</w:t>
      </w:r>
      <w:r>
        <w:rPr>
          <w:color w:val="000000"/>
        </w:rPr>
        <w:t xml:space="preserve"> and will also fill out </w:t>
      </w:r>
      <w:r>
        <w:rPr>
          <w:b/>
          <w:color w:val="000000"/>
        </w:rPr>
        <w:t>Attachment 5</w:t>
      </w:r>
      <w:r>
        <w:rPr>
          <w:color w:val="000000"/>
        </w:rPr>
        <w:t xml:space="preserve"> before starting. They will receive a copy for their records. </w:t>
      </w:r>
    </w:p>
    <w:p w:rsidR="000F76AA" w14:paraId="17AD93B2" w14:textId="77777777">
      <w:pPr>
        <w:pBdr>
          <w:top w:val="nil"/>
          <w:left w:val="nil"/>
          <w:bottom w:val="nil"/>
          <w:right w:val="nil"/>
          <w:between w:val="nil"/>
        </w:pBdr>
        <w:spacing w:line="276" w:lineRule="auto"/>
        <w:rPr>
          <w:i/>
          <w:color w:val="000000"/>
        </w:rPr>
      </w:pPr>
    </w:p>
    <w:p w:rsidR="000F76AA" w14:paraId="44AAC897" w14:textId="77777777">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for a total of 3 years before destroying; only project staff members will have access to the servers via password-protected computers. Findings will be reported in summary form and participants’ names and identifying information will not be included in the findings. Identifiable information is kept separate from </w:t>
      </w:r>
      <w:r>
        <w:t>focus group</w:t>
      </w:r>
      <w:r>
        <w:rPr>
          <w:color w:val="000000"/>
        </w:rPr>
        <w:t xml:space="preserve"> data so that participants’ responses cannot be linked with their names. All video files will be destroyed at the completion of the project. </w:t>
      </w:r>
    </w:p>
    <w:p w:rsidR="000F76AA" w14:paraId="0DE4B5B7" w14:textId="77777777">
      <w:pPr>
        <w:pBdr>
          <w:top w:val="nil"/>
          <w:left w:val="nil"/>
          <w:bottom w:val="nil"/>
          <w:right w:val="nil"/>
          <w:between w:val="nil"/>
        </w:pBdr>
        <w:spacing w:line="276" w:lineRule="auto"/>
        <w:rPr>
          <w:color w:val="000000"/>
        </w:rPr>
      </w:pPr>
    </w:p>
    <w:p w:rsidR="000F76AA" w14:paraId="516A52BC" w14:textId="77777777">
      <w:pPr>
        <w:pBdr>
          <w:top w:val="nil"/>
          <w:left w:val="nil"/>
          <w:bottom w:val="nil"/>
          <w:right w:val="nil"/>
          <w:between w:val="nil"/>
        </w:pBdr>
        <w:spacing w:line="276" w:lineRule="auto"/>
      </w:pPr>
      <w:r>
        <w:rPr>
          <w:color w:val="000000"/>
        </w:rPr>
        <w:t xml:space="preserve">During the </w:t>
      </w:r>
      <w:r>
        <w:t>focus group</w:t>
      </w:r>
      <w:r>
        <w:rPr>
          <w:color w:val="000000"/>
        </w:rPr>
        <w:t xml:space="preserve">, the moderator will go over key parts of the informed consent during the introduction to the </w:t>
      </w:r>
      <w:r>
        <w:t>focus group</w:t>
      </w:r>
      <w:r>
        <w:rPr>
          <w:color w:val="000000"/>
        </w:rPr>
        <w:t xml:space="preserve">. The moderator will inform participants that the </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 xml:space="preserve">will report findings in summary form so that participants cannot be identified and that their identifiable information will be kept secure and separate from the </w:t>
      </w:r>
      <w:r>
        <w:t>focus group</w:t>
      </w:r>
      <w:r>
        <w:rPr>
          <w:color w:val="000000"/>
        </w:rPr>
        <w:t xml:space="preserve"> notes and </w:t>
      </w:r>
      <w:r>
        <w:t>video</w:t>
      </w:r>
      <w:r>
        <w:rPr>
          <w:color w:val="000000"/>
        </w:rPr>
        <w:t xml:space="preserve"> recordings. The moderator will inform the participant that there is a </w:t>
      </w:r>
      <w:r>
        <w:t xml:space="preserve">notetaker listening and taking notes and that members of the CDC may be observing. The informed </w:t>
      </w:r>
      <w:r>
        <w:t>consent includes the phone numbers for both Banyan Communications, in case participants have questions about their rights as a participant, as well as the principal investigator, in case participants have questions about the project itself.</w:t>
      </w:r>
    </w:p>
    <w:p w:rsidR="000F76AA" w14:paraId="66204FF1" w14:textId="77777777">
      <w:pPr>
        <w:pBdr>
          <w:top w:val="nil"/>
          <w:left w:val="nil"/>
          <w:bottom w:val="nil"/>
          <w:right w:val="nil"/>
          <w:between w:val="nil"/>
        </w:pBdr>
        <w:spacing w:line="276" w:lineRule="auto"/>
      </w:pPr>
    </w:p>
    <w:p w:rsidR="000F76AA" w14:paraId="2DBF0D7D" w14:textId="77777777">
      <w:pPr>
        <w:pBdr>
          <w:top w:val="nil"/>
          <w:left w:val="nil"/>
          <w:bottom w:val="nil"/>
          <w:right w:val="nil"/>
          <w:between w:val="nil"/>
        </w:pBdr>
        <w:spacing w:line="276" w:lineRule="auto"/>
        <w:rPr>
          <w:color w:val="000000"/>
        </w:rPr>
      </w:pPr>
    </w:p>
    <w:p w:rsidR="000F76AA" w14:paraId="543EBF3E" w14:textId="77777777">
      <w:pPr>
        <w:pStyle w:val="Heading2"/>
        <w:spacing w:before="0" w:after="0" w:line="276" w:lineRule="auto"/>
      </w:pPr>
      <w:bookmarkStart w:id="28" w:name="_heading=h.4i7ojhp" w:colFirst="0" w:colLast="0"/>
      <w:bookmarkEnd w:id="28"/>
      <w:r>
        <w:t>11</w:t>
      </w:r>
      <w:r>
        <w:tab/>
        <w:t xml:space="preserve">Justification for Sensitive Questions </w:t>
      </w:r>
    </w:p>
    <w:p w:rsidR="000F76AA" w14:paraId="273BA040" w14:textId="6A5045F3">
      <w:pPr>
        <w:pBdr>
          <w:top w:val="nil"/>
          <w:left w:val="nil"/>
          <w:bottom w:val="nil"/>
          <w:right w:val="nil"/>
          <w:between w:val="nil"/>
        </w:pBdr>
        <w:spacing w:line="276" w:lineRule="auto"/>
        <w:rPr>
          <w:color w:val="000000"/>
        </w:rPr>
      </w:pPr>
      <w:r>
        <w:rPr>
          <w:color w:val="000000"/>
        </w:rPr>
        <w:t xml:space="preserve">This data collection was reviewed by CDC’s Human Research Protection Office, and it was not deemed as human subjects’ research and </w:t>
      </w:r>
      <w:r>
        <w:t>given</w:t>
      </w:r>
      <w:r>
        <w:rPr>
          <w:color w:val="000000"/>
        </w:rPr>
        <w:t xml:space="preserve"> a non-research determination</w:t>
      </w:r>
      <w:r w:rsidR="004A604C">
        <w:rPr>
          <w:color w:val="000000"/>
        </w:rPr>
        <w:t xml:space="preserve"> (Attachment 10)</w:t>
      </w:r>
      <w:r>
        <w:rPr>
          <w:color w:val="000000"/>
        </w:rPr>
        <w:t xml:space="preserve">. </w:t>
      </w:r>
    </w:p>
    <w:p w:rsidR="000F76AA" w14:paraId="02F2C34E" w14:textId="77777777">
      <w:pPr>
        <w:pBdr>
          <w:top w:val="nil"/>
          <w:left w:val="nil"/>
          <w:bottom w:val="nil"/>
          <w:right w:val="nil"/>
          <w:between w:val="nil"/>
        </w:pBdr>
        <w:spacing w:line="276" w:lineRule="auto"/>
        <w:rPr>
          <w:color w:val="000000"/>
        </w:rPr>
      </w:pPr>
    </w:p>
    <w:p w:rsidR="000F76AA" w14:paraId="7D5B486D" w14:textId="77777777">
      <w:pPr>
        <w:rPr>
          <w:color w:val="000000"/>
        </w:rPr>
      </w:pPr>
      <w:r>
        <w:rPr>
          <w:color w:val="000000"/>
        </w:rPr>
        <w:t>There is a minimal risk that some questions may make respondents feel uncomfortable.</w:t>
      </w:r>
      <w:r>
        <w:t xml:space="preserve"> </w:t>
      </w:r>
      <w:r>
        <w:rPr>
          <w:color w:val="000000"/>
        </w:rPr>
        <w:t xml:space="preserve">There will be potentially sensitive information collected such as race and income. These questions are critical to the </w:t>
      </w:r>
      <w:r>
        <w:t>project to ensure a demographically diverse sample</w:t>
      </w:r>
      <w:r>
        <w:rPr>
          <w:color w:val="000000"/>
        </w:rPr>
        <w:t xml:space="preserve">. Therefore, the team needs to gather data surrounding race, ethnicity, income etc. </w:t>
      </w:r>
    </w:p>
    <w:p w:rsidR="000F76AA" w14:paraId="680A4E5D" w14:textId="77777777">
      <w:pPr>
        <w:rPr>
          <w:color w:val="000000"/>
        </w:rPr>
      </w:pPr>
    </w:p>
    <w:p w:rsidR="000F76AA" w14:paraId="2B2E99ED" w14:textId="77777777">
      <w:pPr>
        <w:rPr>
          <w:color w:val="000000"/>
        </w:rPr>
      </w:pPr>
      <w:bookmarkStart w:id="29" w:name="_heading=h.2xcytpi" w:colFirst="0" w:colLast="0"/>
      <w:bookmarkEnd w:id="29"/>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 </w:t>
      </w:r>
    </w:p>
    <w:p w:rsidR="000F76AA" w14:paraId="19219836" w14:textId="77777777">
      <w:pPr>
        <w:rPr>
          <w:color w:val="000000"/>
        </w:rPr>
      </w:pPr>
    </w:p>
    <w:p w:rsidR="000F76AA" w14:paraId="296FEF7D" w14:textId="77777777"/>
    <w:p w:rsidR="000F76AA" w14:paraId="055D02C4" w14:textId="77777777">
      <w:pPr>
        <w:pStyle w:val="Heading2"/>
        <w:spacing w:before="0" w:after="0" w:line="276" w:lineRule="auto"/>
      </w:pPr>
      <w:bookmarkStart w:id="30" w:name="_heading=h.sqyw64" w:colFirst="0" w:colLast="0"/>
      <w:bookmarkEnd w:id="30"/>
      <w:r>
        <w:t>12</w:t>
      </w:r>
      <w:r>
        <w:tab/>
        <w:t xml:space="preserve">Estimates of Annualized Burden Hours and Costs </w:t>
      </w:r>
    </w:p>
    <w:p w:rsidR="000F76AA" w14:paraId="6DBF2A00" w14:textId="4C27B597">
      <w:pPr>
        <w:pBdr>
          <w:top w:val="nil"/>
          <w:left w:val="nil"/>
          <w:bottom w:val="nil"/>
          <w:right w:val="nil"/>
          <w:between w:val="nil"/>
        </w:pBdr>
        <w:spacing w:line="276" w:lineRule="auto"/>
      </w:pPr>
      <w:bookmarkStart w:id="31" w:name="_heading=h.1ci93xb" w:colFirst="0" w:colLast="0"/>
      <w:bookmarkEnd w:id="31"/>
      <w:r>
        <w:rPr>
          <w:color w:val="000000"/>
        </w:rPr>
        <w:t xml:space="preserve">We estimate the total annualized response burden at </w:t>
      </w:r>
      <w:r>
        <w:t>8</w:t>
      </w:r>
      <w:r w:rsidR="00B7762A">
        <w:t>3</w:t>
      </w:r>
      <w:r>
        <w:t xml:space="preserve"> </w:t>
      </w:r>
      <w:r>
        <w:rPr>
          <w:color w:val="000000"/>
        </w:rPr>
        <w:t>hours (</w:t>
      </w:r>
      <w:r>
        <w:rPr>
          <w:b/>
          <w:color w:val="000000"/>
        </w:rPr>
        <w:t>Exhibit A.12.1)</w:t>
      </w:r>
      <w:r>
        <w:rPr>
          <w:color w:val="000000"/>
        </w:rPr>
        <w:t xml:space="preserve">. For the focus group discussions, every individual will be pre-screened using a </w:t>
      </w:r>
      <w:r>
        <w:t>5-</w:t>
      </w:r>
      <w:r>
        <w:rPr>
          <w:color w:val="000000"/>
        </w:rPr>
        <w:t xml:space="preserve">minute </w:t>
      </w:r>
      <w:r>
        <w:t>eligibility screener and a subsequent 5-minute eligible participant screener</w:t>
      </w:r>
      <w:r>
        <w:rPr>
          <w:color w:val="000000"/>
        </w:rPr>
        <w:t xml:space="preserve">. </w:t>
      </w:r>
      <w:r>
        <w:t xml:space="preserve">This process will be used </w:t>
      </w:r>
      <w:r>
        <w:rPr>
          <w:color w:val="000000"/>
        </w:rPr>
        <w:t xml:space="preserve">to get </w:t>
      </w:r>
      <w:r>
        <w:t>the final focus group participants not to exceed</w:t>
      </w:r>
      <w:r>
        <w:rPr>
          <w:color w:val="000000"/>
        </w:rPr>
        <w:t xml:space="preserve"> </w:t>
      </w:r>
      <w:r>
        <w:t>60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focus group</w:t>
      </w:r>
      <w:r w:rsidR="003303F7">
        <w:t xml:space="preserve"> including message being tested and </w:t>
      </w:r>
      <w:r>
        <w:rPr>
          <w:color w:val="000000"/>
        </w:rPr>
        <w:t>consent activities will be included in the 60 minutes.</w:t>
      </w:r>
      <w:r>
        <w:t xml:space="preserve"> </w:t>
      </w:r>
      <w:r>
        <w:rPr>
          <w:color w:val="000000"/>
        </w:rPr>
        <w:t xml:space="preserve">This process will be used to get the final sample not to exceed </w:t>
      </w:r>
      <w:r>
        <w:t>60</w:t>
      </w:r>
      <w:r>
        <w:rPr>
          <w:color w:val="000000"/>
        </w:rPr>
        <w:t xml:space="preserve"> participants. </w:t>
      </w:r>
    </w:p>
    <w:p w:rsidR="000F76AA" w14:paraId="769D0D3C" w14:textId="77777777">
      <w:pPr>
        <w:pBdr>
          <w:top w:val="nil"/>
          <w:left w:val="nil"/>
          <w:bottom w:val="nil"/>
          <w:right w:val="nil"/>
          <w:between w:val="nil"/>
        </w:pBdr>
        <w:spacing w:line="276" w:lineRule="auto"/>
      </w:pPr>
    </w:p>
    <w:p w:rsidR="000F76AA" w14:paraId="2B8FE924"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5"/>
        <w:gridCol w:w="2475"/>
        <w:gridCol w:w="1665"/>
        <w:gridCol w:w="105"/>
        <w:gridCol w:w="1245"/>
        <w:gridCol w:w="1440"/>
        <w:gridCol w:w="1065"/>
      </w:tblGrid>
      <w:tr w14:paraId="6634E07B" w14:textId="77777777">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1365" w:type="dxa"/>
            <w:shd w:val="clear" w:color="auto" w:fill="auto"/>
            <w:vAlign w:val="bottom"/>
          </w:tcPr>
          <w:p w:rsidR="000F76AA" w14:paraId="03534710" w14:textId="77777777">
            <w:pPr>
              <w:pBdr>
                <w:top w:val="nil"/>
                <w:left w:val="nil"/>
                <w:bottom w:val="nil"/>
                <w:right w:val="nil"/>
                <w:between w:val="nil"/>
              </w:pBdr>
              <w:spacing w:line="276" w:lineRule="auto"/>
              <w:rPr>
                <w:b/>
                <w:color w:val="000000"/>
              </w:rPr>
            </w:pPr>
            <w:bookmarkStart w:id="32" w:name="_heading=h.2bn6wsx" w:colFirst="0" w:colLast="0"/>
            <w:bookmarkEnd w:id="32"/>
            <w:r>
              <w:rPr>
                <w:b/>
                <w:color w:val="000000"/>
              </w:rPr>
              <w:t>Type of Respondent</w:t>
            </w:r>
          </w:p>
        </w:tc>
        <w:tc>
          <w:tcPr>
            <w:tcW w:w="2475" w:type="dxa"/>
            <w:shd w:val="clear" w:color="auto" w:fill="auto"/>
            <w:vAlign w:val="bottom"/>
          </w:tcPr>
          <w:p w:rsidR="000F76AA" w14:paraId="724FD992" w14:textId="77777777">
            <w:pPr>
              <w:pBdr>
                <w:top w:val="nil"/>
                <w:left w:val="nil"/>
                <w:bottom w:val="nil"/>
                <w:right w:val="nil"/>
                <w:between w:val="nil"/>
              </w:pBdr>
              <w:spacing w:line="276" w:lineRule="auto"/>
              <w:rPr>
                <w:b/>
                <w:color w:val="000000"/>
              </w:rPr>
            </w:pPr>
            <w:r>
              <w:rPr>
                <w:b/>
                <w:color w:val="000000"/>
              </w:rPr>
              <w:t>Form Name</w:t>
            </w:r>
          </w:p>
        </w:tc>
        <w:tc>
          <w:tcPr>
            <w:tcW w:w="1665" w:type="dxa"/>
            <w:shd w:val="clear" w:color="auto" w:fill="auto"/>
            <w:vAlign w:val="bottom"/>
          </w:tcPr>
          <w:p w:rsidR="000F76AA" w14:paraId="16B1A0CE" w14:textId="77777777">
            <w:pPr>
              <w:pBdr>
                <w:top w:val="nil"/>
                <w:left w:val="nil"/>
                <w:bottom w:val="nil"/>
                <w:right w:val="nil"/>
                <w:between w:val="nil"/>
              </w:pBdr>
              <w:spacing w:line="276" w:lineRule="auto"/>
              <w:rPr>
                <w:b/>
                <w:color w:val="000000"/>
              </w:rPr>
            </w:pPr>
            <w:r>
              <w:rPr>
                <w:b/>
                <w:color w:val="000000"/>
              </w:rPr>
              <w:t>No. of Respondents</w:t>
            </w:r>
          </w:p>
        </w:tc>
        <w:tc>
          <w:tcPr>
            <w:tcW w:w="1350" w:type="dxa"/>
            <w:gridSpan w:val="2"/>
            <w:shd w:val="clear" w:color="auto" w:fill="auto"/>
            <w:vAlign w:val="bottom"/>
          </w:tcPr>
          <w:p w:rsidR="000F76AA" w14:paraId="79885443" w14:textId="77777777">
            <w:pPr>
              <w:pBdr>
                <w:top w:val="nil"/>
                <w:left w:val="nil"/>
                <w:bottom w:val="nil"/>
                <w:right w:val="nil"/>
                <w:between w:val="nil"/>
              </w:pBdr>
              <w:spacing w:line="276" w:lineRule="auto"/>
              <w:rPr>
                <w:b/>
                <w:color w:val="000000"/>
              </w:rPr>
            </w:pPr>
            <w:r>
              <w:rPr>
                <w:b/>
                <w:color w:val="000000"/>
              </w:rPr>
              <w:t>Responses per Respondent</w:t>
            </w:r>
          </w:p>
        </w:tc>
        <w:tc>
          <w:tcPr>
            <w:tcW w:w="1440" w:type="dxa"/>
            <w:shd w:val="clear" w:color="auto" w:fill="auto"/>
            <w:vAlign w:val="bottom"/>
          </w:tcPr>
          <w:p w:rsidR="000F76AA" w14:paraId="4C7AB1F6" w14:textId="77777777">
            <w:pPr>
              <w:pBdr>
                <w:top w:val="nil"/>
                <w:left w:val="nil"/>
                <w:bottom w:val="nil"/>
                <w:right w:val="nil"/>
                <w:between w:val="nil"/>
              </w:pBdr>
              <w:spacing w:line="276" w:lineRule="auto"/>
              <w:rPr>
                <w:b/>
                <w:color w:val="000000"/>
              </w:rPr>
            </w:pPr>
            <w:r>
              <w:rPr>
                <w:b/>
                <w:color w:val="000000"/>
              </w:rPr>
              <w:t>Average Burden per Response (in hours)</w:t>
            </w:r>
          </w:p>
        </w:tc>
        <w:tc>
          <w:tcPr>
            <w:tcW w:w="1065" w:type="dxa"/>
            <w:shd w:val="clear" w:color="auto" w:fill="auto"/>
            <w:vAlign w:val="bottom"/>
          </w:tcPr>
          <w:p w:rsidR="000F76AA" w14:paraId="2EFF9CA9" w14:textId="77777777">
            <w:pPr>
              <w:pBdr>
                <w:top w:val="nil"/>
                <w:left w:val="nil"/>
                <w:bottom w:val="nil"/>
                <w:right w:val="nil"/>
                <w:between w:val="nil"/>
              </w:pBdr>
              <w:spacing w:line="276" w:lineRule="auto"/>
              <w:rPr>
                <w:b/>
                <w:color w:val="000000"/>
              </w:rPr>
            </w:pPr>
            <w:r>
              <w:rPr>
                <w:b/>
                <w:color w:val="000000"/>
              </w:rPr>
              <w:t>Total Burden Hours</w:t>
            </w:r>
          </w:p>
        </w:tc>
      </w:tr>
      <w:tr w14:paraId="78B12A5C" w14:textId="77777777">
        <w:tblPrEx>
          <w:tblW w:w="9360" w:type="dxa"/>
          <w:tblLayout w:type="fixed"/>
          <w:tblLook w:val="0000"/>
        </w:tblPrEx>
        <w:tc>
          <w:tcPr>
            <w:tcW w:w="1365" w:type="dxa"/>
            <w:vMerge w:val="restart"/>
            <w:shd w:val="clear" w:color="auto" w:fill="auto"/>
          </w:tcPr>
          <w:p w:rsidR="000F76AA" w14:paraId="70FE1806" w14:textId="77777777">
            <w:pPr>
              <w:keepNext/>
              <w:pBdr>
                <w:top w:val="nil"/>
                <w:left w:val="nil"/>
                <w:bottom w:val="nil"/>
                <w:right w:val="nil"/>
                <w:between w:val="nil"/>
              </w:pBdr>
              <w:spacing w:line="276" w:lineRule="auto"/>
              <w:rPr>
                <w:color w:val="000000"/>
              </w:rPr>
            </w:pPr>
            <w:r>
              <w:rPr>
                <w:color w:val="000000"/>
              </w:rPr>
              <w:t>Individual</w:t>
            </w:r>
          </w:p>
          <w:p w:rsidR="003303F7" w14:paraId="73698964" w14:textId="2244E0F8">
            <w:pPr>
              <w:keepNext/>
              <w:pBdr>
                <w:top w:val="nil"/>
                <w:left w:val="nil"/>
                <w:bottom w:val="nil"/>
                <w:right w:val="nil"/>
                <w:between w:val="nil"/>
              </w:pBdr>
              <w:spacing w:line="276" w:lineRule="auto"/>
              <w:rPr>
                <w:color w:val="000000"/>
              </w:rPr>
            </w:pPr>
          </w:p>
        </w:tc>
        <w:tc>
          <w:tcPr>
            <w:tcW w:w="2475" w:type="dxa"/>
            <w:shd w:val="clear" w:color="auto" w:fill="auto"/>
          </w:tcPr>
          <w:p w:rsidR="000F76AA" w14:paraId="1E1FDE0E" w14:textId="77777777">
            <w:pPr>
              <w:keepNext/>
              <w:pBdr>
                <w:top w:val="nil"/>
                <w:left w:val="nil"/>
                <w:bottom w:val="nil"/>
                <w:right w:val="nil"/>
                <w:between w:val="nil"/>
              </w:pBdr>
              <w:spacing w:line="276" w:lineRule="auto"/>
            </w:pPr>
            <w:r>
              <w:t>Eligibility Screener (Focus Group)</w:t>
            </w:r>
          </w:p>
          <w:p w:rsidR="000F76AA" w14:paraId="7D985487" w14:textId="77777777">
            <w:pPr>
              <w:keepNext/>
              <w:pBdr>
                <w:top w:val="nil"/>
                <w:left w:val="nil"/>
                <w:bottom w:val="nil"/>
                <w:right w:val="nil"/>
                <w:between w:val="nil"/>
              </w:pBdr>
              <w:spacing w:line="276" w:lineRule="auto"/>
              <w:rPr>
                <w:color w:val="000000"/>
              </w:rPr>
            </w:pPr>
            <w:r>
              <w:rPr>
                <w:i/>
              </w:rPr>
              <w:t>Attachment 1</w:t>
            </w:r>
          </w:p>
        </w:tc>
        <w:tc>
          <w:tcPr>
            <w:tcW w:w="1770" w:type="dxa"/>
            <w:gridSpan w:val="2"/>
            <w:shd w:val="clear" w:color="auto" w:fill="auto"/>
          </w:tcPr>
          <w:p w:rsidR="000F76AA" w14:paraId="6F789D83" w14:textId="77777777">
            <w:pPr>
              <w:keepNext/>
              <w:pBdr>
                <w:top w:val="nil"/>
                <w:left w:val="nil"/>
                <w:bottom w:val="nil"/>
                <w:right w:val="nil"/>
                <w:between w:val="nil"/>
              </w:pBdr>
              <w:spacing w:line="276" w:lineRule="auto"/>
              <w:rPr>
                <w:color w:val="000000"/>
              </w:rPr>
            </w:pPr>
            <w:r>
              <w:t>180</w:t>
            </w:r>
          </w:p>
        </w:tc>
        <w:tc>
          <w:tcPr>
            <w:tcW w:w="1245" w:type="dxa"/>
            <w:shd w:val="clear" w:color="auto" w:fill="auto"/>
          </w:tcPr>
          <w:p w:rsidR="000F76AA" w14:paraId="649841BE" w14:textId="77777777">
            <w:pPr>
              <w:keepNext/>
              <w:pBdr>
                <w:top w:val="nil"/>
                <w:left w:val="nil"/>
                <w:bottom w:val="nil"/>
                <w:right w:val="nil"/>
                <w:between w:val="nil"/>
              </w:pBdr>
              <w:spacing w:line="276" w:lineRule="auto"/>
              <w:rPr>
                <w:color w:val="000000"/>
              </w:rPr>
            </w:pPr>
            <w:r>
              <w:rPr>
                <w:color w:val="000000"/>
              </w:rPr>
              <w:t>1</w:t>
            </w:r>
          </w:p>
        </w:tc>
        <w:tc>
          <w:tcPr>
            <w:tcW w:w="1440" w:type="dxa"/>
            <w:shd w:val="clear" w:color="auto" w:fill="auto"/>
          </w:tcPr>
          <w:p w:rsidR="000F76AA" w14:paraId="221ECF4F" w14:textId="77777777">
            <w:pPr>
              <w:keepNext/>
              <w:pBdr>
                <w:top w:val="nil"/>
                <w:left w:val="nil"/>
                <w:bottom w:val="nil"/>
                <w:right w:val="nil"/>
                <w:between w:val="nil"/>
              </w:pBdr>
              <w:spacing w:line="276" w:lineRule="auto"/>
              <w:rPr>
                <w:color w:val="000000"/>
              </w:rPr>
            </w:pPr>
            <w:r>
              <w:t>5</w:t>
            </w:r>
            <w:r>
              <w:rPr>
                <w:color w:val="000000"/>
              </w:rPr>
              <w:t>/60</w:t>
            </w:r>
          </w:p>
        </w:tc>
        <w:tc>
          <w:tcPr>
            <w:tcW w:w="1065" w:type="dxa"/>
            <w:shd w:val="clear" w:color="auto" w:fill="auto"/>
          </w:tcPr>
          <w:p w:rsidR="000F76AA" w14:paraId="33CFEC6B" w14:textId="77777777">
            <w:pPr>
              <w:keepNext/>
              <w:pBdr>
                <w:top w:val="nil"/>
                <w:left w:val="nil"/>
                <w:bottom w:val="nil"/>
                <w:right w:val="nil"/>
                <w:between w:val="nil"/>
              </w:pBdr>
              <w:spacing w:line="276" w:lineRule="auto"/>
              <w:rPr>
                <w:color w:val="000000"/>
              </w:rPr>
            </w:pPr>
            <w:r>
              <w:t>15</w:t>
            </w:r>
          </w:p>
        </w:tc>
      </w:tr>
      <w:tr w14:paraId="3B3CB88B" w14:textId="77777777">
        <w:tblPrEx>
          <w:tblW w:w="9360" w:type="dxa"/>
          <w:tblLayout w:type="fixed"/>
          <w:tblLook w:val="0000"/>
        </w:tblPrEx>
        <w:trPr>
          <w:trHeight w:val="255"/>
        </w:trPr>
        <w:tc>
          <w:tcPr>
            <w:tcW w:w="1365" w:type="dxa"/>
            <w:vMerge/>
            <w:shd w:val="clear" w:color="auto" w:fill="auto"/>
          </w:tcPr>
          <w:p w:rsidR="000F76AA" w14:paraId="7196D064" w14:textId="77777777">
            <w:pPr>
              <w:widowControl w:val="0"/>
              <w:pBdr>
                <w:top w:val="nil"/>
                <w:left w:val="nil"/>
                <w:bottom w:val="nil"/>
                <w:right w:val="nil"/>
                <w:between w:val="nil"/>
              </w:pBdr>
              <w:spacing w:line="276" w:lineRule="auto"/>
              <w:rPr>
                <w:color w:val="000000"/>
              </w:rPr>
            </w:pPr>
          </w:p>
        </w:tc>
        <w:tc>
          <w:tcPr>
            <w:tcW w:w="2475" w:type="dxa"/>
            <w:shd w:val="clear" w:color="auto" w:fill="auto"/>
          </w:tcPr>
          <w:p w:rsidR="000F76AA" w14:paraId="08D10F50" w14:textId="4A41147B">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r w:rsidR="003303F7">
              <w:rPr>
                <w:i/>
                <w:color w:val="000000"/>
              </w:rPr>
              <w:t xml:space="preserve">  </w:t>
            </w:r>
          </w:p>
        </w:tc>
        <w:tc>
          <w:tcPr>
            <w:tcW w:w="1770" w:type="dxa"/>
            <w:gridSpan w:val="2"/>
            <w:shd w:val="clear" w:color="auto" w:fill="auto"/>
          </w:tcPr>
          <w:p w:rsidR="000F76AA" w14:paraId="0CCF700D" w14:textId="77777777">
            <w:pPr>
              <w:keepNext/>
              <w:pBdr>
                <w:top w:val="nil"/>
                <w:left w:val="nil"/>
                <w:bottom w:val="nil"/>
                <w:right w:val="nil"/>
                <w:between w:val="nil"/>
              </w:pBdr>
              <w:spacing w:line="276" w:lineRule="auto"/>
              <w:rPr>
                <w:color w:val="000000"/>
              </w:rPr>
            </w:pPr>
            <w:r>
              <w:t>100</w:t>
            </w:r>
          </w:p>
        </w:tc>
        <w:tc>
          <w:tcPr>
            <w:tcW w:w="1245" w:type="dxa"/>
            <w:shd w:val="clear" w:color="auto" w:fill="auto"/>
          </w:tcPr>
          <w:p w:rsidR="000F76AA" w14:paraId="56B20A0C" w14:textId="77777777">
            <w:pPr>
              <w:keepNext/>
              <w:pBdr>
                <w:top w:val="nil"/>
                <w:left w:val="nil"/>
                <w:bottom w:val="nil"/>
                <w:right w:val="nil"/>
                <w:between w:val="nil"/>
              </w:pBdr>
              <w:spacing w:line="276" w:lineRule="auto"/>
              <w:rPr>
                <w:color w:val="000000"/>
              </w:rPr>
            </w:pPr>
            <w:r>
              <w:rPr>
                <w:color w:val="000000"/>
              </w:rPr>
              <w:t>1</w:t>
            </w:r>
          </w:p>
        </w:tc>
        <w:tc>
          <w:tcPr>
            <w:tcW w:w="1440" w:type="dxa"/>
            <w:shd w:val="clear" w:color="auto" w:fill="auto"/>
          </w:tcPr>
          <w:p w:rsidR="000F76AA" w14:paraId="327E2719" w14:textId="77777777">
            <w:pPr>
              <w:keepNext/>
              <w:pBdr>
                <w:top w:val="nil"/>
                <w:left w:val="nil"/>
                <w:bottom w:val="nil"/>
                <w:right w:val="nil"/>
                <w:between w:val="nil"/>
              </w:pBdr>
              <w:spacing w:line="276" w:lineRule="auto"/>
            </w:pPr>
            <w:r>
              <w:t>5/60</w:t>
            </w:r>
          </w:p>
        </w:tc>
        <w:tc>
          <w:tcPr>
            <w:tcW w:w="1065" w:type="dxa"/>
            <w:shd w:val="clear" w:color="auto" w:fill="auto"/>
          </w:tcPr>
          <w:p w:rsidR="000F76AA" w14:paraId="44B0A208" w14:textId="77777777">
            <w:pPr>
              <w:keepNext/>
              <w:pBdr>
                <w:top w:val="nil"/>
                <w:left w:val="nil"/>
                <w:bottom w:val="nil"/>
                <w:right w:val="nil"/>
                <w:between w:val="nil"/>
              </w:pBdr>
              <w:spacing w:line="276" w:lineRule="auto"/>
            </w:pPr>
            <w:r>
              <w:t>8</w:t>
            </w:r>
          </w:p>
        </w:tc>
      </w:tr>
      <w:tr w14:paraId="041112A0" w14:textId="77777777">
        <w:tblPrEx>
          <w:tblW w:w="9360" w:type="dxa"/>
          <w:tblLayout w:type="fixed"/>
          <w:tblLook w:val="0000"/>
        </w:tblPrEx>
        <w:tc>
          <w:tcPr>
            <w:tcW w:w="1365" w:type="dxa"/>
            <w:vMerge/>
            <w:shd w:val="clear" w:color="auto" w:fill="auto"/>
          </w:tcPr>
          <w:p w:rsidR="003303F7" w14:paraId="05721EBC" w14:textId="77777777">
            <w:pPr>
              <w:widowControl w:val="0"/>
              <w:pBdr>
                <w:top w:val="nil"/>
                <w:left w:val="nil"/>
                <w:bottom w:val="nil"/>
                <w:right w:val="nil"/>
                <w:between w:val="nil"/>
              </w:pBdr>
              <w:spacing w:line="276" w:lineRule="auto"/>
            </w:pPr>
          </w:p>
        </w:tc>
        <w:tc>
          <w:tcPr>
            <w:tcW w:w="2475" w:type="dxa"/>
            <w:shd w:val="clear" w:color="auto" w:fill="auto"/>
          </w:tcPr>
          <w:p w:rsidR="003303F7" w14:paraId="0611C417" w14:textId="77777777">
            <w:pPr>
              <w:keepNext/>
              <w:pBdr>
                <w:top w:val="nil"/>
                <w:left w:val="nil"/>
                <w:bottom w:val="nil"/>
                <w:right w:val="nil"/>
                <w:between w:val="nil"/>
              </w:pBdr>
              <w:spacing w:line="276" w:lineRule="auto"/>
            </w:pPr>
          </w:p>
        </w:tc>
        <w:tc>
          <w:tcPr>
            <w:tcW w:w="1770" w:type="dxa"/>
            <w:gridSpan w:val="2"/>
            <w:shd w:val="clear" w:color="auto" w:fill="auto"/>
          </w:tcPr>
          <w:p w:rsidR="003303F7" w14:paraId="729C6182" w14:textId="77777777">
            <w:pPr>
              <w:keepNext/>
              <w:pBdr>
                <w:top w:val="nil"/>
                <w:left w:val="nil"/>
                <w:bottom w:val="nil"/>
                <w:right w:val="nil"/>
                <w:between w:val="nil"/>
              </w:pBdr>
              <w:spacing w:line="276" w:lineRule="auto"/>
            </w:pPr>
          </w:p>
        </w:tc>
        <w:tc>
          <w:tcPr>
            <w:tcW w:w="1245" w:type="dxa"/>
            <w:shd w:val="clear" w:color="auto" w:fill="auto"/>
          </w:tcPr>
          <w:p w:rsidR="003303F7" w14:paraId="7455B4CB" w14:textId="77777777">
            <w:pPr>
              <w:keepNext/>
              <w:pBdr>
                <w:top w:val="nil"/>
                <w:left w:val="nil"/>
                <w:bottom w:val="nil"/>
                <w:right w:val="nil"/>
                <w:between w:val="nil"/>
              </w:pBdr>
              <w:spacing w:line="276" w:lineRule="auto"/>
            </w:pPr>
          </w:p>
        </w:tc>
        <w:tc>
          <w:tcPr>
            <w:tcW w:w="1440" w:type="dxa"/>
            <w:shd w:val="clear" w:color="auto" w:fill="auto"/>
          </w:tcPr>
          <w:p w:rsidR="003303F7" w14:paraId="1705BC05" w14:textId="77777777">
            <w:pPr>
              <w:keepNext/>
              <w:pBdr>
                <w:top w:val="nil"/>
                <w:left w:val="nil"/>
                <w:bottom w:val="nil"/>
                <w:right w:val="nil"/>
                <w:between w:val="nil"/>
              </w:pBdr>
              <w:spacing w:line="276" w:lineRule="auto"/>
            </w:pPr>
          </w:p>
        </w:tc>
        <w:tc>
          <w:tcPr>
            <w:tcW w:w="1065" w:type="dxa"/>
            <w:shd w:val="clear" w:color="auto" w:fill="auto"/>
          </w:tcPr>
          <w:p w:rsidR="003303F7" w14:paraId="520AD16D" w14:textId="77777777">
            <w:pPr>
              <w:keepNext/>
              <w:pBdr>
                <w:top w:val="nil"/>
                <w:left w:val="nil"/>
                <w:bottom w:val="nil"/>
                <w:right w:val="nil"/>
                <w:between w:val="nil"/>
              </w:pBdr>
              <w:spacing w:line="276" w:lineRule="auto"/>
            </w:pPr>
          </w:p>
        </w:tc>
      </w:tr>
      <w:tr w14:paraId="78B2F43A" w14:textId="77777777">
        <w:tblPrEx>
          <w:tblW w:w="9360" w:type="dxa"/>
          <w:tblLayout w:type="fixed"/>
          <w:tblLook w:val="0000"/>
        </w:tblPrEx>
        <w:tc>
          <w:tcPr>
            <w:tcW w:w="1365" w:type="dxa"/>
            <w:vMerge/>
            <w:shd w:val="clear" w:color="auto" w:fill="auto"/>
          </w:tcPr>
          <w:p w:rsidR="000F76AA" w14:paraId="34FF1C98" w14:textId="77777777">
            <w:pPr>
              <w:widowControl w:val="0"/>
              <w:pBdr>
                <w:top w:val="nil"/>
                <w:left w:val="nil"/>
                <w:bottom w:val="nil"/>
                <w:right w:val="nil"/>
                <w:between w:val="nil"/>
              </w:pBdr>
              <w:spacing w:line="276" w:lineRule="auto"/>
            </w:pPr>
          </w:p>
        </w:tc>
        <w:tc>
          <w:tcPr>
            <w:tcW w:w="2475" w:type="dxa"/>
            <w:shd w:val="clear" w:color="auto" w:fill="auto"/>
          </w:tcPr>
          <w:p w:rsidR="000F76AA" w14:paraId="22CA6123" w14:textId="77777777">
            <w:pPr>
              <w:keepNext/>
              <w:pBdr>
                <w:top w:val="nil"/>
                <w:left w:val="nil"/>
                <w:bottom w:val="nil"/>
                <w:right w:val="nil"/>
                <w:between w:val="nil"/>
              </w:pBdr>
              <w:spacing w:line="276" w:lineRule="auto"/>
              <w:rPr>
                <w:i/>
              </w:rPr>
            </w:pPr>
            <w:r>
              <w:t xml:space="preserve">Focus Group Discussion </w:t>
            </w:r>
            <w:r>
              <w:rPr>
                <w:i/>
              </w:rPr>
              <w:t>Attachment 8</w:t>
            </w:r>
          </w:p>
          <w:p w:rsidR="003303F7" w14:paraId="60B9EEF3" w14:textId="1E140BB4">
            <w:pPr>
              <w:keepNext/>
              <w:pBdr>
                <w:top w:val="nil"/>
                <w:left w:val="nil"/>
                <w:bottom w:val="nil"/>
                <w:right w:val="nil"/>
                <w:between w:val="nil"/>
              </w:pBdr>
              <w:spacing w:line="276" w:lineRule="auto"/>
              <w:rPr>
                <w:i/>
              </w:rPr>
            </w:pPr>
            <w:r w:rsidRPr="003303F7">
              <w:rPr>
                <w:iCs/>
                <w:color w:val="000000"/>
              </w:rPr>
              <w:t>Consent form</w:t>
            </w:r>
            <w:r>
              <w:rPr>
                <w:i/>
                <w:color w:val="000000"/>
              </w:rPr>
              <w:t xml:space="preserve"> (Attachment 5)</w:t>
            </w:r>
          </w:p>
          <w:p w:rsidR="003303F7" w:rsidRPr="003303F7" w14:paraId="0F1293D4" w14:textId="77777777">
            <w:pPr>
              <w:keepNext/>
              <w:pBdr>
                <w:top w:val="nil"/>
                <w:left w:val="nil"/>
                <w:bottom w:val="nil"/>
                <w:right w:val="nil"/>
                <w:between w:val="nil"/>
              </w:pBdr>
              <w:spacing w:line="276" w:lineRule="auto"/>
              <w:rPr>
                <w:iCs/>
              </w:rPr>
            </w:pPr>
            <w:r w:rsidRPr="003303F7">
              <w:rPr>
                <w:iCs/>
              </w:rPr>
              <w:t xml:space="preserve">Message being </w:t>
            </w:r>
            <w:r w:rsidRPr="003303F7">
              <w:rPr>
                <w:iCs/>
              </w:rPr>
              <w:t>Tested</w:t>
            </w:r>
          </w:p>
          <w:p w:rsidR="003303F7" w14:paraId="1033F2E8" w14:textId="58E6A39D">
            <w:pPr>
              <w:keepNext/>
              <w:pBdr>
                <w:top w:val="nil"/>
                <w:left w:val="nil"/>
                <w:bottom w:val="nil"/>
                <w:right w:val="nil"/>
                <w:between w:val="nil"/>
              </w:pBdr>
              <w:spacing w:line="276" w:lineRule="auto"/>
            </w:pPr>
            <w:r>
              <w:rPr>
                <w:i/>
              </w:rPr>
              <w:t>Attachment 9</w:t>
            </w:r>
          </w:p>
        </w:tc>
        <w:tc>
          <w:tcPr>
            <w:tcW w:w="1770" w:type="dxa"/>
            <w:gridSpan w:val="2"/>
            <w:shd w:val="clear" w:color="auto" w:fill="auto"/>
          </w:tcPr>
          <w:p w:rsidR="000F76AA" w14:paraId="55440C04" w14:textId="2D2230A7">
            <w:pPr>
              <w:keepNext/>
              <w:pBdr>
                <w:top w:val="nil"/>
                <w:left w:val="nil"/>
                <w:bottom w:val="nil"/>
                <w:right w:val="nil"/>
                <w:between w:val="nil"/>
              </w:pBdr>
              <w:spacing w:line="276" w:lineRule="auto"/>
              <w:rPr>
                <w:color w:val="000000"/>
              </w:rPr>
            </w:pPr>
            <w:r>
              <w:t>6</w:t>
            </w:r>
            <w:r w:rsidR="006A2E50">
              <w:t>0</w:t>
            </w:r>
          </w:p>
        </w:tc>
        <w:tc>
          <w:tcPr>
            <w:tcW w:w="1245" w:type="dxa"/>
            <w:shd w:val="clear" w:color="auto" w:fill="auto"/>
          </w:tcPr>
          <w:p w:rsidR="000F76AA" w14:paraId="249FAAB8" w14:textId="77777777">
            <w:pPr>
              <w:keepNext/>
              <w:pBdr>
                <w:top w:val="nil"/>
                <w:left w:val="nil"/>
                <w:bottom w:val="nil"/>
                <w:right w:val="nil"/>
                <w:between w:val="nil"/>
              </w:pBdr>
              <w:spacing w:line="276" w:lineRule="auto"/>
              <w:rPr>
                <w:color w:val="000000"/>
              </w:rPr>
            </w:pPr>
            <w:r>
              <w:t>1</w:t>
            </w:r>
          </w:p>
        </w:tc>
        <w:tc>
          <w:tcPr>
            <w:tcW w:w="1440" w:type="dxa"/>
            <w:shd w:val="clear" w:color="auto" w:fill="auto"/>
          </w:tcPr>
          <w:p w:rsidR="000F76AA" w14:paraId="555DD3B6" w14:textId="77777777">
            <w:pPr>
              <w:keepNext/>
              <w:pBdr>
                <w:top w:val="nil"/>
                <w:left w:val="nil"/>
                <w:bottom w:val="nil"/>
                <w:right w:val="nil"/>
                <w:between w:val="nil"/>
              </w:pBdr>
              <w:spacing w:line="276" w:lineRule="auto"/>
            </w:pPr>
            <w:r>
              <w:t>60/60</w:t>
            </w:r>
          </w:p>
        </w:tc>
        <w:tc>
          <w:tcPr>
            <w:tcW w:w="1065" w:type="dxa"/>
            <w:shd w:val="clear" w:color="auto" w:fill="auto"/>
          </w:tcPr>
          <w:p w:rsidR="000F76AA" w14:paraId="533D2821" w14:textId="13B13BE8">
            <w:pPr>
              <w:keepNext/>
              <w:pBdr>
                <w:top w:val="nil"/>
                <w:left w:val="nil"/>
                <w:bottom w:val="nil"/>
                <w:right w:val="nil"/>
                <w:between w:val="nil"/>
              </w:pBdr>
              <w:spacing w:line="276" w:lineRule="auto"/>
            </w:pPr>
            <w:r>
              <w:t>6</w:t>
            </w:r>
            <w:r w:rsidR="006A2E50">
              <w:t>0</w:t>
            </w:r>
          </w:p>
        </w:tc>
      </w:tr>
      <w:tr w14:paraId="06619B73" w14:textId="77777777">
        <w:tblPrEx>
          <w:tblW w:w="9360" w:type="dxa"/>
          <w:tblLayout w:type="fixed"/>
          <w:tblLook w:val="0000"/>
        </w:tblPrEx>
        <w:tc>
          <w:tcPr>
            <w:tcW w:w="1365" w:type="dxa"/>
            <w:vMerge/>
            <w:shd w:val="clear" w:color="auto" w:fill="auto"/>
          </w:tcPr>
          <w:p w:rsidR="000F76AA" w14:paraId="6D072C0D" w14:textId="77777777">
            <w:pPr>
              <w:widowControl w:val="0"/>
              <w:pBdr>
                <w:top w:val="nil"/>
                <w:left w:val="nil"/>
                <w:bottom w:val="nil"/>
                <w:right w:val="nil"/>
                <w:between w:val="nil"/>
              </w:pBdr>
              <w:spacing w:line="276" w:lineRule="auto"/>
            </w:pPr>
          </w:p>
        </w:tc>
        <w:tc>
          <w:tcPr>
            <w:tcW w:w="2475" w:type="dxa"/>
            <w:shd w:val="clear" w:color="auto" w:fill="auto"/>
          </w:tcPr>
          <w:p w:rsidR="000F76AA" w14:paraId="46FE0C09" w14:textId="77777777">
            <w:pPr>
              <w:keepNext/>
              <w:pBdr>
                <w:top w:val="nil"/>
                <w:left w:val="nil"/>
                <w:bottom w:val="nil"/>
                <w:right w:val="nil"/>
                <w:between w:val="nil"/>
              </w:pBdr>
              <w:spacing w:line="276" w:lineRule="auto"/>
              <w:rPr>
                <w:color w:val="000000"/>
              </w:rPr>
            </w:pPr>
            <w:r>
              <w:rPr>
                <w:color w:val="000000"/>
              </w:rPr>
              <w:t>Total</w:t>
            </w:r>
          </w:p>
        </w:tc>
        <w:tc>
          <w:tcPr>
            <w:tcW w:w="1770" w:type="dxa"/>
            <w:gridSpan w:val="2"/>
            <w:shd w:val="clear" w:color="auto" w:fill="auto"/>
          </w:tcPr>
          <w:p w:rsidR="000F76AA" w14:paraId="48A21919" w14:textId="71A48F18">
            <w:pPr>
              <w:keepNext/>
              <w:pBdr>
                <w:top w:val="nil"/>
                <w:left w:val="nil"/>
                <w:bottom w:val="nil"/>
                <w:right w:val="nil"/>
                <w:between w:val="nil"/>
              </w:pBdr>
              <w:spacing w:line="276" w:lineRule="auto"/>
              <w:rPr>
                <w:color w:val="000000"/>
              </w:rPr>
            </w:pPr>
            <w:r>
              <w:rPr>
                <w:color w:val="000000"/>
              </w:rPr>
              <w:t>340</w:t>
            </w:r>
          </w:p>
        </w:tc>
        <w:tc>
          <w:tcPr>
            <w:tcW w:w="1245" w:type="dxa"/>
            <w:shd w:val="clear" w:color="auto" w:fill="auto"/>
          </w:tcPr>
          <w:p w:rsidR="000F76AA" w14:paraId="6BD18F9B" w14:textId="77777777">
            <w:pPr>
              <w:keepNext/>
              <w:pBdr>
                <w:top w:val="nil"/>
                <w:left w:val="nil"/>
                <w:bottom w:val="nil"/>
                <w:right w:val="nil"/>
                <w:between w:val="nil"/>
              </w:pBdr>
              <w:spacing w:line="276" w:lineRule="auto"/>
              <w:rPr>
                <w:color w:val="000000"/>
              </w:rPr>
            </w:pPr>
          </w:p>
        </w:tc>
        <w:tc>
          <w:tcPr>
            <w:tcW w:w="1440" w:type="dxa"/>
            <w:shd w:val="clear" w:color="auto" w:fill="auto"/>
          </w:tcPr>
          <w:p w:rsidR="000F76AA" w14:paraId="238601FE" w14:textId="77777777">
            <w:pPr>
              <w:keepNext/>
              <w:pBdr>
                <w:top w:val="nil"/>
                <w:left w:val="nil"/>
                <w:bottom w:val="nil"/>
                <w:right w:val="nil"/>
                <w:between w:val="nil"/>
              </w:pBdr>
              <w:spacing w:line="276" w:lineRule="auto"/>
              <w:rPr>
                <w:color w:val="000000"/>
              </w:rPr>
            </w:pPr>
          </w:p>
        </w:tc>
        <w:tc>
          <w:tcPr>
            <w:tcW w:w="1065" w:type="dxa"/>
            <w:shd w:val="clear" w:color="auto" w:fill="auto"/>
          </w:tcPr>
          <w:p w:rsidR="000F76AA" w14:paraId="67DDB69B" w14:textId="1153E077">
            <w:pPr>
              <w:keepNext/>
              <w:pBdr>
                <w:top w:val="nil"/>
                <w:left w:val="nil"/>
                <w:bottom w:val="nil"/>
                <w:right w:val="nil"/>
                <w:between w:val="nil"/>
              </w:pBdr>
              <w:spacing w:line="276" w:lineRule="auto"/>
              <w:rPr>
                <w:color w:val="000000"/>
              </w:rPr>
            </w:pPr>
            <w:r>
              <w:t>8</w:t>
            </w:r>
            <w:r w:rsidR="006A2E50">
              <w:t>3</w:t>
            </w:r>
          </w:p>
        </w:tc>
      </w:tr>
    </w:tbl>
    <w:p w:rsidR="000F76AA" w14:paraId="0F3CABC7" w14:textId="77777777">
      <w:pPr>
        <w:pBdr>
          <w:top w:val="nil"/>
          <w:left w:val="nil"/>
          <w:bottom w:val="nil"/>
          <w:right w:val="nil"/>
          <w:between w:val="nil"/>
        </w:pBdr>
        <w:spacing w:line="276" w:lineRule="auto"/>
        <w:ind w:firstLine="720"/>
        <w:rPr>
          <w:color w:val="000000"/>
        </w:rPr>
      </w:pPr>
    </w:p>
    <w:p w:rsidR="000F76AA" w14:paraId="5B08B5D1" w14:textId="77777777">
      <w:pPr>
        <w:spacing w:line="276" w:lineRule="auto"/>
      </w:pPr>
      <w:bookmarkStart w:id="33" w:name="_heading=h.aiadtisululq" w:colFirst="0" w:colLast="0"/>
      <w:bookmarkEnd w:id="33"/>
    </w:p>
    <w:p w:rsidR="000F76AA" w14:paraId="7FD3814E" w14:textId="77777777">
      <w:pPr>
        <w:pBdr>
          <w:top w:val="nil"/>
          <w:left w:val="nil"/>
          <w:bottom w:val="nil"/>
          <w:right w:val="nil"/>
          <w:between w:val="nil"/>
        </w:pBdr>
        <w:spacing w:line="276" w:lineRule="auto"/>
      </w:pPr>
      <w:bookmarkStart w:id="34" w:name="_heading=h.cjcovctchc9f" w:colFirst="0" w:colLast="0"/>
      <w:bookmarkEnd w:id="34"/>
      <w:r>
        <w:t>The estimates of the annualized cost to respondents for the burden hours for the collection of information is derived from the 2022 mean hourly wage of $29.76 across all occupations, per the U.S. Department of Labor (DOL) December 2022 (the most up-to-date non-provisional data) National Occupational Employment and Wage Estimates. The total annualized burden cost is estimated at $2,589.12 per year.</w:t>
      </w:r>
    </w:p>
    <w:p w:rsidR="000F76AA" w14:paraId="16DEB4AB" w14:textId="77777777">
      <w:pPr>
        <w:pBdr>
          <w:top w:val="nil"/>
          <w:left w:val="nil"/>
          <w:bottom w:val="nil"/>
          <w:right w:val="nil"/>
          <w:between w:val="nil"/>
        </w:pBdr>
        <w:spacing w:line="276" w:lineRule="auto"/>
        <w:rPr>
          <w:b/>
          <w:color w:val="000000"/>
        </w:rPr>
      </w:pPr>
    </w:p>
    <w:p w:rsidR="000F76AA" w14:paraId="1871B43A" w14:textId="77777777">
      <w:pPr>
        <w:pBdr>
          <w:top w:val="nil"/>
          <w:left w:val="nil"/>
          <w:bottom w:val="nil"/>
          <w:right w:val="nil"/>
          <w:between w:val="nil"/>
        </w:pBdr>
        <w:spacing w:line="276" w:lineRule="auto"/>
        <w:rPr>
          <w:color w:val="000000"/>
        </w:rPr>
      </w:pPr>
      <w:r>
        <w:rPr>
          <w:b/>
          <w:color w:val="000000"/>
        </w:rPr>
        <w:t>Exhibit A.12.2</w:t>
      </w:r>
      <w:r>
        <w:tab/>
      </w:r>
      <w:r>
        <w:rPr>
          <w:color w:val="000000"/>
        </w:rPr>
        <w:t>Estimated Annualized Burden Costs</w:t>
      </w:r>
    </w:p>
    <w:tbl>
      <w:tblPr>
        <w:tblStyle w:val="a1"/>
        <w:tblW w:w="9366" w:type="dxa"/>
        <w:tblLayout w:type="fixed"/>
        <w:tblLook w:val="0000"/>
      </w:tblPr>
      <w:tblGrid>
        <w:gridCol w:w="1575"/>
        <w:gridCol w:w="1380"/>
        <w:gridCol w:w="1386"/>
        <w:gridCol w:w="1197"/>
        <w:gridCol w:w="1128"/>
        <w:gridCol w:w="1290"/>
        <w:gridCol w:w="1410"/>
      </w:tblGrid>
      <w:tr w14:paraId="3959B198" w14:textId="77777777">
        <w:tblPrEx>
          <w:tblW w:w="9366" w:type="dxa"/>
          <w:tblLayout w:type="fixed"/>
          <w:tblLook w:val="0000"/>
        </w:tblPrEx>
        <w:tc>
          <w:tcPr>
            <w:tcW w:w="1575" w:type="dxa"/>
            <w:tcBorders>
              <w:top w:val="single" w:sz="12" w:space="0" w:color="000000"/>
              <w:bottom w:val="single" w:sz="8" w:space="0" w:color="000000"/>
            </w:tcBorders>
            <w:shd w:val="clear" w:color="auto" w:fill="auto"/>
            <w:vAlign w:val="bottom"/>
          </w:tcPr>
          <w:p w:rsidR="000F76AA" w14:paraId="18283460" w14:textId="77777777">
            <w:pPr>
              <w:pBdr>
                <w:top w:val="nil"/>
                <w:left w:val="nil"/>
                <w:bottom w:val="nil"/>
                <w:right w:val="nil"/>
                <w:between w:val="nil"/>
              </w:pBdr>
              <w:spacing w:line="276" w:lineRule="auto"/>
              <w:rPr>
                <w:b/>
                <w:color w:val="000000"/>
              </w:rPr>
            </w:pPr>
            <w:r>
              <w:rPr>
                <w:b/>
                <w:color w:val="000000"/>
              </w:rPr>
              <w:t>Activity</w:t>
            </w:r>
          </w:p>
        </w:tc>
        <w:tc>
          <w:tcPr>
            <w:tcW w:w="1380" w:type="dxa"/>
            <w:tcBorders>
              <w:top w:val="single" w:sz="12" w:space="0" w:color="000000"/>
              <w:bottom w:val="single" w:sz="8" w:space="0" w:color="000000"/>
            </w:tcBorders>
            <w:shd w:val="clear" w:color="auto" w:fill="auto"/>
            <w:vAlign w:val="bottom"/>
          </w:tcPr>
          <w:p w:rsidR="000F76AA" w14:paraId="2BD448F6" w14:textId="77777777">
            <w:pPr>
              <w:pBdr>
                <w:top w:val="nil"/>
                <w:left w:val="nil"/>
                <w:bottom w:val="nil"/>
                <w:right w:val="nil"/>
                <w:between w:val="nil"/>
              </w:pBdr>
              <w:spacing w:line="276" w:lineRule="auto"/>
              <w:rPr>
                <w:b/>
                <w:color w:val="000000"/>
              </w:rPr>
            </w:pPr>
            <w:r>
              <w:rPr>
                <w:b/>
                <w:color w:val="000000"/>
              </w:rPr>
              <w:t>No. of Respondents</w:t>
            </w:r>
          </w:p>
        </w:tc>
        <w:tc>
          <w:tcPr>
            <w:tcW w:w="1386" w:type="dxa"/>
            <w:tcBorders>
              <w:top w:val="single" w:sz="12" w:space="0" w:color="000000"/>
              <w:bottom w:val="single" w:sz="8" w:space="0" w:color="000000"/>
            </w:tcBorders>
            <w:shd w:val="clear" w:color="auto" w:fill="auto"/>
            <w:vAlign w:val="bottom"/>
          </w:tcPr>
          <w:p w:rsidR="000F76AA" w14:paraId="6497698B" w14:textId="77777777">
            <w:pPr>
              <w:pBdr>
                <w:top w:val="nil"/>
                <w:left w:val="nil"/>
                <w:bottom w:val="nil"/>
                <w:right w:val="nil"/>
                <w:between w:val="nil"/>
              </w:pBdr>
              <w:spacing w:line="276" w:lineRule="auto"/>
              <w:rPr>
                <w:b/>
                <w:color w:val="000000"/>
              </w:rPr>
            </w:pPr>
            <w:r>
              <w:rPr>
                <w:b/>
                <w:color w:val="000000"/>
              </w:rPr>
              <w:t>No. of Responses per Respondent</w:t>
            </w:r>
          </w:p>
        </w:tc>
        <w:tc>
          <w:tcPr>
            <w:tcW w:w="1197" w:type="dxa"/>
            <w:tcBorders>
              <w:top w:val="single" w:sz="12" w:space="0" w:color="000000"/>
              <w:bottom w:val="single" w:sz="8" w:space="0" w:color="000000"/>
            </w:tcBorders>
            <w:shd w:val="clear" w:color="auto" w:fill="auto"/>
            <w:vAlign w:val="bottom"/>
          </w:tcPr>
          <w:p w:rsidR="000F76AA" w14:paraId="7BBDED52" w14:textId="77777777">
            <w:pPr>
              <w:pBdr>
                <w:top w:val="nil"/>
                <w:left w:val="nil"/>
                <w:bottom w:val="nil"/>
                <w:right w:val="nil"/>
                <w:between w:val="nil"/>
              </w:pBdr>
              <w:spacing w:line="276" w:lineRule="auto"/>
              <w:rPr>
                <w:b/>
                <w:color w:val="000000"/>
              </w:rPr>
            </w:pPr>
            <w:r>
              <w:rPr>
                <w:b/>
                <w:color w:val="000000"/>
              </w:rPr>
              <w:t>Average Burden per Response</w:t>
            </w:r>
          </w:p>
          <w:p w:rsidR="000F76AA" w14:paraId="7C5374C8" w14:textId="77777777">
            <w:pPr>
              <w:pBdr>
                <w:top w:val="nil"/>
                <w:left w:val="nil"/>
                <w:bottom w:val="nil"/>
                <w:right w:val="nil"/>
                <w:between w:val="nil"/>
              </w:pBdr>
              <w:spacing w:line="276" w:lineRule="auto"/>
              <w:rPr>
                <w:b/>
                <w:color w:val="000000"/>
              </w:rPr>
            </w:pPr>
            <w:r>
              <w:rPr>
                <w:b/>
                <w:color w:val="000000"/>
              </w:rPr>
              <w:t>(in Hours)</w:t>
            </w:r>
          </w:p>
        </w:tc>
        <w:tc>
          <w:tcPr>
            <w:tcW w:w="1128" w:type="dxa"/>
            <w:tcBorders>
              <w:top w:val="single" w:sz="12" w:space="0" w:color="000000"/>
              <w:bottom w:val="single" w:sz="8" w:space="0" w:color="000000"/>
            </w:tcBorders>
            <w:shd w:val="clear" w:color="auto" w:fill="auto"/>
            <w:vAlign w:val="bottom"/>
          </w:tcPr>
          <w:p w:rsidR="000F76AA" w14:paraId="5FB2738E" w14:textId="77777777">
            <w:pPr>
              <w:pBdr>
                <w:top w:val="nil"/>
                <w:left w:val="nil"/>
                <w:bottom w:val="nil"/>
                <w:right w:val="nil"/>
                <w:between w:val="nil"/>
              </w:pBdr>
              <w:spacing w:line="276" w:lineRule="auto"/>
              <w:rPr>
                <w:b/>
                <w:color w:val="000000"/>
              </w:rPr>
            </w:pPr>
            <w:r>
              <w:rPr>
                <w:b/>
                <w:color w:val="000000"/>
              </w:rPr>
              <w:t>Total Burden Hours</w:t>
            </w:r>
          </w:p>
        </w:tc>
        <w:tc>
          <w:tcPr>
            <w:tcW w:w="1290" w:type="dxa"/>
            <w:tcBorders>
              <w:top w:val="single" w:sz="12" w:space="0" w:color="000000"/>
              <w:bottom w:val="single" w:sz="8" w:space="0" w:color="000000"/>
            </w:tcBorders>
            <w:shd w:val="clear" w:color="auto" w:fill="auto"/>
            <w:vAlign w:val="bottom"/>
          </w:tcPr>
          <w:p w:rsidR="000F76AA" w14:paraId="0C5C480F" w14:textId="77777777">
            <w:pPr>
              <w:pBdr>
                <w:top w:val="nil"/>
                <w:left w:val="nil"/>
                <w:bottom w:val="nil"/>
                <w:right w:val="nil"/>
                <w:between w:val="nil"/>
              </w:pBdr>
              <w:spacing w:line="276" w:lineRule="auto"/>
              <w:rPr>
                <w:b/>
                <w:color w:val="000000"/>
              </w:rPr>
            </w:pPr>
            <w:r>
              <w:rPr>
                <w:b/>
                <w:color w:val="000000"/>
              </w:rPr>
              <w:t>Hourly Wage Rate</w:t>
            </w:r>
          </w:p>
        </w:tc>
        <w:tc>
          <w:tcPr>
            <w:tcW w:w="1410" w:type="dxa"/>
            <w:tcBorders>
              <w:top w:val="single" w:sz="12" w:space="0" w:color="000000"/>
              <w:bottom w:val="single" w:sz="8" w:space="0" w:color="000000"/>
            </w:tcBorders>
            <w:shd w:val="clear" w:color="auto" w:fill="auto"/>
            <w:vAlign w:val="bottom"/>
          </w:tcPr>
          <w:p w:rsidR="000F76AA" w14:paraId="42A64B9D" w14:textId="77777777">
            <w:pPr>
              <w:pBdr>
                <w:top w:val="nil"/>
                <w:left w:val="nil"/>
                <w:bottom w:val="nil"/>
                <w:right w:val="nil"/>
                <w:between w:val="nil"/>
              </w:pBdr>
              <w:spacing w:line="276" w:lineRule="auto"/>
              <w:rPr>
                <w:b/>
                <w:color w:val="000000"/>
              </w:rPr>
            </w:pPr>
            <w:r>
              <w:rPr>
                <w:b/>
                <w:color w:val="000000"/>
              </w:rPr>
              <w:t>Total</w:t>
            </w:r>
            <w:r>
              <w:rPr>
                <w:b/>
                <w:color w:val="000000"/>
              </w:rPr>
              <w:br/>
              <w:t>Respondent Costs</w:t>
            </w:r>
          </w:p>
        </w:tc>
      </w:tr>
      <w:tr w14:paraId="07451CCC"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0F76AA" w14:paraId="52191E2E" w14:textId="77777777">
            <w:pPr>
              <w:keepNext/>
              <w:pBdr>
                <w:top w:val="nil"/>
                <w:left w:val="nil"/>
                <w:bottom w:val="nil"/>
                <w:right w:val="nil"/>
                <w:between w:val="nil"/>
              </w:pBdr>
              <w:spacing w:line="276" w:lineRule="auto"/>
            </w:pPr>
            <w:r>
              <w:t>Eligibility Screener (Focus Group)</w:t>
            </w:r>
          </w:p>
          <w:p w:rsidR="000F76AA" w14:paraId="24E952A0" w14:textId="77777777">
            <w:pPr>
              <w:keepNext/>
              <w:pBdr>
                <w:top w:val="nil"/>
                <w:left w:val="nil"/>
                <w:bottom w:val="nil"/>
                <w:right w:val="nil"/>
                <w:between w:val="nil"/>
              </w:pBdr>
              <w:spacing w:line="276" w:lineRule="auto"/>
              <w:rPr>
                <w:color w:val="000000"/>
              </w:rPr>
            </w:pPr>
            <w:r>
              <w:rPr>
                <w:i/>
              </w:rPr>
              <w:t>Attachment 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0F76AA" w14:paraId="4D6AE906" w14:textId="77777777">
            <w:pPr>
              <w:keepNext/>
              <w:pBdr>
                <w:top w:val="nil"/>
                <w:left w:val="nil"/>
                <w:bottom w:val="nil"/>
                <w:right w:val="nil"/>
                <w:between w:val="nil"/>
              </w:pBdr>
              <w:spacing w:line="276" w:lineRule="auto"/>
              <w:rPr>
                <w:color w:val="000000"/>
              </w:rPr>
            </w:pPr>
            <w:r>
              <w:t>180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0F76AA" w14:paraId="19F14E3C"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0F76AA" w14:paraId="2862790B" w14:textId="77777777">
            <w:pPr>
              <w:keepNext/>
              <w:pBdr>
                <w:top w:val="nil"/>
                <w:left w:val="nil"/>
                <w:bottom w:val="nil"/>
                <w:right w:val="nil"/>
                <w:between w:val="nil"/>
              </w:pBdr>
              <w:spacing w:line="276" w:lineRule="auto"/>
              <w:rPr>
                <w:color w:val="000000"/>
              </w:rPr>
            </w:pPr>
            <w:r>
              <w:t>5</w:t>
            </w:r>
            <w:r>
              <w:rPr>
                <w:color w:val="000000"/>
              </w:rPr>
              <w:t xml:space="preserve">/60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0F76AA" w14:paraId="423D4B9D" w14:textId="77777777">
            <w:pPr>
              <w:keepNext/>
              <w:pBdr>
                <w:top w:val="nil"/>
                <w:left w:val="nil"/>
                <w:bottom w:val="nil"/>
                <w:right w:val="nil"/>
                <w:between w:val="nil"/>
              </w:pBdr>
              <w:spacing w:line="276" w:lineRule="auto"/>
              <w:rPr>
                <w:color w:val="000000"/>
              </w:rPr>
            </w:pPr>
            <w:r>
              <w:t>15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0F76AA" w14:paraId="533754C5" w14:textId="77777777">
            <w:pPr>
              <w:keepNext/>
              <w:pBdr>
                <w:top w:val="nil"/>
                <w:left w:val="nil"/>
                <w:bottom w:val="nil"/>
                <w:right w:val="nil"/>
                <w:between w:val="nil"/>
              </w:pBdr>
              <w:spacing w:line="276" w:lineRule="auto"/>
              <w:rPr>
                <w:color w:val="000000"/>
              </w:rPr>
            </w:pPr>
            <w:r>
              <w:rPr>
                <w:color w:val="000000"/>
              </w:rPr>
              <w:t>$2</w:t>
            </w:r>
            <w:r>
              <w:t>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0F76AA" w14:paraId="765AF409" w14:textId="77777777">
            <w:pPr>
              <w:keepNext/>
              <w:pBdr>
                <w:top w:val="nil"/>
                <w:left w:val="nil"/>
                <w:bottom w:val="nil"/>
                <w:right w:val="nil"/>
                <w:between w:val="nil"/>
              </w:pBdr>
              <w:spacing w:line="276" w:lineRule="auto"/>
            </w:pPr>
            <w:r>
              <w:t>$446.40</w:t>
            </w:r>
          </w:p>
          <w:p w:rsidR="000F76AA" w14:paraId="0AD9C6F4" w14:textId="77777777">
            <w:pPr>
              <w:keepNext/>
              <w:pBdr>
                <w:top w:val="nil"/>
                <w:left w:val="nil"/>
                <w:bottom w:val="nil"/>
                <w:right w:val="nil"/>
                <w:between w:val="nil"/>
              </w:pBdr>
              <w:spacing w:line="276" w:lineRule="auto"/>
            </w:pPr>
          </w:p>
        </w:tc>
      </w:tr>
      <w:tr w14:paraId="54051063"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FFFFFF"/>
          </w:tcPr>
          <w:p w:rsidR="000F76AA" w14:paraId="5CB8483C" w14:textId="77777777">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Pr>
          <w:p w:rsidR="000F76AA" w14:paraId="02B72823" w14:textId="77777777">
            <w:pPr>
              <w:keepNext/>
              <w:pBdr>
                <w:top w:val="nil"/>
                <w:left w:val="nil"/>
                <w:bottom w:val="nil"/>
                <w:right w:val="nil"/>
                <w:between w:val="nil"/>
              </w:pBdr>
              <w:spacing w:line="276" w:lineRule="auto"/>
            </w:pPr>
            <w:r>
              <w:t>100</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Pr>
          <w:p w:rsidR="000F76AA" w14:paraId="065D2414"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0F76AA" w14:paraId="192C2268" w14:textId="77777777">
            <w:pPr>
              <w:keepNext/>
              <w:pBdr>
                <w:top w:val="nil"/>
                <w:left w:val="nil"/>
                <w:bottom w:val="nil"/>
                <w:right w:val="nil"/>
                <w:between w:val="nil"/>
              </w:pBdr>
              <w:spacing w:line="276" w:lineRule="auto"/>
            </w:pPr>
            <w:r>
              <w:t>5/60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rsidR="000F76AA" w14:paraId="03853697" w14:textId="77777777">
            <w:pPr>
              <w:keepNext/>
              <w:pBdr>
                <w:top w:val="nil"/>
                <w:left w:val="nil"/>
                <w:bottom w:val="nil"/>
                <w:right w:val="nil"/>
                <w:between w:val="nil"/>
              </w:pBdr>
              <w:spacing w:line="276" w:lineRule="auto"/>
            </w:pPr>
            <w:r>
              <w:t>8</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Pr>
          <w:p w:rsidR="000F76AA" w14:paraId="39E63CAC" w14:textId="77777777">
            <w:pPr>
              <w:keepNext/>
              <w:spacing w:line="276" w:lineRule="auto"/>
              <w:rPr>
                <w:color w:val="000000"/>
              </w:rPr>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Pr>
          <w:p w:rsidR="000F76AA" w14:paraId="7F82AA43" w14:textId="77777777">
            <w:pPr>
              <w:keepNext/>
              <w:pBdr>
                <w:top w:val="nil"/>
                <w:left w:val="nil"/>
                <w:bottom w:val="nil"/>
                <w:right w:val="nil"/>
                <w:between w:val="nil"/>
              </w:pBdr>
              <w:spacing w:line="276" w:lineRule="auto"/>
            </w:pPr>
            <w:r>
              <w:t>$238.08</w:t>
            </w:r>
          </w:p>
        </w:tc>
      </w:tr>
      <w:tr w14:paraId="5A4F50D1"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0F76AA" w14:paraId="6D9A8F4C" w14:textId="77777777">
            <w:pPr>
              <w:keepNext/>
              <w:spacing w:line="276" w:lineRule="auto"/>
            </w:pPr>
            <w:r>
              <w:t xml:space="preserve">Focus Group Discussion </w:t>
            </w:r>
            <w:r>
              <w:rPr>
                <w:i/>
              </w:rPr>
              <w:t>Attachment 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0F76AA" w14:paraId="5725ECBC" w14:textId="59D6FD03">
            <w:pPr>
              <w:keepNext/>
              <w:spacing w:line="276" w:lineRule="auto"/>
            </w:pPr>
            <w:r>
              <w:t xml:space="preserve"> </w:t>
            </w:r>
            <w:r w:rsidR="006A35E8">
              <w:t>60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0F76AA" w14:paraId="2E32D521" w14:textId="77777777">
            <w:pPr>
              <w:keepNext/>
              <w:spacing w:line="276" w:lineRule="auto"/>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0F76AA" w14:paraId="25F033E8" w14:textId="77777777">
            <w:pPr>
              <w:keepNext/>
              <w:spacing w:line="276" w:lineRule="auto"/>
            </w:pPr>
            <w:r>
              <w:t>60/60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0F76AA" w14:paraId="13EB9DE1" w14:textId="27B53661">
            <w:pPr>
              <w:keepNext/>
              <w:spacing w:line="276" w:lineRule="auto"/>
            </w:pPr>
            <w:r>
              <w:t xml:space="preserve"> </w:t>
            </w:r>
            <w:r w:rsidR="006A35E8">
              <w:t>60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0F76AA" w14:paraId="69B2029A" w14:textId="77777777">
            <w:pPr>
              <w:keepNext/>
              <w:spacing w:line="276" w:lineRule="auto"/>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0F76AA" w14:paraId="16C60FEB" w14:textId="6DF3FC5B">
            <w:pPr>
              <w:keepNext/>
              <w:spacing w:line="276" w:lineRule="auto"/>
            </w:pPr>
          </w:p>
          <w:p w:rsidR="00965E46" w14:paraId="293E04C1" w14:textId="0FAD07D2">
            <w:pPr>
              <w:keepNext/>
              <w:spacing w:line="276" w:lineRule="auto"/>
            </w:pPr>
            <w:r>
              <w:t>$1,</w:t>
            </w:r>
            <w:r w:rsidR="006A35E8">
              <w:t>7</w:t>
            </w:r>
            <w:r>
              <w:t>8</w:t>
            </w:r>
            <w:r w:rsidR="006A35E8">
              <w:t>5</w:t>
            </w:r>
            <w:r>
              <w:t>.</w:t>
            </w:r>
            <w:r w:rsidR="006A35E8">
              <w:t>60</w:t>
            </w:r>
          </w:p>
        </w:tc>
      </w:tr>
    </w:tbl>
    <w:p w:rsidR="000F76AA" w14:paraId="4B1F511A" w14:textId="77777777">
      <w:pPr>
        <w:widowControl w:val="0"/>
        <w:pBdr>
          <w:top w:val="nil"/>
          <w:left w:val="nil"/>
          <w:bottom w:val="nil"/>
          <w:right w:val="nil"/>
          <w:between w:val="nil"/>
        </w:pBdr>
        <w:spacing w:line="276" w:lineRule="auto"/>
        <w:rPr>
          <w:color w:val="000000"/>
        </w:rPr>
      </w:pPr>
    </w:p>
    <w:tbl>
      <w:tblPr>
        <w:tblStyle w:val="a2"/>
        <w:tblW w:w="9366" w:type="dxa"/>
        <w:tblLayout w:type="fixed"/>
        <w:tblLook w:val="0000"/>
      </w:tblPr>
      <w:tblGrid>
        <w:gridCol w:w="1575"/>
        <w:gridCol w:w="1380"/>
        <w:gridCol w:w="1386"/>
        <w:gridCol w:w="1197"/>
        <w:gridCol w:w="1128"/>
        <w:gridCol w:w="1290"/>
        <w:gridCol w:w="1410"/>
      </w:tblGrid>
      <w:tr w14:paraId="7EAD882E" w14:textId="77777777">
        <w:tblPrEx>
          <w:tblW w:w="9366" w:type="dxa"/>
          <w:tblLayout w:type="fixed"/>
          <w:tblLook w:val="0000"/>
        </w:tblPrEx>
        <w:trPr>
          <w:trHeight w:val="87"/>
        </w:trPr>
        <w:tc>
          <w:tcPr>
            <w:tcW w:w="1575" w:type="dxa"/>
            <w:tcBorders>
              <w:top w:val="single" w:sz="8" w:space="0" w:color="000000"/>
              <w:bottom w:val="single" w:sz="12" w:space="0" w:color="000000"/>
            </w:tcBorders>
            <w:shd w:val="clear" w:color="auto" w:fill="auto"/>
          </w:tcPr>
          <w:p w:rsidR="000F76AA" w14:paraId="51E8FDB7" w14:textId="77777777">
            <w:pPr>
              <w:keepNext/>
              <w:pBdr>
                <w:top w:val="nil"/>
                <w:left w:val="nil"/>
                <w:bottom w:val="nil"/>
                <w:right w:val="nil"/>
                <w:between w:val="nil"/>
              </w:pBdr>
              <w:spacing w:line="276" w:lineRule="auto"/>
              <w:rPr>
                <w:color w:val="000000"/>
              </w:rPr>
            </w:pPr>
            <w:r>
              <w:rPr>
                <w:color w:val="000000"/>
              </w:rPr>
              <w:t>Total</w:t>
            </w:r>
          </w:p>
        </w:tc>
        <w:tc>
          <w:tcPr>
            <w:tcW w:w="1380" w:type="dxa"/>
            <w:tcBorders>
              <w:top w:val="single" w:sz="8" w:space="0" w:color="000000"/>
              <w:bottom w:val="single" w:sz="12" w:space="0" w:color="000000"/>
            </w:tcBorders>
            <w:shd w:val="clear" w:color="auto" w:fill="auto"/>
          </w:tcPr>
          <w:p w:rsidR="000F76AA" w14:paraId="65F9C3DC" w14:textId="77777777">
            <w:pPr>
              <w:keepNext/>
              <w:pBdr>
                <w:top w:val="nil"/>
                <w:left w:val="nil"/>
                <w:bottom w:val="nil"/>
                <w:right w:val="nil"/>
                <w:between w:val="nil"/>
              </w:pBdr>
              <w:spacing w:line="276" w:lineRule="auto"/>
              <w:rPr>
                <w:color w:val="000000"/>
              </w:rPr>
            </w:pPr>
          </w:p>
        </w:tc>
        <w:tc>
          <w:tcPr>
            <w:tcW w:w="1386" w:type="dxa"/>
            <w:tcBorders>
              <w:top w:val="single" w:sz="8" w:space="0" w:color="000000"/>
              <w:bottom w:val="single" w:sz="12" w:space="0" w:color="000000"/>
            </w:tcBorders>
            <w:shd w:val="clear" w:color="auto" w:fill="auto"/>
          </w:tcPr>
          <w:p w:rsidR="000F76AA" w14:paraId="5023141B" w14:textId="77777777">
            <w:pPr>
              <w:keepNext/>
              <w:pBdr>
                <w:top w:val="nil"/>
                <w:left w:val="nil"/>
                <w:bottom w:val="nil"/>
                <w:right w:val="nil"/>
                <w:between w:val="nil"/>
              </w:pBdr>
              <w:spacing w:line="276" w:lineRule="auto"/>
              <w:rPr>
                <w:color w:val="000000"/>
              </w:rPr>
            </w:pPr>
          </w:p>
        </w:tc>
        <w:tc>
          <w:tcPr>
            <w:tcW w:w="1197" w:type="dxa"/>
            <w:tcBorders>
              <w:top w:val="single" w:sz="8" w:space="0" w:color="000000"/>
              <w:bottom w:val="single" w:sz="12" w:space="0" w:color="000000"/>
            </w:tcBorders>
            <w:shd w:val="clear" w:color="auto" w:fill="auto"/>
          </w:tcPr>
          <w:p w:rsidR="000F76AA" w14:paraId="1F3B1409" w14:textId="77777777">
            <w:pPr>
              <w:keepNext/>
              <w:pBdr>
                <w:top w:val="nil"/>
                <w:left w:val="nil"/>
                <w:bottom w:val="nil"/>
                <w:right w:val="nil"/>
                <w:between w:val="nil"/>
              </w:pBdr>
              <w:spacing w:line="276" w:lineRule="auto"/>
              <w:rPr>
                <w:color w:val="000000"/>
              </w:rPr>
            </w:pPr>
          </w:p>
        </w:tc>
        <w:tc>
          <w:tcPr>
            <w:tcW w:w="1128" w:type="dxa"/>
            <w:tcBorders>
              <w:top w:val="single" w:sz="8" w:space="0" w:color="000000"/>
              <w:bottom w:val="single" w:sz="12" w:space="0" w:color="000000"/>
            </w:tcBorders>
            <w:shd w:val="clear" w:color="auto" w:fill="auto"/>
          </w:tcPr>
          <w:p w:rsidR="000F76AA" w14:paraId="702436C1" w14:textId="5DCD1A8A">
            <w:pPr>
              <w:keepNext/>
              <w:pBdr>
                <w:top w:val="nil"/>
                <w:left w:val="nil"/>
                <w:bottom w:val="nil"/>
                <w:right w:val="nil"/>
                <w:between w:val="nil"/>
              </w:pBdr>
              <w:spacing w:line="276" w:lineRule="auto"/>
              <w:rPr>
                <w:color w:val="000000"/>
              </w:rPr>
            </w:pPr>
            <w:r>
              <w:t xml:space="preserve"> </w:t>
            </w:r>
            <w:r w:rsidR="006A35E8">
              <w:t>83</w:t>
            </w:r>
          </w:p>
        </w:tc>
        <w:tc>
          <w:tcPr>
            <w:tcW w:w="1290" w:type="dxa"/>
            <w:tcBorders>
              <w:top w:val="single" w:sz="8" w:space="0" w:color="000000"/>
              <w:bottom w:val="single" w:sz="12" w:space="0" w:color="000000"/>
            </w:tcBorders>
            <w:shd w:val="clear" w:color="auto" w:fill="auto"/>
          </w:tcPr>
          <w:p w:rsidR="000F76AA" w14:paraId="562C75D1" w14:textId="77777777">
            <w:pPr>
              <w:keepNext/>
              <w:pBdr>
                <w:top w:val="nil"/>
                <w:left w:val="nil"/>
                <w:bottom w:val="nil"/>
                <w:right w:val="nil"/>
                <w:between w:val="nil"/>
              </w:pBdr>
              <w:spacing w:line="276" w:lineRule="auto"/>
              <w:rPr>
                <w:color w:val="000000"/>
              </w:rPr>
            </w:pPr>
          </w:p>
        </w:tc>
        <w:tc>
          <w:tcPr>
            <w:tcW w:w="1410" w:type="dxa"/>
            <w:tcBorders>
              <w:top w:val="single" w:sz="8" w:space="0" w:color="000000"/>
              <w:bottom w:val="single" w:sz="12" w:space="0" w:color="000000"/>
            </w:tcBorders>
            <w:shd w:val="clear" w:color="auto" w:fill="auto"/>
          </w:tcPr>
          <w:p w:rsidR="000F76AA" w14:paraId="439CB298" w14:textId="20800417">
            <w:pPr>
              <w:keepNext/>
              <w:pBdr>
                <w:top w:val="nil"/>
                <w:left w:val="nil"/>
                <w:bottom w:val="nil"/>
                <w:right w:val="nil"/>
                <w:between w:val="nil"/>
              </w:pBdr>
              <w:spacing w:line="276" w:lineRule="auto"/>
              <w:rPr>
                <w:color w:val="000000"/>
              </w:rPr>
            </w:pPr>
            <w:r>
              <w:t xml:space="preserve"> $2,</w:t>
            </w:r>
            <w:r w:rsidR="006A35E8">
              <w:t>470</w:t>
            </w:r>
            <w:r>
              <w:t>.</w:t>
            </w:r>
            <w:r w:rsidR="006A35E8">
              <w:t>08</w:t>
            </w:r>
          </w:p>
        </w:tc>
      </w:tr>
    </w:tbl>
    <w:p w:rsidR="000F76AA" w14:paraId="664355AD" w14:textId="77777777">
      <w:pPr>
        <w:keepLines/>
        <w:pBdr>
          <w:top w:val="nil"/>
          <w:left w:val="nil"/>
          <w:bottom w:val="nil"/>
          <w:right w:val="nil"/>
          <w:between w:val="nil"/>
        </w:pBdr>
        <w:spacing w:line="276" w:lineRule="auto"/>
        <w:ind w:left="187" w:hanging="187"/>
        <w:rPr>
          <w:color w:val="000000"/>
          <w:sz w:val="20"/>
          <w:szCs w:val="20"/>
        </w:rPr>
      </w:pPr>
      <w:bookmarkStart w:id="35" w:name="_heading=h.3as4poj" w:colFirst="0" w:colLast="0"/>
      <w:bookmarkEnd w:id="35"/>
    </w:p>
    <w:p w:rsidR="000F76AA" w14:paraId="24811AA7" w14:textId="77777777">
      <w:pPr>
        <w:pStyle w:val="Heading2"/>
        <w:spacing w:before="0" w:after="0" w:line="276" w:lineRule="auto"/>
      </w:pPr>
      <w:bookmarkStart w:id="36" w:name="_heading=h.3cqmetx" w:colFirst="0" w:colLast="0"/>
      <w:bookmarkEnd w:id="36"/>
      <w:r>
        <w:t>13</w:t>
      </w:r>
      <w:r>
        <w:tab/>
        <w:t xml:space="preserve">Estimates of Other Total Annual Cost Burden to Respondents and Record Keepers </w:t>
      </w:r>
    </w:p>
    <w:p w:rsidR="000F76AA" w14:paraId="35BC5D98" w14:textId="77777777">
      <w:bookmarkStart w:id="37" w:name="_heading=h.49x2ik5" w:colFirst="0" w:colLast="0"/>
      <w:bookmarkEnd w:id="37"/>
      <w:r>
        <w:t>There are no costs to respondents other than their time for participation.</w:t>
      </w:r>
    </w:p>
    <w:p w:rsidR="000F76AA" w14:paraId="7DF4E37C" w14:textId="77777777">
      <w:pPr>
        <w:rPr>
          <w:b/>
        </w:rPr>
      </w:pPr>
    </w:p>
    <w:p w:rsidR="000F76AA" w14:paraId="35AE7AD5" w14:textId="77777777">
      <w:pPr>
        <w:pStyle w:val="Heading2"/>
        <w:spacing w:before="0" w:after="0" w:line="276" w:lineRule="auto"/>
      </w:pPr>
      <w:bookmarkStart w:id="38" w:name="_heading=h.1rvwp1q" w:colFirst="0" w:colLast="0"/>
      <w:bookmarkEnd w:id="38"/>
      <w:r>
        <w:t>14</w:t>
      </w:r>
      <w:r>
        <w:tab/>
        <w:t xml:space="preserve">Annualized Cost to the Federal Government </w:t>
      </w:r>
    </w:p>
    <w:p w:rsidR="000F76AA" w14:paraId="1B1F06F2"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r>
        <w:t>$91,363.25</w:t>
      </w:r>
      <w:r>
        <w:rPr>
          <w:color w:val="000000"/>
        </w:rPr>
        <w:t xml:space="preserve"> (</w:t>
      </w:r>
      <w:r>
        <w:rPr>
          <w:b/>
          <w:color w:val="000000"/>
        </w:rPr>
        <w:t>Exhibit A.14.1</w:t>
      </w:r>
      <w:r>
        <w:rPr>
          <w:color w:val="000000"/>
        </w:rPr>
        <w:t>). This is the cost estimated by the contractor, Banyan Communications, and includes the estimated cost of coordination with CDC, data collection, analysis, and reporting.</w:t>
      </w:r>
    </w:p>
    <w:p w:rsidR="000F76AA" w14:paraId="5C584A3C" w14:textId="77777777">
      <w:pPr>
        <w:keepNext/>
        <w:keepLines/>
        <w:pBdr>
          <w:top w:val="nil"/>
          <w:left w:val="nil"/>
          <w:bottom w:val="nil"/>
          <w:right w:val="nil"/>
          <w:between w:val="nil"/>
        </w:pBdr>
        <w:spacing w:line="276" w:lineRule="auto"/>
        <w:ind w:left="1260" w:hanging="1260"/>
        <w:rPr>
          <w:b/>
          <w:color w:val="000000"/>
        </w:rPr>
      </w:pPr>
      <w:bookmarkStart w:id="39" w:name="_heading=h.2p2csry" w:colFirst="0" w:colLast="0"/>
      <w:bookmarkEnd w:id="39"/>
      <w:r>
        <w:rPr>
          <w:b/>
          <w:color w:val="000000"/>
        </w:rPr>
        <w:t xml:space="preserve">Exhibit A.14.1. Estimated Cost to the Government </w:t>
      </w:r>
    </w:p>
    <w:tbl>
      <w:tblPr>
        <w:tblStyle w:val="a3"/>
        <w:tblW w:w="8755" w:type="dxa"/>
        <w:tblLayout w:type="fixed"/>
        <w:tblLook w:val="0000"/>
      </w:tblPr>
      <w:tblGrid>
        <w:gridCol w:w="2585"/>
        <w:gridCol w:w="3380"/>
        <w:gridCol w:w="2790"/>
      </w:tblGrid>
      <w:tr w14:paraId="41C32D39" w14:textId="77777777">
        <w:tblPrEx>
          <w:tblW w:w="8755" w:type="dxa"/>
          <w:tblLayout w:type="fixed"/>
          <w:tblLook w:val="0000"/>
        </w:tblPrEx>
        <w:trPr>
          <w:trHeight w:val="315"/>
        </w:trPr>
        <w:tc>
          <w:tcPr>
            <w:tcW w:w="2585" w:type="dxa"/>
            <w:tcBorders>
              <w:top w:val="single" w:sz="12" w:space="0" w:color="000000"/>
              <w:bottom w:val="single" w:sz="6" w:space="0" w:color="000000"/>
            </w:tcBorders>
            <w:shd w:val="clear" w:color="auto" w:fill="auto"/>
          </w:tcPr>
          <w:p w:rsidR="000F76AA" w14:paraId="745C27D8"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Pr>
          <w:p w:rsidR="000F76AA" w14:paraId="7141341D"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Pr>
          <w:p w:rsidR="000F76AA" w14:paraId="2B42754B" w14:textId="77777777">
            <w:pPr>
              <w:keepNext/>
              <w:spacing w:line="276" w:lineRule="auto"/>
              <w:jc w:val="center"/>
              <w:rPr>
                <w:b/>
              </w:rPr>
            </w:pPr>
            <w:r>
              <w:rPr>
                <w:b/>
              </w:rPr>
              <w:t>Annual Costs (dollars)</w:t>
            </w:r>
          </w:p>
        </w:tc>
      </w:tr>
      <w:tr w14:paraId="1DD528BB" w14:textId="77777777">
        <w:tblPrEx>
          <w:tblW w:w="8755" w:type="dxa"/>
          <w:tblLayout w:type="fixed"/>
          <w:tblLook w:val="0000"/>
        </w:tblPrEx>
        <w:tc>
          <w:tcPr>
            <w:tcW w:w="8755" w:type="dxa"/>
            <w:gridSpan w:val="3"/>
            <w:shd w:val="clear" w:color="auto" w:fill="auto"/>
          </w:tcPr>
          <w:p w:rsidR="000F76AA" w14:paraId="06D707E1" w14:textId="77777777">
            <w:pPr>
              <w:keepNext/>
              <w:spacing w:line="276" w:lineRule="auto"/>
              <w:rPr>
                <w:i/>
              </w:rPr>
            </w:pPr>
            <w:r>
              <w:rPr>
                <w:i/>
              </w:rPr>
              <w:t>Direct cost to the federal government</w:t>
            </w:r>
          </w:p>
        </w:tc>
      </w:tr>
      <w:tr w14:paraId="413064F8" w14:textId="77777777">
        <w:tblPrEx>
          <w:tblW w:w="8755" w:type="dxa"/>
          <w:tblLayout w:type="fixed"/>
          <w:tblLook w:val="0000"/>
        </w:tblPrEx>
        <w:tc>
          <w:tcPr>
            <w:tcW w:w="2585" w:type="dxa"/>
            <w:shd w:val="clear" w:color="auto" w:fill="auto"/>
          </w:tcPr>
          <w:p w:rsidR="000F76AA" w14:paraId="32C68F06" w14:textId="77777777">
            <w:pPr>
              <w:keepNext/>
              <w:spacing w:line="276" w:lineRule="auto"/>
              <w:rPr>
                <w:b/>
              </w:rPr>
            </w:pPr>
            <w:r>
              <w:t>CDC oversight of contractor and project</w:t>
            </w:r>
          </w:p>
        </w:tc>
        <w:tc>
          <w:tcPr>
            <w:tcW w:w="3380" w:type="dxa"/>
            <w:shd w:val="clear" w:color="auto" w:fill="auto"/>
          </w:tcPr>
          <w:p w:rsidR="000F76AA" w14:paraId="2FB9EF7F" w14:textId="77777777">
            <w:pPr>
              <w:keepNext/>
              <w:spacing w:line="276" w:lineRule="auto"/>
            </w:pPr>
            <w:r>
              <w:t xml:space="preserve">CDC Project Officer </w:t>
            </w:r>
          </w:p>
        </w:tc>
        <w:tc>
          <w:tcPr>
            <w:tcW w:w="2790" w:type="dxa"/>
            <w:shd w:val="clear" w:color="auto" w:fill="auto"/>
          </w:tcPr>
          <w:p w:rsidR="000F76AA" w14:paraId="443120C2" w14:textId="77777777">
            <w:pPr>
              <w:keepNext/>
              <w:spacing w:line="276" w:lineRule="auto"/>
            </w:pPr>
            <w:r>
              <w:t>$30,726.75</w:t>
            </w:r>
          </w:p>
        </w:tc>
      </w:tr>
      <w:tr w14:paraId="222AE8B0" w14:textId="77777777">
        <w:tblPrEx>
          <w:tblW w:w="8755" w:type="dxa"/>
          <w:tblLayout w:type="fixed"/>
          <w:tblLook w:val="0000"/>
        </w:tblPrEx>
        <w:tc>
          <w:tcPr>
            <w:tcW w:w="2585" w:type="dxa"/>
            <w:shd w:val="clear" w:color="auto" w:fill="auto"/>
          </w:tcPr>
          <w:p w:rsidR="000F76AA" w14:paraId="1DA6542E" w14:textId="77777777">
            <w:pPr>
              <w:keepNext/>
              <w:spacing w:line="276" w:lineRule="auto"/>
              <w:ind w:left="65"/>
            </w:pPr>
          </w:p>
        </w:tc>
        <w:tc>
          <w:tcPr>
            <w:tcW w:w="3380" w:type="dxa"/>
            <w:shd w:val="clear" w:color="auto" w:fill="auto"/>
          </w:tcPr>
          <w:p w:rsidR="000F76AA" w14:paraId="6A37D054" w14:textId="77777777">
            <w:pPr>
              <w:keepNext/>
              <w:spacing w:line="276" w:lineRule="auto"/>
            </w:pPr>
            <w:r>
              <w:t xml:space="preserve">CDC Co-Principal Investigator </w:t>
            </w:r>
          </w:p>
        </w:tc>
        <w:tc>
          <w:tcPr>
            <w:tcW w:w="2790" w:type="dxa"/>
            <w:shd w:val="clear" w:color="auto" w:fill="auto"/>
          </w:tcPr>
          <w:p w:rsidR="000F76AA" w14:paraId="797CAAA3" w14:textId="77777777">
            <w:pPr>
              <w:keepNext/>
              <w:spacing w:line="276" w:lineRule="auto"/>
            </w:pPr>
            <w:r>
              <w:t>$21,866.50</w:t>
            </w:r>
          </w:p>
        </w:tc>
      </w:tr>
      <w:tr w14:paraId="4DF91953" w14:textId="77777777">
        <w:tblPrEx>
          <w:tblW w:w="8755" w:type="dxa"/>
          <w:tblLayout w:type="fixed"/>
          <w:tblLook w:val="0000"/>
        </w:tblPrEx>
        <w:tc>
          <w:tcPr>
            <w:tcW w:w="5965" w:type="dxa"/>
            <w:gridSpan w:val="2"/>
            <w:shd w:val="clear" w:color="auto" w:fill="auto"/>
          </w:tcPr>
          <w:p w:rsidR="000F76AA" w14:paraId="28F2C814" w14:textId="77777777">
            <w:pPr>
              <w:keepNext/>
              <w:spacing w:line="276" w:lineRule="auto"/>
              <w:rPr>
                <w:i/>
              </w:rPr>
            </w:pPr>
            <w:bookmarkStart w:id="40" w:name="bookmark=id.147n2zr" w:colFirst="0" w:colLast="0"/>
            <w:bookmarkStart w:id="41" w:name="bookmark=id.3o7alnk" w:colFirst="0" w:colLast="0"/>
            <w:bookmarkEnd w:id="40"/>
            <w:bookmarkEnd w:id="41"/>
            <w:r>
              <w:rPr>
                <w:i/>
              </w:rPr>
              <w:t>Subtotal, Direct Costs to the Government</w:t>
            </w:r>
          </w:p>
        </w:tc>
        <w:tc>
          <w:tcPr>
            <w:tcW w:w="2790" w:type="dxa"/>
            <w:shd w:val="clear" w:color="auto" w:fill="auto"/>
          </w:tcPr>
          <w:p w:rsidR="000F76AA" w14:paraId="3041E394" w14:textId="77777777">
            <w:pPr>
              <w:keepNext/>
              <w:spacing w:line="276" w:lineRule="auto"/>
              <w:rPr>
                <w:i/>
              </w:rPr>
            </w:pPr>
          </w:p>
        </w:tc>
      </w:tr>
      <w:tr w14:paraId="6FB3A0E7" w14:textId="77777777">
        <w:tblPrEx>
          <w:tblW w:w="8755" w:type="dxa"/>
          <w:tblLayout w:type="fixed"/>
          <w:tblLook w:val="0000"/>
        </w:tblPrEx>
        <w:tc>
          <w:tcPr>
            <w:tcW w:w="8755" w:type="dxa"/>
            <w:gridSpan w:val="3"/>
            <w:shd w:val="clear" w:color="auto" w:fill="auto"/>
          </w:tcPr>
          <w:p w:rsidR="000F76AA" w14:paraId="4AB7AC70" w14:textId="77777777">
            <w:pPr>
              <w:keepNext/>
              <w:spacing w:line="276" w:lineRule="auto"/>
              <w:rPr>
                <w:b/>
                <w:i/>
              </w:rPr>
            </w:pPr>
            <w:r>
              <w:rPr>
                <w:b/>
                <w:i/>
              </w:rPr>
              <w:t>Contractor and Other Expenses</w:t>
            </w:r>
          </w:p>
        </w:tc>
      </w:tr>
      <w:tr w14:paraId="144DCF2B" w14:textId="77777777">
        <w:tblPrEx>
          <w:tblW w:w="8755" w:type="dxa"/>
          <w:tblLayout w:type="fixed"/>
          <w:tblLook w:val="0000"/>
        </w:tblPrEx>
        <w:tc>
          <w:tcPr>
            <w:tcW w:w="2585" w:type="dxa"/>
            <w:shd w:val="clear" w:color="auto" w:fill="auto"/>
          </w:tcPr>
          <w:p w:rsidR="000F76AA" w14:paraId="6B12C9F9" w14:textId="77777777">
            <w:pPr>
              <w:keepNext/>
              <w:spacing w:line="276" w:lineRule="auto"/>
            </w:pPr>
            <w:r>
              <w:t xml:space="preserve">Recruitment, data collection, </w:t>
            </w:r>
            <w:r>
              <w:t>analysis</w:t>
            </w:r>
            <w:r>
              <w:t xml:space="preserve"> and reporting (contractor) </w:t>
            </w:r>
          </w:p>
        </w:tc>
        <w:tc>
          <w:tcPr>
            <w:tcW w:w="3380" w:type="dxa"/>
            <w:shd w:val="clear" w:color="auto" w:fill="auto"/>
          </w:tcPr>
          <w:p w:rsidR="000F76AA" w14:paraId="5F4D4338" w14:textId="77777777">
            <w:pPr>
              <w:keepNext/>
              <w:spacing w:line="276" w:lineRule="auto"/>
            </w:pPr>
            <w:r>
              <w:t xml:space="preserve">Labor hours and other direct costs </w:t>
            </w:r>
          </w:p>
        </w:tc>
        <w:tc>
          <w:tcPr>
            <w:tcW w:w="2790" w:type="dxa"/>
            <w:shd w:val="clear" w:color="auto" w:fill="auto"/>
          </w:tcPr>
          <w:p w:rsidR="000F76AA" w14:paraId="20A0BE4F" w14:textId="77777777">
            <w:pPr>
              <w:keepNext/>
              <w:spacing w:line="276" w:lineRule="auto"/>
            </w:pPr>
            <w:r>
              <w:t>$38,770.00</w:t>
            </w:r>
          </w:p>
        </w:tc>
      </w:tr>
      <w:tr w14:paraId="1639CCF7" w14:textId="77777777">
        <w:tblPrEx>
          <w:tblW w:w="8755" w:type="dxa"/>
          <w:tblLayout w:type="fixed"/>
          <w:tblLook w:val="0000"/>
        </w:tblPrEx>
        <w:tc>
          <w:tcPr>
            <w:tcW w:w="5965" w:type="dxa"/>
            <w:gridSpan w:val="2"/>
            <w:shd w:val="clear" w:color="auto" w:fill="auto"/>
          </w:tcPr>
          <w:p w:rsidR="000F76AA" w14:paraId="75DBCF5D" w14:textId="77777777">
            <w:pPr>
              <w:keepNext/>
              <w:spacing w:line="276" w:lineRule="auto"/>
            </w:pPr>
            <w:r>
              <w:rPr>
                <w:i/>
              </w:rPr>
              <w:t>Subtotal, contracted services</w:t>
            </w:r>
          </w:p>
        </w:tc>
        <w:tc>
          <w:tcPr>
            <w:tcW w:w="2790" w:type="dxa"/>
            <w:shd w:val="clear" w:color="auto" w:fill="auto"/>
          </w:tcPr>
          <w:p w:rsidR="000F76AA" w14:paraId="29D6B04F" w14:textId="77777777">
            <w:pPr>
              <w:keepNext/>
              <w:spacing w:line="276" w:lineRule="auto"/>
              <w:rPr>
                <w:i/>
              </w:rPr>
            </w:pPr>
            <w:r>
              <w:rPr>
                <w:i/>
              </w:rPr>
              <w:t xml:space="preserve"> </w:t>
            </w:r>
          </w:p>
        </w:tc>
      </w:tr>
      <w:tr w14:paraId="68D410A4" w14:textId="77777777">
        <w:tblPrEx>
          <w:tblW w:w="8755" w:type="dxa"/>
          <w:tblLayout w:type="fixed"/>
          <w:tblLook w:val="0000"/>
        </w:tblPrEx>
        <w:tc>
          <w:tcPr>
            <w:tcW w:w="5965" w:type="dxa"/>
            <w:gridSpan w:val="2"/>
            <w:tcBorders>
              <w:bottom w:val="single" w:sz="12" w:space="0" w:color="000000"/>
            </w:tcBorders>
            <w:shd w:val="clear" w:color="auto" w:fill="auto"/>
          </w:tcPr>
          <w:p w:rsidR="000F76AA" w14:paraId="44E3A127"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Pr>
          <w:p w:rsidR="000F76AA" w14:paraId="705DB8E9" w14:textId="77777777">
            <w:pPr>
              <w:keepNext/>
              <w:spacing w:line="276" w:lineRule="auto"/>
            </w:pPr>
            <w:r>
              <w:t>$91,363.25</w:t>
            </w:r>
          </w:p>
        </w:tc>
      </w:tr>
    </w:tbl>
    <w:p w:rsidR="000F76AA" w14:paraId="722B00AE" w14:textId="77777777">
      <w:pPr>
        <w:keepLines/>
        <w:pBdr>
          <w:top w:val="nil"/>
          <w:left w:val="nil"/>
          <w:bottom w:val="nil"/>
          <w:right w:val="nil"/>
          <w:between w:val="nil"/>
        </w:pBdr>
        <w:spacing w:line="276" w:lineRule="auto"/>
        <w:ind w:left="187" w:hanging="187"/>
        <w:rPr>
          <w:color w:val="000000"/>
          <w:sz w:val="20"/>
          <w:szCs w:val="20"/>
        </w:rPr>
      </w:pPr>
    </w:p>
    <w:p w:rsidR="000F76AA" w14:paraId="67B069EE" w14:textId="77777777">
      <w:pPr>
        <w:pStyle w:val="Heading2"/>
        <w:spacing w:before="0" w:after="0" w:line="276" w:lineRule="auto"/>
      </w:pPr>
      <w:bookmarkStart w:id="42" w:name="_heading=h.4bvk7pj" w:colFirst="0" w:colLast="0"/>
      <w:bookmarkEnd w:id="42"/>
      <w:r>
        <w:t>15</w:t>
      </w:r>
      <w:r>
        <w:tab/>
        <w:t xml:space="preserve">Explanation for Program Changes or Adjustments </w:t>
      </w:r>
    </w:p>
    <w:p w:rsidR="000F76AA" w14:paraId="1FCE0029" w14:textId="77777777">
      <w:pPr>
        <w:pBdr>
          <w:top w:val="nil"/>
          <w:left w:val="nil"/>
          <w:bottom w:val="nil"/>
          <w:right w:val="nil"/>
          <w:between w:val="nil"/>
        </w:pBdr>
        <w:spacing w:line="276" w:lineRule="auto"/>
        <w:rPr>
          <w:color w:val="000000"/>
        </w:rPr>
      </w:pPr>
      <w:r>
        <w:rPr>
          <w:color w:val="000000"/>
        </w:rPr>
        <w:t>No change in burden is requested, as this is a new information collection.</w:t>
      </w:r>
    </w:p>
    <w:p w:rsidR="000F76AA" w14:paraId="6E1831B3" w14:textId="77777777">
      <w:pPr>
        <w:pStyle w:val="Heading2"/>
        <w:spacing w:before="0" w:after="0" w:line="276" w:lineRule="auto"/>
      </w:pPr>
      <w:bookmarkStart w:id="43" w:name="_heading=h.ihv636" w:colFirst="0" w:colLast="0"/>
      <w:bookmarkEnd w:id="43"/>
    </w:p>
    <w:p w:rsidR="000F76AA" w14:paraId="53A69C94" w14:textId="77777777">
      <w:pPr>
        <w:pStyle w:val="Heading2"/>
        <w:spacing w:before="0" w:after="0" w:line="276" w:lineRule="auto"/>
      </w:pPr>
      <w:bookmarkStart w:id="44" w:name="_heading=h.2r0uhxc" w:colFirst="0" w:colLast="0"/>
      <w:bookmarkEnd w:id="44"/>
      <w:r>
        <w:t>16</w:t>
      </w:r>
      <w:r>
        <w:tab/>
        <w:t>Plans for Tabulation and Publication and Project Time Schedule</w:t>
      </w:r>
    </w:p>
    <w:p w:rsidR="000F76AA" w14:paraId="6F3259B6" w14:textId="77777777">
      <w:pPr>
        <w:pBdr>
          <w:top w:val="nil"/>
          <w:left w:val="nil"/>
          <w:bottom w:val="nil"/>
          <w:right w:val="nil"/>
          <w:between w:val="nil"/>
        </w:pBdr>
        <w:spacing w:line="276" w:lineRule="auto"/>
        <w:rPr>
          <w:b/>
          <w:color w:val="000000"/>
        </w:rPr>
      </w:pPr>
      <w:r>
        <w:rPr>
          <w:color w:val="000000"/>
        </w:rPr>
        <w:t xml:space="preserve">During </w:t>
      </w:r>
      <w:r>
        <w:t>qualitative</w:t>
      </w:r>
      <w:r>
        <w:rPr>
          <w:color w:val="000000"/>
        </w:rPr>
        <w:t xml:space="preserve"> data collection, the Banyan Communications note taker will enter data from the focus group discussion into </w:t>
      </w:r>
      <w:r>
        <w:rPr>
          <w:color w:val="000000"/>
        </w:rPr>
        <w:t>ATLAS.ti</w:t>
      </w:r>
      <w:r>
        <w:rPr>
          <w:color w:val="000000"/>
        </w:rPr>
        <w:t xml:space="preserve">, which will be stored on a password-protected computer. Analysis of the </w:t>
      </w:r>
      <w:r>
        <w:t>focus group</w:t>
      </w:r>
      <w:r>
        <w:rPr>
          <w:color w:val="000000"/>
        </w:rPr>
        <w:t xml:space="preserve"> data will start immediately after completion of data collection and will be conducted under the supervision of a senior staff member with extensive experience in qualitative research. Banyan Communications will conduct thematic or ground theory analysis of the data to understand participants’ reactions to the messages in as rigorous and detailed manner as possible. Banyan Communications will summarize results in a final report. The final report will include key data from the online eligibility and demographic screener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0F76AA" w14:paraId="54E11D2A" w14:textId="77777777">
      <w:pPr>
        <w:pBdr>
          <w:top w:val="nil"/>
          <w:left w:val="nil"/>
          <w:bottom w:val="nil"/>
          <w:right w:val="nil"/>
          <w:between w:val="nil"/>
        </w:pBdr>
        <w:spacing w:line="276" w:lineRule="auto"/>
      </w:pPr>
    </w:p>
    <w:p w:rsidR="000F76AA" w14:paraId="31126E5D" w14:textId="77777777">
      <w:pPr>
        <w:keepNext/>
        <w:keepLines/>
        <w:pBdr>
          <w:top w:val="nil"/>
          <w:left w:val="nil"/>
          <w:bottom w:val="nil"/>
          <w:right w:val="nil"/>
          <w:between w:val="nil"/>
        </w:pBdr>
        <w:spacing w:line="276" w:lineRule="auto"/>
        <w:ind w:left="1260" w:hanging="1260"/>
        <w:rPr>
          <w:b/>
          <w:color w:val="000000"/>
        </w:rPr>
      </w:pPr>
      <w:bookmarkStart w:id="45" w:name="_heading=h.32hioqz" w:colFirst="0" w:colLast="0"/>
      <w:bookmarkEnd w:id="45"/>
    </w:p>
    <w:p w:rsidR="000F76AA" w14:paraId="1BDD9106"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Style w:val="a4"/>
        <w:tblW w:w="7834" w:type="dxa"/>
        <w:tblLayout w:type="fixed"/>
        <w:tblLook w:val="0000"/>
      </w:tblPr>
      <w:tblGrid>
        <w:gridCol w:w="4158"/>
        <w:gridCol w:w="3676"/>
      </w:tblGrid>
      <w:tr w14:paraId="3DB29E11" w14:textId="77777777">
        <w:tblPrEx>
          <w:tblW w:w="7834" w:type="dxa"/>
          <w:tblLayout w:type="fixed"/>
          <w:tblLook w:val="0000"/>
        </w:tblPrEx>
        <w:tc>
          <w:tcPr>
            <w:tcW w:w="4158" w:type="dxa"/>
            <w:tcBorders>
              <w:top w:val="single" w:sz="12" w:space="0" w:color="000000"/>
              <w:bottom w:val="single" w:sz="6" w:space="0" w:color="000000"/>
            </w:tcBorders>
            <w:shd w:val="clear" w:color="auto" w:fill="auto"/>
          </w:tcPr>
          <w:p w:rsidR="000F76AA" w14:paraId="529AEE40"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0F76AA" w14:paraId="2B0FEACC" w14:textId="77777777">
            <w:pPr>
              <w:pBdr>
                <w:top w:val="nil"/>
                <w:left w:val="nil"/>
                <w:bottom w:val="nil"/>
                <w:right w:val="nil"/>
                <w:between w:val="nil"/>
              </w:pBdr>
              <w:spacing w:line="276" w:lineRule="auto"/>
              <w:rPr>
                <w:b/>
                <w:color w:val="000000"/>
              </w:rPr>
            </w:pPr>
            <w:r>
              <w:rPr>
                <w:b/>
                <w:color w:val="000000"/>
              </w:rPr>
              <w:t>Time Schedule</w:t>
            </w:r>
          </w:p>
        </w:tc>
      </w:tr>
      <w:tr w14:paraId="216F4373" w14:textId="77777777">
        <w:tblPrEx>
          <w:tblW w:w="7834" w:type="dxa"/>
          <w:tblLayout w:type="fixed"/>
          <w:tblLook w:val="0000"/>
        </w:tblPrEx>
        <w:tc>
          <w:tcPr>
            <w:tcW w:w="4158" w:type="dxa"/>
            <w:shd w:val="clear" w:color="auto" w:fill="auto"/>
          </w:tcPr>
          <w:p w:rsidR="000F76AA" w14:paraId="6BD6473D"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Pr>
          <w:p w:rsidR="000F76AA" w14:paraId="300FA37B" w14:textId="77777777">
            <w:pPr>
              <w:keepNext/>
              <w:spacing w:line="276" w:lineRule="auto"/>
            </w:pPr>
            <w:r>
              <w:t>April 30, 2024</w:t>
            </w:r>
          </w:p>
        </w:tc>
      </w:tr>
      <w:tr w14:paraId="241966AF" w14:textId="77777777">
        <w:tblPrEx>
          <w:tblW w:w="7834" w:type="dxa"/>
          <w:tblLayout w:type="fixed"/>
          <w:tblLook w:val="0000"/>
        </w:tblPrEx>
        <w:tc>
          <w:tcPr>
            <w:tcW w:w="4158" w:type="dxa"/>
            <w:shd w:val="clear" w:color="auto" w:fill="auto"/>
          </w:tcPr>
          <w:p w:rsidR="000F76AA" w14:paraId="7B705FF6"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Pr>
          <w:p w:rsidR="000F76AA" w14:paraId="6AF10BEF" w14:textId="77777777">
            <w:pPr>
              <w:keepNext/>
              <w:spacing w:line="276" w:lineRule="auto"/>
            </w:pPr>
            <w:r>
              <w:t>Weeks of 5/13, 5/20, 5/27, 6/3, 6/10 of 2024</w:t>
            </w:r>
          </w:p>
        </w:tc>
      </w:tr>
      <w:tr w14:paraId="41CFD1E2" w14:textId="77777777">
        <w:tblPrEx>
          <w:tblW w:w="7834" w:type="dxa"/>
          <w:tblLayout w:type="fixed"/>
          <w:tblLook w:val="0000"/>
        </w:tblPrEx>
        <w:tc>
          <w:tcPr>
            <w:tcW w:w="4158" w:type="dxa"/>
            <w:tcBorders>
              <w:bottom w:val="single" w:sz="12" w:space="0" w:color="000000"/>
            </w:tcBorders>
            <w:shd w:val="clear" w:color="auto" w:fill="auto"/>
          </w:tcPr>
          <w:p w:rsidR="000F76AA" w14:paraId="3B277F9B"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Pr>
          <w:p w:rsidR="000F76AA" w14:paraId="1435D7B2" w14:textId="77777777">
            <w:pPr>
              <w:keepNext/>
              <w:pBdr>
                <w:top w:val="nil"/>
                <w:left w:val="nil"/>
                <w:bottom w:val="nil"/>
                <w:right w:val="nil"/>
                <w:between w:val="nil"/>
              </w:pBdr>
              <w:spacing w:line="276" w:lineRule="auto"/>
              <w:rPr>
                <w:color w:val="000000"/>
              </w:rPr>
            </w:pPr>
            <w:r>
              <w:t>September 18, 2024</w:t>
            </w:r>
          </w:p>
        </w:tc>
      </w:tr>
    </w:tbl>
    <w:p w:rsidR="000F76AA" w14:paraId="2DE403A5" w14:textId="77777777">
      <w:pPr>
        <w:pBdr>
          <w:top w:val="nil"/>
          <w:left w:val="nil"/>
          <w:bottom w:val="nil"/>
          <w:right w:val="nil"/>
          <w:between w:val="nil"/>
        </w:pBdr>
        <w:spacing w:line="276" w:lineRule="auto"/>
        <w:ind w:firstLine="720"/>
        <w:rPr>
          <w:color w:val="000000"/>
        </w:rPr>
      </w:pPr>
      <w:bookmarkStart w:id="46" w:name="_heading=h.1hmsyys" w:colFirst="0" w:colLast="0"/>
      <w:bookmarkEnd w:id="46"/>
    </w:p>
    <w:p w:rsidR="000F76AA" w14:paraId="0493BE88" w14:textId="77777777">
      <w:pPr>
        <w:pStyle w:val="Heading2"/>
        <w:spacing w:before="0" w:after="0" w:line="276" w:lineRule="auto"/>
      </w:pPr>
      <w:bookmarkStart w:id="47" w:name="_heading=h.1664s55" w:colFirst="0" w:colLast="0"/>
      <w:bookmarkEnd w:id="47"/>
      <w:r>
        <w:t>17</w:t>
      </w:r>
      <w:r>
        <w:tab/>
        <w:t>Reason(s) Display of OMB Expiration Date Is Inappropriate</w:t>
      </w:r>
    </w:p>
    <w:p w:rsidR="000F76AA" w14:paraId="1920040E" w14:textId="315A16CE">
      <w:pPr>
        <w:pBdr>
          <w:top w:val="nil"/>
          <w:left w:val="nil"/>
          <w:bottom w:val="nil"/>
          <w:right w:val="nil"/>
          <w:between w:val="nil"/>
        </w:pBdr>
        <w:spacing w:line="276" w:lineRule="auto"/>
        <w:rPr>
          <w:color w:val="000000"/>
        </w:rPr>
      </w:pPr>
      <w:r>
        <w:rPr>
          <w:color w:val="000000"/>
        </w:rPr>
        <w:t xml:space="preserve">The display of the OMB expiration date is not </w:t>
      </w:r>
      <w:r>
        <w:rPr>
          <w:color w:val="000000"/>
        </w:rPr>
        <w:t>inappropriate.</w:t>
      </w:r>
      <w:r w:rsidR="009B4D08">
        <w:rPr>
          <w:color w:val="000000"/>
        </w:rPr>
        <w:t>.</w:t>
      </w:r>
    </w:p>
    <w:p w:rsidR="000F76AA" w14:paraId="49E398E2" w14:textId="77777777">
      <w:pPr>
        <w:pStyle w:val="Heading2"/>
        <w:spacing w:before="0" w:after="0" w:line="276" w:lineRule="auto"/>
      </w:pPr>
      <w:bookmarkStart w:id="48" w:name="_heading=h.2grqrue" w:colFirst="0" w:colLast="0"/>
      <w:bookmarkEnd w:id="48"/>
    </w:p>
    <w:p w:rsidR="000F76AA" w14:paraId="0180AC06" w14:textId="77777777">
      <w:pPr>
        <w:pStyle w:val="Heading2"/>
        <w:spacing w:before="0" w:after="0" w:line="276" w:lineRule="auto"/>
      </w:pPr>
      <w:bookmarkStart w:id="49" w:name="_heading=h.3q5sasy" w:colFirst="0" w:colLast="0"/>
      <w:bookmarkEnd w:id="49"/>
      <w:r>
        <w:t>18</w:t>
      </w:r>
      <w:r>
        <w:tab/>
        <w:t xml:space="preserve">Exceptions to Certification for Paperwork Reduction Act Submissions </w:t>
      </w:r>
    </w:p>
    <w:p w:rsidR="000F76AA" w14:paraId="3ED1BE43" w14:textId="77777777">
      <w:pPr>
        <w:pBdr>
          <w:top w:val="nil"/>
          <w:left w:val="nil"/>
          <w:bottom w:val="nil"/>
          <w:right w:val="nil"/>
          <w:between w:val="nil"/>
        </w:pBdr>
        <w:spacing w:line="276" w:lineRule="auto"/>
        <w:rPr>
          <w:color w:val="000000"/>
        </w:rPr>
      </w:pPr>
      <w:r>
        <w:rPr>
          <w:color w:val="000000"/>
        </w:rPr>
        <w:t>There are no exceptions to the certification.</w:t>
      </w:r>
    </w:p>
    <w:p w:rsidR="000F76AA" w14:paraId="5BE93A62" w14:textId="77777777">
      <w:pPr>
        <w:pStyle w:val="Heading2"/>
        <w:spacing w:before="0" w:after="0" w:line="276" w:lineRule="auto"/>
      </w:pPr>
    </w:p>
    <w:p w:rsidR="000F76AA" w14:paraId="071E4E01" w14:textId="77777777">
      <w:pPr>
        <w:pStyle w:val="Heading2"/>
        <w:spacing w:before="0" w:after="0" w:line="276" w:lineRule="auto"/>
      </w:pPr>
      <w:bookmarkStart w:id="50" w:name="_heading=h.25b2l0r" w:colFirst="0" w:colLast="0"/>
      <w:bookmarkEnd w:id="50"/>
      <w:r>
        <w:t>References</w:t>
      </w:r>
    </w:p>
    <w:p w:rsidR="000F76AA" w14:paraId="57C52067" w14:textId="77777777">
      <w:pPr>
        <w:keepLines/>
        <w:pBdr>
          <w:top w:val="nil"/>
          <w:left w:val="nil"/>
          <w:bottom w:val="nil"/>
          <w:right w:val="nil"/>
          <w:between w:val="nil"/>
        </w:pBdr>
        <w:spacing w:line="276" w:lineRule="auto"/>
        <w:ind w:left="720" w:hanging="720"/>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0F76AA" w14:paraId="658BE06E" w14:textId="77777777">
      <w:pPr>
        <w:keepLines/>
        <w:pBdr>
          <w:top w:val="nil"/>
          <w:left w:val="nil"/>
          <w:bottom w:val="nil"/>
          <w:right w:val="nil"/>
          <w:between w:val="nil"/>
        </w:pBdr>
        <w:spacing w:line="276" w:lineRule="auto"/>
        <w:ind w:left="720" w:hanging="720"/>
        <w:rPr>
          <w:color w:val="222222"/>
          <w:highlight w:val="white"/>
        </w:rPr>
      </w:pPr>
      <w:r>
        <w:rPr>
          <w:color w:val="222222"/>
          <w:highlight w:val="white"/>
        </w:rPr>
        <w:t>Bonevski</w:t>
      </w:r>
      <w:r>
        <w:rPr>
          <w:color w:val="222222"/>
          <w:highlight w:val="white"/>
        </w:rPr>
        <w:t xml:space="preserve">, B., Randell, M., Paul, C., Chapman, K., Twyman, L., Bryant, J., </w:t>
      </w:r>
      <w:r>
        <w:rPr>
          <w:color w:val="222222"/>
          <w:highlight w:val="white"/>
        </w:rPr>
        <w:t>Brozek</w:t>
      </w:r>
      <w:r>
        <w:rPr>
          <w:color w:val="222222"/>
          <w:highlight w:val="white"/>
        </w:rPr>
        <w:t xml:space="preserve">, I., &amp; Hughes, C. (2014). Reaching the hard-to-reach: a systematic review of strategies for improving health and medical research with socially disadvantaged groups. </w:t>
      </w:r>
      <w:r>
        <w:rPr>
          <w:i/>
          <w:color w:val="222222"/>
          <w:highlight w:val="white"/>
        </w:rPr>
        <w:t>BMC medical research methodology</w:t>
      </w:r>
      <w:r>
        <w:rPr>
          <w:color w:val="222222"/>
          <w:highlight w:val="white"/>
        </w:rPr>
        <w:t xml:space="preserve">, 14, 42. </w:t>
      </w:r>
      <w:hyperlink r:id="rId17">
        <w:r>
          <w:rPr>
            <w:color w:val="1155CC"/>
            <w:highlight w:val="white"/>
            <w:u w:val="single"/>
          </w:rPr>
          <w:t>https://doi.org/10.1186/1471-2288-14-42</w:t>
        </w:r>
      </w:hyperlink>
    </w:p>
    <w:p w:rsidR="000F76AA" w14:paraId="7FFBDF58" w14:textId="77777777">
      <w:pPr>
        <w:keepLines/>
        <w:pBdr>
          <w:top w:val="nil"/>
          <w:left w:val="nil"/>
          <w:bottom w:val="nil"/>
          <w:right w:val="nil"/>
          <w:between w:val="nil"/>
        </w:pBdr>
        <w:spacing w:line="276" w:lineRule="auto"/>
        <w:ind w:left="720" w:hanging="720"/>
      </w:pPr>
      <w:r>
        <w:t xml:space="preserve">Castiglioni, L., </w:t>
      </w:r>
      <w:r>
        <w:t>Pforr</w:t>
      </w:r>
      <w:r>
        <w:t xml:space="preserve">, K., &amp; Krieger, U. (2008). The effect of incentives on response rates and panel attrition: Results of a controlled experiment. </w:t>
      </w:r>
      <w:r>
        <w:rPr>
          <w:i/>
        </w:rPr>
        <w:t>Survey Research Methods</w:t>
      </w:r>
      <w:r>
        <w:t>, 2(3), 151-158.</w:t>
      </w:r>
    </w:p>
    <w:p w:rsidR="000F76AA" w14:paraId="468A7580" w14:textId="77777777">
      <w:pPr>
        <w:spacing w:line="276" w:lineRule="auto"/>
        <w:ind w:left="720" w:hanging="720"/>
        <w:rPr>
          <w:color w:val="222222"/>
          <w:highlight w:val="white"/>
        </w:rPr>
      </w:pPr>
      <w:r>
        <w:rPr>
          <w:color w:val="222222"/>
          <w:highlight w:val="white"/>
        </w:rPr>
        <w:t xml:space="preserve">Centers for Disease Control and Prevention. About CDC’s National Wastewater Surveillance System (NWSS). Retrieved from </w:t>
      </w:r>
      <w:hyperlink r:id="rId18">
        <w:r>
          <w:rPr>
            <w:color w:val="1155CC"/>
            <w:highlight w:val="white"/>
            <w:u w:val="single"/>
          </w:rPr>
          <w:t>https://www.cdc.gov/nwss/about.html</w:t>
        </w:r>
      </w:hyperlink>
      <w:r>
        <w:rPr>
          <w:color w:val="222222"/>
          <w:highlight w:val="white"/>
        </w:rPr>
        <w:t>, on November 30, 2023</w:t>
      </w:r>
    </w:p>
    <w:p w:rsidR="000F76AA" w14:paraId="72E63402" w14:textId="77777777">
      <w:pPr>
        <w:spacing w:line="276" w:lineRule="auto"/>
        <w:rPr>
          <w:color w:val="222222"/>
          <w:highlight w:val="white"/>
        </w:rPr>
      </w:pPr>
      <w:r>
        <w:rPr>
          <w:color w:val="222222"/>
          <w:highlight w:val="white"/>
        </w:rPr>
        <w:t xml:space="preserve">Krueger, R. and Casey, M. (2009) </w:t>
      </w:r>
      <w:r>
        <w:rPr>
          <w:i/>
          <w:color w:val="222222"/>
          <w:highlight w:val="white"/>
        </w:rPr>
        <w:t>Focus Groups: A Practical Guide for Applied Research</w:t>
      </w:r>
      <w:r>
        <w:rPr>
          <w:color w:val="222222"/>
          <w:highlight w:val="white"/>
        </w:rPr>
        <w:t xml:space="preserve">. Sage </w:t>
      </w:r>
    </w:p>
    <w:p w:rsidR="000F76AA" w14:paraId="2D81A0D6" w14:textId="77777777">
      <w:pPr>
        <w:spacing w:line="276" w:lineRule="auto"/>
        <w:ind w:firstLine="720"/>
        <w:rPr>
          <w:color w:val="222222"/>
          <w:highlight w:val="white"/>
        </w:rPr>
      </w:pPr>
      <w:r>
        <w:rPr>
          <w:color w:val="222222"/>
          <w:highlight w:val="white"/>
        </w:rPr>
        <w:t>Publications: Thousand Oaks, CA.</w:t>
      </w:r>
    </w:p>
    <w:p w:rsidR="000F76AA" w14:paraId="2DFE1333" w14:textId="77777777">
      <w:pPr>
        <w:spacing w:line="276" w:lineRule="auto"/>
        <w:ind w:left="720" w:hanging="720"/>
        <w:rPr>
          <w:color w:val="222222"/>
          <w:highlight w:val="white"/>
        </w:rPr>
      </w:pPr>
      <w:r>
        <w:rPr>
          <w:color w:val="222222"/>
          <w:highlight w:val="white"/>
        </w:rPr>
        <w:t xml:space="preserve">Lee JY, </w:t>
      </w:r>
      <w:r>
        <w:rPr>
          <w:color w:val="222222"/>
          <w:highlight w:val="white"/>
        </w:rPr>
        <w:t>Divaris</w:t>
      </w:r>
      <w:r>
        <w:rPr>
          <w:color w:val="222222"/>
          <w:highlight w:val="white"/>
        </w:rPr>
        <w:t xml:space="preserve"> K, Rozier RG, Baker D, &amp; Vann WF., Jr (2010). Oral health literacy levels among a </w:t>
      </w:r>
      <w:r>
        <w:rPr>
          <w:color w:val="222222"/>
          <w:highlight w:val="white"/>
        </w:rPr>
        <w:t>low income</w:t>
      </w:r>
      <w:r>
        <w:rPr>
          <w:color w:val="222222"/>
          <w:highlight w:val="white"/>
        </w:rPr>
        <w:t xml:space="preserve"> population (abstract). </w:t>
      </w:r>
      <w:r>
        <w:rPr>
          <w:i/>
          <w:color w:val="222222"/>
          <w:highlight w:val="white"/>
        </w:rPr>
        <w:t xml:space="preserve">J Dent Res </w:t>
      </w:r>
      <w:r>
        <w:rPr>
          <w:color w:val="222222"/>
          <w:highlight w:val="white"/>
        </w:rPr>
        <w:t xml:space="preserve">89(Spec </w:t>
      </w:r>
      <w:r>
        <w:rPr>
          <w:color w:val="222222"/>
          <w:highlight w:val="white"/>
        </w:rPr>
        <w:t>Iss</w:t>
      </w:r>
      <w:r>
        <w:rPr>
          <w:color w:val="222222"/>
          <w:highlight w:val="white"/>
        </w:rPr>
        <w:t xml:space="preserve"> A):1206 [Google Scholar]</w:t>
      </w:r>
    </w:p>
    <w:p w:rsidR="000F76AA" w14:paraId="15C9EB4E" w14:textId="77777777">
      <w:pPr>
        <w:spacing w:line="276" w:lineRule="auto"/>
        <w:rPr>
          <w:color w:val="222222"/>
          <w:highlight w:val="white"/>
        </w:rPr>
      </w:pPr>
      <w:r>
        <w:rPr>
          <w:color w:val="222222"/>
          <w:highlight w:val="white"/>
        </w:rPr>
        <w:t xml:space="preserve">Robinson, K.A., Dennison, C.R., Wayman, D.M., Pronovost, P.J., &amp; Needham, D.M. (2007). Systematic </w:t>
      </w:r>
    </w:p>
    <w:p w:rsidR="000F76AA" w14:paraId="3F565C38" w14:textId="77777777">
      <w:pPr>
        <w:spacing w:line="276" w:lineRule="auto"/>
        <w:ind w:firstLine="720"/>
        <w:rPr>
          <w:i/>
          <w:color w:val="222222"/>
          <w:highlight w:val="white"/>
        </w:rPr>
      </w:pPr>
      <w:r>
        <w:rPr>
          <w:color w:val="222222"/>
          <w:highlight w:val="white"/>
        </w:rPr>
        <w:t xml:space="preserve">review identifies number of strategies important for retaining study participants. </w:t>
      </w:r>
      <w:r>
        <w:rPr>
          <w:i/>
          <w:color w:val="222222"/>
          <w:highlight w:val="white"/>
        </w:rPr>
        <w:t xml:space="preserve">J Clin </w:t>
      </w:r>
    </w:p>
    <w:p w:rsidR="000F76AA" w14:paraId="10AB9411" w14:textId="77777777">
      <w:pPr>
        <w:spacing w:line="276" w:lineRule="auto"/>
        <w:ind w:firstLine="720"/>
        <w:rPr>
          <w:color w:val="222222"/>
          <w:highlight w:val="white"/>
        </w:rPr>
      </w:pPr>
      <w:r>
        <w:rPr>
          <w:i/>
          <w:color w:val="222222"/>
          <w:highlight w:val="white"/>
        </w:rPr>
        <w:t>Epidemiol; 60</w:t>
      </w:r>
      <w:r>
        <w:rPr>
          <w:color w:val="222222"/>
          <w:highlight w:val="white"/>
        </w:rPr>
        <w:t>(8): 757-765.</w:t>
      </w:r>
    </w:p>
    <w:p w:rsidR="000F76AA" w14:paraId="7F0D2C67" w14:textId="77777777">
      <w:pPr>
        <w:spacing w:line="276" w:lineRule="auto"/>
        <w:ind w:left="720" w:hanging="720"/>
        <w:rPr>
          <w:color w:val="222222"/>
          <w:highlight w:val="white"/>
        </w:rPr>
      </w:pPr>
      <w:r>
        <w:t>Shettle</w:t>
      </w:r>
      <w:r>
        <w:t xml:space="preserve">, C., &amp; Mooney, G. (1999). Monetary incentives in U.S. government surveys. </w:t>
      </w:r>
      <w:r>
        <w:rPr>
          <w:i/>
        </w:rPr>
        <w:t>Journal of Official Statistics, 15</w:t>
      </w:r>
      <w:r>
        <w:t>, 231–250.</w:t>
      </w:r>
    </w:p>
    <w:p w:rsidR="000F76AA" w14:paraId="1B554D07" w14:textId="77777777">
      <w:pPr>
        <w:spacing w:line="276" w:lineRule="auto"/>
        <w:rPr>
          <w:i/>
          <w:color w:val="222222"/>
          <w:highlight w:val="white"/>
        </w:rPr>
      </w:pPr>
      <w:r>
        <w:rPr>
          <w:color w:val="222222"/>
          <w:highlight w:val="white"/>
        </w:rPr>
        <w:t xml:space="preserve">Singer, E., N. </w:t>
      </w:r>
      <w:r>
        <w:rPr>
          <w:color w:val="222222"/>
          <w:highlight w:val="white"/>
        </w:rPr>
        <w:t>Gelber</w:t>
      </w:r>
      <w:r>
        <w:rPr>
          <w:color w:val="222222"/>
          <w:highlight w:val="white"/>
        </w:rPr>
        <w:t xml:space="preserve">, J. Van </w:t>
      </w:r>
      <w:r>
        <w:rPr>
          <w:color w:val="222222"/>
          <w:highlight w:val="white"/>
        </w:rPr>
        <w:t>Hoewyk</w:t>
      </w:r>
      <w:r>
        <w:rPr>
          <w:color w:val="222222"/>
          <w:highlight w:val="white"/>
        </w:rPr>
        <w:t xml:space="preserve">, and J. Brown (1997). </w:t>
      </w:r>
      <w:r>
        <w:rPr>
          <w:i/>
          <w:color w:val="222222"/>
          <w:highlight w:val="white"/>
        </w:rPr>
        <w:t xml:space="preserve">Does $10 Equal $10? The Effect of Framing </w:t>
      </w:r>
    </w:p>
    <w:p w:rsidR="000F76AA" w14:paraId="7AA80ACA" w14:textId="7777777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w:t>
      </w:r>
      <w:r>
        <w:rPr>
          <w:color w:val="222222"/>
          <w:highlight w:val="white"/>
        </w:rPr>
        <w:t>Opinion;</w:t>
      </w:r>
      <w:r>
        <w:rPr>
          <w:color w:val="222222"/>
          <w:highlight w:val="white"/>
        </w:rPr>
        <w:t xml:space="preserve"> </w:t>
      </w:r>
    </w:p>
    <w:p w:rsidR="000F76AA" w14:paraId="40904EEC" w14:textId="77777777">
      <w:pPr>
        <w:spacing w:line="276" w:lineRule="auto"/>
        <w:ind w:firstLine="720"/>
        <w:rPr>
          <w:color w:val="222222"/>
          <w:highlight w:val="white"/>
        </w:rPr>
      </w:pPr>
      <w:r>
        <w:rPr>
          <w:color w:val="222222"/>
          <w:highlight w:val="white"/>
        </w:rPr>
        <w:t>Norfolk, VA.</w:t>
      </w:r>
    </w:p>
    <w:p w:rsidR="000F76AA" w14:paraId="5B9F3332" w14:textId="77777777">
      <w:pPr>
        <w:spacing w:line="276" w:lineRule="auto"/>
        <w:rPr>
          <w:color w:val="222222"/>
          <w:highlight w:val="white"/>
        </w:rPr>
      </w:pPr>
      <w:r>
        <w:rPr>
          <w:color w:val="222222"/>
          <w:highlight w:val="white"/>
        </w:rPr>
        <w:t xml:space="preserve">Singer, E., Van </w:t>
      </w:r>
      <w:r>
        <w:rPr>
          <w:color w:val="222222"/>
          <w:highlight w:val="white"/>
        </w:rPr>
        <w:t>Hoewyk</w:t>
      </w:r>
      <w:r>
        <w:rPr>
          <w:color w:val="222222"/>
          <w:highlight w:val="white"/>
        </w:rPr>
        <w:t xml:space="preserve">, J., and Maher, M.P. (2000). Experiments with Incentives in Telephone Surveys. </w:t>
      </w:r>
    </w:p>
    <w:p w:rsidR="000F76AA" w14:paraId="47615B37" w14:textId="77777777">
      <w:pPr>
        <w:spacing w:line="276" w:lineRule="auto"/>
        <w:ind w:firstLine="720"/>
      </w:pPr>
      <w:r>
        <w:rPr>
          <w:i/>
          <w:color w:val="222222"/>
          <w:highlight w:val="white"/>
        </w:rPr>
        <w:t>Public Opinion Quarterly 64</w:t>
      </w:r>
      <w:r>
        <w:rPr>
          <w:color w:val="222222"/>
          <w:highlight w:val="white"/>
        </w:rPr>
        <w:t>(3):171-188.</w:t>
      </w:r>
    </w:p>
    <w:p w:rsidR="000F76AA" w14:paraId="384BA73E" w14:textId="77777777">
      <w:pPr>
        <w:pBdr>
          <w:top w:val="nil"/>
          <w:left w:val="nil"/>
          <w:bottom w:val="nil"/>
          <w:right w:val="nil"/>
          <w:between w:val="nil"/>
        </w:pBdr>
        <w:spacing w:line="276" w:lineRule="auto"/>
        <w:ind w:left="720" w:hanging="720"/>
        <w:rPr>
          <w:color w:val="000000"/>
        </w:rPr>
      </w:pPr>
    </w:p>
    <w:sectPr>
      <w:headerReference w:type="default" r:id="rId19"/>
      <w:footerReference w:type="default" r:id="rId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34B3F2EB" w14:textId="77777777">
    <w:pPr>
      <w:pBdr>
        <w:top w:val="nil"/>
        <w:left w:val="nil"/>
        <w:bottom w:val="nil"/>
        <w:right w:val="nil"/>
        <w:between w:val="nil"/>
      </w:pBdr>
      <w:tabs>
        <w:tab w:val="center" w:pos="4320"/>
        <w:tab w:val="right" w:pos="8640"/>
      </w:tabs>
      <w:jc w:val="right"/>
      <w:rPr>
        <w:color w:val="000000"/>
      </w:rPr>
    </w:pPr>
  </w:p>
  <w:p w:rsidR="000F76AA" w14:paraId="7D34F5C7" w14:textId="77777777">
    <w:pPr>
      <w:pBdr>
        <w:top w:val="nil"/>
        <w:left w:val="nil"/>
        <w:bottom w:val="nil"/>
        <w:right w:val="nil"/>
        <w:between w:val="nil"/>
      </w:pBdr>
      <w:tabs>
        <w:tab w:val="center" w:pos="4320"/>
        <w:tab w:val="right" w:pos="8640"/>
      </w:tabs>
      <w:ind w:right="360"/>
      <w:jc w:val="right"/>
      <w:rPr>
        <w:color w:val="000000"/>
      </w:rPr>
    </w:pPr>
  </w:p>
  <w:p w:rsidR="000F76AA" w14:paraId="0B4020A7" w14:textId="77777777">
    <w:pPr>
      <w:widowControl w:val="0"/>
      <w:pBdr>
        <w:top w:val="nil"/>
        <w:left w:val="nil"/>
        <w:bottom w:val="nil"/>
        <w:right w:val="nil"/>
        <w:between w:val="nil"/>
      </w:pBdr>
      <w:spacing w:line="276" w:lineRule="auto"/>
      <w:rPr>
        <w:color w:val="000000"/>
      </w:rPr>
    </w:pPr>
  </w:p>
  <w:p w:rsidR="000F76AA" w14:paraId="133EDD17" w14:textId="77777777">
    <w:pPr>
      <w:widowControl w:val="0"/>
      <w:pBdr>
        <w:top w:val="nil"/>
        <w:left w:val="nil"/>
        <w:bottom w:val="nil"/>
        <w:right w:val="nil"/>
        <w:between w:val="nil"/>
      </w:pBdr>
      <w:spacing w:line="276" w:lineRule="auto"/>
      <w:rPr>
        <w:color w:val="000000"/>
      </w:rPr>
    </w:pPr>
    <w:r>
      <w:rPr>
        <w:color w:val="000000"/>
        <w:shd w:val="clear" w:color="auto" w:fill="E6E6E6"/>
      </w:rPr>
      <w:fldChar w:fldCharType="begin"/>
    </w:r>
    <w:r>
      <w:rPr>
        <w:color w:val="000000"/>
        <w:shd w:val="clear" w:color="auto" w:fill="E6E6E6"/>
      </w:rPr>
      <w:instrText>PAGE</w:instrText>
    </w:r>
    <w:r w:rsidR="00B7762A">
      <w:rPr>
        <w:color w:val="000000"/>
        <w:shd w:val="clear" w:color="auto" w:fill="E6E6E6"/>
      </w:rPr>
      <w:fldChar w:fldCharType="separate"/>
    </w:r>
    <w:r>
      <w:rPr>
        <w:color w:val="00000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229A6435" w14:textId="77777777">
    <w:pPr>
      <w:pBdr>
        <w:top w:val="nil"/>
        <w:left w:val="nil"/>
        <w:bottom w:val="nil"/>
        <w:right w:val="nil"/>
        <w:between w:val="nil"/>
      </w:pBdr>
      <w:tabs>
        <w:tab w:val="center" w:pos="4320"/>
        <w:tab w:val="right" w:pos="8640"/>
      </w:tabs>
      <w:jc w:val="right"/>
      <w:rPr>
        <w:color w:val="000000"/>
      </w:rPr>
    </w:pPr>
    <w:r>
      <w:rPr>
        <w:color w:val="2B579A"/>
        <w:shd w:val="clear" w:color="auto" w:fill="E6E6E6"/>
      </w:rPr>
      <w:fldChar w:fldCharType="begin"/>
    </w:r>
    <w:r>
      <w:rPr>
        <w:color w:val="2B579A"/>
        <w:shd w:val="clear" w:color="auto" w:fill="E6E6E6"/>
      </w:rPr>
      <w:instrText>PAGE</w:instrText>
    </w:r>
    <w:r w:rsidR="00B7762A">
      <w:rPr>
        <w:color w:val="2B579A"/>
        <w:shd w:val="clear" w:color="auto" w:fill="E6E6E6"/>
      </w:rPr>
      <w:fldChar w:fldCharType="separate"/>
    </w:r>
    <w:r>
      <w:rPr>
        <w:color w:val="2B579A"/>
        <w:shd w:val="clear" w:color="auto" w:fill="E6E6E6"/>
      </w:rP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9486900</wp:posOffset>
              </wp:positionV>
              <wp:extent cx="7858125" cy="352425"/>
              <wp:effectExtent l="0" t="0" r="0" b="0"/>
              <wp:wrapNone/>
              <wp:docPr id="5" name="Rectangle 5"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58125" cy="352425"/>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 o:spid="_x0000_s2049" alt="{&quot;HashCode&quot;:-1089082050,&quot;Height&quot;:792.0,&quot;Width&quot;:612.0,&quot;Placement&quot;:&quot;Footer&quot;,&quot;Index&quot;:&quot;Primary&quot;,&quot;Section&quot;:1,&quot;Top&quot;:0.0,&quot;Left&quot;:0.0}" style="width:618.75pt;height:27.75pt;margin-top:747pt;margin-left:-1in;mso-wrap-distance-bottom:0;mso-wrap-distance-left:9pt;mso-wrap-distance-right:9pt;mso-wrap-distance-top:0;mso-wrap-style:square;position:absolute;visibility:visible;v-text-anchor:bottom;z-index:251659264" filled="f" stroked="f">
              <v:textbox inset="20pt,0,7.2pt,0">
                <w:txbxContent>
                  <w:p w:rsidR="000F76AA" w14:paraId="5E80F1D6"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9499600</wp:posOffset>
              </wp:positionV>
              <wp:extent cx="7848600" cy="349250"/>
              <wp:effectExtent l="0" t="0" r="0" b="0"/>
              <wp:wrapNone/>
              <wp:docPr id="4" name="Rectangle 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48600" cy="349250"/>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 o:spid="_x0000_s2050" alt="{&quot;HashCode&quot;:-1089082050,&quot;Height&quot;:792.0,&quot;Width&quot;:612.0,&quot;Placement&quot;:&quot;Footer&quot;,&quot;Index&quot;:&quot;Primary&quot;,&quot;Section&quot;:1,&quot;Top&quot;:0.0,&quot;Left&quot;:0.0}" style="width:618pt;height:27.5pt;margin-top:748pt;margin-left:-1in;mso-wrap-distance-bottom:0;mso-wrap-distance-left:9pt;mso-wrap-distance-right:9pt;mso-wrap-distance-top:0;mso-wrap-style:square;position:absolute;visibility:visible;v-text-anchor:bottom;z-index:251661312" filled="f" stroked="f">
              <v:textbox inset="20pt,0,7.2pt,0">
                <w:txbxContent>
                  <w:p w:rsidR="000F76AA" w14:paraId="5EF1FD77"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7" name="Rectangle 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7" o:spid="_x0000_s2051" alt="{&quot;HashCode&quot;:-1089082050,&quot;Height&quot;:792.0,&quot;Width&quot;:612.0,&quot;Placement&quot;:&quot;Footer&quot;,&quot;Index&quot;:&quot;Primary&quot;,&quot;Section&quot;:1,&quot;Top&quot;:0.0,&quot;Left&quot;:0.0}" style="width:615.75pt;height:25.25pt;margin-top:751pt;margin-left:-1in;mso-wrap-distance-bottom:0;mso-wrap-distance-left:9pt;mso-wrap-distance-right:9pt;mso-wrap-distance-top:0;mso-wrap-style:square;position:absolute;visibility:visible;v-text-anchor:bottom;z-index:251663360" filled="f" stroked="f">
              <v:textbox inset="20pt,0,7.2pt,0">
                <w:txbxContent>
                  <w:p w:rsidR="000F76AA" w14:paraId="3B14AB6F" w14:textId="77777777">
                    <w:r>
                      <w:rPr>
                        <w:rFonts w:ascii="Calibri" w:eastAsia="Calibri" w:hAnsi="Calibri" w:cs="Calibri"/>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007FF87E" w14:textId="77777777">
    <w:r>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6" name="Rectangle 6"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6" o:spid="_x0000_s2052" alt="{&quot;HashCode&quot;:-1089082050,&quot;Height&quot;:792.0,&quot;Width&quot;:612.0,&quot;Placement&quot;:&quot;Footer&quot;,&quot;Index&quot;:&quot;FirstPage&quot;,&quot;Section&quot;:1,&quot;Top&quot;:0.0,&quot;Left&quot;:0.0}" style="width:615.75pt;height:25.25pt;margin-top:751pt;margin-left:-1in;mso-wrap-distance-bottom:0;mso-wrap-distance-left:9pt;mso-wrap-distance-right:9pt;mso-wrap-distance-top:0;mso-wrap-style:square;position:absolute;visibility:visible;v-text-anchor:bottom;z-index:251665408" filled="f" stroked="f">
              <v:textbox inset="20pt,0,7.2pt,0">
                <w:txbxContent>
                  <w:p w:rsidR="000F76AA" w14:paraId="0C60EEC0" w14:textId="77777777">
                    <w:r>
                      <w:rPr>
                        <w:rFonts w:ascii="Calibri" w:eastAsia="Calibri" w:hAnsi="Calibri" w:cs="Calibri"/>
                        <w:color w:val="000000"/>
                        <w:sz w:val="20"/>
                      </w:rPr>
                      <w:t>Restricted Use/Any User (No encryption)</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2C6A36B4" w14:textId="77777777">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9486900</wp:posOffset>
              </wp:positionV>
              <wp:extent cx="7858125" cy="352425"/>
              <wp:effectExtent l="0" t="0" r="0" b="0"/>
              <wp:wrapNone/>
              <wp:docPr id="2" name="Rectangle 2"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58125" cy="352425"/>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 o:spid="_x0000_s2053" alt="{&quot;HashCode&quot;:-1089082050,&quot;Height&quot;:792.0,&quot;Width&quot;:612.0,&quot;Placement&quot;:&quot;Footer&quot;,&quot;Index&quot;:&quot;Primary&quot;,&quot;Section&quot;:3,&quot;Top&quot;:0.0,&quot;Left&quot;:0.0}" style="width:618.75pt;height:27.75pt;margin-top:747pt;margin-left:-1in;mso-wrap-distance-bottom:0;mso-wrap-distance-left:9pt;mso-wrap-distance-right:9pt;mso-wrap-distance-top:0;mso-wrap-style:square;position:absolute;visibility:visible;v-text-anchor:bottom;z-index:251667456" filled="f" stroked="f">
              <v:textbox inset="20pt,0,7.2pt,0">
                <w:txbxContent>
                  <w:p w:rsidR="000F76AA" w14:paraId="7A0FF372"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-914399</wp:posOffset>
              </wp:positionH>
              <wp:positionV relativeFrom="paragraph">
                <wp:posOffset>9499600</wp:posOffset>
              </wp:positionV>
              <wp:extent cx="7848600" cy="349250"/>
              <wp:effectExtent l="0" t="0" r="0" b="0"/>
              <wp:wrapNone/>
              <wp:docPr id="1" name="Rectangle 1"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48600" cy="349250"/>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 o:spid="_x0000_s2054" alt="{&quot;HashCode&quot;:-1089082050,&quot;Height&quot;:792.0,&quot;Width&quot;:612.0,&quot;Placement&quot;:&quot;Footer&quot;,&quot;Index&quot;:&quot;Primary&quot;,&quot;Section&quot;:3,&quot;Top&quot;:0.0,&quot;Left&quot;:0.0}" style="width:618pt;height:27.5pt;margin-top:748pt;margin-left:-1in;mso-wrap-distance-bottom:0;mso-wrap-distance-left:9pt;mso-wrap-distance-right:9pt;mso-wrap-distance-top:0;mso-wrap-style:square;position:absolute;visibility:visible;v-text-anchor:bottom;z-index:251669504" filled="f" stroked="f">
              <v:textbox inset="20pt,0,7.2pt,0">
                <w:txbxContent>
                  <w:p w:rsidR="000F76AA" w14:paraId="4723C26F"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3" name="Rectangle 3"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0F76AA"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3" o:spid="_x0000_s2055" alt="{&quot;HashCode&quot;:-1089082050,&quot;Height&quot;:792.0,&quot;Width&quot;:612.0,&quot;Placement&quot;:&quot;Footer&quot;,&quot;Index&quot;:&quot;Primary&quot;,&quot;Section&quot;:3,&quot;Top&quot;:0.0,&quot;Left&quot;:0.0}" style="width:615.75pt;height:25.25pt;margin-top:751pt;margin-left:-1in;mso-wrap-distance-bottom:0;mso-wrap-distance-left:9pt;mso-wrap-distance-right:9pt;mso-wrap-distance-top:0;mso-wrap-style:square;position:absolute;visibility:visible;v-text-anchor:bottom;z-index:251671552" filled="f" stroked="f">
              <v:textbox inset="20pt,0,7.2pt,0">
                <w:txbxContent>
                  <w:p w:rsidR="000F76AA" w14:paraId="1442B44B" w14:textId="77777777">
                    <w:r>
                      <w:rPr>
                        <w:rFonts w:ascii="Calibri" w:eastAsia="Calibri" w:hAnsi="Calibri" w:cs="Calibri"/>
                        <w:color w:val="000000"/>
                        <w:sz w:val="20"/>
                      </w:rPr>
                      <w:t>Restricted Use/Any User (No encryption)</w:t>
                    </w:r>
                  </w:p>
                </w:txbxContent>
              </v:textbox>
            </v:rect>
          </w:pict>
        </mc:Fallback>
      </mc:AlternateContent>
    </w:r>
  </w:p>
  <w:p w:rsidR="000F76AA" w14:paraId="06971CD3" w14:textId="77777777">
    <w:pPr>
      <w:widowControl w:val="0"/>
      <w:pBdr>
        <w:top w:val="nil"/>
        <w:left w:val="nil"/>
        <w:bottom w:val="nil"/>
        <w:right w:val="nil"/>
        <w:between w:val="nil"/>
      </w:pBdr>
      <w:spacing w:line="276" w:lineRule="auto"/>
    </w:pPr>
  </w:p>
  <w:p w:rsidR="000F76AA" w14:paraId="37987995" w14:textId="449BA088">
    <w:pPr>
      <w:widowControl w:val="0"/>
      <w:pBdr>
        <w:top w:val="nil"/>
        <w:left w:val="nil"/>
        <w:bottom w:val="nil"/>
        <w:right w:val="nil"/>
        <w:between w:val="nil"/>
      </w:pBdr>
      <w:spacing w:line="276" w:lineRule="auto"/>
      <w:jc w:val="right"/>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381452">
      <w:rPr>
        <w:noProof/>
        <w:color w:val="2B579A"/>
        <w:shd w:val="clear" w:color="auto" w:fill="E6E6E6"/>
      </w:rPr>
      <w:t>2</w:t>
    </w:r>
    <w:r>
      <w:rPr>
        <w:color w:val="2B579A"/>
        <w:shd w:val="clear" w:color="auto" w:fill="E6E6E6"/>
      </w:rPr>
      <w:fldChar w:fldCharType="end"/>
    </w:r>
  </w:p>
  <w:p w:rsidR="000F76AA" w14:paraId="2A1F701D"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4F904CB7"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1D7B270A"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7BA33299" w14:textId="77777777">
    <w:pPr>
      <w:pBdr>
        <w:top w:val="nil"/>
        <w:left w:val="nil"/>
        <w:bottom w:val="nil"/>
        <w:right w:val="nil"/>
        <w:between w:val="nil"/>
      </w:pBdr>
      <w:tabs>
        <w:tab w:val="center" w:pos="4320"/>
        <w:tab w:val="right" w:pos="8640"/>
      </w:tabs>
      <w:rPr>
        <w:color w:val="000000"/>
        <w:sz w:val="24"/>
        <w:szCs w:val="24"/>
      </w:rPr>
    </w:pPr>
    <w:r>
      <w:rPr>
        <w:sz w:val="24"/>
        <w:szCs w:val="24"/>
      </w:rPr>
      <w:t>December 22</w:t>
    </w:r>
    <w:r>
      <w:rPr>
        <w:color w:val="000000"/>
        <w:sz w:val="24"/>
        <w:szCs w:val="24"/>
      </w:rP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6AA" w14:paraId="13CB595B"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7961C9"/>
    <w:multiLevelType w:val="multilevel"/>
    <w:tmpl w:val="FFFFFFFF"/>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nsid w:val="3F9735EF"/>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E727C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076D6D"/>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9D22EC2"/>
    <w:multiLevelType w:val="multilevel"/>
    <w:tmpl w:val="FFFFFFFF"/>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634434778">
    <w:abstractNumId w:val="3"/>
  </w:num>
  <w:num w:numId="2" w16cid:durableId="707992686">
    <w:abstractNumId w:val="2"/>
  </w:num>
  <w:num w:numId="3" w16cid:durableId="1641037694">
    <w:abstractNumId w:val="4"/>
  </w:num>
  <w:num w:numId="4" w16cid:durableId="1043091027">
    <w:abstractNumId w:val="1"/>
  </w:num>
  <w:num w:numId="5" w16cid:durableId="147333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AA"/>
    <w:rsid w:val="00022A54"/>
    <w:rsid w:val="000D0637"/>
    <w:rsid w:val="000F76AA"/>
    <w:rsid w:val="00140E75"/>
    <w:rsid w:val="001426E3"/>
    <w:rsid w:val="00151A17"/>
    <w:rsid w:val="001935F4"/>
    <w:rsid w:val="001A2161"/>
    <w:rsid w:val="001A3647"/>
    <w:rsid w:val="00260BF7"/>
    <w:rsid w:val="003303F7"/>
    <w:rsid w:val="00381452"/>
    <w:rsid w:val="003E169D"/>
    <w:rsid w:val="0040122F"/>
    <w:rsid w:val="00480EF4"/>
    <w:rsid w:val="004A604C"/>
    <w:rsid w:val="004B09D2"/>
    <w:rsid w:val="00555A0C"/>
    <w:rsid w:val="005B721A"/>
    <w:rsid w:val="00630079"/>
    <w:rsid w:val="006A2E50"/>
    <w:rsid w:val="006A35E8"/>
    <w:rsid w:val="006E61A0"/>
    <w:rsid w:val="00704152"/>
    <w:rsid w:val="00782DD1"/>
    <w:rsid w:val="007B5AF8"/>
    <w:rsid w:val="008B3045"/>
    <w:rsid w:val="00965E46"/>
    <w:rsid w:val="009B4D08"/>
    <w:rsid w:val="00A26E81"/>
    <w:rsid w:val="00A57E48"/>
    <w:rsid w:val="00B7762A"/>
    <w:rsid w:val="00B9017A"/>
    <w:rsid w:val="00BA00B6"/>
    <w:rsid w:val="00D437FE"/>
    <w:rsid w:val="00D827FA"/>
    <w:rsid w:val="00E21144"/>
    <w:rsid w:val="00EE72ED"/>
    <w:rsid w:val="00F35710"/>
    <w:rsid w:val="41222DE0"/>
    <w:rsid w:val="43A970E6"/>
    <w:rsid w:val="789D3A81"/>
    <w:rsid w:val="7F2227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5F59C5"/>
  <w15:docId w15:val="{F7642791-D891-4994-90B1-BB745790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uiPriority w:val="9"/>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paragraph" w:styleId="Revision">
    <w:name w:val="Revision"/>
    <w:hidden/>
    <w:uiPriority w:val="99"/>
    <w:semiHidden/>
    <w:rsid w:val="00381452"/>
  </w:style>
  <w:style w:type="character" w:styleId="CommentReference">
    <w:name w:val="annotation reference"/>
    <w:basedOn w:val="DefaultParagraphFont"/>
    <w:uiPriority w:val="99"/>
    <w:semiHidden/>
    <w:unhideWhenUsed/>
    <w:rsid w:val="004A604C"/>
    <w:rPr>
      <w:sz w:val="16"/>
      <w:szCs w:val="16"/>
    </w:rPr>
  </w:style>
  <w:style w:type="paragraph" w:styleId="CommentText">
    <w:name w:val="annotation text"/>
    <w:basedOn w:val="Normal"/>
    <w:link w:val="CommentTextChar"/>
    <w:uiPriority w:val="99"/>
    <w:unhideWhenUsed/>
    <w:rsid w:val="004A604C"/>
    <w:rPr>
      <w:sz w:val="20"/>
      <w:szCs w:val="20"/>
    </w:rPr>
  </w:style>
  <w:style w:type="character" w:customStyle="1" w:styleId="CommentTextChar">
    <w:name w:val="Comment Text Char"/>
    <w:basedOn w:val="DefaultParagraphFont"/>
    <w:link w:val="CommentText"/>
    <w:uiPriority w:val="99"/>
    <w:rsid w:val="004A604C"/>
    <w:rPr>
      <w:sz w:val="20"/>
      <w:szCs w:val="20"/>
    </w:rPr>
  </w:style>
  <w:style w:type="paragraph" w:styleId="CommentSubject">
    <w:name w:val="annotation subject"/>
    <w:basedOn w:val="CommentText"/>
    <w:next w:val="CommentText"/>
    <w:link w:val="CommentSubjectChar"/>
    <w:uiPriority w:val="99"/>
    <w:semiHidden/>
    <w:unhideWhenUsed/>
    <w:rsid w:val="004A604C"/>
    <w:rPr>
      <w:b/>
      <w:bCs/>
    </w:rPr>
  </w:style>
  <w:style w:type="character" w:customStyle="1" w:styleId="CommentSubjectChar">
    <w:name w:val="Comment Subject Char"/>
    <w:basedOn w:val="CommentTextChar"/>
    <w:link w:val="CommentSubject"/>
    <w:uiPriority w:val="99"/>
    <w:semiHidden/>
    <w:rsid w:val="004A6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xkd6@cdc.gov" TargetMode="External" /><Relationship Id="rId15" Type="http://schemas.openxmlformats.org/officeDocument/2006/relationships/hyperlink" Target="mailto:yla4@cdc.gov" TargetMode="External" /><Relationship Id="rId16" Type="http://schemas.openxmlformats.org/officeDocument/2006/relationships/hyperlink" Target="mailto:Kne4@cdc.gov" TargetMode="External" /><Relationship Id="rId17" Type="http://schemas.openxmlformats.org/officeDocument/2006/relationships/hyperlink" Target="https://doi.org/10.1186/1471-2288-14-42" TargetMode="External" /><Relationship Id="rId18" Type="http://schemas.openxmlformats.org/officeDocument/2006/relationships/hyperlink" Target="https://www.cdc.gov/nwss/about.html"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gAZTv03zHhNg/qUDkQteaiqhQ==">CgMxLjAyDmgubDE0b3dwc2dlOGJmMghoLmdqZGd4czIJaC4xZm9iOXRlMgloLjFtcmN1MDkyCWguNDRzaW5pbzIJaC4xNDduMnpyMgloLjNvN2FsbmsyCWguMmV0OTJwMDIJaC40NnIwY28yMgloLjNkeTZ2a20yCWguMmx3YW12djIJaC4xdDNoNXNmMgloLjRkMzRvZzgyCWguMTExa3gzbzIJaC4yczhleW8xMgloLjNsMThmcmgyCWguMjA2aXB6YTIJaC40azY2OG4zMghoLmxueGJ6OTIKaWQuMWtzdjR1djIKaWQuNDRzaW5pbzIJaC4zNW5rdW4yMgloLjJ6YmdpdXcyCGguejMzN3lhMgloLjFlZ3F0MnAyCWguM3lnZWJxaTIJaC4yZGxvbHliMgloLjF5ODEwdHcyCWguNGk3b2pocDIJaC4yeGN5dHBpMghoLnNxeXc2NDIJaC4xY2k5M3hiMgloLjJibjZ3c3gyDmguYWlhZHRpc3VsdWxxMg5oLmNqY292Y3RjaGM5ZjIJaC4zYXM0cG9qMgloLjNjcW1ldHgyCWguNDl4MmlrNTIJaC4xcnZ3cDFxMgloLjJwMmNzcnkyCmlkLjE0N24yenIyCmlkLjNvN2FsbmsyCWguNGJ2azdwajIIaC5paHY2MzYyCWguMnIwdWh4YzIJaC4zMmhpb3F6MgloLjFobXN5eXMyCWguMTY2NHM1NTIJaC4yZ3JxcnVlMgloLjNxNXNhc3kyCWguMjViMmwwcjgAaiAKE3N1Z2dlc3QuNHJoYzRiYm84eXISCVRvbGEgQWluYWogChNzdWdnZXN0LnJsY3VzY2E1MngzEglUb2xhIEFpbmFqIQoUc3VnZ2VzdC4xbTI5bXpiZHpwemgSCVRvbGEgQWluYWogChNzdWdnZXN0Ljg5OG03NzJqem10EglUb2xhIEFpbmFqIQoUc3VnZ2VzdC5xdnY5N2hwbXNkZHcSCVRvbGEgQWluYWohChRzdWdnZXN0Lnk1YWp3MW00aGlhNxIJVG9sYSBBaW5haiEKFHN1Z2dlc3Quam9hZHJtcnZwdDYyEglUb2xhIEFpbmFqIQoUc3VnZ2VzdC5kZHhydWw3ZGVxbXoSCVRvbGEgQWluYWohChRzdWdnZXN0Lmt6M3R3bXVhOWd6ehIJVG9sYSBBaW5hciExX1JJQ0ZvdHpzZ0RRVWc0V3dwVWxvMFJxTnowdlh0NWw=</go:docsCustomData>
</go:gDocsCustomXmlDataStorage>
</file>

<file path=customXml/itemProps1.xml><?xml version="1.0" encoding="utf-8"?>
<ds:datastoreItem xmlns:ds="http://schemas.openxmlformats.org/officeDocument/2006/customXml" ds:itemID="{00855A06-4C59-4B90-AD51-E7B4999B69A7}">
  <ds:schemaRefs>
    <ds:schemaRef ds:uri="http://schemas.microsoft.com/office/2006/metadata/properties"/>
    <ds:schemaRef ds:uri="http://schemas.microsoft.com/office/infopath/2007/PartnerControls"/>
    <ds:schemaRef ds:uri="61f74214-8b94-41ef-82cd-9c478706bf83"/>
    <ds:schemaRef ds:uri="e0613404-b091-417b-9e21-701c5e35c3a6"/>
  </ds:schemaRefs>
</ds:datastoreItem>
</file>

<file path=customXml/itemProps2.xml><?xml version="1.0" encoding="utf-8"?>
<ds:datastoreItem xmlns:ds="http://schemas.openxmlformats.org/officeDocument/2006/customXml" ds:itemID="{8B5B5B0F-BC59-4805-B393-4F23247B3992}">
  <ds:schemaRefs>
    <ds:schemaRef ds:uri="http://schemas.microsoft.com/sharepoint/v3/contenttype/forms"/>
  </ds:schemaRefs>
</ds:datastoreItem>
</file>

<file path=customXml/itemProps3.xml><?xml version="1.0" encoding="utf-8"?>
<ds:datastoreItem xmlns:ds="http://schemas.openxmlformats.org/officeDocument/2006/customXml" ds:itemID="{4C6D3109-CD3C-4529-92AA-1179058F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74214-8b94-41ef-82cd-9c478706bf83"/>
    <ds:schemaRef ds:uri="e0613404-b091-417b-9e21-701c5e35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Amarosa, Deanna (CDC/NCEZID/DIDRI/OD)</dc:creator>
  <cp:lastModifiedBy>Sims, Thelma (CDC/IOD/OS)</cp:lastModifiedBy>
  <cp:revision>2</cp:revision>
  <dcterms:created xsi:type="dcterms:W3CDTF">2024-02-05T16:15:00Z</dcterms:created>
  <dcterms:modified xsi:type="dcterms:W3CDTF">2024-02-05T16:15:00Z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MediaServiceImageTags</vt:lpwstr>
  </property>
  <property fmtid="{D5CDD505-2E9C-101B-9397-08002B2CF9AE}" pid="4" name="MSIP_Label_7b94a7b8-f06c-4dfe-bdcc-9b548fd58c31_ActionId">
    <vt:lpwstr>1bc70b0a-f6d8-4bd9-ad35-b32e40eefeb5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2023-01-25T20:23:37Z</vt:lpwstr>
  </property>
  <property fmtid="{D5CDD505-2E9C-101B-9397-08002B2CF9AE}" pid="10" name="MSIP_Label_7b94a7b8-f06c-4dfe-bdcc-9b548fd58c31_SiteId">
    <vt:lpwstr>9ce70869-60db-44fd-abe8-d2767077fc8f</vt:lpwstr>
  </property>
</Properties>
</file>