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587E8F" w14:paraId="02B917ED" w14:textId="77777777">
      <w:bookmarkStart w:id="0" w:name="_Toc473880015"/>
    </w:p>
    <w:p w:rsidR="00587E8F" w:rsidP="00587E8F" w14:paraId="11D790C7" w14:textId="77777777">
      <w:pPr>
        <w:jc w:val="center"/>
        <w:rPr>
          <w:b/>
        </w:rPr>
      </w:pPr>
    </w:p>
    <w:p w:rsidR="00587E8F" w:rsidRPr="005F75B7" w:rsidP="00587E8F"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587E8F" w14:paraId="636052EB" w14:textId="77777777">
      <w:pPr>
        <w:jc w:val="center"/>
        <w:rPr>
          <w:b/>
          <w:sz w:val="32"/>
          <w:szCs w:val="32"/>
        </w:rPr>
      </w:pPr>
      <w:r w:rsidRPr="005F75B7">
        <w:rPr>
          <w:b/>
          <w:sz w:val="32"/>
          <w:szCs w:val="32"/>
        </w:rPr>
        <w:t>Formative Research and Tool Development</w:t>
      </w:r>
    </w:p>
    <w:p w:rsidR="00587E8F" w:rsidP="00587E8F" w14:paraId="0159E3E8" w14:textId="77777777"/>
    <w:bookmarkEnd w:id="0"/>
    <w:p w:rsidR="00C80931" w:rsidRPr="006C5A42" w:rsidP="00C80931" w14:paraId="6AFEC525" w14:textId="4E44E63B">
      <w:pPr>
        <w:ind w:left="720"/>
        <w:jc w:val="center"/>
        <w:rPr>
          <w:rFonts w:ascii="Arial" w:hAnsi="Arial"/>
        </w:rPr>
      </w:pPr>
      <w:r w:rsidRPr="00C80931">
        <w:rPr>
          <w:b/>
          <w:bCs/>
          <w:sz w:val="48"/>
          <w:szCs w:val="48"/>
        </w:rPr>
        <w:t>Public Health Communications Messages and Materials Testing Focused on Antimicrobial Resistance Among the U.S. General Population Pilot Data Collection Project</w:t>
      </w:r>
    </w:p>
    <w:p w:rsidR="00587E8F" w:rsidRPr="005F75B7" w:rsidP="00587E8F" w14:paraId="7088E949" w14:textId="4ADE14DA">
      <w:pPr>
        <w:pStyle w:val="Heading2"/>
        <w:rPr>
          <w:sz w:val="48"/>
          <w:szCs w:val="48"/>
        </w:rPr>
      </w:pPr>
    </w:p>
    <w:p w:rsidR="00587E8F" w:rsidP="00587E8F" w14:paraId="4F6A8397" w14:textId="77777777">
      <w:pPr>
        <w:spacing w:after="0" w:line="240" w:lineRule="auto"/>
        <w:jc w:val="center"/>
        <w:rPr>
          <w:b/>
        </w:rPr>
      </w:pPr>
    </w:p>
    <w:p w:rsidR="00587E8F" w:rsidRPr="004A13E8" w:rsidP="00587E8F" w14:paraId="444716CA" w14:textId="77777777">
      <w:pPr>
        <w:pStyle w:val="Heading3"/>
      </w:pPr>
      <w:bookmarkStart w:id="1" w:name="_Toc141434876"/>
      <w:r>
        <w:t>OMB Control No. 0920-1154</w:t>
      </w:r>
      <w:bookmarkEnd w:id="1"/>
    </w:p>
    <w:p w:rsidR="00587E8F" w:rsidP="00587E8F" w14:paraId="7642228A" w14:textId="77777777">
      <w:pPr>
        <w:spacing w:after="0" w:line="240" w:lineRule="auto"/>
        <w:jc w:val="center"/>
        <w:rPr>
          <w:b/>
        </w:rPr>
      </w:pPr>
    </w:p>
    <w:p w:rsidR="00587E8F" w:rsidRPr="004A13E8" w:rsidP="00587E8F" w14:paraId="6233FC32" w14:textId="3E59FFAC">
      <w:pPr>
        <w:pStyle w:val="Heading4"/>
      </w:pPr>
      <w:r w:rsidRPr="001D4B6C">
        <w:t xml:space="preserve">July </w:t>
      </w:r>
      <w:r w:rsidR="00A835C5">
        <w:t>2</w:t>
      </w:r>
      <w:r w:rsidRPr="001D4B6C" w:rsidR="001D4B6C">
        <w:t>8</w:t>
      </w:r>
      <w:r w:rsidRPr="001D4B6C">
        <w:t>, 2023</w:t>
      </w:r>
    </w:p>
    <w:p w:rsidR="00587E8F" w:rsidP="00587E8F" w14:paraId="7F5EF1F0" w14:textId="77777777">
      <w:pPr>
        <w:spacing w:after="0" w:line="240" w:lineRule="auto"/>
        <w:jc w:val="center"/>
        <w:rPr>
          <w:b/>
        </w:rPr>
      </w:pPr>
    </w:p>
    <w:p w:rsidR="00587E8F" w:rsidP="00C80931" w14:paraId="34083505" w14:textId="65C04E49">
      <w:pPr>
        <w:spacing w:after="0" w:line="240" w:lineRule="auto"/>
      </w:pPr>
    </w:p>
    <w:p w:rsidR="00C80931" w:rsidP="00C80931" w14:paraId="1D8835DE" w14:textId="77777777">
      <w:pPr>
        <w:spacing w:after="0" w:line="240" w:lineRule="auto"/>
      </w:pPr>
    </w:p>
    <w:p w:rsidR="00C80931" w:rsidP="00C80931" w14:paraId="1C578CC6" w14:textId="77777777">
      <w:pPr>
        <w:spacing w:after="0" w:line="240" w:lineRule="auto"/>
        <w:rPr>
          <w:b/>
        </w:rPr>
      </w:pPr>
    </w:p>
    <w:p w:rsidR="00587E8F" w:rsidP="00587E8F" w14:paraId="39E6CC6B" w14:textId="7DEE1263">
      <w:pPr>
        <w:pStyle w:val="Heading4"/>
      </w:pPr>
      <w:r>
        <w:t xml:space="preserve">Supporting Statement </w:t>
      </w:r>
      <w:r w:rsidR="00411D15">
        <w:t>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456691BF" w14:textId="77777777">
      <w:pPr>
        <w:spacing w:after="0" w:line="240" w:lineRule="auto"/>
        <w:rPr>
          <w:b/>
        </w:rPr>
      </w:pPr>
    </w:p>
    <w:p w:rsidR="00587E8F" w:rsidP="00587E8F" w14:paraId="6AB63B0B" w14:textId="77777777">
      <w:pPr>
        <w:spacing w:after="0" w:line="240" w:lineRule="auto"/>
        <w:rPr>
          <w:b/>
        </w:rPr>
      </w:pPr>
    </w:p>
    <w:p w:rsidR="00587E8F" w:rsidP="00587E8F" w14:paraId="2222EBB1" w14:textId="77777777">
      <w:pPr>
        <w:spacing w:after="0" w:line="240" w:lineRule="auto"/>
        <w:rPr>
          <w:b/>
        </w:rPr>
      </w:pPr>
    </w:p>
    <w:p w:rsidR="00587E8F" w:rsidP="00587E8F" w14:paraId="30B8B88C" w14:textId="77777777">
      <w:pPr>
        <w:pStyle w:val="NoSpacing"/>
        <w:rPr>
          <w:b/>
        </w:rPr>
      </w:pPr>
      <w:r w:rsidRPr="009A79E1">
        <w:rPr>
          <w:b/>
        </w:rPr>
        <w:t xml:space="preserve">Contact: </w:t>
      </w:r>
    </w:p>
    <w:p w:rsidR="00050617" w:rsidRPr="006F445E" w:rsidP="00050617" w14:paraId="74D0430B" w14:textId="5A07734A">
      <w:pPr>
        <w:spacing w:after="0" w:line="240" w:lineRule="auto"/>
      </w:pPr>
      <w:r>
        <w:t>Rudith Vice</w:t>
      </w:r>
    </w:p>
    <w:p w:rsidR="00050617" w:rsidRPr="006F445E" w:rsidP="00050617" w14:paraId="74A8E6DE" w14:textId="77777777">
      <w:pPr>
        <w:spacing w:after="0" w:line="240" w:lineRule="auto"/>
      </w:pPr>
      <w:r w:rsidRPr="006F445E">
        <w:t xml:space="preserve">National Center for Emerging and Zoonotic Infectious Diseases </w:t>
      </w:r>
    </w:p>
    <w:p w:rsidR="00050617" w:rsidRPr="006F445E" w:rsidP="00050617" w14:paraId="0EADC5D1" w14:textId="77777777">
      <w:pPr>
        <w:spacing w:after="0" w:line="240" w:lineRule="auto"/>
      </w:pPr>
      <w:r w:rsidRPr="006F445E">
        <w:t xml:space="preserve">Centers for Disease Control and Prevention </w:t>
      </w:r>
    </w:p>
    <w:p w:rsidR="00050617" w:rsidRPr="006F445E" w:rsidP="00050617" w14:paraId="3B8A9D72" w14:textId="77777777">
      <w:pPr>
        <w:spacing w:after="0" w:line="240" w:lineRule="auto"/>
      </w:pPr>
      <w:r w:rsidRPr="006F445E">
        <w:t xml:space="preserve">1600 Clifton Road, NE </w:t>
      </w:r>
    </w:p>
    <w:p w:rsidR="00050617" w:rsidRPr="006F445E" w:rsidP="00050617" w14:paraId="4FC6F2EF" w14:textId="77777777">
      <w:pPr>
        <w:spacing w:after="0" w:line="240" w:lineRule="auto"/>
      </w:pPr>
      <w:r w:rsidRPr="006F445E">
        <w:t xml:space="preserve">Atlanta, Georgia 30333 </w:t>
      </w:r>
    </w:p>
    <w:p w:rsidR="00050617" w:rsidP="00050617" w14:paraId="1E629078" w14:textId="0897FD3A">
      <w:pPr>
        <w:pStyle w:val="NoSpacing"/>
        <w:rPr>
          <w:rFonts w:eastAsiaTheme="minorEastAsia"/>
          <w:color w:val="0000FF"/>
          <w:u w:val="single"/>
        </w:rPr>
      </w:pPr>
      <w:r>
        <w:rPr>
          <w:rFonts w:eastAsiaTheme="minorEastAsia"/>
        </w:rPr>
        <w:t xml:space="preserve">Email: </w:t>
      </w:r>
      <w:hyperlink r:id="rId8" w:history="1">
        <w:r w:rsidRPr="0004333E">
          <w:rPr>
            <w:rStyle w:val="Hyperlink"/>
            <w:rFonts w:eastAsiaTheme="minorEastAsia"/>
          </w:rPr>
          <w:t>nhr9@cdc.gov</w:t>
        </w:r>
      </w:hyperlink>
      <w:r>
        <w:rPr>
          <w:rFonts w:eastAsiaTheme="minorEastAsia"/>
        </w:rPr>
        <w:t xml:space="preserve"> </w:t>
      </w:r>
    </w:p>
    <w:p w:rsidR="00050617" w:rsidRPr="009A79E1" w:rsidP="00587E8F" w14:paraId="5E967FB4" w14:textId="77777777">
      <w:pPr>
        <w:pStyle w:val="NoSpacing"/>
        <w:rPr>
          <w:b/>
        </w:rPr>
      </w:pPr>
    </w:p>
    <w:p w:rsidR="00587E8F" w:rsidP="00587E8F" w14:paraId="64B08620" w14:textId="1A8C7522">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175D17" w14:paraId="72090611" w14:textId="4F3CD283">
          <w:pPr>
            <w:pStyle w:val="TOC3"/>
            <w:tabs>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41434876" w:history="1">
            <w:r w:rsidRPr="008F36AA">
              <w:rPr>
                <w:rStyle w:val="Hyperlink"/>
                <w:noProof/>
              </w:rPr>
              <w:t>OMB Control No. 0920-1154</w:t>
            </w:r>
            <w:r>
              <w:rPr>
                <w:noProof/>
                <w:webHidden/>
              </w:rPr>
              <w:tab/>
            </w:r>
            <w:r>
              <w:rPr>
                <w:noProof/>
                <w:webHidden/>
              </w:rPr>
              <w:fldChar w:fldCharType="begin"/>
            </w:r>
            <w:r>
              <w:rPr>
                <w:noProof/>
                <w:webHidden/>
              </w:rPr>
              <w:instrText xml:space="preserve"> PAGEREF _Toc141434876 \h </w:instrText>
            </w:r>
            <w:r>
              <w:rPr>
                <w:noProof/>
                <w:webHidden/>
              </w:rPr>
              <w:fldChar w:fldCharType="separate"/>
            </w:r>
            <w:r>
              <w:rPr>
                <w:noProof/>
                <w:webHidden/>
              </w:rPr>
              <w:t>1</w:t>
            </w:r>
            <w:r>
              <w:rPr>
                <w:noProof/>
                <w:webHidden/>
              </w:rPr>
              <w:fldChar w:fldCharType="end"/>
            </w:r>
          </w:hyperlink>
        </w:p>
        <w:p w:rsidR="00175D17" w14:paraId="5F3ABDAC" w14:textId="06BAACA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41434877" w:history="1">
            <w:r w:rsidRPr="008F36AA">
              <w:rPr>
                <w:rStyle w:val="Hyperlink"/>
                <w:noProof/>
              </w:rPr>
              <w:t>1.</w:t>
            </w:r>
            <w:r>
              <w:rPr>
                <w:rFonts w:asciiTheme="minorHAnsi" w:eastAsiaTheme="minorEastAsia" w:hAnsiTheme="minorHAnsi"/>
                <w:noProof/>
                <w:kern w:val="2"/>
                <w:sz w:val="22"/>
                <w14:ligatures w14:val="standardContextual"/>
              </w:rPr>
              <w:tab/>
            </w:r>
            <w:r w:rsidRPr="008F36AA">
              <w:rPr>
                <w:rStyle w:val="Hyperlink"/>
                <w:noProof/>
              </w:rPr>
              <w:t>Respondent Universe and Sampling Methods</w:t>
            </w:r>
            <w:r>
              <w:rPr>
                <w:noProof/>
                <w:webHidden/>
              </w:rPr>
              <w:tab/>
            </w:r>
            <w:r>
              <w:rPr>
                <w:noProof/>
                <w:webHidden/>
              </w:rPr>
              <w:fldChar w:fldCharType="begin"/>
            </w:r>
            <w:r>
              <w:rPr>
                <w:noProof/>
                <w:webHidden/>
              </w:rPr>
              <w:instrText xml:space="preserve"> PAGEREF _Toc141434877 \h </w:instrText>
            </w:r>
            <w:r>
              <w:rPr>
                <w:noProof/>
                <w:webHidden/>
              </w:rPr>
              <w:fldChar w:fldCharType="separate"/>
            </w:r>
            <w:r>
              <w:rPr>
                <w:noProof/>
                <w:webHidden/>
              </w:rPr>
              <w:t>3</w:t>
            </w:r>
            <w:r>
              <w:rPr>
                <w:noProof/>
                <w:webHidden/>
              </w:rPr>
              <w:fldChar w:fldCharType="end"/>
            </w:r>
          </w:hyperlink>
        </w:p>
        <w:p w:rsidR="00175D17" w14:paraId="6B8B674B" w14:textId="309DC3E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41434878" w:history="1">
            <w:r w:rsidRPr="008F36AA">
              <w:rPr>
                <w:rStyle w:val="Hyperlink"/>
                <w:noProof/>
              </w:rPr>
              <w:t>2.</w:t>
            </w:r>
            <w:r>
              <w:rPr>
                <w:rFonts w:asciiTheme="minorHAnsi" w:eastAsiaTheme="minorEastAsia" w:hAnsiTheme="minorHAnsi"/>
                <w:noProof/>
                <w:kern w:val="2"/>
                <w:sz w:val="22"/>
                <w14:ligatures w14:val="standardContextual"/>
              </w:rPr>
              <w:tab/>
            </w:r>
            <w:r w:rsidRPr="008F36AA">
              <w:rPr>
                <w:rStyle w:val="Hyperlink"/>
                <w:noProof/>
              </w:rPr>
              <w:t>Tests of Procedures or Methods to be undertaken</w:t>
            </w:r>
            <w:r>
              <w:rPr>
                <w:noProof/>
                <w:webHidden/>
              </w:rPr>
              <w:tab/>
            </w:r>
            <w:r>
              <w:rPr>
                <w:noProof/>
                <w:webHidden/>
              </w:rPr>
              <w:fldChar w:fldCharType="begin"/>
            </w:r>
            <w:r>
              <w:rPr>
                <w:noProof/>
                <w:webHidden/>
              </w:rPr>
              <w:instrText xml:space="preserve"> PAGEREF _Toc141434878 \h </w:instrText>
            </w:r>
            <w:r>
              <w:rPr>
                <w:noProof/>
                <w:webHidden/>
              </w:rPr>
              <w:fldChar w:fldCharType="separate"/>
            </w:r>
            <w:r>
              <w:rPr>
                <w:noProof/>
                <w:webHidden/>
              </w:rPr>
              <w:t>5</w:t>
            </w:r>
            <w:r>
              <w:rPr>
                <w:noProof/>
                <w:webHidden/>
              </w:rPr>
              <w:fldChar w:fldCharType="end"/>
            </w:r>
          </w:hyperlink>
        </w:p>
        <w:p w:rsidR="00175D17" w14:paraId="5E069318" w14:textId="5C41FF0D">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41434879" w:history="1">
            <w:r w:rsidRPr="008F36AA">
              <w:rPr>
                <w:rStyle w:val="Hyperlink"/>
                <w:noProof/>
              </w:rPr>
              <w:t>3.</w:t>
            </w:r>
            <w:r>
              <w:rPr>
                <w:rFonts w:asciiTheme="minorHAnsi" w:eastAsiaTheme="minorEastAsia" w:hAnsiTheme="minorHAnsi"/>
                <w:noProof/>
                <w:kern w:val="2"/>
                <w:sz w:val="22"/>
                <w14:ligatures w14:val="standardContextual"/>
              </w:rPr>
              <w:tab/>
            </w:r>
            <w:r w:rsidRPr="008F36AA">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_Toc141434879 \h </w:instrText>
            </w:r>
            <w:r>
              <w:rPr>
                <w:noProof/>
                <w:webHidden/>
              </w:rPr>
              <w:fldChar w:fldCharType="separate"/>
            </w:r>
            <w:r>
              <w:rPr>
                <w:noProof/>
                <w:webHidden/>
              </w:rPr>
              <w:t>5</w:t>
            </w:r>
            <w:r>
              <w:rPr>
                <w:noProof/>
                <w:webHidden/>
              </w:rPr>
              <w:fldChar w:fldCharType="end"/>
            </w:r>
          </w:hyperlink>
        </w:p>
        <w:p w:rsidR="00A12917" w:rsidP="00A12917" w14:paraId="383B4AD2" w14:textId="3D45DA75">
          <w:pPr>
            <w:rPr>
              <w:bCs/>
              <w:noProof/>
            </w:rPr>
          </w:pPr>
          <w:r>
            <w:rPr>
              <w:b/>
              <w:bCs/>
              <w:noProof/>
            </w:rPr>
            <w:fldChar w:fldCharType="end"/>
          </w:r>
        </w:p>
      </w:sdtContent>
    </w:sdt>
    <w:p w:rsidR="00175D17" w14:paraId="42232A07" w14:textId="77777777">
      <w:pPr>
        <w:rPr>
          <w:szCs w:val="24"/>
        </w:rPr>
      </w:pPr>
      <w:r>
        <w:rPr>
          <w:szCs w:val="24"/>
        </w:rPr>
        <w:br w:type="page"/>
      </w:r>
    </w:p>
    <w:p w:rsidR="00AB0E46" w:rsidP="00A12917" w14:paraId="3A83C895" w14:textId="4550A6FE">
      <w:r w:rsidRPr="00350C6B">
        <w:rPr>
          <w:szCs w:val="24"/>
        </w:rPr>
        <w:t>The collection of data for this project does not involve statistical methods</w:t>
      </w:r>
      <w:r w:rsidRPr="008F3879" w:rsidR="008F3879">
        <w:t xml:space="preserve"> </w:t>
      </w:r>
      <w:r w:rsidRPr="00350C6B" w:rsidR="008F3879">
        <w:t>and the purpose of the collection is not to make statistical generalizations beyond the respondents included in the study.</w:t>
      </w:r>
      <w:r w:rsidRPr="00366257" w:rsidR="00366257">
        <w:t xml:space="preserve"> </w:t>
      </w:r>
      <w:r w:rsidR="00A4072F">
        <w:t xml:space="preserve"> </w:t>
      </w:r>
    </w:p>
    <w:p w:rsidR="00352CEE" w:rsidP="00DA60AE" w14:paraId="214C4364" w14:textId="77777777">
      <w:pPr>
        <w:pStyle w:val="Heading1"/>
      </w:pPr>
      <w:bookmarkStart w:id="2" w:name="_Toc141434877"/>
      <w:r>
        <w:t>Respondent Universe and Sampling Methods</w:t>
      </w:r>
      <w:bookmarkEnd w:id="2"/>
    </w:p>
    <w:p w:rsidR="00444C82" w:rsidRPr="00444C82" w:rsidP="0076191F" w14:paraId="3C547810" w14:textId="0F2E3284">
      <w:pPr>
        <w:rPr>
          <w:u w:val="single"/>
        </w:rPr>
      </w:pPr>
      <w:r w:rsidRPr="00444C82">
        <w:rPr>
          <w:u w:val="single"/>
        </w:rPr>
        <w:t>Respondents</w:t>
      </w:r>
    </w:p>
    <w:p w:rsidR="0076191F" w:rsidRPr="0076191F" w:rsidP="0076191F" w14:paraId="62BC0AD7" w14:textId="46C5F0D5">
      <w:r w:rsidRPr="002224C9">
        <w:rPr>
          <w:bCs/>
        </w:rPr>
        <w:t xml:space="preserve">The intended audiences for this data collection are </w:t>
      </w:r>
      <w:r w:rsidR="00A158B0">
        <w:rPr>
          <w:bCs/>
        </w:rPr>
        <w:t xml:space="preserve">45 </w:t>
      </w:r>
      <w:r w:rsidRPr="002224C9">
        <w:rPr>
          <w:bCs/>
        </w:rPr>
        <w:t>adults from the U.S. general population, segmented by age</w:t>
      </w:r>
      <w:r w:rsidRPr="004A72F0">
        <w:rPr>
          <w:szCs w:val="24"/>
        </w:rPr>
        <w:t>: 1) Ages 21-30, 2) Ages 31-40, 3), Ages 41-50 4), Ages 51-60, and 5), Ages 61-7</w:t>
      </w:r>
      <w:r w:rsidR="000D1789">
        <w:rPr>
          <w:szCs w:val="24"/>
        </w:rPr>
        <w:t>0</w:t>
      </w:r>
      <w:r w:rsidRPr="004A72F0">
        <w:rPr>
          <w:szCs w:val="24"/>
        </w:rPr>
        <w:t xml:space="preserve"> </w:t>
      </w:r>
      <w:r w:rsidR="000D1789">
        <w:t>(n=9 per audience segment).</w:t>
      </w:r>
      <w:r w:rsidRPr="007C5835" w:rsidR="000D1789">
        <w:t xml:space="preserve"> </w:t>
      </w:r>
      <w:r w:rsidRPr="0076191F">
        <w:t xml:space="preserve">Respondents will be recruited from </w:t>
      </w:r>
      <w:r w:rsidR="00FA45B3">
        <w:t xml:space="preserve">defined geographic areas in </w:t>
      </w:r>
      <w:r w:rsidRPr="0076191F">
        <w:t>the U.S</w:t>
      </w:r>
      <w:r w:rsidR="005F27B3">
        <w:t>.</w:t>
      </w:r>
      <w:r w:rsidRPr="0076191F">
        <w:t xml:space="preserve"> exclud</w:t>
      </w:r>
      <w:r w:rsidR="00FA45B3">
        <w:t>ing</w:t>
      </w:r>
      <w:r w:rsidRPr="0076191F">
        <w:t xml:space="preserve"> residents from the following states: Nebraska, Iowa, Tennessee, Alabama, Illinois, </w:t>
      </w:r>
      <w:r w:rsidRPr="0076191F" w:rsidR="00FC23EE">
        <w:t>New York,</w:t>
      </w:r>
      <w:r w:rsidRPr="0076191F">
        <w:t xml:space="preserve"> and Louisiana.</w:t>
      </w:r>
    </w:p>
    <w:p w:rsidR="0076191F" w:rsidRPr="0076191F" w:rsidP="0076191F" w14:paraId="5033B854" w14:textId="17935A1D">
      <w:pPr>
        <w:rPr>
          <w:u w:val="single"/>
        </w:rPr>
      </w:pPr>
      <w:r w:rsidRPr="0076191F">
        <w:rPr>
          <w:u w:val="single"/>
        </w:rPr>
        <w:t xml:space="preserve">Recruitment </w:t>
      </w:r>
    </w:p>
    <w:p w:rsidR="0076191F" w:rsidRPr="0076191F" w:rsidP="0076191F" w14:paraId="74ED25FF" w14:textId="3A807AFE">
      <w:r>
        <w:t xml:space="preserve">CDC’s contractor will enlist a </w:t>
      </w:r>
      <w:r w:rsidR="006E045E">
        <w:rPr>
          <w:rFonts w:cs="Times New Roman"/>
          <w:szCs w:val="24"/>
        </w:rPr>
        <w:t xml:space="preserve">market research vendor to </w:t>
      </w:r>
      <w:r w:rsidRPr="00F31580" w:rsidR="006E045E">
        <w:rPr>
          <w:rFonts w:cs="Times New Roman"/>
          <w:szCs w:val="24"/>
        </w:rPr>
        <w:t xml:space="preserve">recruit </w:t>
      </w:r>
      <w:r w:rsidR="006E045E">
        <w:rPr>
          <w:rFonts w:cs="Times New Roman"/>
          <w:szCs w:val="24"/>
        </w:rPr>
        <w:t>and manage participant screening.</w:t>
      </w:r>
      <w:r w:rsidRPr="00F31580" w:rsidR="006E045E">
        <w:rPr>
          <w:rFonts w:cs="Times New Roman"/>
          <w:szCs w:val="24"/>
        </w:rPr>
        <w:t xml:space="preserve"> </w:t>
      </w:r>
      <w:r w:rsidRPr="009F5F88" w:rsidR="006E045E">
        <w:rPr>
          <w:szCs w:val="24"/>
        </w:rPr>
        <w:t xml:space="preserve">The vendor will recruit from their national proprietary database of individuals. </w:t>
      </w:r>
      <w:r w:rsidRPr="0076191F" w:rsidR="008B0193">
        <w:t xml:space="preserve">Recruitment of respondents will use a </w:t>
      </w:r>
      <w:r w:rsidR="00BD7C3C">
        <w:t xml:space="preserve">nonprobability-based, </w:t>
      </w:r>
      <w:r w:rsidRPr="0076191F" w:rsidR="008B0193">
        <w:t xml:space="preserve">purposive sampling approach with each participant carefully selected based on qualities and characteristics that reflect the age cohorts within the defined geographic areas. </w:t>
      </w:r>
      <w:r w:rsidR="00987D13">
        <w:rPr>
          <w:bCs/>
        </w:rPr>
        <w:t xml:space="preserve">We anticipate screening 1500 individuals to obtain 45 individuals who will participate in a </w:t>
      </w:r>
      <w:r w:rsidR="004A1ACF">
        <w:rPr>
          <w:bCs/>
        </w:rPr>
        <w:t xml:space="preserve">virtual </w:t>
      </w:r>
      <w:r w:rsidR="00987D13">
        <w:rPr>
          <w:bCs/>
        </w:rPr>
        <w:t xml:space="preserve">60-minute focus group or </w:t>
      </w:r>
      <w:r w:rsidR="004A1ACF">
        <w:rPr>
          <w:bCs/>
        </w:rPr>
        <w:t xml:space="preserve">virtual </w:t>
      </w:r>
      <w:r w:rsidR="00987D13">
        <w:rPr>
          <w:bCs/>
        </w:rPr>
        <w:t xml:space="preserve">30-minute </w:t>
      </w:r>
      <w:r w:rsidR="00EF51F1">
        <w:rPr>
          <w:bCs/>
        </w:rPr>
        <w:t>in-depth-interview (</w:t>
      </w:r>
      <w:r w:rsidR="00987D13">
        <w:rPr>
          <w:bCs/>
        </w:rPr>
        <w:t>IDI</w:t>
      </w:r>
      <w:r w:rsidR="00EF51F1">
        <w:rPr>
          <w:bCs/>
        </w:rPr>
        <w:t>)</w:t>
      </w:r>
      <w:r w:rsidR="00987D13">
        <w:rPr>
          <w:bCs/>
        </w:rPr>
        <w:t xml:space="preserve">. </w:t>
      </w:r>
      <w:r w:rsidRPr="0076191F" w:rsidR="0024306D">
        <w:t>The</w:t>
      </w:r>
      <w:r w:rsidR="0025615B">
        <w:t xml:space="preserve"> vendor will attempt to recruit </w:t>
      </w:r>
      <w:r w:rsidRPr="0076191F" w:rsidR="0024306D">
        <w:t xml:space="preserve">a mix of </w:t>
      </w:r>
      <w:r w:rsidR="007164F9">
        <w:t>diverse</w:t>
      </w:r>
      <w:r w:rsidR="00205032">
        <w:t xml:space="preserve"> participants </w:t>
      </w:r>
      <w:r w:rsidR="0077029E">
        <w:t xml:space="preserve">based on </w:t>
      </w:r>
      <w:r w:rsidRPr="0076191F" w:rsidR="0024306D">
        <w:t xml:space="preserve">gender, education, </w:t>
      </w:r>
      <w:r w:rsidR="0024306D">
        <w:t>geographic</w:t>
      </w:r>
      <w:r w:rsidR="00DB63B9">
        <w:t xml:space="preserve"> location</w:t>
      </w:r>
      <w:r w:rsidR="0024306D">
        <w:t xml:space="preserve">, </w:t>
      </w:r>
      <w:r w:rsidRPr="0076191F" w:rsidR="0024306D">
        <w:t>and ethnicity.</w:t>
      </w:r>
      <w:r w:rsidR="00FD1F76">
        <w:rPr>
          <w:szCs w:val="24"/>
        </w:rPr>
        <w:t xml:space="preserve"> </w:t>
      </w:r>
      <w:r w:rsidRPr="0076191F">
        <w:t>Potential focus group participants will not be oversampled because individual in-depth interviews (IDIs) will be used to supplement any sampling shortages.</w:t>
      </w:r>
    </w:p>
    <w:p w:rsidR="0076191F" w:rsidRPr="0076191F" w:rsidP="00747848" w14:paraId="48D78C0A" w14:textId="6E48B3F4">
      <w:r w:rsidRPr="0076191F">
        <w:t>Recruitment will be conducted via a combination of email and telephone. First, potential participants will be emailed a screener</w:t>
      </w:r>
      <w:r w:rsidR="00B8680F">
        <w:t xml:space="preserve"> (s</w:t>
      </w:r>
      <w:r w:rsidRPr="0076191F">
        <w:t xml:space="preserve">ee </w:t>
      </w:r>
      <w:r w:rsidR="006E4F49">
        <w:t>Attachment A.</w:t>
      </w:r>
      <w:r w:rsidRPr="0076191F">
        <w:t xml:space="preserve"> Recruitment Screener)</w:t>
      </w:r>
      <w:r w:rsidR="007A0474">
        <w:t xml:space="preserve"> to assess eligibility for participation.</w:t>
      </w:r>
      <w:r w:rsidRPr="0076191F">
        <w:t xml:space="preserve"> </w:t>
      </w:r>
      <w:r w:rsidR="00FA5192">
        <w:t>T</w:t>
      </w:r>
      <w:r w:rsidRPr="0076191F">
        <w:t xml:space="preserve">hose who qualify </w:t>
      </w:r>
      <w:r w:rsidR="00D41F4F">
        <w:t xml:space="preserve">will be </w:t>
      </w:r>
      <w:r w:rsidR="00A57C01">
        <w:t>followed up</w:t>
      </w:r>
      <w:r w:rsidRPr="0076191F">
        <w:t xml:space="preserve"> by telephone to verify their answers</w:t>
      </w:r>
      <w:r w:rsidR="00BD1BE3">
        <w:t xml:space="preserve">. </w:t>
      </w:r>
      <w:r w:rsidR="00AB518F">
        <w:t xml:space="preserve">During the recruitment phase, </w:t>
      </w:r>
      <w:r w:rsidR="00852191">
        <w:t>the contractor will provide ongoing screening and recruitment updates to CDC</w:t>
      </w:r>
      <w:r w:rsidR="002E3098">
        <w:t xml:space="preserve"> </w:t>
      </w:r>
      <w:r w:rsidR="00170D9E">
        <w:t xml:space="preserve">and will make </w:t>
      </w:r>
      <w:r w:rsidR="006A6F44">
        <w:t xml:space="preserve">any necessary adjustments </w:t>
      </w:r>
      <w:r w:rsidR="00374FB9">
        <w:t>i</w:t>
      </w:r>
      <w:r w:rsidR="00EF3B9F">
        <w:t>n</w:t>
      </w:r>
      <w:r w:rsidR="00374FB9">
        <w:t xml:space="preserve"> the</w:t>
      </w:r>
      <w:r w:rsidR="00EF3B9F">
        <w:t xml:space="preserve"> recruitment </w:t>
      </w:r>
      <w:r w:rsidR="00374FB9">
        <w:t xml:space="preserve">mix </w:t>
      </w:r>
      <w:r w:rsidR="006A6F44">
        <w:t xml:space="preserve">as needed. </w:t>
      </w:r>
    </w:p>
    <w:p w:rsidR="00B8680F" w:rsidRPr="00B8680F" w:rsidP="00B8680F" w14:paraId="5C0C65F4" w14:textId="77777777">
      <w:pPr>
        <w:rPr>
          <w:u w:val="single"/>
        </w:rPr>
      </w:pPr>
      <w:r w:rsidRPr="00B8680F">
        <w:rPr>
          <w:u w:val="single"/>
        </w:rPr>
        <w:t>Review of Informed Consent Form</w:t>
      </w:r>
    </w:p>
    <w:p w:rsidR="00B8680F" w:rsidRPr="00FA5192" w:rsidP="00B8680F" w14:paraId="62B017F5" w14:textId="4D8DEA85">
      <w:r w:rsidRPr="00FA5192">
        <w:t xml:space="preserve">Participants </w:t>
      </w:r>
      <w:r w:rsidR="00AE2E6E">
        <w:t xml:space="preserve">who are </w:t>
      </w:r>
      <w:r w:rsidR="006E0EC7">
        <w:t xml:space="preserve">screened and </w:t>
      </w:r>
      <w:r w:rsidR="0039016E">
        <w:t xml:space="preserve">deemed eligible </w:t>
      </w:r>
      <w:r w:rsidRPr="00FA5192">
        <w:t xml:space="preserve">will be provided with a Participant Information Sheet and Informed Consent Form </w:t>
      </w:r>
      <w:r w:rsidR="00487C58">
        <w:t>(Attachment</w:t>
      </w:r>
      <w:r w:rsidR="002A3581">
        <w:t>s</w:t>
      </w:r>
      <w:r w:rsidR="00487C58">
        <w:t xml:space="preserve"> B</w:t>
      </w:r>
      <w:r w:rsidR="002A3581">
        <w:t xml:space="preserve"> &amp; F</w:t>
      </w:r>
      <w:r w:rsidR="00487C58">
        <w:t xml:space="preserve">) </w:t>
      </w:r>
      <w:r w:rsidRPr="00FA5192">
        <w:t xml:space="preserve">via email to review and sign electronically. For the electronic documents, only after participants have entered their full name and date of consent on the corresponding line and checked the box accompanying the response that they intend to participate, thereby providing their consent, will they be able to advance to the online and virtual technology </w:t>
      </w:r>
      <w:r w:rsidR="00FB091A">
        <w:t>pre-</w:t>
      </w:r>
      <w:r w:rsidRPr="00FA5192">
        <w:t xml:space="preserve">check. </w:t>
      </w:r>
      <w:bookmarkStart w:id="3" w:name="_Int_c1plM89m"/>
      <w:r w:rsidRPr="00FA5192">
        <w:t>Participants will be able to download a PDF copy of the consent form for their records.</w:t>
      </w:r>
      <w:bookmarkEnd w:id="3"/>
      <w:r w:rsidRPr="00FA5192">
        <w:t xml:space="preserve"> </w:t>
      </w:r>
    </w:p>
    <w:p w:rsidR="00B8680F" w:rsidRPr="00FA5192" w:rsidP="00B8680F" w14:paraId="2C6A5125" w14:textId="4B3D3EF6">
      <w:pPr>
        <w:rPr>
          <w:u w:val="single"/>
        </w:rPr>
      </w:pPr>
      <w:r w:rsidRPr="00FA5192">
        <w:rPr>
          <w:u w:val="single"/>
        </w:rPr>
        <w:t xml:space="preserve">Technology </w:t>
      </w:r>
      <w:r w:rsidR="006A7305">
        <w:rPr>
          <w:u w:val="single"/>
        </w:rPr>
        <w:t>Pre-</w:t>
      </w:r>
      <w:r w:rsidRPr="00FA5192">
        <w:rPr>
          <w:u w:val="single"/>
        </w:rPr>
        <w:t>Check</w:t>
      </w:r>
    </w:p>
    <w:p w:rsidR="00352CEE" w:rsidRPr="003A3932" w:rsidP="00193400" w14:paraId="214C4366" w14:textId="6A8C1A8E">
      <w:r w:rsidRPr="00FA5192">
        <w:t xml:space="preserve">Focus group and IDI participants will be asked to complete a </w:t>
      </w:r>
      <w:r w:rsidR="00981FAD">
        <w:t xml:space="preserve">15-minute </w:t>
      </w:r>
      <w:r w:rsidRPr="00FA5192">
        <w:t xml:space="preserve">technology </w:t>
      </w:r>
      <w:r w:rsidR="00491C2D">
        <w:t>pre-</w:t>
      </w:r>
      <w:r w:rsidRPr="00FA5192">
        <w:t>check through Zoom Video Communications, Inc., a web-hosting platform, at least one day prior to their focus group or IDI</w:t>
      </w:r>
      <w:r w:rsidR="003C380C">
        <w:t xml:space="preserve"> (</w:t>
      </w:r>
      <w:r w:rsidR="00BC0A0C">
        <w:t xml:space="preserve">see </w:t>
      </w:r>
      <w:r w:rsidR="00572DA6">
        <w:t xml:space="preserve">Attachment </w:t>
      </w:r>
      <w:r w:rsidR="00BC0A0C">
        <w:t>D. Technology Pre-check)</w:t>
      </w:r>
      <w:r w:rsidRPr="00FA5192">
        <w:t xml:space="preserve">. Instructions for how to use Zoom will be provided </w:t>
      </w:r>
      <w:r w:rsidRPr="00FA5192">
        <w:t>when participants are scheduled for their respective focus group</w:t>
      </w:r>
      <w:r w:rsidR="00491C2D">
        <w:t>/IDI</w:t>
      </w:r>
      <w:r w:rsidRPr="00FA5192">
        <w:t>. During the technology check, participants will be provided with instructions on when and how to access the virtual Zoom focus group</w:t>
      </w:r>
      <w:r w:rsidR="00BB2522">
        <w:t>/IDI</w:t>
      </w:r>
      <w:r w:rsidRPr="00FA5192">
        <w:t xml:space="preserve">. Participants will be issued a pseudonym and provided instructions on how to change their screen name. </w:t>
      </w:r>
      <w:r w:rsidRPr="003A3932">
        <w:t>Procedures for the Collection of Information</w:t>
      </w:r>
    </w:p>
    <w:p w:rsidR="00444C82" w:rsidRPr="00444C82" w:rsidP="00F6661E" w14:paraId="5E16B3E2" w14:textId="114C8BA3">
      <w:pPr>
        <w:rPr>
          <w:u w:val="single"/>
        </w:rPr>
      </w:pPr>
      <w:r w:rsidRPr="00444C82">
        <w:rPr>
          <w:u w:val="single"/>
        </w:rPr>
        <w:t>Collection of Information</w:t>
      </w:r>
    </w:p>
    <w:p w:rsidR="00EC61A7" w:rsidRPr="00BC09E8" w:rsidP="00EC61A7" w14:paraId="6F739962" w14:textId="168276AE">
      <w:r>
        <w:t xml:space="preserve">Data will be collected by the contractor through </w:t>
      </w:r>
      <w:r w:rsidRPr="00920978">
        <w:t xml:space="preserve">staggered </w:t>
      </w:r>
      <w:r>
        <w:t xml:space="preserve">virtual </w:t>
      </w:r>
      <w:r w:rsidRPr="00920978">
        <w:t>focus groups.</w:t>
      </w:r>
      <w:r>
        <w:t xml:space="preserve"> Respondents for this project will be a maximum of 45 individuals</w:t>
      </w:r>
      <w:r w:rsidR="00D968DB">
        <w:t xml:space="preserve"> (n=9 per audience segment)</w:t>
      </w:r>
      <w:r>
        <w:t>.</w:t>
      </w:r>
      <w:r w:rsidRPr="007C5835">
        <w:t xml:space="preserve"> </w:t>
      </w:r>
      <w:r w:rsidRPr="003F459A">
        <w:rPr>
          <w:rFonts w:eastAsiaTheme="minorEastAsia" w:cs="Times New Roman"/>
          <w:color w:val="000000" w:themeColor="text1"/>
        </w:rPr>
        <w:t>Up to two staggered</w:t>
      </w:r>
      <w:r w:rsidRPr="003F459A">
        <w:rPr>
          <w:rFonts w:eastAsiaTheme="minorEastAsia" w:cs="Times New Roman"/>
        </w:rPr>
        <w:t xml:space="preserve"> focus groups per audience segment will be coordinated consisting of one group of up to 4 adults (n=4) and another group of up 5 adults (n=5)</w:t>
      </w:r>
      <w:r w:rsidRPr="003F459A">
        <w:rPr>
          <w:rFonts w:eastAsiaTheme="minorEastAsia" w:cs="Times New Roman"/>
          <w:i/>
          <w:iCs/>
        </w:rPr>
        <w:t xml:space="preserve"> </w:t>
      </w:r>
      <w:r w:rsidRPr="003F459A">
        <w:rPr>
          <w:rFonts w:eastAsiaTheme="minorEastAsia" w:cs="Times New Roman"/>
        </w:rPr>
        <w:t>(n=9 per gen</w:t>
      </w:r>
      <w:r w:rsidR="007B50B4">
        <w:rPr>
          <w:rFonts w:eastAsiaTheme="minorEastAsia" w:cs="Times New Roman"/>
        </w:rPr>
        <w:t>eral</w:t>
      </w:r>
      <w:r w:rsidRPr="003F459A">
        <w:rPr>
          <w:rFonts w:eastAsiaTheme="minorEastAsia" w:cs="Times New Roman"/>
        </w:rPr>
        <w:t xml:space="preserve"> pop</w:t>
      </w:r>
      <w:r w:rsidR="007B50B4">
        <w:rPr>
          <w:rFonts w:eastAsiaTheme="minorEastAsia" w:cs="Times New Roman"/>
        </w:rPr>
        <w:t>ulation</w:t>
      </w:r>
      <w:r w:rsidRPr="003F459A">
        <w:rPr>
          <w:rFonts w:eastAsiaTheme="minorEastAsia" w:cs="Times New Roman"/>
        </w:rPr>
        <w:t xml:space="preserve"> focus group audience; see Table</w:t>
      </w:r>
      <w:r w:rsidR="00181775">
        <w:rPr>
          <w:rFonts w:eastAsiaTheme="minorEastAsia" w:cs="Times New Roman"/>
        </w:rPr>
        <w:t xml:space="preserve"> 1</w:t>
      </w:r>
      <w:r w:rsidRPr="003F459A">
        <w:rPr>
          <w:rFonts w:eastAsiaTheme="minorEastAsia" w:cs="Times New Roman"/>
        </w:rPr>
        <w:t xml:space="preserve">). </w:t>
      </w:r>
      <w:r w:rsidRPr="003F459A">
        <w:rPr>
          <w:rFonts w:eastAsiaTheme="minorEastAsia" w:cs="Times New Roman"/>
          <w:color w:val="000000" w:themeColor="text1"/>
        </w:rPr>
        <w:t>To compensate for potential focus group dropouts or no shows and ensure a</w:t>
      </w:r>
      <w:r>
        <w:rPr>
          <w:rFonts w:eastAsiaTheme="minorEastAsia" w:cs="Times New Roman"/>
          <w:color w:val="000000" w:themeColor="text1"/>
        </w:rPr>
        <w:t>n</w:t>
      </w:r>
      <w:r w:rsidRPr="003F459A">
        <w:rPr>
          <w:rFonts w:eastAsiaTheme="minorEastAsia" w:cs="Times New Roman"/>
          <w:color w:val="000000" w:themeColor="text1"/>
        </w:rPr>
        <w:t xml:space="preserve"> n=9 per audience segment, </w:t>
      </w:r>
      <w:r>
        <w:rPr>
          <w:rFonts w:eastAsiaTheme="minorEastAsia" w:cs="Times New Roman"/>
          <w:color w:val="000000" w:themeColor="text1"/>
        </w:rPr>
        <w:t>the contractor will conduct virtual IDIs if needed to</w:t>
      </w:r>
      <w:r w:rsidRPr="003F459A">
        <w:rPr>
          <w:rFonts w:eastAsiaTheme="minorEastAsia" w:cs="Times New Roman"/>
          <w:color w:val="000000" w:themeColor="text1"/>
        </w:rPr>
        <w:t xml:space="preserve"> ensure reaching n=9</w:t>
      </w:r>
      <w:r w:rsidRPr="003F459A">
        <w:rPr>
          <w:rFonts w:eastAsiaTheme="minorEastAsia" w:cs="Times New Roman"/>
        </w:rPr>
        <w:t>.</w:t>
      </w:r>
      <w:r w:rsidRPr="004819FE">
        <w:rPr>
          <w:szCs w:val="24"/>
        </w:rPr>
        <w:t xml:space="preserve"> </w:t>
      </w:r>
      <w:r w:rsidRPr="004A72F0">
        <w:rPr>
          <w:szCs w:val="24"/>
        </w:rPr>
        <w:t xml:space="preserve">The focus group dropout contingency plan will not impact the sample sizes within each target population; however, the method of data collection would be transferred from focus group to virtual IDI. Method of data collection assignment based on needs and age will be determined following recruitment </w:t>
      </w:r>
      <w:r w:rsidRPr="00F31580">
        <w:rPr>
          <w:rFonts w:cs="Times New Roman"/>
        </w:rPr>
        <w:t>(A</w:t>
      </w:r>
      <w:r>
        <w:rPr>
          <w:rFonts w:cs="Times New Roman"/>
        </w:rPr>
        <w:t>ttachment</w:t>
      </w:r>
      <w:r w:rsidRPr="00F31580">
        <w:rPr>
          <w:rFonts w:cs="Times New Roman"/>
        </w:rPr>
        <w:t xml:space="preserve"> A. Recruitment Screener).</w:t>
      </w:r>
      <w:r w:rsidR="00F31227">
        <w:rPr>
          <w:rFonts w:cs="Times New Roman"/>
        </w:rPr>
        <w:t xml:space="preserve"> </w:t>
      </w:r>
      <w:r w:rsidR="002073A2">
        <w:rPr>
          <w:rFonts w:cs="Times New Roman"/>
        </w:rPr>
        <w:t xml:space="preserve">Focus groups will last 60-minutes and IDIs will last </w:t>
      </w:r>
      <w:r w:rsidR="00A7157E">
        <w:rPr>
          <w:rFonts w:cs="Times New Roman"/>
        </w:rPr>
        <w:t>30</w:t>
      </w:r>
      <w:r w:rsidR="002073A2">
        <w:rPr>
          <w:rFonts w:cs="Times New Roman"/>
        </w:rPr>
        <w:t>-minutes; both will be conducted in English</w:t>
      </w:r>
      <w:r w:rsidR="00E261E7">
        <w:rPr>
          <w:rFonts w:cs="Times New Roman"/>
        </w:rPr>
        <w:t xml:space="preserve"> only</w:t>
      </w:r>
      <w:r w:rsidR="002073A2">
        <w:rPr>
          <w:rFonts w:cs="Times New Roman"/>
        </w:rPr>
        <w:t xml:space="preserve">. </w:t>
      </w:r>
    </w:p>
    <w:p w:rsidR="00FA01E1" w:rsidRPr="00E3053C" w:rsidP="00FA01E1" w14:paraId="4A288BC8" w14:textId="32CB747C">
      <w:pPr>
        <w:rPr>
          <w:rFonts w:eastAsiaTheme="minorEastAsia" w:cs="Times New Roman"/>
          <w:b/>
          <w:bCs/>
          <w:sz w:val="22"/>
        </w:rPr>
      </w:pPr>
      <w:r w:rsidRPr="00E3053C">
        <w:rPr>
          <w:rFonts w:eastAsiaTheme="minorEastAsia" w:cs="Times New Roman"/>
          <w:b/>
          <w:bCs/>
          <w:sz w:val="22"/>
        </w:rPr>
        <w:t>Table</w:t>
      </w:r>
      <w:r w:rsidR="00181775">
        <w:rPr>
          <w:rFonts w:eastAsiaTheme="minorEastAsia" w:cs="Times New Roman"/>
          <w:b/>
          <w:bCs/>
          <w:sz w:val="22"/>
        </w:rPr>
        <w:t xml:space="preserve"> 1</w:t>
      </w:r>
      <w:r w:rsidRPr="00E3053C">
        <w:rPr>
          <w:rFonts w:eastAsiaTheme="minorEastAsia" w:cs="Times New Roman"/>
          <w:b/>
          <w:bCs/>
          <w:sz w:val="22"/>
        </w:rPr>
        <w:t>. Pre-recruitment overall participant distribution</w:t>
      </w:r>
    </w:p>
    <w:tbl>
      <w:tblPr>
        <w:tblStyle w:val="TableGrid"/>
        <w:tblW w:w="9407" w:type="dxa"/>
        <w:tblLayout w:type="fixed"/>
        <w:tblLook w:val="06A0"/>
      </w:tblPr>
      <w:tblGrid>
        <w:gridCol w:w="3165"/>
        <w:gridCol w:w="1916"/>
        <w:gridCol w:w="1446"/>
        <w:gridCol w:w="2880"/>
      </w:tblGrid>
      <w:tr w14:paraId="70FFC2D4" w14:textId="77777777" w:rsidTr="003F459A">
        <w:tblPrEx>
          <w:tblW w:w="9407" w:type="dxa"/>
          <w:tblLayout w:type="fixed"/>
          <w:tblLook w:val="06A0"/>
        </w:tblPrEx>
        <w:trPr>
          <w:trHeight w:val="589"/>
        </w:trPr>
        <w:tc>
          <w:tcPr>
            <w:tcW w:w="3165" w:type="dxa"/>
            <w:shd w:val="clear" w:color="auto" w:fill="4C145E"/>
          </w:tcPr>
          <w:p w:rsidR="00FA01E1" w:rsidRPr="00E3053C" w:rsidP="003F459A" w14:paraId="10875219" w14:textId="77777777">
            <w:pPr>
              <w:rPr>
                <w:rFonts w:eastAsiaTheme="minorEastAsia" w:cs="Times New Roman"/>
                <w:color w:val="FFFFFF" w:themeColor="background1"/>
                <w:sz w:val="22"/>
              </w:rPr>
            </w:pPr>
            <w:r w:rsidRPr="00E3053C">
              <w:rPr>
                <w:rFonts w:eastAsiaTheme="minorEastAsia" w:cs="Times New Roman"/>
                <w:color w:val="FFFFFF" w:themeColor="background1"/>
                <w:sz w:val="22"/>
              </w:rPr>
              <w:t>Participant Category</w:t>
            </w:r>
          </w:p>
        </w:tc>
        <w:tc>
          <w:tcPr>
            <w:tcW w:w="1916" w:type="dxa"/>
            <w:shd w:val="clear" w:color="auto" w:fill="4C145E"/>
          </w:tcPr>
          <w:p w:rsidR="00FA01E1" w:rsidRPr="00E3053C" w:rsidP="003F459A" w14:paraId="326545C6" w14:textId="77777777">
            <w:pPr>
              <w:spacing w:line="257" w:lineRule="auto"/>
              <w:jc w:val="center"/>
              <w:rPr>
                <w:rFonts w:eastAsiaTheme="minorEastAsia" w:cs="Times New Roman"/>
                <w:color w:val="FFFFFF" w:themeColor="background1"/>
                <w:sz w:val="22"/>
              </w:rPr>
            </w:pPr>
            <w:r w:rsidRPr="00E3053C">
              <w:rPr>
                <w:rFonts w:eastAsiaTheme="minorEastAsia" w:cs="Times New Roman"/>
                <w:color w:val="FFFFFF" w:themeColor="background1"/>
                <w:sz w:val="22"/>
              </w:rPr>
              <w:t>Number of Focus Groups</w:t>
            </w:r>
          </w:p>
        </w:tc>
        <w:tc>
          <w:tcPr>
            <w:tcW w:w="1446" w:type="dxa"/>
            <w:shd w:val="clear" w:color="auto" w:fill="4C145E"/>
          </w:tcPr>
          <w:p w:rsidR="00FA01E1" w:rsidRPr="00E3053C" w:rsidP="003F459A" w14:paraId="72329BB6" w14:textId="77777777">
            <w:pPr>
              <w:spacing w:line="257" w:lineRule="auto"/>
              <w:jc w:val="center"/>
              <w:rPr>
                <w:rFonts w:eastAsiaTheme="minorEastAsia" w:cs="Times New Roman"/>
                <w:color w:val="FFFFFF" w:themeColor="background1"/>
                <w:sz w:val="22"/>
              </w:rPr>
            </w:pPr>
            <w:r w:rsidRPr="00E3053C">
              <w:rPr>
                <w:rFonts w:eastAsiaTheme="minorEastAsia" w:cs="Times New Roman"/>
                <w:color w:val="FFFFFF" w:themeColor="background1"/>
                <w:sz w:val="22"/>
              </w:rPr>
              <w:t>N (min/max)</w:t>
            </w:r>
          </w:p>
        </w:tc>
        <w:tc>
          <w:tcPr>
            <w:tcW w:w="2880" w:type="dxa"/>
            <w:shd w:val="clear" w:color="auto" w:fill="4C145E"/>
          </w:tcPr>
          <w:p w:rsidR="00FA01E1" w:rsidRPr="00E3053C" w:rsidP="003F459A" w14:paraId="1A8C8CB5" w14:textId="77777777">
            <w:pPr>
              <w:jc w:val="center"/>
              <w:rPr>
                <w:rFonts w:eastAsiaTheme="minorEastAsia" w:cs="Times New Roman"/>
                <w:color w:val="FFFFFF" w:themeColor="background1"/>
                <w:sz w:val="22"/>
              </w:rPr>
            </w:pPr>
            <w:r w:rsidRPr="00E3053C">
              <w:rPr>
                <w:rFonts w:eastAsiaTheme="minorEastAsia" w:cs="Times New Roman"/>
                <w:color w:val="FFFFFF" w:themeColor="background1"/>
                <w:sz w:val="22"/>
              </w:rPr>
              <w:t>Method of Virtual</w:t>
            </w:r>
          </w:p>
          <w:p w:rsidR="00FA01E1" w:rsidRPr="00E3053C" w:rsidP="003F459A" w14:paraId="1CFEAB56" w14:textId="77777777">
            <w:pPr>
              <w:jc w:val="center"/>
              <w:rPr>
                <w:rFonts w:eastAsiaTheme="minorEastAsia" w:cs="Times New Roman"/>
                <w:color w:val="FFFFFF" w:themeColor="background1"/>
                <w:sz w:val="22"/>
              </w:rPr>
            </w:pPr>
            <w:r w:rsidRPr="00E3053C">
              <w:rPr>
                <w:rFonts w:eastAsiaTheme="minorEastAsia" w:cs="Times New Roman"/>
                <w:color w:val="FFFFFF" w:themeColor="background1"/>
                <w:sz w:val="22"/>
              </w:rPr>
              <w:t>Data Collection</w:t>
            </w:r>
          </w:p>
        </w:tc>
      </w:tr>
      <w:tr w14:paraId="7FCE5D40" w14:textId="77777777" w:rsidTr="003F459A">
        <w:tblPrEx>
          <w:tblW w:w="9407" w:type="dxa"/>
          <w:tblLayout w:type="fixed"/>
          <w:tblLook w:val="06A0"/>
        </w:tblPrEx>
        <w:trPr>
          <w:trHeight w:val="275"/>
        </w:trPr>
        <w:tc>
          <w:tcPr>
            <w:tcW w:w="3165" w:type="dxa"/>
          </w:tcPr>
          <w:p w:rsidR="00FA01E1" w:rsidRPr="00E3053C" w:rsidP="003F459A" w14:paraId="1EE22EE3" w14:textId="77777777">
            <w:pPr>
              <w:rPr>
                <w:rFonts w:eastAsiaTheme="minorEastAsia" w:cs="Times New Roman"/>
                <w:sz w:val="22"/>
              </w:rPr>
            </w:pPr>
            <w:r w:rsidRPr="00E3053C">
              <w:rPr>
                <w:rFonts w:eastAsiaTheme="minorEastAsia" w:cs="Times New Roman"/>
                <w:sz w:val="22"/>
              </w:rPr>
              <w:t xml:space="preserve">Ages 21-30 general population  </w:t>
            </w:r>
          </w:p>
        </w:tc>
        <w:tc>
          <w:tcPr>
            <w:tcW w:w="1916" w:type="dxa"/>
          </w:tcPr>
          <w:p w:rsidR="00FA01E1" w:rsidRPr="00E3053C" w:rsidP="003F459A" w14:paraId="662D7548" w14:textId="77777777">
            <w:pPr>
              <w:jc w:val="center"/>
              <w:rPr>
                <w:rFonts w:eastAsiaTheme="minorEastAsia" w:cs="Times New Roman"/>
                <w:sz w:val="22"/>
              </w:rPr>
            </w:pPr>
            <w:r w:rsidRPr="00E3053C">
              <w:rPr>
                <w:rFonts w:eastAsiaTheme="minorEastAsia" w:cs="Times New Roman"/>
                <w:sz w:val="22"/>
              </w:rPr>
              <w:t>2 (n=4, n=5)</w:t>
            </w:r>
          </w:p>
        </w:tc>
        <w:tc>
          <w:tcPr>
            <w:tcW w:w="1446" w:type="dxa"/>
          </w:tcPr>
          <w:p w:rsidR="00FA01E1" w:rsidRPr="00E3053C" w:rsidP="003F459A" w14:paraId="78F93B8C" w14:textId="77777777">
            <w:pPr>
              <w:jc w:val="center"/>
              <w:rPr>
                <w:rFonts w:eastAsiaTheme="minorEastAsia" w:cs="Times New Roman"/>
                <w:sz w:val="22"/>
              </w:rPr>
            </w:pPr>
            <w:r w:rsidRPr="00E3053C">
              <w:rPr>
                <w:rFonts w:eastAsiaTheme="minorEastAsia" w:cs="Times New Roman"/>
                <w:sz w:val="22"/>
              </w:rPr>
              <w:t>9</w:t>
            </w:r>
          </w:p>
        </w:tc>
        <w:tc>
          <w:tcPr>
            <w:tcW w:w="2880" w:type="dxa"/>
          </w:tcPr>
          <w:p w:rsidR="00FA01E1" w:rsidRPr="00E3053C" w:rsidP="003F459A" w14:paraId="0C6E5563" w14:textId="77777777">
            <w:pPr>
              <w:jc w:val="center"/>
              <w:rPr>
                <w:rFonts w:eastAsiaTheme="minorEastAsia" w:cs="Times New Roman"/>
                <w:sz w:val="22"/>
              </w:rPr>
            </w:pPr>
            <w:r w:rsidRPr="00E3053C">
              <w:rPr>
                <w:rFonts w:eastAsiaTheme="minorEastAsia" w:cs="Times New Roman"/>
                <w:sz w:val="22"/>
              </w:rPr>
              <w:t>Focus Group, IDI</w:t>
            </w:r>
          </w:p>
        </w:tc>
      </w:tr>
      <w:tr w14:paraId="0FB81C7E" w14:textId="77777777" w:rsidTr="003F459A">
        <w:tblPrEx>
          <w:tblW w:w="9407" w:type="dxa"/>
          <w:tblLayout w:type="fixed"/>
          <w:tblLook w:val="06A0"/>
        </w:tblPrEx>
        <w:trPr>
          <w:trHeight w:val="275"/>
        </w:trPr>
        <w:tc>
          <w:tcPr>
            <w:tcW w:w="3165" w:type="dxa"/>
          </w:tcPr>
          <w:p w:rsidR="00FA01E1" w:rsidRPr="00E3053C" w:rsidP="003F459A" w14:paraId="2ADC597C" w14:textId="77777777">
            <w:pPr>
              <w:rPr>
                <w:rFonts w:eastAsiaTheme="minorEastAsia" w:cs="Times New Roman"/>
                <w:sz w:val="22"/>
              </w:rPr>
            </w:pPr>
            <w:r w:rsidRPr="00E3053C">
              <w:rPr>
                <w:rFonts w:eastAsiaTheme="minorEastAsia" w:cs="Times New Roman"/>
                <w:sz w:val="22"/>
              </w:rPr>
              <w:t>Ages 31-40 general population</w:t>
            </w:r>
          </w:p>
        </w:tc>
        <w:tc>
          <w:tcPr>
            <w:tcW w:w="1916" w:type="dxa"/>
          </w:tcPr>
          <w:p w:rsidR="00FA01E1" w:rsidRPr="00E3053C" w:rsidP="003F459A" w14:paraId="6261BFFD" w14:textId="77777777">
            <w:pPr>
              <w:jc w:val="center"/>
              <w:rPr>
                <w:rFonts w:eastAsiaTheme="minorEastAsia" w:cs="Times New Roman"/>
                <w:b/>
                <w:bCs/>
                <w:sz w:val="22"/>
              </w:rPr>
            </w:pPr>
            <w:r w:rsidRPr="00E3053C">
              <w:rPr>
                <w:rFonts w:eastAsiaTheme="minorEastAsia" w:cs="Times New Roman"/>
                <w:sz w:val="22"/>
              </w:rPr>
              <w:t xml:space="preserve">2 (n=4, n=5) </w:t>
            </w:r>
          </w:p>
        </w:tc>
        <w:tc>
          <w:tcPr>
            <w:tcW w:w="1446" w:type="dxa"/>
          </w:tcPr>
          <w:p w:rsidR="00FA01E1" w:rsidRPr="00E3053C" w:rsidP="003F459A" w14:paraId="5B0F33DC" w14:textId="77777777">
            <w:pPr>
              <w:jc w:val="center"/>
              <w:rPr>
                <w:rFonts w:eastAsiaTheme="minorEastAsia" w:cs="Times New Roman"/>
                <w:sz w:val="22"/>
              </w:rPr>
            </w:pPr>
            <w:r w:rsidRPr="00E3053C">
              <w:rPr>
                <w:rFonts w:eastAsiaTheme="minorEastAsia" w:cs="Times New Roman"/>
                <w:sz w:val="22"/>
              </w:rPr>
              <w:t>9</w:t>
            </w:r>
          </w:p>
        </w:tc>
        <w:tc>
          <w:tcPr>
            <w:tcW w:w="2880" w:type="dxa"/>
          </w:tcPr>
          <w:p w:rsidR="00FA01E1" w:rsidRPr="00E3053C" w:rsidP="003F459A" w14:paraId="71456ECA" w14:textId="77777777">
            <w:pPr>
              <w:jc w:val="center"/>
              <w:rPr>
                <w:rFonts w:eastAsiaTheme="minorEastAsia" w:cs="Times New Roman"/>
                <w:sz w:val="22"/>
              </w:rPr>
            </w:pPr>
            <w:r w:rsidRPr="00E3053C">
              <w:rPr>
                <w:rFonts w:eastAsiaTheme="minorEastAsia" w:cs="Times New Roman"/>
                <w:sz w:val="22"/>
              </w:rPr>
              <w:t>Focus Group, IDI</w:t>
            </w:r>
          </w:p>
        </w:tc>
      </w:tr>
      <w:tr w14:paraId="6EDAD0B2" w14:textId="77777777" w:rsidTr="003F459A">
        <w:tblPrEx>
          <w:tblW w:w="9407" w:type="dxa"/>
          <w:tblLayout w:type="fixed"/>
          <w:tblLook w:val="06A0"/>
        </w:tblPrEx>
        <w:trPr>
          <w:trHeight w:val="275"/>
        </w:trPr>
        <w:tc>
          <w:tcPr>
            <w:tcW w:w="3165" w:type="dxa"/>
          </w:tcPr>
          <w:p w:rsidR="00FA01E1" w:rsidRPr="00E3053C" w:rsidP="003F459A" w14:paraId="2529D0D6" w14:textId="77777777">
            <w:pPr>
              <w:rPr>
                <w:rFonts w:eastAsiaTheme="minorEastAsia" w:cs="Times New Roman"/>
                <w:sz w:val="22"/>
              </w:rPr>
            </w:pPr>
            <w:r w:rsidRPr="00E3053C">
              <w:rPr>
                <w:rFonts w:eastAsiaTheme="minorEastAsia" w:cs="Times New Roman"/>
                <w:sz w:val="22"/>
              </w:rPr>
              <w:t>Ages 41-50 general population</w:t>
            </w:r>
          </w:p>
        </w:tc>
        <w:tc>
          <w:tcPr>
            <w:tcW w:w="1916" w:type="dxa"/>
          </w:tcPr>
          <w:p w:rsidR="00FA01E1" w:rsidRPr="00E3053C" w:rsidP="003F459A" w14:paraId="503D6B05" w14:textId="77777777">
            <w:pPr>
              <w:jc w:val="center"/>
              <w:rPr>
                <w:rFonts w:eastAsiaTheme="minorEastAsia" w:cs="Times New Roman"/>
                <w:sz w:val="22"/>
              </w:rPr>
            </w:pPr>
            <w:r w:rsidRPr="00E3053C">
              <w:rPr>
                <w:rFonts w:eastAsiaTheme="minorEastAsia" w:cs="Times New Roman"/>
                <w:sz w:val="22"/>
              </w:rPr>
              <w:t>2 (n=4, n=5)</w:t>
            </w:r>
          </w:p>
        </w:tc>
        <w:tc>
          <w:tcPr>
            <w:tcW w:w="1446" w:type="dxa"/>
          </w:tcPr>
          <w:p w:rsidR="00FA01E1" w:rsidRPr="00E3053C" w:rsidP="003F459A" w14:paraId="5F3F9161" w14:textId="77777777">
            <w:pPr>
              <w:jc w:val="center"/>
              <w:rPr>
                <w:rFonts w:eastAsiaTheme="minorEastAsia" w:cs="Times New Roman"/>
                <w:sz w:val="22"/>
              </w:rPr>
            </w:pPr>
            <w:r w:rsidRPr="00E3053C">
              <w:rPr>
                <w:rFonts w:eastAsiaTheme="minorEastAsia" w:cs="Times New Roman"/>
                <w:sz w:val="22"/>
              </w:rPr>
              <w:t>9</w:t>
            </w:r>
          </w:p>
        </w:tc>
        <w:tc>
          <w:tcPr>
            <w:tcW w:w="2880" w:type="dxa"/>
          </w:tcPr>
          <w:p w:rsidR="00FA01E1" w:rsidRPr="00E3053C" w:rsidP="003F459A" w14:paraId="24B92C07" w14:textId="77777777">
            <w:pPr>
              <w:jc w:val="center"/>
              <w:rPr>
                <w:rFonts w:eastAsiaTheme="minorEastAsia" w:cs="Times New Roman"/>
                <w:sz w:val="22"/>
              </w:rPr>
            </w:pPr>
            <w:r w:rsidRPr="00E3053C">
              <w:rPr>
                <w:rFonts w:eastAsiaTheme="minorEastAsia" w:cs="Times New Roman"/>
                <w:sz w:val="22"/>
              </w:rPr>
              <w:t>Focus Group, IDI</w:t>
            </w:r>
          </w:p>
        </w:tc>
      </w:tr>
      <w:tr w14:paraId="452E7437" w14:textId="77777777" w:rsidTr="003F459A">
        <w:tblPrEx>
          <w:tblW w:w="9407" w:type="dxa"/>
          <w:tblLayout w:type="fixed"/>
          <w:tblLook w:val="06A0"/>
        </w:tblPrEx>
        <w:trPr>
          <w:trHeight w:val="263"/>
        </w:trPr>
        <w:tc>
          <w:tcPr>
            <w:tcW w:w="3165" w:type="dxa"/>
          </w:tcPr>
          <w:p w:rsidR="00FA01E1" w:rsidRPr="00E3053C" w:rsidP="003F459A" w14:paraId="5B8539CB" w14:textId="77777777">
            <w:pPr>
              <w:rPr>
                <w:rFonts w:eastAsiaTheme="minorEastAsia" w:cs="Times New Roman"/>
                <w:sz w:val="22"/>
              </w:rPr>
            </w:pPr>
            <w:r w:rsidRPr="00E3053C">
              <w:rPr>
                <w:rFonts w:eastAsiaTheme="minorEastAsia" w:cs="Times New Roman"/>
                <w:sz w:val="22"/>
              </w:rPr>
              <w:t>Ages 51-60 general population</w:t>
            </w:r>
          </w:p>
        </w:tc>
        <w:tc>
          <w:tcPr>
            <w:tcW w:w="1916" w:type="dxa"/>
          </w:tcPr>
          <w:p w:rsidR="00FA01E1" w:rsidRPr="00E3053C" w:rsidP="003F459A" w14:paraId="210707C6" w14:textId="77777777">
            <w:pPr>
              <w:jc w:val="center"/>
              <w:rPr>
                <w:rFonts w:eastAsiaTheme="minorEastAsia" w:cs="Times New Roman"/>
                <w:sz w:val="22"/>
              </w:rPr>
            </w:pPr>
            <w:r w:rsidRPr="00E3053C">
              <w:rPr>
                <w:rFonts w:eastAsiaTheme="minorEastAsia" w:cs="Times New Roman"/>
                <w:sz w:val="22"/>
              </w:rPr>
              <w:t>2 (n=4, n=5)</w:t>
            </w:r>
          </w:p>
        </w:tc>
        <w:tc>
          <w:tcPr>
            <w:tcW w:w="1446" w:type="dxa"/>
          </w:tcPr>
          <w:p w:rsidR="00FA01E1" w:rsidRPr="00E3053C" w:rsidP="003F459A" w14:paraId="25C20768" w14:textId="77777777">
            <w:pPr>
              <w:jc w:val="center"/>
              <w:rPr>
                <w:rFonts w:eastAsiaTheme="minorEastAsia" w:cs="Times New Roman"/>
                <w:sz w:val="22"/>
              </w:rPr>
            </w:pPr>
            <w:r w:rsidRPr="00E3053C">
              <w:rPr>
                <w:rFonts w:eastAsiaTheme="minorEastAsia" w:cs="Times New Roman"/>
                <w:sz w:val="22"/>
              </w:rPr>
              <w:t>9</w:t>
            </w:r>
          </w:p>
        </w:tc>
        <w:tc>
          <w:tcPr>
            <w:tcW w:w="2880" w:type="dxa"/>
          </w:tcPr>
          <w:p w:rsidR="00FA01E1" w:rsidRPr="00E3053C" w:rsidP="003F459A" w14:paraId="1FA2D768" w14:textId="77777777">
            <w:pPr>
              <w:jc w:val="center"/>
              <w:rPr>
                <w:rFonts w:eastAsiaTheme="minorEastAsia" w:cs="Times New Roman"/>
                <w:sz w:val="22"/>
              </w:rPr>
            </w:pPr>
            <w:r w:rsidRPr="00E3053C">
              <w:rPr>
                <w:rFonts w:eastAsiaTheme="minorEastAsia" w:cs="Times New Roman"/>
                <w:sz w:val="22"/>
              </w:rPr>
              <w:t>Focus Group, IDI</w:t>
            </w:r>
          </w:p>
        </w:tc>
      </w:tr>
      <w:tr w14:paraId="1EE0E92E" w14:textId="77777777" w:rsidTr="003F459A">
        <w:tblPrEx>
          <w:tblW w:w="9407" w:type="dxa"/>
          <w:tblLayout w:type="fixed"/>
          <w:tblLook w:val="06A0"/>
        </w:tblPrEx>
        <w:trPr>
          <w:trHeight w:val="275"/>
        </w:trPr>
        <w:tc>
          <w:tcPr>
            <w:tcW w:w="3165" w:type="dxa"/>
          </w:tcPr>
          <w:p w:rsidR="00FA01E1" w:rsidRPr="00E3053C" w:rsidP="003F459A" w14:paraId="222D4E1B" w14:textId="77777777">
            <w:pPr>
              <w:rPr>
                <w:rFonts w:eastAsiaTheme="minorEastAsia" w:cs="Times New Roman"/>
                <w:sz w:val="22"/>
              </w:rPr>
            </w:pPr>
            <w:r w:rsidRPr="00E3053C">
              <w:rPr>
                <w:rFonts w:eastAsiaTheme="minorEastAsia" w:cs="Times New Roman"/>
                <w:sz w:val="22"/>
              </w:rPr>
              <w:t>Ages 61-70 general population</w:t>
            </w:r>
          </w:p>
        </w:tc>
        <w:tc>
          <w:tcPr>
            <w:tcW w:w="1916" w:type="dxa"/>
          </w:tcPr>
          <w:p w:rsidR="00FA01E1" w:rsidRPr="00E3053C" w:rsidP="003F459A" w14:paraId="3F1A1968" w14:textId="77777777">
            <w:pPr>
              <w:jc w:val="center"/>
              <w:rPr>
                <w:rFonts w:eastAsiaTheme="minorEastAsia" w:cs="Times New Roman"/>
                <w:sz w:val="22"/>
              </w:rPr>
            </w:pPr>
            <w:r w:rsidRPr="00E3053C">
              <w:rPr>
                <w:rFonts w:eastAsiaTheme="minorEastAsia" w:cs="Times New Roman"/>
                <w:sz w:val="22"/>
              </w:rPr>
              <w:t>2 (n=4, n=5)</w:t>
            </w:r>
          </w:p>
        </w:tc>
        <w:tc>
          <w:tcPr>
            <w:tcW w:w="1446" w:type="dxa"/>
          </w:tcPr>
          <w:p w:rsidR="00FA01E1" w:rsidRPr="00E3053C" w:rsidP="003F459A" w14:paraId="674D7C14" w14:textId="77777777">
            <w:pPr>
              <w:jc w:val="center"/>
              <w:rPr>
                <w:rFonts w:eastAsiaTheme="minorEastAsia" w:cs="Times New Roman"/>
                <w:sz w:val="22"/>
              </w:rPr>
            </w:pPr>
            <w:r w:rsidRPr="00E3053C">
              <w:rPr>
                <w:rFonts w:eastAsiaTheme="minorEastAsia" w:cs="Times New Roman"/>
                <w:sz w:val="22"/>
              </w:rPr>
              <w:t>9</w:t>
            </w:r>
          </w:p>
        </w:tc>
        <w:tc>
          <w:tcPr>
            <w:tcW w:w="2880" w:type="dxa"/>
          </w:tcPr>
          <w:p w:rsidR="00FA01E1" w:rsidRPr="00E3053C" w:rsidP="003F459A" w14:paraId="229DE82E" w14:textId="77777777">
            <w:pPr>
              <w:jc w:val="center"/>
              <w:rPr>
                <w:rFonts w:eastAsiaTheme="minorEastAsia" w:cs="Times New Roman"/>
                <w:sz w:val="22"/>
              </w:rPr>
            </w:pPr>
            <w:r w:rsidRPr="00E3053C">
              <w:rPr>
                <w:rFonts w:eastAsiaTheme="minorEastAsia" w:cs="Times New Roman"/>
                <w:sz w:val="22"/>
              </w:rPr>
              <w:t>Focus Group, IDI</w:t>
            </w:r>
          </w:p>
        </w:tc>
      </w:tr>
      <w:tr w14:paraId="18BE1E38" w14:textId="77777777" w:rsidTr="003F459A">
        <w:tblPrEx>
          <w:tblW w:w="9407" w:type="dxa"/>
          <w:tblLayout w:type="fixed"/>
          <w:tblLook w:val="06A0"/>
        </w:tblPrEx>
        <w:trPr>
          <w:trHeight w:val="551"/>
        </w:trPr>
        <w:tc>
          <w:tcPr>
            <w:tcW w:w="3165" w:type="dxa"/>
          </w:tcPr>
          <w:p w:rsidR="00FA01E1" w:rsidRPr="00E3053C" w:rsidP="003F459A" w14:paraId="355E5397" w14:textId="77777777">
            <w:pPr>
              <w:rPr>
                <w:rFonts w:eastAsiaTheme="minorEastAsia" w:cs="Times New Roman"/>
                <w:b/>
                <w:bCs/>
                <w:sz w:val="22"/>
              </w:rPr>
            </w:pPr>
            <w:r w:rsidRPr="00E3053C">
              <w:rPr>
                <w:rFonts w:eastAsiaTheme="minorEastAsia" w:cs="Times New Roman"/>
                <w:b/>
                <w:bCs/>
                <w:sz w:val="22"/>
              </w:rPr>
              <w:t>Total number of focus groups/participants</w:t>
            </w:r>
          </w:p>
        </w:tc>
        <w:tc>
          <w:tcPr>
            <w:tcW w:w="1916" w:type="dxa"/>
          </w:tcPr>
          <w:p w:rsidR="00FA01E1" w:rsidRPr="00E3053C" w:rsidP="003F459A" w14:paraId="7EB9A570" w14:textId="77777777">
            <w:pPr>
              <w:jc w:val="center"/>
              <w:rPr>
                <w:rFonts w:eastAsiaTheme="minorEastAsia" w:cs="Times New Roman"/>
                <w:b/>
                <w:bCs/>
                <w:sz w:val="22"/>
              </w:rPr>
            </w:pPr>
            <w:r w:rsidRPr="00E3053C">
              <w:rPr>
                <w:rFonts w:eastAsiaTheme="minorEastAsia" w:cs="Times New Roman"/>
                <w:b/>
                <w:bCs/>
                <w:sz w:val="22"/>
              </w:rPr>
              <w:t>10 groups</w:t>
            </w:r>
          </w:p>
        </w:tc>
        <w:tc>
          <w:tcPr>
            <w:tcW w:w="1446" w:type="dxa"/>
          </w:tcPr>
          <w:p w:rsidR="00FA01E1" w:rsidRPr="00E3053C" w:rsidP="003F459A" w14:paraId="330CB4DF" w14:textId="77777777">
            <w:pPr>
              <w:jc w:val="center"/>
              <w:rPr>
                <w:rFonts w:eastAsiaTheme="minorEastAsia" w:cs="Times New Roman"/>
                <w:b/>
                <w:bCs/>
                <w:sz w:val="22"/>
              </w:rPr>
            </w:pPr>
            <w:r w:rsidRPr="00E3053C">
              <w:rPr>
                <w:rFonts w:eastAsiaTheme="minorEastAsia" w:cs="Times New Roman"/>
                <w:b/>
                <w:bCs/>
                <w:sz w:val="22"/>
              </w:rPr>
              <w:t>N=45</w:t>
            </w:r>
          </w:p>
        </w:tc>
        <w:tc>
          <w:tcPr>
            <w:tcW w:w="2880" w:type="dxa"/>
          </w:tcPr>
          <w:p w:rsidR="00FA01E1" w:rsidRPr="00E3053C" w:rsidP="003F459A" w14:paraId="09839A2B" w14:textId="77777777">
            <w:pPr>
              <w:jc w:val="center"/>
              <w:rPr>
                <w:rFonts w:eastAsiaTheme="minorEastAsia" w:cs="Times New Roman"/>
                <w:b/>
                <w:bCs/>
                <w:sz w:val="22"/>
              </w:rPr>
            </w:pPr>
            <w:r w:rsidRPr="00E3053C">
              <w:rPr>
                <w:rFonts w:eastAsiaTheme="minorEastAsia" w:cs="Times New Roman"/>
                <w:b/>
                <w:bCs/>
                <w:sz w:val="22"/>
              </w:rPr>
              <w:t>Focus Group, IDI</w:t>
            </w:r>
          </w:p>
        </w:tc>
      </w:tr>
    </w:tbl>
    <w:p w:rsidR="00F6661E" w:rsidRPr="00795E58" w:rsidP="00F6661E" w14:paraId="5A00586E" w14:textId="77777777">
      <w:pPr>
        <w:rPr>
          <w:rFonts w:asciiTheme="minorHAnsi" w:eastAsiaTheme="minorEastAsia" w:hAnsiTheme="minorHAnsi"/>
          <w:color w:val="000000" w:themeColor="text1"/>
        </w:rPr>
      </w:pPr>
    </w:p>
    <w:p w:rsidR="00F6661E" w:rsidRPr="00F6661E" w:rsidP="00F6661E" w14:paraId="72009120" w14:textId="676001C7">
      <w:pPr>
        <w:rPr>
          <w:u w:val="single"/>
        </w:rPr>
      </w:pPr>
      <w:r w:rsidRPr="00F6661E">
        <w:rPr>
          <w:u w:val="single"/>
        </w:rPr>
        <w:t xml:space="preserve">Focus Group Procedures </w:t>
      </w:r>
    </w:p>
    <w:p w:rsidR="00E30E8A" w:rsidRPr="00964130" w:rsidP="00E30E8A" w14:paraId="2AE18F71" w14:textId="2A450D02">
      <w:pPr>
        <w:widowControl w:val="0"/>
      </w:pPr>
      <w:r w:rsidRPr="00F6661E">
        <w:t>Focus groups</w:t>
      </w:r>
      <w:r w:rsidR="008522A3">
        <w:t xml:space="preserve">/IDIs </w:t>
      </w:r>
      <w:r w:rsidRPr="00F6661E">
        <w:t>will be conducted using Zoom, a secure video conferencing virtual platform. All focus group</w:t>
      </w:r>
      <w:r>
        <w:t>/IDI</w:t>
      </w:r>
      <w:r w:rsidRPr="00F6661E">
        <w:t xml:space="preserve"> participants must have a computer, tablet, or smartphone with reliable internet access and webcam capabilities. For added security and anonymity, participants will be assigned a screen name during the technology check along with instructions for use. Upon opening the virtual focus group room, participants will be asked to turn their cameras on, as this provides the opportunity to observe participant body language and facial expressions, as well as to potentially promote more productive discussions</w:t>
      </w:r>
      <w:r>
        <w:t xml:space="preserve">. </w:t>
      </w:r>
      <w:r w:rsidRPr="00F6661E">
        <w:t xml:space="preserve">Participants who refuse to turn on their webcam and enable video will be politely thanked for their time and provided exit instructions. Once the moderator begins the discussion, participants will also be asked to turn their microphones on when speaking. Refusal to turn on microphones when speaking will follow the same procedure as webcam refusal. Both situations would result in forfeiture of the incentive, as expressed in the Recruitment Screener (Attachment </w:t>
      </w:r>
      <w:r w:rsidR="008522A3">
        <w:t>A</w:t>
      </w:r>
      <w:r w:rsidRPr="00F6661E">
        <w:t xml:space="preserve">). Although open and honest discussion among </w:t>
      </w:r>
      <w:r w:rsidRPr="00F6661E">
        <w:t>participants is desired, the moderator will reserve the right to mute participants’ microphones if deemed necessary.</w:t>
      </w:r>
      <w:r w:rsidRPr="00E30E8A">
        <w:t xml:space="preserve"> </w:t>
      </w:r>
    </w:p>
    <w:p w:rsidR="00F6661E" w:rsidP="00F6661E" w14:paraId="63EF9724" w14:textId="6166BF2A">
      <w:pPr>
        <w:rPr>
          <w:rFonts w:asciiTheme="minorHAnsi" w:eastAsiaTheme="minorEastAsia" w:hAnsiTheme="minorHAnsi"/>
          <w:color w:val="000000" w:themeColor="text1"/>
        </w:rPr>
      </w:pPr>
      <w:r w:rsidRPr="00F6661E">
        <w:t>Additionally, participants will be encouraged to complete the interview in a private room to reduce the likelihood of others listening to the conversation. Focus groups</w:t>
      </w:r>
      <w:r w:rsidR="00D651C6">
        <w:t>/</w:t>
      </w:r>
      <w:r w:rsidRPr="00F6661E">
        <w:t>IDIs will be recorded</w:t>
      </w:r>
      <w:r w:rsidR="0099425E">
        <w:t>/video</w:t>
      </w:r>
      <w:r w:rsidR="004D6220">
        <w:t>ed</w:t>
      </w:r>
      <w:r w:rsidRPr="00F6661E">
        <w:t xml:space="preserve">, as indicated in the Informed Consent Form (see Attachment </w:t>
      </w:r>
      <w:r w:rsidR="00D651C6">
        <w:t>B</w:t>
      </w:r>
      <w:r w:rsidRPr="00F6661E">
        <w:t xml:space="preserve">: Participant Information Sheet and Informed Consent Form), but participants must </w:t>
      </w:r>
      <w:r w:rsidR="008F39A9">
        <w:t xml:space="preserve">also </w:t>
      </w:r>
      <w:r w:rsidRPr="00F6661E">
        <w:t>provide verbal confirmation of agreement to be recorded</w:t>
      </w:r>
      <w:r w:rsidR="00426635">
        <w:t>/videoed</w:t>
      </w:r>
      <w:r w:rsidRPr="00F6661E">
        <w:t xml:space="preserve"> before </w:t>
      </w:r>
      <w:r w:rsidR="00426635">
        <w:t>the session</w:t>
      </w:r>
      <w:r w:rsidRPr="00F6661E">
        <w:t xml:space="preserve"> commences. Trained moderators with experience leading qualitative projects on sensitive topics will lead each focus group</w:t>
      </w:r>
      <w:r w:rsidR="007A6F89">
        <w:t>/</w:t>
      </w:r>
      <w:r w:rsidRPr="00F6661E">
        <w:t>IDI. Each focus group will be moderated by one person, while a second person will take notes and an option for a third person to provide support with technical/logistical issues. If recording</w:t>
      </w:r>
      <w:r w:rsidR="00AB4A6C">
        <w:t>/video</w:t>
      </w:r>
      <w:r w:rsidRPr="00F6661E">
        <w:t xml:space="preserve"> refusal or excessive dropouts occur, the moderator and supporting team members will still proceed with the focus group if n=1 participant remains.</w:t>
      </w:r>
      <w:r w:rsidRPr="00CD3608">
        <w:rPr>
          <w:rFonts w:asciiTheme="minorHAnsi" w:eastAsiaTheme="minorEastAsia" w:hAnsiTheme="minorHAnsi"/>
          <w:color w:val="000000" w:themeColor="text1"/>
        </w:rPr>
        <w:t xml:space="preserve"> </w:t>
      </w:r>
    </w:p>
    <w:p w:rsidR="00B14B43" w:rsidP="00F6661E" w14:paraId="668DDC8C" w14:textId="02B73AF3">
      <w:pPr>
        <w:rPr>
          <w:rFonts w:eastAsiaTheme="minorEastAsia" w:cs="Times New Roman"/>
          <w:color w:val="000000" w:themeColor="text1"/>
          <w:u w:val="single"/>
        </w:rPr>
      </w:pPr>
      <w:r w:rsidRPr="00852AF1">
        <w:rPr>
          <w:rFonts w:eastAsiaTheme="minorEastAsia" w:cs="Times New Roman"/>
          <w:color w:val="000000" w:themeColor="text1"/>
          <w:u w:val="single"/>
        </w:rPr>
        <w:t xml:space="preserve">Analysis and Reporting </w:t>
      </w:r>
    </w:p>
    <w:p w:rsidR="00DB43EE" w:rsidRPr="00852AF1" w:rsidP="00DB43EE" w14:paraId="61F8993D" w14:textId="50C34B58">
      <w:pPr>
        <w:rPr>
          <w:rFonts w:eastAsiaTheme="minorEastAsia" w:cs="Times New Roman"/>
          <w:color w:val="000000" w:themeColor="text1"/>
          <w:szCs w:val="24"/>
          <w:u w:val="single"/>
        </w:rPr>
      </w:pPr>
      <w:r w:rsidRPr="00852AF1">
        <w:rPr>
          <w:rFonts w:eastAsiaTheme="minorEastAsia" w:cs="Times New Roman"/>
          <w:color w:val="000000" w:themeColor="text1"/>
        </w:rPr>
        <w:t xml:space="preserve">The </w:t>
      </w:r>
      <w:r w:rsidRPr="00852AF1">
        <w:rPr>
          <w:rFonts w:eastAsiaTheme="minorEastAsia" w:cs="Times New Roman"/>
          <w:color w:val="000000" w:themeColor="text1"/>
          <w:szCs w:val="24"/>
        </w:rPr>
        <w:t xml:space="preserve">contractor </w:t>
      </w:r>
      <w:r w:rsidRPr="00852AF1" w:rsidR="00885EDC">
        <w:rPr>
          <w:color w:val="000000"/>
          <w:szCs w:val="24"/>
        </w:rPr>
        <w:t>will use iterative thematic analysis to identify key themes and subthemes captured in the data collected during focus groups</w:t>
      </w:r>
      <w:r w:rsidR="00885EDC">
        <w:rPr>
          <w:color w:val="000000"/>
          <w:szCs w:val="24"/>
        </w:rPr>
        <w:t>/IDIs</w:t>
      </w:r>
      <w:r w:rsidRPr="00852AF1" w:rsidR="00885EDC">
        <w:rPr>
          <w:color w:val="000000"/>
          <w:szCs w:val="24"/>
        </w:rPr>
        <w:t>.</w:t>
      </w:r>
      <w:r w:rsidRPr="00731565" w:rsidR="00731565">
        <w:rPr>
          <w:color w:val="000000"/>
          <w:sz w:val="22"/>
        </w:rPr>
        <w:t xml:space="preserve"> </w:t>
      </w:r>
      <w:r w:rsidRPr="00852AF1" w:rsidR="00731565">
        <w:rPr>
          <w:color w:val="000000"/>
          <w:szCs w:val="24"/>
        </w:rPr>
        <w:t>The contractor will use both inductive and deductive coding to identify themes and organize the data captured from participants</w:t>
      </w:r>
      <w:r w:rsidR="00731565">
        <w:rPr>
          <w:color w:val="000000"/>
          <w:szCs w:val="24"/>
        </w:rPr>
        <w:t>.</w:t>
      </w:r>
      <w:r w:rsidR="008E1791">
        <w:rPr>
          <w:color w:val="000000"/>
          <w:szCs w:val="24"/>
        </w:rPr>
        <w:t xml:space="preserve"> </w:t>
      </w:r>
      <w:r w:rsidR="007E554A">
        <w:rPr>
          <w:color w:val="000000"/>
          <w:szCs w:val="24"/>
        </w:rPr>
        <w:t>A</w:t>
      </w:r>
      <w:r w:rsidRPr="00852AF1">
        <w:rPr>
          <w:rFonts w:eastAsiaTheme="minorEastAsia" w:cs="Times New Roman"/>
        </w:rPr>
        <w:t xml:space="preserve">nalyses will be conducted on aggregated data, and participants’ information will not be appended to the data file used. </w:t>
      </w:r>
      <w:r w:rsidRPr="00852AF1" w:rsidR="00BF3480">
        <w:rPr>
          <w:color w:val="000000"/>
          <w:szCs w:val="24"/>
        </w:rPr>
        <w:t xml:space="preserve">The contractor will provide CDC </w:t>
      </w:r>
      <w:r w:rsidRPr="00852AF1" w:rsidR="00BF3480">
        <w:rPr>
          <w:szCs w:val="24"/>
        </w:rPr>
        <w:t>with</w:t>
      </w:r>
      <w:r w:rsidRPr="00852AF1" w:rsidR="00BF3480">
        <w:rPr>
          <w:color w:val="000000"/>
          <w:szCs w:val="24"/>
        </w:rPr>
        <w:t xml:space="preserve"> a final report summarizing the results of the focus groups</w:t>
      </w:r>
      <w:r w:rsidR="00BF3480">
        <w:rPr>
          <w:color w:val="000000"/>
          <w:szCs w:val="24"/>
        </w:rPr>
        <w:t>/IDI</w:t>
      </w:r>
      <w:r w:rsidRPr="00852AF1" w:rsidR="00BF3480">
        <w:rPr>
          <w:color w:val="000000"/>
          <w:szCs w:val="24"/>
        </w:rPr>
        <w:t xml:space="preserve">. </w:t>
      </w:r>
      <w:r w:rsidRPr="00852AF1">
        <w:rPr>
          <w:rFonts w:eastAsiaTheme="minorEastAsia" w:cs="Times New Roman"/>
        </w:rPr>
        <w:t>Quotes that may be used in the final report to illustrate a key point will not be attributable to a specific participant.</w:t>
      </w:r>
    </w:p>
    <w:p w:rsidR="00352CEE" w:rsidRPr="003A3932" w:rsidP="00B339F0" w14:paraId="214C4368" w14:textId="38EA2407">
      <w:pPr>
        <w:spacing w:line="259" w:lineRule="auto"/>
      </w:pPr>
      <w:r w:rsidRPr="003A3932">
        <w:t>Methods to maximize Response Rates and Deal with No Response</w:t>
      </w:r>
    </w:p>
    <w:p w:rsidR="0052440B" w:rsidRPr="003C0334" w:rsidP="0052440B" w14:paraId="35F99C18" w14:textId="5FCDF3C6">
      <w:pPr>
        <w:spacing w:line="259" w:lineRule="auto"/>
        <w:rPr>
          <w:rFonts w:cs="Times New Roman"/>
        </w:rPr>
      </w:pPr>
      <w:r w:rsidRPr="00175D17">
        <w:rPr>
          <w:rFonts w:cs="Times New Roman"/>
        </w:rPr>
        <w:t xml:space="preserve">Participants who complete either a focus group interview or a one-on-one interview will receive a token of appreciation for their </w:t>
      </w:r>
      <w:r w:rsidRPr="00175D17" w:rsidR="00836CDB">
        <w:rPr>
          <w:rFonts w:cs="Times New Roman"/>
        </w:rPr>
        <w:t>time/</w:t>
      </w:r>
      <w:r w:rsidRPr="00175D17">
        <w:rPr>
          <w:rFonts w:cs="Times New Roman"/>
        </w:rPr>
        <w:t>participation based on OMB’s guidance (OMB,</w:t>
      </w:r>
      <w:r w:rsidR="00794394">
        <w:rPr>
          <w:rFonts w:cs="Times New Roman"/>
        </w:rPr>
        <w:t xml:space="preserve"> </w:t>
      </w:r>
      <w:r w:rsidRPr="00175D17">
        <w:rPr>
          <w:rFonts w:cs="Times New Roman"/>
        </w:rPr>
        <w:t>2016) on factors that may justify provision of a token of appreciation. Focus group participants will receive $</w:t>
      </w:r>
      <w:r w:rsidRPr="00175D17" w:rsidR="004A4591">
        <w:rPr>
          <w:rFonts w:cs="Times New Roman"/>
        </w:rPr>
        <w:t>125.00</w:t>
      </w:r>
      <w:r w:rsidRPr="00175D17">
        <w:rPr>
          <w:rFonts w:cs="Times New Roman"/>
        </w:rPr>
        <w:t xml:space="preserve"> and one-on-one interview participants will receive $</w:t>
      </w:r>
      <w:r w:rsidRPr="00175D17" w:rsidR="000776AE">
        <w:rPr>
          <w:rFonts w:cs="Times New Roman"/>
        </w:rPr>
        <w:t>75.00</w:t>
      </w:r>
      <w:r w:rsidRPr="00175D17">
        <w:rPr>
          <w:rFonts w:cs="Times New Roman"/>
        </w:rPr>
        <w:t xml:space="preserve">, an amount commensurate with other market surveys (Halpern et al., 2004). Assistants who join a session to support a participant who is “visually impaired” or has “limited reading skills” will not receive </w:t>
      </w:r>
      <w:r w:rsidRPr="00175D17" w:rsidR="002C5BED">
        <w:rPr>
          <w:rFonts w:cs="Times New Roman"/>
        </w:rPr>
        <w:t>a token of appreciation</w:t>
      </w:r>
      <w:r w:rsidRPr="00175D17">
        <w:rPr>
          <w:rFonts w:cs="Times New Roman"/>
        </w:rPr>
        <w:t xml:space="preserve">. However, participants who decline to be recorded upon joining the virtual meeting will be politely thanked for their time and provided exit instructions. By exiting the study, the participant will forfeit </w:t>
      </w:r>
      <w:r w:rsidR="000476E5">
        <w:rPr>
          <w:rFonts w:cs="Times New Roman"/>
        </w:rPr>
        <w:t>their</w:t>
      </w:r>
      <w:r w:rsidRPr="00175D17" w:rsidR="002C5BED">
        <w:rPr>
          <w:rFonts w:cs="Times New Roman"/>
        </w:rPr>
        <w:t xml:space="preserve"> token of appreciation</w:t>
      </w:r>
      <w:r w:rsidRPr="00175D17">
        <w:rPr>
          <w:rFonts w:cs="Times New Roman"/>
        </w:rPr>
        <w:t xml:space="preserve">. Participants will receive their incentives following completion of their focus group/IDI in the form of prepaid gift cards. </w:t>
      </w:r>
    </w:p>
    <w:p w:rsidR="00352CEE" w:rsidRPr="00012812" w:rsidP="00352CEE" w14:paraId="214C436A" w14:textId="22BFBA7E">
      <w:pPr>
        <w:pStyle w:val="Heading1"/>
      </w:pPr>
      <w:bookmarkStart w:id="4" w:name="_Toc141434878"/>
      <w:r w:rsidRPr="00012812">
        <w:t xml:space="preserve">Tests </w:t>
      </w:r>
      <w:r w:rsidRPr="00012812" w:rsidR="00DE48C7">
        <w:t>of Procedures or Methods to be u</w:t>
      </w:r>
      <w:r w:rsidRPr="00012812">
        <w:t>ndertaken</w:t>
      </w:r>
      <w:bookmarkEnd w:id="4"/>
    </w:p>
    <w:p w:rsidR="00352CEE" w:rsidRPr="003B2FB4" w:rsidP="00985CCD" w14:paraId="214C436C" w14:textId="4DBCACC5">
      <w:r w:rsidRPr="00012812">
        <w:t xml:space="preserve">No pretests </w:t>
      </w:r>
      <w:r w:rsidR="00806120">
        <w:t xml:space="preserve">other than the </w:t>
      </w:r>
      <w:r w:rsidR="00653647">
        <w:t>15-minute</w:t>
      </w:r>
      <w:r w:rsidR="007370BC">
        <w:t xml:space="preserve"> technical pre-check </w:t>
      </w:r>
      <w:r w:rsidRPr="00012812">
        <w:t>are planned.</w:t>
      </w:r>
      <w:r>
        <w:t xml:space="preserve"> </w:t>
      </w:r>
    </w:p>
    <w:p w:rsidR="00352CEE" w:rsidRPr="00E52691" w:rsidP="00352CEE" w14:paraId="214C436D" w14:textId="310E46E5">
      <w:pPr>
        <w:pStyle w:val="Heading1"/>
      </w:pPr>
      <w:bookmarkStart w:id="5" w:name="_Toc141434879"/>
      <w:r w:rsidRPr="00E52691">
        <w:t>Individuals Consulted on Statistical Aspects and Individuals Collecting and/or Analyzing Data</w:t>
      </w:r>
      <w:bookmarkEnd w:id="5"/>
    </w:p>
    <w:tbl>
      <w:tblPr>
        <w:tblStyle w:val="TableGrid"/>
        <w:tblW w:w="0" w:type="auto"/>
        <w:tblLook w:val="04A0"/>
      </w:tblPr>
      <w:tblGrid>
        <w:gridCol w:w="5035"/>
        <w:gridCol w:w="5035"/>
      </w:tblGrid>
      <w:tr w14:paraId="63ADDEA9" w14:textId="77777777" w:rsidTr="00F46733">
        <w:tblPrEx>
          <w:tblW w:w="0" w:type="auto"/>
          <w:tblLook w:val="04A0"/>
        </w:tblPrEx>
        <w:tc>
          <w:tcPr>
            <w:tcW w:w="5035" w:type="dxa"/>
          </w:tcPr>
          <w:p w:rsidR="00F46733" w:rsidRPr="00B36409" w:rsidP="00E52691" w14:paraId="43692476" w14:textId="4E08DB02">
            <w:pPr>
              <w:jc w:val="center"/>
              <w:rPr>
                <w:b/>
                <w:bCs/>
                <w:sz w:val="22"/>
              </w:rPr>
            </w:pPr>
            <w:r w:rsidRPr="00B36409">
              <w:rPr>
                <w:b/>
                <w:bCs/>
                <w:sz w:val="22"/>
              </w:rPr>
              <w:t>CDC</w:t>
            </w:r>
          </w:p>
        </w:tc>
        <w:tc>
          <w:tcPr>
            <w:tcW w:w="5035" w:type="dxa"/>
          </w:tcPr>
          <w:p w:rsidR="00F46733" w:rsidRPr="00B36409" w:rsidP="00E52691" w14:paraId="33A88973" w14:textId="545CC767">
            <w:pPr>
              <w:jc w:val="center"/>
              <w:rPr>
                <w:b/>
                <w:bCs/>
                <w:sz w:val="22"/>
              </w:rPr>
            </w:pPr>
            <w:r w:rsidRPr="00B36409">
              <w:rPr>
                <w:b/>
                <w:bCs/>
                <w:sz w:val="22"/>
              </w:rPr>
              <w:t>Contractor</w:t>
            </w:r>
          </w:p>
        </w:tc>
      </w:tr>
      <w:tr w14:paraId="65B0DBA2" w14:textId="77777777" w:rsidTr="00F46733">
        <w:tblPrEx>
          <w:tblW w:w="0" w:type="auto"/>
          <w:tblLook w:val="04A0"/>
        </w:tblPrEx>
        <w:tc>
          <w:tcPr>
            <w:tcW w:w="5035" w:type="dxa"/>
          </w:tcPr>
          <w:p w:rsidR="000323A5" w:rsidRPr="00B36409" w:rsidP="00E52691" w14:paraId="42C30564" w14:textId="77777777">
            <w:pPr>
              <w:spacing w:line="276" w:lineRule="auto"/>
              <w:rPr>
                <w:sz w:val="22"/>
              </w:rPr>
            </w:pPr>
            <w:r w:rsidRPr="00B36409">
              <w:rPr>
                <w:sz w:val="22"/>
              </w:rPr>
              <w:t>Katy Capers, MA</w:t>
            </w:r>
          </w:p>
          <w:p w:rsidR="000323A5" w:rsidRPr="00B36409" w:rsidP="00E52691" w14:paraId="4EB2B1E2" w14:textId="77777777">
            <w:pPr>
              <w:spacing w:line="276" w:lineRule="auto"/>
              <w:rPr>
                <w:sz w:val="22"/>
              </w:rPr>
            </w:pPr>
            <w:r w:rsidRPr="00B36409">
              <w:rPr>
                <w:sz w:val="22"/>
              </w:rPr>
              <w:t>Health Communications Specialist</w:t>
            </w:r>
          </w:p>
          <w:p w:rsidR="00F46733" w:rsidRPr="00B36409" w:rsidP="002F32F6" w14:paraId="2043EA17" w14:textId="199FBBB4">
            <w:pPr>
              <w:rPr>
                <w:sz w:val="22"/>
              </w:rPr>
            </w:pPr>
            <w:r w:rsidRPr="00B36409">
              <w:rPr>
                <w:sz w:val="22"/>
              </w:rPr>
              <w:t xml:space="preserve">Centers for Disease Control &amp; Prevention </w:t>
            </w:r>
          </w:p>
        </w:tc>
        <w:tc>
          <w:tcPr>
            <w:tcW w:w="5035" w:type="dxa"/>
          </w:tcPr>
          <w:p w:rsidR="005B5548" w:rsidRPr="00B36409" w:rsidP="00E52691" w14:paraId="55192E84" w14:textId="77777777">
            <w:pPr>
              <w:spacing w:line="276" w:lineRule="auto"/>
              <w:rPr>
                <w:sz w:val="22"/>
              </w:rPr>
            </w:pPr>
            <w:r w:rsidRPr="00B36409">
              <w:rPr>
                <w:sz w:val="22"/>
              </w:rPr>
              <w:t>Penny McMillan-Hughes, MPH</w:t>
            </w:r>
            <w:r w:rsidRPr="00B36409">
              <w:rPr>
                <w:sz w:val="22"/>
              </w:rPr>
              <w:br/>
              <w:t>Public Health Scientist</w:t>
            </w:r>
          </w:p>
          <w:p w:rsidR="00F46733" w:rsidRPr="00B36409" w:rsidP="00B73F8F" w14:paraId="68782F06" w14:textId="4A7B6B09">
            <w:pPr>
              <w:rPr>
                <w:sz w:val="22"/>
              </w:rPr>
            </w:pPr>
            <w:r w:rsidRPr="00B36409">
              <w:rPr>
                <w:sz w:val="22"/>
              </w:rPr>
              <w:t>CATMEDIA</w:t>
            </w:r>
          </w:p>
        </w:tc>
      </w:tr>
      <w:tr w14:paraId="1BE44A05" w14:textId="77777777" w:rsidTr="00F46733">
        <w:tblPrEx>
          <w:tblW w:w="0" w:type="auto"/>
          <w:tblLook w:val="04A0"/>
        </w:tblPrEx>
        <w:tc>
          <w:tcPr>
            <w:tcW w:w="5035" w:type="dxa"/>
          </w:tcPr>
          <w:p w:rsidR="000323A5" w:rsidRPr="00B36409" w:rsidP="00E52691" w14:paraId="58932708" w14:textId="77777777">
            <w:pPr>
              <w:spacing w:line="276" w:lineRule="auto"/>
              <w:rPr>
                <w:sz w:val="22"/>
              </w:rPr>
            </w:pPr>
            <w:r w:rsidRPr="00B36409">
              <w:rPr>
                <w:sz w:val="22"/>
              </w:rPr>
              <w:t xml:space="preserve">Madison Dixon, MPH </w:t>
            </w:r>
          </w:p>
          <w:p w:rsidR="000323A5" w:rsidRPr="00B36409" w:rsidP="00E52691" w14:paraId="204D5305" w14:textId="77777777">
            <w:pPr>
              <w:spacing w:line="276" w:lineRule="auto"/>
              <w:rPr>
                <w:sz w:val="22"/>
              </w:rPr>
            </w:pPr>
            <w:r w:rsidRPr="00B36409">
              <w:rPr>
                <w:sz w:val="22"/>
              </w:rPr>
              <w:t>Health Communications Specialist</w:t>
            </w:r>
          </w:p>
          <w:p w:rsidR="00F46733" w:rsidRPr="00B36409" w:rsidP="002F32F6" w14:paraId="4CE6C99E" w14:textId="172C963B">
            <w:pPr>
              <w:rPr>
                <w:sz w:val="22"/>
              </w:rPr>
            </w:pPr>
            <w:r w:rsidRPr="00B36409">
              <w:rPr>
                <w:sz w:val="22"/>
              </w:rPr>
              <w:t xml:space="preserve">Centers for Disease Control &amp; Prevention </w:t>
            </w:r>
          </w:p>
        </w:tc>
        <w:tc>
          <w:tcPr>
            <w:tcW w:w="5035" w:type="dxa"/>
          </w:tcPr>
          <w:p w:rsidR="005B5548" w:rsidRPr="00B36409" w:rsidP="00E52691" w14:paraId="392A1E40" w14:textId="77777777">
            <w:pPr>
              <w:spacing w:line="276" w:lineRule="auto"/>
              <w:rPr>
                <w:sz w:val="22"/>
              </w:rPr>
            </w:pPr>
            <w:r w:rsidRPr="00B36409">
              <w:rPr>
                <w:sz w:val="22"/>
              </w:rPr>
              <w:t>Emmase</w:t>
            </w:r>
            <w:r w:rsidRPr="00B36409">
              <w:rPr>
                <w:sz w:val="22"/>
              </w:rPr>
              <w:t xml:space="preserve"> Adams, PhD</w:t>
            </w:r>
            <w:r w:rsidRPr="00B36409">
              <w:rPr>
                <w:sz w:val="22"/>
              </w:rPr>
              <w:br/>
              <w:t>Research Scientist and Biostatistician</w:t>
            </w:r>
          </w:p>
          <w:p w:rsidR="00F46733" w:rsidRPr="00B36409" w:rsidP="00B73F8F" w14:paraId="4CD17E3A" w14:textId="66435901">
            <w:pPr>
              <w:rPr>
                <w:sz w:val="22"/>
              </w:rPr>
            </w:pPr>
            <w:r w:rsidRPr="00B36409">
              <w:rPr>
                <w:sz w:val="22"/>
              </w:rPr>
              <w:t>CATMEDIA</w:t>
            </w:r>
          </w:p>
        </w:tc>
      </w:tr>
      <w:tr w14:paraId="2D77057F" w14:textId="77777777" w:rsidTr="00B73F8F">
        <w:tblPrEx>
          <w:tblW w:w="0" w:type="auto"/>
          <w:tblLook w:val="04A0"/>
        </w:tblPrEx>
        <w:trPr>
          <w:trHeight w:val="1772"/>
        </w:trPr>
        <w:tc>
          <w:tcPr>
            <w:tcW w:w="5035" w:type="dxa"/>
          </w:tcPr>
          <w:p w:rsidR="00E21A19" w:rsidRPr="00B36409" w:rsidP="00E52691" w14:paraId="433B3949" w14:textId="77777777">
            <w:pPr>
              <w:spacing w:line="276" w:lineRule="auto"/>
              <w:rPr>
                <w:sz w:val="22"/>
              </w:rPr>
            </w:pPr>
            <w:r w:rsidRPr="00B36409">
              <w:rPr>
                <w:sz w:val="22"/>
              </w:rPr>
              <w:t>Lacey Avery, MA</w:t>
            </w:r>
          </w:p>
          <w:p w:rsidR="00E21A19" w:rsidRPr="00B36409" w:rsidP="00E52691" w14:paraId="52116E6D" w14:textId="77777777">
            <w:pPr>
              <w:spacing w:line="276" w:lineRule="auto"/>
              <w:rPr>
                <w:sz w:val="22"/>
              </w:rPr>
            </w:pPr>
            <w:r w:rsidRPr="00B36409">
              <w:rPr>
                <w:sz w:val="22"/>
              </w:rPr>
              <w:t>Health Communications Specialist</w:t>
            </w:r>
          </w:p>
          <w:p w:rsidR="00F46733" w:rsidRPr="00B36409" w:rsidP="002F32F6" w14:paraId="0C8659BA" w14:textId="77777777">
            <w:pPr>
              <w:rPr>
                <w:sz w:val="22"/>
              </w:rPr>
            </w:pPr>
            <w:r w:rsidRPr="00B36409">
              <w:rPr>
                <w:sz w:val="22"/>
              </w:rPr>
              <w:t xml:space="preserve">Centers for Disease Control &amp; Prevention </w:t>
            </w:r>
          </w:p>
          <w:p w:rsidR="002F32F6" w:rsidRPr="00B36409" w:rsidP="002F32F6" w14:paraId="42EE7C2C" w14:textId="77777777">
            <w:pPr>
              <w:rPr>
                <w:sz w:val="22"/>
              </w:rPr>
            </w:pPr>
          </w:p>
          <w:p w:rsidR="002F32F6" w:rsidRPr="00B36409" w:rsidP="002F32F6" w14:paraId="1790ABFB" w14:textId="77777777">
            <w:pPr>
              <w:rPr>
                <w:sz w:val="22"/>
              </w:rPr>
            </w:pPr>
          </w:p>
          <w:p w:rsidR="002F32F6" w:rsidRPr="00B36409" w:rsidP="002F32F6" w14:paraId="1FF85837" w14:textId="13C5CDC8">
            <w:pPr>
              <w:rPr>
                <w:sz w:val="22"/>
              </w:rPr>
            </w:pPr>
          </w:p>
        </w:tc>
        <w:tc>
          <w:tcPr>
            <w:tcW w:w="5035" w:type="dxa"/>
          </w:tcPr>
          <w:p w:rsidR="00B73F8F" w:rsidRPr="00B36409" w:rsidP="00B339F0" w14:paraId="30EC2BEE" w14:textId="77777777">
            <w:pPr>
              <w:jc w:val="both"/>
              <w:rPr>
                <w:sz w:val="22"/>
              </w:rPr>
            </w:pPr>
            <w:r w:rsidRPr="00B36409">
              <w:rPr>
                <w:sz w:val="22"/>
              </w:rPr>
              <w:t>Carolyn Kopf, MBA</w:t>
            </w:r>
          </w:p>
          <w:p w:rsidR="00B73F8F" w:rsidRPr="00B36409" w:rsidP="00B339F0" w14:paraId="6F5E0ED8" w14:textId="77777777">
            <w:pPr>
              <w:jc w:val="both"/>
              <w:rPr>
                <w:sz w:val="22"/>
              </w:rPr>
            </w:pPr>
            <w:r w:rsidRPr="00B36409">
              <w:rPr>
                <w:sz w:val="22"/>
              </w:rPr>
              <w:t>Senior Vice President, Marketing Research</w:t>
            </w:r>
          </w:p>
          <w:p w:rsidR="00B73F8F" w:rsidRPr="00B36409" w:rsidP="00B339F0" w14:paraId="066C55F4" w14:textId="77777777">
            <w:pPr>
              <w:jc w:val="both"/>
              <w:rPr>
                <w:sz w:val="22"/>
              </w:rPr>
            </w:pPr>
            <w:r w:rsidRPr="00B36409">
              <w:rPr>
                <w:sz w:val="22"/>
              </w:rPr>
              <w:t xml:space="preserve">C.E.K. &amp; Partners </w:t>
            </w:r>
          </w:p>
          <w:p w:rsidR="00B73F8F" w:rsidRPr="00B36409" w:rsidP="00B339F0" w14:paraId="052A3142" w14:textId="77777777">
            <w:pPr>
              <w:jc w:val="both"/>
              <w:rPr>
                <w:sz w:val="22"/>
              </w:rPr>
            </w:pPr>
            <w:hyperlink r:id="rId9" w:history="1">
              <w:r w:rsidRPr="00B36409">
                <w:rPr>
                  <w:sz w:val="22"/>
                </w:rPr>
                <w:t>carolyn@cekpartners.com</w:t>
              </w:r>
            </w:hyperlink>
          </w:p>
          <w:p w:rsidR="00F46733" w:rsidRPr="00B36409" w:rsidP="00B339F0" w14:paraId="155D0AE1" w14:textId="4AF66CB0">
            <w:pPr>
              <w:jc w:val="both"/>
              <w:rPr>
                <w:sz w:val="22"/>
              </w:rPr>
            </w:pPr>
            <w:r w:rsidRPr="00B36409">
              <w:rPr>
                <w:sz w:val="22"/>
              </w:rPr>
              <w:t>404.345.6447</w:t>
            </w:r>
          </w:p>
        </w:tc>
      </w:tr>
      <w:tr w14:paraId="607430CA" w14:textId="77777777" w:rsidTr="00F46733">
        <w:tblPrEx>
          <w:tblW w:w="0" w:type="auto"/>
          <w:tblLook w:val="04A0"/>
        </w:tblPrEx>
        <w:tc>
          <w:tcPr>
            <w:tcW w:w="5035" w:type="dxa"/>
          </w:tcPr>
          <w:p w:rsidR="00F46733" w:rsidRPr="00B36409" w:rsidP="00985CCD" w14:paraId="4A1AB5F9" w14:textId="77777777">
            <w:pPr>
              <w:rPr>
                <w:sz w:val="22"/>
              </w:rPr>
            </w:pPr>
          </w:p>
        </w:tc>
        <w:tc>
          <w:tcPr>
            <w:tcW w:w="5035" w:type="dxa"/>
          </w:tcPr>
          <w:p w:rsidR="00B73F8F" w:rsidRPr="00B36409" w:rsidP="00B339F0" w14:paraId="16051410" w14:textId="77777777">
            <w:pPr>
              <w:spacing w:line="276" w:lineRule="auto"/>
              <w:jc w:val="both"/>
              <w:rPr>
                <w:sz w:val="22"/>
              </w:rPr>
            </w:pPr>
            <w:r w:rsidRPr="00B36409">
              <w:rPr>
                <w:sz w:val="22"/>
              </w:rPr>
              <w:t>Carl Fusco, MBA, MMR</w:t>
            </w:r>
          </w:p>
          <w:p w:rsidR="00B73F8F" w:rsidRPr="00B36409" w:rsidP="00B339F0" w14:paraId="5BDF7A22" w14:textId="77777777">
            <w:pPr>
              <w:spacing w:line="276" w:lineRule="auto"/>
              <w:jc w:val="both"/>
              <w:rPr>
                <w:sz w:val="22"/>
              </w:rPr>
            </w:pPr>
            <w:r w:rsidRPr="00B36409">
              <w:rPr>
                <w:sz w:val="22"/>
              </w:rPr>
              <w:t xml:space="preserve">Senior Director, Marketing Research </w:t>
            </w:r>
          </w:p>
          <w:p w:rsidR="00B73F8F" w:rsidRPr="00B36409" w:rsidP="00B339F0" w14:paraId="275D5FC4" w14:textId="77777777">
            <w:pPr>
              <w:spacing w:line="276" w:lineRule="auto"/>
              <w:jc w:val="both"/>
              <w:rPr>
                <w:sz w:val="22"/>
              </w:rPr>
            </w:pPr>
            <w:r w:rsidRPr="00B36409">
              <w:rPr>
                <w:sz w:val="22"/>
              </w:rPr>
              <w:t>C.E.K. &amp; Partners</w:t>
            </w:r>
          </w:p>
          <w:p w:rsidR="00B73F8F" w:rsidRPr="00B36409" w:rsidP="00B339F0" w14:paraId="442FADE1" w14:textId="77777777">
            <w:pPr>
              <w:spacing w:line="276" w:lineRule="auto"/>
              <w:jc w:val="both"/>
              <w:rPr>
                <w:sz w:val="22"/>
              </w:rPr>
            </w:pPr>
            <w:hyperlink r:id="rId10" w:history="1">
              <w:r w:rsidRPr="00B36409">
                <w:rPr>
                  <w:rStyle w:val="Hyperlink"/>
                  <w:sz w:val="22"/>
                </w:rPr>
                <w:t>carl@cekpartners.com</w:t>
              </w:r>
            </w:hyperlink>
          </w:p>
          <w:p w:rsidR="00F46733" w:rsidRPr="00B36409" w:rsidP="00B339F0" w14:paraId="7DC3ED51" w14:textId="74CAB1DF">
            <w:pPr>
              <w:jc w:val="both"/>
              <w:rPr>
                <w:sz w:val="22"/>
              </w:rPr>
            </w:pPr>
            <w:r w:rsidRPr="00B36409">
              <w:rPr>
                <w:sz w:val="22"/>
              </w:rPr>
              <w:t>770-364-7160</w:t>
            </w:r>
          </w:p>
        </w:tc>
      </w:tr>
      <w:tr w14:paraId="4CC78CAE" w14:textId="77777777" w:rsidTr="00F46733">
        <w:tblPrEx>
          <w:tblW w:w="0" w:type="auto"/>
          <w:tblLook w:val="04A0"/>
        </w:tblPrEx>
        <w:tc>
          <w:tcPr>
            <w:tcW w:w="5035" w:type="dxa"/>
          </w:tcPr>
          <w:p w:rsidR="00B73F8F" w:rsidRPr="00B36409" w:rsidP="00985CCD" w14:paraId="136D0891" w14:textId="77777777">
            <w:pPr>
              <w:rPr>
                <w:sz w:val="22"/>
              </w:rPr>
            </w:pPr>
          </w:p>
        </w:tc>
        <w:tc>
          <w:tcPr>
            <w:tcW w:w="5035" w:type="dxa"/>
          </w:tcPr>
          <w:p w:rsidR="00B73F8F" w:rsidRPr="00B36409" w:rsidP="00B339F0" w14:paraId="4552AD4F" w14:textId="77777777">
            <w:pPr>
              <w:spacing w:line="276" w:lineRule="auto"/>
              <w:jc w:val="both"/>
              <w:rPr>
                <w:sz w:val="22"/>
              </w:rPr>
            </w:pPr>
            <w:r w:rsidRPr="00B36409">
              <w:rPr>
                <w:sz w:val="22"/>
              </w:rPr>
              <w:t xml:space="preserve">Theresa </w:t>
            </w:r>
            <w:r w:rsidRPr="00B36409">
              <w:rPr>
                <w:sz w:val="22"/>
              </w:rPr>
              <w:t>Schwanke</w:t>
            </w:r>
            <w:r w:rsidRPr="00B36409">
              <w:rPr>
                <w:sz w:val="22"/>
              </w:rPr>
              <w:t>, MSA, CCXP</w:t>
            </w:r>
          </w:p>
          <w:p w:rsidR="00B73F8F" w:rsidRPr="00B36409" w:rsidP="00B339F0" w14:paraId="0FCF8D4A" w14:textId="77777777">
            <w:pPr>
              <w:spacing w:line="276" w:lineRule="auto"/>
              <w:jc w:val="both"/>
              <w:rPr>
                <w:sz w:val="22"/>
              </w:rPr>
            </w:pPr>
            <w:r w:rsidRPr="00B36409">
              <w:rPr>
                <w:sz w:val="22"/>
              </w:rPr>
              <w:t xml:space="preserve">Senior Director, Marketing Research </w:t>
            </w:r>
          </w:p>
          <w:p w:rsidR="00B73F8F" w:rsidRPr="00B36409" w:rsidP="00B339F0" w14:paraId="286BFE57" w14:textId="77777777">
            <w:pPr>
              <w:spacing w:line="276" w:lineRule="auto"/>
              <w:jc w:val="both"/>
              <w:rPr>
                <w:sz w:val="22"/>
              </w:rPr>
            </w:pPr>
            <w:r w:rsidRPr="00B36409">
              <w:rPr>
                <w:sz w:val="22"/>
              </w:rPr>
              <w:t>C.E.K. &amp; Partners</w:t>
            </w:r>
          </w:p>
          <w:p w:rsidR="00B73F8F" w:rsidRPr="00B36409" w:rsidP="00B339F0" w14:paraId="52091AC2" w14:textId="77777777">
            <w:pPr>
              <w:spacing w:line="276" w:lineRule="auto"/>
              <w:jc w:val="both"/>
              <w:rPr>
                <w:sz w:val="22"/>
              </w:rPr>
            </w:pPr>
            <w:hyperlink r:id="rId11" w:history="1">
              <w:r w:rsidRPr="00B36409">
                <w:rPr>
                  <w:rStyle w:val="Hyperlink"/>
                  <w:sz w:val="22"/>
                </w:rPr>
                <w:t>theresa@cekpartners.com</w:t>
              </w:r>
            </w:hyperlink>
          </w:p>
          <w:p w:rsidR="00B73F8F" w:rsidRPr="00B36409" w:rsidP="00B339F0" w14:paraId="4254656F" w14:textId="77777777">
            <w:pPr>
              <w:spacing w:line="276" w:lineRule="auto"/>
              <w:jc w:val="both"/>
              <w:rPr>
                <w:sz w:val="22"/>
              </w:rPr>
            </w:pPr>
            <w:r w:rsidRPr="00B36409">
              <w:rPr>
                <w:sz w:val="22"/>
              </w:rPr>
              <w:t>914-772-6001</w:t>
            </w:r>
          </w:p>
          <w:p w:rsidR="00B73F8F" w:rsidRPr="00B36409" w:rsidP="00B73F8F" w14:paraId="58EE65E3" w14:textId="77777777">
            <w:pPr>
              <w:jc w:val="both"/>
              <w:rPr>
                <w:sz w:val="22"/>
              </w:rPr>
            </w:pPr>
          </w:p>
        </w:tc>
      </w:tr>
    </w:tbl>
    <w:p w:rsidR="00386048" w:rsidP="00985CCD" w14:paraId="71C5DEBA" w14:textId="77777777"/>
    <w:p w:rsidR="00C57490" w:rsidRPr="00985CCD" w:rsidP="00985CCD" w14:paraId="667C8C42" w14:textId="7CCF22C2"/>
    <w:sectPr w:rsidSect="006C6578">
      <w:headerReference w:type="default" r:id="rId12"/>
      <w:footerReference w:type="defaul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2A33ABD5" w14:textId="77777777" w:rsidTr="0AE5E68C">
      <w:tblPrEx>
        <w:tblW w:w="0" w:type="auto"/>
        <w:tblLayout w:type="fixed"/>
        <w:tblLook w:val="06A0"/>
      </w:tblPrEx>
      <w:trPr>
        <w:trHeight w:val="300"/>
      </w:trPr>
      <w:tc>
        <w:tcPr>
          <w:tcW w:w="3360" w:type="dxa"/>
        </w:tcPr>
        <w:p w:rsidR="0AE5E68C" w:rsidP="0AE5E68C" w14:paraId="1E96A96B" w14:textId="294D0F3C">
          <w:pPr>
            <w:pStyle w:val="Header"/>
            <w:ind w:left="-115"/>
          </w:pPr>
        </w:p>
      </w:tc>
      <w:tc>
        <w:tcPr>
          <w:tcW w:w="3360" w:type="dxa"/>
        </w:tcPr>
        <w:p w:rsidR="0AE5E68C" w:rsidP="0AE5E68C" w14:paraId="1A925AD5" w14:textId="08449197">
          <w:pPr>
            <w:pStyle w:val="Header"/>
            <w:jc w:val="center"/>
          </w:pPr>
        </w:p>
      </w:tc>
      <w:tc>
        <w:tcPr>
          <w:tcW w:w="3360" w:type="dxa"/>
        </w:tcPr>
        <w:p w:rsidR="0AE5E68C" w:rsidP="0AE5E68C" w14:paraId="28549FF7" w14:textId="37EDF48A">
          <w:pPr>
            <w:pStyle w:val="Header"/>
            <w:ind w:right="-115"/>
            <w:jc w:val="right"/>
          </w:pPr>
        </w:p>
      </w:tc>
    </w:tr>
  </w:tbl>
  <w:p w:rsidR="0AE5E68C" w:rsidP="0AE5E68C" w14:paraId="195EBFD0" w14:textId="6201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7CE7E6F"/>
    <w:multiLevelType w:val="hybridMultilevel"/>
    <w:tmpl w:val="7304DAA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9B618C5"/>
    <w:multiLevelType w:val="hybridMultilevel"/>
    <w:tmpl w:val="04D4BCC8"/>
    <w:lvl w:ilvl="0">
      <w:start w:val="1"/>
      <w:numFmt w:val="decimal"/>
      <w:lvlText w:val="%1."/>
      <w:lvlJc w:val="left"/>
      <w:pPr>
        <w:ind w:left="1440" w:hanging="360"/>
      </w:pPr>
      <w:rPr>
        <w:rFonts w:hint="default"/>
        <w:color w:val="000000" w:themeColor="text1"/>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2909401">
    <w:abstractNumId w:val="4"/>
  </w:num>
  <w:num w:numId="2" w16cid:durableId="1433748456">
    <w:abstractNumId w:val="0"/>
  </w:num>
  <w:num w:numId="3" w16cid:durableId="848058138">
    <w:abstractNumId w:val="1"/>
  </w:num>
  <w:num w:numId="4" w16cid:durableId="777725848">
    <w:abstractNumId w:val="2"/>
  </w:num>
  <w:num w:numId="5" w16cid:durableId="799151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2812"/>
    <w:rsid w:val="000323A5"/>
    <w:rsid w:val="00035957"/>
    <w:rsid w:val="0004333E"/>
    <w:rsid w:val="000476E5"/>
    <w:rsid w:val="00050617"/>
    <w:rsid w:val="000610F1"/>
    <w:rsid w:val="00062F55"/>
    <w:rsid w:val="00065608"/>
    <w:rsid w:val="00067E32"/>
    <w:rsid w:val="00076487"/>
    <w:rsid w:val="000776AE"/>
    <w:rsid w:val="000849A6"/>
    <w:rsid w:val="00093E31"/>
    <w:rsid w:val="000B14C2"/>
    <w:rsid w:val="000D1789"/>
    <w:rsid w:val="000E316B"/>
    <w:rsid w:val="000F5EE7"/>
    <w:rsid w:val="000F6D4C"/>
    <w:rsid w:val="00170D9E"/>
    <w:rsid w:val="00175D17"/>
    <w:rsid w:val="00181775"/>
    <w:rsid w:val="00193400"/>
    <w:rsid w:val="00196CCA"/>
    <w:rsid w:val="00197EC0"/>
    <w:rsid w:val="001A4646"/>
    <w:rsid w:val="001A5C6B"/>
    <w:rsid w:val="001D4B6C"/>
    <w:rsid w:val="001D63DA"/>
    <w:rsid w:val="001F58C1"/>
    <w:rsid w:val="001F7D86"/>
    <w:rsid w:val="00205032"/>
    <w:rsid w:val="002073A2"/>
    <w:rsid w:val="002101BD"/>
    <w:rsid w:val="002224C9"/>
    <w:rsid w:val="0024306D"/>
    <w:rsid w:val="002535EA"/>
    <w:rsid w:val="0025615B"/>
    <w:rsid w:val="0028120D"/>
    <w:rsid w:val="002A3581"/>
    <w:rsid w:val="002A6EB6"/>
    <w:rsid w:val="002C5BED"/>
    <w:rsid w:val="002D7E48"/>
    <w:rsid w:val="002E3098"/>
    <w:rsid w:val="002F32F6"/>
    <w:rsid w:val="00301353"/>
    <w:rsid w:val="00327803"/>
    <w:rsid w:val="00332527"/>
    <w:rsid w:val="0034265E"/>
    <w:rsid w:val="00350C6B"/>
    <w:rsid w:val="00352CEE"/>
    <w:rsid w:val="00366257"/>
    <w:rsid w:val="00370B9C"/>
    <w:rsid w:val="00374FB9"/>
    <w:rsid w:val="00386048"/>
    <w:rsid w:val="0039016E"/>
    <w:rsid w:val="003A3932"/>
    <w:rsid w:val="003B2FB4"/>
    <w:rsid w:val="003B663F"/>
    <w:rsid w:val="003C0334"/>
    <w:rsid w:val="003C380C"/>
    <w:rsid w:val="003E2056"/>
    <w:rsid w:val="003F459A"/>
    <w:rsid w:val="00402E00"/>
    <w:rsid w:val="00411D15"/>
    <w:rsid w:val="00426635"/>
    <w:rsid w:val="004266EC"/>
    <w:rsid w:val="00427BF7"/>
    <w:rsid w:val="00444C82"/>
    <w:rsid w:val="00465D1C"/>
    <w:rsid w:val="00466C55"/>
    <w:rsid w:val="00475983"/>
    <w:rsid w:val="004819FE"/>
    <w:rsid w:val="00487615"/>
    <w:rsid w:val="00487C58"/>
    <w:rsid w:val="00491868"/>
    <w:rsid w:val="00491C2D"/>
    <w:rsid w:val="004A13E8"/>
    <w:rsid w:val="004A1ACF"/>
    <w:rsid w:val="004A4591"/>
    <w:rsid w:val="004A72F0"/>
    <w:rsid w:val="004D0CD2"/>
    <w:rsid w:val="004D6220"/>
    <w:rsid w:val="004F741D"/>
    <w:rsid w:val="00520AC1"/>
    <w:rsid w:val="0052440B"/>
    <w:rsid w:val="005245D6"/>
    <w:rsid w:val="00526D82"/>
    <w:rsid w:val="005301EC"/>
    <w:rsid w:val="00542E91"/>
    <w:rsid w:val="00572DA6"/>
    <w:rsid w:val="00587E8F"/>
    <w:rsid w:val="005A7B1C"/>
    <w:rsid w:val="005B5548"/>
    <w:rsid w:val="005C4B3B"/>
    <w:rsid w:val="005C4D59"/>
    <w:rsid w:val="005F27B3"/>
    <w:rsid w:val="005F75B7"/>
    <w:rsid w:val="00611CD8"/>
    <w:rsid w:val="00627529"/>
    <w:rsid w:val="00645D6A"/>
    <w:rsid w:val="00653647"/>
    <w:rsid w:val="00654256"/>
    <w:rsid w:val="006548D6"/>
    <w:rsid w:val="0067434F"/>
    <w:rsid w:val="006A18CB"/>
    <w:rsid w:val="006A6F44"/>
    <w:rsid w:val="006A7305"/>
    <w:rsid w:val="006C5A42"/>
    <w:rsid w:val="006C6578"/>
    <w:rsid w:val="006D6B6D"/>
    <w:rsid w:val="006E045E"/>
    <w:rsid w:val="006E0EC7"/>
    <w:rsid w:val="006E4F49"/>
    <w:rsid w:val="006F12C6"/>
    <w:rsid w:val="006F445E"/>
    <w:rsid w:val="006F69AA"/>
    <w:rsid w:val="00713667"/>
    <w:rsid w:val="007164F9"/>
    <w:rsid w:val="0072231A"/>
    <w:rsid w:val="00731565"/>
    <w:rsid w:val="007370BC"/>
    <w:rsid w:val="00747848"/>
    <w:rsid w:val="007520A5"/>
    <w:rsid w:val="0076191F"/>
    <w:rsid w:val="0077029E"/>
    <w:rsid w:val="00793F4A"/>
    <w:rsid w:val="00794394"/>
    <w:rsid w:val="00795E58"/>
    <w:rsid w:val="007A0474"/>
    <w:rsid w:val="007A6F89"/>
    <w:rsid w:val="007B50B4"/>
    <w:rsid w:val="007C5835"/>
    <w:rsid w:val="007D13AF"/>
    <w:rsid w:val="007D2B19"/>
    <w:rsid w:val="007E07CC"/>
    <w:rsid w:val="007E554A"/>
    <w:rsid w:val="007E6753"/>
    <w:rsid w:val="00806120"/>
    <w:rsid w:val="00836CDB"/>
    <w:rsid w:val="00852191"/>
    <w:rsid w:val="008522A3"/>
    <w:rsid w:val="00852AF1"/>
    <w:rsid w:val="00852CE7"/>
    <w:rsid w:val="008827A9"/>
    <w:rsid w:val="00885EDC"/>
    <w:rsid w:val="00887488"/>
    <w:rsid w:val="00890282"/>
    <w:rsid w:val="008B0193"/>
    <w:rsid w:val="008B5D54"/>
    <w:rsid w:val="008C28A7"/>
    <w:rsid w:val="008D59DF"/>
    <w:rsid w:val="008E1791"/>
    <w:rsid w:val="008E4B87"/>
    <w:rsid w:val="008F36AA"/>
    <w:rsid w:val="008F3879"/>
    <w:rsid w:val="008F39A9"/>
    <w:rsid w:val="00901609"/>
    <w:rsid w:val="009050E9"/>
    <w:rsid w:val="00920978"/>
    <w:rsid w:val="00964130"/>
    <w:rsid w:val="00967E26"/>
    <w:rsid w:val="00976B79"/>
    <w:rsid w:val="00981FAD"/>
    <w:rsid w:val="0098432D"/>
    <w:rsid w:val="00985CCD"/>
    <w:rsid w:val="00987D13"/>
    <w:rsid w:val="0099425E"/>
    <w:rsid w:val="00997D0E"/>
    <w:rsid w:val="009A79E1"/>
    <w:rsid w:val="009B28F7"/>
    <w:rsid w:val="009B7ACE"/>
    <w:rsid w:val="009F5F88"/>
    <w:rsid w:val="00A114F3"/>
    <w:rsid w:val="00A12917"/>
    <w:rsid w:val="00A158B0"/>
    <w:rsid w:val="00A21A37"/>
    <w:rsid w:val="00A22B79"/>
    <w:rsid w:val="00A4072F"/>
    <w:rsid w:val="00A57C01"/>
    <w:rsid w:val="00A7157E"/>
    <w:rsid w:val="00A835C5"/>
    <w:rsid w:val="00A84D0B"/>
    <w:rsid w:val="00A87E4D"/>
    <w:rsid w:val="00AB0E46"/>
    <w:rsid w:val="00AB4A6C"/>
    <w:rsid w:val="00AB518F"/>
    <w:rsid w:val="00AB5E4C"/>
    <w:rsid w:val="00AC2454"/>
    <w:rsid w:val="00AE2E6E"/>
    <w:rsid w:val="00AE4084"/>
    <w:rsid w:val="00B0322F"/>
    <w:rsid w:val="00B05919"/>
    <w:rsid w:val="00B14B43"/>
    <w:rsid w:val="00B22037"/>
    <w:rsid w:val="00B339F0"/>
    <w:rsid w:val="00B36409"/>
    <w:rsid w:val="00B55735"/>
    <w:rsid w:val="00B608AC"/>
    <w:rsid w:val="00B73F8F"/>
    <w:rsid w:val="00B80B85"/>
    <w:rsid w:val="00B8680F"/>
    <w:rsid w:val="00BB2522"/>
    <w:rsid w:val="00BB418B"/>
    <w:rsid w:val="00BC09E8"/>
    <w:rsid w:val="00BC0A0C"/>
    <w:rsid w:val="00BC4F4C"/>
    <w:rsid w:val="00BD07B0"/>
    <w:rsid w:val="00BD1BE3"/>
    <w:rsid w:val="00BD75DA"/>
    <w:rsid w:val="00BD7C3C"/>
    <w:rsid w:val="00BF3480"/>
    <w:rsid w:val="00C054EE"/>
    <w:rsid w:val="00C05C6C"/>
    <w:rsid w:val="00C0660E"/>
    <w:rsid w:val="00C406A9"/>
    <w:rsid w:val="00C4088C"/>
    <w:rsid w:val="00C51E4B"/>
    <w:rsid w:val="00C57490"/>
    <w:rsid w:val="00C73215"/>
    <w:rsid w:val="00C75165"/>
    <w:rsid w:val="00C80931"/>
    <w:rsid w:val="00C94FFE"/>
    <w:rsid w:val="00C96CE0"/>
    <w:rsid w:val="00CA161E"/>
    <w:rsid w:val="00CA3874"/>
    <w:rsid w:val="00CD144C"/>
    <w:rsid w:val="00CD3608"/>
    <w:rsid w:val="00D41F4F"/>
    <w:rsid w:val="00D44107"/>
    <w:rsid w:val="00D651C6"/>
    <w:rsid w:val="00D72C69"/>
    <w:rsid w:val="00D86354"/>
    <w:rsid w:val="00D968DB"/>
    <w:rsid w:val="00DA60AE"/>
    <w:rsid w:val="00DB43EE"/>
    <w:rsid w:val="00DB5866"/>
    <w:rsid w:val="00DB63B9"/>
    <w:rsid w:val="00DC57CC"/>
    <w:rsid w:val="00DD18FA"/>
    <w:rsid w:val="00DE48C7"/>
    <w:rsid w:val="00E07A65"/>
    <w:rsid w:val="00E11C52"/>
    <w:rsid w:val="00E21A19"/>
    <w:rsid w:val="00E261E7"/>
    <w:rsid w:val="00E300D7"/>
    <w:rsid w:val="00E3053C"/>
    <w:rsid w:val="00E30706"/>
    <w:rsid w:val="00E30E8A"/>
    <w:rsid w:val="00E52691"/>
    <w:rsid w:val="00E67CC8"/>
    <w:rsid w:val="00E92FE9"/>
    <w:rsid w:val="00E953BF"/>
    <w:rsid w:val="00EC61A7"/>
    <w:rsid w:val="00ED73DB"/>
    <w:rsid w:val="00EE7941"/>
    <w:rsid w:val="00EF3B9F"/>
    <w:rsid w:val="00EF51F1"/>
    <w:rsid w:val="00F02D7D"/>
    <w:rsid w:val="00F0624A"/>
    <w:rsid w:val="00F31227"/>
    <w:rsid w:val="00F31580"/>
    <w:rsid w:val="00F31B1E"/>
    <w:rsid w:val="00F3763F"/>
    <w:rsid w:val="00F46733"/>
    <w:rsid w:val="00F46DAE"/>
    <w:rsid w:val="00F6661E"/>
    <w:rsid w:val="00F97F2F"/>
    <w:rsid w:val="00FA01E1"/>
    <w:rsid w:val="00FA45B3"/>
    <w:rsid w:val="00FA5192"/>
    <w:rsid w:val="00FA5744"/>
    <w:rsid w:val="00FB091A"/>
    <w:rsid w:val="00FC23EE"/>
    <w:rsid w:val="00FD1F76"/>
    <w:rsid w:val="0AE5E6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967E26"/>
    <w:rPr>
      <w:sz w:val="16"/>
      <w:szCs w:val="16"/>
    </w:rPr>
  </w:style>
  <w:style w:type="paragraph" w:styleId="CommentText">
    <w:name w:val="annotation text"/>
    <w:basedOn w:val="Normal"/>
    <w:link w:val="CommentTextChar"/>
    <w:uiPriority w:val="99"/>
    <w:unhideWhenUsed/>
    <w:rsid w:val="00967E26"/>
    <w:pPr>
      <w:spacing w:line="240" w:lineRule="auto"/>
    </w:pPr>
    <w:rPr>
      <w:sz w:val="20"/>
      <w:szCs w:val="20"/>
    </w:rPr>
  </w:style>
  <w:style w:type="character" w:customStyle="1" w:styleId="CommentTextChar">
    <w:name w:val="Comment Text Char"/>
    <w:basedOn w:val="DefaultParagraphFont"/>
    <w:link w:val="CommentText"/>
    <w:uiPriority w:val="99"/>
    <w:rsid w:val="00967E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7E26"/>
    <w:rPr>
      <w:b/>
      <w:bCs/>
    </w:rPr>
  </w:style>
  <w:style w:type="character" w:customStyle="1" w:styleId="CommentSubjectChar">
    <w:name w:val="Comment Subject Char"/>
    <w:basedOn w:val="CommentTextChar"/>
    <w:link w:val="CommentSubject"/>
    <w:uiPriority w:val="99"/>
    <w:semiHidden/>
    <w:rsid w:val="00967E26"/>
    <w:rPr>
      <w:rFonts w:ascii="Times New Roman" w:hAnsi="Times New Roman"/>
      <w:b/>
      <w:bCs/>
      <w:sz w:val="20"/>
      <w:szCs w:val="20"/>
    </w:rPr>
  </w:style>
  <w:style w:type="character" w:styleId="UnresolvedMention">
    <w:name w:val="Unresolved Mention"/>
    <w:basedOn w:val="DefaultParagraphFont"/>
    <w:uiPriority w:val="99"/>
    <w:semiHidden/>
    <w:unhideWhenUsed/>
    <w:rsid w:val="00967E26"/>
    <w:rPr>
      <w:color w:val="605E5C"/>
      <w:shd w:val="clear" w:color="auto" w:fill="E1DFDD"/>
    </w:rPr>
  </w:style>
  <w:style w:type="character" w:styleId="FollowedHyperlink">
    <w:name w:val="FollowedHyperlink"/>
    <w:basedOn w:val="DefaultParagraphFont"/>
    <w:uiPriority w:val="99"/>
    <w:semiHidden/>
    <w:unhideWhenUsed/>
    <w:rsid w:val="00967E26"/>
    <w:rPr>
      <w:color w:val="800080" w:themeColor="followedHyperlink"/>
      <w:u w:val="single"/>
    </w:rPr>
  </w:style>
  <w:style w:type="paragraph" w:styleId="Revision">
    <w:name w:val="Revision"/>
    <w:hidden/>
    <w:uiPriority w:val="99"/>
    <w:semiHidden/>
    <w:rsid w:val="000506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rl@cekpartners.com" TargetMode="External" /><Relationship Id="rId11" Type="http://schemas.openxmlformats.org/officeDocument/2006/relationships/hyperlink" Target="mailto:theresa@cekpartners.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mailto:carolyn@cekpartn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58A07F4AD4D47A173F3C0A411FDF7" ma:contentTypeVersion="16" ma:contentTypeDescription="Create a new document." ma:contentTypeScope="" ma:versionID="31968d9e118188bb1c9624071eec7ea9">
  <xsd:schema xmlns:xsd="http://www.w3.org/2001/XMLSchema" xmlns:xs="http://www.w3.org/2001/XMLSchema" xmlns:p="http://schemas.microsoft.com/office/2006/metadata/properties" xmlns:ns2="d4cd2318-15d6-487a-a67c-1bb65c8f11d1" xmlns:ns3="4160ed17-4e23-4fd8-ac5f-7e947e6000c7" targetNamespace="http://schemas.microsoft.com/office/2006/metadata/properties" ma:root="true" ma:fieldsID="bdc6723e134b5f01d160d84439294df8" ns2:_="" ns3:_="">
    <xsd:import namespace="d4cd2318-15d6-487a-a67c-1bb65c8f11d1"/>
    <xsd:import namespace="4160ed17-4e23-4fd8-ac5f-7e947e600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d2318-15d6-487a-a67c-1bb65c8f1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ed17-4e23-4fd8-ac5f-7e947e6000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39c3eb-9b22-4f49-82ba-64a21ce43c85}" ma:internalName="TaxCatchAll" ma:showField="CatchAllData" ma:web="4160ed17-4e23-4fd8-ac5f-7e947e60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d2318-15d6-487a-a67c-1bb65c8f11d1">
      <Terms xmlns="http://schemas.microsoft.com/office/infopath/2007/PartnerControls"/>
    </lcf76f155ced4ddcb4097134ff3c332f>
    <TaxCatchAll xmlns="4160ed17-4e23-4fd8-ac5f-7e947e6000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6E42-F796-42FE-A488-F7BE4E56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d2318-15d6-487a-a67c-1bb65c8f11d1"/>
    <ds:schemaRef ds:uri="4160ed17-4e23-4fd8-ac5f-7e947e60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d4cd2318-15d6-487a-a67c-1bb65c8f11d1"/>
    <ds:schemaRef ds:uri="4160ed17-4e23-4fd8-ac5f-7e947e6000c7"/>
  </ds:schemaRefs>
</ds:datastoreItem>
</file>

<file path=customXml/itemProps4.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1630</Words>
  <Characters>9292</Characters>
  <Application>Microsoft Office Word</Application>
  <DocSecurity>0</DocSecurity>
  <Lines>77</Lines>
  <Paragraphs>21</Paragraphs>
  <ScaleCrop>false</ScaleCrop>
  <Company>Centers for Disease Control and Prevention</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(CDC/DDID/NCEZID/OD)</cp:lastModifiedBy>
  <cp:revision>19</cp:revision>
  <dcterms:created xsi:type="dcterms:W3CDTF">2023-07-28T14:35:00Z</dcterms:created>
  <dcterms:modified xsi:type="dcterms:W3CDTF">2023-08-03T19:28:00Z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0x0101002EC58A07F4AD4D47A173F3C0A411FDF7</vt:lpwstr>
  </property>
  <property fmtid="{D5CDD505-2E9C-101B-9397-08002B2CF9AE}" pid="3" name="MediaServiceImageTags">
    <vt:lpwstr/>
  </property>
  <property fmtid="{D5CDD505-2E9C-101B-9397-08002B2CF9AE}" pid="4" name="MSIP_Label_7b94a7b8-f06c-4dfe-bdcc-9b548fd58c31_ActionId">
    <vt:lpwstr>1bd9928f-bb34-4294-a8ba-5b2633ff463e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2023-08-03T19:09:02Z</vt:lpwstr>
  </property>
  <property fmtid="{D5CDD505-2E9C-101B-9397-08002B2CF9AE}" pid="10" name="MSIP_Label_7b94a7b8-f06c-4dfe-bdcc-9b548fd58c31_SiteId">
    <vt:lpwstr>9ce70869-60db-44fd-abe8-d2767077fc8f</vt:lpwstr>
  </property>
  <property fmtid="{D5CDD505-2E9C-101B-9397-08002B2CF9AE}" pid="11" name="_dlc_DocIdItemGuid">
    <vt:lpwstr>2f65c5a5-b25d-4476-bf18-54d2b4c4f1e7</vt:lpwstr>
  </property>
</Properties>
</file>