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5C2B" w14:paraId="00000001" w14:textId="77777777">
      <w:pPr>
        <w:pStyle w:val="Normal2"/>
      </w:pPr>
      <w:bookmarkStart w:id="0" w:name="_heading=h.gjdgxs" w:colFirst="0" w:colLast="0"/>
      <w:bookmarkEnd w:id="0"/>
    </w:p>
    <w:p w:rsidR="003D5C2B" w14:paraId="00000002" w14:textId="77777777">
      <w:pPr>
        <w:pStyle w:val="Normal2"/>
        <w:jc w:val="center"/>
        <w:rPr>
          <w:b/>
        </w:rPr>
      </w:pPr>
    </w:p>
    <w:p w:rsidR="00EC4E2A" w:rsidRPr="00FE36FD" w:rsidP="00EC4E2A" w14:paraId="476DD912" w14:textId="77777777">
      <w:pPr>
        <w:pStyle w:val="coverdate"/>
        <w:jc w:val="center"/>
        <w:rPr>
          <w:rFonts w:eastAsiaTheme="minorHAnsi" w:cs="Arial"/>
          <w:b/>
          <w:sz w:val="24"/>
          <w:szCs w:val="24"/>
        </w:rPr>
      </w:pPr>
      <w:r w:rsidRPr="00FE36FD">
        <w:rPr>
          <w:rFonts w:eastAsiaTheme="minorHAnsi" w:cs="Arial"/>
          <w:b/>
          <w:sz w:val="24"/>
          <w:szCs w:val="24"/>
        </w:rPr>
        <w:t xml:space="preserve">CDC/ATSDR Formative Research and Tool Development </w:t>
      </w:r>
    </w:p>
    <w:p w:rsidR="00EC4E2A" w:rsidRPr="00FE36FD" w:rsidP="00EC4E2A" w14:paraId="5C2D638D" w14:textId="77777777">
      <w:pPr>
        <w:pStyle w:val="coverdate"/>
        <w:jc w:val="center"/>
        <w:rPr>
          <w:rFonts w:eastAsiaTheme="minorHAnsi" w:cs="Arial"/>
          <w:b/>
          <w:sz w:val="24"/>
          <w:szCs w:val="24"/>
        </w:rPr>
      </w:pPr>
    </w:p>
    <w:p w:rsidR="00EC4E2A" w:rsidRPr="00FE36FD" w:rsidP="00EC4E2A" w14:paraId="5450F429" w14:textId="77777777">
      <w:pPr>
        <w:pStyle w:val="coverdate"/>
        <w:jc w:val="center"/>
        <w:rPr>
          <w:rFonts w:eastAsiaTheme="minorHAnsi" w:cs="Arial"/>
          <w:b/>
          <w:sz w:val="24"/>
          <w:szCs w:val="24"/>
        </w:rPr>
      </w:pPr>
      <w:r w:rsidRPr="00FE36FD">
        <w:rPr>
          <w:rFonts w:eastAsiaTheme="minorHAnsi" w:cs="Arial"/>
          <w:b/>
          <w:sz w:val="24"/>
          <w:szCs w:val="24"/>
        </w:rPr>
        <w:t>OMB# 0920-1154</w:t>
      </w:r>
    </w:p>
    <w:p w:rsidR="003D5C2B" w14:paraId="00000005" w14:textId="365600BA">
      <w:pPr>
        <w:pStyle w:val="Normal2"/>
      </w:pPr>
    </w:p>
    <w:p w:rsidR="00EC4E2A" w:rsidRPr="00EC4E2A" w:rsidP="00EC4E2A" w14:paraId="788B9446" w14:textId="42F12EA3">
      <w:pPr>
        <w:pStyle w:val="Normal2"/>
        <w:jc w:val="center"/>
        <w:rPr>
          <w:rFonts w:ascii="Arial" w:hAnsi="Arial" w:cs="Arial"/>
          <w:b/>
          <w:bCs/>
        </w:rPr>
      </w:pPr>
      <w:r w:rsidRPr="00EC4E2A">
        <w:rPr>
          <w:rFonts w:ascii="Arial" w:hAnsi="Arial" w:cs="Arial"/>
          <w:b/>
          <w:bCs/>
        </w:rPr>
        <w:t>S</w:t>
      </w:r>
      <w:r w:rsidR="00625A53">
        <w:rPr>
          <w:rFonts w:ascii="Arial" w:hAnsi="Arial" w:cs="Arial"/>
          <w:b/>
          <w:bCs/>
        </w:rPr>
        <w:t>UPPORTING STATEMENT</w:t>
      </w:r>
      <w:r w:rsidRPr="00EC4E2A">
        <w:rPr>
          <w:rFonts w:ascii="Arial" w:hAnsi="Arial" w:cs="Arial"/>
          <w:b/>
          <w:bCs/>
        </w:rPr>
        <w:t xml:space="preserve">: </w:t>
      </w:r>
      <w:r w:rsidR="00625A53">
        <w:rPr>
          <w:rFonts w:ascii="Arial" w:hAnsi="Arial" w:cs="Arial"/>
          <w:b/>
          <w:bCs/>
        </w:rPr>
        <w:t>PART B</w:t>
      </w:r>
    </w:p>
    <w:p w:rsidR="00EC4E2A" w14:paraId="2C7ED625" w14:textId="77777777">
      <w:pPr>
        <w:pStyle w:val="Normal2"/>
        <w:spacing w:after="0" w:line="240" w:lineRule="auto"/>
        <w:jc w:val="center"/>
        <w:rPr>
          <w:b/>
          <w:color w:val="222222"/>
          <w:sz w:val="48"/>
          <w:szCs w:val="48"/>
          <w:highlight w:val="white"/>
        </w:rPr>
      </w:pPr>
    </w:p>
    <w:p w:rsidR="00EC4E2A" w14:paraId="67CE848B" w14:textId="77777777">
      <w:pPr>
        <w:pStyle w:val="Normal2"/>
        <w:spacing w:after="0" w:line="240" w:lineRule="auto"/>
        <w:jc w:val="center"/>
        <w:rPr>
          <w:b/>
          <w:color w:val="222222"/>
          <w:sz w:val="48"/>
          <w:szCs w:val="48"/>
          <w:highlight w:val="white"/>
        </w:rPr>
      </w:pPr>
    </w:p>
    <w:p w:rsidR="540FBDFC" w:rsidP="12C53880" w14:paraId="0319E221" w14:textId="4B7A8A9B">
      <w:pPr>
        <w:spacing w:after="0"/>
        <w:jc w:val="center"/>
      </w:pPr>
      <w:r w:rsidRPr="12C53880">
        <w:rPr>
          <w:color w:val="222222"/>
          <w:sz w:val="28"/>
          <w:szCs w:val="28"/>
        </w:rPr>
        <w:t xml:space="preserve">Evaluating Content and Usability of CDC’s Clinical Heat Guidance </w:t>
      </w:r>
    </w:p>
    <w:p w:rsidR="12C53880" w:rsidP="12C53880" w14:paraId="362F9A3F" w14:textId="1FD05DC5">
      <w:pPr>
        <w:spacing w:after="0"/>
      </w:pPr>
    </w:p>
    <w:p w:rsidR="12C53880" w:rsidP="12C53880" w14:paraId="5644184F" w14:textId="71FA8954">
      <w:pPr>
        <w:pStyle w:val="Normal2"/>
        <w:spacing w:after="0" w:line="240" w:lineRule="auto"/>
        <w:jc w:val="center"/>
        <w:rPr>
          <w:rFonts w:ascii="Arial" w:hAnsi="Arial" w:cs="Arial"/>
          <w:color w:val="222222"/>
          <w:highlight w:val="white"/>
        </w:rPr>
      </w:pPr>
    </w:p>
    <w:p w:rsidR="003D5C2B" w14:paraId="00000007" w14:textId="77777777">
      <w:pPr>
        <w:pStyle w:val="Normal2"/>
        <w:spacing w:after="0" w:line="240" w:lineRule="auto"/>
        <w:jc w:val="center"/>
        <w:rPr>
          <w:b/>
          <w:color w:val="222222"/>
          <w:sz w:val="48"/>
          <w:szCs w:val="48"/>
          <w:highlight w:val="white"/>
        </w:rPr>
      </w:pPr>
    </w:p>
    <w:p w:rsidR="002D31BD" w:rsidRPr="0095655E" w:rsidP="002D31BD" w14:paraId="3D96F838" w14:textId="5800DCB1">
      <w:pPr>
        <w:pStyle w:val="Normal2"/>
        <w:jc w:val="center"/>
      </w:pPr>
      <w:r>
        <w:t>November 1</w:t>
      </w:r>
      <w:r w:rsidR="002E238F">
        <w:t>8</w:t>
      </w:r>
      <w:r>
        <w:t>, 2024</w:t>
      </w:r>
    </w:p>
    <w:p w:rsidR="003D5C2B" w14:paraId="00000008" w14:textId="77777777">
      <w:pPr>
        <w:pStyle w:val="Normal2"/>
        <w:spacing w:after="0" w:line="240" w:lineRule="auto"/>
        <w:jc w:val="center"/>
        <w:rPr>
          <w:b/>
          <w:sz w:val="48"/>
          <w:szCs w:val="48"/>
        </w:rPr>
      </w:pPr>
    </w:p>
    <w:p w:rsidR="003D5C2B" w14:paraId="00000009" w14:textId="77777777">
      <w:pPr>
        <w:pStyle w:val="Normal2"/>
        <w:spacing w:after="0" w:line="240" w:lineRule="auto"/>
        <w:jc w:val="center"/>
        <w:rPr>
          <w:b/>
          <w:sz w:val="48"/>
          <w:szCs w:val="48"/>
        </w:rPr>
      </w:pPr>
    </w:p>
    <w:p w:rsidR="003D5C2B" w14:paraId="0000000A" w14:textId="77777777">
      <w:pPr>
        <w:pStyle w:val="Normal2"/>
        <w:spacing w:after="0" w:line="240" w:lineRule="auto"/>
        <w:jc w:val="center"/>
        <w:rPr>
          <w:b/>
        </w:rPr>
      </w:pPr>
    </w:p>
    <w:p w:rsidR="003D5C2B" w14:paraId="0000000B" w14:textId="77777777">
      <w:pPr>
        <w:pStyle w:val="Normal2"/>
        <w:spacing w:after="0" w:line="240" w:lineRule="auto"/>
        <w:jc w:val="center"/>
        <w:rPr>
          <w:b/>
        </w:rPr>
      </w:pPr>
    </w:p>
    <w:p w:rsidR="003D5C2B" w14:paraId="00000011" w14:textId="54557A40">
      <w:pPr>
        <w:pStyle w:val="Normal2"/>
        <w:spacing w:after="0" w:line="240" w:lineRule="auto"/>
      </w:pPr>
    </w:p>
    <w:p w:rsidR="00EC4E2A" w14:paraId="6E3FBF6A" w14:textId="77777777">
      <w:pPr>
        <w:pStyle w:val="Normal2"/>
        <w:spacing w:after="0" w:line="240" w:lineRule="auto"/>
        <w:rPr>
          <w:b/>
        </w:rPr>
      </w:pPr>
    </w:p>
    <w:p w:rsidR="003D5C2B" w14:paraId="00000012" w14:textId="77777777">
      <w:pPr>
        <w:pStyle w:val="Normal2"/>
        <w:spacing w:after="0" w:line="240" w:lineRule="auto"/>
        <w:rPr>
          <w:b/>
        </w:rPr>
      </w:pPr>
    </w:p>
    <w:p w:rsidR="003D5C2B" w14:paraId="00000013" w14:textId="77777777">
      <w:pPr>
        <w:pStyle w:val="Normal2"/>
        <w:spacing w:after="0" w:line="240" w:lineRule="auto"/>
        <w:rPr>
          <w:b/>
        </w:rPr>
      </w:pPr>
    </w:p>
    <w:p w:rsidR="003D5C2B" w14:paraId="00000014" w14:textId="77777777">
      <w:pPr>
        <w:pStyle w:val="Normal2"/>
        <w:spacing w:after="0" w:line="240" w:lineRule="auto"/>
        <w:rPr>
          <w:b/>
        </w:rPr>
      </w:pPr>
    </w:p>
    <w:p w:rsidR="003D5C2B" w14:paraId="00000015" w14:textId="77777777">
      <w:pPr>
        <w:pStyle w:val="Normal2"/>
        <w:spacing w:after="0" w:line="240" w:lineRule="auto"/>
        <w:rPr>
          <w:b/>
        </w:rPr>
      </w:pPr>
    </w:p>
    <w:p w:rsidR="003D5C2B" w14:paraId="00000016" w14:textId="77777777">
      <w:pPr>
        <w:pStyle w:val="Normal2"/>
        <w:spacing w:after="0" w:line="240" w:lineRule="auto"/>
        <w:rPr>
          <w:b/>
        </w:rPr>
      </w:pPr>
    </w:p>
    <w:p w:rsidR="003D5C2B" w14:paraId="00000017" w14:textId="77777777">
      <w:pPr>
        <w:pStyle w:val="Normal2"/>
        <w:spacing w:after="0" w:line="240" w:lineRule="auto"/>
        <w:rPr>
          <w:b/>
        </w:rPr>
      </w:pPr>
    </w:p>
    <w:p w:rsidR="003D5C2B" w14:paraId="00000018" w14:textId="77777777">
      <w:pPr>
        <w:pStyle w:val="Normal2"/>
        <w:spacing w:after="0" w:line="240" w:lineRule="auto"/>
        <w:rPr>
          <w:b/>
        </w:rPr>
      </w:pPr>
    </w:p>
    <w:p w:rsidR="00793636" w:rsidP="12C53880" w14:paraId="203A17DC" w14:textId="5C5A7DCE">
      <w:pPr>
        <w:pStyle w:val="Normal2"/>
        <w:pBdr>
          <w:top w:val="nil"/>
          <w:left w:val="nil"/>
          <w:bottom w:val="nil"/>
          <w:right w:val="nil"/>
          <w:between w:val="nil"/>
        </w:pBdr>
        <w:spacing w:after="0" w:line="240" w:lineRule="auto"/>
        <w:rPr>
          <w:b/>
          <w:bCs/>
        </w:rPr>
      </w:pPr>
    </w:p>
    <w:p w:rsidR="003D5C2B" w14:paraId="0000001D" w14:textId="23EDB739">
      <w:pPr>
        <w:pStyle w:val="Normal2"/>
        <w:spacing w:after="0" w:line="240" w:lineRule="auto"/>
        <w:rPr>
          <w:b/>
        </w:rPr>
      </w:pPr>
      <w:r>
        <w:rPr>
          <w:b/>
        </w:rPr>
        <w:t xml:space="preserve">Contact: </w:t>
      </w:r>
      <w:r w:rsidR="00CE0CC9">
        <w:rPr>
          <w:b/>
        </w:rPr>
        <w:t xml:space="preserve">Laura Seeff, MD </w:t>
      </w:r>
    </w:p>
    <w:p w:rsidR="003D5C2B" w14:paraId="0000001E" w14:textId="0EA3EC5C">
      <w:pPr>
        <w:pStyle w:val="Normal2"/>
        <w:spacing w:after="0" w:line="240" w:lineRule="auto"/>
      </w:pPr>
      <w:r>
        <w:t>Senior Medical Advisor</w:t>
      </w:r>
    </w:p>
    <w:p w:rsidR="003D5C2B" w14:paraId="0000001F" w14:textId="16944949">
      <w:pPr>
        <w:pStyle w:val="Normal2"/>
        <w:spacing w:after="0" w:line="240" w:lineRule="auto"/>
      </w:pPr>
      <w:r>
        <w:t>Office of the Director</w:t>
      </w:r>
    </w:p>
    <w:p w:rsidR="003D5C2B" w14:paraId="00000020" w14:textId="590A0ADC">
      <w:pPr>
        <w:pStyle w:val="Normal2"/>
        <w:spacing w:after="0" w:line="240" w:lineRule="auto"/>
      </w:pPr>
      <w:r>
        <w:t>National Center for Environmental Health | Agency for Toxic Substances and Disease Registry</w:t>
      </w:r>
    </w:p>
    <w:p w:rsidR="003D5C2B" w14:paraId="00000021" w14:textId="77777777">
      <w:pPr>
        <w:pStyle w:val="Normal2"/>
        <w:spacing w:after="0" w:line="240" w:lineRule="auto"/>
      </w:pPr>
      <w:r>
        <w:t>Centers for Disease Control and Prevention (CDC)</w:t>
      </w:r>
    </w:p>
    <w:p w:rsidR="003D5C2B" w14:paraId="00000022" w14:textId="77777777">
      <w:pPr>
        <w:pStyle w:val="Normal2"/>
        <w:spacing w:after="0" w:line="240" w:lineRule="auto"/>
      </w:pPr>
      <w:r>
        <w:t>4770 Buford Hwy NE, MS S106</w:t>
      </w:r>
    </w:p>
    <w:p w:rsidR="003D5C2B" w14:paraId="00000023" w14:textId="77777777">
      <w:pPr>
        <w:pStyle w:val="Normal2"/>
        <w:spacing w:after="0" w:line="240" w:lineRule="auto"/>
      </w:pPr>
      <w:r>
        <w:t>Atlanta, Georgia 30341</w:t>
      </w:r>
    </w:p>
    <w:p w:rsidR="003D5C2B" w14:paraId="00000024" w14:textId="7E4EABDB">
      <w:pPr>
        <w:pStyle w:val="Normal2"/>
        <w:spacing w:after="0" w:line="240" w:lineRule="auto"/>
      </w:pPr>
      <w:r>
        <w:t xml:space="preserve">Phone: </w:t>
      </w:r>
      <w:r w:rsidR="007868B3">
        <w:t>404-452-1902</w:t>
      </w:r>
    </w:p>
    <w:p w:rsidR="003D5C2B" w14:paraId="00000025" w14:textId="4EDEB09D">
      <w:pPr>
        <w:pStyle w:val="Normal2"/>
        <w:spacing w:after="0" w:line="240" w:lineRule="auto"/>
        <w:rPr>
          <w:b/>
        </w:rPr>
      </w:pPr>
      <w:r>
        <w:t xml:space="preserve">Email: </w:t>
      </w:r>
      <w:r w:rsidR="007868B3">
        <w:t>lseeff</w:t>
      </w:r>
      <w:r>
        <w:t>@cdc.gov</w:t>
      </w:r>
    </w:p>
    <w:p w:rsidR="003D5C2B" w14:paraId="00000026" w14:textId="77777777">
      <w:pPr>
        <w:pStyle w:val="Normal2"/>
        <w:pBdr>
          <w:top w:val="nil"/>
          <w:left w:val="nil"/>
          <w:bottom w:val="nil"/>
          <w:right w:val="nil"/>
          <w:between w:val="nil"/>
        </w:pBdr>
        <w:spacing w:after="0" w:line="240" w:lineRule="auto"/>
        <w:rPr>
          <w:color w:val="000000"/>
        </w:rPr>
      </w:pPr>
    </w:p>
    <w:p w:rsidR="003D5C2B" w:rsidRPr="00D109D2" w14:paraId="00000027" w14:textId="77777777">
      <w:pPr>
        <w:pStyle w:val="heading42"/>
      </w:pPr>
      <w:r w:rsidRPr="00D109D2">
        <w:t>Table of Contents</w:t>
      </w:r>
    </w:p>
    <w:sdt>
      <w:sdtPr>
        <w:id w:val="1587437852"/>
        <w:docPartObj>
          <w:docPartGallery w:val="Table of Contents"/>
          <w:docPartUnique/>
        </w:docPartObj>
      </w:sdtPr>
      <w:sdtContent>
        <w:p w:rsidR="003D5C2B" w:rsidRPr="00D109D2" w14:paraId="00000028" w14:textId="77777777">
          <w:pPr>
            <w:pStyle w:val="Normal2"/>
            <w:pBdr>
              <w:top w:val="nil"/>
              <w:left w:val="nil"/>
              <w:bottom w:val="nil"/>
              <w:right w:val="nil"/>
              <w:between w:val="nil"/>
            </w:pBdr>
            <w:tabs>
              <w:tab w:val="right" w:pos="10070"/>
            </w:tabs>
            <w:spacing w:after="100"/>
            <w:ind w:left="240"/>
            <w:rPr>
              <w:color w:val="000000"/>
            </w:rPr>
          </w:pPr>
          <w:r w:rsidRPr="00D109D2">
            <w:fldChar w:fldCharType="begin"/>
          </w:r>
          <w:r w:rsidRPr="00D109D2">
            <w:instrText xml:space="preserve"> TOC \h \u \z </w:instrText>
          </w:r>
          <w:r w:rsidRPr="00D109D2">
            <w:fldChar w:fldCharType="separate"/>
          </w:r>
        </w:p>
        <w:p w:rsidR="003D5C2B" w:rsidRPr="00D109D2" w14:paraId="00000029" w14:textId="77777777">
          <w:pPr>
            <w:pStyle w:val="Normal2"/>
            <w:pBdr>
              <w:top w:val="nil"/>
              <w:left w:val="nil"/>
              <w:bottom w:val="nil"/>
              <w:right w:val="nil"/>
              <w:between w:val="nil"/>
            </w:pBdr>
            <w:tabs>
              <w:tab w:val="left" w:pos="480"/>
              <w:tab w:val="right" w:pos="10070"/>
            </w:tabs>
            <w:spacing w:after="100"/>
            <w:rPr>
              <w:rFonts w:ascii="Calibri" w:eastAsia="Calibri" w:hAnsi="Calibri" w:cs="Calibri"/>
            </w:rPr>
          </w:pPr>
          <w:r w:rsidRPr="00D109D2">
            <w:t>1.</w:t>
          </w:r>
          <w:r w:rsidRPr="00D109D2">
            <w:rPr>
              <w:rFonts w:ascii="Calibri" w:eastAsia="Calibri" w:hAnsi="Calibri" w:cs="Calibri"/>
            </w:rPr>
            <w:tab/>
          </w:r>
          <w:r w:rsidRPr="00D109D2">
            <w:fldChar w:fldCharType="begin"/>
          </w:r>
          <w:r w:rsidRPr="00D109D2">
            <w:instrText xml:space="preserve"> PAGEREF bookmark=id.wyup2higg022 \h </w:instrText>
          </w:r>
          <w:r w:rsidRPr="00D109D2">
            <w:fldChar w:fldCharType="separate"/>
          </w:r>
          <w:r w:rsidRPr="00D109D2">
            <w:rPr>
              <w:color w:val="1155CC"/>
              <w:u w:val="single"/>
            </w:rPr>
            <w:t>Respondent Universe and Sampling Methods</w:t>
          </w:r>
          <w:r w:rsidRPr="00D109D2">
            <w:fldChar w:fldCharType="end"/>
          </w:r>
          <w:r w:rsidRPr="00D109D2">
            <w:tab/>
            <w:t>3</w:t>
          </w:r>
        </w:p>
        <w:p w:rsidR="003D5C2B" w:rsidRPr="00D109D2" w14:paraId="0000002A" w14:textId="77777777">
          <w:pPr>
            <w:pStyle w:val="Normal2"/>
            <w:pBdr>
              <w:top w:val="nil"/>
              <w:left w:val="nil"/>
              <w:bottom w:val="nil"/>
              <w:right w:val="nil"/>
              <w:between w:val="nil"/>
            </w:pBdr>
            <w:tabs>
              <w:tab w:val="left" w:pos="480"/>
              <w:tab w:val="right" w:pos="10070"/>
            </w:tabs>
            <w:spacing w:after="100"/>
            <w:rPr>
              <w:rFonts w:ascii="Calibri" w:eastAsia="Calibri" w:hAnsi="Calibri" w:cs="Calibri"/>
            </w:rPr>
          </w:pPr>
          <w:r w:rsidRPr="00D109D2">
            <w:t>2.</w:t>
          </w:r>
          <w:r w:rsidRPr="00D109D2">
            <w:rPr>
              <w:rFonts w:ascii="Calibri" w:eastAsia="Calibri" w:hAnsi="Calibri" w:cs="Calibri"/>
            </w:rPr>
            <w:tab/>
          </w:r>
          <w:r w:rsidRPr="00D109D2">
            <w:fldChar w:fldCharType="begin"/>
          </w:r>
          <w:r w:rsidRPr="00D109D2">
            <w:instrText xml:space="preserve"> PAGEREF bookmark=id.eta5xrp9b45y \h </w:instrText>
          </w:r>
          <w:r w:rsidRPr="00D109D2">
            <w:fldChar w:fldCharType="separate"/>
          </w:r>
          <w:r w:rsidRPr="00D109D2">
            <w:rPr>
              <w:color w:val="1155CC"/>
              <w:u w:val="single"/>
            </w:rPr>
            <w:t>Procedures for the Collection of Information</w:t>
          </w:r>
          <w:r w:rsidRPr="00D109D2">
            <w:fldChar w:fldCharType="end"/>
          </w:r>
          <w:r w:rsidRPr="00D109D2">
            <w:tab/>
            <w:t>3</w:t>
          </w:r>
        </w:p>
        <w:p w:rsidR="003D5C2B" w:rsidRPr="00D109D2" w14:paraId="0000002B" w14:textId="77777777">
          <w:pPr>
            <w:pStyle w:val="Normal2"/>
            <w:pBdr>
              <w:top w:val="nil"/>
              <w:left w:val="nil"/>
              <w:bottom w:val="nil"/>
              <w:right w:val="nil"/>
              <w:between w:val="nil"/>
            </w:pBdr>
            <w:tabs>
              <w:tab w:val="left" w:pos="480"/>
              <w:tab w:val="right" w:pos="10070"/>
            </w:tabs>
            <w:spacing w:after="100"/>
            <w:rPr>
              <w:rFonts w:ascii="Calibri" w:eastAsia="Calibri" w:hAnsi="Calibri" w:cs="Calibri"/>
            </w:rPr>
          </w:pPr>
          <w:r w:rsidRPr="00D109D2">
            <w:t>3.</w:t>
          </w:r>
          <w:r w:rsidRPr="00D109D2">
            <w:rPr>
              <w:rFonts w:ascii="Calibri" w:eastAsia="Calibri" w:hAnsi="Calibri" w:cs="Calibri"/>
            </w:rPr>
            <w:tab/>
          </w:r>
          <w:r w:rsidRPr="00D109D2">
            <w:fldChar w:fldCharType="begin"/>
          </w:r>
          <w:r w:rsidRPr="00D109D2">
            <w:instrText xml:space="preserve"> PAGEREF bookmark=id.b64fiecm51dy \h </w:instrText>
          </w:r>
          <w:r w:rsidRPr="00D109D2">
            <w:fldChar w:fldCharType="separate"/>
          </w:r>
          <w:r w:rsidRPr="00D109D2">
            <w:rPr>
              <w:color w:val="1155CC"/>
              <w:u w:val="single"/>
            </w:rPr>
            <w:t>Methods to Maximize Response Rates and Deal with No Response</w:t>
          </w:r>
          <w:r w:rsidRPr="00D109D2">
            <w:fldChar w:fldCharType="end"/>
          </w:r>
          <w:r w:rsidRPr="00D109D2">
            <w:tab/>
            <w:t>5</w:t>
          </w:r>
        </w:p>
        <w:p w:rsidR="003D5C2B" w:rsidRPr="00D109D2" w14:paraId="0000002C" w14:textId="77777777">
          <w:pPr>
            <w:pStyle w:val="Normal2"/>
            <w:pBdr>
              <w:top w:val="nil"/>
              <w:left w:val="nil"/>
              <w:bottom w:val="nil"/>
              <w:right w:val="nil"/>
              <w:between w:val="nil"/>
            </w:pBdr>
            <w:tabs>
              <w:tab w:val="left" w:pos="480"/>
              <w:tab w:val="right" w:pos="10070"/>
            </w:tabs>
            <w:spacing w:after="100"/>
            <w:rPr>
              <w:rFonts w:ascii="Calibri" w:eastAsia="Calibri" w:hAnsi="Calibri" w:cs="Calibri"/>
            </w:rPr>
          </w:pPr>
          <w:r w:rsidRPr="00D109D2">
            <w:t>4.</w:t>
          </w:r>
          <w:r w:rsidRPr="00D109D2">
            <w:rPr>
              <w:rFonts w:ascii="Calibri" w:eastAsia="Calibri" w:hAnsi="Calibri" w:cs="Calibri"/>
            </w:rPr>
            <w:tab/>
          </w:r>
          <w:r w:rsidRPr="00D109D2">
            <w:fldChar w:fldCharType="begin"/>
          </w:r>
          <w:r w:rsidRPr="00D109D2">
            <w:instrText xml:space="preserve"> PAGEREF bookmark=id.otp25ij9u7j \h </w:instrText>
          </w:r>
          <w:r w:rsidRPr="00D109D2">
            <w:fldChar w:fldCharType="separate"/>
          </w:r>
          <w:r w:rsidRPr="00D109D2">
            <w:rPr>
              <w:color w:val="1155CC"/>
              <w:u w:val="single"/>
            </w:rPr>
            <w:t>Tests of Procedures or Methods to Be Undertaken</w:t>
          </w:r>
          <w:r w:rsidRPr="00D109D2">
            <w:fldChar w:fldCharType="end"/>
          </w:r>
          <w:r w:rsidRPr="00D109D2">
            <w:tab/>
            <w:t>6</w:t>
          </w:r>
        </w:p>
        <w:p w:rsidR="003D5C2B" w14:paraId="0000002D" w14:textId="77777777">
          <w:pPr>
            <w:pStyle w:val="Normal2"/>
            <w:pBdr>
              <w:top w:val="nil"/>
              <w:left w:val="nil"/>
              <w:bottom w:val="nil"/>
              <w:right w:val="nil"/>
              <w:between w:val="nil"/>
            </w:pBdr>
            <w:tabs>
              <w:tab w:val="left" w:pos="480"/>
              <w:tab w:val="right" w:pos="10070"/>
            </w:tabs>
            <w:spacing w:after="100"/>
            <w:rPr>
              <w:rFonts w:ascii="Calibri" w:eastAsia="Calibri" w:hAnsi="Calibri" w:cs="Calibri"/>
              <w:sz w:val="22"/>
              <w:szCs w:val="22"/>
            </w:rPr>
          </w:pPr>
          <w:r w:rsidRPr="00D109D2">
            <w:t>5.</w:t>
          </w:r>
          <w:r w:rsidRPr="00D109D2">
            <w:rPr>
              <w:rFonts w:ascii="Calibri" w:eastAsia="Calibri" w:hAnsi="Calibri" w:cs="Calibri"/>
            </w:rPr>
            <w:tab/>
          </w:r>
          <w:r w:rsidRPr="00D109D2">
            <w:fldChar w:fldCharType="begin"/>
          </w:r>
          <w:r w:rsidRPr="00D109D2">
            <w:instrText xml:space="preserve"> PAGEREF bookmark=id.cb7fmld552oc \h </w:instrText>
          </w:r>
          <w:r w:rsidRPr="00D109D2">
            <w:fldChar w:fldCharType="separate"/>
          </w:r>
          <w:r w:rsidRPr="00D109D2">
            <w:rPr>
              <w:color w:val="1155CC"/>
              <w:u w:val="single"/>
            </w:rPr>
            <w:t>Individuals Consulted on Statistical Aspects and Individuals Collecting and/or Analyzing Data</w:t>
          </w:r>
          <w:r w:rsidRPr="00D109D2">
            <w:fldChar w:fldCharType="end"/>
          </w:r>
          <w:r w:rsidRPr="00D109D2">
            <w:tab/>
            <w:t>6</w:t>
          </w:r>
          <w:r w:rsidRPr="00D109D2">
            <w:fldChar w:fldCharType="end"/>
          </w:r>
        </w:p>
      </w:sdtContent>
    </w:sdt>
    <w:p w:rsidR="003D5C2B" w14:paraId="0000002E" w14:textId="77777777">
      <w:pPr>
        <w:pStyle w:val="Normal2"/>
        <w:rPr>
          <w:sz w:val="22"/>
          <w:szCs w:val="22"/>
        </w:rPr>
      </w:pPr>
    </w:p>
    <w:p w:rsidR="003D5C2B" w14:paraId="0000002F" w14:textId="77777777">
      <w:pPr>
        <w:pStyle w:val="Normal2"/>
      </w:pPr>
      <w:bookmarkStart w:id="1" w:name="_heading=h.30j0zll" w:colFirst="0" w:colLast="0"/>
      <w:bookmarkEnd w:id="1"/>
    </w:p>
    <w:p w:rsidR="003D5C2B" w14:paraId="00000030" w14:textId="77777777">
      <w:pPr>
        <w:pStyle w:val="Normal2"/>
      </w:pPr>
      <w:bookmarkStart w:id="2" w:name="_heading=h.lap1jrqt6als" w:colFirst="0" w:colLast="0"/>
      <w:bookmarkEnd w:id="2"/>
    </w:p>
    <w:p w:rsidR="003D5C2B" w14:paraId="00000031" w14:textId="77777777">
      <w:pPr>
        <w:pStyle w:val="Normal2"/>
      </w:pPr>
      <w:bookmarkStart w:id="3" w:name="_heading=h.jpgfq7y5umng" w:colFirst="0" w:colLast="0"/>
      <w:bookmarkEnd w:id="3"/>
    </w:p>
    <w:p w:rsidR="003D5C2B" w14:paraId="00000032" w14:textId="77777777">
      <w:pPr>
        <w:pStyle w:val="Normal2"/>
      </w:pPr>
      <w:bookmarkStart w:id="4" w:name="_heading=h.r56d4g8zidj1" w:colFirst="0" w:colLast="0"/>
      <w:bookmarkEnd w:id="4"/>
    </w:p>
    <w:p w:rsidR="003D5C2B" w14:paraId="00000033" w14:textId="77777777">
      <w:pPr>
        <w:pStyle w:val="Normal2"/>
      </w:pPr>
      <w:bookmarkStart w:id="5" w:name="_heading=h.8b5af7eqwpqa" w:colFirst="0" w:colLast="0"/>
      <w:bookmarkEnd w:id="5"/>
    </w:p>
    <w:p w:rsidR="003D5C2B" w14:paraId="00000034" w14:textId="77777777">
      <w:pPr>
        <w:pStyle w:val="Normal2"/>
      </w:pPr>
      <w:bookmarkStart w:id="6" w:name="_heading=h.nnu4xqee762d" w:colFirst="0" w:colLast="0"/>
      <w:bookmarkEnd w:id="6"/>
    </w:p>
    <w:p w:rsidR="003D5C2B" w14:paraId="00000035" w14:textId="77777777">
      <w:pPr>
        <w:pStyle w:val="Normal2"/>
      </w:pPr>
      <w:bookmarkStart w:id="7" w:name="_heading=h.wm38pzrhvusx" w:colFirst="0" w:colLast="0"/>
      <w:bookmarkEnd w:id="7"/>
    </w:p>
    <w:p w:rsidR="003D5C2B" w14:paraId="00000036" w14:textId="77777777">
      <w:pPr>
        <w:pStyle w:val="Normal2"/>
      </w:pPr>
      <w:bookmarkStart w:id="8" w:name="_heading=h.s20enp5xmulv" w:colFirst="0" w:colLast="0"/>
      <w:bookmarkEnd w:id="8"/>
    </w:p>
    <w:p w:rsidR="003D5C2B" w14:paraId="00000037" w14:textId="77777777">
      <w:pPr>
        <w:pStyle w:val="Normal2"/>
      </w:pPr>
      <w:bookmarkStart w:id="9" w:name="_heading=h.789g5zj2xa9x" w:colFirst="0" w:colLast="0"/>
      <w:bookmarkEnd w:id="9"/>
    </w:p>
    <w:p w:rsidR="003D5C2B" w14:paraId="00000038" w14:textId="77777777">
      <w:pPr>
        <w:pStyle w:val="Normal2"/>
      </w:pPr>
      <w:bookmarkStart w:id="10" w:name="_heading=h.a2n6z089llmm" w:colFirst="0" w:colLast="0"/>
      <w:bookmarkEnd w:id="10"/>
    </w:p>
    <w:p w:rsidR="003D5C2B" w14:paraId="00000039" w14:textId="77777777">
      <w:pPr>
        <w:pStyle w:val="Normal2"/>
      </w:pPr>
      <w:bookmarkStart w:id="11" w:name="_heading=h.3rgy0p3po583" w:colFirst="0" w:colLast="0"/>
      <w:bookmarkEnd w:id="11"/>
    </w:p>
    <w:p w:rsidR="003D5C2B" w14:paraId="0000003A" w14:textId="77777777">
      <w:pPr>
        <w:pStyle w:val="Normal2"/>
      </w:pPr>
      <w:bookmarkStart w:id="12" w:name="_heading=h.jjraa31bdvoa" w:colFirst="0" w:colLast="0"/>
      <w:bookmarkEnd w:id="12"/>
    </w:p>
    <w:p w:rsidR="003D5C2B" w14:paraId="0000003B" w14:textId="77777777">
      <w:pPr>
        <w:pStyle w:val="Normal2"/>
      </w:pPr>
      <w:bookmarkStart w:id="13" w:name="_heading=h.ea14i4v6314l" w:colFirst="0" w:colLast="0"/>
      <w:bookmarkEnd w:id="13"/>
    </w:p>
    <w:p w:rsidR="003D5C2B" w14:paraId="0000003C" w14:textId="77777777">
      <w:pPr>
        <w:pStyle w:val="Normal2"/>
      </w:pPr>
      <w:bookmarkStart w:id="14" w:name="_heading=h.ptn1eimqehd5" w:colFirst="0" w:colLast="0"/>
      <w:bookmarkEnd w:id="14"/>
    </w:p>
    <w:p w:rsidR="003D5C2B" w14:paraId="0000003D" w14:textId="77777777">
      <w:pPr>
        <w:pStyle w:val="Normal2"/>
      </w:pPr>
      <w:bookmarkStart w:id="15" w:name="_heading=h.1ww6zw3mqxlz" w:colFirst="0" w:colLast="0"/>
      <w:bookmarkEnd w:id="15"/>
    </w:p>
    <w:p w:rsidR="003D5C2B" w14:paraId="0000003E" w14:textId="77777777">
      <w:pPr>
        <w:pStyle w:val="Normal2"/>
      </w:pPr>
    </w:p>
    <w:p w:rsidR="003D5C2B" w14:paraId="0000003F" w14:textId="77777777">
      <w:pPr>
        <w:pStyle w:val="Normal2"/>
      </w:pPr>
      <w:bookmarkStart w:id="16" w:name="_heading=h.ncwnyvl33lgt" w:colFirst="0" w:colLast="0"/>
      <w:bookmarkEnd w:id="16"/>
    </w:p>
    <w:p w:rsidR="003D5C2B" w14:paraId="00000040" w14:textId="77777777">
      <w:pPr>
        <w:pStyle w:val="Normal2"/>
      </w:pPr>
      <w:bookmarkStart w:id="17" w:name="_heading=h.f04bx7hvz8gd" w:colFirst="0" w:colLast="0"/>
      <w:bookmarkEnd w:id="17"/>
    </w:p>
    <w:p w:rsidR="003D5C2B" w:rsidRPr="00D109D2" w14:paraId="00000041" w14:textId="77777777">
      <w:pPr>
        <w:pStyle w:val="Normal2"/>
        <w:spacing w:after="0" w:line="240" w:lineRule="auto"/>
      </w:pPr>
      <w:r>
        <w:rPr>
          <w:sz w:val="20"/>
          <w:szCs w:val="20"/>
        </w:rPr>
        <w:br/>
      </w:r>
    </w:p>
    <w:p w:rsidR="003D5C2B" w:rsidRPr="00D109D2" w14:paraId="00000042" w14:textId="2723D379">
      <w:pPr>
        <w:pStyle w:val="heading12"/>
        <w:ind w:left="720"/>
        <w:rPr>
          <w:szCs w:val="24"/>
        </w:rPr>
      </w:pPr>
      <w:bookmarkStart w:id="18" w:name="bookmark=id.wyup2higg022"/>
      <w:bookmarkEnd w:id="18"/>
      <w:r w:rsidRPr="00D109D2">
        <w:rPr>
          <w:szCs w:val="24"/>
        </w:rPr>
        <w:t>Respondent Universe and Sampling Methods</w:t>
      </w:r>
    </w:p>
    <w:p w:rsidR="00D109D2" w:rsidP="00104460" w14:paraId="0F347C50" w14:textId="260819C8">
      <w:r>
        <w:t xml:space="preserve">The intended audience to receive the survey is clinicians practicing at CHCs across the US. Additional audiences include non-clinician CHC staff - such as community health workers (CHWs), patient educators, health and safety team members, patient navigators, and/or call center staff - who may also be sharing CDC’s clinical heat guidance with CHC patients.   The survey will be distributed to each of 1,496 nationwide health centers, also known as Community Health Centers (CHCs) or Federally Qualified Health Centers (FQHCs). This includes all Health Center Program awardees and look-alikes funded through the Health Resources and Services Administration (HRSA). Health centers (referred to in this document as CHCs) are local clinics that provide affordable health care to individuals and communities, including medical, dental, mental health, and other health care. </w:t>
      </w:r>
    </w:p>
    <w:p w:rsidR="003D5C2B" w:rsidRPr="00D109D2" w:rsidP="180BD04C" w14:paraId="0000004B" w14:textId="32F6C146">
      <w:r>
        <w:t xml:space="preserve">The invitation will be sent by NACHC to each Chief Medical Officer (CMO) email contact recorded in the 2023 Uniform Data Systems report among the total of 1,496 CHCs. If a CMO contact is not available for a particular CHC listed, the invitation will be sent to the Chief Executive Officer (CEO). Participants will be informed that CDC, NCFH, and NACHC are inviting the person in the CHC who is most likely to counsel CHC patients on heat protective measures to complete the survey. The initial CMO or CEO recipient of the invitation may fall into that category. The recipient will be instructed to complete the survey if they counsel CHC patients on heat protective measures </w:t>
      </w:r>
      <w:r w:rsidRPr="4E9DF9E8">
        <w:rPr>
          <w:i/>
          <w:iCs/>
        </w:rPr>
        <w:t>and</w:t>
      </w:r>
      <w:r>
        <w:t xml:space="preserve"> (</w:t>
      </w:r>
      <w:r w:rsidRPr="4E9DF9E8">
        <w:rPr>
          <w:i/>
          <w:iCs/>
        </w:rPr>
        <w:t>or</w:t>
      </w:r>
      <w:r>
        <w:t>, if</w:t>
      </w:r>
      <w:r>
        <w:t xml:space="preserve"> they don’t counsel on heat themselves) to send the survey to other clinicians and other clinic staff within their CHC who work with patient populations and are likely to use or distribute resources such as the CDC’s Heat and Health Guidance. Respondents could be a clinician, or other CHC staff members who are familiar with or used the CDC’s Heat and Health Guidance, or who may be responsible for implementing and disseminating new guidance at the CHC and could include a variety of disciplines. This could include community health workers, patient educators, health and safety team members, patient navigators, or call center staff. Multiple clinician and non-clinician staff members at a single health center may complete the survey.</w:t>
      </w:r>
    </w:p>
    <w:p w:rsidR="003D5C2B" w:rsidRPr="00D109D2" w:rsidP="180BD04C" w14:paraId="0000004D" w14:textId="170E1F4D">
      <w:pPr>
        <w:pStyle w:val="heading12"/>
        <w:rPr>
          <w:szCs w:val="24"/>
        </w:rPr>
      </w:pPr>
      <w:bookmarkStart w:id="19" w:name="bookmark=id.eta5xrp9b45y"/>
      <w:bookmarkStart w:id="20" w:name="_heading=h.8lt1iawfns6x"/>
      <w:bookmarkEnd w:id="19"/>
      <w:bookmarkEnd w:id="20"/>
      <w:r w:rsidRPr="00D109D2">
        <w:rPr>
          <w:szCs w:val="24"/>
        </w:rPr>
        <w:t>Procedures for the Collection of Information</w:t>
      </w:r>
    </w:p>
    <w:p w:rsidR="180BD04C" w:rsidRPr="00D109D2" w:rsidP="180BD04C" w14:paraId="46401285" w14:textId="2A01667C">
      <w:pPr>
        <w:pStyle w:val="Normal2"/>
        <w:spacing w:after="0"/>
      </w:pPr>
      <w:r w:rsidRPr="00D109D2">
        <w:t xml:space="preserve">Data will be collected via an online survey (see </w:t>
      </w:r>
      <w:r w:rsidRPr="00D109D2">
        <w:rPr>
          <w:b/>
          <w:bCs/>
          <w:highlight w:val="yellow"/>
        </w:rPr>
        <w:t>Attachment 1 – Survey Instrument</w:t>
      </w:r>
      <w:r w:rsidRPr="00D109D2">
        <w:rPr>
          <w:highlight w:val="yellow"/>
        </w:rPr>
        <w:t xml:space="preserve"> and </w:t>
      </w:r>
      <w:r w:rsidRPr="00D109D2">
        <w:rPr>
          <w:b/>
          <w:bCs/>
          <w:highlight w:val="yellow"/>
        </w:rPr>
        <w:t>Attachment 2 – Programmed Survey</w:t>
      </w:r>
      <w:r w:rsidRPr="00D109D2">
        <w:t xml:space="preserve">). Respondents will be recruited through a notification (see </w:t>
      </w:r>
      <w:r w:rsidRPr="00D109D2">
        <w:rPr>
          <w:b/>
          <w:bCs/>
          <w:highlight w:val="yellow"/>
        </w:rPr>
        <w:t>Attachment 3 – Recruitment Email</w:t>
      </w:r>
      <w:r w:rsidRPr="00D109D2">
        <w:t xml:space="preserve">) to the respondent universe (see </w:t>
      </w:r>
      <w:r w:rsidRPr="00D109D2">
        <w:rPr>
          <w:b/>
          <w:bCs/>
          <w:highlight w:val="yellow"/>
        </w:rPr>
        <w:t>Attachment 6 – Respondent Universe</w:t>
      </w:r>
      <w:r w:rsidRPr="00D109D2">
        <w:t>) via email. The email notification will explain:</w:t>
      </w:r>
    </w:p>
    <w:p w:rsidR="180BD04C" w:rsidRPr="00D109D2" w:rsidP="180BD04C" w14:paraId="533B287A" w14:textId="3558F1D0">
      <w:pPr>
        <w:pStyle w:val="ListParagraph"/>
        <w:numPr>
          <w:ilvl w:val="0"/>
          <w:numId w:val="6"/>
        </w:numPr>
        <w:spacing w:after="0" w:line="240" w:lineRule="auto"/>
        <w:ind w:left="1080"/>
        <w:rPr>
          <w:color w:val="000000" w:themeColor="text1"/>
        </w:rPr>
      </w:pPr>
      <w:r w:rsidRPr="00D109D2">
        <w:rPr>
          <w:color w:val="000000" w:themeColor="text1"/>
        </w:rPr>
        <w:t xml:space="preserve">The purpose of the data collection, and why their participation is </w:t>
      </w:r>
      <w:r w:rsidRPr="00D109D2">
        <w:rPr>
          <w:color w:val="000000" w:themeColor="text1"/>
        </w:rPr>
        <w:t>important;</w:t>
      </w:r>
      <w:r w:rsidRPr="00D109D2">
        <w:rPr>
          <w:color w:val="000000" w:themeColor="text1"/>
        </w:rPr>
        <w:t xml:space="preserve"> </w:t>
      </w:r>
    </w:p>
    <w:p w:rsidR="180BD04C" w:rsidRPr="00D109D2" w:rsidP="180BD04C" w14:paraId="16AEDB35" w14:textId="5252F873">
      <w:pPr>
        <w:pStyle w:val="ListParagraph"/>
        <w:numPr>
          <w:ilvl w:val="0"/>
          <w:numId w:val="6"/>
        </w:numPr>
        <w:spacing w:after="0" w:line="240" w:lineRule="auto"/>
        <w:ind w:left="1080"/>
        <w:rPr>
          <w:color w:val="000000" w:themeColor="text1"/>
        </w:rPr>
      </w:pPr>
      <w:r w:rsidRPr="00D109D2">
        <w:rPr>
          <w:color w:val="000000" w:themeColor="text1"/>
        </w:rPr>
        <w:t xml:space="preserve">Instructions for </w:t>
      </w:r>
      <w:r w:rsidRPr="00D109D2">
        <w:rPr>
          <w:color w:val="000000" w:themeColor="text1"/>
        </w:rPr>
        <w:t>participating;</w:t>
      </w:r>
    </w:p>
    <w:p w:rsidR="180BD04C" w:rsidRPr="00D109D2" w:rsidP="180BD04C" w14:paraId="754709B3" w14:textId="676D916F">
      <w:pPr>
        <w:pStyle w:val="ListParagraph"/>
        <w:numPr>
          <w:ilvl w:val="0"/>
          <w:numId w:val="6"/>
        </w:numPr>
        <w:spacing w:after="0" w:line="240" w:lineRule="auto"/>
        <w:ind w:left="1080"/>
        <w:rPr>
          <w:color w:val="000000" w:themeColor="text1"/>
        </w:rPr>
      </w:pPr>
      <w:r w:rsidRPr="00D109D2">
        <w:rPr>
          <w:color w:val="000000" w:themeColor="text1"/>
        </w:rPr>
        <w:t xml:space="preserve">Method to safeguard their </w:t>
      </w:r>
      <w:r w:rsidRPr="00D109D2">
        <w:rPr>
          <w:color w:val="000000" w:themeColor="text1"/>
        </w:rPr>
        <w:t>responses;</w:t>
      </w:r>
      <w:r w:rsidRPr="00D109D2">
        <w:rPr>
          <w:color w:val="000000" w:themeColor="text1"/>
        </w:rPr>
        <w:t xml:space="preserve"> </w:t>
      </w:r>
    </w:p>
    <w:p w:rsidR="180BD04C" w:rsidRPr="00D109D2" w:rsidP="180BD04C" w14:paraId="21FD6D65" w14:textId="5043DF09">
      <w:pPr>
        <w:pStyle w:val="ListParagraph"/>
        <w:numPr>
          <w:ilvl w:val="0"/>
          <w:numId w:val="6"/>
        </w:numPr>
        <w:spacing w:after="0" w:line="240" w:lineRule="auto"/>
        <w:ind w:left="1080"/>
        <w:rPr>
          <w:color w:val="000000" w:themeColor="text1"/>
        </w:rPr>
      </w:pPr>
      <w:r w:rsidRPr="00D109D2">
        <w:rPr>
          <w:color w:val="000000" w:themeColor="text1"/>
        </w:rPr>
        <w:t xml:space="preserve">That participation is </w:t>
      </w:r>
      <w:r w:rsidRPr="00D109D2">
        <w:rPr>
          <w:color w:val="000000" w:themeColor="text1"/>
        </w:rPr>
        <w:t>voluntary;</w:t>
      </w:r>
    </w:p>
    <w:p w:rsidR="180BD04C" w:rsidRPr="00D109D2" w:rsidP="180BD04C" w14:paraId="59671408" w14:textId="0D5CBABD">
      <w:pPr>
        <w:pStyle w:val="ListParagraph"/>
        <w:numPr>
          <w:ilvl w:val="0"/>
          <w:numId w:val="6"/>
        </w:numPr>
        <w:spacing w:after="0" w:line="240" w:lineRule="auto"/>
        <w:ind w:left="1080"/>
        <w:rPr>
          <w:color w:val="000000" w:themeColor="text1"/>
        </w:rPr>
      </w:pPr>
      <w:r w:rsidRPr="00D109D2">
        <w:rPr>
          <w:color w:val="000000" w:themeColor="text1"/>
        </w:rPr>
        <w:t xml:space="preserve">The expected time to complete the </w:t>
      </w:r>
      <w:r w:rsidRPr="00D109D2">
        <w:rPr>
          <w:color w:val="000000" w:themeColor="text1"/>
        </w:rPr>
        <w:t>instrument;</w:t>
      </w:r>
      <w:r w:rsidRPr="00D109D2">
        <w:rPr>
          <w:color w:val="000000" w:themeColor="text1"/>
        </w:rPr>
        <w:t xml:space="preserve"> </w:t>
      </w:r>
    </w:p>
    <w:p w:rsidR="180BD04C" w:rsidP="180BD04C" w14:paraId="2542E9EF" w14:textId="4A16FBB6">
      <w:pPr>
        <w:pStyle w:val="ListParagraph"/>
        <w:numPr>
          <w:ilvl w:val="0"/>
          <w:numId w:val="6"/>
        </w:numPr>
        <w:spacing w:after="0" w:line="240" w:lineRule="auto"/>
        <w:ind w:left="1080"/>
        <w:rPr>
          <w:color w:val="000000" w:themeColor="text1"/>
        </w:rPr>
      </w:pPr>
      <w:r w:rsidRPr="00D109D2">
        <w:rPr>
          <w:color w:val="000000" w:themeColor="text1"/>
        </w:rPr>
        <w:t>Contact information for the project team</w:t>
      </w:r>
      <w:r w:rsidR="00950861">
        <w:rPr>
          <w:color w:val="000000" w:themeColor="text1"/>
        </w:rPr>
        <w:t>;</w:t>
      </w:r>
      <w:r w:rsidRPr="00950861" w:rsidR="00950861">
        <w:rPr>
          <w:color w:val="000000" w:themeColor="text1"/>
        </w:rPr>
        <w:t xml:space="preserve"> </w:t>
      </w:r>
      <w:r w:rsidRPr="00D109D2" w:rsidR="00950861">
        <w:rPr>
          <w:color w:val="000000" w:themeColor="text1"/>
        </w:rPr>
        <w:t>and</w:t>
      </w:r>
    </w:p>
    <w:p w:rsidR="00B94257" w:rsidRPr="00D109D2" w:rsidP="180BD04C" w14:paraId="0E59927E" w14:textId="6EC360A3">
      <w:pPr>
        <w:pStyle w:val="ListParagraph"/>
        <w:numPr>
          <w:ilvl w:val="0"/>
          <w:numId w:val="6"/>
        </w:numPr>
        <w:spacing w:after="0" w:line="240" w:lineRule="auto"/>
        <w:ind w:left="1080"/>
        <w:rPr>
          <w:color w:val="000000" w:themeColor="text1"/>
        </w:rPr>
      </w:pPr>
      <w:r>
        <w:rPr>
          <w:color w:val="000000" w:themeColor="text1"/>
        </w:rPr>
        <w:t>Information on how to receive token of appreciation with email address</w:t>
      </w:r>
      <w:r w:rsidR="00950861">
        <w:rPr>
          <w:color w:val="000000" w:themeColor="text1"/>
        </w:rPr>
        <w:t>.</w:t>
      </w:r>
    </w:p>
    <w:p w:rsidR="180BD04C" w:rsidRPr="00D109D2" w:rsidP="180BD04C" w14:paraId="73E00473" w14:textId="4D0BB3D2">
      <w:pPr>
        <w:spacing w:after="0" w:line="240" w:lineRule="auto"/>
        <w:rPr>
          <w:color w:val="000000" w:themeColor="text1"/>
        </w:rPr>
      </w:pPr>
    </w:p>
    <w:p w:rsidR="180BD04C" w:rsidRPr="00D109D2" w:rsidP="180BD04C" w14:paraId="3E8D47FF" w14:textId="27400CEF">
      <w:pPr>
        <w:spacing w:after="0" w:line="240" w:lineRule="auto"/>
        <w:rPr>
          <w:color w:val="000000" w:themeColor="text1"/>
        </w:rPr>
      </w:pPr>
      <w:r w:rsidRPr="00D109D2">
        <w:rPr>
          <w:color w:val="000000" w:themeColor="text1"/>
        </w:rPr>
        <w:t xml:space="preserve">The email </w:t>
      </w:r>
      <w:r w:rsidR="002131AC">
        <w:rPr>
          <w:color w:val="000000" w:themeColor="text1"/>
        </w:rPr>
        <w:t xml:space="preserve">notification </w:t>
      </w:r>
      <w:r w:rsidRPr="00D109D2">
        <w:rPr>
          <w:color w:val="000000" w:themeColor="text1"/>
        </w:rPr>
        <w:t xml:space="preserve">will include a survey link, where each participant will submit responses. The survey will be fielded for up to 3 weeks to ensure grantees have sufficient time to respond. Participants will receive up to one reminder email each week (i.e., up to three emails </w:t>
      </w:r>
      <w:r w:rsidRPr="00923D6A">
        <w:rPr>
          <w:color w:val="000000" w:themeColor="text1"/>
        </w:rPr>
        <w:t xml:space="preserve">in total) (see </w:t>
      </w:r>
      <w:r w:rsidRPr="00923D6A">
        <w:rPr>
          <w:b/>
          <w:bCs/>
          <w:color w:val="000000" w:themeColor="text1"/>
        </w:rPr>
        <w:t>Attachment 4—Reminder Email and Attachment 5—Final Reminder Email</w:t>
      </w:r>
      <w:r w:rsidRPr="00923D6A">
        <w:rPr>
          <w:color w:val="000000" w:themeColor="text1"/>
        </w:rPr>
        <w:t>).</w:t>
      </w:r>
      <w:r w:rsidRPr="00D109D2">
        <w:rPr>
          <w:color w:val="000000" w:themeColor="text1"/>
        </w:rPr>
        <w:t xml:space="preserve"> </w:t>
      </w:r>
    </w:p>
    <w:p w:rsidR="180BD04C" w:rsidRPr="00D109D2" w:rsidP="180BD04C" w14:paraId="5B49931F" w14:textId="5532321D">
      <w:pPr>
        <w:spacing w:after="0" w:line="240" w:lineRule="auto"/>
      </w:pPr>
      <w:r w:rsidRPr="00D109D2">
        <w:rPr>
          <w:color w:val="000000" w:themeColor="text1"/>
        </w:rPr>
        <w:t xml:space="preserve"> </w:t>
      </w:r>
    </w:p>
    <w:p w:rsidR="180BD04C" w:rsidRPr="00D109D2" w:rsidP="180BD04C" w14:paraId="1CAFD24A" w14:textId="31737ED6">
      <w:pPr>
        <w:spacing w:after="0" w:line="240" w:lineRule="auto"/>
      </w:pPr>
      <w:r w:rsidRPr="483A977E">
        <w:rPr>
          <w:color w:val="000000" w:themeColor="text1"/>
        </w:rPr>
        <w:t xml:space="preserve">Survey invites will be sent to all CHCs to either the CMO or the CEO, who will be instructed to identify the staff person most knowledgeable or familiar with the topic (which could be the initial CMO or CEO recipient themselves) with guidance to complete the survey if relevant to the recipient </w:t>
      </w:r>
      <w:r w:rsidRPr="483A977E">
        <w:rPr>
          <w:i/>
          <w:iCs/>
          <w:color w:val="000000" w:themeColor="text1"/>
        </w:rPr>
        <w:t>and</w:t>
      </w:r>
      <w:r w:rsidRPr="483A977E">
        <w:rPr>
          <w:color w:val="000000" w:themeColor="text1"/>
        </w:rPr>
        <w:t xml:space="preserve"> to send the survey to complete and distribute to any other relevant staff to complete. Survey responses will be tracked by census region towards a total response of 1,000 surveys. Regions will be closed before the 3-week period if necessary if responses reach 1,000.</w:t>
      </w:r>
    </w:p>
    <w:p w:rsidR="180BD04C" w:rsidRPr="00D109D2" w:rsidP="180BD04C" w14:paraId="5D49B31D" w14:textId="503549A7">
      <w:pPr>
        <w:spacing w:after="0" w:line="240" w:lineRule="auto"/>
        <w:rPr>
          <w:color w:val="000000" w:themeColor="text1"/>
        </w:rPr>
      </w:pPr>
    </w:p>
    <w:p w:rsidR="180BD04C" w:rsidRPr="00D109D2" w:rsidP="180BD04C" w14:paraId="78A1DD91" w14:textId="44BA910B">
      <w:r w:rsidRPr="483A977E">
        <w:rPr>
          <w:color w:val="000000" w:themeColor="text1"/>
        </w:rPr>
        <w:t xml:space="preserve">After the raw survey data are downloaded from the Qualtrics platform, the project team will use MS Excel software for data processing and cleaning, and SPSS statistical software for the analysis. Each variable will be clearly named and labeled, and each will be properly identified by type (e.g., Likert-type variables designated as interval </w:t>
      </w:r>
      <w:r w:rsidRPr="483A977E">
        <w:rPr>
          <w:color w:val="000000" w:themeColor="text1"/>
        </w:rPr>
        <w:t xml:space="preserve">variables). </w:t>
      </w:r>
      <w:r w:rsidR="002E238F">
        <w:rPr>
          <w:color w:val="000000" w:themeColor="text1"/>
        </w:rPr>
        <w:t xml:space="preserve">No personally </w:t>
      </w:r>
      <w:r w:rsidRPr="483A977E">
        <w:rPr>
          <w:color w:val="000000" w:themeColor="text1"/>
        </w:rPr>
        <w:t xml:space="preserve">identifiable information (PII) </w:t>
      </w:r>
      <w:r w:rsidR="002E238F">
        <w:rPr>
          <w:color w:val="000000" w:themeColor="text1"/>
        </w:rPr>
        <w:t xml:space="preserve">is being requested of respondents, but if any is </w:t>
      </w:r>
      <w:r w:rsidRPr="483A977E">
        <w:rPr>
          <w:color w:val="000000" w:themeColor="text1"/>
        </w:rPr>
        <w:t>provided by respondents</w:t>
      </w:r>
      <w:r w:rsidR="002E238F">
        <w:rPr>
          <w:color w:val="000000" w:themeColor="text1"/>
        </w:rPr>
        <w:t xml:space="preserve">, it will be removed. </w:t>
      </w:r>
      <w:r w:rsidRPr="483A977E">
        <w:rPr>
          <w:color w:val="000000" w:themeColor="text1"/>
        </w:rPr>
        <w:t xml:space="preserve">The data set cleaning procedures will include independent review of data set creation to ensure accuracy. The data will be password protected and stored in a secure environment maintained by the contractor. </w:t>
      </w:r>
    </w:p>
    <w:p w:rsidR="180BD04C" w:rsidRPr="00D109D2" w:rsidP="180BD04C" w14:paraId="7430B4AE" w14:textId="32A10934">
      <w:pPr>
        <w:spacing w:after="0" w:line="240" w:lineRule="auto"/>
        <w:rPr>
          <w:color w:val="000000" w:themeColor="text1"/>
        </w:rPr>
      </w:pPr>
    </w:p>
    <w:p w:rsidR="003D5C2B" w:rsidRPr="00D109D2" w:rsidP="180BD04C" w14:paraId="00000056" w14:textId="77777777">
      <w:pPr>
        <w:pStyle w:val="heading12"/>
        <w:ind w:left="720"/>
        <w:rPr>
          <w:szCs w:val="24"/>
        </w:rPr>
      </w:pPr>
      <w:bookmarkStart w:id="21" w:name="bookmark=id.b64fiecm51dy"/>
      <w:bookmarkStart w:id="22" w:name="_heading=h.3znysh7"/>
      <w:bookmarkEnd w:id="21"/>
      <w:bookmarkEnd w:id="22"/>
      <w:r w:rsidRPr="00D109D2">
        <w:rPr>
          <w:szCs w:val="24"/>
        </w:rPr>
        <w:t>Methods to Maximize Response Rates and Deal with No Response</w:t>
      </w:r>
    </w:p>
    <w:p w:rsidR="180BD04C" w:rsidRPr="00D109D2" w14:paraId="5E9445D6" w14:textId="0951CAF6">
      <w:r w:rsidRPr="00D109D2">
        <w:t xml:space="preserve">The project team will make every effort to maximize the rate of response. The data collection instrument was designed with a particular focus on streamlining questions to allow for skipping questions based on responses to previous questions, thereby minimizing response burden. </w:t>
      </w:r>
    </w:p>
    <w:p w:rsidR="47527370" w:rsidP="47527370" w14:paraId="1E321BCC" w14:textId="07A86285">
      <w:r w:rsidRPr="00D109D2">
        <w:t>Following the distribution of the invitation to participate in the data collection, (</w:t>
      </w:r>
      <w:r w:rsidRPr="00D109D2">
        <w:rPr>
          <w:b/>
          <w:bCs/>
        </w:rPr>
        <w:t>Attachment 3—Recruitment Email</w:t>
      </w:r>
      <w:r w:rsidRPr="00D109D2">
        <w:t xml:space="preserve">), respondents will have up to 15 business days to complete the instrument. Any CHCs without a response within 5 business days will receive an email reminder (see </w:t>
      </w:r>
      <w:r w:rsidRPr="00D109D2">
        <w:rPr>
          <w:b/>
          <w:bCs/>
        </w:rPr>
        <w:t>Attachment 4—Reminder Email</w:t>
      </w:r>
      <w:r w:rsidRPr="00D109D2">
        <w:t xml:space="preserve">) urging them to complete the instrument, which will be repeated </w:t>
      </w:r>
      <w:r w:rsidR="00DC4799">
        <w:t xml:space="preserve">as needed </w:t>
      </w:r>
      <w:r w:rsidR="009668DD">
        <w:t>with</w:t>
      </w:r>
      <w:r w:rsidR="00D91DE2">
        <w:t>in</w:t>
      </w:r>
      <w:r w:rsidRPr="00D109D2">
        <w:t xml:space="preserve"> </w:t>
      </w:r>
      <w:r w:rsidR="009668DD">
        <w:t xml:space="preserve">10 business days </w:t>
      </w:r>
      <w:r w:rsidR="00D91DE2">
        <w:t>(</w:t>
      </w:r>
      <w:r w:rsidR="00DC4799">
        <w:t xml:space="preserve">see </w:t>
      </w:r>
      <w:r w:rsidRPr="00DC4799" w:rsidR="00DC4799">
        <w:rPr>
          <w:b/>
          <w:bCs/>
        </w:rPr>
        <w:t>Attachment 5-Final Email Reminder</w:t>
      </w:r>
      <w:r w:rsidR="00DC4799">
        <w:t>)</w:t>
      </w:r>
      <w:r w:rsidRPr="00D109D2">
        <w:t xml:space="preserve">. </w:t>
      </w:r>
    </w:p>
    <w:p w:rsidR="002E238F" w:rsidRPr="00D109D2" w:rsidP="47527370" w14:paraId="416ED5EA" w14:textId="77777777"/>
    <w:p w:rsidR="003D5C2B" w:rsidRPr="00D109D2" w:rsidP="180BD04C" w14:paraId="00000059" w14:textId="77777777">
      <w:pPr>
        <w:pStyle w:val="heading12"/>
        <w:ind w:left="720"/>
        <w:rPr>
          <w:szCs w:val="24"/>
        </w:rPr>
      </w:pPr>
      <w:bookmarkStart w:id="23" w:name="bookmark=id.otp25ij9u7j"/>
      <w:bookmarkStart w:id="24" w:name="_heading=h.2et92p0"/>
      <w:bookmarkEnd w:id="23"/>
      <w:bookmarkEnd w:id="24"/>
      <w:r w:rsidRPr="00D109D2">
        <w:rPr>
          <w:szCs w:val="24"/>
        </w:rPr>
        <w:t>Tests of Procedures or Methods to be Undertaken</w:t>
      </w:r>
    </w:p>
    <w:p w:rsidR="180BD04C" w14:paraId="5F8055C9" w14:textId="7A6C9629">
      <w:r w:rsidRPr="00D109D2">
        <w:t xml:space="preserve">CDC and contractor project staff </w:t>
      </w:r>
      <w:r w:rsidR="00D91DE2">
        <w:t xml:space="preserve">have tested the survey for </w:t>
      </w:r>
      <w:r w:rsidR="008F61D4">
        <w:t>length o</w:t>
      </w:r>
      <w:r w:rsidR="00D40DAD">
        <w:t xml:space="preserve">f </w:t>
      </w:r>
      <w:r w:rsidR="00D91DE2">
        <w:t xml:space="preserve">time </w:t>
      </w:r>
      <w:r w:rsidR="00D40DAD">
        <w:t xml:space="preserve">to complete </w:t>
      </w:r>
      <w:r w:rsidR="00D91DE2">
        <w:t xml:space="preserve">and </w:t>
      </w:r>
      <w:r w:rsidRPr="00D109D2">
        <w:t xml:space="preserve">will test the survey </w:t>
      </w:r>
      <w:r w:rsidR="00D91DE2">
        <w:t xml:space="preserve">again </w:t>
      </w:r>
      <w:r w:rsidRPr="00D109D2">
        <w:t>prior to launch to ensure proper logic and functionality.</w:t>
      </w:r>
    </w:p>
    <w:p w:rsidR="002E238F" w:rsidRPr="00D109D2" w14:paraId="384C81D9" w14:textId="77777777"/>
    <w:p w:rsidR="003D5C2B" w:rsidRPr="00D109D2" w:rsidP="180BD04C" w14:paraId="0000005B" w14:textId="77777777">
      <w:pPr>
        <w:pStyle w:val="heading12"/>
        <w:ind w:left="720"/>
      </w:pPr>
      <w:bookmarkStart w:id="25" w:name="bookmark=id.cb7fmld552oc"/>
      <w:bookmarkStart w:id="26" w:name="_heading=h.tyjcwt"/>
      <w:bookmarkEnd w:id="25"/>
      <w:bookmarkEnd w:id="26"/>
      <w:r>
        <w:t>Individuals Consulted on Statistical Aspects and Individuals Collecting and/or Analyzing Data</w:t>
      </w:r>
    </w:p>
    <w:p w:rsidR="00D32E2C" w:rsidP="00D32E2C" w14:paraId="2F753D32" w14:textId="77777777">
      <w:pPr>
        <w:pStyle w:val="Normal2"/>
      </w:pPr>
      <w:r>
        <w:t>NACHC provided analysis to inform the statistical approach to surveying a sample of the total number of CHCs. A target sample size of 1000 of the total 1,496 CHCs was informed by the parameters required to achieve a margin of error of 5% or less at a 95% confidence interval for 33 percent of the overall sample. The estimated proportion of survey respondents who are familiar with the materials being tested is one in three (33%). With a sample size of 1,000, 330 respondents are estimated to be familiar with the CDC materials. Among these 330 respondents, the margin of error is 4.76%, given an overall sample size of 1,000 and a universe of 1,496 health centers.</w:t>
      </w:r>
    </w:p>
    <w:p w:rsidR="00D32E2C" w:rsidP="180BD04C" w14:paraId="6B6EE7EC" w14:textId="2B983976">
      <w:pPr>
        <w:pStyle w:val="Normal2"/>
      </w:pPr>
      <w:r>
        <w:t>G*Power was used to calculate an a priori sample size for additional power analysis needed to assess the message effects and variances in scores within each of two groups: those familiar with the resources and those unfamiliar with the resources. To conduct t-tests to detect a moderate effect size (β=0.2), with 95% confidence (α =0.05), a minimum sample size of 262 (for the familiar group) or approximately 845 survey participants will be needed. Due to the likelihood of having some missing data on some questions, this number was rounded up to 1,000 participants needed. A total of 1,000 respondents is the number being used to calculate burden hours and total cost (see Exhibits A.12.1 and A.12.2).</w:t>
      </w:r>
    </w:p>
    <w:p w:rsidR="002E238F" w:rsidRPr="00D109D2" w:rsidP="002E238F" w14:paraId="549F5587" w14:textId="77777777">
      <w:pPr>
        <w:pStyle w:val="Normal2"/>
      </w:pPr>
      <w:r w:rsidRPr="00D109D2">
        <w:rPr>
          <w:b/>
          <w:bCs/>
          <w:color w:val="000000" w:themeColor="text1"/>
        </w:rPr>
        <w:t>Lead Investigator:</w:t>
      </w:r>
      <w:r w:rsidRPr="00D109D2">
        <w:rPr>
          <w:color w:val="000000" w:themeColor="text1"/>
        </w:rPr>
        <w:t xml:space="preserve"> </w:t>
      </w:r>
      <w:r w:rsidRPr="00D109D2">
        <w:t xml:space="preserve"> </w:t>
      </w:r>
      <w:r w:rsidRPr="00D109D2">
        <w:t>Dr. Amy Flowers, PhD</w:t>
      </w:r>
      <w:r w:rsidRPr="00D109D2">
        <w:br/>
        <w:t>National Center for Community Health Centers (NACHC)</w:t>
      </w:r>
    </w:p>
    <w:p w:rsidR="003D5C2B" w:rsidRPr="00D109D2" w14:paraId="00000060" w14:textId="77777777">
      <w:pPr>
        <w:pStyle w:val="Normal2"/>
        <w:pBdr>
          <w:top w:val="nil"/>
          <w:left w:val="nil"/>
          <w:bottom w:val="nil"/>
          <w:right w:val="nil"/>
          <w:between w:val="nil"/>
        </w:pBdr>
        <w:spacing w:after="0" w:line="240" w:lineRule="auto"/>
        <w:rPr>
          <w:b/>
          <w:color w:val="000000"/>
        </w:rPr>
      </w:pPr>
    </w:p>
    <w:p w:rsidR="003D5C2B" w:rsidRPr="00950861" w14:paraId="00000063" w14:textId="3A57F1E0">
      <w:pPr>
        <w:pStyle w:val="Normal2"/>
        <w:pBdr>
          <w:top w:val="nil"/>
          <w:left w:val="nil"/>
          <w:bottom w:val="nil"/>
          <w:right w:val="nil"/>
          <w:between w:val="nil"/>
        </w:pBdr>
        <w:spacing w:after="0" w:line="240" w:lineRule="auto"/>
        <w:rPr>
          <w:color w:val="000000"/>
        </w:rPr>
      </w:pPr>
      <w:r w:rsidRPr="00D109D2">
        <w:rPr>
          <w:b/>
          <w:color w:val="000000"/>
        </w:rPr>
        <w:t xml:space="preserve">Co-Investigators: </w:t>
      </w:r>
    </w:p>
    <w:tbl>
      <w:tblPr>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tblPr>
      <w:tblGrid>
        <w:gridCol w:w="6786"/>
        <w:gridCol w:w="3289"/>
      </w:tblGrid>
      <w:tr w14:paraId="5711C28E" w14:textId="77777777" w:rsidTr="4D8AA64D">
        <w:tblPrEx>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tblPrEx>
        <w:tc>
          <w:tcPr>
            <w:tcW w:w="6786" w:type="dxa"/>
          </w:tcPr>
          <w:p w:rsidR="003D5C2B" w:rsidRPr="00D109D2" w:rsidP="4D8AA64D" w14:paraId="00000064" w14:textId="77777777">
            <w:pPr>
              <w:pStyle w:val="Normal2"/>
              <w:pBdr>
                <w:top w:val="nil"/>
                <w:left w:val="nil"/>
                <w:bottom w:val="nil"/>
                <w:right w:val="nil"/>
                <w:between w:val="nil"/>
              </w:pBdr>
              <w:tabs>
                <w:tab w:val="left" w:pos="360"/>
              </w:tabs>
              <w:rPr>
                <w:b/>
                <w:bCs/>
                <w:color w:val="000000"/>
              </w:rPr>
            </w:pPr>
            <w:r w:rsidRPr="00D109D2">
              <w:rPr>
                <w:b/>
                <w:bCs/>
                <w:color w:val="000000" w:themeColor="text1"/>
              </w:rPr>
              <w:t>Name</w:t>
            </w:r>
          </w:p>
        </w:tc>
        <w:tc>
          <w:tcPr>
            <w:tcW w:w="3289" w:type="dxa"/>
          </w:tcPr>
          <w:p w:rsidR="003D5C2B" w:rsidRPr="00D109D2" w:rsidP="4D8AA64D" w14:paraId="00000065" w14:textId="77777777">
            <w:pPr>
              <w:pStyle w:val="Normal2"/>
              <w:pBdr>
                <w:top w:val="nil"/>
                <w:left w:val="nil"/>
                <w:bottom w:val="nil"/>
                <w:right w:val="nil"/>
                <w:between w:val="nil"/>
              </w:pBdr>
              <w:tabs>
                <w:tab w:val="left" w:pos="360"/>
              </w:tabs>
              <w:rPr>
                <w:b/>
                <w:bCs/>
                <w:color w:val="000000"/>
              </w:rPr>
            </w:pPr>
            <w:r w:rsidRPr="00D109D2">
              <w:rPr>
                <w:b/>
                <w:bCs/>
                <w:color w:val="000000" w:themeColor="text1"/>
              </w:rPr>
              <w:t>Organizational Unit</w:t>
            </w:r>
          </w:p>
        </w:tc>
      </w:tr>
      <w:tr w14:paraId="672A6659" w14:textId="77777777" w:rsidTr="4D8AA64D">
        <w:tblPrEx>
          <w:tblW w:w="10075" w:type="dxa"/>
          <w:tblInd w:w="-5" w:type="dxa"/>
          <w:tblLayout w:type="fixed"/>
          <w:tblCellMar>
            <w:top w:w="100" w:type="dxa"/>
            <w:left w:w="115" w:type="dxa"/>
            <w:bottom w:w="100" w:type="dxa"/>
            <w:right w:w="115" w:type="dxa"/>
          </w:tblCellMar>
          <w:tblLook w:val="0400"/>
        </w:tblPrEx>
        <w:tc>
          <w:tcPr>
            <w:tcW w:w="6786" w:type="dxa"/>
          </w:tcPr>
          <w:p w:rsidR="00661EB3" w:rsidRPr="00D109D2" w:rsidP="00661EB3" w14:paraId="00000066" w14:textId="0AC3E8C4">
            <w:pPr>
              <w:pStyle w:val="Normal2"/>
              <w:pBdr>
                <w:top w:val="nil"/>
                <w:left w:val="nil"/>
                <w:bottom w:val="nil"/>
                <w:right w:val="nil"/>
                <w:between w:val="nil"/>
              </w:pBdr>
              <w:tabs>
                <w:tab w:val="left" w:pos="360"/>
              </w:tabs>
              <w:rPr>
                <w:color w:val="000000"/>
              </w:rPr>
            </w:pPr>
            <w:r w:rsidRPr="00D109D2">
              <w:rPr>
                <w:color w:val="000000"/>
              </w:rPr>
              <w:t>Sarah Hurlbert, MS</w:t>
            </w:r>
          </w:p>
        </w:tc>
        <w:tc>
          <w:tcPr>
            <w:tcW w:w="3289" w:type="dxa"/>
          </w:tcPr>
          <w:p w:rsidR="00661EB3" w:rsidRPr="00D109D2" w:rsidP="00661EB3" w14:paraId="00000067" w14:textId="19B807D4">
            <w:pPr>
              <w:pStyle w:val="Normal2"/>
              <w:pBdr>
                <w:top w:val="nil"/>
                <w:left w:val="nil"/>
                <w:bottom w:val="nil"/>
                <w:right w:val="nil"/>
                <w:between w:val="nil"/>
              </w:pBdr>
              <w:tabs>
                <w:tab w:val="left" w:pos="360"/>
              </w:tabs>
              <w:rPr>
                <w:color w:val="000000"/>
              </w:rPr>
            </w:pPr>
            <w:r w:rsidRPr="00D109D2">
              <w:rPr>
                <w:color w:val="000000"/>
              </w:rPr>
              <w:t>NACHC Research Department</w:t>
            </w:r>
          </w:p>
        </w:tc>
      </w:tr>
      <w:tr w14:paraId="0A37501D" w14:textId="77777777" w:rsidTr="4D8AA64D">
        <w:tblPrEx>
          <w:tblW w:w="10075" w:type="dxa"/>
          <w:tblInd w:w="-5" w:type="dxa"/>
          <w:tblLayout w:type="fixed"/>
          <w:tblCellMar>
            <w:top w:w="100" w:type="dxa"/>
            <w:left w:w="115" w:type="dxa"/>
            <w:bottom w:w="100" w:type="dxa"/>
            <w:right w:w="115" w:type="dxa"/>
          </w:tblCellMar>
          <w:tblLook w:val="0400"/>
        </w:tblPrEx>
        <w:tc>
          <w:tcPr>
            <w:tcW w:w="6786" w:type="dxa"/>
          </w:tcPr>
          <w:p w:rsidR="00661EB3" w:rsidRPr="00D109D2" w:rsidP="00661EB3" w14:paraId="0000006A" w14:textId="4E4ADA7D">
            <w:pPr>
              <w:pStyle w:val="Normal2"/>
              <w:pBdr>
                <w:top w:val="nil"/>
                <w:left w:val="nil"/>
                <w:bottom w:val="nil"/>
                <w:right w:val="nil"/>
                <w:between w:val="nil"/>
              </w:pBdr>
              <w:tabs>
                <w:tab w:val="left" w:pos="360"/>
              </w:tabs>
              <w:rPr>
                <w:color w:val="000000"/>
              </w:rPr>
            </w:pPr>
          </w:p>
        </w:tc>
        <w:tc>
          <w:tcPr>
            <w:tcW w:w="3289" w:type="dxa"/>
          </w:tcPr>
          <w:p w:rsidR="00661EB3" w:rsidRPr="00D109D2" w:rsidP="00661EB3" w14:paraId="0000006B" w14:textId="356DBF26">
            <w:pPr>
              <w:pStyle w:val="Normal2"/>
              <w:pBdr>
                <w:top w:val="nil"/>
                <w:left w:val="nil"/>
                <w:bottom w:val="nil"/>
                <w:right w:val="nil"/>
                <w:between w:val="nil"/>
              </w:pBdr>
              <w:tabs>
                <w:tab w:val="left" w:pos="360"/>
              </w:tabs>
              <w:rPr>
                <w:color w:val="000000"/>
              </w:rPr>
            </w:pPr>
          </w:p>
        </w:tc>
      </w:tr>
      <w:tr w14:paraId="66468E6A" w14:textId="77777777" w:rsidTr="4D8AA64D">
        <w:tblPrEx>
          <w:tblW w:w="10075" w:type="dxa"/>
          <w:tblInd w:w="-5" w:type="dxa"/>
          <w:tblLayout w:type="fixed"/>
          <w:tblCellMar>
            <w:top w:w="100" w:type="dxa"/>
            <w:left w:w="115" w:type="dxa"/>
            <w:bottom w:w="100" w:type="dxa"/>
            <w:right w:w="115" w:type="dxa"/>
          </w:tblCellMar>
          <w:tblLook w:val="0400"/>
        </w:tblPrEx>
        <w:tc>
          <w:tcPr>
            <w:tcW w:w="6786" w:type="dxa"/>
          </w:tcPr>
          <w:p w:rsidR="00D047C1" w:rsidRPr="00D109D2" w:rsidP="00661EB3" w14:paraId="77D0FA8D" w14:textId="06F778D7">
            <w:pPr>
              <w:pStyle w:val="Normal2"/>
              <w:pBdr>
                <w:top w:val="nil"/>
                <w:left w:val="nil"/>
                <w:bottom w:val="nil"/>
                <w:right w:val="nil"/>
                <w:between w:val="nil"/>
              </w:pBdr>
              <w:tabs>
                <w:tab w:val="left" w:pos="360"/>
              </w:tabs>
              <w:rPr>
                <w:color w:val="000000"/>
              </w:rPr>
            </w:pPr>
          </w:p>
        </w:tc>
        <w:tc>
          <w:tcPr>
            <w:tcW w:w="3289" w:type="dxa"/>
          </w:tcPr>
          <w:p w:rsidR="00D047C1" w:rsidRPr="00D109D2" w:rsidP="00661EB3" w14:paraId="2728E0D8" w14:textId="28ACC467">
            <w:pPr>
              <w:pStyle w:val="Normal2"/>
              <w:pBdr>
                <w:top w:val="nil"/>
                <w:left w:val="nil"/>
                <w:bottom w:val="nil"/>
                <w:right w:val="nil"/>
                <w:between w:val="nil"/>
              </w:pBdr>
              <w:tabs>
                <w:tab w:val="left" w:pos="360"/>
              </w:tabs>
            </w:pPr>
          </w:p>
        </w:tc>
      </w:tr>
    </w:tbl>
    <w:p w:rsidR="003D5C2B" w14:paraId="0000006C" w14:textId="77777777">
      <w:pPr>
        <w:pStyle w:val="Normal2"/>
        <w:rPr>
          <w:sz w:val="22"/>
          <w:szCs w:val="22"/>
        </w:rPr>
      </w:pPr>
    </w:p>
    <w:p w:rsidR="12C53880" w:rsidP="12C53880" w14:paraId="778621E1" w14:textId="75BF099B">
      <w:pPr>
        <w:pStyle w:val="Normal2"/>
        <w:rPr>
          <w:sz w:val="22"/>
          <w:szCs w:val="22"/>
        </w:rPr>
      </w:pPr>
    </w:p>
    <w:p w:rsidR="63D3F669" w:rsidRPr="00D109D2" w:rsidP="00D109D2" w14:paraId="20BBEC6A" w14:textId="6FADEC9B"/>
    <w:sectPr>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C2B" w14:paraId="00000075" w14:textId="77777777">
    <w:pPr>
      <w:pStyle w:val="Normal2"/>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C2B" w14:paraId="00000071" w14:textId="77777777">
    <w:pPr>
      <w:pStyle w:val="Normal2"/>
      <w:pBdr>
        <w:top w:val="nil"/>
        <w:left w:val="nil"/>
        <w:bottom w:val="nil"/>
        <w:right w:val="nil"/>
        <w:between w:val="nil"/>
      </w:pBdr>
      <w:tabs>
        <w:tab w:val="center" w:pos="4680"/>
        <w:tab w:val="right" w:pos="9360"/>
      </w:tabs>
      <w:spacing w:after="0" w:line="240" w:lineRule="auto"/>
      <w:jc w:val="center"/>
      <w:rPr>
        <w:color w:val="000000"/>
      </w:rPr>
    </w:pPr>
  </w:p>
  <w:p w:rsidR="003D5C2B" w14:paraId="00000072" w14:textId="77777777">
    <w:pPr>
      <w:pStyle w:val="Normal2"/>
      <w:pBdr>
        <w:top w:val="nil"/>
        <w:left w:val="nil"/>
        <w:bottom w:val="nil"/>
        <w:right w:val="nil"/>
        <w:between w:val="nil"/>
      </w:pBdr>
      <w:tabs>
        <w:tab w:val="center" w:pos="4680"/>
        <w:tab w:val="right" w:pos="9360"/>
      </w:tabs>
      <w:spacing w:after="0" w:line="240" w:lineRule="auto"/>
    </w:pPr>
  </w:p>
  <w:p w:rsidR="003D5C2B" w14:paraId="00000073" w14:textId="06D8143E">
    <w:pPr>
      <w:pStyle w:val="Normal2"/>
      <w:pBdr>
        <w:top w:val="nil"/>
        <w:left w:val="nil"/>
        <w:bottom w:val="nil"/>
        <w:right w:val="nil"/>
        <w:between w:val="nil"/>
      </w:pBdr>
      <w:tabs>
        <w:tab w:val="center" w:pos="4680"/>
        <w:tab w:val="right" w:pos="9360"/>
      </w:tabs>
      <w:spacing w:after="0" w:line="240" w:lineRule="auto"/>
      <w:jc w:val="right"/>
      <w:rPr>
        <w:sz w:val="22"/>
        <w:szCs w:val="22"/>
      </w:rPr>
    </w:pPr>
    <w:r>
      <w:rPr>
        <w:sz w:val="22"/>
        <w:szCs w:val="22"/>
      </w:rPr>
      <w:fldChar w:fldCharType="begin"/>
    </w:r>
    <w:r>
      <w:rPr>
        <w:sz w:val="22"/>
        <w:szCs w:val="22"/>
      </w:rPr>
      <w:instrText>PAGE</w:instrText>
    </w:r>
    <w:r>
      <w:rPr>
        <w:sz w:val="22"/>
        <w:szCs w:val="22"/>
      </w:rPr>
      <w:fldChar w:fldCharType="separate"/>
    </w:r>
    <w:r w:rsidR="00661EB3">
      <w:rPr>
        <w:noProof/>
        <w:sz w:val="22"/>
        <w:szCs w:val="22"/>
      </w:rPr>
      <w:t>2</w:t>
    </w:r>
    <w:r>
      <w:rPr>
        <w:sz w:val="22"/>
        <w:szCs w:val="22"/>
      </w:rPr>
      <w:fldChar w:fldCharType="end"/>
    </w:r>
  </w:p>
  <w:p w:rsidR="003D5C2B" w14:paraId="00000074" w14:textId="77777777">
    <w:pPr>
      <w:pStyle w:val="Normal2"/>
      <w:widowControl w:val="0"/>
      <w:pBdr>
        <w:top w:val="nil"/>
        <w:left w:val="nil"/>
        <w:bottom w:val="nil"/>
        <w:right w:val="nil"/>
        <w:between w:val="nil"/>
      </w:pBdr>
      <w:spacing w:after="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C2B" w14:paraId="00000076" w14:textId="77777777">
    <w:pPr>
      <w:pStyle w:val="Normal2"/>
      <w:pBdr>
        <w:top w:val="nil"/>
        <w:left w:val="nil"/>
        <w:bottom w:val="nil"/>
        <w:right w:val="nil"/>
        <w:between w:val="nil"/>
      </w:pBdr>
      <w:tabs>
        <w:tab w:val="center" w:pos="4680"/>
        <w:tab w:val="right" w:pos="9360"/>
      </w:tabs>
      <w:spacing w:after="0" w:line="240" w:lineRule="auto"/>
      <w:jc w:val="right"/>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C2B" w14:paraId="00000070" w14:textId="77777777">
    <w:pPr>
      <w:pStyle w:val="Normal2"/>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C2B" w14:paraId="0000006F" w14:textId="77777777">
    <w:pPr>
      <w:pStyle w:val="Normal2"/>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C98" w14:paraId="5DF008D1" w14:textId="77777777">
    <w:pPr>
      <w:pStyle w:val="Normal2"/>
      <w:spacing w:after="0" w:line="240" w:lineRule="auto"/>
      <w:jc w:val="right"/>
    </w:pPr>
  </w:p>
  <w:p w:rsidR="003D5C2B" w14:paraId="0000006E" w14:textId="77777777">
    <w:pPr>
      <w:pStyle w:val="Normal2"/>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B981A"/>
    <w:multiLevelType w:val="hybridMultilevel"/>
    <w:tmpl w:val="D6FC416E"/>
    <w:lvl w:ilvl="0">
      <w:start w:val="1"/>
      <w:numFmt w:val="bullet"/>
      <w:lvlText w:val=""/>
      <w:lvlJc w:val="left"/>
      <w:pPr>
        <w:ind w:left="25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93390D6"/>
    <w:multiLevelType w:val="hybridMultilevel"/>
    <w:tmpl w:val="407AE96A"/>
    <w:lvl w:ilvl="0">
      <w:start w:val="1"/>
      <w:numFmt w:val="bullet"/>
      <w:lvlText w:val=""/>
      <w:lvlJc w:val="left"/>
      <w:pPr>
        <w:ind w:left="25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D79A50A"/>
    <w:multiLevelType w:val="hybridMultilevel"/>
    <w:tmpl w:val="3FB8C39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76167F"/>
    <w:multiLevelType w:val="hybridMultilevel"/>
    <w:tmpl w:val="9FBC6720"/>
    <w:lvl w:ilvl="0">
      <w:start w:val="1"/>
      <w:numFmt w:val="bullet"/>
      <w:lvlText w:val=""/>
      <w:lvlJc w:val="left"/>
      <w:pPr>
        <w:ind w:left="25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06ED596"/>
    <w:multiLevelType w:val="multilevel"/>
    <w:tmpl w:val="9D1A9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E8315DC"/>
    <w:multiLevelType w:val="multilevel"/>
    <w:tmpl w:val="0EF63AF8"/>
    <w:lvl w:ilvl="0">
      <w:start w:val="1"/>
      <w:numFmt w:val="decimal"/>
      <w:pStyle w:val="heading1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2EB7D7"/>
    <w:multiLevelType w:val="hybridMultilevel"/>
    <w:tmpl w:val="4672D14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CA9B66D"/>
    <w:multiLevelType w:val="hybridMultilevel"/>
    <w:tmpl w:val="5C9401A2"/>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4593F2"/>
    <w:multiLevelType w:val="hybridMultilevel"/>
    <w:tmpl w:val="A91AF700"/>
    <w:lvl w:ilvl="0">
      <w:start w:val="1"/>
      <w:numFmt w:val="bullet"/>
      <w:lvlText w:val=""/>
      <w:lvlJc w:val="left"/>
      <w:pPr>
        <w:ind w:left="25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4CC7C97"/>
    <w:multiLevelType w:val="hybridMultilevel"/>
    <w:tmpl w:val="CD9A3C30"/>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6A05662"/>
    <w:multiLevelType w:val="hybridMultilevel"/>
    <w:tmpl w:val="CB7AA878"/>
    <w:lvl w:ilvl="0">
      <w:start w:val="1"/>
      <w:numFmt w:val="bullet"/>
      <w:lvlText w:val=""/>
      <w:lvlJc w:val="left"/>
      <w:pPr>
        <w:ind w:left="25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0F44115"/>
    <w:multiLevelType w:val="hybridMultilevel"/>
    <w:tmpl w:val="10D28CB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33AB19F"/>
    <w:multiLevelType w:val="hybridMultilevel"/>
    <w:tmpl w:val="8DF80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68DDC6F"/>
    <w:multiLevelType w:val="hybridMultilevel"/>
    <w:tmpl w:val="452AD988"/>
    <w:lvl w:ilvl="0">
      <w:start w:val="1"/>
      <w:numFmt w:val="bullet"/>
      <w:lvlText w:val=""/>
      <w:lvlJc w:val="left"/>
      <w:pPr>
        <w:ind w:left="25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8251626"/>
    <w:multiLevelType w:val="hybridMultilevel"/>
    <w:tmpl w:val="5C882970"/>
    <w:lvl w:ilvl="0">
      <w:start w:val="1"/>
      <w:numFmt w:val="bullet"/>
      <w:lvlText w:val=""/>
      <w:lvlJc w:val="left"/>
      <w:pPr>
        <w:ind w:left="25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8E7D112"/>
    <w:multiLevelType w:val="hybridMultilevel"/>
    <w:tmpl w:val="EBFE0C78"/>
    <w:lvl w:ilvl="0">
      <w:start w:val="1"/>
      <w:numFmt w:val="bullet"/>
      <w:lvlText w:val=""/>
      <w:lvlJc w:val="left"/>
      <w:pPr>
        <w:ind w:left="25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2D14E22"/>
    <w:multiLevelType w:val="hybridMultilevel"/>
    <w:tmpl w:val="78667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66A7993"/>
    <w:multiLevelType w:val="hybridMultilevel"/>
    <w:tmpl w:val="1FFC7C84"/>
    <w:lvl w:ilvl="0">
      <w:start w:val="1"/>
      <w:numFmt w:val="bullet"/>
      <w:lvlText w:val=""/>
      <w:lvlJc w:val="left"/>
      <w:pPr>
        <w:ind w:left="25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904E757"/>
    <w:multiLevelType w:val="hybridMultilevel"/>
    <w:tmpl w:val="38F442B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AF9B091"/>
    <w:multiLevelType w:val="hybridMultilevel"/>
    <w:tmpl w:val="C3E0DF92"/>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C8096B8"/>
    <w:multiLevelType w:val="hybridMultilevel"/>
    <w:tmpl w:val="C53AD946"/>
    <w:lvl w:ilvl="0">
      <w:start w:val="1"/>
      <w:numFmt w:val="bullet"/>
      <w:lvlText w:val=""/>
      <w:lvlJc w:val="left"/>
      <w:pPr>
        <w:ind w:left="25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DF8BBE3"/>
    <w:multiLevelType w:val="hybridMultilevel"/>
    <w:tmpl w:val="A52C232E"/>
    <w:lvl w:ilvl="0">
      <w:start w:val="1"/>
      <w:numFmt w:val="bullet"/>
      <w:lvlText w:val=""/>
      <w:lvlJc w:val="left"/>
      <w:pPr>
        <w:ind w:left="25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F272FC4"/>
    <w:multiLevelType w:val="hybridMultilevel"/>
    <w:tmpl w:val="2E1A1CE8"/>
    <w:lvl w:ilvl="0">
      <w:start w:val="1"/>
      <w:numFmt w:val="bullet"/>
      <w:lvlText w:val=""/>
      <w:lvlJc w:val="left"/>
      <w:pPr>
        <w:ind w:left="25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53753180">
    <w:abstractNumId w:val="8"/>
  </w:num>
  <w:num w:numId="2" w16cid:durableId="1430199177">
    <w:abstractNumId w:val="3"/>
  </w:num>
  <w:num w:numId="3" w16cid:durableId="186065795">
    <w:abstractNumId w:val="1"/>
  </w:num>
  <w:num w:numId="4" w16cid:durableId="1269846898">
    <w:abstractNumId w:val="13"/>
  </w:num>
  <w:num w:numId="5" w16cid:durableId="1165434280">
    <w:abstractNumId w:val="22"/>
  </w:num>
  <w:num w:numId="6" w16cid:durableId="296956168">
    <w:abstractNumId w:val="10"/>
  </w:num>
  <w:num w:numId="7" w16cid:durableId="110512931">
    <w:abstractNumId w:val="0"/>
  </w:num>
  <w:num w:numId="8" w16cid:durableId="596796060">
    <w:abstractNumId w:val="15"/>
  </w:num>
  <w:num w:numId="9" w16cid:durableId="269703995">
    <w:abstractNumId w:val="20"/>
  </w:num>
  <w:num w:numId="10" w16cid:durableId="351535724">
    <w:abstractNumId w:val="14"/>
  </w:num>
  <w:num w:numId="11" w16cid:durableId="1731612403">
    <w:abstractNumId w:val="17"/>
  </w:num>
  <w:num w:numId="12" w16cid:durableId="355079992">
    <w:abstractNumId w:val="21"/>
  </w:num>
  <w:num w:numId="13" w16cid:durableId="569267827">
    <w:abstractNumId w:val="12"/>
  </w:num>
  <w:num w:numId="14" w16cid:durableId="1975325680">
    <w:abstractNumId w:val="6"/>
  </w:num>
  <w:num w:numId="15" w16cid:durableId="1446851974">
    <w:abstractNumId w:val="2"/>
  </w:num>
  <w:num w:numId="16" w16cid:durableId="1576820373">
    <w:abstractNumId w:val="11"/>
  </w:num>
  <w:num w:numId="17" w16cid:durableId="689068277">
    <w:abstractNumId w:val="18"/>
  </w:num>
  <w:num w:numId="18" w16cid:durableId="1945384269">
    <w:abstractNumId w:val="19"/>
  </w:num>
  <w:num w:numId="19" w16cid:durableId="743525343">
    <w:abstractNumId w:val="7"/>
  </w:num>
  <w:num w:numId="20" w16cid:durableId="1177958195">
    <w:abstractNumId w:val="9"/>
  </w:num>
  <w:num w:numId="21" w16cid:durableId="1951930222">
    <w:abstractNumId w:val="16"/>
  </w:num>
  <w:num w:numId="22" w16cid:durableId="92552883">
    <w:abstractNumId w:val="5"/>
  </w:num>
  <w:num w:numId="23" w16cid:durableId="648242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AA3240"/>
    <w:rsid w:val="0000468F"/>
    <w:rsid w:val="000319A8"/>
    <w:rsid w:val="00035314"/>
    <w:rsid w:val="0004472E"/>
    <w:rsid w:val="00051E2D"/>
    <w:rsid w:val="0005408D"/>
    <w:rsid w:val="000756EB"/>
    <w:rsid w:val="000B1AD3"/>
    <w:rsid w:val="000B4FE6"/>
    <w:rsid w:val="000B69FF"/>
    <w:rsid w:val="00104460"/>
    <w:rsid w:val="0010708D"/>
    <w:rsid w:val="001212F9"/>
    <w:rsid w:val="00127412"/>
    <w:rsid w:val="001A6E93"/>
    <w:rsid w:val="001B0C98"/>
    <w:rsid w:val="001B5C74"/>
    <w:rsid w:val="001D4381"/>
    <w:rsid w:val="00202B2E"/>
    <w:rsid w:val="00207602"/>
    <w:rsid w:val="002131AC"/>
    <w:rsid w:val="00226884"/>
    <w:rsid w:val="002510E1"/>
    <w:rsid w:val="00251DA3"/>
    <w:rsid w:val="00274E90"/>
    <w:rsid w:val="002753F8"/>
    <w:rsid w:val="00277425"/>
    <w:rsid w:val="00286D2A"/>
    <w:rsid w:val="002A4758"/>
    <w:rsid w:val="002A6BA1"/>
    <w:rsid w:val="002B6E6F"/>
    <w:rsid w:val="002D31BD"/>
    <w:rsid w:val="002D363A"/>
    <w:rsid w:val="002E238F"/>
    <w:rsid w:val="00307AE0"/>
    <w:rsid w:val="00332B59"/>
    <w:rsid w:val="00357207"/>
    <w:rsid w:val="0036201A"/>
    <w:rsid w:val="003828A7"/>
    <w:rsid w:val="003A1500"/>
    <w:rsid w:val="003A2961"/>
    <w:rsid w:val="003A2E60"/>
    <w:rsid w:val="003A3F29"/>
    <w:rsid w:val="003B01E8"/>
    <w:rsid w:val="003D50AB"/>
    <w:rsid w:val="003D5C2B"/>
    <w:rsid w:val="004005E2"/>
    <w:rsid w:val="004051CB"/>
    <w:rsid w:val="00425F20"/>
    <w:rsid w:val="00480D69"/>
    <w:rsid w:val="00481B71"/>
    <w:rsid w:val="004B0F7E"/>
    <w:rsid w:val="004C3DBE"/>
    <w:rsid w:val="004F2861"/>
    <w:rsid w:val="00500983"/>
    <w:rsid w:val="0051281C"/>
    <w:rsid w:val="00570806"/>
    <w:rsid w:val="00586DDA"/>
    <w:rsid w:val="005B6948"/>
    <w:rsid w:val="005B7B14"/>
    <w:rsid w:val="005E0DC9"/>
    <w:rsid w:val="00607804"/>
    <w:rsid w:val="00616010"/>
    <w:rsid w:val="00625A53"/>
    <w:rsid w:val="00630547"/>
    <w:rsid w:val="00632967"/>
    <w:rsid w:val="00661EB3"/>
    <w:rsid w:val="00694DCA"/>
    <w:rsid w:val="006954AE"/>
    <w:rsid w:val="006A39E2"/>
    <w:rsid w:val="006B41AA"/>
    <w:rsid w:val="00710B00"/>
    <w:rsid w:val="0077778C"/>
    <w:rsid w:val="007868B3"/>
    <w:rsid w:val="00793636"/>
    <w:rsid w:val="007A4231"/>
    <w:rsid w:val="007E4A10"/>
    <w:rsid w:val="007F6567"/>
    <w:rsid w:val="008169D6"/>
    <w:rsid w:val="00823B78"/>
    <w:rsid w:val="00845A23"/>
    <w:rsid w:val="00851BCB"/>
    <w:rsid w:val="0086382D"/>
    <w:rsid w:val="008807DC"/>
    <w:rsid w:val="008817AD"/>
    <w:rsid w:val="008A6DB5"/>
    <w:rsid w:val="008B5E9E"/>
    <w:rsid w:val="008C105C"/>
    <w:rsid w:val="008C2BE4"/>
    <w:rsid w:val="008C4213"/>
    <w:rsid w:val="008D51B5"/>
    <w:rsid w:val="008E05A3"/>
    <w:rsid w:val="008F0CC9"/>
    <w:rsid w:val="008F61D4"/>
    <w:rsid w:val="00910DFF"/>
    <w:rsid w:val="009120A1"/>
    <w:rsid w:val="00923D6A"/>
    <w:rsid w:val="00950861"/>
    <w:rsid w:val="00956156"/>
    <w:rsid w:val="0095655E"/>
    <w:rsid w:val="009668DD"/>
    <w:rsid w:val="00967AF7"/>
    <w:rsid w:val="00976AAD"/>
    <w:rsid w:val="0099656C"/>
    <w:rsid w:val="009966AE"/>
    <w:rsid w:val="009C01F1"/>
    <w:rsid w:val="00A06A25"/>
    <w:rsid w:val="00A66886"/>
    <w:rsid w:val="00AB213C"/>
    <w:rsid w:val="00AC2812"/>
    <w:rsid w:val="00AE0791"/>
    <w:rsid w:val="00AE51D9"/>
    <w:rsid w:val="00B02DCA"/>
    <w:rsid w:val="00B060F6"/>
    <w:rsid w:val="00B10816"/>
    <w:rsid w:val="00B36A95"/>
    <w:rsid w:val="00B51918"/>
    <w:rsid w:val="00B552E5"/>
    <w:rsid w:val="00B94257"/>
    <w:rsid w:val="00BB2883"/>
    <w:rsid w:val="00BC3AA9"/>
    <w:rsid w:val="00BF147D"/>
    <w:rsid w:val="00C000C3"/>
    <w:rsid w:val="00C038D3"/>
    <w:rsid w:val="00C14EAA"/>
    <w:rsid w:val="00C15AD9"/>
    <w:rsid w:val="00C262C2"/>
    <w:rsid w:val="00C2748E"/>
    <w:rsid w:val="00C450B7"/>
    <w:rsid w:val="00C46C72"/>
    <w:rsid w:val="00C54991"/>
    <w:rsid w:val="00C66267"/>
    <w:rsid w:val="00CA5A32"/>
    <w:rsid w:val="00CB1815"/>
    <w:rsid w:val="00CB370B"/>
    <w:rsid w:val="00CE0CC9"/>
    <w:rsid w:val="00D047C1"/>
    <w:rsid w:val="00D109D2"/>
    <w:rsid w:val="00D32E2C"/>
    <w:rsid w:val="00D400E1"/>
    <w:rsid w:val="00D40DAD"/>
    <w:rsid w:val="00D445E1"/>
    <w:rsid w:val="00D7268E"/>
    <w:rsid w:val="00D86FBC"/>
    <w:rsid w:val="00D91DE2"/>
    <w:rsid w:val="00DC1B35"/>
    <w:rsid w:val="00DC4799"/>
    <w:rsid w:val="00DD4FD7"/>
    <w:rsid w:val="00DE2BFD"/>
    <w:rsid w:val="00DE374A"/>
    <w:rsid w:val="00DF29AA"/>
    <w:rsid w:val="00E13A29"/>
    <w:rsid w:val="00E22981"/>
    <w:rsid w:val="00E66C19"/>
    <w:rsid w:val="00E96873"/>
    <w:rsid w:val="00EA5264"/>
    <w:rsid w:val="00EA6D10"/>
    <w:rsid w:val="00EC2968"/>
    <w:rsid w:val="00EC4E2A"/>
    <w:rsid w:val="00ED18CC"/>
    <w:rsid w:val="00ED1AB8"/>
    <w:rsid w:val="00ED2E6D"/>
    <w:rsid w:val="00EF4CA2"/>
    <w:rsid w:val="00EF52C0"/>
    <w:rsid w:val="00F20522"/>
    <w:rsid w:val="00F73DCD"/>
    <w:rsid w:val="00F750FF"/>
    <w:rsid w:val="00FB3C40"/>
    <w:rsid w:val="00FB4F68"/>
    <w:rsid w:val="00FB7487"/>
    <w:rsid w:val="00FD0AB6"/>
    <w:rsid w:val="00FD5CA0"/>
    <w:rsid w:val="00FD728E"/>
    <w:rsid w:val="00FE1528"/>
    <w:rsid w:val="00FE36FD"/>
    <w:rsid w:val="00FE774A"/>
    <w:rsid w:val="01939360"/>
    <w:rsid w:val="0FE3634B"/>
    <w:rsid w:val="1139FD50"/>
    <w:rsid w:val="12C53880"/>
    <w:rsid w:val="13A221CD"/>
    <w:rsid w:val="159AE29E"/>
    <w:rsid w:val="15D07C49"/>
    <w:rsid w:val="16EE6403"/>
    <w:rsid w:val="180BD04C"/>
    <w:rsid w:val="208285F6"/>
    <w:rsid w:val="211EFF50"/>
    <w:rsid w:val="25D359C0"/>
    <w:rsid w:val="348EA8DB"/>
    <w:rsid w:val="3570FBCF"/>
    <w:rsid w:val="35883FFC"/>
    <w:rsid w:val="3B4E3F89"/>
    <w:rsid w:val="3C7D46E1"/>
    <w:rsid w:val="446A4F4A"/>
    <w:rsid w:val="46DD49EF"/>
    <w:rsid w:val="47527370"/>
    <w:rsid w:val="483A977E"/>
    <w:rsid w:val="4B82DD98"/>
    <w:rsid w:val="4D60E2D9"/>
    <w:rsid w:val="4D8AA64D"/>
    <w:rsid w:val="4E9DF9E8"/>
    <w:rsid w:val="51FEFB10"/>
    <w:rsid w:val="540FBDFC"/>
    <w:rsid w:val="556DE186"/>
    <w:rsid w:val="561B5CC9"/>
    <w:rsid w:val="5B681263"/>
    <w:rsid w:val="5D75519D"/>
    <w:rsid w:val="5E5CB913"/>
    <w:rsid w:val="63D3F669"/>
    <w:rsid w:val="671E12D7"/>
    <w:rsid w:val="68A47A22"/>
    <w:rsid w:val="6C9348EF"/>
    <w:rsid w:val="71AA3240"/>
    <w:rsid w:val="778CCB0B"/>
    <w:rsid w:val="795F4435"/>
    <w:rsid w:val="7F0E5D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9A3161"/>
  <w15:docId w15:val="{6108B4C3-2907-4061-80FD-9A4563ED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40" w:line="240" w:lineRule="auto"/>
      <w:ind w:left="360" w:hanging="360"/>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jc w:val="center"/>
      <w:outlineLvl w:val="2"/>
    </w:pPr>
    <w:rPr>
      <w:sz w:val="32"/>
      <w:szCs w:val="32"/>
    </w:rPr>
  </w:style>
  <w:style w:type="paragraph" w:styleId="Heading4">
    <w:name w:val="heading 4"/>
    <w:basedOn w:val="Normal"/>
    <w:next w:val="Normal"/>
    <w:uiPriority w:val="9"/>
    <w:semiHidden/>
    <w:unhideWhenUsed/>
    <w:qFormat/>
    <w:pPr>
      <w:spacing w:after="0" w:line="240" w:lineRule="auto"/>
      <w:jc w:val="cente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spacing w:after="240" w:line="240" w:lineRule="auto"/>
      <w:ind w:left="360" w:hanging="360"/>
    </w:pPr>
    <w:rPr>
      <w:b/>
      <w:color w:val="000000"/>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spacing w:after="0" w:line="240" w:lineRule="auto"/>
      <w:jc w:val="center"/>
    </w:pPr>
    <w:rPr>
      <w:sz w:val="32"/>
      <w:szCs w:val="32"/>
    </w:rPr>
  </w:style>
  <w:style w:type="paragraph" w:customStyle="1" w:styleId="heading40">
    <w:name w:val="heading 40"/>
    <w:basedOn w:val="Normal0"/>
    <w:next w:val="Normal0"/>
    <w:pPr>
      <w:spacing w:after="0" w:line="240" w:lineRule="auto"/>
      <w:jc w:val="center"/>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spacing w:after="240" w:line="240" w:lineRule="auto"/>
      <w:ind w:left="360" w:hanging="360"/>
    </w:pPr>
    <w:rPr>
      <w:b/>
      <w:color w:val="000000"/>
    </w:rPr>
  </w:style>
  <w:style w:type="paragraph" w:customStyle="1" w:styleId="heading21">
    <w:name w:val="heading 21"/>
    <w:basedOn w:val="Normal1"/>
    <w:next w:val="Normal1"/>
    <w:pPr>
      <w:keepNext/>
      <w:keepLines/>
      <w:spacing w:before="360" w:after="80"/>
    </w:pPr>
    <w:rPr>
      <w:b/>
      <w:sz w:val="36"/>
      <w:szCs w:val="36"/>
    </w:rPr>
  </w:style>
  <w:style w:type="paragraph" w:customStyle="1" w:styleId="heading31">
    <w:name w:val="heading 31"/>
    <w:basedOn w:val="Normal1"/>
    <w:next w:val="Normal1"/>
    <w:pPr>
      <w:spacing w:after="0" w:line="240" w:lineRule="auto"/>
      <w:jc w:val="center"/>
    </w:pPr>
    <w:rPr>
      <w:sz w:val="32"/>
      <w:szCs w:val="32"/>
    </w:rPr>
  </w:style>
  <w:style w:type="paragraph" w:customStyle="1" w:styleId="heading41">
    <w:name w:val="heading 41"/>
    <w:basedOn w:val="Normal1"/>
    <w:next w:val="Normal1"/>
    <w:pPr>
      <w:spacing w:after="0" w:line="240" w:lineRule="auto"/>
      <w:jc w:val="center"/>
    </w:pPr>
    <w:rPr>
      <w:b/>
    </w:rPr>
  </w:style>
  <w:style w:type="paragraph" w:customStyle="1" w:styleId="heading51">
    <w:name w:val="heading 51"/>
    <w:basedOn w:val="Normal1"/>
    <w:next w:val="Normal1"/>
    <w:pPr>
      <w:keepNext/>
      <w:keepLines/>
      <w:spacing w:before="220" w:after="40"/>
    </w:pPr>
    <w:rPr>
      <w:b/>
      <w:sz w:val="22"/>
      <w:szCs w:val="22"/>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qFormat/>
    <w:rsid w:val="001E3765"/>
  </w:style>
  <w:style w:type="paragraph" w:customStyle="1" w:styleId="heading12">
    <w:name w:val="heading 12"/>
    <w:basedOn w:val="Subtitle2"/>
    <w:next w:val="Normal2"/>
    <w:link w:val="Heading1Char"/>
    <w:uiPriority w:val="9"/>
    <w:qFormat/>
    <w:rsid w:val="001E3765"/>
    <w:pPr>
      <w:numPr>
        <w:numId w:val="22"/>
      </w:numPr>
      <w:spacing w:after="240" w:line="240" w:lineRule="auto"/>
      <w:ind w:left="360"/>
      <w:outlineLvl w:val="0"/>
    </w:pPr>
    <w:rPr>
      <w:rFonts w:ascii="Times New Roman" w:hAnsi="Times New Roman" w:eastAsiaTheme="minorHAnsi"/>
      <w:b/>
      <w:color w:val="auto"/>
      <w:sz w:val="24"/>
    </w:rPr>
  </w:style>
  <w:style w:type="paragraph" w:customStyle="1" w:styleId="heading22">
    <w:name w:val="heading 22"/>
    <w:basedOn w:val="Normal2"/>
    <w:next w:val="Normal2"/>
    <w:uiPriority w:val="9"/>
    <w:unhideWhenUsed/>
    <w:qFormat/>
    <w:pPr>
      <w:keepNext/>
      <w:keepLines/>
      <w:spacing w:before="360" w:after="80"/>
      <w:outlineLvl w:val="1"/>
    </w:pPr>
    <w:rPr>
      <w:b/>
      <w:sz w:val="36"/>
      <w:szCs w:val="36"/>
    </w:rPr>
  </w:style>
  <w:style w:type="paragraph" w:customStyle="1" w:styleId="heading32">
    <w:name w:val="heading 32"/>
    <w:basedOn w:val="Normal2"/>
    <w:next w:val="Normal2"/>
    <w:link w:val="Heading3Char"/>
    <w:uiPriority w:val="9"/>
    <w:unhideWhenUsed/>
    <w:qFormat/>
    <w:rsid w:val="001E3765"/>
    <w:pPr>
      <w:spacing w:after="0" w:line="240" w:lineRule="auto"/>
      <w:jc w:val="center"/>
      <w:outlineLvl w:val="2"/>
    </w:pPr>
    <w:rPr>
      <w:sz w:val="32"/>
      <w:szCs w:val="32"/>
    </w:rPr>
  </w:style>
  <w:style w:type="paragraph" w:customStyle="1" w:styleId="heading42">
    <w:name w:val="heading 42"/>
    <w:basedOn w:val="Normal2"/>
    <w:next w:val="Normal2"/>
    <w:link w:val="Heading4Char"/>
    <w:uiPriority w:val="9"/>
    <w:unhideWhenUsed/>
    <w:qFormat/>
    <w:rsid w:val="001E3765"/>
    <w:pPr>
      <w:spacing w:after="0" w:line="240" w:lineRule="auto"/>
      <w:jc w:val="center"/>
      <w:outlineLvl w:val="3"/>
    </w:pPr>
    <w:rPr>
      <w:b/>
    </w:rPr>
  </w:style>
  <w:style w:type="paragraph" w:customStyle="1" w:styleId="heading52">
    <w:name w:val="heading 52"/>
    <w:basedOn w:val="Normal2"/>
    <w:next w:val="Normal2"/>
    <w:uiPriority w:val="9"/>
    <w:semiHidden/>
    <w:unhideWhenUsed/>
    <w:qFormat/>
    <w:pPr>
      <w:keepNext/>
      <w:keepLines/>
      <w:spacing w:before="220" w:after="40"/>
      <w:outlineLvl w:val="4"/>
    </w:pPr>
    <w:rPr>
      <w:b/>
      <w:sz w:val="22"/>
      <w:szCs w:val="22"/>
    </w:rPr>
  </w:style>
  <w:style w:type="paragraph" w:customStyle="1" w:styleId="heading62">
    <w:name w:val="heading 62"/>
    <w:basedOn w:val="Normal2"/>
    <w:next w:val="Normal2"/>
    <w:uiPriority w:val="9"/>
    <w:semiHidden/>
    <w:unhideWhenUsed/>
    <w:qFormat/>
    <w:pPr>
      <w:keepNext/>
      <w:keepLines/>
      <w:spacing w:before="200" w:after="40"/>
      <w:outlineLvl w:val="5"/>
    </w:pPr>
    <w:rPr>
      <w:b/>
      <w:sz w:val="20"/>
      <w:szCs w:val="20"/>
    </w:rPr>
  </w:style>
  <w:style w:type="table" w:customStyle="1" w:styleId="NormalTable2">
    <w:name w:val="Normal Table2"/>
    <w:uiPriority w:val="99"/>
    <w:semiHidden/>
    <w:unhideWhenUsed/>
    <w:tblPr>
      <w:tblInd w:w="0" w:type="dxa"/>
      <w:tblCellMar>
        <w:top w:w="0" w:type="dxa"/>
        <w:left w:w="108" w:type="dxa"/>
        <w:bottom w:w="0" w:type="dxa"/>
        <w:right w:w="108" w:type="dxa"/>
      </w:tblCellMar>
    </w:tblPr>
  </w:style>
  <w:style w:type="paragraph" w:customStyle="1" w:styleId="Title2">
    <w:name w:val="Title2"/>
    <w:basedOn w:val="Normal2"/>
    <w:next w:val="Normal2"/>
    <w:uiPriority w:val="10"/>
    <w:qFormat/>
    <w:pPr>
      <w:keepNext/>
      <w:keepLines/>
      <w:spacing w:before="480" w:after="120"/>
    </w:pPr>
    <w:rPr>
      <w:b/>
      <w:sz w:val="72"/>
      <w:szCs w:val="72"/>
    </w:rPr>
  </w:style>
  <w:style w:type="character" w:customStyle="1" w:styleId="Heading1Char">
    <w:name w:val="Heading 1 Char"/>
    <w:basedOn w:val="DefaultParagraphFont"/>
    <w:link w:val="heading12"/>
    <w:uiPriority w:val="9"/>
    <w:rsid w:val="001E3765"/>
    <w:rPr>
      <w:rFonts w:ascii="Times New Roman" w:hAnsi="Times New Roman"/>
      <w:b/>
      <w:sz w:val="24"/>
    </w:rPr>
  </w:style>
  <w:style w:type="character" w:customStyle="1" w:styleId="Heading3Char">
    <w:name w:val="Heading 3 Char"/>
    <w:basedOn w:val="DefaultParagraphFont"/>
    <w:link w:val="heading32"/>
    <w:uiPriority w:val="9"/>
    <w:rsid w:val="001E3765"/>
    <w:rPr>
      <w:rFonts w:ascii="Times New Roman" w:hAnsi="Times New Roman"/>
      <w:sz w:val="32"/>
      <w:szCs w:val="32"/>
    </w:rPr>
  </w:style>
  <w:style w:type="character" w:customStyle="1" w:styleId="Heading4Char">
    <w:name w:val="Heading 4 Char"/>
    <w:basedOn w:val="DefaultParagraphFont"/>
    <w:link w:val="heading42"/>
    <w:uiPriority w:val="9"/>
    <w:rsid w:val="001E3765"/>
    <w:rPr>
      <w:rFonts w:ascii="Times New Roman" w:hAnsi="Times New Roman"/>
      <w:b/>
      <w:sz w:val="24"/>
    </w:rPr>
  </w:style>
  <w:style w:type="paragraph" w:styleId="Header">
    <w:name w:val="header"/>
    <w:basedOn w:val="Normal2"/>
    <w:link w:val="HeaderChar"/>
    <w:uiPriority w:val="99"/>
    <w:unhideWhenUsed/>
    <w:rsid w:val="001E3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765"/>
    <w:rPr>
      <w:rFonts w:ascii="Times New Roman" w:hAnsi="Times New Roman"/>
      <w:sz w:val="24"/>
    </w:rPr>
  </w:style>
  <w:style w:type="paragraph" w:styleId="Footer">
    <w:name w:val="footer"/>
    <w:basedOn w:val="Normal2"/>
    <w:link w:val="FooterChar"/>
    <w:uiPriority w:val="99"/>
    <w:unhideWhenUsed/>
    <w:rsid w:val="001E3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765"/>
    <w:rPr>
      <w:rFonts w:ascii="Times New Roman" w:hAnsi="Times New Roman"/>
      <w:sz w:val="24"/>
    </w:rPr>
  </w:style>
  <w:style w:type="character" w:styleId="Hyperlink">
    <w:name w:val="Hyperlink"/>
    <w:basedOn w:val="DefaultParagraphFont"/>
    <w:uiPriority w:val="99"/>
    <w:unhideWhenUsed/>
    <w:rsid w:val="001E3765"/>
    <w:rPr>
      <w:color w:val="0563C1" w:themeColor="hyperlink"/>
      <w:u w:val="single"/>
    </w:rPr>
  </w:style>
  <w:style w:type="paragraph" w:styleId="TOC2">
    <w:name w:val="toc 2"/>
    <w:basedOn w:val="Normal2"/>
    <w:next w:val="Normal2"/>
    <w:autoRedefine/>
    <w:uiPriority w:val="39"/>
    <w:unhideWhenUsed/>
    <w:rsid w:val="001E3765"/>
    <w:pPr>
      <w:spacing w:after="100"/>
      <w:ind w:left="240"/>
    </w:pPr>
  </w:style>
  <w:style w:type="paragraph" w:styleId="TOC1">
    <w:name w:val="toc 1"/>
    <w:basedOn w:val="Normal2"/>
    <w:next w:val="Normal2"/>
    <w:autoRedefine/>
    <w:uiPriority w:val="39"/>
    <w:unhideWhenUsed/>
    <w:rsid w:val="001E3765"/>
    <w:pPr>
      <w:spacing w:after="100"/>
    </w:pPr>
  </w:style>
  <w:style w:type="table" w:styleId="TableGrid">
    <w:name w:val="Table Grid"/>
    <w:basedOn w:val="NormalTable2"/>
    <w:uiPriority w:val="59"/>
    <w:rsid w:val="001E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3765"/>
    <w:pPr>
      <w:spacing w:after="0" w:line="240" w:lineRule="auto"/>
    </w:pPr>
  </w:style>
  <w:style w:type="paragraph" w:styleId="Subtitle">
    <w:name w:val="Subtitle"/>
    <w:basedOn w:val="Normal2"/>
    <w:next w:val="Normal2"/>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1E3765"/>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E3765"/>
    <w:rPr>
      <w:sz w:val="16"/>
      <w:szCs w:val="16"/>
    </w:rPr>
  </w:style>
  <w:style w:type="paragraph" w:styleId="CommentText">
    <w:name w:val="annotation text"/>
    <w:basedOn w:val="Normal2"/>
    <w:link w:val="CommentTextChar"/>
    <w:uiPriority w:val="99"/>
    <w:unhideWhenUsed/>
    <w:rsid w:val="001E3765"/>
    <w:pPr>
      <w:spacing w:line="240" w:lineRule="auto"/>
    </w:pPr>
    <w:rPr>
      <w:sz w:val="20"/>
      <w:szCs w:val="20"/>
    </w:rPr>
  </w:style>
  <w:style w:type="character" w:customStyle="1" w:styleId="CommentTextChar">
    <w:name w:val="Comment Text Char"/>
    <w:basedOn w:val="DefaultParagraphFont"/>
    <w:link w:val="CommentText"/>
    <w:uiPriority w:val="99"/>
    <w:rsid w:val="001E376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E3765"/>
    <w:rPr>
      <w:b/>
      <w:bCs/>
    </w:rPr>
  </w:style>
  <w:style w:type="character" w:customStyle="1" w:styleId="CommentSubjectChar">
    <w:name w:val="Comment Subject Char"/>
    <w:basedOn w:val="CommentTextChar"/>
    <w:link w:val="CommentSubject"/>
    <w:uiPriority w:val="99"/>
    <w:semiHidden/>
    <w:rsid w:val="001E3765"/>
    <w:rPr>
      <w:rFonts w:ascii="Times New Roman" w:hAnsi="Times New Roman"/>
      <w:b/>
      <w:bCs/>
      <w:sz w:val="20"/>
      <w:szCs w:val="20"/>
    </w:rPr>
  </w:style>
  <w:style w:type="paragraph" w:styleId="ListParagraph">
    <w:name w:val="List Paragraph"/>
    <w:basedOn w:val="Normal2"/>
    <w:uiPriority w:val="34"/>
    <w:qFormat/>
    <w:rsid w:val="0073731B"/>
    <w:pPr>
      <w:ind w:left="720"/>
      <w:contextualSpacing/>
    </w:pPr>
  </w:style>
  <w:style w:type="table" w:customStyle="1" w:styleId="a">
    <w:name w:val="a"/>
    <w:basedOn w:val="NormalTable2"/>
    <w:tblPr>
      <w:tblStyleRowBandSize w:val="1"/>
      <w:tblStyleColBandSize w:val="1"/>
      <w:tblCellMar>
        <w:top w:w="100" w:type="dxa"/>
        <w:left w:w="100" w:type="dxa"/>
        <w:bottom w:w="100" w:type="dxa"/>
        <w:right w:w="100" w:type="dxa"/>
      </w:tblCellMar>
    </w:tblPr>
  </w:style>
  <w:style w:type="table" w:customStyle="1" w:styleId="a0">
    <w:name w:val="a0"/>
    <w:basedOn w:val="NormalTable2"/>
    <w:tblPr>
      <w:tblStyleRowBandSize w:val="1"/>
      <w:tblStyleColBandSize w:val="1"/>
      <w:tblCellMar>
        <w:left w:w="115" w:type="dxa"/>
        <w:right w:w="115" w:type="dxa"/>
      </w:tblCellMar>
    </w:tblPr>
  </w:style>
  <w:style w:type="table" w:customStyle="1" w:styleId="a1">
    <w:name w:val="a1"/>
    <w:basedOn w:val="NormalTable2"/>
    <w:pPr>
      <w:spacing w:after="0" w:line="240" w:lineRule="auto"/>
    </w:pPr>
    <w:tblPr>
      <w:tblStyleRowBandSize w:val="1"/>
      <w:tblStyleColBandSize w:val="1"/>
    </w:tblPr>
  </w:style>
  <w:style w:type="table" w:customStyle="1" w:styleId="a2">
    <w:name w:val="a2"/>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3">
    <w:name w:val="a3"/>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4">
    <w:name w:val="a4"/>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5">
    <w:name w:val="a5"/>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6">
    <w:name w:val="a6"/>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7">
    <w:name w:val="a7"/>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8">
    <w:name w:val="a8"/>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9">
    <w:name w:val="a9"/>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a">
    <w:name w:val="aa"/>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b">
    <w:name w:val="ab"/>
    <w:basedOn w:val="NormalTable2"/>
    <w:tblPr>
      <w:tblStyleRowBandSize w:val="1"/>
      <w:tblStyleColBandSize w:val="1"/>
      <w:tblCellMar>
        <w:top w:w="100" w:type="dxa"/>
        <w:left w:w="100" w:type="dxa"/>
        <w:bottom w:w="100" w:type="dxa"/>
        <w:right w:w="100" w:type="dxa"/>
      </w:tblCellMar>
    </w:tblPr>
  </w:style>
  <w:style w:type="table" w:customStyle="1" w:styleId="ac">
    <w:name w:val="ac"/>
    <w:basedOn w:val="NormalTable2"/>
    <w:pPr>
      <w:spacing w:after="0" w:line="240" w:lineRule="auto"/>
    </w:pPr>
    <w:tblPr>
      <w:tblStyleRowBandSize w:val="1"/>
      <w:tblStyleColBandSize w:val="1"/>
      <w:tblCellMar>
        <w:top w:w="100" w:type="dxa"/>
        <w:left w:w="115" w:type="dxa"/>
        <w:bottom w:w="100" w:type="dxa"/>
        <w:right w:w="115" w:type="dxa"/>
      </w:tblCellMar>
    </w:tblPr>
  </w:style>
  <w:style w:type="paragraph" w:styleId="Revision">
    <w:name w:val="Revision"/>
    <w:hidden/>
    <w:uiPriority w:val="99"/>
    <w:semiHidden/>
    <w:rsid w:val="00D71EF2"/>
    <w:pPr>
      <w:spacing w:after="0" w:line="240" w:lineRule="auto"/>
    </w:pPr>
  </w:style>
  <w:style w:type="table" w:customStyle="1" w:styleId="ad">
    <w:name w:val="ad"/>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e">
    <w:name w:val="ae"/>
    <w:basedOn w:val="NormalTable2"/>
    <w:pPr>
      <w:spacing w:after="0" w:line="240" w:lineRule="auto"/>
    </w:pPr>
    <w:tblPr>
      <w:tblStyleRowBandSize w:val="1"/>
      <w:tblStyleColBandSize w:val="1"/>
      <w:tblCellMar>
        <w:top w:w="100" w:type="dxa"/>
        <w:left w:w="115" w:type="dxa"/>
        <w:bottom w:w="100" w:type="dxa"/>
        <w:right w:w="115" w:type="dxa"/>
      </w:tblCellMar>
    </w:tblPr>
  </w:style>
  <w:style w:type="paragraph" w:customStyle="1" w:styleId="Subtitle0">
    <w:name w:val="Subtitle0"/>
    <w:basedOn w:val="Normal2"/>
    <w:next w:val="Normal2"/>
    <w:pPr>
      <w:spacing w:after="160"/>
    </w:pPr>
    <w:rPr>
      <w:rFonts w:ascii="Calibri" w:eastAsia="Calibri" w:hAnsi="Calibri" w:cs="Calibri"/>
      <w:color w:val="5A5A5A"/>
      <w:sz w:val="22"/>
      <w:szCs w:val="22"/>
    </w:rPr>
  </w:style>
  <w:style w:type="table" w:customStyle="1" w:styleId="af">
    <w:name w:val="af"/>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f0">
    <w:name w:val="af0"/>
    <w:basedOn w:val="NormalTable2"/>
    <w:pPr>
      <w:spacing w:after="0" w:line="240" w:lineRule="auto"/>
    </w:pPr>
    <w:tblPr>
      <w:tblStyleRowBandSize w:val="1"/>
      <w:tblStyleColBandSize w:val="1"/>
      <w:tblCellMar>
        <w:top w:w="100" w:type="dxa"/>
        <w:left w:w="115" w:type="dxa"/>
        <w:bottom w:w="100" w:type="dxa"/>
        <w:right w:w="115" w:type="dxa"/>
      </w:tblCellMar>
    </w:tblPr>
  </w:style>
  <w:style w:type="paragraph" w:customStyle="1" w:styleId="Subtitle1">
    <w:name w:val="Subtitle1"/>
    <w:basedOn w:val="Normal2"/>
    <w:next w:val="Normal2"/>
    <w:pPr>
      <w:spacing w:after="160"/>
    </w:pPr>
    <w:rPr>
      <w:rFonts w:ascii="Calibri" w:eastAsia="Calibri" w:hAnsi="Calibri" w:cs="Calibri"/>
      <w:color w:val="5A5A5A"/>
      <w:sz w:val="22"/>
      <w:szCs w:val="22"/>
    </w:rPr>
  </w:style>
  <w:style w:type="table" w:customStyle="1" w:styleId="af1">
    <w:name w:val="af1"/>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f2">
    <w:name w:val="af2"/>
    <w:basedOn w:val="NormalTable2"/>
    <w:pPr>
      <w:spacing w:after="0" w:line="240" w:lineRule="auto"/>
    </w:pPr>
    <w:tblPr>
      <w:tblStyleRowBandSize w:val="1"/>
      <w:tblStyleColBandSize w:val="1"/>
      <w:tblCellMar>
        <w:top w:w="100" w:type="dxa"/>
        <w:left w:w="115" w:type="dxa"/>
        <w:bottom w:w="100" w:type="dxa"/>
        <w:right w:w="115" w:type="dxa"/>
      </w:tblCellMar>
    </w:tblPr>
  </w:style>
  <w:style w:type="paragraph" w:customStyle="1" w:styleId="Subtitle2">
    <w:name w:val="Subtitle2"/>
    <w:basedOn w:val="Normal2"/>
    <w:next w:val="Normal2"/>
    <w:pPr>
      <w:spacing w:after="160"/>
    </w:pPr>
    <w:rPr>
      <w:rFonts w:ascii="Calibri" w:eastAsia="Calibri" w:hAnsi="Calibri" w:cs="Calibri"/>
      <w:color w:val="5A5A5A"/>
      <w:sz w:val="22"/>
      <w:szCs w:val="22"/>
    </w:rPr>
  </w:style>
  <w:style w:type="table" w:customStyle="1" w:styleId="af3">
    <w:name w:val="af3"/>
    <w:basedOn w:val="NormalTable2"/>
    <w:pPr>
      <w:spacing w:after="0" w:line="240" w:lineRule="auto"/>
    </w:pPr>
    <w:tblPr>
      <w:tblStyleRowBandSize w:val="1"/>
      <w:tblStyleColBandSize w:val="1"/>
      <w:tblCellMar>
        <w:top w:w="100" w:type="dxa"/>
        <w:left w:w="115" w:type="dxa"/>
        <w:bottom w:w="100" w:type="dxa"/>
        <w:right w:w="115" w:type="dxa"/>
      </w:tblCellMar>
    </w:tblPr>
  </w:style>
  <w:style w:type="paragraph" w:customStyle="1" w:styleId="coverdate">
    <w:name w:val="cover date"/>
    <w:qFormat/>
    <w:rsid w:val="00EC4E2A"/>
    <w:pPr>
      <w:spacing w:after="0" w:line="440" w:lineRule="exact"/>
    </w:pPr>
    <w:rPr>
      <w:rFonts w:ascii="Arial" w:hAnsi="Arial"/>
      <w:sz w:val="34"/>
      <w:szCs w:val="26"/>
    </w:rPr>
  </w:style>
  <w:style w:type="character" w:styleId="Mention">
    <w:name w:val="Mention"/>
    <w:basedOn w:val="DefaultParagraphFont"/>
    <w:uiPriority w:val="99"/>
    <w:unhideWhenUsed/>
    <w:rsid w:val="00480D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k0ZZeAJDOW43zCfuOkrMMExF9A==">AMUW2mUd+/H6BbG6YxKipS9ZlxUClBs0DcRrp3CJNE3puFTW9Fix45mpWGDwtkqIn4xTR3BPd8OBDW5wtvouRyCXE2CPMVbvF06NdgJh1t+Lw/XvrYwO0ADEBTaTTzs1wOxuqQmVrFlqA98MwiWOTFt9lcidyKUtSq9p9EAOMEjEL2OmMNEIUVeu21N3/kJ5sR2fiZe75I6ngLB/2YjIDdYnmrEg7yRT52aNF1EhCovqNMtm4i+MlQhZGCt2NmJs4bEy9qaqA0oAD6my4sZjWnILIhfNIqkhUiIzxPzQGgWpT0j8Z8Lj2trigSnijsGl2KFBcjOwW0ogNHXxP+LEHvRgRicLX/fvxKKpuJL7qrWTndJgEfCooqw8Ia3FllEOC/kTPVuJGw3AQU8p790bR3oXbZfiu3FKtdB/Ug5AvT25KsP3RADanptnRsFciMzFzwCrOGXAUj0BUL3VkU7Z49DoO0IQ1GFb9txoqj1yAOE9SjvpdDCMEbYhnzWquysNElCM3F8P0LSZLnMmY7ccxWCHreLCXozWCQTzBpPsQx/iOUYPu4FSaacyZCwCbFwDiHcSPgl7OnsLNKNsKwm/vCSyHDcxrivwK/p523th77ebkOydikUStOGsgeJPYJ8c+6yVUK+UFM894Kr3Bq3sH/q/cC0k6pfWH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E0BAD-F871-448D-BA47-C2A433CF0394}">
  <ds:schemaRefs>
    <ds:schemaRef ds:uri="http://schemas.microsoft.com/office/2006/metadata/properties"/>
    <ds:schemaRef ds:uri="http://schemas.microsoft.com/office/infopath/2007/PartnerControls"/>
    <ds:schemaRef ds:uri="17273376-4701-4e40-9c6c-cca19f7dc1c8"/>
    <ds:schemaRef ds:uri="12cb6dfe-256c-468f-a249-517e8848b42c"/>
  </ds:schemaRefs>
</ds:datastoreItem>
</file>

<file path=customXml/itemProps2.xml><?xml version="1.0" encoding="utf-8"?>
<ds:datastoreItem xmlns:ds="http://schemas.openxmlformats.org/officeDocument/2006/customXml" ds:itemID="{F50D05E1-326A-42F4-A529-FE942FF5EA6B}">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CF23D67-F8A2-4CDD-B711-BC14158F6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Sarah (CDC/DDID/NCEZID/DFWED)</dc:creator>
  <cp:lastModifiedBy>Seeff, Laura (CDC/NCEH/OD)</cp:lastModifiedBy>
  <cp:revision>3</cp:revision>
  <dcterms:created xsi:type="dcterms:W3CDTF">2024-11-18T20:58:00Z</dcterms:created>
  <dcterms:modified xsi:type="dcterms:W3CDTF">2024-11-18T20:58:00Z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b77b0558-c787-41c7-9a92-fa7a0f9b7da3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2021-11-24T03:01:33Z</vt:lpwstr>
  </property>
  <property fmtid="{D5CDD505-2E9C-101B-9397-08002B2CF9AE}" pid="10" name="MSIP_Label_8af03ff0-41c5-4c41-b55e-fabb8fae94be_SiteId">
    <vt:lpwstr>9ce70869-60db-44fd-abe8-d2767077fc8f</vt:lpwstr>
  </property>
</Properties>
</file>