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7A3B" w:rsidP="00B56752" w14:paraId="408222C7" w14:textId="77777777">
      <w:pPr>
        <w:pBdr>
          <w:bottom w:val="single" w:sz="12" w:space="1" w:color="auto"/>
        </w:pBdr>
        <w:autoSpaceDE w:val="0"/>
        <w:autoSpaceDN w:val="0"/>
        <w:adjustRightInd w:val="0"/>
        <w:rPr>
          <w:rFonts w:asciiTheme="minorHAnsi" w:hAnsiTheme="minorHAnsi"/>
          <w:b/>
          <w:bCs/>
          <w:color w:val="FF0000"/>
          <w:sz w:val="22"/>
          <w:szCs w:val="22"/>
        </w:rPr>
      </w:pPr>
    </w:p>
    <w:p w:rsidR="00081BDB" w:rsidP="00B56752" w14:paraId="408222C8" w14:textId="77777777">
      <w:pPr>
        <w:autoSpaceDE w:val="0"/>
        <w:autoSpaceDN w:val="0"/>
        <w:adjustRightInd w:val="0"/>
        <w:rPr>
          <w:rFonts w:asciiTheme="minorHAnsi" w:hAnsiTheme="minorHAnsi"/>
          <w:b/>
          <w:bCs/>
          <w:color w:val="FF0000"/>
          <w:sz w:val="22"/>
          <w:szCs w:val="22"/>
        </w:rPr>
      </w:pPr>
    </w:p>
    <w:p w:rsidR="00913EDB" w:rsidRPr="00913EDB" w:rsidP="00FB432B" w14:paraId="408222C9" w14:textId="77777777">
      <w:pPr>
        <w:autoSpaceDE w:val="0"/>
        <w:autoSpaceDN w:val="0"/>
        <w:adjustRightInd w:val="0"/>
        <w:jc w:val="center"/>
        <w:rPr>
          <w:rFonts w:asciiTheme="minorHAnsi" w:hAnsiTheme="minorHAnsi"/>
          <w:b/>
          <w:bCs/>
          <w:color w:val="FF0000"/>
          <w:sz w:val="22"/>
          <w:szCs w:val="22"/>
        </w:rPr>
      </w:pPr>
    </w:p>
    <w:p w:rsidR="00211558" w:rsidRPr="00691454" w:rsidP="00FB432B" w14:paraId="408222CA" w14:textId="77777777">
      <w:pPr>
        <w:autoSpaceDE w:val="0"/>
        <w:autoSpaceDN w:val="0"/>
        <w:adjustRightInd w:val="0"/>
        <w:ind w:left="720"/>
        <w:jc w:val="center"/>
        <w:rPr>
          <w:b/>
          <w:bCs/>
        </w:rPr>
      </w:pPr>
    </w:p>
    <w:p w:rsidR="00384074" w:rsidP="00384074" w14:paraId="408222CB" w14:textId="77777777">
      <w:pPr>
        <w:keepNext/>
        <w:keepLines/>
        <w:jc w:val="center"/>
        <w:outlineLvl w:val="6"/>
        <w:rPr>
          <w:rFonts w:asciiTheme="majorHAnsi" w:eastAsiaTheme="majorEastAsia" w:hAnsiTheme="majorHAnsi" w:cstheme="majorBidi"/>
          <w:i/>
          <w:iCs/>
          <w:color w:val="404040" w:themeColor="text1" w:themeTint="BF"/>
          <w:sz w:val="28"/>
          <w:szCs w:val="28"/>
        </w:rPr>
      </w:pPr>
      <w:r w:rsidRPr="00EA366E">
        <w:rPr>
          <w:rFonts w:eastAsiaTheme="majorEastAsia"/>
          <w:b/>
          <w:i/>
          <w:iCs/>
          <w:color w:val="404040" w:themeColor="text1" w:themeTint="BF"/>
          <w:sz w:val="28"/>
          <w:szCs w:val="28"/>
        </w:rPr>
        <w:t xml:space="preserve">SUPPORTING STATEMENT:  </w:t>
      </w:r>
      <w:r>
        <w:rPr>
          <w:rFonts w:asciiTheme="majorHAnsi" w:eastAsiaTheme="majorEastAsia" w:hAnsiTheme="majorHAnsi" w:cstheme="majorBidi"/>
          <w:i/>
          <w:iCs/>
          <w:color w:val="404040" w:themeColor="text1" w:themeTint="BF"/>
          <w:sz w:val="28"/>
          <w:szCs w:val="28"/>
        </w:rPr>
        <w:t>PART A</w:t>
      </w:r>
    </w:p>
    <w:p w:rsidR="0092047B" w:rsidRPr="00EA366E" w:rsidP="00384074" w14:paraId="408222CC" w14:textId="77777777">
      <w:pPr>
        <w:keepNext/>
        <w:keepLines/>
        <w:jc w:val="center"/>
        <w:outlineLvl w:val="6"/>
        <w:rPr>
          <w:rFonts w:asciiTheme="majorHAnsi" w:eastAsiaTheme="majorEastAsia" w:hAnsiTheme="majorHAnsi" w:cstheme="majorBidi"/>
          <w:i/>
          <w:iCs/>
          <w:color w:val="404040" w:themeColor="text1" w:themeTint="BF"/>
          <w:sz w:val="28"/>
          <w:szCs w:val="28"/>
        </w:rPr>
      </w:pPr>
    </w:p>
    <w:p w:rsidR="00972DEF" w:rsidRPr="00691454" w:rsidP="00FB432B" w14:paraId="408222CD" w14:textId="77777777">
      <w:pPr>
        <w:pStyle w:val="BalloonText"/>
        <w:jc w:val="center"/>
      </w:pPr>
    </w:p>
    <w:p w:rsidR="0092047B" w:rsidRPr="00691454" w:rsidP="00937792" w14:paraId="408222CE" w14:textId="62C8E1E1">
      <w:pPr>
        <w:autoSpaceDE w:val="0"/>
        <w:autoSpaceDN w:val="0"/>
        <w:adjustRightInd w:val="0"/>
        <w:ind w:left="720"/>
        <w:jc w:val="center"/>
        <w:rPr>
          <w:b/>
          <w:bCs/>
        </w:rPr>
      </w:pPr>
      <w:r>
        <w:rPr>
          <w:b/>
          <w:bCs/>
        </w:rPr>
        <w:t xml:space="preserve">Performance </w:t>
      </w:r>
      <w:r w:rsidR="00CB205C">
        <w:rPr>
          <w:b/>
          <w:bCs/>
        </w:rPr>
        <w:t xml:space="preserve">Monitoring </w:t>
      </w:r>
      <w:r w:rsidR="00937792">
        <w:rPr>
          <w:b/>
          <w:bCs/>
        </w:rPr>
        <w:t>of CDC’s Core State Injury Prevention Program</w:t>
      </w:r>
    </w:p>
    <w:p w:rsidR="00972DEF" w:rsidRPr="00691454" w:rsidP="00FB432B" w14:paraId="408222CF" w14:textId="77777777">
      <w:pPr>
        <w:autoSpaceDE w:val="0"/>
        <w:autoSpaceDN w:val="0"/>
        <w:adjustRightInd w:val="0"/>
        <w:jc w:val="center"/>
        <w:rPr>
          <w:b/>
          <w:bCs/>
        </w:rPr>
      </w:pPr>
    </w:p>
    <w:p w:rsidR="00972DEF" w:rsidRPr="00121360" w:rsidP="00FB432B" w14:paraId="408222D0" w14:textId="09BFCC40">
      <w:pPr>
        <w:jc w:val="center"/>
        <w:rPr>
          <w:b/>
        </w:rPr>
      </w:pPr>
      <w:r w:rsidRPr="00121360">
        <w:rPr>
          <w:b/>
        </w:rPr>
        <w:t>OMB# 0920-</w:t>
      </w:r>
      <w:r w:rsidRPr="00121360" w:rsidR="00766DF3">
        <w:rPr>
          <w:b/>
        </w:rPr>
        <w:t>1369</w:t>
      </w:r>
    </w:p>
    <w:p w:rsidR="0092047B" w:rsidRPr="00121360" w:rsidP="00FB432B" w14:paraId="408222D1" w14:textId="77777777">
      <w:pPr>
        <w:jc w:val="center"/>
        <w:rPr>
          <w:b/>
        </w:rPr>
      </w:pPr>
    </w:p>
    <w:p w:rsidR="00972DEF" w:rsidRPr="00121360" w:rsidP="00FB432B" w14:paraId="408222D2" w14:textId="77777777">
      <w:pPr>
        <w:jc w:val="center"/>
      </w:pPr>
    </w:p>
    <w:p w:rsidR="009901D4" w:rsidRPr="00121360" w:rsidP="1294E080" w14:paraId="408222D3" w14:textId="1203009C">
      <w:pPr>
        <w:spacing w:line="259" w:lineRule="auto"/>
        <w:jc w:val="center"/>
        <w:rPr>
          <w:b/>
          <w:bCs/>
        </w:rPr>
      </w:pPr>
      <w:r>
        <w:rPr>
          <w:b/>
          <w:bCs/>
        </w:rPr>
        <w:t>June</w:t>
      </w:r>
      <w:r w:rsidR="00845A16">
        <w:rPr>
          <w:b/>
          <w:bCs/>
        </w:rPr>
        <w:t xml:space="preserve"> 9</w:t>
      </w:r>
      <w:r>
        <w:rPr>
          <w:b/>
          <w:bCs/>
        </w:rPr>
        <w:t>,</w:t>
      </w:r>
      <w:r w:rsidR="00845A16">
        <w:rPr>
          <w:b/>
          <w:bCs/>
        </w:rPr>
        <w:t xml:space="preserve"> 2025</w:t>
      </w:r>
    </w:p>
    <w:p w:rsidR="00E2294D" w:rsidRPr="00121360" w:rsidP="00FB432B" w14:paraId="408222D4" w14:textId="77777777">
      <w:pPr>
        <w:jc w:val="center"/>
        <w:rPr>
          <w:b/>
        </w:rPr>
      </w:pPr>
    </w:p>
    <w:p w:rsidR="009901D4" w:rsidRPr="00121360" w:rsidP="00FB432B" w14:paraId="408222D5" w14:textId="77777777">
      <w:pPr>
        <w:jc w:val="center"/>
      </w:pPr>
    </w:p>
    <w:p w:rsidR="009901D4" w:rsidRPr="00121360" w:rsidP="00FB432B" w14:paraId="408222D6" w14:textId="77777777">
      <w:pPr>
        <w:jc w:val="center"/>
      </w:pPr>
    </w:p>
    <w:p w:rsidR="00972DEF" w:rsidRPr="00121360" w:rsidP="00FB432B" w14:paraId="408222D7" w14:textId="77777777">
      <w:pPr>
        <w:jc w:val="center"/>
      </w:pPr>
    </w:p>
    <w:p w:rsidR="00972DEF" w:rsidRPr="00121360" w:rsidP="00FB432B" w14:paraId="408222D8" w14:textId="77777777">
      <w:pPr>
        <w:jc w:val="center"/>
      </w:pPr>
    </w:p>
    <w:p w:rsidR="00972DEF" w:rsidRPr="00121360" w:rsidP="00FB432B" w14:paraId="408222D9" w14:textId="77777777">
      <w:pPr>
        <w:jc w:val="center"/>
      </w:pPr>
    </w:p>
    <w:p w:rsidR="00972DEF" w:rsidRPr="00121360" w:rsidP="00FB432B" w14:paraId="408222DA" w14:textId="77777777">
      <w:pPr>
        <w:jc w:val="center"/>
      </w:pPr>
      <w:r w:rsidRPr="00121360">
        <w:t>Point of Contact</w:t>
      </w:r>
      <w:r w:rsidRPr="00121360">
        <w:t>:</w:t>
      </w:r>
    </w:p>
    <w:p w:rsidR="00FB432B" w:rsidRPr="00121360" w:rsidP="00121360" w14:paraId="408222DB" w14:textId="294C905F">
      <w:pPr>
        <w:spacing w:line="259" w:lineRule="auto"/>
        <w:jc w:val="center"/>
      </w:pPr>
      <w:r>
        <w:t>Khiya Mullins</w:t>
      </w:r>
    </w:p>
    <w:p w:rsidR="00972DEF" w:rsidRPr="00121360" w:rsidP="00FB432B" w14:paraId="408222DD" w14:textId="77777777">
      <w:pPr>
        <w:pStyle w:val="E-mailSignature"/>
        <w:jc w:val="center"/>
        <w:rPr>
          <w:noProof/>
        </w:rPr>
      </w:pPr>
      <w:bookmarkStart w:id="0" w:name="_MailAutoSig"/>
      <w:r w:rsidRPr="00121360">
        <w:rPr>
          <w:noProof/>
        </w:rPr>
        <w:t>Centers for Disease Control and Prevention</w:t>
      </w:r>
    </w:p>
    <w:p w:rsidR="00972DEF" w:rsidRPr="00121360" w:rsidP="00FB432B" w14:paraId="408222DE" w14:textId="77777777">
      <w:pPr>
        <w:pStyle w:val="E-mailSignature"/>
        <w:jc w:val="center"/>
        <w:rPr>
          <w:noProof/>
        </w:rPr>
      </w:pPr>
      <w:r w:rsidRPr="00121360">
        <w:rPr>
          <w:noProof/>
        </w:rPr>
        <w:t>National Center for Injury Prevention and Control</w:t>
      </w:r>
    </w:p>
    <w:bookmarkEnd w:id="0"/>
    <w:p w:rsidR="00972DEF" w:rsidP="00972DEF" w14:paraId="408222E4" w14:textId="77777777">
      <w:pPr>
        <w:jc w:val="center"/>
      </w:pPr>
    </w:p>
    <w:p w:rsidR="00E2294D" w:rsidP="00972DEF" w14:paraId="408222E5" w14:textId="4D8BE9EF">
      <w:pPr>
        <w:jc w:val="center"/>
      </w:pPr>
    </w:p>
    <w:p w:rsidR="00B72FF0" w:rsidP="00972DEF" w14:paraId="0B9A46C0" w14:textId="77777777">
      <w:pPr>
        <w:jc w:val="center"/>
      </w:pPr>
    </w:p>
    <w:p w:rsidR="00E2294D" w:rsidP="00972DEF" w14:paraId="408222E6" w14:textId="77777777">
      <w:pPr>
        <w:jc w:val="center"/>
      </w:pPr>
    </w:p>
    <w:p w:rsidR="00E2294D" w:rsidP="00972DEF" w14:paraId="408222E7" w14:textId="4543CB3B">
      <w:pPr>
        <w:jc w:val="center"/>
      </w:pPr>
    </w:p>
    <w:p w:rsidR="0024164E" w:rsidP="00972DEF" w14:paraId="54D85E37" w14:textId="1C9054FD">
      <w:pPr>
        <w:jc w:val="center"/>
      </w:pPr>
    </w:p>
    <w:p w:rsidR="0024164E" w:rsidP="00972DEF" w14:paraId="681940B4" w14:textId="7A1E8353">
      <w:pPr>
        <w:jc w:val="center"/>
      </w:pPr>
    </w:p>
    <w:p w:rsidR="0024164E" w:rsidP="00972DEF" w14:paraId="7FA1087A" w14:textId="49F067C2">
      <w:pPr>
        <w:jc w:val="center"/>
      </w:pPr>
    </w:p>
    <w:p w:rsidR="0024164E" w:rsidP="00972DEF" w14:paraId="26C96601" w14:textId="3AD5B28B">
      <w:pPr>
        <w:jc w:val="center"/>
      </w:pPr>
    </w:p>
    <w:p w:rsidR="0024164E" w:rsidP="00972DEF" w14:paraId="332F5111" w14:textId="649BEC6C">
      <w:pPr>
        <w:jc w:val="center"/>
      </w:pPr>
    </w:p>
    <w:p w:rsidR="0024164E" w:rsidP="00972DEF" w14:paraId="4CC9D88E" w14:textId="2D12BBB0">
      <w:pPr>
        <w:jc w:val="center"/>
      </w:pPr>
    </w:p>
    <w:p w:rsidR="0024164E" w:rsidP="00972DEF" w14:paraId="42B71C30" w14:textId="746A5A34">
      <w:pPr>
        <w:jc w:val="center"/>
      </w:pPr>
    </w:p>
    <w:p w:rsidR="0024164E" w:rsidP="00972DEF" w14:paraId="2F138290" w14:textId="6EFF86F8">
      <w:pPr>
        <w:jc w:val="center"/>
      </w:pPr>
    </w:p>
    <w:p w:rsidR="0024164E" w:rsidP="00972DEF" w14:paraId="5BE9D2E6" w14:textId="4AA689C2">
      <w:pPr>
        <w:jc w:val="center"/>
      </w:pPr>
    </w:p>
    <w:p w:rsidR="0024164E" w:rsidP="00972DEF" w14:paraId="71FFA40D" w14:textId="008046F7">
      <w:pPr>
        <w:jc w:val="center"/>
      </w:pPr>
    </w:p>
    <w:p w:rsidR="0024164E" w:rsidP="00972DEF" w14:paraId="542F18EB" w14:textId="77777777">
      <w:pPr>
        <w:jc w:val="center"/>
      </w:pPr>
    </w:p>
    <w:p w:rsidR="00E2294D" w:rsidP="00972DEF" w14:paraId="408222E8" w14:textId="77777777">
      <w:pPr>
        <w:jc w:val="center"/>
      </w:pPr>
    </w:p>
    <w:p w:rsidR="00E2294D" w:rsidP="00972DEF" w14:paraId="408222E9" w14:textId="77777777">
      <w:pPr>
        <w:jc w:val="center"/>
      </w:pPr>
    </w:p>
    <w:p w:rsidR="00BC62C7" w14:paraId="7897A2F6" w14:textId="77777777">
      <w:pPr>
        <w:rPr>
          <w:b/>
          <w:bCs/>
        </w:rPr>
      </w:pPr>
      <w:r>
        <w:rPr>
          <w:b/>
          <w:bCs/>
        </w:rPr>
        <w:br w:type="page"/>
      </w:r>
    </w:p>
    <w:p w:rsidR="00972DEF" w:rsidRPr="00691454" w:rsidP="00F63E8B" w14:paraId="408222EA" w14:textId="69DA5910">
      <w:pPr>
        <w:ind w:firstLine="720"/>
        <w:jc w:val="center"/>
        <w:rPr>
          <w:b/>
          <w:bCs/>
          <w:noProof/>
        </w:rPr>
      </w:pPr>
      <w:r w:rsidRPr="00691454">
        <w:rPr>
          <w:b/>
          <w:bCs/>
        </w:rPr>
        <w:t>CONTE</w:t>
      </w:r>
      <w:r w:rsidRPr="00691454">
        <w:rPr>
          <w:b/>
          <w:bCs/>
          <w:noProof/>
        </w:rPr>
        <w:t>NTS</w:t>
      </w:r>
    </w:p>
    <w:p w:rsidR="00972DEF" w:rsidRPr="00691454" w:rsidP="00972DEF" w14:paraId="408222EB" w14:textId="77777777">
      <w:pPr>
        <w:pStyle w:val="T0-ChapPgHd"/>
        <w:jc w:val="left"/>
        <w:rPr>
          <w:noProof/>
        </w:rPr>
      </w:pPr>
      <w:r w:rsidRPr="00691454">
        <w:rPr>
          <w:noProof/>
        </w:rPr>
        <w:t>Section</w:t>
      </w:r>
      <w:r w:rsidRPr="00691454">
        <w:rPr>
          <w:noProof/>
        </w:rPr>
        <w:tab/>
        <w:t>Page</w:t>
      </w:r>
    </w:p>
    <w:p w:rsidR="00972DEF" w:rsidRPr="00691454" w:rsidP="00972DEF" w14:paraId="408222EC" w14:textId="77777777">
      <w:pPr>
        <w:pStyle w:val="T0-ChapPgHd"/>
        <w:jc w:val="left"/>
        <w:rPr>
          <w:noProof/>
        </w:rPr>
      </w:pPr>
    </w:p>
    <w:p w:rsidR="002B38B4" w:rsidRPr="00691454" w:rsidP="002B38B4" w14:paraId="4EAE9172" w14:textId="77777777">
      <w:pPr>
        <w:pStyle w:val="TOC1"/>
        <w:rPr>
          <w:noProof/>
        </w:rPr>
      </w:pPr>
      <w:r w:rsidRPr="00691454">
        <w:rPr>
          <w:noProof/>
        </w:rPr>
        <w:t>A.</w:t>
      </w:r>
      <w:r w:rsidRPr="00691454">
        <w:rPr>
          <w:noProof/>
        </w:rPr>
        <w:tab/>
      </w:r>
      <w:r>
        <w:rPr>
          <w:noProof/>
        </w:rPr>
        <w:t>Summary table</w:t>
      </w:r>
      <w:r w:rsidRPr="00691454">
        <w:rPr>
          <w:noProof/>
        </w:rPr>
        <w:tab/>
      </w:r>
      <w:r w:rsidRPr="00691454">
        <w:rPr>
          <w:noProof/>
        </w:rPr>
        <w:tab/>
      </w:r>
      <w:r>
        <w:rPr>
          <w:noProof/>
        </w:rPr>
        <w:t>3</w:t>
      </w:r>
    </w:p>
    <w:p w:rsidR="002B38B4" w:rsidP="002B38B4" w14:paraId="1A0EACBD" w14:textId="77777777">
      <w:pPr>
        <w:pStyle w:val="TOC1"/>
        <w:rPr>
          <w:noProof/>
        </w:rPr>
      </w:pPr>
    </w:p>
    <w:p w:rsidR="002B38B4" w:rsidRPr="00691454" w:rsidP="002B38B4" w14:paraId="40059ED5" w14:textId="77777777">
      <w:pPr>
        <w:pStyle w:val="TOC1"/>
        <w:rPr>
          <w:noProof/>
        </w:rPr>
      </w:pPr>
      <w:r>
        <w:rPr>
          <w:noProof/>
        </w:rPr>
        <w:tab/>
      </w:r>
      <w:r w:rsidRPr="00691454">
        <w:rPr>
          <w:noProof/>
        </w:rPr>
        <w:t>Justification</w:t>
      </w:r>
      <w:r w:rsidRPr="00691454">
        <w:rPr>
          <w:noProof/>
        </w:rPr>
        <w:tab/>
      </w:r>
      <w:r w:rsidRPr="00691454">
        <w:rPr>
          <w:noProof/>
        </w:rPr>
        <w:tab/>
      </w:r>
      <w:r>
        <w:rPr>
          <w:noProof/>
        </w:rPr>
        <w:t>3</w:t>
      </w:r>
    </w:p>
    <w:p w:rsidR="002B38B4" w:rsidRPr="00691454" w:rsidP="002B38B4" w14:paraId="32AB38DB" w14:textId="77777777">
      <w:pPr>
        <w:pStyle w:val="TOC1"/>
        <w:rPr>
          <w:noProof/>
        </w:rPr>
      </w:pPr>
    </w:p>
    <w:p w:rsidR="002B38B4" w:rsidP="002B38B4" w14:paraId="6DB0FD7A" w14:textId="77777777">
      <w:pPr>
        <w:pStyle w:val="TOC2"/>
        <w:rPr>
          <w:noProof/>
        </w:rPr>
      </w:pPr>
      <w:r w:rsidRPr="00691454">
        <w:rPr>
          <w:noProof/>
        </w:rPr>
        <w:t>A.1.</w:t>
      </w:r>
      <w:r w:rsidRPr="00691454">
        <w:rPr>
          <w:noProof/>
        </w:rPr>
        <w:tab/>
        <w:t>Circumstances Making the Collection of Information Necessary</w:t>
      </w:r>
      <w:r w:rsidRPr="00691454">
        <w:rPr>
          <w:noProof/>
        </w:rPr>
        <w:tab/>
      </w:r>
      <w:r>
        <w:rPr>
          <w:noProof/>
        </w:rPr>
        <w:t>3</w:t>
      </w:r>
    </w:p>
    <w:p w:rsidR="002B38B4" w:rsidRPr="00691454" w:rsidP="002B38B4" w14:paraId="39F91BF2" w14:textId="77777777">
      <w:pPr>
        <w:pStyle w:val="TOC2"/>
        <w:rPr>
          <w:noProof/>
        </w:rPr>
      </w:pPr>
      <w:r w:rsidRPr="00691454">
        <w:rPr>
          <w:noProof/>
        </w:rPr>
        <w:t>A.2.</w:t>
      </w:r>
      <w:r w:rsidRPr="00691454">
        <w:rPr>
          <w:noProof/>
        </w:rPr>
        <w:tab/>
        <w:t>Purpose and Use of Information Collection</w:t>
      </w:r>
      <w:r w:rsidRPr="00691454">
        <w:rPr>
          <w:noProof/>
        </w:rPr>
        <w:tab/>
      </w:r>
      <w:r w:rsidRPr="00691454">
        <w:rPr>
          <w:noProof/>
        </w:rPr>
        <w:tab/>
      </w:r>
      <w:r>
        <w:rPr>
          <w:noProof/>
        </w:rPr>
        <w:t>4</w:t>
      </w:r>
    </w:p>
    <w:p w:rsidR="002B38B4" w:rsidRPr="00691454" w:rsidP="002B38B4" w14:paraId="24B1D8AD" w14:textId="77777777">
      <w:pPr>
        <w:pStyle w:val="TOC2"/>
        <w:rPr>
          <w:noProof/>
        </w:rPr>
      </w:pPr>
      <w:r w:rsidRPr="00691454">
        <w:rPr>
          <w:noProof/>
        </w:rPr>
        <w:t>A.3.</w:t>
      </w:r>
      <w:r w:rsidRPr="00691454">
        <w:rPr>
          <w:noProof/>
        </w:rPr>
        <w:tab/>
        <w:t>Use of Improved Information Technology and Burden Reduction</w:t>
      </w:r>
      <w:r w:rsidRPr="00691454">
        <w:rPr>
          <w:noProof/>
        </w:rPr>
        <w:tab/>
      </w:r>
      <w:r>
        <w:rPr>
          <w:noProof/>
        </w:rPr>
        <w:t>6</w:t>
      </w:r>
    </w:p>
    <w:p w:rsidR="002B38B4" w:rsidRPr="00691454" w:rsidP="002B38B4" w14:paraId="55D21C72" w14:textId="77777777">
      <w:pPr>
        <w:pStyle w:val="TOC2"/>
        <w:rPr>
          <w:noProof/>
        </w:rPr>
      </w:pPr>
      <w:r w:rsidRPr="00691454">
        <w:rPr>
          <w:noProof/>
        </w:rPr>
        <w:t>A.4.</w:t>
      </w:r>
      <w:r w:rsidRPr="00691454">
        <w:rPr>
          <w:noProof/>
        </w:rPr>
        <w:tab/>
        <w:t>Efforts to Identify Duplication and Use of Similar Information</w:t>
      </w:r>
      <w:r w:rsidRPr="00691454">
        <w:rPr>
          <w:noProof/>
        </w:rPr>
        <w:tab/>
      </w:r>
      <w:r w:rsidRPr="00691454">
        <w:rPr>
          <w:noProof/>
        </w:rPr>
        <w:tab/>
      </w:r>
      <w:r>
        <w:rPr>
          <w:noProof/>
        </w:rPr>
        <w:t>9</w:t>
      </w:r>
    </w:p>
    <w:p w:rsidR="002B38B4" w:rsidRPr="00691454" w:rsidP="002B38B4" w14:paraId="789A12B5" w14:textId="77777777">
      <w:pPr>
        <w:pStyle w:val="TOC2"/>
        <w:rPr>
          <w:noProof/>
        </w:rPr>
      </w:pPr>
      <w:r w:rsidRPr="00691454">
        <w:rPr>
          <w:noProof/>
        </w:rPr>
        <w:t>A.5.</w:t>
      </w:r>
      <w:r w:rsidRPr="00691454">
        <w:rPr>
          <w:noProof/>
        </w:rPr>
        <w:tab/>
        <w:t>Impact on Small Businesses or Other Small Entities</w:t>
      </w:r>
      <w:r w:rsidRPr="00691454">
        <w:rPr>
          <w:noProof/>
        </w:rPr>
        <w:tab/>
      </w:r>
      <w:r w:rsidRPr="00691454">
        <w:rPr>
          <w:noProof/>
        </w:rPr>
        <w:tab/>
      </w:r>
      <w:r>
        <w:rPr>
          <w:noProof/>
        </w:rPr>
        <w:t>9</w:t>
      </w:r>
    </w:p>
    <w:p w:rsidR="002B38B4" w:rsidRPr="00691454" w:rsidP="002B38B4" w14:paraId="49CCAD07" w14:textId="77777777">
      <w:pPr>
        <w:pStyle w:val="TOC2"/>
        <w:rPr>
          <w:noProof/>
        </w:rPr>
      </w:pPr>
      <w:r w:rsidRPr="00691454">
        <w:rPr>
          <w:noProof/>
        </w:rPr>
        <w:t>A.6.</w:t>
      </w:r>
      <w:r w:rsidRPr="00691454">
        <w:rPr>
          <w:noProof/>
        </w:rPr>
        <w:tab/>
        <w:t>Consequences of Collecting the Information Less Frequently</w:t>
      </w:r>
      <w:r w:rsidRPr="00691454">
        <w:rPr>
          <w:noProof/>
        </w:rPr>
        <w:tab/>
      </w:r>
      <w:r w:rsidRPr="00691454">
        <w:rPr>
          <w:noProof/>
        </w:rPr>
        <w:tab/>
      </w:r>
      <w:r>
        <w:rPr>
          <w:noProof/>
        </w:rPr>
        <w:t>9</w:t>
      </w:r>
    </w:p>
    <w:p w:rsidR="002B38B4" w:rsidRPr="00691454" w:rsidP="002B38B4" w14:paraId="4C16C85F" w14:textId="77777777">
      <w:pPr>
        <w:pStyle w:val="TOC2"/>
        <w:rPr>
          <w:noProof/>
        </w:rPr>
      </w:pPr>
      <w:r w:rsidRPr="00691454">
        <w:rPr>
          <w:noProof/>
        </w:rPr>
        <w:t>A.7.</w:t>
      </w:r>
      <w:r w:rsidRPr="00691454">
        <w:rPr>
          <w:noProof/>
        </w:rPr>
        <w:tab/>
        <w:t xml:space="preserve">Special Circumstances Relating to the Guidelines of </w:t>
      </w:r>
    </w:p>
    <w:p w:rsidR="002B38B4" w:rsidRPr="00691454" w:rsidP="002B38B4" w14:paraId="2111D4C2" w14:textId="77777777">
      <w:pPr>
        <w:pStyle w:val="TOC2"/>
        <w:rPr>
          <w:noProof/>
        </w:rPr>
      </w:pPr>
      <w:r w:rsidRPr="00691454">
        <w:rPr>
          <w:noProof/>
        </w:rPr>
        <w:tab/>
        <w:t>5 CFR 1320.5(d)2</w:t>
      </w:r>
      <w:r w:rsidRPr="00691454">
        <w:rPr>
          <w:noProof/>
        </w:rPr>
        <w:tab/>
      </w:r>
      <w:r w:rsidRPr="00691454">
        <w:rPr>
          <w:noProof/>
        </w:rPr>
        <w:tab/>
      </w:r>
      <w:r>
        <w:rPr>
          <w:noProof/>
        </w:rPr>
        <w:t>9</w:t>
      </w:r>
    </w:p>
    <w:p w:rsidR="002B38B4" w:rsidRPr="00691454" w:rsidP="002B38B4" w14:paraId="441BCDB3" w14:textId="77777777">
      <w:pPr>
        <w:pStyle w:val="TOC2"/>
        <w:rPr>
          <w:noProof/>
        </w:rPr>
      </w:pPr>
      <w:r w:rsidRPr="00691454">
        <w:rPr>
          <w:noProof/>
        </w:rPr>
        <w:t>A.8.</w:t>
      </w:r>
      <w:r w:rsidRPr="00691454">
        <w:rPr>
          <w:noProof/>
        </w:rPr>
        <w:tab/>
        <w:t xml:space="preserve">Comments in Response to the Federal Register Notice and </w:t>
      </w:r>
    </w:p>
    <w:p w:rsidR="002B38B4" w:rsidRPr="00691454" w:rsidP="002B38B4" w14:paraId="79AF20D8" w14:textId="77777777">
      <w:pPr>
        <w:pStyle w:val="TOC2"/>
        <w:rPr>
          <w:noProof/>
        </w:rPr>
      </w:pPr>
      <w:r w:rsidRPr="00691454">
        <w:rPr>
          <w:noProof/>
        </w:rPr>
        <w:tab/>
        <w:t>Efforts to Consult Outside the Agency</w:t>
      </w:r>
      <w:r w:rsidRPr="00691454">
        <w:rPr>
          <w:noProof/>
        </w:rPr>
        <w:tab/>
      </w:r>
      <w:r w:rsidRPr="00691454">
        <w:rPr>
          <w:noProof/>
        </w:rPr>
        <w:tab/>
      </w:r>
      <w:r>
        <w:rPr>
          <w:noProof/>
        </w:rPr>
        <w:t>9</w:t>
      </w:r>
    </w:p>
    <w:p w:rsidR="002B38B4" w:rsidRPr="00691454" w:rsidP="002B38B4" w14:paraId="4E8BEFFC" w14:textId="77777777">
      <w:pPr>
        <w:pStyle w:val="TOC2"/>
        <w:rPr>
          <w:noProof/>
        </w:rPr>
      </w:pPr>
      <w:r w:rsidRPr="00691454">
        <w:rPr>
          <w:noProof/>
        </w:rPr>
        <w:t>A.9.</w:t>
      </w:r>
      <w:r w:rsidRPr="00691454">
        <w:rPr>
          <w:noProof/>
        </w:rPr>
        <w:tab/>
        <w:t>Explanation of Any Payment or Gift to Respondents</w:t>
      </w:r>
      <w:r w:rsidRPr="00691454">
        <w:rPr>
          <w:noProof/>
        </w:rPr>
        <w:tab/>
      </w:r>
      <w:r w:rsidRPr="00691454">
        <w:rPr>
          <w:noProof/>
        </w:rPr>
        <w:tab/>
      </w:r>
      <w:r>
        <w:rPr>
          <w:noProof/>
        </w:rPr>
        <w:t>9</w:t>
      </w:r>
    </w:p>
    <w:p w:rsidR="002B38B4" w:rsidRPr="00691454" w:rsidP="002B38B4" w14:paraId="69827794" w14:textId="77777777">
      <w:pPr>
        <w:pStyle w:val="TOC2"/>
        <w:rPr>
          <w:noProof/>
        </w:rPr>
      </w:pPr>
      <w:r w:rsidRPr="00691454">
        <w:rPr>
          <w:noProof/>
        </w:rPr>
        <w:t>A.10.</w:t>
      </w:r>
      <w:r w:rsidRPr="00691454">
        <w:rPr>
          <w:noProof/>
        </w:rPr>
        <w:tab/>
      </w:r>
      <w:r>
        <w:rPr>
          <w:noProof/>
        </w:rPr>
        <w:t xml:space="preserve">Protection of the   Privacy  and Confidentiality of </w:t>
      </w:r>
      <w:r w:rsidRPr="00253F44">
        <w:rPr>
          <w:noProof/>
        </w:rPr>
        <w:t xml:space="preserve">Information </w:t>
      </w:r>
      <w:r>
        <w:rPr>
          <w:noProof/>
        </w:rPr>
        <w:t xml:space="preserve">      Provided </w:t>
      </w:r>
      <w:r w:rsidRPr="00253F44">
        <w:rPr>
          <w:noProof/>
        </w:rPr>
        <w:t xml:space="preserve"> by  Respondents</w:t>
      </w:r>
      <w:r w:rsidRPr="00691454">
        <w:rPr>
          <w:noProof/>
        </w:rPr>
        <w:tab/>
      </w:r>
      <w:r w:rsidRPr="00691454">
        <w:rPr>
          <w:noProof/>
        </w:rPr>
        <w:tab/>
      </w:r>
      <w:r>
        <w:rPr>
          <w:noProof/>
        </w:rPr>
        <w:t>9</w:t>
      </w:r>
    </w:p>
    <w:p w:rsidR="002B38B4" w:rsidRPr="00691454" w:rsidP="002B38B4" w14:paraId="4D324B39" w14:textId="77777777">
      <w:pPr>
        <w:pStyle w:val="TOC2"/>
        <w:rPr>
          <w:noProof/>
        </w:rPr>
      </w:pPr>
      <w:r w:rsidRPr="00691454">
        <w:rPr>
          <w:noProof/>
        </w:rPr>
        <w:t>A.11.</w:t>
      </w:r>
      <w:r w:rsidRPr="00691454">
        <w:rPr>
          <w:noProof/>
        </w:rPr>
        <w:tab/>
      </w:r>
      <w:r w:rsidRPr="009C1939">
        <w:rPr>
          <w:noProof/>
        </w:rPr>
        <w:t xml:space="preserve">Institutional Review Board (IRB) and </w:t>
      </w:r>
      <w:r>
        <w:rPr>
          <w:noProof/>
        </w:rPr>
        <w:t xml:space="preserve"> </w:t>
      </w:r>
      <w:r w:rsidRPr="009C1939">
        <w:rPr>
          <w:noProof/>
        </w:rPr>
        <w:t>Justification for Sensitive Questions</w:t>
      </w:r>
      <w:r w:rsidRPr="00691454">
        <w:rPr>
          <w:noProof/>
        </w:rPr>
        <w:tab/>
      </w:r>
      <w:r w:rsidRPr="00691454">
        <w:rPr>
          <w:noProof/>
        </w:rPr>
        <w:tab/>
      </w:r>
      <w:r>
        <w:rPr>
          <w:noProof/>
        </w:rPr>
        <w:t>10</w:t>
      </w:r>
    </w:p>
    <w:p w:rsidR="002B38B4" w:rsidRPr="00691454" w:rsidP="002B38B4" w14:paraId="1D7C971C" w14:textId="77777777">
      <w:pPr>
        <w:pStyle w:val="TOC2"/>
        <w:rPr>
          <w:noProof/>
        </w:rPr>
      </w:pPr>
      <w:r w:rsidRPr="00691454">
        <w:rPr>
          <w:noProof/>
        </w:rPr>
        <w:t>A.12.</w:t>
      </w:r>
      <w:r w:rsidRPr="00691454">
        <w:rPr>
          <w:noProof/>
        </w:rPr>
        <w:tab/>
        <w:t>Estimates of Annualized Burden Hours and Costs</w:t>
      </w:r>
      <w:r w:rsidRPr="00691454">
        <w:rPr>
          <w:noProof/>
        </w:rPr>
        <w:tab/>
      </w:r>
      <w:r w:rsidRPr="00691454">
        <w:rPr>
          <w:noProof/>
        </w:rPr>
        <w:tab/>
      </w:r>
      <w:r>
        <w:rPr>
          <w:noProof/>
        </w:rPr>
        <w:t>11</w:t>
      </w:r>
    </w:p>
    <w:p w:rsidR="002B38B4" w:rsidRPr="00691454" w:rsidP="002B38B4" w14:paraId="4FBDD900" w14:textId="77777777">
      <w:pPr>
        <w:pStyle w:val="TOC2"/>
        <w:rPr>
          <w:noProof/>
        </w:rPr>
      </w:pPr>
      <w:r w:rsidRPr="00691454">
        <w:rPr>
          <w:noProof/>
        </w:rPr>
        <w:t>A.13.</w:t>
      </w:r>
      <w:r w:rsidRPr="00691454">
        <w:rPr>
          <w:noProof/>
        </w:rPr>
        <w:tab/>
        <w:t xml:space="preserve">Estimates of Other Total Annual Cost Burden to Respondents </w:t>
      </w:r>
    </w:p>
    <w:p w:rsidR="002B38B4" w:rsidRPr="00691454" w:rsidP="002B38B4" w14:paraId="413AA7F2" w14:textId="77777777">
      <w:pPr>
        <w:pStyle w:val="TOC2"/>
        <w:rPr>
          <w:noProof/>
        </w:rPr>
      </w:pPr>
      <w:r w:rsidRPr="00691454">
        <w:rPr>
          <w:noProof/>
        </w:rPr>
        <w:tab/>
        <w:t>or Record Keepers</w:t>
      </w:r>
      <w:r w:rsidRPr="00691454">
        <w:rPr>
          <w:noProof/>
        </w:rPr>
        <w:tab/>
      </w:r>
      <w:r w:rsidRPr="00691454">
        <w:rPr>
          <w:noProof/>
        </w:rPr>
        <w:tab/>
      </w:r>
      <w:r>
        <w:rPr>
          <w:noProof/>
        </w:rPr>
        <w:t>11</w:t>
      </w:r>
    </w:p>
    <w:p w:rsidR="002B38B4" w:rsidRPr="00691454" w:rsidP="002B38B4" w14:paraId="0249CBAE" w14:textId="77777777">
      <w:pPr>
        <w:pStyle w:val="TOC2"/>
        <w:rPr>
          <w:noProof/>
        </w:rPr>
      </w:pPr>
      <w:r w:rsidRPr="00691454">
        <w:rPr>
          <w:noProof/>
        </w:rPr>
        <w:t>A.14.</w:t>
      </w:r>
      <w:r w:rsidRPr="00691454">
        <w:rPr>
          <w:noProof/>
        </w:rPr>
        <w:tab/>
        <w:t>Annualized Cost to the Government</w:t>
      </w:r>
      <w:r w:rsidRPr="00691454">
        <w:rPr>
          <w:noProof/>
        </w:rPr>
        <w:tab/>
      </w:r>
      <w:r w:rsidRPr="00691454">
        <w:rPr>
          <w:noProof/>
        </w:rPr>
        <w:tab/>
      </w:r>
      <w:r>
        <w:rPr>
          <w:noProof/>
        </w:rPr>
        <w:t>11</w:t>
      </w:r>
    </w:p>
    <w:p w:rsidR="002B38B4" w:rsidRPr="00691454" w:rsidP="002B38B4" w14:paraId="641780BD" w14:textId="77777777">
      <w:pPr>
        <w:pStyle w:val="TOC2"/>
        <w:rPr>
          <w:noProof/>
        </w:rPr>
      </w:pPr>
      <w:r w:rsidRPr="00691454">
        <w:rPr>
          <w:noProof/>
        </w:rPr>
        <w:t>A.15.</w:t>
      </w:r>
      <w:r w:rsidRPr="00691454">
        <w:rPr>
          <w:noProof/>
        </w:rPr>
        <w:tab/>
        <w:t>Explanation for Program Changes or Adjustments</w:t>
      </w:r>
      <w:r w:rsidRPr="00691454">
        <w:rPr>
          <w:noProof/>
        </w:rPr>
        <w:tab/>
      </w:r>
      <w:r w:rsidRPr="00691454">
        <w:rPr>
          <w:noProof/>
        </w:rPr>
        <w:tab/>
      </w:r>
      <w:r>
        <w:rPr>
          <w:noProof/>
        </w:rPr>
        <w:t>12</w:t>
      </w:r>
    </w:p>
    <w:p w:rsidR="002B38B4" w:rsidRPr="00691454" w:rsidP="002B38B4" w14:paraId="74B2CB25" w14:textId="77777777">
      <w:pPr>
        <w:pStyle w:val="TOC2"/>
        <w:rPr>
          <w:noProof/>
        </w:rPr>
      </w:pPr>
      <w:r w:rsidRPr="00691454">
        <w:rPr>
          <w:noProof/>
        </w:rPr>
        <w:t>A.16.</w:t>
      </w:r>
      <w:r w:rsidRPr="00691454">
        <w:rPr>
          <w:noProof/>
        </w:rPr>
        <w:tab/>
        <w:t>Plans for Tabulation and Publication and Project Time Schedule</w:t>
      </w:r>
      <w:r w:rsidRPr="00691454">
        <w:rPr>
          <w:noProof/>
        </w:rPr>
        <w:tab/>
      </w:r>
      <w:r>
        <w:rPr>
          <w:noProof/>
        </w:rPr>
        <w:t>12</w:t>
      </w:r>
    </w:p>
    <w:p w:rsidR="002B38B4" w:rsidRPr="00691454" w:rsidP="002B38B4" w14:paraId="0A283E49" w14:textId="77777777">
      <w:pPr>
        <w:pStyle w:val="TOC2"/>
        <w:rPr>
          <w:noProof/>
        </w:rPr>
      </w:pPr>
      <w:r w:rsidRPr="00691454">
        <w:rPr>
          <w:noProof/>
        </w:rPr>
        <w:t>A.17.</w:t>
      </w:r>
      <w:r w:rsidRPr="00691454">
        <w:rPr>
          <w:noProof/>
        </w:rPr>
        <w:tab/>
        <w:t>Reason(s) Display of OMB Expiration Date is Inappropriate</w:t>
      </w:r>
      <w:r w:rsidRPr="00691454">
        <w:rPr>
          <w:noProof/>
        </w:rPr>
        <w:tab/>
      </w:r>
      <w:r w:rsidRPr="00691454">
        <w:rPr>
          <w:noProof/>
        </w:rPr>
        <w:tab/>
      </w:r>
      <w:r>
        <w:rPr>
          <w:noProof/>
        </w:rPr>
        <w:t>13</w:t>
      </w:r>
    </w:p>
    <w:p w:rsidR="002B38B4" w:rsidRPr="00691454" w:rsidP="002B38B4" w14:paraId="44EA231A" w14:textId="77777777">
      <w:pPr>
        <w:pStyle w:val="TOC2"/>
        <w:rPr>
          <w:noProof/>
        </w:rPr>
      </w:pPr>
      <w:r w:rsidRPr="00691454">
        <w:rPr>
          <w:noProof/>
        </w:rPr>
        <w:t>A.18.</w:t>
      </w:r>
      <w:r w:rsidRPr="00691454">
        <w:rPr>
          <w:noProof/>
        </w:rPr>
        <w:tab/>
        <w:t xml:space="preserve">Exceptions to Certification for Paperwork Reducation Act </w:t>
      </w:r>
    </w:p>
    <w:p w:rsidR="002B38B4" w:rsidRPr="00691454" w:rsidP="002B38B4" w14:paraId="65517934" w14:textId="77777777">
      <w:pPr>
        <w:pStyle w:val="TOC2"/>
        <w:rPr>
          <w:noProof/>
        </w:rPr>
      </w:pPr>
      <w:r w:rsidRPr="00691454">
        <w:rPr>
          <w:noProof/>
        </w:rPr>
        <w:tab/>
        <w:t>Submissions</w:t>
      </w:r>
      <w:r w:rsidRPr="00691454">
        <w:rPr>
          <w:noProof/>
        </w:rPr>
        <w:tab/>
      </w:r>
      <w:r w:rsidRPr="00691454">
        <w:rPr>
          <w:noProof/>
        </w:rPr>
        <w:tab/>
      </w:r>
      <w:r>
        <w:rPr>
          <w:noProof/>
        </w:rPr>
        <w:t>13</w:t>
      </w:r>
    </w:p>
    <w:p w:rsidR="00972DEF" w:rsidRPr="00691454" w:rsidP="00972DEF" w14:paraId="40822307" w14:textId="77777777">
      <w:pPr>
        <w:pStyle w:val="TOC1"/>
        <w:rPr>
          <w:noProof/>
        </w:rPr>
      </w:pPr>
    </w:p>
    <w:p w:rsidR="00972DEF" w:rsidRPr="00691454" w:rsidP="0027160A" w14:paraId="40822308" w14:textId="77777777">
      <w:pPr>
        <w:pStyle w:val="TOC5"/>
        <w:ind w:left="0"/>
        <w:jc w:val="left"/>
        <w:rPr>
          <w:noProof/>
        </w:rPr>
      </w:pPr>
    </w:p>
    <w:p w:rsidR="00233FB1" w:rsidRPr="00691454" w:rsidP="006F1DA6" w14:paraId="40822309" w14:textId="77777777">
      <w:pPr>
        <w:pStyle w:val="TOC5"/>
      </w:pPr>
    </w:p>
    <w:p w:rsidR="00233FB1" w:rsidRPr="00691454" w:rsidP="0027160A" w14:paraId="4082230A" w14:textId="77777777">
      <w:pPr>
        <w:pStyle w:val="C2-CtrSglSp"/>
        <w:spacing w:after="100" w:afterAutospacing="1"/>
        <w:jc w:val="left"/>
      </w:pPr>
      <w:r w:rsidRPr="00691454">
        <w:t>Attachments</w:t>
      </w:r>
    </w:p>
    <w:p w:rsidR="00D80044" w:rsidRPr="00691454" w:rsidP="00D80044" w14:paraId="4082230B" w14:textId="77777777">
      <w:pPr>
        <w:ind w:firstLine="720"/>
      </w:pPr>
      <w:r w:rsidRPr="00691454">
        <w:t>A</w:t>
      </w:r>
      <w:r w:rsidRPr="00691454">
        <w:tab/>
        <w:t>Authorizing Legislation</w:t>
      </w:r>
      <w:r w:rsidRPr="00691454">
        <w:t>: Public Health Service Act</w:t>
      </w:r>
    </w:p>
    <w:p w:rsidR="00D80044" w:rsidP="00691454" w14:paraId="4082230C" w14:textId="77777777">
      <w:pPr>
        <w:ind w:firstLine="720"/>
      </w:pPr>
      <w:r w:rsidRPr="00691454">
        <w:t>B</w:t>
      </w:r>
      <w:r w:rsidRPr="00691454">
        <w:tab/>
      </w:r>
      <w:r w:rsidRPr="00691454" w:rsidR="00813278">
        <w:t xml:space="preserve">Published 60-Day </w:t>
      </w:r>
      <w:r w:rsidRPr="00691454">
        <w:t>Federal Register Notice</w:t>
      </w:r>
    </w:p>
    <w:p w:rsidR="00BC62C7" w:rsidRPr="00691454" w:rsidP="00691454" w14:paraId="3A0CC9AE" w14:textId="440ACBD7">
      <w:pPr>
        <w:ind w:firstLine="720"/>
      </w:pPr>
      <w:r>
        <w:t>B1</w:t>
      </w:r>
      <w:r>
        <w:tab/>
        <w:t>Public comment and response</w:t>
      </w:r>
    </w:p>
    <w:p w:rsidR="00D80044" w:rsidRPr="00691454" w:rsidP="00FB1045" w14:paraId="4082230D" w14:textId="77777777">
      <w:r w:rsidRPr="00691454">
        <w:t xml:space="preserve">      </w:t>
      </w:r>
      <w:r w:rsidRPr="00691454" w:rsidR="00691454">
        <w:tab/>
        <w:t>C</w:t>
      </w:r>
      <w:r w:rsidRPr="00691454">
        <w:tab/>
        <w:t xml:space="preserve">Institutional Review Board (IRB) </w:t>
      </w:r>
      <w:r w:rsidR="00FB1045">
        <w:t>documentation</w:t>
      </w:r>
      <w:r w:rsidRPr="00691454">
        <w:tab/>
      </w:r>
      <w:r w:rsidRPr="00691454">
        <w:tab/>
      </w:r>
    </w:p>
    <w:p w:rsidR="00B05CB4" w:rsidP="00B05CB4" w14:paraId="4082230E" w14:textId="706378EA">
      <w:r w:rsidRPr="00691454">
        <w:t xml:space="preserve">      </w:t>
      </w:r>
      <w:r w:rsidRPr="00691454" w:rsidR="00691454">
        <w:tab/>
      </w:r>
      <w:r w:rsidR="00FB1045">
        <w:t>D</w:t>
      </w:r>
      <w:r w:rsidRPr="00691454">
        <w:tab/>
      </w:r>
      <w:r w:rsidRPr="0049705A" w:rsidR="0049705A">
        <w:t>Partners</w:t>
      </w:r>
      <w:r w:rsidR="00BC62C7">
        <w:t>’</w:t>
      </w:r>
      <w:r w:rsidRPr="0049705A" w:rsidR="00BC62C7">
        <w:t xml:space="preserve"> </w:t>
      </w:r>
      <w:r w:rsidR="00BC62C7">
        <w:t>Portal</w:t>
      </w:r>
      <w:r w:rsidRPr="0049705A" w:rsidR="0049705A">
        <w:t xml:space="preserve"> reporting platform</w:t>
      </w:r>
    </w:p>
    <w:p w:rsidR="00845A16" w:rsidP="00B05CB4" w14:paraId="3A9C10CD" w14:textId="39F38E73">
      <w:r>
        <w:tab/>
        <w:t>D1</w:t>
      </w:r>
      <w:r>
        <w:tab/>
        <w:t>Partners’ Portal screenshots</w:t>
      </w:r>
    </w:p>
    <w:p w:rsidR="00837F9B" w:rsidP="00BC62C7" w14:paraId="4559DA00" w14:textId="7898F3FB">
      <w:pPr>
        <w:ind w:firstLine="720"/>
      </w:pPr>
      <w:r>
        <w:t xml:space="preserve">D2       </w:t>
      </w:r>
      <w:bookmarkStart w:id="1" w:name="_Hlk200373253"/>
      <w:r w:rsidRPr="00837F9B">
        <w:t>Annual Performance Monitoring Fields</w:t>
      </w:r>
    </w:p>
    <w:p w:rsidR="00420EC9" w:rsidRPr="00B05CB4" w:rsidP="00BC62C7" w14:paraId="517FBDEC" w14:textId="6CA2537F">
      <w:pPr>
        <w:ind w:firstLine="720"/>
      </w:pPr>
      <w:r>
        <w:t>D3</w:t>
      </w:r>
      <w:r>
        <w:tab/>
        <w:t>NCIPC Partner’s Portal Core SIPP User Training manual</w:t>
      </w:r>
    </w:p>
    <w:bookmarkEnd w:id="1"/>
    <w:p w:rsidR="0066063B" w:rsidP="00FE10E6" w14:paraId="0687CBC3" w14:textId="3051BB56">
      <w:r>
        <w:tab/>
        <w:t>E</w:t>
      </w:r>
      <w:r>
        <w:tab/>
      </w:r>
      <w:r w:rsidR="00845A16">
        <w:t>Privacy Act Determination</w:t>
      </w:r>
    </w:p>
    <w:p w:rsidR="00845A16" w:rsidP="00FE10E6" w14:paraId="53614C46" w14:textId="61EE7785">
      <w:r>
        <w:tab/>
        <w:t>F</w:t>
      </w:r>
      <w:r>
        <w:tab/>
        <w:t>Research Determination</w:t>
      </w:r>
    </w:p>
    <w:p w:rsidR="00420EC9" w:rsidP="00812EDE" w14:paraId="0E93ACA1" w14:textId="0F8C734A">
      <w:r>
        <w:tab/>
      </w:r>
      <w:r w:rsidR="00FB1045">
        <w:rPr>
          <w:noProof/>
        </w:rPr>
        <mc:AlternateContent>
          <mc:Choice Requires="wps">
            <w:drawing>
              <wp:anchor distT="0" distB="0" distL="114300" distR="114300" simplePos="0" relativeHeight="251658240" behindDoc="0" locked="0" layoutInCell="1" allowOverlap="1">
                <wp:simplePos x="0" y="0"/>
                <wp:positionH relativeFrom="column">
                  <wp:posOffset>-209550</wp:posOffset>
                </wp:positionH>
                <wp:positionV relativeFrom="paragraph">
                  <wp:posOffset>0</wp:posOffset>
                </wp:positionV>
                <wp:extent cx="6162675" cy="4086225"/>
                <wp:effectExtent l="0" t="0" r="28575" b="28575"/>
                <wp:wrapSquare wrapText="bothSides"/>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62675" cy="4086225"/>
                        </a:xfrm>
                        <a:prstGeom prst="rect">
                          <a:avLst/>
                        </a:prstGeom>
                        <a:solidFill>
                          <a:srgbClr val="FFFFFF"/>
                        </a:solidFill>
                        <a:ln w="9525">
                          <a:solidFill>
                            <a:srgbClr val="000000"/>
                          </a:solidFill>
                          <a:miter lim="800000"/>
                          <a:headEnd/>
                          <a:tailEnd/>
                        </a:ln>
                      </wps:spPr>
                      <wps:txbx>
                        <w:txbxContent>
                          <w:p w:rsidR="00FE10E6" w:rsidRPr="00534E0B" w:rsidP="00534E0B" w14:textId="7A20FBEA">
                            <w:pPr>
                              <w:pStyle w:val="ListParagraph"/>
                              <w:numPr>
                                <w:ilvl w:val="0"/>
                                <w:numId w:val="37"/>
                              </w:numPr>
                              <w:spacing w:after="200" w:line="276" w:lineRule="auto"/>
                            </w:pPr>
                            <w:r w:rsidRPr="00534E0B">
                              <w:rPr>
                                <w:b/>
                              </w:rPr>
                              <w:t>Goal of the study</w:t>
                            </w:r>
                            <w:r w:rsidRPr="00534E0B">
                              <w:t xml:space="preserve">: </w:t>
                            </w:r>
                            <w:r w:rsidR="00845A16">
                              <w:t>Continue collecting information from awardees funded under the Core Stat</w:t>
                            </w:r>
                            <w:r w:rsidR="00B86A86">
                              <w:t>e</w:t>
                            </w:r>
                            <w:r w:rsidR="00845A16">
                              <w:t xml:space="preserve"> Injury Prevention Program cooperative agreement</w:t>
                            </w:r>
                            <w:r w:rsidRPr="00534E0B">
                              <w:rPr>
                                <w:color w:val="000000" w:themeColor="text1"/>
                              </w:rPr>
                              <w:t xml:space="preserve"> to collect performance monitoring data via a web-based </w:t>
                            </w:r>
                            <w:r w:rsidRPr="00534E0B" w:rsidR="00902D17">
                              <w:rPr>
                                <w:color w:val="000000" w:themeColor="text1"/>
                              </w:rPr>
                              <w:t>Partners’ Portal</w:t>
                            </w:r>
                            <w:r w:rsidRPr="00534E0B">
                              <w:rPr>
                                <w:color w:val="000000" w:themeColor="text1"/>
                              </w:rPr>
                              <w:t xml:space="preserve">. This data is </w:t>
                            </w:r>
                            <w:r w:rsidRPr="00534E0B" w:rsidR="00790AF1">
                              <w:t>used</w:t>
                            </w:r>
                            <w:r w:rsidRPr="00534E0B" w:rsidR="00236102">
                              <w:t xml:space="preserve"> </w:t>
                            </w:r>
                            <w:r w:rsidRPr="00534E0B">
                              <w:t xml:space="preserve">to monitor the cooperative agreement program </w:t>
                            </w:r>
                            <w:r w:rsidRPr="00534E0B">
                              <w:rPr>
                                <w:color w:val="000000" w:themeColor="text1"/>
                              </w:rPr>
                              <w:t xml:space="preserve">funded under the </w:t>
                            </w:r>
                            <w:r w:rsidRPr="00534E0B">
                              <w:t>Core State Injury Prevention Program (Core SIPP)</w:t>
                            </w:r>
                          </w:p>
                          <w:p w:rsidR="00FE10E6" w:rsidRPr="00534E0B" w:rsidP="004F6207" w14:textId="77777777">
                            <w:pPr>
                              <w:pStyle w:val="ListParagraph"/>
                              <w:ind w:left="360"/>
                            </w:pPr>
                          </w:p>
                          <w:p w:rsidR="00BC62C7" w:rsidRPr="00BC62C7" w:rsidP="00EF6F28" w14:textId="77777777">
                            <w:pPr>
                              <w:pStyle w:val="ListParagraph"/>
                              <w:numPr>
                                <w:ilvl w:val="0"/>
                                <w:numId w:val="6"/>
                              </w:numPr>
                              <w:spacing w:after="200" w:line="276" w:lineRule="auto"/>
                            </w:pPr>
                            <w:r w:rsidRPr="00BC62C7">
                              <w:rPr>
                                <w:b/>
                              </w:rPr>
                              <w:t>Intended use of the resulting data:</w:t>
                            </w:r>
                            <w:r w:rsidRPr="00DA6A83">
                              <w:t xml:space="preserve"> </w:t>
                            </w:r>
                            <w:r w:rsidRPr="00BC62C7" w:rsidR="00885106">
                              <w:rPr>
                                <w:color w:val="000000" w:themeColor="text1"/>
                              </w:rPr>
                              <w:t>Information collected will provide crucial data from program performance monitoring and provide CDC with the capacity to respond in a timely manner to requests for information about the program from the Department of Health and Human Services (HHS), the White House, Congress, and other sources.  Information to be collected will also strengthen CDC’s ability to monitor awardee progress, provide data-driven technical assistance, and disseminate the most current surveillance data on unintentional and intentional injuries.</w:t>
                            </w:r>
                          </w:p>
                          <w:p w:rsidR="00FE10E6" w:rsidRPr="00534E0B" w:rsidP="00EF6F28" w14:textId="6F0C5128">
                            <w:pPr>
                              <w:pStyle w:val="ListParagraph"/>
                              <w:numPr>
                                <w:ilvl w:val="0"/>
                                <w:numId w:val="6"/>
                              </w:numPr>
                              <w:spacing w:after="200" w:line="276" w:lineRule="auto"/>
                            </w:pPr>
                            <w:r w:rsidRPr="00BC62C7">
                              <w:rPr>
                                <w:b/>
                              </w:rPr>
                              <w:t>Methods to be used to collect:</w:t>
                            </w:r>
                            <w:r w:rsidRPr="00534E0B">
                              <w:t xml:space="preserve"> </w:t>
                            </w:r>
                            <w:r w:rsidRPr="00BC62C7" w:rsidR="00902D17">
                              <w:rPr>
                                <w:rFonts w:asciiTheme="majorHAnsi" w:hAnsiTheme="majorHAnsi"/>
                                <w:color w:val="000000" w:themeColor="text1"/>
                              </w:rPr>
                              <w:t>Recipients</w:t>
                            </w:r>
                            <w:r w:rsidRPr="00BC62C7">
                              <w:rPr>
                                <w:rFonts w:asciiTheme="majorHAnsi" w:hAnsiTheme="majorHAnsi"/>
                                <w:color w:val="000000" w:themeColor="text1"/>
                              </w:rPr>
                              <w:t xml:space="preserve"> report progress and activity information to CDC on an annual schedule using a web-based </w:t>
                            </w:r>
                            <w:r w:rsidRPr="00BC62C7" w:rsidR="00902D17">
                              <w:rPr>
                                <w:rFonts w:asciiTheme="majorHAnsi" w:hAnsiTheme="majorHAnsi"/>
                                <w:color w:val="000000" w:themeColor="text1"/>
                              </w:rPr>
                              <w:t>Partners’ Portal</w:t>
                            </w:r>
                            <w:r w:rsidRPr="00534E0B">
                              <w:t>. No research design or human subjects involved.</w:t>
                            </w:r>
                          </w:p>
                          <w:p w:rsidR="00FE10E6" w:rsidRPr="00534E0B" w:rsidP="004F6207" w14:textId="77777777">
                            <w:pPr>
                              <w:pStyle w:val="ListParagraph"/>
                              <w:numPr>
                                <w:ilvl w:val="0"/>
                                <w:numId w:val="6"/>
                              </w:numPr>
                              <w:spacing w:after="200" w:line="276" w:lineRule="auto"/>
                            </w:pPr>
                            <w:r w:rsidRPr="00534E0B">
                              <w:rPr>
                                <w:b/>
                              </w:rPr>
                              <w:t>The subpopulation to be studied:</w:t>
                            </w:r>
                            <w:r w:rsidRPr="00534E0B">
                              <w:t xml:space="preserve"> 100% of population, no sampling </w:t>
                            </w:r>
                            <w:r w:rsidRPr="00534E0B">
                              <w:br/>
                            </w:r>
                          </w:p>
                          <w:p w:rsidR="00FE10E6" w:rsidRPr="00534E0B" w:rsidP="004F6207" w14:textId="17CDBC13">
                            <w:pPr>
                              <w:pStyle w:val="ListParagraph"/>
                              <w:numPr>
                                <w:ilvl w:val="0"/>
                                <w:numId w:val="6"/>
                              </w:numPr>
                              <w:spacing w:after="200" w:line="276" w:lineRule="auto"/>
                            </w:pPr>
                            <w:r w:rsidRPr="00534E0B">
                              <w:rPr>
                                <w:b/>
                              </w:rPr>
                              <w:t>How data will be analyzed:</w:t>
                            </w:r>
                            <w:r w:rsidRPr="00534E0B">
                              <w:t xml:space="preserve"> The data </w:t>
                            </w:r>
                            <w:r w:rsidRPr="00534E0B" w:rsidR="00AF56D7">
                              <w:t>is</w:t>
                            </w:r>
                            <w:r w:rsidRPr="00534E0B" w:rsidR="006050CF">
                              <w:t xml:space="preserve"> </w:t>
                            </w:r>
                            <w:r w:rsidRPr="00534E0B">
                              <w:t>analyzed using descriptive and summary statistics as well as qualitative summaries.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85.25pt;height:321.75pt;margin-top:0;margin-left:-16.5pt;mso-height-percent:0;mso-height-relative:margin;mso-width-percent:0;mso-width-relative:margin;mso-wrap-distance-bottom:0;mso-wrap-distance-left:9pt;mso-wrap-distance-right:9pt;mso-wrap-distance-top:0;mso-wrap-style:square;position:absolute;visibility:visible;v-text-anchor:top;z-index:251659264">
                <v:textbox>
                  <w:txbxContent>
                    <w:p w:rsidR="00FE10E6" w:rsidRPr="00534E0B" w:rsidP="00534E0B" w14:paraId="1C165BDC" w14:textId="7A20FBEA">
                      <w:pPr>
                        <w:pStyle w:val="ListParagraph"/>
                        <w:numPr>
                          <w:ilvl w:val="0"/>
                          <w:numId w:val="37"/>
                        </w:numPr>
                        <w:spacing w:after="200" w:line="276" w:lineRule="auto"/>
                      </w:pPr>
                      <w:r w:rsidRPr="00534E0B">
                        <w:rPr>
                          <w:b/>
                        </w:rPr>
                        <w:t>Goal of the study</w:t>
                      </w:r>
                      <w:r w:rsidRPr="00534E0B">
                        <w:t xml:space="preserve">: </w:t>
                      </w:r>
                      <w:r w:rsidR="00845A16">
                        <w:t>Continue collecting information from awardees funded under the Core Stat</w:t>
                      </w:r>
                      <w:r w:rsidR="00B86A86">
                        <w:t>e</w:t>
                      </w:r>
                      <w:r w:rsidR="00845A16">
                        <w:t xml:space="preserve"> Injury Prevention Program cooperative agreement</w:t>
                      </w:r>
                      <w:r w:rsidRPr="00534E0B">
                        <w:rPr>
                          <w:color w:val="000000" w:themeColor="text1"/>
                        </w:rPr>
                        <w:t xml:space="preserve"> to collect performance monitoring data via a web-based </w:t>
                      </w:r>
                      <w:r w:rsidRPr="00534E0B" w:rsidR="00902D17">
                        <w:rPr>
                          <w:color w:val="000000" w:themeColor="text1"/>
                        </w:rPr>
                        <w:t>Partners’ Portal</w:t>
                      </w:r>
                      <w:r w:rsidRPr="00534E0B">
                        <w:rPr>
                          <w:color w:val="000000" w:themeColor="text1"/>
                        </w:rPr>
                        <w:t xml:space="preserve">. This data is </w:t>
                      </w:r>
                      <w:r w:rsidRPr="00534E0B" w:rsidR="00790AF1">
                        <w:t>used</w:t>
                      </w:r>
                      <w:r w:rsidRPr="00534E0B" w:rsidR="00236102">
                        <w:t xml:space="preserve"> </w:t>
                      </w:r>
                      <w:r w:rsidRPr="00534E0B">
                        <w:t xml:space="preserve">to monitor the cooperative agreement program </w:t>
                      </w:r>
                      <w:r w:rsidRPr="00534E0B">
                        <w:rPr>
                          <w:color w:val="000000" w:themeColor="text1"/>
                        </w:rPr>
                        <w:t xml:space="preserve">funded under the </w:t>
                      </w:r>
                      <w:r w:rsidRPr="00534E0B">
                        <w:t>Core State Injury Prevention Program (Core SIPP)</w:t>
                      </w:r>
                    </w:p>
                    <w:p w:rsidR="00FE10E6" w:rsidRPr="00534E0B" w:rsidP="004F6207" w14:paraId="20CEC544" w14:textId="77777777">
                      <w:pPr>
                        <w:pStyle w:val="ListParagraph"/>
                        <w:ind w:left="360"/>
                      </w:pPr>
                    </w:p>
                    <w:p w:rsidR="00BC62C7" w:rsidRPr="00BC62C7" w:rsidP="00EF6F28" w14:paraId="469251A9" w14:textId="77777777">
                      <w:pPr>
                        <w:pStyle w:val="ListParagraph"/>
                        <w:numPr>
                          <w:ilvl w:val="0"/>
                          <w:numId w:val="6"/>
                        </w:numPr>
                        <w:spacing w:after="200" w:line="276" w:lineRule="auto"/>
                      </w:pPr>
                      <w:r w:rsidRPr="00BC62C7">
                        <w:rPr>
                          <w:b/>
                        </w:rPr>
                        <w:t>Intended use of the resulting data:</w:t>
                      </w:r>
                      <w:r w:rsidRPr="00DA6A83">
                        <w:t xml:space="preserve"> </w:t>
                      </w:r>
                      <w:r w:rsidRPr="00BC62C7" w:rsidR="00885106">
                        <w:rPr>
                          <w:color w:val="000000" w:themeColor="text1"/>
                        </w:rPr>
                        <w:t>Information collected will provide crucial data from program performance monitoring and provide CDC with the capacity to respond in a timely manner to requests for information about the program from the Department of Health and Human Services (HHS), the White House, Congress, and other sources.  Information to be collected will also strengthen CDC’s ability to monitor awardee progress, provide data-driven technical assistance, and disseminate the most current surveillance data on unintentional and intentional injuries.</w:t>
                      </w:r>
                    </w:p>
                    <w:p w:rsidR="00FE10E6" w:rsidRPr="00534E0B" w:rsidP="00EF6F28" w14:paraId="4421FCFE" w14:textId="6F0C5128">
                      <w:pPr>
                        <w:pStyle w:val="ListParagraph"/>
                        <w:numPr>
                          <w:ilvl w:val="0"/>
                          <w:numId w:val="6"/>
                        </w:numPr>
                        <w:spacing w:after="200" w:line="276" w:lineRule="auto"/>
                      </w:pPr>
                      <w:r w:rsidRPr="00BC62C7">
                        <w:rPr>
                          <w:b/>
                        </w:rPr>
                        <w:t>Methods to be used to collect:</w:t>
                      </w:r>
                      <w:r w:rsidRPr="00534E0B">
                        <w:t xml:space="preserve"> </w:t>
                      </w:r>
                      <w:r w:rsidRPr="00BC62C7" w:rsidR="00902D17">
                        <w:rPr>
                          <w:rFonts w:asciiTheme="majorHAnsi" w:hAnsiTheme="majorHAnsi"/>
                          <w:color w:val="000000" w:themeColor="text1"/>
                        </w:rPr>
                        <w:t>Recipients</w:t>
                      </w:r>
                      <w:r w:rsidRPr="00BC62C7">
                        <w:rPr>
                          <w:rFonts w:asciiTheme="majorHAnsi" w:hAnsiTheme="majorHAnsi"/>
                          <w:color w:val="000000" w:themeColor="text1"/>
                        </w:rPr>
                        <w:t xml:space="preserve"> report progress and activity information to CDC on an annual schedule using a web-based </w:t>
                      </w:r>
                      <w:r w:rsidRPr="00BC62C7" w:rsidR="00902D17">
                        <w:rPr>
                          <w:rFonts w:asciiTheme="majorHAnsi" w:hAnsiTheme="majorHAnsi"/>
                          <w:color w:val="000000" w:themeColor="text1"/>
                        </w:rPr>
                        <w:t>Partners’ Portal</w:t>
                      </w:r>
                      <w:r w:rsidRPr="00534E0B">
                        <w:t>. No research design or human subjects involved.</w:t>
                      </w:r>
                    </w:p>
                    <w:p w:rsidR="00FE10E6" w:rsidRPr="00534E0B" w:rsidP="004F6207" w14:paraId="66F38279" w14:textId="77777777">
                      <w:pPr>
                        <w:pStyle w:val="ListParagraph"/>
                        <w:numPr>
                          <w:ilvl w:val="0"/>
                          <w:numId w:val="6"/>
                        </w:numPr>
                        <w:spacing w:after="200" w:line="276" w:lineRule="auto"/>
                      </w:pPr>
                      <w:r w:rsidRPr="00534E0B">
                        <w:rPr>
                          <w:b/>
                        </w:rPr>
                        <w:t>The subpopulation to be studied:</w:t>
                      </w:r>
                      <w:r w:rsidRPr="00534E0B">
                        <w:t xml:space="preserve"> 100% of population, no sampling </w:t>
                      </w:r>
                      <w:r w:rsidRPr="00534E0B">
                        <w:br/>
                      </w:r>
                    </w:p>
                    <w:p w:rsidR="00FE10E6" w:rsidRPr="00534E0B" w:rsidP="004F6207" w14:paraId="26E152DF" w14:textId="17CDBC13">
                      <w:pPr>
                        <w:pStyle w:val="ListParagraph"/>
                        <w:numPr>
                          <w:ilvl w:val="0"/>
                          <w:numId w:val="6"/>
                        </w:numPr>
                        <w:spacing w:after="200" w:line="276" w:lineRule="auto"/>
                      </w:pPr>
                      <w:r w:rsidRPr="00534E0B">
                        <w:rPr>
                          <w:b/>
                        </w:rPr>
                        <w:t>How data will be analyzed:</w:t>
                      </w:r>
                      <w:r w:rsidRPr="00534E0B">
                        <w:t xml:space="preserve"> The data </w:t>
                      </w:r>
                      <w:r w:rsidRPr="00534E0B" w:rsidR="00AF56D7">
                        <w:t>is</w:t>
                      </w:r>
                      <w:r w:rsidRPr="00534E0B" w:rsidR="006050CF">
                        <w:t xml:space="preserve"> </w:t>
                      </w:r>
                      <w:r w:rsidRPr="00534E0B">
                        <w:t>analyzed using descriptive and summary statistics as well as qualitative summaries.</w:t>
                      </w:r>
                    </w:p>
                  </w:txbxContent>
                </v:textbox>
                <w10:wrap type="square"/>
              </v:shape>
            </w:pict>
          </mc:Fallback>
        </mc:AlternateContent>
      </w:r>
    </w:p>
    <w:p w:rsidR="00972DEF" w:rsidRPr="00691454" w:rsidP="00812EDE" w14:paraId="4082231F" w14:textId="15A24DE9">
      <w:pPr>
        <w:rPr>
          <w:b/>
          <w:bCs/>
        </w:rPr>
      </w:pPr>
      <w:r w:rsidRPr="00691454">
        <w:rPr>
          <w:b/>
          <w:bCs/>
        </w:rPr>
        <w:t xml:space="preserve">A.  JUSTIFICATION </w:t>
      </w:r>
    </w:p>
    <w:p w:rsidR="00660ED8" w:rsidRPr="00691454" w:rsidP="00972DEF" w14:paraId="40822320" w14:textId="77777777">
      <w:pPr>
        <w:autoSpaceDE w:val="0"/>
        <w:autoSpaceDN w:val="0"/>
        <w:adjustRightInd w:val="0"/>
        <w:rPr>
          <w:b/>
          <w:bCs/>
        </w:rPr>
      </w:pPr>
    </w:p>
    <w:p w:rsidR="00972DEF" w:rsidRPr="00262903" w:rsidP="00972DEF" w14:paraId="40822321" w14:textId="123444ED">
      <w:pPr>
        <w:tabs>
          <w:tab w:val="left" w:pos="360"/>
        </w:tabs>
        <w:autoSpaceDE w:val="0"/>
        <w:autoSpaceDN w:val="0"/>
        <w:adjustRightInd w:val="0"/>
        <w:rPr>
          <w:b/>
          <w:bCs/>
        </w:rPr>
      </w:pPr>
      <w:r w:rsidRPr="00691454">
        <w:rPr>
          <w:b/>
          <w:bCs/>
        </w:rPr>
        <w:t xml:space="preserve">A.1. </w:t>
      </w:r>
      <w:r w:rsidRPr="00691454">
        <w:rPr>
          <w:b/>
          <w:bCs/>
        </w:rPr>
        <w:tab/>
      </w:r>
      <w:r w:rsidRPr="00262903">
        <w:rPr>
          <w:b/>
          <w:bCs/>
        </w:rPr>
        <w:t>Circumstances Making the Collection of Information Necessary</w:t>
      </w:r>
    </w:p>
    <w:p w:rsidR="008A0133" w:rsidP="008A0133" w14:paraId="7497CECD" w14:textId="7ACAD98E">
      <w:pPr>
        <w:rPr>
          <w:color w:val="000000" w:themeColor="text1"/>
        </w:rPr>
      </w:pPr>
      <w:r>
        <w:t>This is a revision request for the currently approved “</w:t>
      </w:r>
      <w:r w:rsidRPr="0048521D">
        <w:t>Performance Monitoring of CDC’s Core State Injury Prevention Program</w:t>
      </w:r>
      <w:r w:rsidR="00715FC4">
        <w:t>” OMB # 0920-</w:t>
      </w:r>
      <w:r w:rsidR="0006666D">
        <w:t>1369</w:t>
      </w:r>
      <w:r w:rsidR="00715FC4">
        <w:t xml:space="preserve">, expiration date </w:t>
      </w:r>
      <w:r w:rsidR="00766DF3">
        <w:t>09/30/2025</w:t>
      </w:r>
      <w:r w:rsidR="00715FC4">
        <w:t xml:space="preserve">. Approval is requested for an additional 3 years to continue collecting information from </w:t>
      </w:r>
      <w:r w:rsidR="006050CF">
        <w:t>awardees</w:t>
      </w:r>
      <w:r w:rsidR="00715FC4">
        <w:t xml:space="preserve"> funded under the Core State Injury Prevention Program cooperat</w:t>
      </w:r>
      <w:r w:rsidR="00C064BB">
        <w:t>ive agreement</w:t>
      </w:r>
      <w:r w:rsidR="00EB5786">
        <w:t xml:space="preserve"> </w:t>
      </w:r>
      <w:r w:rsidRPr="00A93EB5" w:rsidR="00EB5786">
        <w:rPr>
          <w:color w:val="000000" w:themeColor="text1"/>
        </w:rPr>
        <w:t>hereafter known as Core SIPP</w:t>
      </w:r>
      <w:r w:rsidR="00C064BB">
        <w:t xml:space="preserve">. </w:t>
      </w:r>
      <w:r w:rsidRPr="00A93EB5">
        <w:t>The Centers for Disease Control and Prevention (CDC)</w:t>
      </w:r>
      <w:r w:rsidRPr="00A93EB5">
        <w:rPr>
          <w:color w:val="000000" w:themeColor="text1"/>
        </w:rPr>
        <w:t xml:space="preserve"> seeks</w:t>
      </w:r>
      <w:r>
        <w:rPr>
          <w:color w:val="000000" w:themeColor="text1"/>
        </w:rPr>
        <w:t xml:space="preserve"> </w:t>
      </w:r>
      <w:r w:rsidR="00C064BB">
        <w:rPr>
          <w:color w:val="000000" w:themeColor="text1"/>
        </w:rPr>
        <w:t xml:space="preserve">continued </w:t>
      </w:r>
      <w:r w:rsidRPr="00A93EB5">
        <w:rPr>
          <w:color w:val="000000" w:themeColor="text1"/>
        </w:rPr>
        <w:t xml:space="preserve">OMB approval to </w:t>
      </w:r>
      <w:r>
        <w:rPr>
          <w:color w:val="000000" w:themeColor="text1"/>
        </w:rPr>
        <w:t xml:space="preserve">electronically </w:t>
      </w:r>
      <w:r w:rsidRPr="00A93EB5">
        <w:rPr>
          <w:color w:val="000000" w:themeColor="text1"/>
        </w:rPr>
        <w:t xml:space="preserve">collect information from </w:t>
      </w:r>
      <w:r w:rsidR="00EA097B">
        <w:rPr>
          <w:color w:val="000000" w:themeColor="text1"/>
        </w:rPr>
        <w:t>awardees</w:t>
      </w:r>
      <w:r w:rsidRPr="00A93EB5">
        <w:rPr>
          <w:color w:val="000000" w:themeColor="text1"/>
        </w:rPr>
        <w:t>.</w:t>
      </w:r>
      <w:r w:rsidR="00621FF2">
        <w:rPr>
          <w:color w:val="000000" w:themeColor="text1"/>
        </w:rPr>
        <w:t xml:space="preserve"> The electronic collection of </w:t>
      </w:r>
      <w:r w:rsidR="004F4418">
        <w:rPr>
          <w:color w:val="000000" w:themeColor="text1"/>
        </w:rPr>
        <w:t>information for program and performance monitoring aligns with three of CDC’s Data Modernization Initiative Key Objectives</w:t>
      </w:r>
      <w:r w:rsidR="009C1E9E">
        <w:rPr>
          <w:color w:val="000000" w:themeColor="text1"/>
        </w:rPr>
        <w:t xml:space="preserve"> to</w:t>
      </w:r>
      <w:r w:rsidR="004F4418">
        <w:rPr>
          <w:color w:val="000000" w:themeColor="text1"/>
        </w:rPr>
        <w:t>:</w:t>
      </w:r>
    </w:p>
    <w:p w:rsidR="004F4418" w:rsidRPr="004F4418" w:rsidP="004F4418" w14:paraId="3A9BFB1B" w14:textId="3C1D980B">
      <w:pPr>
        <w:rPr>
          <w:color w:val="000000" w:themeColor="text1"/>
        </w:rPr>
      </w:pPr>
    </w:p>
    <w:p w:rsidR="004F4418" w:rsidRPr="00E47397" w:rsidP="00E47397" w14:paraId="63337FCE" w14:textId="3D8C218B">
      <w:pPr>
        <w:pStyle w:val="ListParagraph"/>
        <w:numPr>
          <w:ilvl w:val="0"/>
          <w:numId w:val="22"/>
        </w:numPr>
        <w:rPr>
          <w:color w:val="000000" w:themeColor="text1"/>
        </w:rPr>
      </w:pPr>
      <w:r w:rsidRPr="00E47397">
        <w:rPr>
          <w:color w:val="000000" w:themeColor="text1"/>
        </w:rPr>
        <w:t xml:space="preserve">Develop and implement cloud-based approaches for automating data collection and supporting multi-directional data flows among STLT partners and </w:t>
      </w:r>
      <w:r>
        <w:rPr>
          <w:color w:val="000000" w:themeColor="text1"/>
        </w:rPr>
        <w:t>CDC.</w:t>
      </w:r>
    </w:p>
    <w:p w:rsidR="004F4418" w:rsidRPr="00E47397" w:rsidP="00E47397" w14:paraId="216A836F" w14:textId="10C00CDC">
      <w:pPr>
        <w:pStyle w:val="ListParagraph"/>
        <w:numPr>
          <w:ilvl w:val="0"/>
          <w:numId w:val="22"/>
        </w:numPr>
        <w:rPr>
          <w:color w:val="000000" w:themeColor="text1"/>
        </w:rPr>
      </w:pPr>
      <w:r w:rsidRPr="00E47397">
        <w:rPr>
          <w:color w:val="000000" w:themeColor="text1"/>
        </w:rPr>
        <w:t>Reduce burden for data providers and</w:t>
      </w:r>
      <w:r>
        <w:rPr>
          <w:color w:val="000000" w:themeColor="text1"/>
        </w:rPr>
        <w:t xml:space="preserve"> </w:t>
      </w:r>
      <w:r w:rsidRPr="00E47397">
        <w:rPr>
          <w:color w:val="000000" w:themeColor="text1"/>
        </w:rPr>
        <w:t>public health agencies</w:t>
      </w:r>
      <w:r>
        <w:rPr>
          <w:color w:val="000000" w:themeColor="text1"/>
        </w:rPr>
        <w:t>.</w:t>
      </w:r>
    </w:p>
    <w:p w:rsidR="004F4418" w:rsidRPr="00E47397" w:rsidP="00E47397" w14:paraId="55636872" w14:textId="45171652">
      <w:pPr>
        <w:pStyle w:val="ListParagraph"/>
        <w:numPr>
          <w:ilvl w:val="0"/>
          <w:numId w:val="22"/>
        </w:numPr>
        <w:rPr>
          <w:color w:val="000000" w:themeColor="text1"/>
        </w:rPr>
      </w:pPr>
      <w:r w:rsidRPr="00E47397">
        <w:rPr>
          <w:color w:val="000000" w:themeColor="text1"/>
        </w:rPr>
        <w:t>Ensure systems and services are scalable, interoperable, and adaptable to meet evolving needs</w:t>
      </w:r>
      <w:r>
        <w:rPr>
          <w:color w:val="000000" w:themeColor="text1"/>
        </w:rPr>
        <w:t>.</w:t>
      </w:r>
    </w:p>
    <w:p w:rsidR="008A0133" w:rsidRPr="00A93EB5" w:rsidP="008A0133" w14:paraId="7EE575B8" w14:textId="77777777">
      <w:pPr>
        <w:rPr>
          <w:color w:val="000000" w:themeColor="text1"/>
        </w:rPr>
      </w:pPr>
    </w:p>
    <w:p w:rsidR="008A0133" w:rsidRPr="00916044" w:rsidP="008A0133" w14:paraId="43E21FBC" w14:textId="11B7B207">
      <w:pPr>
        <w:rPr>
          <w:color w:val="000000" w:themeColor="text1"/>
        </w:rPr>
      </w:pPr>
      <w:r>
        <w:rPr>
          <w:color w:val="000000" w:themeColor="text1"/>
        </w:rPr>
        <w:t>Recipients</w:t>
      </w:r>
      <w:r w:rsidRPr="00A93EB5">
        <w:rPr>
          <w:color w:val="000000" w:themeColor="text1"/>
        </w:rPr>
        <w:t xml:space="preserve"> report progress and activity information to CDC on an annual schedule using</w:t>
      </w:r>
      <w:r>
        <w:rPr>
          <w:color w:val="000000" w:themeColor="text1"/>
        </w:rPr>
        <w:t xml:space="preserve"> a web-based </w:t>
      </w:r>
      <w:r>
        <w:rPr>
          <w:color w:val="000000" w:themeColor="text1"/>
        </w:rPr>
        <w:t>Partners’ Portal</w:t>
      </w:r>
      <w:r w:rsidRPr="00C91D06">
        <w:rPr>
          <w:color w:val="000000" w:themeColor="text1"/>
        </w:rPr>
        <w:t xml:space="preserve"> </w:t>
      </w:r>
      <w:r w:rsidRPr="00916044">
        <w:rPr>
          <w:color w:val="000000" w:themeColor="text1"/>
        </w:rPr>
        <w:t xml:space="preserve">(Attachment </w:t>
      </w:r>
      <w:r w:rsidR="00BE6C61">
        <w:rPr>
          <w:color w:val="000000" w:themeColor="text1"/>
        </w:rPr>
        <w:t>D</w:t>
      </w:r>
      <w:r w:rsidRPr="00916044">
        <w:rPr>
          <w:color w:val="000000" w:themeColor="text1"/>
        </w:rPr>
        <w:t>).</w:t>
      </w:r>
      <w:r w:rsidRPr="00A93EB5">
        <w:rPr>
          <w:color w:val="000000" w:themeColor="text1"/>
        </w:rPr>
        <w:t xml:space="preserve">  </w:t>
      </w:r>
      <w:r w:rsidR="00BE6C61">
        <w:rPr>
          <w:color w:val="000000" w:themeColor="text1"/>
        </w:rPr>
        <w:t xml:space="preserve"> </w:t>
      </w:r>
      <w:r w:rsidRPr="00916044">
        <w:rPr>
          <w:color w:val="000000" w:themeColor="text1"/>
        </w:rPr>
        <w:t xml:space="preserve"> </w:t>
      </w:r>
    </w:p>
    <w:p w:rsidR="008A0133" w:rsidP="008A0133" w14:paraId="54E84DEE" w14:textId="77777777">
      <w:pPr>
        <w:rPr>
          <w:color w:val="000000" w:themeColor="text1"/>
        </w:rPr>
      </w:pPr>
    </w:p>
    <w:p w:rsidR="008A0133" w:rsidRPr="00A93EB5" w:rsidP="008A0133" w14:paraId="6F028D1B" w14:textId="77777777">
      <w:pPr>
        <w:rPr>
          <w:color w:val="000000" w:themeColor="text1"/>
        </w:rPr>
      </w:pPr>
      <w:r w:rsidRPr="00A93EB5">
        <w:rPr>
          <w:color w:val="000000" w:themeColor="text1"/>
        </w:rPr>
        <w:t>Information to be collected will provide crucial data for program performance monitoring and provide CDC with the capacity to respond in a timely manner to requests for information about the program from the Department of Health and Human Services (HHS), the White House, Congress, and other sources.  Information to be collected will</w:t>
      </w:r>
      <w:r>
        <w:rPr>
          <w:color w:val="000000" w:themeColor="text1"/>
        </w:rPr>
        <w:t xml:space="preserve"> also</w:t>
      </w:r>
      <w:r w:rsidRPr="00A93EB5">
        <w:rPr>
          <w:color w:val="000000" w:themeColor="text1"/>
        </w:rPr>
        <w:t xml:space="preserve"> strengthen CDC’s abil</w:t>
      </w:r>
      <w:r>
        <w:rPr>
          <w:color w:val="000000" w:themeColor="text1"/>
        </w:rPr>
        <w:t xml:space="preserve">ity to monitor awardee progress, </w:t>
      </w:r>
      <w:r w:rsidRPr="00A93EB5">
        <w:rPr>
          <w:color w:val="000000" w:themeColor="text1"/>
        </w:rPr>
        <w:t>provide data-driven te</w:t>
      </w:r>
      <w:r>
        <w:rPr>
          <w:color w:val="000000" w:themeColor="text1"/>
        </w:rPr>
        <w:t xml:space="preserve">chnical assistance, and disseminate the most current surveillance data on unintentional and intentional injuries. </w:t>
      </w:r>
    </w:p>
    <w:p w:rsidR="00972DEF" w:rsidRPr="00691454" w:rsidP="00972DEF" w14:paraId="40822322" w14:textId="77777777"/>
    <w:p w:rsidR="00FB1045" w:rsidP="00972DEF" w14:paraId="40822324"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972DEF" w:rsidP="00F64FA1" w14:paraId="40822325" w14:textId="2CCFDC10">
      <w:pPr>
        <w:tabs>
          <w:tab w:val="left" w:pos="360"/>
        </w:tabs>
        <w:autoSpaceDE w:val="0"/>
        <w:autoSpaceDN w:val="0"/>
        <w:adjustRightInd w:val="0"/>
        <w:rPr>
          <w:b/>
          <w:bCs/>
        </w:rPr>
      </w:pPr>
      <w:r w:rsidRPr="00262903">
        <w:rPr>
          <w:b/>
          <w:bCs/>
        </w:rPr>
        <w:t xml:space="preserve">A.2. </w:t>
      </w:r>
      <w:r w:rsidRPr="00262903" w:rsidR="00F64FA1">
        <w:rPr>
          <w:b/>
          <w:bCs/>
        </w:rPr>
        <w:t xml:space="preserve">    </w:t>
      </w:r>
      <w:r w:rsidRPr="00262903">
        <w:rPr>
          <w:b/>
          <w:bCs/>
        </w:rPr>
        <w:t>Purpose and Use of Information Collection</w:t>
      </w:r>
      <w:r w:rsidRPr="00691454">
        <w:rPr>
          <w:b/>
          <w:bCs/>
        </w:rPr>
        <w:t xml:space="preserve"> </w:t>
      </w:r>
    </w:p>
    <w:p w:rsidR="00A24051" w:rsidP="00F64FA1" w14:paraId="3D3A121A" w14:textId="77D54370">
      <w:pPr>
        <w:tabs>
          <w:tab w:val="left" w:pos="360"/>
        </w:tabs>
        <w:autoSpaceDE w:val="0"/>
        <w:autoSpaceDN w:val="0"/>
        <w:adjustRightInd w:val="0"/>
        <w:rPr>
          <w:b/>
          <w:bCs/>
        </w:rPr>
      </w:pPr>
    </w:p>
    <w:p w:rsidR="0006666D" w:rsidRPr="008544B0" w:rsidP="00F64FA1" w14:paraId="0836B63D" w14:textId="5BA36A31">
      <w:pPr>
        <w:tabs>
          <w:tab w:val="left" w:pos="360"/>
        </w:tabs>
        <w:autoSpaceDE w:val="0"/>
        <w:autoSpaceDN w:val="0"/>
        <w:adjustRightInd w:val="0"/>
      </w:pPr>
      <w:r w:rsidRPr="008544B0">
        <w:t>This is a revision request</w:t>
      </w:r>
      <w:r w:rsidR="00766DF3">
        <w:t xml:space="preserve"> to continue collecting </w:t>
      </w:r>
      <w:r w:rsidR="00B92108">
        <w:t xml:space="preserve">performance monitoring data from awardees over the course of the funding cycle. </w:t>
      </w:r>
      <w:r w:rsidR="000D03CC">
        <w:rPr>
          <w:rStyle w:val="normaltextrun"/>
          <w:color w:val="000000" w:themeColor="text1"/>
          <w:shd w:val="clear" w:color="auto" w:fill="FFFFFF"/>
        </w:rPr>
        <w:t xml:space="preserve">This revision includes adding three new recipients to the </w:t>
      </w:r>
      <w:r w:rsidRPr="00534E0B" w:rsidR="000D6D36">
        <w:rPr>
          <w:rStyle w:val="normaltextrun"/>
          <w:color w:val="000000" w:themeColor="text1"/>
          <w:shd w:val="clear" w:color="auto" w:fill="FFFFFF"/>
        </w:rPr>
        <w:t xml:space="preserve">Core SIPP Program </w:t>
      </w:r>
      <w:r w:rsidR="000D03CC">
        <w:rPr>
          <w:rStyle w:val="normaltextrun"/>
          <w:color w:val="000000" w:themeColor="text1"/>
          <w:shd w:val="clear" w:color="auto" w:fill="FFFFFF"/>
        </w:rPr>
        <w:t>with an increase in total burden hours from 253 to 286</w:t>
      </w:r>
      <w:r w:rsidRPr="00534E0B" w:rsidR="000D6D36">
        <w:rPr>
          <w:rStyle w:val="normaltextrun"/>
          <w:color w:val="000000" w:themeColor="text1"/>
          <w:shd w:val="clear" w:color="auto" w:fill="FFFFFF"/>
        </w:rPr>
        <w:t xml:space="preserve">. Data collected up until this point has been used for monitoring the impact of Core SIPP. </w:t>
      </w:r>
    </w:p>
    <w:p w:rsidR="0006666D" w:rsidP="00FA62CC" w14:paraId="40EE782D" w14:textId="77777777">
      <w:pPr>
        <w:tabs>
          <w:tab w:val="left" w:pos="360"/>
        </w:tabs>
        <w:autoSpaceDE w:val="0"/>
        <w:autoSpaceDN w:val="0"/>
        <w:adjustRightInd w:val="0"/>
      </w:pPr>
    </w:p>
    <w:p w:rsidR="00FA62CC" w:rsidP="00FA62CC" w14:paraId="75065123" w14:textId="1FEF7880">
      <w:pPr>
        <w:tabs>
          <w:tab w:val="left" w:pos="360"/>
        </w:tabs>
        <w:autoSpaceDE w:val="0"/>
        <w:autoSpaceDN w:val="0"/>
        <w:adjustRightInd w:val="0"/>
      </w:pPr>
      <w:r>
        <w:t xml:space="preserve">Monitoring the impact of population-based strategies and identifying new insights and innovative solutions to health problems are two of the noted public health activities that all public health systems should undertake. For NCIPC, these objectives cannot be satisfied without the systematic collection of data and information from state health departments. The information collection will enable the accurate, reliable, uniform and timely submission to NCIPC of each awardee’s progress report and injury indicators, including strategies and performance measures.  The information collection plan proposed here will also generate a variety of routine and customizable reports.  State specific reports will allow each awardee to summarize activities and progress towards meeting strategies and performance measure targets related to the reduction and prevention of unintentional and intentional injuries.  NCIPC will also have the capacity to generate reports that describe activities and health outcomes across multiple </w:t>
      </w:r>
      <w:r w:rsidR="00902D17">
        <w:t>recipients</w:t>
      </w:r>
      <w:r>
        <w:t xml:space="preserve">, which will enable better reporting of trends and provision of technical assistance through linking partners across state health departments and collaborating divisions within CDC. </w:t>
      </w:r>
    </w:p>
    <w:p w:rsidR="00FA62CC" w:rsidP="00FA62CC" w14:paraId="0E639F08" w14:textId="77777777">
      <w:pPr>
        <w:tabs>
          <w:tab w:val="left" w:pos="360"/>
        </w:tabs>
        <w:autoSpaceDE w:val="0"/>
        <w:autoSpaceDN w:val="0"/>
        <w:adjustRightInd w:val="0"/>
      </w:pPr>
    </w:p>
    <w:p w:rsidR="00FA62CC" w:rsidP="00FA62CC" w14:paraId="1ED8BE5D" w14:textId="72A5FEB3">
      <w:pPr>
        <w:tabs>
          <w:tab w:val="left" w:pos="360"/>
        </w:tabs>
        <w:autoSpaceDE w:val="0"/>
        <w:autoSpaceDN w:val="0"/>
        <w:adjustRightInd w:val="0"/>
      </w:pPr>
      <w:r>
        <w:t>The information collection and reporting requirements have been carefully designed to align with and support the specific goals and outcomes outlined in the Core SIPP cooperative agreement.  The overarching goal of Core SIPP is to strengthen the awardee’s</w:t>
      </w:r>
      <w:r w:rsidR="002C0745">
        <w:t xml:space="preserve"> injury prevention</w:t>
      </w:r>
      <w:r>
        <w:t xml:space="preserve"> programs and policies and demonstrate impact in the reduction of </w:t>
      </w:r>
      <w:r w:rsidR="002C0745">
        <w:t>injury-</w:t>
      </w:r>
      <w:r>
        <w:t>related morbidity and mortality.  Although the data are limited to the 2</w:t>
      </w:r>
      <w:r w:rsidR="00096327">
        <w:t>6</w:t>
      </w:r>
      <w:r>
        <w:t xml:space="preserve"> </w:t>
      </w:r>
      <w:r w:rsidR="00902D17">
        <w:t>recipients</w:t>
      </w:r>
      <w:r>
        <w:t xml:space="preserve"> of the Core SIPP NOFO, the results can inform injury prevention work</w:t>
      </w:r>
      <w:r w:rsidR="004A695B">
        <w:t xml:space="preserve"> more generally</w:t>
      </w:r>
      <w:r>
        <w:t>. Moreover, it is steadfastly asserted that the results of the data collection are vital to ensuring the Core SIPPs efficient management. Results will not only allow NCIPC staff to provide data-driven technical assistance</w:t>
      </w:r>
      <w:r w:rsidR="002C0745">
        <w:t xml:space="preserve"> to </w:t>
      </w:r>
      <w:r w:rsidR="00902D17">
        <w:t>recipients</w:t>
      </w:r>
      <w:r>
        <w:t xml:space="preserve">, but also to assess patterns across other NCIPC injury prevention programs such as, Prescription Drug Overdose Prevention for States and the Injury Control Research Centers. In addition, the data collection will inform the continuous quality improvement process and allow NCIPC staff to make mid-course corrections and describe the impact on health outcomes. </w:t>
      </w:r>
    </w:p>
    <w:p w:rsidR="00FA62CC" w:rsidP="00FA62CC" w14:paraId="7C0BC20F" w14:textId="77777777">
      <w:pPr>
        <w:tabs>
          <w:tab w:val="left" w:pos="360"/>
        </w:tabs>
        <w:autoSpaceDE w:val="0"/>
        <w:autoSpaceDN w:val="0"/>
        <w:adjustRightInd w:val="0"/>
      </w:pPr>
    </w:p>
    <w:p w:rsidR="00FA62CC" w:rsidP="00FA62CC" w14:paraId="6A20B634" w14:textId="08131B41">
      <w:pPr>
        <w:tabs>
          <w:tab w:val="left" w:pos="360"/>
        </w:tabs>
        <w:autoSpaceDE w:val="0"/>
        <w:autoSpaceDN w:val="0"/>
        <w:adjustRightInd w:val="0"/>
      </w:pPr>
      <w:r>
        <w:t xml:space="preserve">The information collection procedures allow NCIPC to respond to inquiries from the HHS, the White House, Congress and other stakeholders about program activities and their impact; as well as, work towards CDCs overarching mission to protect America from health, safety and security threats, both foreign and in the U.S. </w:t>
      </w:r>
    </w:p>
    <w:p w:rsidR="00FA62CC" w:rsidP="00FA62CC" w14:paraId="03FAD35E" w14:textId="77777777">
      <w:pPr>
        <w:tabs>
          <w:tab w:val="left" w:pos="360"/>
        </w:tabs>
        <w:autoSpaceDE w:val="0"/>
        <w:autoSpaceDN w:val="0"/>
        <w:adjustRightInd w:val="0"/>
      </w:pPr>
    </w:p>
    <w:p w:rsidR="00FA62CC" w:rsidP="00FA62CC" w14:paraId="488B74E5" w14:textId="7D674F8D">
      <w:pPr>
        <w:tabs>
          <w:tab w:val="left" w:pos="360"/>
        </w:tabs>
        <w:autoSpaceDE w:val="0"/>
        <w:autoSpaceDN w:val="0"/>
        <w:adjustRightInd w:val="0"/>
      </w:pPr>
      <w:r>
        <w:t xml:space="preserve">NCIPC use the information collected in the </w:t>
      </w:r>
      <w:r w:rsidR="00902D17">
        <w:t>Partners’ Portal</w:t>
      </w:r>
      <w:r>
        <w:t xml:space="preserve"> to perform program activities to accomplish the following objectives: </w:t>
      </w:r>
    </w:p>
    <w:p w:rsidR="00FA62CC" w:rsidP="002C0745" w14:paraId="2910546D" w14:textId="19496887">
      <w:pPr>
        <w:pStyle w:val="ListParagraph"/>
        <w:numPr>
          <w:ilvl w:val="0"/>
          <w:numId w:val="21"/>
        </w:numPr>
        <w:tabs>
          <w:tab w:val="left" w:pos="360"/>
        </w:tabs>
        <w:autoSpaceDE w:val="0"/>
        <w:autoSpaceDN w:val="0"/>
        <w:adjustRightInd w:val="0"/>
      </w:pPr>
      <w:r>
        <w:t xml:space="preserve">Monitor each awardee’s progress and identify facilitators and barriers to program implementation and achievement of outcomes.  Monitoring allows NCIPC to determine whether an awardee is meeting performance goals, to inform awardee continuous quality improvements, and to inform the type of intensity of CDC-provided technical assistance to support attainment of their performance measures.  </w:t>
      </w:r>
    </w:p>
    <w:p w:rsidR="00FA62CC" w:rsidP="002C0745" w14:paraId="7283AE44" w14:textId="47FCF387">
      <w:pPr>
        <w:pStyle w:val="ListParagraph"/>
        <w:numPr>
          <w:ilvl w:val="0"/>
          <w:numId w:val="21"/>
        </w:numPr>
        <w:tabs>
          <w:tab w:val="left" w:pos="360"/>
        </w:tabs>
        <w:autoSpaceDE w:val="0"/>
        <w:autoSpaceDN w:val="0"/>
        <w:adjustRightInd w:val="0"/>
      </w:pPr>
      <w:r>
        <w:t xml:space="preserve">Identify trends in injury surveillance data to inform state </w:t>
      </w:r>
      <w:r w:rsidR="002C0745">
        <w:t>foci for</w:t>
      </w:r>
      <w:r>
        <w:t xml:space="preserve"> prevention and intervention strategies as well as the production of relevant reports, journal articles, and resources for state health departments. </w:t>
      </w:r>
    </w:p>
    <w:p w:rsidR="00FA62CC" w:rsidP="002C0745" w14:paraId="524B956E" w14:textId="3A5A9002">
      <w:pPr>
        <w:pStyle w:val="ListParagraph"/>
        <w:numPr>
          <w:ilvl w:val="0"/>
          <w:numId w:val="21"/>
        </w:numPr>
        <w:tabs>
          <w:tab w:val="left" w:pos="360"/>
        </w:tabs>
        <w:autoSpaceDE w:val="0"/>
        <w:autoSpaceDN w:val="0"/>
        <w:adjustRightInd w:val="0"/>
      </w:pPr>
      <w:r>
        <w:t xml:space="preserve">Identify, translate, and disseminate information about successful </w:t>
      </w:r>
      <w:r w:rsidR="002C0745">
        <w:t xml:space="preserve">injury </w:t>
      </w:r>
      <w:r>
        <w:t xml:space="preserve">prevention and control strategies implemented by </w:t>
      </w:r>
      <w:r w:rsidR="00902D17">
        <w:t>recipients</w:t>
      </w:r>
      <w:r>
        <w:t xml:space="preserve"> through the development of journal articles, tools, templates, and other </w:t>
      </w:r>
      <w:r w:rsidR="002C0745">
        <w:t>injury</w:t>
      </w:r>
      <w:r>
        <w:t xml:space="preserve"> prevention resources/products.   </w:t>
      </w:r>
    </w:p>
    <w:p w:rsidR="00FA62CC" w:rsidP="00FA62CC" w14:paraId="38B07EAB" w14:textId="77777777">
      <w:pPr>
        <w:tabs>
          <w:tab w:val="left" w:pos="360"/>
        </w:tabs>
        <w:autoSpaceDE w:val="0"/>
        <w:autoSpaceDN w:val="0"/>
        <w:adjustRightInd w:val="0"/>
      </w:pPr>
      <w:r>
        <w:t xml:space="preserve"> </w:t>
      </w:r>
    </w:p>
    <w:p w:rsidR="00EF0385" w:rsidP="00A24051" w14:paraId="115C59BE" w14:textId="20A57EA0">
      <w:pPr>
        <w:tabs>
          <w:tab w:val="left" w:pos="360"/>
        </w:tabs>
        <w:autoSpaceDE w:val="0"/>
        <w:autoSpaceDN w:val="0"/>
        <w:adjustRightInd w:val="0"/>
      </w:pPr>
      <w:r>
        <w:t xml:space="preserve">Program </w:t>
      </w:r>
      <w:r w:rsidR="00902D17">
        <w:t>recipients</w:t>
      </w:r>
      <w:r>
        <w:t xml:space="preserve"> use the information collected to manage and coordinate their activities and to improve their efforts to prevent and control injuries.  The </w:t>
      </w:r>
      <w:r w:rsidR="00902D17">
        <w:t>Partners’ Portal</w:t>
      </w:r>
      <w:r w:rsidR="002C0745">
        <w:t xml:space="preserve"> </w:t>
      </w:r>
      <w:r>
        <w:t>allow</w:t>
      </w:r>
      <w:r w:rsidR="002C0745">
        <w:t>s</w:t>
      </w:r>
      <w:r>
        <w:t xml:space="preserve"> </w:t>
      </w:r>
      <w:r w:rsidR="00902D17">
        <w:t>recipients</w:t>
      </w:r>
      <w:r>
        <w:t xml:space="preserve"> to fulfill their annual reporting obligations efficiently by employing user-friendly, easily accessible web-based instruments to collect necessary information for both progress reports and continuation applications including work plans.  This approach</w:t>
      </w:r>
      <w:r w:rsidR="008D3BFB">
        <w:t xml:space="preserve"> </w:t>
      </w:r>
      <w:r>
        <w:t xml:space="preserve">enables </w:t>
      </w:r>
      <w:r w:rsidR="00902D17">
        <w:t>recipients</w:t>
      </w:r>
      <w:r>
        <w:t xml:space="preserve"> to save pertinent information from one reporting period to the next</w:t>
      </w:r>
      <w:r w:rsidR="008D3BFB">
        <w:t xml:space="preserve"> and reduces</w:t>
      </w:r>
      <w:r>
        <w:t xml:space="preserve"> the administrative burden on the </w:t>
      </w:r>
      <w:r w:rsidR="008D3BFB">
        <w:t>annual</w:t>
      </w:r>
      <w:r>
        <w:t xml:space="preserve"> continuation application and the </w:t>
      </w:r>
      <w:r w:rsidR="008D3BFB">
        <w:t>performance monitoring</w:t>
      </w:r>
      <w:r>
        <w:t xml:space="preserve"> process.  Awardee program staff are able to review the completeness of data needed to generate required reports, enter basic summary data for reports annually, and finalize and save required reports for upload into other reporting systems as required. </w:t>
      </w:r>
    </w:p>
    <w:p w:rsidR="008D3BFB" w:rsidP="00EF0385" w14:paraId="39659066" w14:textId="77777777">
      <w:pPr>
        <w:rPr>
          <w:b/>
        </w:rPr>
      </w:pPr>
    </w:p>
    <w:p w:rsidR="00EF0385" w:rsidP="00EF0385" w14:paraId="4B5A8442" w14:textId="77777777">
      <w:pPr>
        <w:rPr>
          <w:i/>
          <w:sz w:val="23"/>
          <w:szCs w:val="23"/>
        </w:rPr>
      </w:pPr>
    </w:p>
    <w:p w:rsidR="00B05CB4" w:rsidRPr="00B05CB4" w:rsidP="00004EE7" w14:paraId="20B5E5C8" w14:textId="53C0EF75">
      <w:r>
        <w:rPr>
          <w:b/>
        </w:rPr>
        <w:t>Table A.2</w:t>
      </w:r>
      <w:r w:rsidRPr="00DA602A" w:rsidR="00EF0385">
        <w:rPr>
          <w:b/>
        </w:rPr>
        <w:t xml:space="preserve">. </w:t>
      </w:r>
      <w:r w:rsidR="00F27C5D">
        <w:t xml:space="preserve">Methods </w:t>
      </w:r>
      <w:r w:rsidR="000311E8">
        <w:t xml:space="preserve">to </w:t>
      </w:r>
      <w:r>
        <w:t>M</w:t>
      </w:r>
      <w:r w:rsidR="000311E8">
        <w:t>easure</w:t>
      </w:r>
      <w:r>
        <w:t xml:space="preserve"> Core</w:t>
      </w:r>
      <w:r w:rsidR="000311E8">
        <w:t xml:space="preserve"> SIPP </w:t>
      </w:r>
      <w:r>
        <w:t>Annual P</w:t>
      </w:r>
      <w:r w:rsidR="002E25D8">
        <w:t xml:space="preserve">erformance </w:t>
      </w:r>
    </w:p>
    <w:p w:rsidR="00004EE7" w:rsidP="00004EE7" w14:paraId="538BD999" w14:textId="77777777"/>
    <w:tbl>
      <w:tblPr>
        <w:tblStyle w:val="TableGrid"/>
        <w:tblW w:w="0" w:type="auto"/>
        <w:tblLook w:val="04A0"/>
      </w:tblPr>
      <w:tblGrid>
        <w:gridCol w:w="6565"/>
        <w:gridCol w:w="2785"/>
      </w:tblGrid>
      <w:tr w14:paraId="04247AE9" w14:textId="77777777" w:rsidTr="00B07687">
        <w:tblPrEx>
          <w:tblW w:w="0" w:type="auto"/>
          <w:tblLook w:val="04A0"/>
        </w:tblPrEx>
        <w:tc>
          <w:tcPr>
            <w:tcW w:w="6565" w:type="dxa"/>
          </w:tcPr>
          <w:p w:rsidR="000311E8" w:rsidRPr="000311E8" w:rsidP="000311E8" w14:paraId="1C071887" w14:textId="77777777">
            <w:pPr>
              <w:tabs>
                <w:tab w:val="left" w:pos="360"/>
              </w:tabs>
              <w:autoSpaceDE w:val="0"/>
              <w:autoSpaceDN w:val="0"/>
              <w:adjustRightInd w:val="0"/>
              <w:rPr>
                <w:b/>
              </w:rPr>
            </w:pPr>
            <w:r w:rsidRPr="000311E8">
              <w:rPr>
                <w:b/>
              </w:rPr>
              <w:t>SIPP Outcome Indicators</w:t>
            </w:r>
          </w:p>
        </w:tc>
        <w:tc>
          <w:tcPr>
            <w:tcW w:w="2785" w:type="dxa"/>
          </w:tcPr>
          <w:p w:rsidR="000311E8" w:rsidRPr="000311E8" w:rsidP="000311E8" w14:paraId="5744C41D" w14:textId="35434054">
            <w:pPr>
              <w:tabs>
                <w:tab w:val="left" w:pos="360"/>
              </w:tabs>
              <w:autoSpaceDE w:val="0"/>
              <w:autoSpaceDN w:val="0"/>
              <w:adjustRightInd w:val="0"/>
              <w:rPr>
                <w:b/>
              </w:rPr>
            </w:pPr>
            <w:r w:rsidRPr="000311E8">
              <w:rPr>
                <w:b/>
              </w:rPr>
              <w:t>Methods/Instrument</w:t>
            </w:r>
            <w:r w:rsidR="00ED4696">
              <w:rPr>
                <w:b/>
              </w:rPr>
              <w:t>s</w:t>
            </w:r>
          </w:p>
        </w:tc>
      </w:tr>
      <w:tr w14:paraId="43AC1309" w14:textId="77777777" w:rsidTr="00B07687">
        <w:tblPrEx>
          <w:tblW w:w="0" w:type="auto"/>
          <w:tblLook w:val="04A0"/>
        </w:tblPrEx>
        <w:tc>
          <w:tcPr>
            <w:tcW w:w="6565" w:type="dxa"/>
          </w:tcPr>
          <w:p w:rsidR="00256698" w:rsidRPr="00256698" w:rsidP="00256698" w14:paraId="0C2D0B69" w14:textId="77777777">
            <w:pPr>
              <w:tabs>
                <w:tab w:val="left" w:pos="360"/>
              </w:tabs>
              <w:autoSpaceDE w:val="0"/>
              <w:autoSpaceDN w:val="0"/>
              <w:adjustRightInd w:val="0"/>
              <w:rPr>
                <w:bCs/>
              </w:rPr>
            </w:pPr>
            <w:r w:rsidRPr="00256698">
              <w:rPr>
                <w:bCs/>
              </w:rPr>
              <w:t>Increased recipient knowledge and utilization of:</w:t>
            </w:r>
          </w:p>
          <w:p w:rsidR="00256698" w:rsidRPr="00256698" w:rsidP="00256698" w14:paraId="371B65A1" w14:textId="77777777">
            <w:pPr>
              <w:tabs>
                <w:tab w:val="left" w:pos="360"/>
              </w:tabs>
              <w:autoSpaceDE w:val="0"/>
              <w:autoSpaceDN w:val="0"/>
              <w:adjustRightInd w:val="0"/>
              <w:rPr>
                <w:bCs/>
              </w:rPr>
            </w:pPr>
            <w:r w:rsidRPr="00256698">
              <w:rPr>
                <w:bCs/>
              </w:rPr>
              <w:t>•</w:t>
            </w:r>
            <w:r w:rsidRPr="00256698">
              <w:rPr>
                <w:bCs/>
              </w:rPr>
              <w:tab/>
              <w:t xml:space="preserve">Emerging data sources for injury surveillance </w:t>
            </w:r>
          </w:p>
          <w:p w:rsidR="000311E8" w:rsidRPr="000311E8" w:rsidP="00256698" w14:paraId="068BDF1E" w14:textId="3116AAF4">
            <w:pPr>
              <w:tabs>
                <w:tab w:val="left" w:pos="360"/>
              </w:tabs>
              <w:autoSpaceDE w:val="0"/>
              <w:autoSpaceDN w:val="0"/>
              <w:adjustRightInd w:val="0"/>
              <w:rPr>
                <w:bCs/>
              </w:rPr>
            </w:pPr>
            <w:r w:rsidRPr="00256698">
              <w:rPr>
                <w:bCs/>
              </w:rPr>
              <w:t>•</w:t>
            </w:r>
            <w:r w:rsidRPr="00256698">
              <w:rPr>
                <w:bCs/>
              </w:rPr>
              <w:tab/>
              <w:t>Robust data/surveillance best practices</w:t>
            </w:r>
          </w:p>
        </w:tc>
        <w:tc>
          <w:tcPr>
            <w:tcW w:w="2785" w:type="dxa"/>
          </w:tcPr>
          <w:p w:rsidR="000311E8" w:rsidRPr="000311E8" w:rsidP="000311E8" w14:paraId="3EFB244A" w14:textId="05448832">
            <w:pPr>
              <w:tabs>
                <w:tab w:val="left" w:pos="360"/>
              </w:tabs>
              <w:autoSpaceDE w:val="0"/>
              <w:autoSpaceDN w:val="0"/>
              <w:adjustRightInd w:val="0"/>
              <w:rPr>
                <w:bCs/>
              </w:rPr>
            </w:pPr>
            <w:r>
              <w:rPr>
                <w:bCs/>
              </w:rPr>
              <w:t>D</w:t>
            </w:r>
          </w:p>
        </w:tc>
      </w:tr>
      <w:tr w14:paraId="12A4B1F2" w14:textId="77777777" w:rsidTr="00B07687">
        <w:tblPrEx>
          <w:tblW w:w="0" w:type="auto"/>
          <w:tblLook w:val="04A0"/>
        </w:tblPrEx>
        <w:tc>
          <w:tcPr>
            <w:tcW w:w="6565" w:type="dxa"/>
          </w:tcPr>
          <w:p w:rsidR="000311E8" w:rsidRPr="000311E8" w:rsidP="000311E8" w14:paraId="3B63062E" w14:textId="2CB4B5EF">
            <w:pPr>
              <w:tabs>
                <w:tab w:val="left" w:pos="360"/>
              </w:tabs>
              <w:autoSpaceDE w:val="0"/>
              <w:autoSpaceDN w:val="0"/>
              <w:adjustRightInd w:val="0"/>
              <w:rPr>
                <w:bCs/>
              </w:rPr>
            </w:pPr>
            <w:r w:rsidRPr="00B667AC">
              <w:rPr>
                <w:bCs/>
              </w:rPr>
              <w:t>Increased understanding of injury among disproportionately</w:t>
            </w:r>
            <w:r w:rsidRPr="00B667AC" w:rsidR="00004EE7">
              <w:rPr>
                <w:bCs/>
              </w:rPr>
              <w:t xml:space="preserve"> </w:t>
            </w:r>
            <w:r w:rsidRPr="00B667AC">
              <w:rPr>
                <w:bCs/>
              </w:rPr>
              <w:t>affected populations</w:t>
            </w:r>
          </w:p>
        </w:tc>
        <w:tc>
          <w:tcPr>
            <w:tcW w:w="2785" w:type="dxa"/>
          </w:tcPr>
          <w:p w:rsidR="000311E8" w:rsidRPr="000311E8" w:rsidP="000311E8" w14:paraId="60F0D83E" w14:textId="3129888F">
            <w:pPr>
              <w:tabs>
                <w:tab w:val="left" w:pos="360"/>
              </w:tabs>
              <w:autoSpaceDE w:val="0"/>
              <w:autoSpaceDN w:val="0"/>
              <w:adjustRightInd w:val="0"/>
              <w:rPr>
                <w:bCs/>
              </w:rPr>
            </w:pPr>
            <w:r>
              <w:rPr>
                <w:bCs/>
              </w:rPr>
              <w:t>D</w:t>
            </w:r>
          </w:p>
        </w:tc>
      </w:tr>
      <w:tr w14:paraId="400E2BD0" w14:textId="77777777" w:rsidTr="00B07687">
        <w:tblPrEx>
          <w:tblW w:w="0" w:type="auto"/>
          <w:tblLook w:val="04A0"/>
        </w:tblPrEx>
        <w:tc>
          <w:tcPr>
            <w:tcW w:w="6565" w:type="dxa"/>
          </w:tcPr>
          <w:p w:rsidR="000311E8" w:rsidRPr="000311E8" w:rsidP="000311E8" w14:paraId="534B4836" w14:textId="4DB01FF8">
            <w:pPr>
              <w:tabs>
                <w:tab w:val="left" w:pos="360"/>
              </w:tabs>
              <w:autoSpaceDE w:val="0"/>
              <w:autoSpaceDN w:val="0"/>
              <w:adjustRightInd w:val="0"/>
              <w:rPr>
                <w:bCs/>
              </w:rPr>
            </w:pPr>
            <w:r w:rsidRPr="00037618">
              <w:rPr>
                <w:bCs/>
              </w:rPr>
              <w:t>Increased stakeholder inclusion in program planning, implementation, and evaluation</w:t>
            </w:r>
          </w:p>
        </w:tc>
        <w:tc>
          <w:tcPr>
            <w:tcW w:w="2785" w:type="dxa"/>
          </w:tcPr>
          <w:p w:rsidR="000311E8" w:rsidRPr="000311E8" w:rsidP="000311E8" w14:paraId="0A1E1B68" w14:textId="216897BD">
            <w:pPr>
              <w:tabs>
                <w:tab w:val="left" w:pos="360"/>
              </w:tabs>
              <w:autoSpaceDE w:val="0"/>
              <w:autoSpaceDN w:val="0"/>
              <w:adjustRightInd w:val="0"/>
              <w:rPr>
                <w:bCs/>
              </w:rPr>
            </w:pPr>
            <w:r>
              <w:rPr>
                <w:bCs/>
              </w:rPr>
              <w:t>D</w:t>
            </w:r>
          </w:p>
        </w:tc>
      </w:tr>
      <w:tr w14:paraId="52317A02" w14:textId="77777777" w:rsidTr="00B07687">
        <w:tblPrEx>
          <w:tblW w:w="0" w:type="auto"/>
          <w:tblLook w:val="04A0"/>
        </w:tblPrEx>
        <w:tc>
          <w:tcPr>
            <w:tcW w:w="6565" w:type="dxa"/>
          </w:tcPr>
          <w:p w:rsidR="00037618" w:rsidRPr="00037618" w:rsidP="000311E8" w14:paraId="4025B5A6" w14:textId="5E586034">
            <w:pPr>
              <w:tabs>
                <w:tab w:val="left" w:pos="360"/>
              </w:tabs>
              <w:autoSpaceDE w:val="0"/>
              <w:autoSpaceDN w:val="0"/>
              <w:adjustRightInd w:val="0"/>
              <w:rPr>
                <w:bCs/>
              </w:rPr>
            </w:pPr>
            <w:r w:rsidRPr="001315F2">
              <w:rPr>
                <w:bCs/>
              </w:rPr>
              <w:t>Increased integration among multi-sectoral partners with shared commitment to injury prevention</w:t>
            </w:r>
          </w:p>
        </w:tc>
        <w:tc>
          <w:tcPr>
            <w:tcW w:w="2785" w:type="dxa"/>
          </w:tcPr>
          <w:p w:rsidR="00037618" w:rsidRPr="000311E8" w:rsidP="000311E8" w14:paraId="01B685A3" w14:textId="4491F391">
            <w:pPr>
              <w:tabs>
                <w:tab w:val="left" w:pos="360"/>
              </w:tabs>
              <w:autoSpaceDE w:val="0"/>
              <w:autoSpaceDN w:val="0"/>
              <w:adjustRightInd w:val="0"/>
              <w:rPr>
                <w:bCs/>
              </w:rPr>
            </w:pPr>
            <w:r>
              <w:rPr>
                <w:bCs/>
              </w:rPr>
              <w:t>D</w:t>
            </w:r>
          </w:p>
        </w:tc>
      </w:tr>
      <w:tr w14:paraId="3F910DAF" w14:textId="77777777" w:rsidTr="00B07687">
        <w:tblPrEx>
          <w:tblW w:w="0" w:type="auto"/>
          <w:tblLook w:val="04A0"/>
        </w:tblPrEx>
        <w:tc>
          <w:tcPr>
            <w:tcW w:w="6565" w:type="dxa"/>
          </w:tcPr>
          <w:p w:rsidR="00037618" w:rsidRPr="00037618" w:rsidP="000311E8" w14:paraId="7EEC05BD" w14:textId="3FF2B434">
            <w:pPr>
              <w:tabs>
                <w:tab w:val="left" w:pos="360"/>
              </w:tabs>
              <w:autoSpaceDE w:val="0"/>
              <w:autoSpaceDN w:val="0"/>
              <w:adjustRightInd w:val="0"/>
              <w:rPr>
                <w:bCs/>
              </w:rPr>
            </w:pPr>
            <w:r w:rsidRPr="006A1E82">
              <w:rPr>
                <w:bCs/>
              </w:rPr>
              <w:t>Increased understanding of risk and protective factors for identified disproportionately</w:t>
            </w:r>
            <w:r w:rsidRPr="006A1E82" w:rsidR="00004EE7">
              <w:rPr>
                <w:bCs/>
              </w:rPr>
              <w:t xml:space="preserve"> </w:t>
            </w:r>
            <w:r w:rsidRPr="006A1E82">
              <w:rPr>
                <w:bCs/>
              </w:rPr>
              <w:t>affected communities</w:t>
            </w:r>
          </w:p>
        </w:tc>
        <w:tc>
          <w:tcPr>
            <w:tcW w:w="2785" w:type="dxa"/>
          </w:tcPr>
          <w:p w:rsidR="00037618" w:rsidRPr="000311E8" w:rsidP="000311E8" w14:paraId="3FA5328C" w14:textId="2E39ED93">
            <w:pPr>
              <w:tabs>
                <w:tab w:val="left" w:pos="360"/>
              </w:tabs>
              <w:autoSpaceDE w:val="0"/>
              <w:autoSpaceDN w:val="0"/>
              <w:adjustRightInd w:val="0"/>
              <w:rPr>
                <w:bCs/>
              </w:rPr>
            </w:pPr>
            <w:r>
              <w:rPr>
                <w:bCs/>
              </w:rPr>
              <w:t>D</w:t>
            </w:r>
          </w:p>
        </w:tc>
      </w:tr>
      <w:tr w14:paraId="5BE0C26D" w14:textId="77777777" w:rsidTr="00B07687">
        <w:tblPrEx>
          <w:tblW w:w="0" w:type="auto"/>
          <w:tblLook w:val="04A0"/>
        </w:tblPrEx>
        <w:tc>
          <w:tcPr>
            <w:tcW w:w="6565" w:type="dxa"/>
          </w:tcPr>
          <w:p w:rsidR="00037618" w:rsidRPr="00037618" w:rsidP="000311E8" w14:paraId="7C82F74F" w14:textId="1298654B">
            <w:pPr>
              <w:tabs>
                <w:tab w:val="left" w:pos="360"/>
              </w:tabs>
              <w:autoSpaceDE w:val="0"/>
              <w:autoSpaceDN w:val="0"/>
              <w:adjustRightInd w:val="0"/>
              <w:rPr>
                <w:bCs/>
              </w:rPr>
            </w:pPr>
            <w:r w:rsidRPr="007C518A">
              <w:rPr>
                <w:bCs/>
              </w:rPr>
              <w:t>Increase understanding of appropriate evidence-informed strategies to address identified needs</w:t>
            </w:r>
          </w:p>
        </w:tc>
        <w:tc>
          <w:tcPr>
            <w:tcW w:w="2785" w:type="dxa"/>
          </w:tcPr>
          <w:p w:rsidR="00037618" w:rsidRPr="000311E8" w:rsidP="000311E8" w14:paraId="47567C06" w14:textId="7F5BE974">
            <w:pPr>
              <w:tabs>
                <w:tab w:val="left" w:pos="360"/>
              </w:tabs>
              <w:autoSpaceDE w:val="0"/>
              <w:autoSpaceDN w:val="0"/>
              <w:adjustRightInd w:val="0"/>
              <w:rPr>
                <w:bCs/>
              </w:rPr>
            </w:pPr>
            <w:r>
              <w:rPr>
                <w:bCs/>
              </w:rPr>
              <w:t>D</w:t>
            </w:r>
          </w:p>
        </w:tc>
      </w:tr>
      <w:tr w14:paraId="3ED74CC4" w14:textId="77777777" w:rsidTr="00B07687">
        <w:tblPrEx>
          <w:tblW w:w="0" w:type="auto"/>
          <w:tblLook w:val="04A0"/>
        </w:tblPrEx>
        <w:tc>
          <w:tcPr>
            <w:tcW w:w="6565" w:type="dxa"/>
          </w:tcPr>
          <w:p w:rsidR="00037618" w:rsidRPr="00037618" w:rsidP="000311E8" w14:paraId="4DCBFAFE" w14:textId="6BC869E5">
            <w:pPr>
              <w:tabs>
                <w:tab w:val="left" w:pos="360"/>
              </w:tabs>
              <w:autoSpaceDE w:val="0"/>
              <w:autoSpaceDN w:val="0"/>
              <w:adjustRightInd w:val="0"/>
              <w:rPr>
                <w:bCs/>
              </w:rPr>
            </w:pPr>
            <w:r w:rsidRPr="00E216DC">
              <w:rPr>
                <w:bCs/>
              </w:rPr>
              <w:t>Increased adoption of continuous quality improvement practices</w:t>
            </w:r>
          </w:p>
        </w:tc>
        <w:tc>
          <w:tcPr>
            <w:tcW w:w="2785" w:type="dxa"/>
          </w:tcPr>
          <w:p w:rsidR="00037618" w:rsidRPr="000311E8" w:rsidP="000311E8" w14:paraId="2568C196" w14:textId="04180B2B">
            <w:pPr>
              <w:tabs>
                <w:tab w:val="left" w:pos="360"/>
              </w:tabs>
              <w:autoSpaceDE w:val="0"/>
              <w:autoSpaceDN w:val="0"/>
              <w:adjustRightInd w:val="0"/>
              <w:rPr>
                <w:bCs/>
              </w:rPr>
            </w:pPr>
            <w:r>
              <w:rPr>
                <w:bCs/>
              </w:rPr>
              <w:t>D</w:t>
            </w:r>
          </w:p>
        </w:tc>
      </w:tr>
      <w:tr w14:paraId="40D359E6" w14:textId="77777777" w:rsidTr="00B07687">
        <w:tblPrEx>
          <w:tblW w:w="0" w:type="auto"/>
          <w:tblLook w:val="04A0"/>
        </w:tblPrEx>
        <w:tc>
          <w:tcPr>
            <w:tcW w:w="6565" w:type="dxa"/>
          </w:tcPr>
          <w:p w:rsidR="00037618" w:rsidRPr="00037618" w:rsidP="000311E8" w14:paraId="51E0DEC7" w14:textId="7A31FED7">
            <w:pPr>
              <w:tabs>
                <w:tab w:val="left" w:pos="360"/>
              </w:tabs>
              <w:autoSpaceDE w:val="0"/>
              <w:autoSpaceDN w:val="0"/>
              <w:adjustRightInd w:val="0"/>
              <w:rPr>
                <w:bCs/>
              </w:rPr>
            </w:pPr>
            <w:r w:rsidRPr="002E4B2A">
              <w:rPr>
                <w:bCs/>
              </w:rPr>
              <w:t>Increased understanding of ongoing efforts and gaps in jurisdiction to address NOFO priority areas</w:t>
            </w:r>
          </w:p>
        </w:tc>
        <w:tc>
          <w:tcPr>
            <w:tcW w:w="2785" w:type="dxa"/>
          </w:tcPr>
          <w:p w:rsidR="00037618" w:rsidRPr="000311E8" w:rsidP="000311E8" w14:paraId="3ACF6145" w14:textId="29712632">
            <w:pPr>
              <w:tabs>
                <w:tab w:val="left" w:pos="360"/>
              </w:tabs>
              <w:autoSpaceDE w:val="0"/>
              <w:autoSpaceDN w:val="0"/>
              <w:adjustRightInd w:val="0"/>
              <w:rPr>
                <w:bCs/>
              </w:rPr>
            </w:pPr>
            <w:r>
              <w:rPr>
                <w:bCs/>
              </w:rPr>
              <w:t>D</w:t>
            </w:r>
          </w:p>
        </w:tc>
      </w:tr>
      <w:tr w14:paraId="0AFB37F2" w14:textId="77777777" w:rsidTr="00B07687">
        <w:tblPrEx>
          <w:tblW w:w="0" w:type="auto"/>
          <w:tblLook w:val="04A0"/>
        </w:tblPrEx>
        <w:tc>
          <w:tcPr>
            <w:tcW w:w="6565" w:type="dxa"/>
          </w:tcPr>
          <w:p w:rsidR="00037618" w:rsidRPr="00037618" w:rsidP="000311E8" w14:paraId="2BED0C4E" w14:textId="5CB46E4F">
            <w:pPr>
              <w:tabs>
                <w:tab w:val="left" w:pos="360"/>
              </w:tabs>
              <w:autoSpaceDE w:val="0"/>
              <w:autoSpaceDN w:val="0"/>
              <w:adjustRightInd w:val="0"/>
              <w:rPr>
                <w:bCs/>
              </w:rPr>
            </w:pPr>
            <w:r w:rsidRPr="0067584A">
              <w:rPr>
                <w:bCs/>
              </w:rPr>
              <w:t>Increased recipient ability to identify and respond to emerging injury threats</w:t>
            </w:r>
          </w:p>
        </w:tc>
        <w:tc>
          <w:tcPr>
            <w:tcW w:w="2785" w:type="dxa"/>
          </w:tcPr>
          <w:p w:rsidR="00037618" w:rsidRPr="000311E8" w:rsidP="000311E8" w14:paraId="3FFDE9B2" w14:textId="74D32121">
            <w:pPr>
              <w:tabs>
                <w:tab w:val="left" w:pos="360"/>
              </w:tabs>
              <w:autoSpaceDE w:val="0"/>
              <w:autoSpaceDN w:val="0"/>
              <w:adjustRightInd w:val="0"/>
              <w:rPr>
                <w:bCs/>
              </w:rPr>
            </w:pPr>
            <w:r>
              <w:rPr>
                <w:bCs/>
              </w:rPr>
              <w:t>D</w:t>
            </w:r>
          </w:p>
        </w:tc>
      </w:tr>
      <w:tr w14:paraId="0C9B09F7" w14:textId="77777777" w:rsidTr="00B07687">
        <w:tblPrEx>
          <w:tblW w:w="0" w:type="auto"/>
          <w:tblLook w:val="04A0"/>
        </w:tblPrEx>
        <w:tc>
          <w:tcPr>
            <w:tcW w:w="6565" w:type="dxa"/>
          </w:tcPr>
          <w:p w:rsidR="000311E8" w:rsidRPr="000311E8" w:rsidP="000311E8" w14:paraId="7AB3ABE4" w14:textId="202C8246">
            <w:pPr>
              <w:tabs>
                <w:tab w:val="left" w:pos="360"/>
              </w:tabs>
              <w:autoSpaceDE w:val="0"/>
              <w:autoSpaceDN w:val="0"/>
              <w:adjustRightInd w:val="0"/>
              <w:rPr>
                <w:bCs/>
              </w:rPr>
            </w:pPr>
            <w:r w:rsidRPr="00631009">
              <w:rPr>
                <w:bCs/>
              </w:rPr>
              <w:t>Increased recipient capacity to strengthen communities by increasing protective factors for injuries using best available evidence</w:t>
            </w:r>
          </w:p>
        </w:tc>
        <w:tc>
          <w:tcPr>
            <w:tcW w:w="2785" w:type="dxa"/>
          </w:tcPr>
          <w:p w:rsidR="000311E8" w:rsidRPr="000311E8" w:rsidP="000311E8" w14:paraId="59D64828" w14:textId="62AAEE71">
            <w:pPr>
              <w:tabs>
                <w:tab w:val="left" w:pos="360"/>
              </w:tabs>
              <w:autoSpaceDE w:val="0"/>
              <w:autoSpaceDN w:val="0"/>
              <w:adjustRightInd w:val="0"/>
              <w:rPr>
                <w:bCs/>
              </w:rPr>
            </w:pPr>
            <w:r>
              <w:rPr>
                <w:bCs/>
              </w:rPr>
              <w:t>D</w:t>
            </w:r>
          </w:p>
        </w:tc>
      </w:tr>
      <w:tr w14:paraId="15F38F6A" w14:textId="77777777" w:rsidTr="00B07687">
        <w:tblPrEx>
          <w:tblW w:w="0" w:type="auto"/>
          <w:tblLook w:val="04A0"/>
        </w:tblPrEx>
        <w:tc>
          <w:tcPr>
            <w:tcW w:w="6565" w:type="dxa"/>
          </w:tcPr>
          <w:p w:rsidR="000311E8" w:rsidRPr="000311E8" w:rsidP="000311E8" w14:paraId="32D9FDA2" w14:textId="4E150095">
            <w:pPr>
              <w:tabs>
                <w:tab w:val="left" w:pos="360"/>
              </w:tabs>
              <w:autoSpaceDE w:val="0"/>
              <w:autoSpaceDN w:val="0"/>
              <w:adjustRightInd w:val="0"/>
              <w:rPr>
                <w:bCs/>
              </w:rPr>
            </w:pPr>
            <w:r w:rsidRPr="00D16466">
              <w:rPr>
                <w:bCs/>
              </w:rPr>
              <w:t>Increased recipient capacity to strengthen communities by reducing risk factors for injuries using best available evidence</w:t>
            </w:r>
          </w:p>
        </w:tc>
        <w:tc>
          <w:tcPr>
            <w:tcW w:w="2785" w:type="dxa"/>
          </w:tcPr>
          <w:p w:rsidR="000311E8" w:rsidRPr="000311E8" w:rsidP="000311E8" w14:paraId="6FE3EC77" w14:textId="528A3DD7">
            <w:pPr>
              <w:tabs>
                <w:tab w:val="left" w:pos="360"/>
              </w:tabs>
              <w:autoSpaceDE w:val="0"/>
              <w:autoSpaceDN w:val="0"/>
              <w:adjustRightInd w:val="0"/>
              <w:rPr>
                <w:bCs/>
              </w:rPr>
            </w:pPr>
            <w:r>
              <w:rPr>
                <w:bCs/>
              </w:rPr>
              <w:t>D</w:t>
            </w:r>
          </w:p>
        </w:tc>
      </w:tr>
      <w:tr w14:paraId="46FE554B" w14:textId="77777777" w:rsidTr="008D3BFB">
        <w:tblPrEx>
          <w:tblW w:w="0" w:type="auto"/>
          <w:tblLook w:val="04A0"/>
        </w:tblPrEx>
        <w:trPr>
          <w:trHeight w:val="692"/>
        </w:trPr>
        <w:tc>
          <w:tcPr>
            <w:tcW w:w="6565" w:type="dxa"/>
          </w:tcPr>
          <w:p w:rsidR="000311E8" w:rsidRPr="000311E8" w:rsidP="000311E8" w14:paraId="3BD1847D" w14:textId="78145150">
            <w:pPr>
              <w:tabs>
                <w:tab w:val="left" w:pos="360"/>
              </w:tabs>
              <w:autoSpaceDE w:val="0"/>
              <w:autoSpaceDN w:val="0"/>
              <w:adjustRightInd w:val="0"/>
              <w:rPr>
                <w:bCs/>
              </w:rPr>
            </w:pPr>
            <w:r w:rsidRPr="00ED2B92">
              <w:rPr>
                <w:bCs/>
              </w:rPr>
              <w:t xml:space="preserve">Sustain recipient injury prevention public health actions supported by best available evidence  </w:t>
            </w:r>
          </w:p>
        </w:tc>
        <w:tc>
          <w:tcPr>
            <w:tcW w:w="2785" w:type="dxa"/>
          </w:tcPr>
          <w:p w:rsidR="000311E8" w:rsidRPr="000311E8" w:rsidP="000311E8" w14:paraId="6FD484FA" w14:textId="37760AE5">
            <w:pPr>
              <w:tabs>
                <w:tab w:val="left" w:pos="360"/>
              </w:tabs>
              <w:autoSpaceDE w:val="0"/>
              <w:autoSpaceDN w:val="0"/>
              <w:adjustRightInd w:val="0"/>
              <w:rPr>
                <w:bCs/>
              </w:rPr>
            </w:pPr>
            <w:r>
              <w:rPr>
                <w:bCs/>
              </w:rPr>
              <w:t>D</w:t>
            </w:r>
          </w:p>
        </w:tc>
      </w:tr>
      <w:tr w14:paraId="3A3C19E5" w14:textId="77777777" w:rsidTr="00B07687">
        <w:tblPrEx>
          <w:tblW w:w="0" w:type="auto"/>
          <w:tblLook w:val="04A0"/>
        </w:tblPrEx>
        <w:tc>
          <w:tcPr>
            <w:tcW w:w="6565" w:type="dxa"/>
          </w:tcPr>
          <w:p w:rsidR="00ED2B92" w:rsidRPr="00ED2B92" w:rsidP="000311E8" w14:paraId="0CF4B7B4" w14:textId="341980DA">
            <w:pPr>
              <w:tabs>
                <w:tab w:val="left" w:pos="360"/>
              </w:tabs>
              <w:autoSpaceDE w:val="0"/>
              <w:autoSpaceDN w:val="0"/>
              <w:adjustRightInd w:val="0"/>
              <w:rPr>
                <w:bCs/>
              </w:rPr>
            </w:pPr>
            <w:r w:rsidRPr="00277BA8">
              <w:rPr>
                <w:bCs/>
              </w:rPr>
              <w:t>Reduce and sustain injury morbidity and mortality associated with ACEs, Transportation Safety, and TBI</w:t>
            </w:r>
          </w:p>
        </w:tc>
        <w:tc>
          <w:tcPr>
            <w:tcW w:w="2785" w:type="dxa"/>
          </w:tcPr>
          <w:p w:rsidR="00ED2B92" w:rsidRPr="000311E8" w:rsidP="000311E8" w14:paraId="233819A2" w14:textId="468CB714">
            <w:pPr>
              <w:tabs>
                <w:tab w:val="left" w:pos="360"/>
              </w:tabs>
              <w:autoSpaceDE w:val="0"/>
              <w:autoSpaceDN w:val="0"/>
              <w:adjustRightInd w:val="0"/>
              <w:rPr>
                <w:bCs/>
              </w:rPr>
            </w:pPr>
            <w:r>
              <w:rPr>
                <w:bCs/>
              </w:rPr>
              <w:t>D</w:t>
            </w:r>
          </w:p>
        </w:tc>
      </w:tr>
      <w:tr w14:paraId="236F7575" w14:textId="77777777" w:rsidTr="00B07687">
        <w:tblPrEx>
          <w:tblW w:w="0" w:type="auto"/>
          <w:tblLook w:val="04A0"/>
        </w:tblPrEx>
        <w:tc>
          <w:tcPr>
            <w:tcW w:w="6565" w:type="dxa"/>
          </w:tcPr>
          <w:p w:rsidR="00BD44C5" w:rsidRPr="00ED2B92" w:rsidP="000311E8" w14:paraId="3E5164E6" w14:textId="7A370B2F">
            <w:pPr>
              <w:tabs>
                <w:tab w:val="left" w:pos="360"/>
              </w:tabs>
              <w:autoSpaceDE w:val="0"/>
              <w:autoSpaceDN w:val="0"/>
              <w:adjustRightInd w:val="0"/>
              <w:rPr>
                <w:bCs/>
              </w:rPr>
            </w:pPr>
            <w:r w:rsidRPr="00EA5455">
              <w:rPr>
                <w:bCs/>
              </w:rPr>
              <w:t>Reduce and sustain risk factors for ACEs, Transportation Safety, and TBI</w:t>
            </w:r>
          </w:p>
        </w:tc>
        <w:tc>
          <w:tcPr>
            <w:tcW w:w="2785" w:type="dxa"/>
          </w:tcPr>
          <w:p w:rsidR="00BD44C5" w:rsidRPr="000311E8" w:rsidP="000311E8" w14:paraId="5398AE9C" w14:textId="1F584379">
            <w:pPr>
              <w:tabs>
                <w:tab w:val="left" w:pos="360"/>
              </w:tabs>
              <w:autoSpaceDE w:val="0"/>
              <w:autoSpaceDN w:val="0"/>
              <w:adjustRightInd w:val="0"/>
              <w:rPr>
                <w:bCs/>
              </w:rPr>
            </w:pPr>
            <w:r>
              <w:rPr>
                <w:bCs/>
              </w:rPr>
              <w:t>D</w:t>
            </w:r>
          </w:p>
        </w:tc>
      </w:tr>
      <w:tr w14:paraId="2C8791CF" w14:textId="77777777" w:rsidTr="00B07687">
        <w:tblPrEx>
          <w:tblW w:w="0" w:type="auto"/>
          <w:tblLook w:val="04A0"/>
        </w:tblPrEx>
        <w:tc>
          <w:tcPr>
            <w:tcW w:w="6565" w:type="dxa"/>
          </w:tcPr>
          <w:p w:rsidR="000311E8" w:rsidRPr="000311E8" w:rsidP="000311E8" w14:paraId="261AFC6F" w14:textId="1EA660DF">
            <w:pPr>
              <w:tabs>
                <w:tab w:val="left" w:pos="360"/>
              </w:tabs>
              <w:autoSpaceDE w:val="0"/>
              <w:autoSpaceDN w:val="0"/>
              <w:adjustRightInd w:val="0"/>
              <w:rPr>
                <w:bCs/>
              </w:rPr>
            </w:pPr>
            <w:r w:rsidRPr="007644D6">
              <w:rPr>
                <w:bCs/>
              </w:rPr>
              <w:t>Increase and sustain protective factors for ACEs, Transportation Safety, and TBI.</w:t>
            </w:r>
          </w:p>
        </w:tc>
        <w:tc>
          <w:tcPr>
            <w:tcW w:w="2785" w:type="dxa"/>
          </w:tcPr>
          <w:p w:rsidR="000311E8" w:rsidRPr="000311E8" w:rsidP="000311E8" w14:paraId="7452EE29" w14:textId="18213E32">
            <w:pPr>
              <w:tabs>
                <w:tab w:val="left" w:pos="360"/>
              </w:tabs>
              <w:autoSpaceDE w:val="0"/>
              <w:autoSpaceDN w:val="0"/>
              <w:adjustRightInd w:val="0"/>
              <w:rPr>
                <w:bCs/>
              </w:rPr>
            </w:pPr>
            <w:r>
              <w:rPr>
                <w:bCs/>
              </w:rPr>
              <w:t>D</w:t>
            </w:r>
          </w:p>
        </w:tc>
      </w:tr>
    </w:tbl>
    <w:p w:rsidR="000311E8" w:rsidRPr="00691454" w:rsidP="00A24051" w14:paraId="2FEBEDF5" w14:textId="77777777">
      <w:pPr>
        <w:tabs>
          <w:tab w:val="left" w:pos="360"/>
        </w:tabs>
        <w:autoSpaceDE w:val="0"/>
        <w:autoSpaceDN w:val="0"/>
        <w:adjustRightInd w:val="0"/>
      </w:pPr>
    </w:p>
    <w:p w:rsidR="00972DEF" w:rsidRPr="00691454" w:rsidP="00972DEF" w14:paraId="40822326" w14:textId="77777777">
      <w:pPr>
        <w:autoSpaceDE w:val="0"/>
        <w:autoSpaceDN w:val="0"/>
        <w:adjustRightInd w:val="0"/>
      </w:pPr>
    </w:p>
    <w:p w:rsidR="008F71CE" w:rsidP="00972DEF" w14:paraId="47BA09C3" w14:textId="7E51E8F4">
      <w:pPr>
        <w:autoSpaceDE w:val="0"/>
        <w:autoSpaceDN w:val="0"/>
        <w:adjustRightInd w:val="0"/>
        <w:rPr>
          <w:b/>
          <w:bCs/>
        </w:rPr>
      </w:pPr>
      <w:r w:rsidRPr="00691454">
        <w:rPr>
          <w:b/>
          <w:bCs/>
        </w:rPr>
        <w:t xml:space="preserve">A.3. </w:t>
      </w:r>
      <w:r w:rsidRPr="00691454">
        <w:rPr>
          <w:b/>
          <w:bCs/>
        </w:rPr>
        <w:tab/>
        <w:t>Use of Improved Information Technology and Burden Reduction</w:t>
      </w:r>
    </w:p>
    <w:p w:rsidR="00604FBA" w:rsidP="00972DEF" w14:paraId="2762D6F9" w14:textId="15DDCB87">
      <w:pPr>
        <w:autoSpaceDE w:val="0"/>
        <w:autoSpaceDN w:val="0"/>
        <w:adjustRightInd w:val="0"/>
        <w:rPr>
          <w:b/>
          <w:bCs/>
        </w:rPr>
      </w:pPr>
    </w:p>
    <w:p w:rsidR="00306785" w:rsidP="00306785" w14:paraId="2E2E7F71" w14:textId="5811DD51">
      <w:r>
        <w:t>NCIPC has</w:t>
      </w:r>
      <w:r w:rsidRPr="00A93EB5">
        <w:t xml:space="preserve"> developed the </w:t>
      </w:r>
      <w:r>
        <w:t xml:space="preserve">web-based </w:t>
      </w:r>
      <w:r w:rsidR="00902D17">
        <w:t>Partners’ Portal</w:t>
      </w:r>
      <w:r>
        <w:t xml:space="preserve"> Annual Progress Report</w:t>
      </w:r>
      <w:r w:rsidRPr="00A93EB5">
        <w:t xml:space="preserve"> </w:t>
      </w:r>
      <w:r>
        <w:t xml:space="preserve">(Attachment </w:t>
      </w:r>
      <w:r w:rsidR="00247AAF">
        <w:t>D</w:t>
      </w:r>
      <w:r>
        <w:t>)</w:t>
      </w:r>
      <w:r w:rsidRPr="00A93EB5">
        <w:t xml:space="preserve">. </w:t>
      </w:r>
      <w:r>
        <w:t xml:space="preserve">The </w:t>
      </w:r>
      <w:r w:rsidR="00902D17">
        <w:t>Partners’ Portal</w:t>
      </w:r>
      <w:r>
        <w:t xml:space="preserve"> is a user-friendly interface which</w:t>
      </w:r>
      <w:r w:rsidRPr="00A93EB5">
        <w:t xml:space="preserve"> will be </w:t>
      </w:r>
      <w:r>
        <w:t xml:space="preserve">quicker, </w:t>
      </w:r>
      <w:r w:rsidRPr="00A93EB5">
        <w:t>easier</w:t>
      </w:r>
      <w:r>
        <w:t>,</w:t>
      </w:r>
      <w:r w:rsidRPr="00A93EB5">
        <w:t xml:space="preserve"> and more intuitive for </w:t>
      </w:r>
      <w:r w:rsidR="00902D17">
        <w:t>recipients</w:t>
      </w:r>
      <w:r w:rsidRPr="00A93EB5">
        <w:t xml:space="preserve"> to use than </w:t>
      </w:r>
      <w:r>
        <w:t>excel templates or word documents</w:t>
      </w:r>
      <w:r w:rsidRPr="00A93EB5">
        <w:t xml:space="preserve">.  </w:t>
      </w:r>
      <w:r>
        <w:t xml:space="preserve">Use of the </w:t>
      </w:r>
      <w:r w:rsidR="00902D17">
        <w:t>Partners’ Portal</w:t>
      </w:r>
      <w:r w:rsidRPr="00A93EB5">
        <w:t xml:space="preserve"> </w:t>
      </w:r>
      <w:r w:rsidR="000D03CC">
        <w:t>continue to</w:t>
      </w:r>
      <w:r w:rsidRPr="00A93EB5">
        <w:t xml:space="preserve"> require very little training and </w:t>
      </w:r>
      <w:r w:rsidR="00902D17">
        <w:t>recipients</w:t>
      </w:r>
      <w:r w:rsidRPr="00A93EB5">
        <w:t xml:space="preserve"> will use the tools provided to record and update grant information.  </w:t>
      </w:r>
    </w:p>
    <w:p w:rsidR="00306785" w:rsidP="00306785" w14:paraId="48DBEE10" w14:textId="77777777"/>
    <w:p w:rsidR="00306785" w:rsidRPr="00A93EB5" w:rsidP="00306785" w14:paraId="3848B7C0" w14:textId="52C37A36">
      <w:pPr>
        <w:spacing w:after="120"/>
      </w:pPr>
      <w:r w:rsidRPr="00A93EB5">
        <w:t xml:space="preserve">There are significant advantages to collecting information </w:t>
      </w:r>
      <w:r>
        <w:t xml:space="preserve">using the </w:t>
      </w:r>
      <w:r w:rsidR="00902D17">
        <w:t>Partners’ Portal</w:t>
      </w:r>
      <w:r w:rsidRPr="00A93EB5">
        <w:t>:</w:t>
      </w:r>
    </w:p>
    <w:p w:rsidR="00306785" w:rsidRPr="00A93EB5" w:rsidP="00306785" w14:paraId="58BE15B8" w14:textId="1202A853">
      <w:pPr>
        <w:pStyle w:val="ListParagraph"/>
        <w:numPr>
          <w:ilvl w:val="0"/>
          <w:numId w:val="18"/>
        </w:numPr>
        <w:spacing w:after="120"/>
      </w:pPr>
      <w:r w:rsidRPr="00A93EB5">
        <w:t xml:space="preserve">The data structures and business rules will help </w:t>
      </w:r>
      <w:r w:rsidR="00902D17">
        <w:t>recipients</w:t>
      </w:r>
      <w:r w:rsidRPr="00A93EB5">
        <w:t xml:space="preserve"> formulate performance measures that are specific, measurable, achievable, relevant and time-framed (SMART).  This formulation is intended to facilitate successful achievement of performance measures and is integral to CDC’s program evaluation strategy for the program.</w:t>
      </w:r>
    </w:p>
    <w:p w:rsidR="00306785" w:rsidRPr="00A93EB5" w:rsidP="00306785" w14:paraId="0F540CF0" w14:textId="77777777">
      <w:pPr>
        <w:pStyle w:val="ListParagraph"/>
        <w:numPr>
          <w:ilvl w:val="0"/>
          <w:numId w:val="18"/>
        </w:numPr>
        <w:spacing w:after="120"/>
      </w:pPr>
      <w:r w:rsidRPr="00A93EB5">
        <w:t>The information being collected provides crucial information about each awardee’s work plan, activities, partnerships</w:t>
      </w:r>
      <w:r>
        <w:t>, successes, challenges</w:t>
      </w:r>
      <w:r w:rsidRPr="00A93EB5">
        <w:t xml:space="preserve"> and progress over the award period.  </w:t>
      </w:r>
    </w:p>
    <w:p w:rsidR="00306785" w:rsidRPr="00A93EB5" w:rsidP="00306785" w14:paraId="2681058B" w14:textId="61712123">
      <w:pPr>
        <w:pStyle w:val="ListParagraph"/>
        <w:numPr>
          <w:ilvl w:val="0"/>
          <w:numId w:val="18"/>
        </w:numPr>
        <w:spacing w:after="120"/>
      </w:pPr>
      <w:r>
        <w:t xml:space="preserve">The </w:t>
      </w:r>
      <w:r w:rsidR="00902D17">
        <w:t>Partners’ Portal</w:t>
      </w:r>
      <w:r>
        <w:t xml:space="preserve"> contains built in data validation, calculations, and guidance to allow for easy entry, review, and reporting of indicator data. </w:t>
      </w:r>
    </w:p>
    <w:p w:rsidR="00306785" w:rsidP="00306785" w14:paraId="3EBE5B5F" w14:textId="77777777">
      <w:pPr>
        <w:pStyle w:val="ListParagraph"/>
        <w:numPr>
          <w:ilvl w:val="0"/>
          <w:numId w:val="18"/>
        </w:numPr>
        <w:spacing w:after="120"/>
      </w:pPr>
      <w:r w:rsidRPr="00DD1DE7">
        <w:t>Capturing the required information uniformly will allow CDC to formulate ad hoc analyses and reports</w:t>
      </w:r>
      <w:r>
        <w:t xml:space="preserve"> for program evaluation and manuscript development</w:t>
      </w:r>
      <w:r w:rsidRPr="00DD1DE7">
        <w:t>.</w:t>
      </w:r>
    </w:p>
    <w:p w:rsidR="00306785" w:rsidP="00306785" w14:paraId="27C415FE" w14:textId="43E87CF0">
      <w:pPr>
        <w:pStyle w:val="ListParagraph"/>
        <w:numPr>
          <w:ilvl w:val="0"/>
          <w:numId w:val="18"/>
        </w:numPr>
        <w:spacing w:after="120"/>
      </w:pPr>
      <w:r>
        <w:t xml:space="preserve">The relational database structure in which the data are stored allows for CDC to gain immediate access to data for reporting, thereby improving timeliness. In addition, it allows for multiple </w:t>
      </w:r>
      <w:r w:rsidR="00902D17">
        <w:t>recipients</w:t>
      </w:r>
      <w:r>
        <w:t xml:space="preserve"> from each state to simultaneously enter information, which reduces the amount of collective time spent providing updates.</w:t>
      </w:r>
    </w:p>
    <w:p w:rsidR="00F3354D" w:rsidP="00306785" w14:paraId="7DEA2E92" w14:textId="77777777"/>
    <w:p w:rsidR="00306785" w:rsidRPr="00A93EB5" w:rsidP="00306785" w14:paraId="288C79E1" w14:textId="1ADA9390">
      <w:r>
        <w:t>Recipients</w:t>
      </w:r>
      <w:r w:rsidRPr="00595E1B">
        <w:t xml:space="preserve"> </w:t>
      </w:r>
      <w:r>
        <w:t>complete simple information fields in a web-based data entry form</w:t>
      </w:r>
      <w:r w:rsidRPr="00595E1B">
        <w:t xml:space="preserve">, tailored for their specific work plans, and </w:t>
      </w:r>
      <w:r>
        <w:t>submit to</w:t>
      </w:r>
      <w:r w:rsidRPr="00595E1B">
        <w:t xml:space="preserve"> assigned NCIPC staff on an annual basis</w:t>
      </w:r>
      <w:r w:rsidR="00837F9B">
        <w:t xml:space="preserve"> (Attachment D)</w:t>
      </w:r>
      <w:r w:rsidRPr="00595E1B">
        <w:t>.</w:t>
      </w:r>
      <w:r w:rsidRPr="00A93EB5">
        <w:t xml:space="preserve">  </w:t>
      </w:r>
    </w:p>
    <w:p w:rsidR="003F0843" w:rsidRPr="00A93EB5" w:rsidP="00306785" w14:paraId="1903B0F6" w14:textId="77777777"/>
    <w:p w:rsidR="00306785" w:rsidRPr="00A93EB5" w:rsidP="00306785" w14:paraId="37420CCB" w14:textId="7F56BCB7">
      <w:pPr>
        <w:tabs>
          <w:tab w:val="num" w:pos="720"/>
        </w:tabs>
      </w:pPr>
      <w:r>
        <w:t xml:space="preserve">The </w:t>
      </w:r>
      <w:r w:rsidR="00902D17">
        <w:t>Partners’ Portal</w:t>
      </w:r>
      <w:r w:rsidRPr="00A93EB5">
        <w:t xml:space="preserve"> improve</w:t>
      </w:r>
      <w:r>
        <w:t>s</w:t>
      </w:r>
      <w:r w:rsidRPr="00A93EB5">
        <w:t xml:space="preserve"> information quality by minimizing errors and redundancy.  Having all of the information collected in the same place in the same manner will reduce the level of burden attributable to redundancy and reduce the workload to enter and maintain the data.  </w:t>
      </w:r>
      <w:r>
        <w:t>The system is configured to pre</w:t>
      </w:r>
      <w:r w:rsidRPr="00A93EB5">
        <w:t>populate</w:t>
      </w:r>
      <w:r>
        <w:t xml:space="preserve"> </w:t>
      </w:r>
      <w:r w:rsidRPr="00A93EB5">
        <w:t xml:space="preserve">from one year to </w:t>
      </w:r>
      <w:r>
        <w:t>the next</w:t>
      </w:r>
      <w:r w:rsidRPr="00A93EB5">
        <w:t xml:space="preserve">, which minimizes data re-entry, burden, and potential errors. </w:t>
      </w:r>
    </w:p>
    <w:p w:rsidR="00306785" w:rsidRPr="00A93EB5" w:rsidP="00306785" w14:paraId="7BF18C87" w14:textId="77777777">
      <w:pPr>
        <w:tabs>
          <w:tab w:val="num" w:pos="720"/>
        </w:tabs>
      </w:pPr>
    </w:p>
    <w:p w:rsidR="00306785" w:rsidRPr="00A93EB5" w:rsidP="00306785" w14:paraId="7CA90D80" w14:textId="5535B4B5">
      <w:r>
        <w:t>T</w:t>
      </w:r>
      <w:r w:rsidRPr="00A93EB5">
        <w:t xml:space="preserve">he use of a standard set of data elements, definitions and specifications at all levels </w:t>
      </w:r>
      <w:r w:rsidR="00D73081">
        <w:t>continues to</w:t>
      </w:r>
      <w:r w:rsidRPr="00A93EB5" w:rsidR="00D73081">
        <w:t xml:space="preserve"> </w:t>
      </w:r>
      <w:r w:rsidRPr="00A93EB5">
        <w:t xml:space="preserve">help improve the quality and comparability of performance information that is received by CDC for multiple </w:t>
      </w:r>
      <w:r w:rsidR="00902D17">
        <w:t>recipients</w:t>
      </w:r>
      <w:r w:rsidRPr="00A93EB5">
        <w:t xml:space="preserve"> and multiple award types.  Further, standardization enhance</w:t>
      </w:r>
      <w:r w:rsidR="00D73081">
        <w:t>s</w:t>
      </w:r>
      <w:r w:rsidRPr="00A93EB5">
        <w:t xml:space="preserve"> the consistency of </w:t>
      </w:r>
      <w:r>
        <w:t xml:space="preserve">work </w:t>
      </w:r>
      <w:r w:rsidRPr="00A93EB5">
        <w:t>plans and reports, enable</w:t>
      </w:r>
      <w:r w:rsidR="00566540">
        <w:t>s</w:t>
      </w:r>
      <w:r w:rsidRPr="00A93EB5">
        <w:t xml:space="preserve"> examination of cross-program performance and strategies, and facilitate</w:t>
      </w:r>
      <w:r w:rsidR="00566540">
        <w:t>s</w:t>
      </w:r>
      <w:r w:rsidRPr="00A93EB5">
        <w:t xml:space="preserve"> a higher degree of reliability by ensuring that the same information is collected on all strategies and performance measures with slightly different areas of emphasis</w:t>
      </w:r>
      <w:r>
        <w:t xml:space="preserve">. </w:t>
      </w:r>
      <w:r w:rsidRPr="00A93EB5">
        <w:t xml:space="preserve">Finally, the report generation capabilities of the </w:t>
      </w:r>
      <w:r w:rsidR="00902D17">
        <w:t>Partners’ Portal</w:t>
      </w:r>
      <w:r w:rsidRPr="00A93EB5">
        <w:t xml:space="preserve"> reduce</w:t>
      </w:r>
      <w:r w:rsidR="00566540">
        <w:t>s</w:t>
      </w:r>
      <w:r w:rsidRPr="00A93EB5">
        <w:t xml:space="preserve"> the respondent burden associated with </w:t>
      </w:r>
      <w:r w:rsidR="00E53EEA">
        <w:t xml:space="preserve">Excel- and Word-based </w:t>
      </w:r>
      <w:r w:rsidRPr="00A93EB5">
        <w:t xml:space="preserve">reports.  Without </w:t>
      </w:r>
      <w:r w:rsidR="00E53EEA">
        <w:t>this</w:t>
      </w:r>
      <w:r w:rsidRPr="00A93EB5">
        <w:t xml:space="preserve"> integrated </w:t>
      </w:r>
      <w:r w:rsidR="00E53EEA">
        <w:t xml:space="preserve">web-based </w:t>
      </w:r>
      <w:r w:rsidRPr="00A93EB5">
        <w:t xml:space="preserve">approach to information collection and reporting, </w:t>
      </w:r>
      <w:r w:rsidR="00902D17">
        <w:t>recipients</w:t>
      </w:r>
      <w:r w:rsidRPr="00A93EB5">
        <w:t xml:space="preserve"> and CDC would need to continue to use </w:t>
      </w:r>
      <w:r w:rsidRPr="00A93EB5" w:rsidR="00566540">
        <w:t>time-consuming, labor-intensive</w:t>
      </w:r>
      <w:r w:rsidRPr="00A93EB5">
        <w:t xml:space="preserve"> procedures for information collection and reporting.</w:t>
      </w:r>
    </w:p>
    <w:p w:rsidR="008F71CE" w:rsidRPr="008F71CE" w:rsidP="00972DEF" w14:paraId="0250874F" w14:textId="43D3B7F8">
      <w:pPr>
        <w:autoSpaceDE w:val="0"/>
        <w:autoSpaceDN w:val="0"/>
        <w:adjustRightInd w:val="0"/>
      </w:pPr>
    </w:p>
    <w:p w:rsidR="00972DEF" w:rsidRPr="00691454" w:rsidP="00972DEF" w14:paraId="40822328" w14:textId="77777777"/>
    <w:p w:rsidR="00972DEF" w:rsidP="00972DEF" w14:paraId="40822329" w14:textId="13A72B50">
      <w:pPr>
        <w:autoSpaceDE w:val="0"/>
        <w:autoSpaceDN w:val="0"/>
        <w:adjustRightInd w:val="0"/>
        <w:rPr>
          <w:b/>
          <w:bCs/>
        </w:rPr>
      </w:pPr>
      <w:r w:rsidRPr="00691454">
        <w:rPr>
          <w:b/>
          <w:bCs/>
        </w:rPr>
        <w:t xml:space="preserve">A.4. </w:t>
      </w:r>
      <w:r w:rsidRPr="00691454">
        <w:rPr>
          <w:b/>
          <w:bCs/>
        </w:rPr>
        <w:tab/>
        <w:t>Efforts to Identify Duplication and Use of Similar Information</w:t>
      </w:r>
    </w:p>
    <w:p w:rsidR="008F71CE" w:rsidP="00972DEF" w14:paraId="0F355815" w14:textId="77777777">
      <w:pPr>
        <w:autoSpaceDE w:val="0"/>
        <w:autoSpaceDN w:val="0"/>
        <w:adjustRightInd w:val="0"/>
        <w:rPr>
          <w:b/>
          <w:bCs/>
        </w:rPr>
      </w:pPr>
    </w:p>
    <w:p w:rsidR="008F71CE" w:rsidRPr="008F71CE" w:rsidP="00972DEF" w14:paraId="3A1F8301" w14:textId="32481CE0">
      <w:pPr>
        <w:autoSpaceDE w:val="0"/>
        <w:autoSpaceDN w:val="0"/>
        <w:adjustRightInd w:val="0"/>
      </w:pPr>
      <w:r>
        <w:t>Since CDC is the only federal agency providing funding for “Core State Injury Prevention Program,” t</w:t>
      </w:r>
      <w:r w:rsidRPr="008F71CE" w:rsidR="00790C0B">
        <w:t xml:space="preserve">he information collected from </w:t>
      </w:r>
      <w:r w:rsidR="009744A7">
        <w:t>recipients</w:t>
      </w:r>
      <w:r w:rsidRPr="008F71CE" w:rsidR="009744A7">
        <w:t xml:space="preserve"> </w:t>
      </w:r>
      <w:r w:rsidRPr="008F71CE" w:rsidR="00790C0B">
        <w:t xml:space="preserve">is not available from other sources.  </w:t>
      </w:r>
      <w:r w:rsidRPr="008F71CE">
        <w:t xml:space="preserve">The collection of this information is part of a federal reporting requirement for funds received by </w:t>
      </w:r>
      <w:r w:rsidR="005A1DB5">
        <w:t>recipients</w:t>
      </w:r>
      <w:r w:rsidRPr="008F71CE">
        <w:t xml:space="preserve">. </w:t>
      </w:r>
      <w:r>
        <w:t xml:space="preserve">. Information collected under </w:t>
      </w:r>
      <w:r w:rsidR="003B1B52">
        <w:t>“Program Evaluation of CDC’s Core State Injury Prevention Program (</w:t>
      </w:r>
      <w:r>
        <w:t>OMB# 0920-1365</w:t>
      </w:r>
      <w:r w:rsidR="00351E4F">
        <w:t>)</w:t>
      </w:r>
      <w:r>
        <w:t xml:space="preserve"> provides crucial data for program evaluation only .</w:t>
      </w:r>
    </w:p>
    <w:p w:rsidR="00972DEF" w:rsidRPr="00691454" w:rsidP="00972DEF" w14:paraId="4082232A" w14:textId="77777777">
      <w:pPr>
        <w:autoSpaceDE w:val="0"/>
        <w:autoSpaceDN w:val="0"/>
        <w:adjustRightInd w:val="0"/>
      </w:pPr>
    </w:p>
    <w:p w:rsidR="00972DEF" w:rsidP="00972DEF" w14:paraId="4082232B" w14:textId="637CDBB4">
      <w:pPr>
        <w:autoSpaceDE w:val="0"/>
        <w:autoSpaceDN w:val="0"/>
        <w:adjustRightInd w:val="0"/>
        <w:rPr>
          <w:b/>
          <w:bCs/>
        </w:rPr>
      </w:pPr>
      <w:r w:rsidRPr="00691454">
        <w:rPr>
          <w:b/>
          <w:bCs/>
        </w:rPr>
        <w:t xml:space="preserve">A.5. </w:t>
      </w:r>
      <w:r w:rsidRPr="00691454">
        <w:rPr>
          <w:b/>
          <w:bCs/>
        </w:rPr>
        <w:tab/>
        <w:t xml:space="preserve">Impact on Small Businesses or Other Small Entities </w:t>
      </w:r>
    </w:p>
    <w:p w:rsidR="008F71CE" w:rsidRPr="00691454" w:rsidP="00972DEF" w14:paraId="48057004" w14:textId="77777777">
      <w:pPr>
        <w:autoSpaceDE w:val="0"/>
        <w:autoSpaceDN w:val="0"/>
        <w:adjustRightInd w:val="0"/>
        <w:rPr>
          <w:b/>
          <w:bCs/>
        </w:rPr>
      </w:pPr>
    </w:p>
    <w:p w:rsidR="00972DEF" w:rsidRPr="008F71CE" w:rsidP="00972DEF" w14:paraId="4082232C" w14:textId="243AA4BF">
      <w:pPr>
        <w:autoSpaceDE w:val="0"/>
        <w:autoSpaceDN w:val="0"/>
        <w:adjustRightInd w:val="0"/>
      </w:pPr>
      <w:r w:rsidRPr="008F71CE">
        <w:t>No small businesses will be involved in this data collection.</w:t>
      </w:r>
    </w:p>
    <w:p w:rsidR="008F71CE" w:rsidP="00972DEF" w14:paraId="17BAAC6E" w14:textId="77777777">
      <w:pPr>
        <w:autoSpaceDE w:val="0"/>
        <w:autoSpaceDN w:val="0"/>
        <w:adjustRightInd w:val="0"/>
        <w:rPr>
          <w:b/>
          <w:bCs/>
        </w:rPr>
      </w:pPr>
    </w:p>
    <w:p w:rsidR="00972DEF" w:rsidRPr="00691454" w:rsidP="00972DEF" w14:paraId="4082232F" w14:textId="47155069">
      <w:pPr>
        <w:autoSpaceDE w:val="0"/>
        <w:autoSpaceDN w:val="0"/>
        <w:adjustRightInd w:val="0"/>
        <w:rPr>
          <w:b/>
          <w:bCs/>
        </w:rPr>
      </w:pPr>
      <w:r w:rsidRPr="00691454">
        <w:rPr>
          <w:b/>
          <w:bCs/>
        </w:rPr>
        <w:t xml:space="preserve">A.6. </w:t>
      </w:r>
      <w:r w:rsidRPr="00691454">
        <w:rPr>
          <w:b/>
          <w:bCs/>
        </w:rPr>
        <w:tab/>
        <w:t xml:space="preserve">Consequences of Collecting the Information Less Frequently </w:t>
      </w:r>
    </w:p>
    <w:p w:rsidR="00972DEF" w:rsidP="00972DEF" w14:paraId="40822330" w14:textId="58D64B09">
      <w:pPr>
        <w:autoSpaceDE w:val="0"/>
        <w:autoSpaceDN w:val="0"/>
        <w:adjustRightInd w:val="0"/>
      </w:pPr>
    </w:p>
    <w:p w:rsidR="008F71CE" w:rsidRPr="008F71CE" w:rsidP="008F71CE" w14:paraId="74F59325" w14:textId="0C611326">
      <w:pPr>
        <w:autoSpaceDE w:val="0"/>
        <w:autoSpaceDN w:val="0"/>
        <w:adjustRightInd w:val="0"/>
      </w:pPr>
      <w:r>
        <w:t>Data</w:t>
      </w:r>
      <w:r w:rsidRPr="008F71CE">
        <w:t xml:space="preserve"> </w:t>
      </w:r>
      <w:r w:rsidR="008D1940">
        <w:t xml:space="preserve">reported in the </w:t>
      </w:r>
      <w:r w:rsidR="00902D17">
        <w:t>Partners’ Portal</w:t>
      </w:r>
      <w:r w:rsidR="008D1940">
        <w:t xml:space="preserve"> </w:t>
      </w:r>
      <w:r w:rsidR="00D74BB5">
        <w:t>was and is</w:t>
      </w:r>
      <w:r w:rsidRPr="008F71CE">
        <w:t xml:space="preserve"> collected annually. </w:t>
      </w:r>
      <w:r w:rsidR="00A43983">
        <w:t xml:space="preserve">Data will be collected in alignment </w:t>
      </w:r>
      <w:r w:rsidRPr="00434F8A" w:rsidR="00A43983">
        <w:t xml:space="preserve">with </w:t>
      </w:r>
      <w:r w:rsidRPr="00434F8A">
        <w:t>annual progress report</w:t>
      </w:r>
      <w:r w:rsidRPr="00434F8A" w:rsidR="00A43983">
        <w:t>ing re</w:t>
      </w:r>
      <w:r w:rsidRPr="00434F8A" w:rsidR="00434F8A">
        <w:t>quirements which are</w:t>
      </w:r>
      <w:r w:rsidRPr="00434F8A">
        <w:t xml:space="preserve"> due 120 days before the end of the budget period and serves as a non-competing continuation application. </w:t>
      </w:r>
      <w:r w:rsidRPr="00A02B97">
        <w:t>Less frequent reporting would undermine accountability efforts at all levels and negatively impact monitoring awardee progress. The annual reporting schedule ensures that</w:t>
      </w:r>
      <w:r w:rsidRPr="008F71CE">
        <w:t xml:space="preserve"> CDC respon</w:t>
      </w:r>
      <w:r w:rsidR="00E53EEA">
        <w:t>d</w:t>
      </w:r>
      <w:r w:rsidRPr="008F71CE">
        <w:t>s to inquiries from HHS, the White House, Congress and other stakeholders are based on timely and up-to-date information</w:t>
      </w:r>
      <w:r w:rsidR="009744A7">
        <w:t>.</w:t>
      </w:r>
    </w:p>
    <w:p w:rsidR="008F71CE" w:rsidRPr="00691454" w:rsidP="00972DEF" w14:paraId="30096F0A" w14:textId="77777777">
      <w:pPr>
        <w:autoSpaceDE w:val="0"/>
        <w:autoSpaceDN w:val="0"/>
        <w:adjustRightInd w:val="0"/>
      </w:pPr>
    </w:p>
    <w:p w:rsidR="00972DEF" w:rsidRPr="00691454" w:rsidP="00972DEF" w14:paraId="40822331" w14:textId="77777777">
      <w:pPr>
        <w:autoSpaceDE w:val="0"/>
        <w:autoSpaceDN w:val="0"/>
        <w:adjustRightInd w:val="0"/>
      </w:pPr>
      <w:r w:rsidRPr="00691454">
        <w:rPr>
          <w:b/>
          <w:bCs/>
        </w:rPr>
        <w:t xml:space="preserve">A.7. </w:t>
      </w:r>
      <w:r w:rsidRPr="00691454">
        <w:rPr>
          <w:b/>
          <w:bCs/>
        </w:rPr>
        <w:tab/>
        <w:t>Special Circumstances Relating to the Guidelines of 5 CFR 1320.5</w:t>
      </w:r>
    </w:p>
    <w:p w:rsidR="00972DEF" w:rsidRPr="00691454" w:rsidP="00972DEF" w14:paraId="40822332" w14:textId="77777777">
      <w:pPr>
        <w:autoSpaceDE w:val="0"/>
        <w:autoSpaceDN w:val="0"/>
        <w:adjustRightInd w:val="0"/>
      </w:pPr>
    </w:p>
    <w:p w:rsidR="00972DEF" w:rsidRPr="00691454" w:rsidP="00972DEF" w14:paraId="40822333" w14:textId="77777777">
      <w:pPr>
        <w:pStyle w:val="SL-FlLftSgl"/>
      </w:pPr>
      <w:r w:rsidRPr="00691454">
        <w:t xml:space="preserve">The request fully complies with the regulation 5 CFR 1320.5. </w:t>
      </w:r>
    </w:p>
    <w:p w:rsidR="00972DEF" w:rsidRPr="00691454" w:rsidP="00972DEF" w14:paraId="40822334" w14:textId="77777777">
      <w:pPr>
        <w:autoSpaceDE w:val="0"/>
        <w:autoSpaceDN w:val="0"/>
        <w:adjustRightInd w:val="0"/>
      </w:pPr>
    </w:p>
    <w:p w:rsidR="00972DEF" w:rsidRPr="00691454" w:rsidP="00972DEF" w14:paraId="40822335" w14:textId="77777777">
      <w:pPr>
        <w:autoSpaceDE w:val="0"/>
        <w:autoSpaceDN w:val="0"/>
        <w:adjustRightInd w:val="0"/>
        <w:rPr>
          <w:b/>
          <w:bCs/>
        </w:rPr>
      </w:pPr>
      <w:r w:rsidRPr="00691454">
        <w:rPr>
          <w:b/>
          <w:bCs/>
        </w:rPr>
        <w:t xml:space="preserve">A.8. </w:t>
      </w:r>
      <w:r w:rsidRPr="00691454">
        <w:rPr>
          <w:b/>
          <w:bCs/>
        </w:rPr>
        <w:tab/>
        <w:t xml:space="preserve">Comments in Response to the Federal Register Notice and Efforts to Consult </w:t>
      </w:r>
      <w:r w:rsidRPr="00691454">
        <w:rPr>
          <w:b/>
          <w:bCs/>
        </w:rPr>
        <w:tab/>
      </w:r>
      <w:r w:rsidRPr="00691454">
        <w:rPr>
          <w:b/>
          <w:bCs/>
        </w:rPr>
        <w:tab/>
      </w:r>
      <w:r w:rsidRPr="00691454">
        <w:rPr>
          <w:b/>
          <w:bCs/>
        </w:rPr>
        <w:tab/>
        <w:t xml:space="preserve">Outside the Agency </w:t>
      </w:r>
    </w:p>
    <w:p w:rsidR="00972DEF" w:rsidRPr="00691454" w:rsidP="00972DEF" w14:paraId="40822336" w14:textId="77777777">
      <w:pPr>
        <w:autoSpaceDE w:val="0"/>
        <w:autoSpaceDN w:val="0"/>
        <w:adjustRightInd w:val="0"/>
      </w:pPr>
    </w:p>
    <w:p w:rsidR="00405CC1" w:rsidP="00972DEF" w14:paraId="40822337" w14:textId="77777777">
      <w:pPr>
        <w:rPr>
          <w:noProof/>
        </w:rPr>
      </w:pPr>
      <w:r w:rsidRPr="00691454">
        <w:rPr>
          <w:b/>
        </w:rPr>
        <w:t>A.8.a)</w:t>
      </w:r>
      <w:r w:rsidRPr="00691454">
        <w:tab/>
      </w:r>
      <w:r w:rsidRPr="00691454" w:rsidR="0049057C">
        <w:rPr>
          <w:noProof/>
        </w:rPr>
        <w:t>Federal Register Notice</w:t>
      </w:r>
    </w:p>
    <w:p w:rsidR="00B60530" w:rsidP="00B60530" w14:paraId="311A436D" w14:textId="750655FD">
      <w:pPr>
        <w:rPr>
          <w:sz w:val="22"/>
          <w:szCs w:val="22"/>
        </w:rPr>
      </w:pPr>
      <w:r w:rsidRPr="00616D20">
        <w:t xml:space="preserve">A 60-day Federal Register Notice was published in the Federal Register on </w:t>
      </w:r>
      <w:r w:rsidR="00D74BB5">
        <w:t>December 3, 2024</w:t>
      </w:r>
      <w:r w:rsidRPr="00616D20">
        <w:t xml:space="preserve">, </w:t>
      </w:r>
      <w:r w:rsidRPr="00BC62C7">
        <w:t xml:space="preserve">vol. </w:t>
      </w:r>
      <w:r w:rsidR="00F12C1F">
        <w:t>89</w:t>
      </w:r>
      <w:r w:rsidRPr="00BC62C7">
        <w:t xml:space="preserve"> No. </w:t>
      </w:r>
      <w:r w:rsidR="00F12C1F">
        <w:t>232</w:t>
      </w:r>
      <w:r w:rsidRPr="00BC62C7">
        <w:t>, pp.</w:t>
      </w:r>
      <w:r w:rsidR="00F12C1F">
        <w:t>95794-</w:t>
      </w:r>
      <w:r w:rsidR="00420EC9">
        <w:t>5</w:t>
      </w:r>
      <w:r w:rsidRPr="00BC62C7" w:rsidR="00420EC9">
        <w:t xml:space="preserve"> </w:t>
      </w:r>
      <w:r w:rsidRPr="00616D20" w:rsidR="00420EC9">
        <w:t>(</w:t>
      </w:r>
      <w:r w:rsidRPr="00616D20">
        <w:t>Attachment B). There w</w:t>
      </w:r>
      <w:r>
        <w:t>as one non-substantive public</w:t>
      </w:r>
      <w:r w:rsidRPr="00616D20">
        <w:t xml:space="preserve"> comment to the </w:t>
      </w:r>
      <w:r w:rsidR="003F647A">
        <w:t>60-day Federal Register Notice</w:t>
      </w:r>
      <w:r w:rsidR="00420EC9">
        <w:t xml:space="preserve"> (Attachment B1)</w:t>
      </w:r>
      <w:r w:rsidR="005F4C13">
        <w:t xml:space="preserve">. </w:t>
      </w:r>
      <w:r w:rsidR="005F4C13">
        <w:t>No changes were made to the supporting statement or data collection instruments.</w:t>
      </w:r>
    </w:p>
    <w:p w:rsidR="00405CC1" w:rsidRPr="00691454" w:rsidP="00972DEF" w14:paraId="40822339" w14:textId="77777777"/>
    <w:p w:rsidR="00972DEF" w:rsidRPr="00D54865" w:rsidP="00972DEF" w14:paraId="4082233A" w14:textId="77777777">
      <w:pPr>
        <w:rPr>
          <w:b/>
        </w:rPr>
      </w:pPr>
      <w:r w:rsidRPr="00691454">
        <w:rPr>
          <w:b/>
        </w:rPr>
        <w:t>A.8.b)</w:t>
      </w:r>
      <w:r w:rsidRPr="00D54865">
        <w:rPr>
          <w:b/>
        </w:rPr>
        <w:t xml:space="preserve"> </w:t>
      </w:r>
      <w:r w:rsidRPr="00D54865" w:rsidR="0049057C">
        <w:rPr>
          <w:b/>
        </w:rPr>
        <w:t>Efforts to Consult Outside the Agency</w:t>
      </w:r>
    </w:p>
    <w:p w:rsidR="00D54865" w:rsidP="00972DEF" w14:paraId="601366F0" w14:textId="77777777">
      <w:pPr>
        <w:rPr>
          <w:noProof/>
        </w:rPr>
      </w:pPr>
    </w:p>
    <w:p w:rsidR="006C408F" w:rsidP="00045AFB" w14:paraId="2E6A8EFB" w14:textId="46AE3A8C">
      <w:pPr>
        <w:rPr>
          <w:noProof/>
        </w:rPr>
      </w:pPr>
      <w:r>
        <w:rPr>
          <w:noProof/>
        </w:rPr>
        <w:t xml:space="preserve">The </w:t>
      </w:r>
      <w:r w:rsidR="00902D17">
        <w:rPr>
          <w:noProof/>
        </w:rPr>
        <w:t>Partners’ Portal</w:t>
      </w:r>
      <w:r>
        <w:rPr>
          <w:noProof/>
        </w:rPr>
        <w:t xml:space="preserve"> was designed collaboratively by CDC staff and selected contractors. Consultation will continue throughout the implementation process.  </w:t>
      </w:r>
      <w:r w:rsidR="00045AFB">
        <w:rPr>
          <w:noProof/>
        </w:rPr>
        <w:t xml:space="preserve">The </w:t>
      </w:r>
      <w:r w:rsidR="00902D17">
        <w:rPr>
          <w:noProof/>
        </w:rPr>
        <w:t>Partners’ Portal</w:t>
      </w:r>
      <w:r w:rsidR="00045AFB">
        <w:rPr>
          <w:noProof/>
        </w:rPr>
        <w:t xml:space="preserve"> is an existing tool currently used for performance monitoring across multiple NCIPC programs. Ongoing quality assurance practices include seeking partner feedback (both internally and externally) on </w:t>
      </w:r>
      <w:r w:rsidR="00902D17">
        <w:rPr>
          <w:noProof/>
        </w:rPr>
        <w:t>Partners’ Portal</w:t>
      </w:r>
      <w:r w:rsidR="00045AFB">
        <w:rPr>
          <w:noProof/>
        </w:rPr>
        <w:t xml:space="preserve"> ease of use. </w:t>
      </w:r>
    </w:p>
    <w:p w:rsidR="00FE41B7" w:rsidP="00C45252" w14:paraId="4082233B" w14:textId="77777777">
      <w:pPr>
        <w:rPr>
          <w:b/>
          <w:bCs/>
        </w:rPr>
      </w:pPr>
    </w:p>
    <w:p w:rsidR="00972DEF" w:rsidP="00C45252" w14:paraId="4082233C" w14:textId="23639783">
      <w:pPr>
        <w:rPr>
          <w:b/>
          <w:bCs/>
        </w:rPr>
      </w:pPr>
      <w:r w:rsidRPr="00691454">
        <w:rPr>
          <w:b/>
          <w:bCs/>
        </w:rPr>
        <w:t xml:space="preserve">A.9. </w:t>
      </w:r>
      <w:r w:rsidRPr="00691454">
        <w:rPr>
          <w:b/>
          <w:bCs/>
        </w:rPr>
        <w:tab/>
        <w:t xml:space="preserve">Explanation of Any Payment or Gift to Respondents </w:t>
      </w:r>
    </w:p>
    <w:p w:rsidR="00E51BF2" w:rsidRPr="00691454" w:rsidP="00C45252" w14:paraId="3EB84712" w14:textId="77777777">
      <w:pPr>
        <w:rPr>
          <w:b/>
          <w:bCs/>
        </w:rPr>
      </w:pPr>
    </w:p>
    <w:p w:rsidR="00E51BF2" w:rsidRPr="00E51BF2" w:rsidP="00E51BF2" w14:paraId="1C5C9EA5" w14:textId="77777777">
      <w:pPr>
        <w:autoSpaceDE w:val="0"/>
        <w:autoSpaceDN w:val="0"/>
        <w:adjustRightInd w:val="0"/>
      </w:pPr>
      <w:r w:rsidRPr="00E51BF2">
        <w:t xml:space="preserve">Respondents will not receive payments or gifts for providing information.  </w:t>
      </w:r>
    </w:p>
    <w:p w:rsidR="00972DEF" w:rsidRPr="00691454" w:rsidP="00972DEF" w14:paraId="4082233D" w14:textId="77777777">
      <w:pPr>
        <w:autoSpaceDE w:val="0"/>
        <w:autoSpaceDN w:val="0"/>
        <w:adjustRightInd w:val="0"/>
        <w:rPr>
          <w:b/>
          <w:bCs/>
        </w:rPr>
      </w:pPr>
    </w:p>
    <w:p w:rsidR="008A1A86" w:rsidRPr="00691454" w:rsidP="00053C31" w14:paraId="4082233F" w14:textId="38CFDF0C">
      <w:pPr>
        <w:autoSpaceDE w:val="0"/>
        <w:autoSpaceDN w:val="0"/>
        <w:adjustRightInd w:val="0"/>
      </w:pPr>
      <w:r w:rsidRPr="00691454">
        <w:rPr>
          <w:b/>
          <w:bCs/>
        </w:rPr>
        <w:t xml:space="preserve">A.10. </w:t>
      </w:r>
      <w:r w:rsidRPr="00691454">
        <w:rPr>
          <w:b/>
          <w:bCs/>
        </w:rPr>
        <w:tab/>
      </w:r>
      <w:r w:rsidRPr="00053C31" w:rsidR="00053C31">
        <w:rPr>
          <w:b/>
          <w:bCs/>
        </w:rPr>
        <w:t xml:space="preserve">Protection of the   Privacy    and   Confidentiality   of   Information Provided </w:t>
      </w:r>
      <w:r w:rsidRPr="00053C31" w:rsidR="003F0843">
        <w:rPr>
          <w:b/>
          <w:bCs/>
        </w:rPr>
        <w:t>by Respondents</w:t>
      </w:r>
    </w:p>
    <w:p w:rsidR="00972DEF" w:rsidP="00972DEF" w14:paraId="40822340" w14:textId="77777777"/>
    <w:p w:rsidR="00E51BF2" w:rsidRPr="00E51BF2" w:rsidP="00E51BF2" w14:paraId="4A29674A" w14:textId="71BEBF14">
      <w:r>
        <w:t>The CDC Office of the Chief Information Officer has determined that the Privacy Act does not apply to this information collection request (Attachment E).</w:t>
      </w:r>
      <w:r w:rsidRPr="00E51BF2">
        <w:t xml:space="preserve"> Respondents are cooperative agreement </w:t>
      </w:r>
      <w:r w:rsidR="00902D17">
        <w:t>recipients</w:t>
      </w:r>
      <w:r w:rsidRPr="00E51BF2">
        <w:t xml:space="preserve">.  No personal contact information will be collected.  All data will be reported in aggregate form, with no identifying information included.  Because data are maintained in a secure, password protected system, and information will be reported in aggregate form, there is no impact on respondent privacy. Key program staff will provide information related to programmatic improvement and they will be notified that their responses on the electronic information system will be treated in a secure manner. Staff identifiers will not be used in any progress reports. The information collection does not require consent from individuals. All procedures have been developed, in accordance with federal, state, and local guidelines, to ensure that the rights and privacy of key </w:t>
      </w:r>
      <w:r w:rsidR="00902D17">
        <w:t>recipients</w:t>
      </w:r>
      <w:r w:rsidRPr="00E51BF2">
        <w:t xml:space="preserve">’ program staff (e.g. program director) will be protected and maintained. </w:t>
      </w:r>
    </w:p>
    <w:p w:rsidR="00E51BF2" w:rsidRPr="00E51BF2" w:rsidP="00E51BF2" w14:paraId="316C4EAF" w14:textId="77777777"/>
    <w:p w:rsidR="00E51BF2" w:rsidRPr="00E51BF2" w:rsidP="00E51BF2" w14:paraId="23137062" w14:textId="39E995DD">
      <w:r w:rsidRPr="00E51BF2">
        <w:t xml:space="preserve">While consent is not required to report aggregate data, awardee approval will be obtained if specific state data is used for publications, reports, or other publicly disseminated information. Respondents are state governmental agencies. Although contact information is obtained for each awardee, the contact person provides information about the organization, not personal information.  No system of records will be created under the Privacy Act. Submission and access to state data will be controlled by a password-protected login to the secure </w:t>
      </w:r>
      <w:r w:rsidR="00902D17">
        <w:t>Partners’ Portal</w:t>
      </w:r>
      <w:r w:rsidRPr="00E51BF2">
        <w:t xml:space="preserve">. Access levels vary from read-only to read-write, based on the user’s role and needs. CDC staff, and evaluation contractors will have varying levels of access to the system with role-appropriate security training, based on the requirements of their position(s).  Aggregated information will be stored on an internal CDC Access server subject to CDC’s information security guidelines.  </w:t>
      </w:r>
    </w:p>
    <w:p w:rsidR="007503A7" w:rsidRPr="00691454" w:rsidP="00972DEF" w14:paraId="40822342" w14:textId="77777777"/>
    <w:p w:rsidR="00972DEF" w:rsidP="00972DEF" w14:paraId="40822343" w14:textId="69DBF8B3">
      <w:pPr>
        <w:rPr>
          <w:b/>
          <w:bCs/>
        </w:rPr>
      </w:pPr>
      <w:r w:rsidRPr="00691454">
        <w:rPr>
          <w:b/>
          <w:bCs/>
        </w:rPr>
        <w:t>A.11.</w:t>
      </w:r>
      <w:r w:rsidRPr="00691454">
        <w:rPr>
          <w:b/>
          <w:bCs/>
        </w:rPr>
        <w:tab/>
      </w:r>
      <w:r w:rsidRPr="00CA5DC1" w:rsidR="00CA5DC1">
        <w:rPr>
          <w:b/>
          <w:bCs/>
        </w:rPr>
        <w:t>Institutional Review Board (IRB) and Justification for Sensitive Questions</w:t>
      </w:r>
      <w:r w:rsidRPr="00691454">
        <w:rPr>
          <w:b/>
          <w:bCs/>
        </w:rPr>
        <w:tab/>
      </w:r>
    </w:p>
    <w:p w:rsidR="0073187D" w:rsidP="00972DEF" w14:paraId="40822344" w14:textId="77777777">
      <w:pPr>
        <w:rPr>
          <w:b/>
          <w:bCs/>
        </w:rPr>
      </w:pPr>
    </w:p>
    <w:p w:rsidR="0073187D" w:rsidRPr="00691454" w:rsidP="0073187D" w14:paraId="40822345" w14:textId="77777777">
      <w:pPr>
        <w:rPr>
          <w:b/>
        </w:rPr>
      </w:pPr>
      <w:r w:rsidRPr="00691454">
        <w:rPr>
          <w:b/>
        </w:rPr>
        <w:t>IRB Approval</w:t>
      </w:r>
    </w:p>
    <w:p w:rsidR="0073187D" w:rsidP="00972DEF" w14:paraId="40822347" w14:textId="2F0DAB3B"/>
    <w:p w:rsidR="00E51BF2" w:rsidRPr="00E51BF2" w:rsidP="00E51BF2" w14:paraId="070E41C4" w14:textId="13B39B58">
      <w:r w:rsidRPr="00E51BF2">
        <w:t>The CDC National Center for Injury Prevention and Control’s OMB and human subject’s liaison has determined that IRB approval is not needed. No personal information will be collected</w:t>
      </w:r>
      <w:r w:rsidRPr="00E51BF2" w:rsidR="00212B38">
        <w:t>,</w:t>
      </w:r>
      <w:r w:rsidRPr="00E51BF2">
        <w:t xml:space="preserve"> and human participants will not be used</w:t>
      </w:r>
      <w:r w:rsidR="00424176">
        <w:t xml:space="preserve"> (Attachment C)</w:t>
      </w:r>
      <w:r w:rsidR="00C83043">
        <w:t>.</w:t>
      </w:r>
    </w:p>
    <w:p w:rsidR="00E51BF2" w:rsidRPr="00691454" w:rsidP="00972DEF" w14:paraId="3A6EB287" w14:textId="77777777">
      <w:pPr>
        <w:rPr>
          <w:b/>
          <w:bCs/>
        </w:rPr>
      </w:pPr>
    </w:p>
    <w:p w:rsidR="00633833" w:rsidP="00633833" w14:paraId="44AF95EF" w14:textId="77777777">
      <w:pPr>
        <w:rPr>
          <w:b/>
          <w:bCs/>
        </w:rPr>
      </w:pPr>
      <w:r w:rsidRPr="00CA5DC1">
        <w:rPr>
          <w:b/>
          <w:bCs/>
        </w:rPr>
        <w:t>Sensitive Questions</w:t>
      </w:r>
      <w:r>
        <w:rPr>
          <w:b/>
          <w:bCs/>
        </w:rPr>
        <w:t xml:space="preserve"> </w:t>
      </w:r>
    </w:p>
    <w:p w:rsidR="00633833" w:rsidRPr="00E53EEA" w:rsidP="00633833" w14:paraId="602EF6D7" w14:textId="767013AC">
      <w:r w:rsidRPr="00E53EEA">
        <w:t xml:space="preserve">The proposed tools do not collect sensitive information. </w:t>
      </w:r>
    </w:p>
    <w:p w:rsidR="00972DEF" w:rsidP="00972DEF" w14:paraId="40822348" w14:textId="04C0909E">
      <w:pPr>
        <w:rPr>
          <w:b/>
          <w:bCs/>
        </w:rPr>
      </w:pPr>
    </w:p>
    <w:p w:rsidR="00CA5DC1" w:rsidRPr="00691454" w:rsidP="00972DEF" w14:paraId="40822349" w14:textId="77777777"/>
    <w:p w:rsidR="00972DEF" w:rsidRPr="00691454" w:rsidP="00972DEF" w14:paraId="4082234A" w14:textId="77777777">
      <w:pPr>
        <w:autoSpaceDE w:val="0"/>
        <w:autoSpaceDN w:val="0"/>
        <w:adjustRightInd w:val="0"/>
      </w:pPr>
      <w:r w:rsidRPr="003D55C0">
        <w:rPr>
          <w:b/>
          <w:bCs/>
        </w:rPr>
        <w:t xml:space="preserve">A.12. </w:t>
      </w:r>
      <w:r w:rsidRPr="003D55C0">
        <w:rPr>
          <w:b/>
          <w:bCs/>
        </w:rPr>
        <w:tab/>
        <w:t>Estimates of Annualized Burden Hours and Costs</w:t>
      </w:r>
      <w:r w:rsidRPr="00691454">
        <w:rPr>
          <w:b/>
          <w:bCs/>
        </w:rPr>
        <w:t xml:space="preserve"> </w:t>
      </w:r>
    </w:p>
    <w:p w:rsidR="004D7884" w:rsidP="004D7884" w14:paraId="4082234B" w14:textId="58ED8F4A">
      <w:pPr>
        <w:pStyle w:val="a"/>
        <w:tabs>
          <w:tab w:val="left" w:pos="-1440"/>
        </w:tabs>
        <w:ind w:left="0" w:firstLine="0"/>
      </w:pPr>
    </w:p>
    <w:p w:rsidR="00D33AAC" w:rsidP="00D33AAC" w14:paraId="64570F50" w14:textId="3A74EDC7">
      <w:r>
        <w:t>Respondents are</w:t>
      </w:r>
      <w:r w:rsidRPr="00A93EB5">
        <w:t xml:space="preserve"> the</w:t>
      </w:r>
      <w:r>
        <w:t xml:space="preserve"> </w:t>
      </w:r>
      <w:r w:rsidR="00902D17">
        <w:t>recipients</w:t>
      </w:r>
      <w:r w:rsidRPr="00A93EB5">
        <w:t xml:space="preserve"> </w:t>
      </w:r>
      <w:r>
        <w:t>of</w:t>
      </w:r>
      <w:r w:rsidRPr="00A93EB5">
        <w:t xml:space="preserve"> the Core SIPP cooperative agreement</w:t>
      </w:r>
      <w:r>
        <w:t xml:space="preserve">. </w:t>
      </w:r>
      <w:r w:rsidR="00902D17">
        <w:t>Recipients</w:t>
      </w:r>
      <w:r w:rsidRPr="00A93EB5">
        <w:t xml:space="preserve"> </w:t>
      </w:r>
      <w:r w:rsidR="00424176">
        <w:t>continue to</w:t>
      </w:r>
      <w:r w:rsidRPr="00A93EB5" w:rsidR="00424176">
        <w:t xml:space="preserve"> </w:t>
      </w:r>
      <w:r w:rsidRPr="00A93EB5">
        <w:t xml:space="preserve">report information to </w:t>
      </w:r>
      <w:r>
        <w:t>NCIPC</w:t>
      </w:r>
      <w:r w:rsidRPr="00A93EB5">
        <w:t xml:space="preserve"> about their activities</w:t>
      </w:r>
      <w:r>
        <w:t xml:space="preserve">, </w:t>
      </w:r>
      <w:r w:rsidRPr="00A93EB5">
        <w:t xml:space="preserve">performance measures, </w:t>
      </w:r>
      <w:r>
        <w:t xml:space="preserve">outcomes, and </w:t>
      </w:r>
      <w:r w:rsidRPr="00A93EB5">
        <w:t xml:space="preserve">progress.  </w:t>
      </w:r>
      <w:r>
        <w:t xml:space="preserve">This data </w:t>
      </w:r>
      <w:r w:rsidR="00424176">
        <w:t>is</w:t>
      </w:r>
      <w:r>
        <w:t xml:space="preserve"> collected via the </w:t>
      </w:r>
      <w:r w:rsidR="00902D17">
        <w:t>Partners’ Portal</w:t>
      </w:r>
      <w:r>
        <w:t xml:space="preserve"> (</w:t>
      </w:r>
      <w:r w:rsidR="00AD0218">
        <w:t>Attachment D).</w:t>
      </w:r>
      <w:r w:rsidR="00E53EEA">
        <w:t xml:space="preserve"> </w:t>
      </w:r>
      <w:r w:rsidR="002208B0">
        <w:t xml:space="preserve">NCIPC will </w:t>
      </w:r>
      <w:r w:rsidR="00420EC9">
        <w:t>provide</w:t>
      </w:r>
      <w:r w:rsidR="002208B0">
        <w:t xml:space="preserve"> guidance documents for </w:t>
      </w:r>
      <w:r w:rsidR="007126BB">
        <w:t>reporting to facilitate data submission</w:t>
      </w:r>
      <w:r w:rsidR="00420EC9">
        <w:t xml:space="preserve"> (Attachment D3)</w:t>
      </w:r>
      <w:r w:rsidR="007126BB">
        <w:t xml:space="preserve">. </w:t>
      </w:r>
      <w:r>
        <w:t>NCIPC will</w:t>
      </w:r>
      <w:r w:rsidR="007126BB">
        <w:t xml:space="preserve"> </w:t>
      </w:r>
      <w:r w:rsidR="002302F3">
        <w:t xml:space="preserve">continue to </w:t>
      </w:r>
      <w:r>
        <w:t xml:space="preserve">provide technical assistance to introduce </w:t>
      </w:r>
      <w:r w:rsidR="00902D17">
        <w:t>recipients</w:t>
      </w:r>
      <w:r>
        <w:t xml:space="preserve"> to the </w:t>
      </w:r>
      <w:r w:rsidR="00902D17">
        <w:t>Partners’ Portal</w:t>
      </w:r>
      <w:r>
        <w:t xml:space="preserve"> and provide ongoing assistance, </w:t>
      </w:r>
      <w:r w:rsidR="00424176">
        <w:t>as</w:t>
      </w:r>
      <w:r>
        <w:t xml:space="preserve"> necessary. </w:t>
      </w:r>
    </w:p>
    <w:p w:rsidR="00E2531B" w:rsidP="00D33AAC" w14:paraId="081CD5BF" w14:textId="5540A2C7"/>
    <w:p w:rsidR="00D33AAC" w:rsidRPr="00A93EB5" w:rsidP="00D33AAC" w14:paraId="03A03499" w14:textId="5A515995">
      <w:r>
        <w:t>T</w:t>
      </w:r>
      <w:r w:rsidRPr="00A93EB5">
        <w:t>he total estimated annualized burden for the</w:t>
      </w:r>
      <w:r>
        <w:t xml:space="preserve"> </w:t>
      </w:r>
      <w:r w:rsidRPr="00A93EB5">
        <w:t xml:space="preserve">current </w:t>
      </w:r>
      <w:r w:rsidR="00902D17">
        <w:t>recipients</w:t>
      </w:r>
      <w:r w:rsidRPr="00A93EB5">
        <w:t xml:space="preserve"> is </w:t>
      </w:r>
      <w:r w:rsidR="00FF2F2F">
        <w:t>286</w:t>
      </w:r>
      <w:r w:rsidRPr="00A93EB5" w:rsidR="00DE0BE0">
        <w:t xml:space="preserve"> </w:t>
      </w:r>
      <w:r w:rsidRPr="00A93EB5">
        <w:t>hours, as summarized in Table A.12-</w:t>
      </w:r>
      <w:r>
        <w:t>1</w:t>
      </w:r>
      <w:r w:rsidRPr="00A93EB5">
        <w:t>.</w:t>
      </w:r>
    </w:p>
    <w:p w:rsidR="003D4AF8" w:rsidP="004D7884" w14:paraId="2C9EFFF9" w14:textId="6ACEB11F">
      <w:pPr>
        <w:pStyle w:val="a"/>
        <w:tabs>
          <w:tab w:val="left" w:pos="-1440"/>
        </w:tabs>
        <w:ind w:left="0" w:firstLine="0"/>
      </w:pPr>
    </w:p>
    <w:p w:rsidR="003D4AF8" w:rsidRPr="00691454" w:rsidP="004D7884" w14:paraId="166DDEE9" w14:textId="77777777">
      <w:pPr>
        <w:pStyle w:val="a"/>
        <w:tabs>
          <w:tab w:val="left" w:pos="-1440"/>
        </w:tabs>
        <w:ind w:left="0" w:firstLine="0"/>
      </w:pPr>
    </w:p>
    <w:p w:rsidR="00203779" w:rsidRPr="00691454" w:rsidP="004D7884" w14:paraId="4082234C" w14:textId="77777777">
      <w:pPr>
        <w:pStyle w:val="a"/>
        <w:tabs>
          <w:tab w:val="left" w:pos="-1440"/>
        </w:tabs>
        <w:ind w:left="0" w:firstLine="0"/>
      </w:pPr>
      <w:r w:rsidRPr="00691454">
        <w:t>Table 1.  Estimate</w:t>
      </w:r>
      <w:r w:rsidRPr="00691454" w:rsidR="00F820FE">
        <w:t>d</w:t>
      </w:r>
      <w:r w:rsidRPr="00691454">
        <w:t xml:space="preserve"> </w:t>
      </w:r>
      <w:r w:rsidRPr="00691454" w:rsidR="0057192D">
        <w:t>Annual</w:t>
      </w:r>
      <w:r w:rsidRPr="00691454" w:rsidR="003F77E5">
        <w:t xml:space="preserve">ized </w:t>
      </w:r>
      <w:r w:rsidRPr="00691454" w:rsidR="0057192D">
        <w:t>Burden</w:t>
      </w:r>
      <w:r w:rsidRPr="00691454" w:rsidR="003F77E5">
        <w:t xml:space="preserve"> Hours </w:t>
      </w:r>
    </w:p>
    <w:p w:rsidR="00144640" w:rsidRPr="00691454" w:rsidP="004D7884" w14:paraId="4082234D" w14:textId="77777777">
      <w:pPr>
        <w:pStyle w:val="a"/>
        <w:tabs>
          <w:tab w:val="left" w:pos="-1440"/>
        </w:tabs>
        <w:ind w:left="0" w:firstLine="0"/>
      </w:pPr>
    </w:p>
    <w:tbl>
      <w:tblPr>
        <w:tblW w:w="94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08"/>
        <w:gridCol w:w="1822"/>
        <w:gridCol w:w="1620"/>
        <w:gridCol w:w="1620"/>
        <w:gridCol w:w="1710"/>
        <w:gridCol w:w="1170"/>
      </w:tblGrid>
      <w:tr w14:paraId="40822356" w14:textId="77777777" w:rsidTr="00855014">
        <w:tblPrEx>
          <w:tblW w:w="94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070"/>
        </w:trPr>
        <w:tc>
          <w:tcPr>
            <w:tcW w:w="1508" w:type="dxa"/>
            <w:vAlign w:val="center"/>
          </w:tcPr>
          <w:p w:rsidR="00122751" w:rsidRPr="00691454" w:rsidP="00C55DD2" w14:paraId="4082234E" w14:textId="77777777">
            <w:r w:rsidRPr="00691454">
              <w:t>Type of Respondents</w:t>
            </w:r>
          </w:p>
        </w:tc>
        <w:tc>
          <w:tcPr>
            <w:tcW w:w="1822" w:type="dxa"/>
          </w:tcPr>
          <w:p w:rsidR="00C55DD2" w:rsidRPr="00691454" w:rsidP="00C55DD2" w14:paraId="4082234F" w14:textId="77777777"/>
          <w:p w:rsidR="00122751" w:rsidRPr="00691454" w:rsidP="00C55DD2" w14:paraId="40822350" w14:textId="77777777">
            <w:r w:rsidRPr="00691454">
              <w:t>Form Name</w:t>
            </w:r>
          </w:p>
        </w:tc>
        <w:tc>
          <w:tcPr>
            <w:tcW w:w="1620" w:type="dxa"/>
            <w:vAlign w:val="center"/>
          </w:tcPr>
          <w:p w:rsidR="00122751" w:rsidRPr="00691454" w:rsidP="00C55DD2" w14:paraId="40822351" w14:textId="77777777">
            <w:r w:rsidRPr="00691454">
              <w:t>Number of Respondents</w:t>
            </w:r>
          </w:p>
        </w:tc>
        <w:tc>
          <w:tcPr>
            <w:tcW w:w="1620" w:type="dxa"/>
            <w:vAlign w:val="center"/>
          </w:tcPr>
          <w:p w:rsidR="00122751" w:rsidRPr="00691454" w:rsidP="00C55DD2" w14:paraId="40822352" w14:textId="77777777">
            <w:r w:rsidRPr="00691454">
              <w:t>Number of Responses per Respondent</w:t>
            </w:r>
          </w:p>
        </w:tc>
        <w:tc>
          <w:tcPr>
            <w:tcW w:w="1710" w:type="dxa"/>
            <w:vAlign w:val="center"/>
          </w:tcPr>
          <w:p w:rsidR="00122751" w:rsidRPr="00691454" w:rsidP="00C55DD2" w14:paraId="40822353" w14:textId="77777777">
            <w:r w:rsidRPr="00691454">
              <w:t>Average Burden per Response</w:t>
            </w:r>
          </w:p>
          <w:p w:rsidR="00122751" w:rsidRPr="00691454" w:rsidP="00C55DD2" w14:paraId="40822354" w14:textId="77777777">
            <w:r w:rsidRPr="00691454">
              <w:t>(in hours)</w:t>
            </w:r>
          </w:p>
        </w:tc>
        <w:tc>
          <w:tcPr>
            <w:tcW w:w="1170" w:type="dxa"/>
            <w:vAlign w:val="center"/>
          </w:tcPr>
          <w:p w:rsidR="00122751" w:rsidRPr="00691454" w:rsidP="00C55DD2" w14:paraId="40822355" w14:textId="77777777">
            <w:r w:rsidRPr="00691454">
              <w:t>Total Burden (in hours)</w:t>
            </w:r>
          </w:p>
        </w:tc>
      </w:tr>
      <w:tr w14:paraId="7ABD8EEF" w14:textId="77777777" w:rsidTr="00DE0BE0">
        <w:tblPrEx>
          <w:tblW w:w="9450" w:type="dxa"/>
          <w:tblInd w:w="-72" w:type="dxa"/>
          <w:tblLayout w:type="fixed"/>
          <w:tblLook w:val="01E0"/>
        </w:tblPrEx>
        <w:trPr>
          <w:trHeight w:val="1070"/>
        </w:trPr>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rsidR="00DE0BE0" w:rsidRPr="00DE0BE0" w:rsidP="00DE0BE0" w14:paraId="5511EF91" w14:textId="1BAEB043">
            <w:r>
              <w:rPr>
                <w:rStyle w:val="normaltextrun"/>
              </w:rPr>
              <w:t xml:space="preserve">Core SIPP Program </w:t>
            </w:r>
            <w:r w:rsidR="00902D17">
              <w:rPr>
                <w:rStyle w:val="normaltextrun"/>
              </w:rPr>
              <w:t>Recipients</w:t>
            </w:r>
            <w:r>
              <w:rPr>
                <w:rStyle w:val="eop"/>
              </w:rPr>
              <w:t> </w:t>
            </w:r>
          </w:p>
        </w:tc>
        <w:tc>
          <w:tcPr>
            <w:tcW w:w="1822" w:type="dxa"/>
            <w:tcBorders>
              <w:top w:val="single" w:sz="4" w:space="0" w:color="auto"/>
              <w:left w:val="single" w:sz="4" w:space="0" w:color="auto"/>
              <w:bottom w:val="single" w:sz="4" w:space="0" w:color="auto"/>
              <w:right w:val="single" w:sz="4" w:space="0" w:color="auto"/>
            </w:tcBorders>
            <w:shd w:val="clear" w:color="auto" w:fill="auto"/>
          </w:tcPr>
          <w:p w:rsidR="00DE0BE0" w:rsidRPr="00DE0BE0" w:rsidP="00DE0BE0" w14:paraId="2C206172" w14:textId="77777777">
            <w:r>
              <w:rPr>
                <w:rStyle w:val="normaltextrun"/>
              </w:rPr>
              <w:t>Annual Progress Report (Attachment D)</w:t>
            </w:r>
            <w:r>
              <w:rPr>
                <w:rStyle w:val="eop"/>
              </w:rPr>
              <w:t>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DE0BE0" w:rsidRPr="00DE0BE0" w:rsidP="00DE0BE0" w14:paraId="71472F19" w14:textId="5400725F">
            <w:r>
              <w:rPr>
                <w:rStyle w:val="normaltextrun"/>
              </w:rPr>
              <w:t>2</w:t>
            </w:r>
            <w:r w:rsidR="00BC7C12">
              <w:rPr>
                <w:rStyle w:val="normaltextrun"/>
              </w:rPr>
              <w:t>6</w:t>
            </w:r>
            <w:r>
              <w:rPr>
                <w:rStyle w:val="eop"/>
              </w:rPr>
              <w:t>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DE0BE0" w:rsidRPr="00DE0BE0" w:rsidP="00DE0BE0" w14:paraId="52E6C65F" w14:textId="77777777">
            <w:r>
              <w:rPr>
                <w:rStyle w:val="normaltextrun"/>
              </w:rPr>
              <w:t>1</w:t>
            </w:r>
            <w:r>
              <w:rPr>
                <w:rStyle w:val="eop"/>
              </w:rPr>
              <w:t>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DE0BE0" w:rsidRPr="00DE0BE0" w:rsidP="00DE0BE0" w14:paraId="7A5500C0" w14:textId="77777777">
            <w:r>
              <w:rPr>
                <w:rStyle w:val="normaltextrun"/>
              </w:rPr>
              <w:t>11</w:t>
            </w:r>
            <w:r>
              <w:rPr>
                <w:rStyle w:val="eop"/>
              </w:rPr>
              <w:t>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E0BE0" w:rsidRPr="00DE0BE0" w:rsidP="00DE0BE0" w14:paraId="2A0AC894" w14:textId="5059C720">
            <w:r>
              <w:rPr>
                <w:rStyle w:val="normaltextrun"/>
              </w:rPr>
              <w:t>286</w:t>
            </w:r>
            <w:r>
              <w:rPr>
                <w:rStyle w:val="eop"/>
              </w:rPr>
              <w:t> </w:t>
            </w:r>
          </w:p>
        </w:tc>
      </w:tr>
      <w:tr w14:paraId="40822360" w14:textId="77777777" w:rsidTr="00F64FA1">
        <w:tblPrEx>
          <w:tblW w:w="9450" w:type="dxa"/>
          <w:tblInd w:w="-72" w:type="dxa"/>
          <w:tblLayout w:type="fixed"/>
          <w:tblLook w:val="01E0"/>
        </w:tblPrEx>
        <w:trPr>
          <w:trHeight w:val="276"/>
        </w:trPr>
        <w:tc>
          <w:tcPr>
            <w:tcW w:w="8280" w:type="dxa"/>
            <w:gridSpan w:val="5"/>
          </w:tcPr>
          <w:p w:rsidR="00026C55" w:rsidRPr="00691454" w:rsidP="00C7327F" w14:paraId="4082235E" w14:textId="77777777">
            <w:pPr>
              <w:jc w:val="right"/>
              <w:rPr>
                <w:b/>
              </w:rPr>
            </w:pPr>
            <w:r w:rsidRPr="00691454">
              <w:rPr>
                <w:b/>
              </w:rPr>
              <w:t>Total</w:t>
            </w:r>
          </w:p>
        </w:tc>
        <w:tc>
          <w:tcPr>
            <w:tcW w:w="1170" w:type="dxa"/>
          </w:tcPr>
          <w:p w:rsidR="00026C55" w:rsidRPr="00691454" w:rsidP="00562428" w14:paraId="4082235F" w14:textId="0273B1B5">
            <w:pPr>
              <w:jc w:val="right"/>
            </w:pPr>
            <w:r>
              <w:t>286</w:t>
            </w:r>
          </w:p>
        </w:tc>
      </w:tr>
    </w:tbl>
    <w:p w:rsidR="00855014" w:rsidP="00203779" w14:paraId="40822361" w14:textId="09E14C0F">
      <w:pPr>
        <w:pStyle w:val="Bulleted"/>
        <w:numPr>
          <w:ilvl w:val="0"/>
          <w:numId w:val="0"/>
        </w:numPr>
      </w:pPr>
    </w:p>
    <w:p w:rsidR="00144640" w:rsidRPr="00691454" w:rsidP="00144640" w14:paraId="40822363" w14:textId="77777777">
      <w:pPr>
        <w:pStyle w:val="SL-FlLftSgl"/>
      </w:pPr>
    </w:p>
    <w:p w:rsidR="005A53E2" w:rsidP="005A53E2" w14:paraId="40822364" w14:textId="50C040BA">
      <w:r w:rsidRPr="00691454">
        <w:rPr>
          <w:bCs/>
        </w:rPr>
        <w:t>Table 2.</w:t>
      </w:r>
      <w:r w:rsidRPr="00691454">
        <w:t xml:space="preserve"> Estimated Annual</w:t>
      </w:r>
      <w:r w:rsidRPr="00691454" w:rsidR="003F77E5">
        <w:t xml:space="preserve">ized Burden </w:t>
      </w:r>
      <w:r w:rsidRPr="00691454">
        <w:t>Cost</w:t>
      </w:r>
      <w:r w:rsidRPr="00691454" w:rsidR="003F77E5">
        <w:t>s</w:t>
      </w:r>
      <w:r w:rsidRPr="00691454">
        <w:t xml:space="preserve"> </w:t>
      </w:r>
    </w:p>
    <w:p w:rsidR="005C3C1A" w:rsidP="005A53E2" w14:paraId="7A7FF177" w14:textId="77777777"/>
    <w:p w:rsidR="005C3C1A" w:rsidP="005C3C1A" w14:paraId="5B0E2324" w14:textId="14D72ED4">
      <w:r w:rsidRPr="00262903">
        <w:t xml:space="preserve">A </w:t>
      </w:r>
      <w:r w:rsidR="004D43E0">
        <w:t>project management specialist</w:t>
      </w:r>
      <w:r w:rsidRPr="00262903">
        <w:t xml:space="preserve"> will prepare the progress reports for each area.  The average hourly wage for a </w:t>
      </w:r>
      <w:r w:rsidR="004D43E0">
        <w:t>project management specialist</w:t>
      </w:r>
      <w:r w:rsidRPr="00262903">
        <w:t xml:space="preserve"> is $</w:t>
      </w:r>
      <w:r w:rsidR="004D43E0">
        <w:t>50.44</w:t>
      </w:r>
      <w:r w:rsidRPr="00262903">
        <w:t xml:space="preserve">. The hourly wage rates for </w:t>
      </w:r>
      <w:r w:rsidR="004D43E0">
        <w:t>project management specialists</w:t>
      </w:r>
      <w:r w:rsidRPr="00262903">
        <w:t xml:space="preserve"> are based on wages for similar mid-to-high level positions in the public sector.  The total estimated annualized</w:t>
      </w:r>
      <w:r w:rsidR="00395E41">
        <w:t xml:space="preserve"> burden</w:t>
      </w:r>
      <w:r w:rsidRPr="00262903">
        <w:t xml:space="preserve"> cost </w:t>
      </w:r>
      <w:r w:rsidR="00395E41">
        <w:t xml:space="preserve">per recipient </w:t>
      </w:r>
      <w:r w:rsidRPr="00262903">
        <w:t xml:space="preserve">is </w:t>
      </w:r>
      <w:r w:rsidRPr="00262903">
        <w:rPr>
          <w:rFonts w:eastAsia="Batang"/>
        </w:rPr>
        <w:t>$</w:t>
      </w:r>
      <w:r w:rsidR="00395E41">
        <w:rPr>
          <w:rFonts w:eastAsia="Batang"/>
        </w:rPr>
        <w:t>554.84</w:t>
      </w:r>
      <w:r w:rsidRPr="00262903">
        <w:t>.</w:t>
      </w:r>
    </w:p>
    <w:p w:rsidR="002E046F" w:rsidRPr="00FA7D60" w:rsidP="005C3C1A" w14:paraId="7D3CED22" w14:textId="1728EA3C">
      <w:hyperlink r:id="rId9" w:history="1">
        <w:r w:rsidRPr="003B3720">
          <w:rPr>
            <w:rStyle w:val="Hyperlink"/>
          </w:rPr>
          <w:t>https://www.bls.gov/oes/current/oes_stru.htm</w:t>
        </w:r>
      </w:hyperlink>
      <w:r>
        <w:t xml:space="preserve"> </w:t>
      </w:r>
    </w:p>
    <w:p w:rsidR="005C3C1A" w:rsidP="005A53E2" w14:paraId="44FA8D5E" w14:textId="77777777"/>
    <w:p w:rsidR="00424176" w:rsidP="005A53E2" w14:paraId="07387BDA" w14:textId="30B927B8">
      <w:r>
        <w:t>The total estimated annualized burden cost per recipient is $554.84, as summarized in Table A.12-2.</w:t>
      </w:r>
    </w:p>
    <w:p w:rsidR="00424176" w:rsidRPr="00691454" w:rsidP="005A53E2" w14:paraId="4A17EBE7" w14:textId="77777777"/>
    <w:tbl>
      <w:tblPr>
        <w:tblpPr w:leftFromText="180" w:rightFromText="180" w:vertAnchor="text" w:horzAnchor="margin" w:tblpXSpec="center" w:tblpY="349"/>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35"/>
        <w:gridCol w:w="1800"/>
        <w:gridCol w:w="1170"/>
        <w:gridCol w:w="1350"/>
        <w:gridCol w:w="1283"/>
        <w:gridCol w:w="1327"/>
        <w:gridCol w:w="1373"/>
      </w:tblGrid>
      <w:tr w14:paraId="4082236E" w14:textId="77777777" w:rsidTr="005028E3">
        <w:tblPrEx>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435" w:type="dxa"/>
          </w:tcPr>
          <w:p w:rsidR="00EF2F61" w:rsidRPr="00691454" w:rsidP="00EF2F61" w14:paraId="40822365" w14:textId="77777777">
            <w:pPr>
              <w:spacing w:line="276" w:lineRule="auto"/>
              <w:rPr>
                <w:rFonts w:eastAsia="Batang"/>
              </w:rPr>
            </w:pPr>
          </w:p>
          <w:p w:rsidR="00EF2F61" w:rsidRPr="00691454" w:rsidP="00EF2F61" w14:paraId="40822366" w14:textId="77777777">
            <w:pPr>
              <w:spacing w:line="276" w:lineRule="auto"/>
              <w:jc w:val="center"/>
              <w:rPr>
                <w:rFonts w:eastAsia="Batang"/>
              </w:rPr>
            </w:pPr>
            <w:r w:rsidRPr="00691454">
              <w:rPr>
                <w:rFonts w:eastAsia="Batang"/>
              </w:rPr>
              <w:t>Type of Respondent</w:t>
            </w:r>
          </w:p>
        </w:tc>
        <w:tc>
          <w:tcPr>
            <w:tcW w:w="1800" w:type="dxa"/>
          </w:tcPr>
          <w:p w:rsidR="00C55DD2" w:rsidRPr="00691454" w:rsidP="00EF2F61" w14:paraId="40822367" w14:textId="77777777">
            <w:pPr>
              <w:spacing w:line="276" w:lineRule="auto"/>
              <w:rPr>
                <w:rFonts w:eastAsia="Batang"/>
              </w:rPr>
            </w:pPr>
          </w:p>
          <w:p w:rsidR="00EF2F61" w:rsidRPr="00691454" w:rsidP="00EF2F61" w14:paraId="40822368" w14:textId="77777777">
            <w:pPr>
              <w:spacing w:line="276" w:lineRule="auto"/>
              <w:rPr>
                <w:rFonts w:eastAsia="Batang"/>
              </w:rPr>
            </w:pPr>
            <w:r w:rsidRPr="00691454">
              <w:rPr>
                <w:rFonts w:eastAsia="Batang"/>
              </w:rPr>
              <w:t>Form Name</w:t>
            </w:r>
          </w:p>
        </w:tc>
        <w:tc>
          <w:tcPr>
            <w:tcW w:w="1170" w:type="dxa"/>
            <w:shd w:val="clear" w:color="auto" w:fill="auto"/>
            <w:vAlign w:val="center"/>
          </w:tcPr>
          <w:p w:rsidR="00EF2F61" w:rsidRPr="00691454" w:rsidP="00EF2F61" w14:paraId="40822369" w14:textId="77777777">
            <w:pPr>
              <w:spacing w:line="276" w:lineRule="auto"/>
              <w:rPr>
                <w:rFonts w:eastAsia="Batang"/>
              </w:rPr>
            </w:pPr>
            <w:r w:rsidRPr="00691454">
              <w:rPr>
                <w:rFonts w:eastAsia="Batang"/>
              </w:rPr>
              <w:t>Number of Respondents</w:t>
            </w:r>
          </w:p>
        </w:tc>
        <w:tc>
          <w:tcPr>
            <w:tcW w:w="1350" w:type="dxa"/>
            <w:vAlign w:val="center"/>
          </w:tcPr>
          <w:p w:rsidR="00EF2F61" w:rsidRPr="00691454" w:rsidP="00EF2F61" w14:paraId="4082236A" w14:textId="77777777">
            <w:pPr>
              <w:spacing w:line="276" w:lineRule="auto"/>
              <w:jc w:val="center"/>
              <w:rPr>
                <w:rFonts w:eastAsia="Batang"/>
              </w:rPr>
            </w:pPr>
            <w:r w:rsidRPr="00691454">
              <w:rPr>
                <w:rFonts w:eastAsia="Batang"/>
              </w:rPr>
              <w:t>Number of Responses per Respondent</w:t>
            </w:r>
          </w:p>
        </w:tc>
        <w:tc>
          <w:tcPr>
            <w:tcW w:w="1283" w:type="dxa"/>
            <w:vAlign w:val="center"/>
          </w:tcPr>
          <w:p w:rsidR="00EF2F61" w:rsidRPr="00691454" w:rsidP="00EF2F61" w14:paraId="4082236B" w14:textId="226607D5">
            <w:pPr>
              <w:spacing w:line="276" w:lineRule="auto"/>
              <w:jc w:val="center"/>
              <w:rPr>
                <w:rFonts w:eastAsia="Batang"/>
              </w:rPr>
            </w:pPr>
            <w:r w:rsidRPr="00691454">
              <w:rPr>
                <w:rFonts w:eastAsia="Batang"/>
              </w:rPr>
              <w:t>Average Burden per Response</w:t>
            </w:r>
          </w:p>
        </w:tc>
        <w:tc>
          <w:tcPr>
            <w:tcW w:w="1327" w:type="dxa"/>
            <w:vAlign w:val="center"/>
          </w:tcPr>
          <w:p w:rsidR="00EF2F61" w:rsidRPr="00691454" w:rsidP="00EF2F61" w14:paraId="4082236C" w14:textId="77777777">
            <w:pPr>
              <w:spacing w:line="276" w:lineRule="auto"/>
              <w:jc w:val="center"/>
              <w:rPr>
                <w:rFonts w:eastAsia="Batang"/>
              </w:rPr>
            </w:pPr>
            <w:r w:rsidRPr="00691454">
              <w:rPr>
                <w:rFonts w:eastAsia="Batang"/>
              </w:rPr>
              <w:t>Average Hourly Wage Rate (in dollars)</w:t>
            </w:r>
          </w:p>
        </w:tc>
        <w:tc>
          <w:tcPr>
            <w:tcW w:w="1373" w:type="dxa"/>
            <w:vAlign w:val="center"/>
          </w:tcPr>
          <w:p w:rsidR="00EF2F61" w:rsidRPr="00691454" w:rsidP="00EF2F61" w14:paraId="4082236D" w14:textId="77777777">
            <w:pPr>
              <w:spacing w:line="276" w:lineRule="auto"/>
              <w:jc w:val="center"/>
              <w:rPr>
                <w:rFonts w:eastAsia="Batang"/>
              </w:rPr>
            </w:pPr>
            <w:r w:rsidRPr="00691454">
              <w:rPr>
                <w:rFonts w:eastAsia="Batang"/>
              </w:rPr>
              <w:t>Total Respondent Cost</w:t>
            </w:r>
          </w:p>
        </w:tc>
      </w:tr>
      <w:tr w14:paraId="0024537B" w14:textId="77777777" w:rsidTr="005028E3">
        <w:tblPrEx>
          <w:tblW w:w="9738" w:type="dxa"/>
          <w:tblLayout w:type="fixed"/>
          <w:tblLook w:val="01E0"/>
        </w:tblPrEx>
        <w:tc>
          <w:tcPr>
            <w:tcW w:w="1435" w:type="dxa"/>
          </w:tcPr>
          <w:p w:rsidR="003C0A02" w:rsidRPr="00691454" w:rsidP="003C0A02" w14:paraId="73866B05" w14:textId="7E8C5C91">
            <w:pPr>
              <w:rPr>
                <w:rFonts w:eastAsia="Batang"/>
              </w:rPr>
            </w:pPr>
            <w:r>
              <w:t xml:space="preserve">Core SIPP Program </w:t>
            </w:r>
            <w:r w:rsidR="00902D17">
              <w:t>Recipients</w:t>
            </w:r>
          </w:p>
        </w:tc>
        <w:tc>
          <w:tcPr>
            <w:tcW w:w="1800" w:type="dxa"/>
          </w:tcPr>
          <w:p w:rsidR="003C0A02" w:rsidRPr="00691454" w:rsidP="003C0A02" w14:paraId="06C49642" w14:textId="7AC24E30">
            <w:pPr>
              <w:jc w:val="center"/>
              <w:rPr>
                <w:rFonts w:eastAsia="Batang"/>
              </w:rPr>
            </w:pPr>
            <w:r w:rsidRPr="00C97992">
              <w:t>Annual Progress Report (Attachment D)</w:t>
            </w:r>
          </w:p>
        </w:tc>
        <w:tc>
          <w:tcPr>
            <w:tcW w:w="1170" w:type="dxa"/>
          </w:tcPr>
          <w:p w:rsidR="003C0A02" w:rsidRPr="00691454" w:rsidP="005828A3" w14:paraId="3EC503C5" w14:textId="3F7900AF">
            <w:pPr>
              <w:jc w:val="center"/>
              <w:rPr>
                <w:rFonts w:eastAsia="Batang"/>
              </w:rPr>
            </w:pPr>
            <w:r>
              <w:t>2</w:t>
            </w:r>
            <w:r w:rsidR="00685647">
              <w:t>6</w:t>
            </w:r>
          </w:p>
        </w:tc>
        <w:tc>
          <w:tcPr>
            <w:tcW w:w="1350" w:type="dxa"/>
          </w:tcPr>
          <w:p w:rsidR="003C0A02" w:rsidRPr="00691454" w:rsidP="005828A3" w14:paraId="272E7356" w14:textId="26C364CB">
            <w:pPr>
              <w:spacing w:line="276" w:lineRule="auto"/>
              <w:jc w:val="center"/>
              <w:rPr>
                <w:rFonts w:eastAsia="Batang"/>
              </w:rPr>
            </w:pPr>
            <w:r>
              <w:t>1</w:t>
            </w:r>
          </w:p>
        </w:tc>
        <w:tc>
          <w:tcPr>
            <w:tcW w:w="1283" w:type="dxa"/>
          </w:tcPr>
          <w:p w:rsidR="003C0A02" w:rsidRPr="00691454" w:rsidP="005828A3" w14:paraId="3C0B6AC2" w14:textId="0B3E8EFD">
            <w:pPr>
              <w:spacing w:line="276" w:lineRule="auto"/>
              <w:jc w:val="center"/>
              <w:rPr>
                <w:rFonts w:eastAsia="Batang"/>
              </w:rPr>
            </w:pPr>
            <w:r>
              <w:t>11</w:t>
            </w:r>
          </w:p>
        </w:tc>
        <w:tc>
          <w:tcPr>
            <w:tcW w:w="1327" w:type="dxa"/>
          </w:tcPr>
          <w:p w:rsidR="003C0A02" w:rsidP="005828A3" w14:paraId="1D0B5704" w14:textId="1FBA0C5D">
            <w:pPr>
              <w:spacing w:line="276" w:lineRule="auto"/>
              <w:jc w:val="center"/>
              <w:rPr>
                <w:rFonts w:eastAsia="Batang"/>
              </w:rPr>
            </w:pPr>
            <w:r>
              <w:t>$</w:t>
            </w:r>
            <w:r w:rsidR="00685647">
              <w:t>50.44</w:t>
            </w:r>
          </w:p>
        </w:tc>
        <w:tc>
          <w:tcPr>
            <w:tcW w:w="1373" w:type="dxa"/>
          </w:tcPr>
          <w:p w:rsidR="003C0A02" w:rsidRPr="00691454" w:rsidP="005828A3" w14:paraId="5715F351" w14:textId="7A0023A6">
            <w:pPr>
              <w:spacing w:line="276" w:lineRule="auto"/>
              <w:jc w:val="center"/>
              <w:rPr>
                <w:rFonts w:eastAsia="Batang"/>
              </w:rPr>
            </w:pPr>
            <w:r>
              <w:rPr>
                <w:rFonts w:eastAsia="Batang"/>
              </w:rPr>
              <w:t>$</w:t>
            </w:r>
            <w:r w:rsidR="00C97992">
              <w:rPr>
                <w:rFonts w:eastAsia="Batang"/>
              </w:rPr>
              <w:t>341</w:t>
            </w:r>
          </w:p>
        </w:tc>
      </w:tr>
      <w:tr w14:paraId="4082237D" w14:textId="77777777" w:rsidTr="003028A3">
        <w:tblPrEx>
          <w:tblW w:w="9738" w:type="dxa"/>
          <w:tblLayout w:type="fixed"/>
          <w:tblLook w:val="01E0"/>
        </w:tblPrEx>
        <w:tc>
          <w:tcPr>
            <w:tcW w:w="8365" w:type="dxa"/>
            <w:gridSpan w:val="6"/>
          </w:tcPr>
          <w:p w:rsidR="003C0A02" w:rsidRPr="00691454" w:rsidP="003C0A02" w14:paraId="4082237B" w14:textId="77777777">
            <w:pPr>
              <w:spacing w:line="276" w:lineRule="auto"/>
              <w:jc w:val="right"/>
              <w:rPr>
                <w:rFonts w:eastAsia="Batang"/>
              </w:rPr>
            </w:pPr>
            <w:r w:rsidRPr="00691454">
              <w:rPr>
                <w:rFonts w:eastAsia="Batang"/>
              </w:rPr>
              <w:t>Total</w:t>
            </w:r>
          </w:p>
        </w:tc>
        <w:tc>
          <w:tcPr>
            <w:tcW w:w="1373" w:type="dxa"/>
          </w:tcPr>
          <w:p w:rsidR="003C0A02" w:rsidRPr="00691454" w:rsidP="003C0A02" w14:paraId="4082237C" w14:textId="2ACE97DE">
            <w:pPr>
              <w:spacing w:line="276" w:lineRule="auto"/>
              <w:jc w:val="center"/>
              <w:rPr>
                <w:rFonts w:eastAsia="Batang"/>
              </w:rPr>
            </w:pPr>
            <w:r>
              <w:rPr>
                <w:rFonts w:eastAsia="Batang"/>
              </w:rPr>
              <w:t>$</w:t>
            </w:r>
            <w:r w:rsidR="00653C3F">
              <w:rPr>
                <w:rFonts w:eastAsia="Batang"/>
              </w:rPr>
              <w:t>554.84</w:t>
            </w:r>
          </w:p>
        </w:tc>
      </w:tr>
    </w:tbl>
    <w:p w:rsidR="00D7593E" w:rsidRPr="00691454" w:rsidP="00E704DE" w14:paraId="4082237E" w14:textId="6CAC5C5B">
      <w:pPr>
        <w:rPr>
          <w:b/>
        </w:rPr>
      </w:pPr>
      <w:r>
        <w:rPr>
          <w:b/>
        </w:rPr>
        <w:t>Table A.12-2. Estimated Annualized Burden Cost</w:t>
      </w:r>
    </w:p>
    <w:p w:rsidR="00C55DD2" w:rsidRPr="00691454" w:rsidP="00E704DE" w14:paraId="4082237F" w14:textId="77777777">
      <w:pPr>
        <w:rPr>
          <w:b/>
        </w:rPr>
      </w:pPr>
    </w:p>
    <w:p w:rsidR="00972DEF" w:rsidP="00E704DE" w14:paraId="40822380" w14:textId="33CB2613">
      <w:pPr>
        <w:rPr>
          <w:b/>
        </w:rPr>
      </w:pPr>
      <w:r w:rsidRPr="00691454">
        <w:rPr>
          <w:b/>
        </w:rPr>
        <w:t xml:space="preserve">A.13. </w:t>
      </w:r>
      <w:r w:rsidRPr="00691454">
        <w:rPr>
          <w:b/>
        </w:rPr>
        <w:tab/>
        <w:t>Estimates of Other Total Annual Cost Burden to Respondents or Record Keepers</w:t>
      </w:r>
    </w:p>
    <w:p w:rsidR="008F2237" w:rsidP="00E704DE" w14:paraId="13808790" w14:textId="44DD5EED">
      <w:pPr>
        <w:rPr>
          <w:bCs/>
        </w:rPr>
      </w:pPr>
    </w:p>
    <w:p w:rsidR="008F2237" w:rsidRPr="008F2237" w:rsidP="00E704DE" w14:paraId="7B8F8C1A" w14:textId="4CFEB1C3">
      <w:pPr>
        <w:rPr>
          <w:bCs/>
        </w:rPr>
      </w:pPr>
      <w:r w:rsidRPr="008F2237">
        <w:rPr>
          <w:bCs/>
        </w:rPr>
        <w:t>This data collection will not result in costs for respondents or record keepers. No capital or maintenance costs are expected.  Additionally, there are no start-up, hardware or software costs.</w:t>
      </w:r>
    </w:p>
    <w:p w:rsidR="00E704DE" w:rsidRPr="00691454" w:rsidP="00E704DE" w14:paraId="40822381" w14:textId="77777777">
      <w:pPr>
        <w:rPr>
          <w:b/>
        </w:rPr>
      </w:pPr>
    </w:p>
    <w:p w:rsidR="00972DEF" w:rsidRPr="00691454" w:rsidP="00972DEF" w14:paraId="40822382" w14:textId="77777777">
      <w:pPr>
        <w:autoSpaceDE w:val="0"/>
        <w:autoSpaceDN w:val="0"/>
        <w:adjustRightInd w:val="0"/>
      </w:pPr>
      <w:r w:rsidRPr="002C5B45">
        <w:rPr>
          <w:b/>
          <w:bCs/>
        </w:rPr>
        <w:t xml:space="preserve">A.14. </w:t>
      </w:r>
      <w:r w:rsidRPr="002C5B45">
        <w:rPr>
          <w:b/>
          <w:bCs/>
        </w:rPr>
        <w:tab/>
        <w:t>Annualized Cost to the Government</w:t>
      </w:r>
      <w:r w:rsidRPr="00691454">
        <w:rPr>
          <w:b/>
          <w:bCs/>
        </w:rPr>
        <w:t xml:space="preserve"> </w:t>
      </w:r>
    </w:p>
    <w:p w:rsidR="0012575C" w:rsidRPr="00691454" w:rsidP="00013F0A" w14:paraId="40822383" w14:textId="77777777">
      <w:pPr>
        <w:pStyle w:val="SL-FlLftSgl"/>
      </w:pPr>
    </w:p>
    <w:p w:rsidR="00144640" w:rsidRPr="00691454" w:rsidP="005D4291" w14:paraId="40822384" w14:textId="77777777">
      <w:pPr>
        <w:pStyle w:val="SL-FlLftSgl"/>
      </w:pPr>
      <w:r w:rsidRPr="00691454">
        <w:t>Table 3.  Estimated Annual</w:t>
      </w:r>
      <w:r w:rsidRPr="00691454" w:rsidR="001B43C7">
        <w:t>ized</w:t>
      </w:r>
      <w:r w:rsidRPr="00691454">
        <w:t xml:space="preserve"> Cost</w:t>
      </w:r>
      <w:r w:rsidRPr="00691454" w:rsidR="001B43C7">
        <w:t xml:space="preserve"> to the Government</w:t>
      </w:r>
    </w:p>
    <w:p w:rsidR="00144640" w:rsidRPr="00691454" w:rsidP="005D4291" w14:paraId="40822385" w14:textId="77777777">
      <w:pPr>
        <w:pStyle w:val="SL-FlLftSgl"/>
      </w:pPr>
    </w:p>
    <w:tbl>
      <w:tblPr>
        <w:tblW w:w="917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5490"/>
        <w:gridCol w:w="1597"/>
      </w:tblGrid>
      <w:tr w14:paraId="69EDC5C2" w14:textId="77777777" w:rsidTr="00877490">
        <w:tblPrEx>
          <w:tblW w:w="917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088" w:type="dxa"/>
          </w:tcPr>
          <w:p w:rsidR="002C5B45" w:rsidRPr="00A93EB5" w:rsidP="00877490" w14:paraId="02211438" w14:textId="77777777">
            <w:r w:rsidRPr="00A93EB5">
              <w:t>Type of Cost</w:t>
            </w:r>
          </w:p>
        </w:tc>
        <w:tc>
          <w:tcPr>
            <w:tcW w:w="5490" w:type="dxa"/>
          </w:tcPr>
          <w:p w:rsidR="002C5B45" w:rsidRPr="00A93EB5" w:rsidP="00877490" w14:paraId="4A115BD2" w14:textId="77777777">
            <w:r w:rsidRPr="00A93EB5">
              <w:t>Description of Services</w:t>
            </w:r>
          </w:p>
        </w:tc>
        <w:tc>
          <w:tcPr>
            <w:tcW w:w="1597" w:type="dxa"/>
          </w:tcPr>
          <w:p w:rsidR="002C5B45" w:rsidRPr="00A93EB5" w:rsidP="00877490" w14:paraId="16FC58F7" w14:textId="77777777">
            <w:r w:rsidRPr="00A93EB5">
              <w:t>Annual Cost</w:t>
            </w:r>
          </w:p>
        </w:tc>
      </w:tr>
      <w:tr w14:paraId="2887C49D" w14:textId="77777777" w:rsidTr="00877490">
        <w:tblPrEx>
          <w:tblW w:w="9175" w:type="dxa"/>
          <w:tblInd w:w="720" w:type="dxa"/>
          <w:tblLook w:val="01E0"/>
        </w:tblPrEx>
        <w:tc>
          <w:tcPr>
            <w:tcW w:w="2088" w:type="dxa"/>
          </w:tcPr>
          <w:p w:rsidR="002C5B45" w:rsidRPr="00A93EB5" w:rsidP="00877490" w14:paraId="61C88EFF" w14:textId="77777777">
            <w:r w:rsidRPr="00A93EB5">
              <w:t>CDC Personnel</w:t>
            </w:r>
          </w:p>
          <w:p w:rsidR="002C5B45" w:rsidP="00877490" w14:paraId="6622BF93" w14:textId="77777777">
            <w:pPr>
              <w:rPr>
                <w:vertAlign w:val="superscript"/>
              </w:rPr>
            </w:pPr>
          </w:p>
          <w:p w:rsidR="002C5B45" w:rsidP="00877490" w14:paraId="5E1C5CAB" w14:textId="77777777"/>
          <w:p w:rsidR="002C5B45" w:rsidRPr="006B4FD3" w:rsidP="00877490" w14:paraId="011BE60A" w14:textId="77777777">
            <w:pPr>
              <w:ind w:firstLine="720"/>
            </w:pPr>
          </w:p>
        </w:tc>
        <w:tc>
          <w:tcPr>
            <w:tcW w:w="5490" w:type="dxa"/>
          </w:tcPr>
          <w:p w:rsidR="0061195D" w:rsidRPr="00395E41" w:rsidP="0061195D" w14:paraId="4E3DFC17" w14:textId="0229C01C">
            <w:pPr>
              <w:pStyle w:val="paragraph"/>
              <w:numPr>
                <w:ilvl w:val="0"/>
                <w:numId w:val="31"/>
              </w:numPr>
              <w:spacing w:before="0" w:beforeAutospacing="0" w:after="0" w:afterAutospacing="0"/>
              <w:ind w:left="765" w:firstLine="0"/>
              <w:textAlignment w:val="baseline"/>
              <w:rPr>
                <w:color w:val="000000" w:themeColor="text1"/>
                <w:sz w:val="22"/>
                <w:szCs w:val="22"/>
              </w:rPr>
            </w:pPr>
            <w:r w:rsidRPr="00395E41">
              <w:rPr>
                <w:rStyle w:val="normaltextrun"/>
                <w:color w:val="000000" w:themeColor="text1"/>
                <w:sz w:val="20"/>
                <w:szCs w:val="20"/>
              </w:rPr>
              <w:t>75</w:t>
            </w:r>
            <w:r w:rsidRPr="00395E41" w:rsidR="00395E41">
              <w:rPr>
                <w:rStyle w:val="normaltextrun"/>
                <w:color w:val="000000" w:themeColor="text1"/>
                <w:sz w:val="20"/>
                <w:szCs w:val="20"/>
              </w:rPr>
              <w:t>%</w:t>
            </w:r>
            <w:r w:rsidRPr="00395E41">
              <w:rPr>
                <w:rStyle w:val="normaltextrun"/>
                <w:color w:val="000000" w:themeColor="text1"/>
                <w:sz w:val="20"/>
                <w:szCs w:val="20"/>
              </w:rPr>
              <w:t xml:space="preserve"> GS-13 @ $88,520 /year = $66,390</w:t>
            </w:r>
            <w:r w:rsidRPr="00395E41">
              <w:rPr>
                <w:rStyle w:val="eop"/>
                <w:color w:val="000000" w:themeColor="text1"/>
                <w:sz w:val="20"/>
                <w:szCs w:val="20"/>
              </w:rPr>
              <w:t> </w:t>
            </w:r>
          </w:p>
          <w:p w:rsidR="0061195D" w:rsidRPr="00395E41" w:rsidP="0061195D" w14:paraId="3AFCD978" w14:textId="77777777">
            <w:pPr>
              <w:pStyle w:val="paragraph"/>
              <w:numPr>
                <w:ilvl w:val="0"/>
                <w:numId w:val="32"/>
              </w:numPr>
              <w:spacing w:before="0" w:beforeAutospacing="0" w:after="0" w:afterAutospacing="0"/>
              <w:ind w:left="765" w:firstLine="0"/>
              <w:textAlignment w:val="baseline"/>
              <w:rPr>
                <w:color w:val="000000" w:themeColor="text1"/>
                <w:sz w:val="22"/>
                <w:szCs w:val="22"/>
              </w:rPr>
            </w:pPr>
            <w:r w:rsidRPr="00395E41">
              <w:rPr>
                <w:rStyle w:val="normaltextrun"/>
                <w:color w:val="000000" w:themeColor="text1"/>
                <w:sz w:val="20"/>
                <w:szCs w:val="20"/>
              </w:rPr>
              <w:t>50% GS-13 @ $88,520 /year = $43,610</w:t>
            </w:r>
            <w:r w:rsidRPr="00395E41">
              <w:rPr>
                <w:rStyle w:val="eop"/>
                <w:color w:val="000000" w:themeColor="text1"/>
                <w:sz w:val="20"/>
                <w:szCs w:val="20"/>
              </w:rPr>
              <w:t> </w:t>
            </w:r>
          </w:p>
          <w:p w:rsidR="0061195D" w:rsidRPr="00395E41" w:rsidP="0061195D" w14:paraId="112FA5A4" w14:textId="4E90C859">
            <w:pPr>
              <w:pStyle w:val="paragraph"/>
              <w:numPr>
                <w:ilvl w:val="0"/>
                <w:numId w:val="33"/>
              </w:numPr>
              <w:spacing w:before="0" w:beforeAutospacing="0" w:after="0" w:afterAutospacing="0"/>
              <w:ind w:left="765" w:firstLine="0"/>
              <w:textAlignment w:val="baseline"/>
              <w:rPr>
                <w:color w:val="000000" w:themeColor="text1"/>
                <w:sz w:val="22"/>
                <w:szCs w:val="22"/>
              </w:rPr>
            </w:pPr>
            <w:r w:rsidRPr="00395E41">
              <w:rPr>
                <w:rStyle w:val="normaltextrun"/>
                <w:color w:val="000000" w:themeColor="text1"/>
                <w:sz w:val="20"/>
                <w:szCs w:val="20"/>
              </w:rPr>
              <w:t>15% GS-14 @ $104,604/year = $15,691</w:t>
            </w:r>
            <w:r w:rsidRPr="00395E41">
              <w:rPr>
                <w:rStyle w:val="eop"/>
                <w:color w:val="000000" w:themeColor="text1"/>
                <w:sz w:val="20"/>
                <w:szCs w:val="20"/>
              </w:rPr>
              <w:t> </w:t>
            </w:r>
          </w:p>
          <w:p w:rsidR="002C5B45" w:rsidRPr="00A93EB5" w:rsidP="00877490" w14:paraId="13BB1A0E" w14:textId="77777777"/>
        </w:tc>
        <w:tc>
          <w:tcPr>
            <w:tcW w:w="1597" w:type="dxa"/>
            <w:vAlign w:val="center"/>
          </w:tcPr>
          <w:p w:rsidR="002C5B45" w:rsidRPr="00A93EB5" w:rsidP="00877490" w14:paraId="0BE342D6" w14:textId="7CB2F6CA">
            <w:pPr>
              <w:jc w:val="right"/>
            </w:pPr>
            <w:r>
              <w:t>$</w:t>
            </w:r>
            <w:r w:rsidR="0061195D">
              <w:t>148,471</w:t>
            </w:r>
          </w:p>
        </w:tc>
      </w:tr>
      <w:tr w14:paraId="755665DA" w14:textId="77777777" w:rsidTr="00877490">
        <w:tblPrEx>
          <w:tblW w:w="9175" w:type="dxa"/>
          <w:tblInd w:w="720" w:type="dxa"/>
          <w:tblLook w:val="01E0"/>
        </w:tblPrEx>
        <w:tc>
          <w:tcPr>
            <w:tcW w:w="2088" w:type="dxa"/>
          </w:tcPr>
          <w:p w:rsidR="002C5B45" w:rsidRPr="00A93EB5" w:rsidP="00877490" w14:paraId="7B8E8FB3" w14:textId="77777777">
            <w:r w:rsidRPr="00A93EB5">
              <w:t>Contractor</w:t>
            </w:r>
          </w:p>
        </w:tc>
        <w:tc>
          <w:tcPr>
            <w:tcW w:w="5490" w:type="dxa"/>
          </w:tcPr>
          <w:p w:rsidR="002C5B45" w:rsidRPr="00A93EB5" w:rsidP="00877490" w14:paraId="272BCFF9" w14:textId="77777777">
            <w:pPr>
              <w:pStyle w:val="ListParagraph"/>
              <w:ind w:left="72"/>
            </w:pPr>
            <w:r w:rsidRPr="00A93EB5">
              <w:t>Data Collection Contractor</w:t>
            </w:r>
          </w:p>
        </w:tc>
        <w:tc>
          <w:tcPr>
            <w:tcW w:w="1597" w:type="dxa"/>
            <w:vAlign w:val="center"/>
          </w:tcPr>
          <w:p w:rsidR="002C5B45" w:rsidRPr="00A93EB5" w:rsidP="00877490" w14:paraId="56D6465E" w14:textId="77777777">
            <w:pPr>
              <w:jc w:val="right"/>
            </w:pPr>
            <w:r>
              <w:t>$100,000</w:t>
            </w:r>
          </w:p>
        </w:tc>
      </w:tr>
      <w:tr w14:paraId="48217EB4" w14:textId="77777777" w:rsidTr="00877490">
        <w:tblPrEx>
          <w:tblW w:w="9175" w:type="dxa"/>
          <w:tblInd w:w="720" w:type="dxa"/>
          <w:tblLook w:val="01E0"/>
        </w:tblPrEx>
        <w:tc>
          <w:tcPr>
            <w:tcW w:w="7578" w:type="dxa"/>
            <w:gridSpan w:val="2"/>
          </w:tcPr>
          <w:p w:rsidR="002C5B45" w:rsidRPr="00A93EB5" w:rsidP="00877490" w14:paraId="0E8E5702" w14:textId="77777777">
            <w:pPr>
              <w:jc w:val="right"/>
              <w:rPr>
                <w:bCs/>
              </w:rPr>
            </w:pPr>
            <w:r w:rsidRPr="00A93EB5">
              <w:rPr>
                <w:bCs/>
              </w:rPr>
              <w:t>Total Annual Estimated Costs</w:t>
            </w:r>
          </w:p>
        </w:tc>
        <w:tc>
          <w:tcPr>
            <w:tcW w:w="1597" w:type="dxa"/>
          </w:tcPr>
          <w:p w:rsidR="002C5B45" w:rsidRPr="00A93EB5" w:rsidP="00877490" w14:paraId="05AC901E" w14:textId="737F39A8">
            <w:pPr>
              <w:jc w:val="right"/>
              <w:rPr>
                <w:b/>
                <w:bCs/>
              </w:rPr>
            </w:pPr>
            <w:r>
              <w:rPr>
                <w:b/>
                <w:bCs/>
              </w:rPr>
              <w:t>$</w:t>
            </w:r>
            <w:r w:rsidR="00180178">
              <w:rPr>
                <w:b/>
                <w:bCs/>
              </w:rPr>
              <w:t>248,471</w:t>
            </w:r>
          </w:p>
        </w:tc>
      </w:tr>
    </w:tbl>
    <w:p w:rsidR="0069469E" w:rsidRPr="00691454" w:rsidP="00BE2065" w14:paraId="40822391" w14:textId="77777777">
      <w:pPr>
        <w:autoSpaceDE w:val="0"/>
        <w:autoSpaceDN w:val="0"/>
        <w:adjustRightInd w:val="0"/>
        <w:rPr>
          <w:rFonts w:ascii="TimesNewRomanPSMT" w:hAnsi="TimesNewRomanPSMT" w:cs="TimesNewRomanPSMT"/>
        </w:rPr>
      </w:pPr>
    </w:p>
    <w:p w:rsidR="00972DEF" w:rsidP="00972DEF" w14:paraId="40822392" w14:textId="6C7FF39E">
      <w:pPr>
        <w:autoSpaceDE w:val="0"/>
        <w:autoSpaceDN w:val="0"/>
        <w:adjustRightInd w:val="0"/>
        <w:rPr>
          <w:b/>
          <w:bCs/>
        </w:rPr>
      </w:pPr>
      <w:r w:rsidRPr="00691454">
        <w:rPr>
          <w:b/>
          <w:bCs/>
        </w:rPr>
        <w:t xml:space="preserve">A.15. </w:t>
      </w:r>
      <w:r w:rsidRPr="00691454">
        <w:rPr>
          <w:b/>
          <w:bCs/>
        </w:rPr>
        <w:tab/>
        <w:t xml:space="preserve">Explanation for Program Changes or Adjustments </w:t>
      </w:r>
    </w:p>
    <w:p w:rsidR="008F2237" w:rsidP="00972DEF" w14:paraId="03B1D67C" w14:textId="587DFDAE">
      <w:pPr>
        <w:autoSpaceDE w:val="0"/>
        <w:autoSpaceDN w:val="0"/>
        <w:adjustRightInd w:val="0"/>
        <w:rPr>
          <w:b/>
          <w:bCs/>
        </w:rPr>
      </w:pPr>
    </w:p>
    <w:p w:rsidR="008F2237" w:rsidP="008F2237" w14:paraId="031DCAFE" w14:textId="13F48C95">
      <w:pPr>
        <w:autoSpaceDE w:val="0"/>
        <w:autoSpaceDN w:val="0"/>
        <w:adjustRightInd w:val="0"/>
      </w:pPr>
      <w:r>
        <w:t xml:space="preserve">This revision request is to add three recipients to </w:t>
      </w:r>
      <w:r w:rsidR="003B2BC6">
        <w:t xml:space="preserve">the data collection. The estimated increase change in burden from the last OMB approval is </w:t>
      </w:r>
      <w:r w:rsidR="004D7AFC">
        <w:t xml:space="preserve">33 hours (286 present request – 253 previous approval). </w:t>
      </w:r>
    </w:p>
    <w:p w:rsidR="004D7AFC" w:rsidP="008F2237" w14:paraId="1E8AB9C2" w14:textId="77777777">
      <w:pPr>
        <w:autoSpaceDE w:val="0"/>
        <w:autoSpaceDN w:val="0"/>
        <w:adjustRightInd w:val="0"/>
      </w:pPr>
    </w:p>
    <w:p w:rsidR="008F2237" w:rsidRPr="008F2237" w:rsidP="00972DEF" w14:paraId="7479E39C" w14:textId="77777777">
      <w:pPr>
        <w:autoSpaceDE w:val="0"/>
        <w:autoSpaceDN w:val="0"/>
        <w:adjustRightInd w:val="0"/>
        <w:rPr>
          <w:b/>
          <w:bCs/>
        </w:rPr>
      </w:pPr>
    </w:p>
    <w:p w:rsidR="00972DEF" w:rsidP="00972DEF" w14:paraId="40822394" w14:textId="67B4AE48">
      <w:pPr>
        <w:autoSpaceDE w:val="0"/>
        <w:autoSpaceDN w:val="0"/>
        <w:adjustRightInd w:val="0"/>
      </w:pPr>
      <w:r w:rsidRPr="00F23BC4">
        <w:rPr>
          <w:b/>
          <w:bCs/>
        </w:rPr>
        <w:t>A.16. Plans for Tabulation</w:t>
      </w:r>
      <w:r w:rsidRPr="00F23BC4" w:rsidR="00203955">
        <w:rPr>
          <w:b/>
          <w:bCs/>
        </w:rPr>
        <w:t xml:space="preserve"> and </w:t>
      </w:r>
      <w:r w:rsidRPr="00F23BC4">
        <w:rPr>
          <w:b/>
          <w:bCs/>
        </w:rPr>
        <w:t>Publication, and Project Time Schedule</w:t>
      </w:r>
      <w:r w:rsidRPr="00691454">
        <w:t xml:space="preserve"> </w:t>
      </w:r>
    </w:p>
    <w:p w:rsidR="008F2237" w:rsidP="00972DEF" w14:paraId="198EE7A3" w14:textId="1A5905C6">
      <w:pPr>
        <w:autoSpaceDE w:val="0"/>
        <w:autoSpaceDN w:val="0"/>
        <w:adjustRightInd w:val="0"/>
      </w:pPr>
    </w:p>
    <w:p w:rsidR="008F2237" w:rsidRPr="008F2237" w:rsidP="008F2237" w14:paraId="3B92B054" w14:textId="16B880C9">
      <w:pPr>
        <w:autoSpaceDE w:val="0"/>
        <w:autoSpaceDN w:val="0"/>
        <w:adjustRightInd w:val="0"/>
        <w:rPr>
          <w:bCs/>
        </w:rPr>
      </w:pPr>
      <w:r w:rsidRPr="008F2237">
        <w:rPr>
          <w:bCs/>
        </w:rPr>
        <w:t xml:space="preserve">Information collected by the </w:t>
      </w:r>
      <w:r w:rsidR="00902D17">
        <w:rPr>
          <w:bCs/>
        </w:rPr>
        <w:t>recipients</w:t>
      </w:r>
      <w:r w:rsidRPr="008F2237">
        <w:rPr>
          <w:bCs/>
        </w:rPr>
        <w:t xml:space="preserve"> will be reported in internal CDC documents and shared with state-based programs. Publication in a peer-reviewed scientific journal will be determined post-data collection. </w:t>
      </w:r>
    </w:p>
    <w:p w:rsidR="008F2237" w:rsidRPr="008F2237" w:rsidP="008F2237" w14:paraId="05836501" w14:textId="77777777">
      <w:pPr>
        <w:autoSpaceDE w:val="0"/>
        <w:autoSpaceDN w:val="0"/>
        <w:adjustRightInd w:val="0"/>
        <w:rPr>
          <w:bCs/>
        </w:rPr>
      </w:pPr>
    </w:p>
    <w:p w:rsidR="008F2237" w:rsidRPr="008F2237" w:rsidP="008F2237" w14:paraId="0811088C" w14:textId="69239438">
      <w:pPr>
        <w:autoSpaceDE w:val="0"/>
        <w:autoSpaceDN w:val="0"/>
        <w:adjustRightInd w:val="0"/>
        <w:rPr>
          <w:bCs/>
        </w:rPr>
      </w:pPr>
      <w:r w:rsidRPr="008F2237">
        <w:rPr>
          <w:bCs/>
        </w:rPr>
        <w:t xml:space="preserve">CDC will use statistical methods for analyzing information. For example, the difference between baseline rates and achieved rates on indicators will be documented and analyzed. </w:t>
      </w:r>
    </w:p>
    <w:p w:rsidR="008F2237" w:rsidRPr="008F2237" w:rsidP="008F2237" w14:paraId="1081A1F4" w14:textId="77777777">
      <w:pPr>
        <w:autoSpaceDE w:val="0"/>
        <w:autoSpaceDN w:val="0"/>
        <w:adjustRightInd w:val="0"/>
        <w:rPr>
          <w:bCs/>
        </w:rPr>
      </w:pPr>
    </w:p>
    <w:tbl>
      <w:tblPr>
        <w:tblStyle w:val="TableGrid"/>
        <w:tblpPr w:leftFromText="180" w:rightFromText="180" w:vertAnchor="text" w:horzAnchor="margin" w:tblpY="67"/>
        <w:tblW w:w="8729" w:type="dxa"/>
        <w:tblLook w:val="04A0"/>
      </w:tblPr>
      <w:tblGrid>
        <w:gridCol w:w="4364"/>
        <w:gridCol w:w="4365"/>
      </w:tblGrid>
      <w:tr w14:paraId="145D3174" w14:textId="77777777" w:rsidTr="009C37CE">
        <w:tblPrEx>
          <w:tblW w:w="8729" w:type="dxa"/>
          <w:tblLook w:val="04A0"/>
        </w:tblPrEx>
        <w:trPr>
          <w:trHeight w:val="332"/>
        </w:trPr>
        <w:tc>
          <w:tcPr>
            <w:tcW w:w="8729" w:type="dxa"/>
            <w:gridSpan w:val="2"/>
            <w:shd w:val="clear" w:color="auto" w:fill="auto"/>
            <w:vAlign w:val="bottom"/>
          </w:tcPr>
          <w:p w:rsidR="008F2237" w:rsidRPr="008F2237" w:rsidP="008F2237" w14:paraId="582EBEDE" w14:textId="77777777">
            <w:pPr>
              <w:autoSpaceDE w:val="0"/>
              <w:autoSpaceDN w:val="0"/>
              <w:adjustRightInd w:val="0"/>
              <w:rPr>
                <w:b/>
                <w:bCs/>
                <w:i/>
              </w:rPr>
            </w:pPr>
            <w:r w:rsidRPr="009C37CE">
              <w:rPr>
                <w:b/>
                <w:bCs/>
                <w:i/>
              </w:rPr>
              <w:t>Project Time Schedule</w:t>
            </w:r>
          </w:p>
        </w:tc>
      </w:tr>
      <w:tr w14:paraId="2A19CD1F" w14:textId="77777777" w:rsidTr="00DE5008">
        <w:tblPrEx>
          <w:tblW w:w="8729" w:type="dxa"/>
          <w:tblLook w:val="04A0"/>
        </w:tblPrEx>
        <w:trPr>
          <w:trHeight w:val="260"/>
        </w:trPr>
        <w:tc>
          <w:tcPr>
            <w:tcW w:w="4364" w:type="dxa"/>
            <w:vAlign w:val="bottom"/>
          </w:tcPr>
          <w:p w:rsidR="008F2237" w:rsidRPr="008F2237" w:rsidP="008F2237" w14:paraId="563EEAB5" w14:textId="77777777">
            <w:pPr>
              <w:autoSpaceDE w:val="0"/>
              <w:autoSpaceDN w:val="0"/>
              <w:adjustRightInd w:val="0"/>
              <w:rPr>
                <w:b/>
                <w:bCs/>
              </w:rPr>
            </w:pPr>
            <w:r w:rsidRPr="008F2237">
              <w:rPr>
                <w:b/>
                <w:bCs/>
              </w:rPr>
              <w:t>Activity</w:t>
            </w:r>
          </w:p>
        </w:tc>
        <w:tc>
          <w:tcPr>
            <w:tcW w:w="4365" w:type="dxa"/>
            <w:vAlign w:val="bottom"/>
          </w:tcPr>
          <w:p w:rsidR="008F2237" w:rsidRPr="008F2237" w:rsidP="008F2237" w14:paraId="46BF0B1A" w14:textId="77777777">
            <w:pPr>
              <w:autoSpaceDE w:val="0"/>
              <w:autoSpaceDN w:val="0"/>
              <w:adjustRightInd w:val="0"/>
              <w:rPr>
                <w:b/>
                <w:bCs/>
              </w:rPr>
            </w:pPr>
            <w:r w:rsidRPr="008F2237">
              <w:rPr>
                <w:b/>
                <w:bCs/>
              </w:rPr>
              <w:t>Time Schedule</w:t>
            </w:r>
          </w:p>
        </w:tc>
      </w:tr>
      <w:tr w14:paraId="1488032D" w14:textId="77777777" w:rsidTr="00DE5008">
        <w:tblPrEx>
          <w:tblW w:w="8729" w:type="dxa"/>
          <w:tblLook w:val="04A0"/>
        </w:tblPrEx>
        <w:trPr>
          <w:trHeight w:val="602"/>
        </w:trPr>
        <w:tc>
          <w:tcPr>
            <w:tcW w:w="4364" w:type="dxa"/>
            <w:vAlign w:val="bottom"/>
          </w:tcPr>
          <w:p w:rsidR="008F2237" w:rsidRPr="008F2237" w:rsidP="008F2237" w14:paraId="3ADEEE96" w14:textId="58455B18">
            <w:pPr>
              <w:autoSpaceDE w:val="0"/>
              <w:autoSpaceDN w:val="0"/>
              <w:adjustRightInd w:val="0"/>
              <w:rPr>
                <w:bCs/>
              </w:rPr>
            </w:pPr>
            <w:r>
              <w:rPr>
                <w:bCs/>
              </w:rPr>
              <w:t>Annual data collection</w:t>
            </w:r>
          </w:p>
        </w:tc>
        <w:tc>
          <w:tcPr>
            <w:tcW w:w="4365" w:type="dxa"/>
            <w:vAlign w:val="bottom"/>
          </w:tcPr>
          <w:p w:rsidR="008F2237" w:rsidRPr="008F2237" w:rsidP="008F2237" w14:paraId="1573BF8B" w14:textId="4BE6F760">
            <w:pPr>
              <w:autoSpaceDE w:val="0"/>
              <w:autoSpaceDN w:val="0"/>
              <w:adjustRightInd w:val="0"/>
              <w:rPr>
                <w:bCs/>
              </w:rPr>
            </w:pPr>
            <w:r>
              <w:rPr>
                <w:bCs/>
              </w:rPr>
              <w:t xml:space="preserve">Ongoing </w:t>
            </w:r>
            <w:r w:rsidR="001A057A">
              <w:rPr>
                <w:bCs/>
              </w:rPr>
              <w:t xml:space="preserve">once annually </w:t>
            </w:r>
            <w:r w:rsidR="002762BA">
              <w:rPr>
                <w:bCs/>
              </w:rPr>
              <w:t xml:space="preserve">after OMB approval. </w:t>
            </w:r>
          </w:p>
        </w:tc>
      </w:tr>
      <w:tr w14:paraId="6CEB8BF4" w14:textId="77777777" w:rsidTr="00DE5008">
        <w:tblPrEx>
          <w:tblW w:w="8729" w:type="dxa"/>
          <w:tblLook w:val="04A0"/>
        </w:tblPrEx>
        <w:trPr>
          <w:trHeight w:val="368"/>
        </w:trPr>
        <w:tc>
          <w:tcPr>
            <w:tcW w:w="4364" w:type="dxa"/>
            <w:vAlign w:val="bottom"/>
          </w:tcPr>
          <w:p w:rsidR="002C20BB" w:rsidRPr="008F2237" w:rsidP="008F2237" w14:paraId="40EE9A5B" w14:textId="221E856F">
            <w:pPr>
              <w:autoSpaceDE w:val="0"/>
              <w:autoSpaceDN w:val="0"/>
              <w:adjustRightInd w:val="0"/>
              <w:rPr>
                <w:bCs/>
              </w:rPr>
            </w:pPr>
            <w:r>
              <w:rPr>
                <w:bCs/>
              </w:rPr>
              <w:t xml:space="preserve">Data </w:t>
            </w:r>
            <w:r w:rsidR="00782B1F">
              <w:rPr>
                <w:bCs/>
              </w:rPr>
              <w:t>cleaning and analysis</w:t>
            </w:r>
          </w:p>
        </w:tc>
        <w:tc>
          <w:tcPr>
            <w:tcW w:w="4365" w:type="dxa"/>
            <w:vAlign w:val="bottom"/>
          </w:tcPr>
          <w:p w:rsidR="002C20BB" w:rsidRPr="008F2237" w:rsidP="008F2237" w14:paraId="1CA47A10" w14:textId="76ACF9CF">
            <w:pPr>
              <w:autoSpaceDE w:val="0"/>
              <w:autoSpaceDN w:val="0"/>
              <w:adjustRightInd w:val="0"/>
              <w:rPr>
                <w:bCs/>
              </w:rPr>
            </w:pPr>
            <w:r>
              <w:rPr>
                <w:bCs/>
              </w:rPr>
              <w:t>Ongoing annually after OMB approval.</w:t>
            </w:r>
          </w:p>
        </w:tc>
      </w:tr>
      <w:tr w14:paraId="66947C31" w14:textId="77777777" w:rsidTr="00DE5008">
        <w:tblPrEx>
          <w:tblW w:w="8729" w:type="dxa"/>
          <w:tblLook w:val="04A0"/>
        </w:tblPrEx>
        <w:trPr>
          <w:trHeight w:val="422"/>
        </w:trPr>
        <w:tc>
          <w:tcPr>
            <w:tcW w:w="4364" w:type="dxa"/>
            <w:vAlign w:val="bottom"/>
          </w:tcPr>
          <w:p w:rsidR="002C20BB" w:rsidRPr="008F2237" w:rsidP="008F2237" w14:paraId="23650F2C" w14:textId="1428A835">
            <w:pPr>
              <w:autoSpaceDE w:val="0"/>
              <w:autoSpaceDN w:val="0"/>
              <w:adjustRightInd w:val="0"/>
              <w:rPr>
                <w:bCs/>
              </w:rPr>
            </w:pPr>
            <w:r>
              <w:rPr>
                <w:bCs/>
              </w:rPr>
              <w:t xml:space="preserve">Reporting of evaluation </w:t>
            </w:r>
            <w:r w:rsidR="002F2FD0">
              <w:rPr>
                <w:bCs/>
              </w:rPr>
              <w:t>data and findings to recipients and stakeholders</w:t>
            </w:r>
          </w:p>
        </w:tc>
        <w:tc>
          <w:tcPr>
            <w:tcW w:w="4365" w:type="dxa"/>
            <w:vAlign w:val="bottom"/>
          </w:tcPr>
          <w:p w:rsidR="002C20BB" w:rsidRPr="008F2237" w:rsidP="008F2237" w14:paraId="7703C474" w14:textId="2BB98E37">
            <w:pPr>
              <w:autoSpaceDE w:val="0"/>
              <w:autoSpaceDN w:val="0"/>
              <w:adjustRightInd w:val="0"/>
              <w:rPr>
                <w:bCs/>
              </w:rPr>
            </w:pPr>
            <w:r>
              <w:rPr>
                <w:bCs/>
              </w:rPr>
              <w:t>Ongoing annually after OMB approval.</w:t>
            </w:r>
          </w:p>
        </w:tc>
      </w:tr>
    </w:tbl>
    <w:p w:rsidR="008F2237" w:rsidRPr="008F2237" w:rsidP="008F2237" w14:paraId="4ED0DBB6" w14:textId="77777777">
      <w:pPr>
        <w:autoSpaceDE w:val="0"/>
        <w:autoSpaceDN w:val="0"/>
        <w:adjustRightInd w:val="0"/>
        <w:rPr>
          <w:bCs/>
        </w:rPr>
      </w:pPr>
    </w:p>
    <w:p w:rsidR="008F2237" w:rsidRPr="008F2237" w:rsidP="008F2237" w14:paraId="3D89BC5E" w14:textId="77777777">
      <w:pPr>
        <w:autoSpaceDE w:val="0"/>
        <w:autoSpaceDN w:val="0"/>
        <w:adjustRightInd w:val="0"/>
        <w:rPr>
          <w:bCs/>
        </w:rPr>
      </w:pPr>
    </w:p>
    <w:p w:rsidR="008F2237" w:rsidRPr="008F2237" w:rsidP="008F2237" w14:paraId="680C4786" w14:textId="77777777">
      <w:pPr>
        <w:autoSpaceDE w:val="0"/>
        <w:autoSpaceDN w:val="0"/>
        <w:adjustRightInd w:val="0"/>
        <w:rPr>
          <w:bCs/>
        </w:rPr>
      </w:pPr>
    </w:p>
    <w:p w:rsidR="008F2237" w:rsidRPr="008F2237" w:rsidP="008F2237" w14:paraId="3A20D6AB" w14:textId="77777777">
      <w:pPr>
        <w:autoSpaceDE w:val="0"/>
        <w:autoSpaceDN w:val="0"/>
        <w:adjustRightInd w:val="0"/>
        <w:rPr>
          <w:bCs/>
        </w:rPr>
      </w:pPr>
    </w:p>
    <w:p w:rsidR="008F2237" w:rsidRPr="008F2237" w:rsidP="008F2237" w14:paraId="18D822AF" w14:textId="77777777">
      <w:pPr>
        <w:autoSpaceDE w:val="0"/>
        <w:autoSpaceDN w:val="0"/>
        <w:adjustRightInd w:val="0"/>
        <w:rPr>
          <w:b/>
          <w:bCs/>
        </w:rPr>
      </w:pPr>
    </w:p>
    <w:p w:rsidR="008F2237" w:rsidRPr="008F2237" w:rsidP="008F2237" w14:paraId="36B74EC5" w14:textId="77777777">
      <w:pPr>
        <w:autoSpaceDE w:val="0"/>
        <w:autoSpaceDN w:val="0"/>
        <w:adjustRightInd w:val="0"/>
        <w:rPr>
          <w:b/>
          <w:bCs/>
        </w:rPr>
      </w:pPr>
    </w:p>
    <w:p w:rsidR="008F2237" w:rsidRPr="008F2237" w:rsidP="008F2237" w14:paraId="3155A213" w14:textId="77777777">
      <w:pPr>
        <w:autoSpaceDE w:val="0"/>
        <w:autoSpaceDN w:val="0"/>
        <w:adjustRightInd w:val="0"/>
        <w:rPr>
          <w:b/>
          <w:bCs/>
        </w:rPr>
      </w:pPr>
    </w:p>
    <w:p w:rsidR="008F2237" w:rsidRPr="008F2237" w:rsidP="008F2237" w14:paraId="3D3789D2" w14:textId="77777777">
      <w:pPr>
        <w:autoSpaceDE w:val="0"/>
        <w:autoSpaceDN w:val="0"/>
        <w:adjustRightInd w:val="0"/>
        <w:rPr>
          <w:b/>
          <w:bCs/>
        </w:rPr>
      </w:pPr>
    </w:p>
    <w:p w:rsidR="008F2237" w:rsidRPr="008F2237" w:rsidP="008F2237" w14:paraId="16AF0BBE" w14:textId="77777777">
      <w:pPr>
        <w:autoSpaceDE w:val="0"/>
        <w:autoSpaceDN w:val="0"/>
        <w:adjustRightInd w:val="0"/>
        <w:rPr>
          <w:b/>
          <w:bCs/>
        </w:rPr>
      </w:pPr>
    </w:p>
    <w:p w:rsidR="008F2237" w:rsidRPr="00691454" w:rsidP="00972DEF" w14:paraId="643F4130" w14:textId="77777777">
      <w:pPr>
        <w:autoSpaceDE w:val="0"/>
        <w:autoSpaceDN w:val="0"/>
        <w:adjustRightInd w:val="0"/>
      </w:pPr>
    </w:p>
    <w:p w:rsidR="00760067" w:rsidP="00972DEF" w14:paraId="40822395" w14:textId="77777777">
      <w:pPr>
        <w:autoSpaceDE w:val="0"/>
        <w:autoSpaceDN w:val="0"/>
        <w:adjustRightInd w:val="0"/>
        <w:rPr>
          <w:bCs/>
        </w:rPr>
      </w:pPr>
    </w:p>
    <w:p w:rsidR="00972DEF" w:rsidRPr="00691454" w:rsidP="00972DEF" w14:paraId="40822396" w14:textId="77777777">
      <w:pPr>
        <w:autoSpaceDE w:val="0"/>
        <w:autoSpaceDN w:val="0"/>
        <w:adjustRightInd w:val="0"/>
        <w:rPr>
          <w:b/>
          <w:bCs/>
        </w:rPr>
      </w:pPr>
      <w:r w:rsidRPr="00691454">
        <w:rPr>
          <w:b/>
          <w:bCs/>
        </w:rPr>
        <w:t xml:space="preserve">A.17. Reason(s) Display of OMB Expiration Date is Inappropriate </w:t>
      </w:r>
    </w:p>
    <w:p w:rsidR="00972DEF" w:rsidRPr="00691454" w:rsidP="00972DEF" w14:paraId="40822397" w14:textId="77777777">
      <w:pPr>
        <w:autoSpaceDE w:val="0"/>
        <w:autoSpaceDN w:val="0"/>
        <w:adjustRightInd w:val="0"/>
        <w:rPr>
          <w:b/>
          <w:bCs/>
        </w:rPr>
      </w:pPr>
    </w:p>
    <w:p w:rsidR="00972DEF" w:rsidRPr="00691454" w:rsidP="00972DEF" w14:paraId="40822398" w14:textId="77777777">
      <w:pPr>
        <w:autoSpaceDE w:val="0"/>
        <w:autoSpaceDN w:val="0"/>
        <w:adjustRightInd w:val="0"/>
      </w:pPr>
      <w:r w:rsidRPr="00691454">
        <w:t>The display of the OMB expiration date is not inappropriate</w:t>
      </w:r>
      <w:r w:rsidRPr="00691454" w:rsidR="00D11EEB">
        <w:t>.</w:t>
      </w:r>
    </w:p>
    <w:p w:rsidR="00972DEF" w:rsidRPr="00691454" w:rsidP="00972DEF" w14:paraId="40822399" w14:textId="77777777">
      <w:pPr>
        <w:autoSpaceDE w:val="0"/>
        <w:autoSpaceDN w:val="0"/>
        <w:adjustRightInd w:val="0"/>
      </w:pPr>
    </w:p>
    <w:p w:rsidR="00972DEF" w:rsidRPr="00691454" w:rsidP="00972DEF" w14:paraId="4082239A" w14:textId="77777777">
      <w:pPr>
        <w:autoSpaceDE w:val="0"/>
        <w:autoSpaceDN w:val="0"/>
        <w:adjustRightInd w:val="0"/>
        <w:rPr>
          <w:b/>
          <w:bCs/>
        </w:rPr>
      </w:pPr>
      <w:r w:rsidRPr="00691454">
        <w:rPr>
          <w:b/>
          <w:bCs/>
        </w:rPr>
        <w:t xml:space="preserve">A.18. Exceptions to Certification for Paperwork Reduction Act Submissions </w:t>
      </w:r>
    </w:p>
    <w:p w:rsidR="00972DEF" w:rsidRPr="00691454" w:rsidP="00972DEF" w14:paraId="4082239B" w14:textId="77777777">
      <w:pPr>
        <w:autoSpaceDE w:val="0"/>
        <w:autoSpaceDN w:val="0"/>
        <w:adjustRightInd w:val="0"/>
        <w:rPr>
          <w:b/>
          <w:bCs/>
        </w:rPr>
      </w:pPr>
    </w:p>
    <w:p w:rsidR="00972DEF" w:rsidRPr="00691454" w:rsidP="00972DEF" w14:paraId="4082239C" w14:textId="77777777">
      <w:pPr>
        <w:autoSpaceDE w:val="0"/>
        <w:autoSpaceDN w:val="0"/>
        <w:adjustRightInd w:val="0"/>
      </w:pPr>
      <w:r w:rsidRPr="00691454">
        <w:t>There are no exceptions to the certification.</w:t>
      </w:r>
    </w:p>
    <w:p w:rsidR="00972DEF" w:rsidRPr="00691454" w:rsidP="00420226" w14:paraId="4082239D" w14:textId="77777777">
      <w:pPr>
        <w:autoSpaceDE w:val="0"/>
        <w:autoSpaceDN w:val="0"/>
        <w:adjustRightInd w:val="0"/>
      </w:pPr>
      <w:r w:rsidRPr="00691454">
        <w:t xml:space="preserve"> </w:t>
      </w:r>
    </w:p>
    <w:p w:rsidR="00E14B37" w:rsidRPr="00691454" w:rsidP="00420226" w14:paraId="4082239E" w14:textId="77777777">
      <w:pPr>
        <w:autoSpaceDE w:val="0"/>
        <w:autoSpaceDN w:val="0"/>
        <w:adjustRightInd w:val="0"/>
      </w:pPr>
    </w:p>
    <w:p w:rsidR="00742897" w:rsidRPr="00760067" w:rsidP="00742897" w14:paraId="4082239F" w14:textId="57F3522F">
      <w:pPr>
        <w:rPr>
          <w:b/>
          <w:bCs/>
        </w:rPr>
      </w:pPr>
    </w:p>
    <w:sectPr w:rsidSect="001A0A8C">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4D"/>
    <w:family w:val="roman"/>
    <w:notTrueType/>
    <w:pitch w:val="default"/>
    <w:sig w:usb0="03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10E6" w:rsidP="001A0A8C" w14:paraId="408223A6"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E10E6" w:rsidP="001A0A8C" w14:paraId="408223A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10E6" w:rsidP="001A0A8C" w14:paraId="408223A8" w14:textId="77C67A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970BB">
      <w:rPr>
        <w:rStyle w:val="PageNumber"/>
        <w:noProof/>
      </w:rPr>
      <w:t>2</w:t>
    </w:r>
    <w:r>
      <w:rPr>
        <w:rStyle w:val="PageNumber"/>
      </w:rPr>
      <w:fldChar w:fldCharType="end"/>
    </w:r>
  </w:p>
  <w:p w:rsidR="00FE10E6" w:rsidRPr="00BB4559" w:rsidP="00144640" w14:paraId="408223A9"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10E6" w14:paraId="301B201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10E6" w14:paraId="21FBBF1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10E6" w14:paraId="3A74435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10E6" w14:paraId="183E240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B2FE1"/>
    <w:multiLevelType w:val="multilevel"/>
    <w:tmpl w:val="1A3A6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3D2A77"/>
    <w:multiLevelType w:val="hybridMultilevel"/>
    <w:tmpl w:val="3C88B7B2"/>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9A23EA"/>
    <w:multiLevelType w:val="hybridMultilevel"/>
    <w:tmpl w:val="27BEF1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C15CB1"/>
    <w:multiLevelType w:val="hybridMultilevel"/>
    <w:tmpl w:val="559000E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0BEA3432"/>
    <w:multiLevelType w:val="hybridMultilevel"/>
    <w:tmpl w:val="4DD697C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BF910CE"/>
    <w:multiLevelType w:val="multilevel"/>
    <w:tmpl w:val="B2E23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D662DFA"/>
    <w:multiLevelType w:val="hybridMultilevel"/>
    <w:tmpl w:val="22603B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1435D06"/>
    <w:multiLevelType w:val="hybridMultilevel"/>
    <w:tmpl w:val="0066944A"/>
    <w:lvl w:ilvl="0">
      <w:start w:val="1"/>
      <w:numFmt w:val="bullet"/>
      <w:lvlText w:val=""/>
      <w:lvlJc w:val="left"/>
      <w:pPr>
        <w:ind w:left="720" w:hanging="72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11CE4EA4"/>
    <w:multiLevelType w:val="hybridMultilevel"/>
    <w:tmpl w:val="68D4F3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2046977"/>
    <w:multiLevelType w:val="multilevel"/>
    <w:tmpl w:val="7CBA6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5AA482E"/>
    <w:multiLevelType w:val="hybridMultilevel"/>
    <w:tmpl w:val="B4827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662657A"/>
    <w:multiLevelType w:val="hybridMultilevel"/>
    <w:tmpl w:val="9A5C676C"/>
    <w:lvl w:ilvl="0">
      <w:start w:val="1"/>
      <w:numFmt w:val="decimal"/>
      <w:pStyle w:val="Level1"/>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16B26D72"/>
    <w:multiLevelType w:val="hybridMultilevel"/>
    <w:tmpl w:val="07FCA1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6D52FFB"/>
    <w:multiLevelType w:val="hybridMultilevel"/>
    <w:tmpl w:val="F9C6ADE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18D54CC6"/>
    <w:multiLevelType w:val="hybridMultilevel"/>
    <w:tmpl w:val="0464D4B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1AB7170E"/>
    <w:multiLevelType w:val="hybridMultilevel"/>
    <w:tmpl w:val="4B2AEE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BC03F73"/>
    <w:multiLevelType w:val="hybridMultilevel"/>
    <w:tmpl w:val="C2BC28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E317FD3"/>
    <w:multiLevelType w:val="hybridMultilevel"/>
    <w:tmpl w:val="D8A48E9C"/>
    <w:lvl w:ilvl="0">
      <w:start w:val="1"/>
      <w:numFmt w:val="bullet"/>
      <w:pStyle w:val="Bulleted"/>
      <w:lvlText w:val=""/>
      <w:lvlJc w:val="left"/>
      <w:pPr>
        <w:tabs>
          <w:tab w:val="num" w:pos="504"/>
        </w:tabs>
        <w:ind w:left="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8">
    <w:nsid w:val="1EF30D0C"/>
    <w:multiLevelType w:val="hybridMultilevel"/>
    <w:tmpl w:val="607836DA"/>
    <w:lvl w:ilvl="0">
      <w:start w:val="1"/>
      <w:numFmt w:val="bullet"/>
      <w:pStyle w:val="ListBullet"/>
      <w:lvlText w:val=""/>
      <w:lvlJc w:val="left"/>
      <w:pPr>
        <w:tabs>
          <w:tab w:val="num" w:pos="864"/>
        </w:tabs>
        <w:ind w:left="864" w:hanging="288"/>
      </w:pPr>
      <w:rPr>
        <w:rFonts w:ascii="Symbol" w:hAnsi="Symbol" w:cs="Symbol" w:hint="default"/>
      </w:rPr>
    </w:lvl>
    <w:lvl w:ilvl="1" w:tentative="1">
      <w:start w:val="1"/>
      <w:numFmt w:val="bullet"/>
      <w:lvlText w:val="o"/>
      <w:lvlJc w:val="left"/>
      <w:pPr>
        <w:tabs>
          <w:tab w:val="num" w:pos="2016"/>
        </w:tabs>
        <w:ind w:left="2016" w:hanging="360"/>
      </w:pPr>
      <w:rPr>
        <w:rFonts w:ascii="Courier New" w:hAnsi="Courier New" w:cs="Courier New" w:hint="default"/>
      </w:rPr>
    </w:lvl>
    <w:lvl w:ilvl="2" w:tentative="1">
      <w:start w:val="1"/>
      <w:numFmt w:val="bullet"/>
      <w:lvlText w:val=""/>
      <w:lvlJc w:val="left"/>
      <w:pPr>
        <w:tabs>
          <w:tab w:val="num" w:pos="2736"/>
        </w:tabs>
        <w:ind w:left="2736" w:hanging="360"/>
      </w:pPr>
      <w:rPr>
        <w:rFonts w:ascii="Wingdings" w:hAnsi="Wingdings" w:cs="Wingdings" w:hint="default"/>
      </w:rPr>
    </w:lvl>
    <w:lvl w:ilvl="3" w:tentative="1">
      <w:start w:val="1"/>
      <w:numFmt w:val="bullet"/>
      <w:lvlText w:val=""/>
      <w:lvlJc w:val="left"/>
      <w:pPr>
        <w:tabs>
          <w:tab w:val="num" w:pos="3456"/>
        </w:tabs>
        <w:ind w:left="3456" w:hanging="360"/>
      </w:pPr>
      <w:rPr>
        <w:rFonts w:ascii="Symbol" w:hAnsi="Symbol" w:cs="Symbol" w:hint="default"/>
      </w:rPr>
    </w:lvl>
    <w:lvl w:ilvl="4" w:tentative="1">
      <w:start w:val="1"/>
      <w:numFmt w:val="bullet"/>
      <w:lvlText w:val="o"/>
      <w:lvlJc w:val="left"/>
      <w:pPr>
        <w:tabs>
          <w:tab w:val="num" w:pos="4176"/>
        </w:tabs>
        <w:ind w:left="4176" w:hanging="360"/>
      </w:pPr>
      <w:rPr>
        <w:rFonts w:ascii="Courier New" w:hAnsi="Courier New" w:cs="Courier New" w:hint="default"/>
      </w:rPr>
    </w:lvl>
    <w:lvl w:ilvl="5" w:tentative="1">
      <w:start w:val="1"/>
      <w:numFmt w:val="bullet"/>
      <w:lvlText w:val=""/>
      <w:lvlJc w:val="left"/>
      <w:pPr>
        <w:tabs>
          <w:tab w:val="num" w:pos="4896"/>
        </w:tabs>
        <w:ind w:left="4896" w:hanging="360"/>
      </w:pPr>
      <w:rPr>
        <w:rFonts w:ascii="Wingdings" w:hAnsi="Wingdings" w:cs="Wingdings" w:hint="default"/>
      </w:rPr>
    </w:lvl>
    <w:lvl w:ilvl="6" w:tentative="1">
      <w:start w:val="1"/>
      <w:numFmt w:val="bullet"/>
      <w:lvlText w:val=""/>
      <w:lvlJc w:val="left"/>
      <w:pPr>
        <w:tabs>
          <w:tab w:val="num" w:pos="5616"/>
        </w:tabs>
        <w:ind w:left="5616" w:hanging="360"/>
      </w:pPr>
      <w:rPr>
        <w:rFonts w:ascii="Symbol" w:hAnsi="Symbol" w:cs="Symbol" w:hint="default"/>
      </w:rPr>
    </w:lvl>
    <w:lvl w:ilvl="7" w:tentative="1">
      <w:start w:val="1"/>
      <w:numFmt w:val="bullet"/>
      <w:lvlText w:val="o"/>
      <w:lvlJc w:val="left"/>
      <w:pPr>
        <w:tabs>
          <w:tab w:val="num" w:pos="6336"/>
        </w:tabs>
        <w:ind w:left="6336" w:hanging="360"/>
      </w:pPr>
      <w:rPr>
        <w:rFonts w:ascii="Courier New" w:hAnsi="Courier New" w:cs="Courier New" w:hint="default"/>
      </w:rPr>
    </w:lvl>
    <w:lvl w:ilvl="8" w:tentative="1">
      <w:start w:val="1"/>
      <w:numFmt w:val="bullet"/>
      <w:lvlText w:val=""/>
      <w:lvlJc w:val="left"/>
      <w:pPr>
        <w:tabs>
          <w:tab w:val="num" w:pos="7056"/>
        </w:tabs>
        <w:ind w:left="7056" w:hanging="360"/>
      </w:pPr>
      <w:rPr>
        <w:rFonts w:ascii="Wingdings" w:hAnsi="Wingdings" w:cs="Wingdings" w:hint="default"/>
      </w:rPr>
    </w:lvl>
  </w:abstractNum>
  <w:abstractNum w:abstractNumId="19">
    <w:nsid w:val="1F6058D2"/>
    <w:multiLevelType w:val="hybridMultilevel"/>
    <w:tmpl w:val="63E857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0830223"/>
    <w:multiLevelType w:val="hybridMultilevel"/>
    <w:tmpl w:val="08C25CD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26C63D80"/>
    <w:multiLevelType w:val="hybridMultilevel"/>
    <w:tmpl w:val="11FEB4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B4B219E"/>
    <w:multiLevelType w:val="hybridMultilevel"/>
    <w:tmpl w:val="2DC2C10E"/>
    <w:lvl w:ilvl="0">
      <w:start w:val="1"/>
      <w:numFmt w:val="bullet"/>
      <w:pStyle w:val="bullets"/>
      <w:lvlText w:val="■"/>
      <w:lvlJc w:val="left"/>
      <w:pPr>
        <w:tabs>
          <w:tab w:val="num" w:pos="720"/>
        </w:tabs>
        <w:ind w:left="720" w:hanging="360"/>
      </w:pPr>
      <w:rPr>
        <w:rFonts w:ascii="Times New Roman" w:hAnsi="Times New Roman" w:cs="Times New Roman" w:hint="default"/>
      </w:rPr>
    </w:lvl>
    <w:lvl w:ilvl="1">
      <w:start w:val="1"/>
      <w:numFmt w:val="bullet"/>
      <w:pStyle w:val="a2colbul"/>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23">
    <w:nsid w:val="2EAF3879"/>
    <w:multiLevelType w:val="hybridMultilevel"/>
    <w:tmpl w:val="FC6ECA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nsid w:val="2F7F5D1D"/>
    <w:multiLevelType w:val="hybridMultilevel"/>
    <w:tmpl w:val="F4A29742"/>
    <w:lvl w:ilvl="0">
      <w:start w:val="1"/>
      <w:numFmt w:val="decimal"/>
      <w:lvlText w:val="%1."/>
      <w:lvlJc w:val="left"/>
      <w:pPr>
        <w:ind w:left="780" w:hanging="360"/>
      </w:p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25">
    <w:nsid w:val="31803258"/>
    <w:multiLevelType w:val="hybridMultilevel"/>
    <w:tmpl w:val="437677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22335DF"/>
    <w:multiLevelType w:val="hybridMultilevel"/>
    <w:tmpl w:val="B32063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3E0D2765"/>
    <w:multiLevelType w:val="hybridMultilevel"/>
    <w:tmpl w:val="2A704F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EDB2435"/>
    <w:multiLevelType w:val="hybridMultilevel"/>
    <w:tmpl w:val="9FB093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EDB275C"/>
    <w:multiLevelType w:val="hybridMultilevel"/>
    <w:tmpl w:val="5DA63E4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4C174B1D"/>
    <w:multiLevelType w:val="hybridMultilevel"/>
    <w:tmpl w:val="927C46A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50F3312B"/>
    <w:multiLevelType w:val="hybridMultilevel"/>
    <w:tmpl w:val="0DFA85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26901DB"/>
    <w:multiLevelType w:val="hybridMultilevel"/>
    <w:tmpl w:val="512C8F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786146A"/>
    <w:multiLevelType w:val="hybridMulti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4">
    <w:nsid w:val="7E751FDB"/>
    <w:multiLevelType w:val="hybridMultilevel"/>
    <w:tmpl w:val="BA0E2E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E8C1310"/>
    <w:multiLevelType w:val="hybridMultilevel"/>
    <w:tmpl w:val="EEFCD5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72994055">
    <w:abstractNumId w:val="11"/>
  </w:num>
  <w:num w:numId="2" w16cid:durableId="1338195103">
    <w:abstractNumId w:val="33"/>
  </w:num>
  <w:num w:numId="3" w16cid:durableId="5446682">
    <w:abstractNumId w:val="17"/>
  </w:num>
  <w:num w:numId="4" w16cid:durableId="538511062">
    <w:abstractNumId w:val="18"/>
  </w:num>
  <w:num w:numId="5" w16cid:durableId="203979133">
    <w:abstractNumId w:val="22"/>
  </w:num>
  <w:num w:numId="6" w16cid:durableId="1795519547">
    <w:abstractNumId w:val="23"/>
  </w:num>
  <w:num w:numId="7" w16cid:durableId="1195532998">
    <w:abstractNumId w:val="7"/>
  </w:num>
  <w:num w:numId="8" w16cid:durableId="1731492465">
    <w:abstractNumId w:val="26"/>
  </w:num>
  <w:num w:numId="9" w16cid:durableId="1612937356">
    <w:abstractNumId w:val="15"/>
  </w:num>
  <w:num w:numId="10" w16cid:durableId="1687056135">
    <w:abstractNumId w:val="3"/>
  </w:num>
  <w:num w:numId="11" w16cid:durableId="1314607232">
    <w:abstractNumId w:val="13"/>
  </w:num>
  <w:num w:numId="12" w16cid:durableId="371812235">
    <w:abstractNumId w:val="20"/>
  </w:num>
  <w:num w:numId="13" w16cid:durableId="516235006">
    <w:abstractNumId w:val="8"/>
  </w:num>
  <w:num w:numId="14" w16cid:durableId="21377945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580471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41946596">
    <w:abstractNumId w:val="24"/>
  </w:num>
  <w:num w:numId="17" w16cid:durableId="676494611">
    <w:abstractNumId w:val="19"/>
  </w:num>
  <w:num w:numId="18" w16cid:durableId="1618369370">
    <w:abstractNumId w:val="35"/>
  </w:num>
  <w:num w:numId="19" w16cid:durableId="2064792298">
    <w:abstractNumId w:val="4"/>
  </w:num>
  <w:num w:numId="20" w16cid:durableId="1751003884">
    <w:abstractNumId w:val="29"/>
  </w:num>
  <w:num w:numId="21" w16cid:durableId="1785035655">
    <w:abstractNumId w:val="1"/>
  </w:num>
  <w:num w:numId="22" w16cid:durableId="1999382482">
    <w:abstractNumId w:val="34"/>
  </w:num>
  <w:num w:numId="23" w16cid:durableId="367533196">
    <w:abstractNumId w:val="16"/>
  </w:num>
  <w:num w:numId="24" w16cid:durableId="46536088">
    <w:abstractNumId w:val="28"/>
  </w:num>
  <w:num w:numId="25" w16cid:durableId="1022900669">
    <w:abstractNumId w:val="25"/>
  </w:num>
  <w:num w:numId="26" w16cid:durableId="1872643361">
    <w:abstractNumId w:val="31"/>
  </w:num>
  <w:num w:numId="27" w16cid:durableId="1806580838">
    <w:abstractNumId w:val="27"/>
  </w:num>
  <w:num w:numId="28" w16cid:durableId="1195653738">
    <w:abstractNumId w:val="32"/>
  </w:num>
  <w:num w:numId="29" w16cid:durableId="1999767513">
    <w:abstractNumId w:val="21"/>
  </w:num>
  <w:num w:numId="30" w16cid:durableId="1331175417">
    <w:abstractNumId w:val="6"/>
  </w:num>
  <w:num w:numId="31" w16cid:durableId="682782527">
    <w:abstractNumId w:val="9"/>
  </w:num>
  <w:num w:numId="32" w16cid:durableId="293753991">
    <w:abstractNumId w:val="0"/>
  </w:num>
  <w:num w:numId="33" w16cid:durableId="111482564">
    <w:abstractNumId w:val="5"/>
  </w:num>
  <w:num w:numId="34" w16cid:durableId="979581081">
    <w:abstractNumId w:val="2"/>
  </w:num>
  <w:num w:numId="35" w16cid:durableId="1011300662">
    <w:abstractNumId w:val="10"/>
  </w:num>
  <w:num w:numId="36" w16cid:durableId="1813478863">
    <w:abstractNumId w:val="30"/>
  </w:num>
  <w:num w:numId="37" w16cid:durableId="567500866">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DEF"/>
    <w:rsid w:val="00002669"/>
    <w:rsid w:val="00002CB2"/>
    <w:rsid w:val="00002FD5"/>
    <w:rsid w:val="00003D0C"/>
    <w:rsid w:val="00004EE7"/>
    <w:rsid w:val="000062AD"/>
    <w:rsid w:val="00006712"/>
    <w:rsid w:val="000068D5"/>
    <w:rsid w:val="00006CD4"/>
    <w:rsid w:val="00007EDD"/>
    <w:rsid w:val="00011980"/>
    <w:rsid w:val="00012596"/>
    <w:rsid w:val="0001311E"/>
    <w:rsid w:val="00013F0A"/>
    <w:rsid w:val="00014066"/>
    <w:rsid w:val="0001452F"/>
    <w:rsid w:val="00014C5D"/>
    <w:rsid w:val="00014F29"/>
    <w:rsid w:val="000151A9"/>
    <w:rsid w:val="00016731"/>
    <w:rsid w:val="000236D9"/>
    <w:rsid w:val="00024097"/>
    <w:rsid w:val="00024146"/>
    <w:rsid w:val="0002518C"/>
    <w:rsid w:val="00025AD3"/>
    <w:rsid w:val="00025CC1"/>
    <w:rsid w:val="000268B8"/>
    <w:rsid w:val="00026C55"/>
    <w:rsid w:val="00030B06"/>
    <w:rsid w:val="000311E8"/>
    <w:rsid w:val="000314AA"/>
    <w:rsid w:val="00031FD1"/>
    <w:rsid w:val="000325A1"/>
    <w:rsid w:val="00032EAB"/>
    <w:rsid w:val="000341F7"/>
    <w:rsid w:val="00034CB3"/>
    <w:rsid w:val="00034D66"/>
    <w:rsid w:val="00036E55"/>
    <w:rsid w:val="00037139"/>
    <w:rsid w:val="00037618"/>
    <w:rsid w:val="00040551"/>
    <w:rsid w:val="00042148"/>
    <w:rsid w:val="00043C49"/>
    <w:rsid w:val="00043F75"/>
    <w:rsid w:val="000448E5"/>
    <w:rsid w:val="00045AFB"/>
    <w:rsid w:val="000462CE"/>
    <w:rsid w:val="00046631"/>
    <w:rsid w:val="00046D69"/>
    <w:rsid w:val="00047243"/>
    <w:rsid w:val="00047A3B"/>
    <w:rsid w:val="00050115"/>
    <w:rsid w:val="00050E80"/>
    <w:rsid w:val="00050F4C"/>
    <w:rsid w:val="000523A4"/>
    <w:rsid w:val="000523C9"/>
    <w:rsid w:val="0005319C"/>
    <w:rsid w:val="00053C31"/>
    <w:rsid w:val="000541FE"/>
    <w:rsid w:val="00054F7E"/>
    <w:rsid w:val="0005567A"/>
    <w:rsid w:val="00061436"/>
    <w:rsid w:val="00061AD1"/>
    <w:rsid w:val="000630F3"/>
    <w:rsid w:val="00063B71"/>
    <w:rsid w:val="00063EA6"/>
    <w:rsid w:val="000642F2"/>
    <w:rsid w:val="000663CC"/>
    <w:rsid w:val="0006666D"/>
    <w:rsid w:val="000666C8"/>
    <w:rsid w:val="00066F07"/>
    <w:rsid w:val="000711CD"/>
    <w:rsid w:val="000712EE"/>
    <w:rsid w:val="000714C8"/>
    <w:rsid w:val="00072269"/>
    <w:rsid w:val="00073E4B"/>
    <w:rsid w:val="00074A93"/>
    <w:rsid w:val="00076D76"/>
    <w:rsid w:val="00077244"/>
    <w:rsid w:val="00081BDB"/>
    <w:rsid w:val="00081BDF"/>
    <w:rsid w:val="00082FB9"/>
    <w:rsid w:val="000847B7"/>
    <w:rsid w:val="00084F1E"/>
    <w:rsid w:val="00085277"/>
    <w:rsid w:val="000858FA"/>
    <w:rsid w:val="000868E7"/>
    <w:rsid w:val="000869C6"/>
    <w:rsid w:val="00087ABF"/>
    <w:rsid w:val="0009080F"/>
    <w:rsid w:val="00091FCF"/>
    <w:rsid w:val="000925D2"/>
    <w:rsid w:val="00093851"/>
    <w:rsid w:val="00093EE2"/>
    <w:rsid w:val="00093FAB"/>
    <w:rsid w:val="00094BF2"/>
    <w:rsid w:val="00095AF9"/>
    <w:rsid w:val="00096327"/>
    <w:rsid w:val="00096468"/>
    <w:rsid w:val="00096849"/>
    <w:rsid w:val="00097527"/>
    <w:rsid w:val="00097AC9"/>
    <w:rsid w:val="000A0589"/>
    <w:rsid w:val="000A0F71"/>
    <w:rsid w:val="000A1340"/>
    <w:rsid w:val="000A4B10"/>
    <w:rsid w:val="000A51FD"/>
    <w:rsid w:val="000A647F"/>
    <w:rsid w:val="000B0B65"/>
    <w:rsid w:val="000B0BC8"/>
    <w:rsid w:val="000B40E1"/>
    <w:rsid w:val="000B44A6"/>
    <w:rsid w:val="000B55DA"/>
    <w:rsid w:val="000B651E"/>
    <w:rsid w:val="000B6A5F"/>
    <w:rsid w:val="000B7303"/>
    <w:rsid w:val="000C274B"/>
    <w:rsid w:val="000C2EFC"/>
    <w:rsid w:val="000C3B79"/>
    <w:rsid w:val="000C4150"/>
    <w:rsid w:val="000C457B"/>
    <w:rsid w:val="000C4CAF"/>
    <w:rsid w:val="000C5528"/>
    <w:rsid w:val="000D03CC"/>
    <w:rsid w:val="000D05A0"/>
    <w:rsid w:val="000D05DE"/>
    <w:rsid w:val="000D0892"/>
    <w:rsid w:val="000D31C0"/>
    <w:rsid w:val="000D487E"/>
    <w:rsid w:val="000D4D34"/>
    <w:rsid w:val="000D6D27"/>
    <w:rsid w:val="000D6D36"/>
    <w:rsid w:val="000E1F62"/>
    <w:rsid w:val="000E215E"/>
    <w:rsid w:val="000E308F"/>
    <w:rsid w:val="000E3608"/>
    <w:rsid w:val="000E36A0"/>
    <w:rsid w:val="000E3BC9"/>
    <w:rsid w:val="000E3CED"/>
    <w:rsid w:val="000F01EB"/>
    <w:rsid w:val="000F0208"/>
    <w:rsid w:val="000F0DF0"/>
    <w:rsid w:val="000F0EE6"/>
    <w:rsid w:val="000F1766"/>
    <w:rsid w:val="000F19A7"/>
    <w:rsid w:val="000F251E"/>
    <w:rsid w:val="000F3125"/>
    <w:rsid w:val="000F50B9"/>
    <w:rsid w:val="000F517A"/>
    <w:rsid w:val="000F55B5"/>
    <w:rsid w:val="0010088D"/>
    <w:rsid w:val="00100D30"/>
    <w:rsid w:val="00102734"/>
    <w:rsid w:val="001032C7"/>
    <w:rsid w:val="00103D59"/>
    <w:rsid w:val="00105B29"/>
    <w:rsid w:val="00106370"/>
    <w:rsid w:val="00111819"/>
    <w:rsid w:val="00111EA3"/>
    <w:rsid w:val="00112C19"/>
    <w:rsid w:val="001134E9"/>
    <w:rsid w:val="001135F3"/>
    <w:rsid w:val="00114B4B"/>
    <w:rsid w:val="00115A76"/>
    <w:rsid w:val="00115D62"/>
    <w:rsid w:val="00117092"/>
    <w:rsid w:val="001176A2"/>
    <w:rsid w:val="00121360"/>
    <w:rsid w:val="00122751"/>
    <w:rsid w:val="00122E1B"/>
    <w:rsid w:val="001245D1"/>
    <w:rsid w:val="00124EB1"/>
    <w:rsid w:val="00124F7A"/>
    <w:rsid w:val="0012575C"/>
    <w:rsid w:val="00125A6A"/>
    <w:rsid w:val="00125D25"/>
    <w:rsid w:val="001265E4"/>
    <w:rsid w:val="00126958"/>
    <w:rsid w:val="00130E9D"/>
    <w:rsid w:val="001315F2"/>
    <w:rsid w:val="0013185D"/>
    <w:rsid w:val="00131E01"/>
    <w:rsid w:val="00133154"/>
    <w:rsid w:val="00133289"/>
    <w:rsid w:val="00134270"/>
    <w:rsid w:val="00134B50"/>
    <w:rsid w:val="001355B4"/>
    <w:rsid w:val="00135823"/>
    <w:rsid w:val="00137794"/>
    <w:rsid w:val="0013799C"/>
    <w:rsid w:val="00137C77"/>
    <w:rsid w:val="00140AD2"/>
    <w:rsid w:val="00140F38"/>
    <w:rsid w:val="001410BE"/>
    <w:rsid w:val="0014162A"/>
    <w:rsid w:val="00141F78"/>
    <w:rsid w:val="00143326"/>
    <w:rsid w:val="00143A97"/>
    <w:rsid w:val="00143BF1"/>
    <w:rsid w:val="001440C5"/>
    <w:rsid w:val="00144640"/>
    <w:rsid w:val="00146859"/>
    <w:rsid w:val="00147660"/>
    <w:rsid w:val="001477EC"/>
    <w:rsid w:val="00147F0D"/>
    <w:rsid w:val="00152324"/>
    <w:rsid w:val="001528DE"/>
    <w:rsid w:val="00153553"/>
    <w:rsid w:val="00153B43"/>
    <w:rsid w:val="001543AF"/>
    <w:rsid w:val="001553BF"/>
    <w:rsid w:val="0015572D"/>
    <w:rsid w:val="001578B9"/>
    <w:rsid w:val="00162CE1"/>
    <w:rsid w:val="001645FE"/>
    <w:rsid w:val="001649C0"/>
    <w:rsid w:val="0016563A"/>
    <w:rsid w:val="0016565B"/>
    <w:rsid w:val="00165721"/>
    <w:rsid w:val="00165DC3"/>
    <w:rsid w:val="00166105"/>
    <w:rsid w:val="001668C4"/>
    <w:rsid w:val="00170709"/>
    <w:rsid w:val="00171DF2"/>
    <w:rsid w:val="00173BA8"/>
    <w:rsid w:val="00175F6A"/>
    <w:rsid w:val="00177E49"/>
    <w:rsid w:val="00180178"/>
    <w:rsid w:val="0018170A"/>
    <w:rsid w:val="001829E3"/>
    <w:rsid w:val="0018364C"/>
    <w:rsid w:val="00183655"/>
    <w:rsid w:val="001838E3"/>
    <w:rsid w:val="00183DCF"/>
    <w:rsid w:val="00184996"/>
    <w:rsid w:val="001868B1"/>
    <w:rsid w:val="001874F3"/>
    <w:rsid w:val="00190B66"/>
    <w:rsid w:val="00190E6C"/>
    <w:rsid w:val="00191682"/>
    <w:rsid w:val="00194234"/>
    <w:rsid w:val="0019427F"/>
    <w:rsid w:val="00195C2D"/>
    <w:rsid w:val="0019616B"/>
    <w:rsid w:val="001970BB"/>
    <w:rsid w:val="001A0167"/>
    <w:rsid w:val="001A02D2"/>
    <w:rsid w:val="001A057A"/>
    <w:rsid w:val="001A05F9"/>
    <w:rsid w:val="001A0A8C"/>
    <w:rsid w:val="001A0F6F"/>
    <w:rsid w:val="001A1306"/>
    <w:rsid w:val="001A1CBB"/>
    <w:rsid w:val="001A2447"/>
    <w:rsid w:val="001A25A8"/>
    <w:rsid w:val="001A4E71"/>
    <w:rsid w:val="001A5442"/>
    <w:rsid w:val="001A569A"/>
    <w:rsid w:val="001A5E9F"/>
    <w:rsid w:val="001A6157"/>
    <w:rsid w:val="001A62D8"/>
    <w:rsid w:val="001A77D0"/>
    <w:rsid w:val="001A7C5C"/>
    <w:rsid w:val="001B1170"/>
    <w:rsid w:val="001B12F7"/>
    <w:rsid w:val="001B1C2C"/>
    <w:rsid w:val="001B218A"/>
    <w:rsid w:val="001B2751"/>
    <w:rsid w:val="001B2979"/>
    <w:rsid w:val="001B38ED"/>
    <w:rsid w:val="001B43C7"/>
    <w:rsid w:val="001B495A"/>
    <w:rsid w:val="001B6D34"/>
    <w:rsid w:val="001C0176"/>
    <w:rsid w:val="001C03CC"/>
    <w:rsid w:val="001C0D28"/>
    <w:rsid w:val="001C0E4A"/>
    <w:rsid w:val="001C4949"/>
    <w:rsid w:val="001C4D29"/>
    <w:rsid w:val="001C7212"/>
    <w:rsid w:val="001C7245"/>
    <w:rsid w:val="001C79EF"/>
    <w:rsid w:val="001D230B"/>
    <w:rsid w:val="001D3733"/>
    <w:rsid w:val="001D3CE3"/>
    <w:rsid w:val="001D3E93"/>
    <w:rsid w:val="001D55A6"/>
    <w:rsid w:val="001D5CCD"/>
    <w:rsid w:val="001D6537"/>
    <w:rsid w:val="001D6A51"/>
    <w:rsid w:val="001D746E"/>
    <w:rsid w:val="001E07EB"/>
    <w:rsid w:val="001E1A5D"/>
    <w:rsid w:val="001E3AE3"/>
    <w:rsid w:val="001E557E"/>
    <w:rsid w:val="001E67C6"/>
    <w:rsid w:val="001E7051"/>
    <w:rsid w:val="001E767F"/>
    <w:rsid w:val="001F0B05"/>
    <w:rsid w:val="001F1FDA"/>
    <w:rsid w:val="001F2730"/>
    <w:rsid w:val="001F2B89"/>
    <w:rsid w:val="001F2E0D"/>
    <w:rsid w:val="001F3081"/>
    <w:rsid w:val="001F33FF"/>
    <w:rsid w:val="001F47BA"/>
    <w:rsid w:val="001F4E47"/>
    <w:rsid w:val="001F578F"/>
    <w:rsid w:val="001F6491"/>
    <w:rsid w:val="001F6EB7"/>
    <w:rsid w:val="00200EF9"/>
    <w:rsid w:val="0020133D"/>
    <w:rsid w:val="0020149B"/>
    <w:rsid w:val="00201FDB"/>
    <w:rsid w:val="00202560"/>
    <w:rsid w:val="00202616"/>
    <w:rsid w:val="0020295C"/>
    <w:rsid w:val="00203779"/>
    <w:rsid w:val="00203955"/>
    <w:rsid w:val="0020592E"/>
    <w:rsid w:val="00205D79"/>
    <w:rsid w:val="00211543"/>
    <w:rsid w:val="00211558"/>
    <w:rsid w:val="002121A0"/>
    <w:rsid w:val="00212621"/>
    <w:rsid w:val="00212983"/>
    <w:rsid w:val="00212B38"/>
    <w:rsid w:val="00215ED9"/>
    <w:rsid w:val="002174E2"/>
    <w:rsid w:val="00220898"/>
    <w:rsid w:val="002208B0"/>
    <w:rsid w:val="0022281F"/>
    <w:rsid w:val="0022296C"/>
    <w:rsid w:val="00222B5F"/>
    <w:rsid w:val="00222E65"/>
    <w:rsid w:val="00222F46"/>
    <w:rsid w:val="002254E6"/>
    <w:rsid w:val="00227393"/>
    <w:rsid w:val="00227662"/>
    <w:rsid w:val="002302F3"/>
    <w:rsid w:val="00230B71"/>
    <w:rsid w:val="002328F3"/>
    <w:rsid w:val="00233F39"/>
    <w:rsid w:val="00233FB1"/>
    <w:rsid w:val="00234AED"/>
    <w:rsid w:val="00234DB1"/>
    <w:rsid w:val="00234FD5"/>
    <w:rsid w:val="00236102"/>
    <w:rsid w:val="00236BFD"/>
    <w:rsid w:val="00236E15"/>
    <w:rsid w:val="00237911"/>
    <w:rsid w:val="00237E7A"/>
    <w:rsid w:val="00240273"/>
    <w:rsid w:val="0024164E"/>
    <w:rsid w:val="00241A1D"/>
    <w:rsid w:val="00241E58"/>
    <w:rsid w:val="002420E6"/>
    <w:rsid w:val="00242B38"/>
    <w:rsid w:val="00244F17"/>
    <w:rsid w:val="00245D4C"/>
    <w:rsid w:val="00246B71"/>
    <w:rsid w:val="00247AAF"/>
    <w:rsid w:val="00251FF1"/>
    <w:rsid w:val="00252123"/>
    <w:rsid w:val="00253F44"/>
    <w:rsid w:val="0025574D"/>
    <w:rsid w:val="00256698"/>
    <w:rsid w:val="00257976"/>
    <w:rsid w:val="00260D01"/>
    <w:rsid w:val="0026201C"/>
    <w:rsid w:val="00262903"/>
    <w:rsid w:val="00263112"/>
    <w:rsid w:val="00263928"/>
    <w:rsid w:val="0026518B"/>
    <w:rsid w:val="00265304"/>
    <w:rsid w:val="00265796"/>
    <w:rsid w:val="0026581B"/>
    <w:rsid w:val="00266F6D"/>
    <w:rsid w:val="00267068"/>
    <w:rsid w:val="00267102"/>
    <w:rsid w:val="00271316"/>
    <w:rsid w:val="0027160A"/>
    <w:rsid w:val="00271E8F"/>
    <w:rsid w:val="00274D73"/>
    <w:rsid w:val="002762BA"/>
    <w:rsid w:val="00276E49"/>
    <w:rsid w:val="0027700E"/>
    <w:rsid w:val="0027701C"/>
    <w:rsid w:val="00277131"/>
    <w:rsid w:val="00277BA8"/>
    <w:rsid w:val="00281C25"/>
    <w:rsid w:val="002828C6"/>
    <w:rsid w:val="00282E91"/>
    <w:rsid w:val="002834A5"/>
    <w:rsid w:val="00286025"/>
    <w:rsid w:val="002868D1"/>
    <w:rsid w:val="002869A6"/>
    <w:rsid w:val="00286B9B"/>
    <w:rsid w:val="00287302"/>
    <w:rsid w:val="0028778D"/>
    <w:rsid w:val="00287B54"/>
    <w:rsid w:val="00287EA2"/>
    <w:rsid w:val="00290FF6"/>
    <w:rsid w:val="00293622"/>
    <w:rsid w:val="00295BB7"/>
    <w:rsid w:val="002963A8"/>
    <w:rsid w:val="002964EF"/>
    <w:rsid w:val="0029651F"/>
    <w:rsid w:val="00296DE5"/>
    <w:rsid w:val="0029719E"/>
    <w:rsid w:val="00297495"/>
    <w:rsid w:val="002A25C6"/>
    <w:rsid w:val="002A53B6"/>
    <w:rsid w:val="002A6EFE"/>
    <w:rsid w:val="002A71C6"/>
    <w:rsid w:val="002A74F8"/>
    <w:rsid w:val="002A7BE0"/>
    <w:rsid w:val="002B1F00"/>
    <w:rsid w:val="002B1FD3"/>
    <w:rsid w:val="002B36D6"/>
    <w:rsid w:val="002B38B4"/>
    <w:rsid w:val="002B4943"/>
    <w:rsid w:val="002B686F"/>
    <w:rsid w:val="002B7441"/>
    <w:rsid w:val="002B7F79"/>
    <w:rsid w:val="002C0191"/>
    <w:rsid w:val="002C0745"/>
    <w:rsid w:val="002C0813"/>
    <w:rsid w:val="002C1837"/>
    <w:rsid w:val="002C20BB"/>
    <w:rsid w:val="002C2702"/>
    <w:rsid w:val="002C3540"/>
    <w:rsid w:val="002C3893"/>
    <w:rsid w:val="002C3BEA"/>
    <w:rsid w:val="002C3D85"/>
    <w:rsid w:val="002C4012"/>
    <w:rsid w:val="002C5B45"/>
    <w:rsid w:val="002C5DEA"/>
    <w:rsid w:val="002C630C"/>
    <w:rsid w:val="002D0F33"/>
    <w:rsid w:val="002D1314"/>
    <w:rsid w:val="002D1936"/>
    <w:rsid w:val="002D3D62"/>
    <w:rsid w:val="002D41D4"/>
    <w:rsid w:val="002D5113"/>
    <w:rsid w:val="002D5421"/>
    <w:rsid w:val="002D626B"/>
    <w:rsid w:val="002E046F"/>
    <w:rsid w:val="002E25D8"/>
    <w:rsid w:val="002E2B98"/>
    <w:rsid w:val="002E2FC6"/>
    <w:rsid w:val="002E3A2A"/>
    <w:rsid w:val="002E447A"/>
    <w:rsid w:val="002E44DC"/>
    <w:rsid w:val="002E45B2"/>
    <w:rsid w:val="002E4670"/>
    <w:rsid w:val="002E4B2A"/>
    <w:rsid w:val="002E508E"/>
    <w:rsid w:val="002E5A04"/>
    <w:rsid w:val="002F0A8D"/>
    <w:rsid w:val="002F0D3D"/>
    <w:rsid w:val="002F19BD"/>
    <w:rsid w:val="002F1F67"/>
    <w:rsid w:val="002F2FD0"/>
    <w:rsid w:val="002F41FF"/>
    <w:rsid w:val="002F5257"/>
    <w:rsid w:val="002F55BA"/>
    <w:rsid w:val="002F658C"/>
    <w:rsid w:val="002F7686"/>
    <w:rsid w:val="002F7D55"/>
    <w:rsid w:val="002F7F2F"/>
    <w:rsid w:val="0030062F"/>
    <w:rsid w:val="00300922"/>
    <w:rsid w:val="0030186F"/>
    <w:rsid w:val="00301FE5"/>
    <w:rsid w:val="003022A2"/>
    <w:rsid w:val="003028A3"/>
    <w:rsid w:val="00303D69"/>
    <w:rsid w:val="00304543"/>
    <w:rsid w:val="00305166"/>
    <w:rsid w:val="003056EB"/>
    <w:rsid w:val="00305748"/>
    <w:rsid w:val="00305806"/>
    <w:rsid w:val="00306785"/>
    <w:rsid w:val="00307CDC"/>
    <w:rsid w:val="00307CE5"/>
    <w:rsid w:val="00307DC2"/>
    <w:rsid w:val="00307F3E"/>
    <w:rsid w:val="0031170D"/>
    <w:rsid w:val="00313C77"/>
    <w:rsid w:val="0031542D"/>
    <w:rsid w:val="0031592C"/>
    <w:rsid w:val="00315AD3"/>
    <w:rsid w:val="00315C7B"/>
    <w:rsid w:val="0031705F"/>
    <w:rsid w:val="00317A2B"/>
    <w:rsid w:val="00317FF8"/>
    <w:rsid w:val="00320DCF"/>
    <w:rsid w:val="00321103"/>
    <w:rsid w:val="003213FB"/>
    <w:rsid w:val="00322199"/>
    <w:rsid w:val="0032281D"/>
    <w:rsid w:val="00322A75"/>
    <w:rsid w:val="00323463"/>
    <w:rsid w:val="00323566"/>
    <w:rsid w:val="0032357F"/>
    <w:rsid w:val="003245AD"/>
    <w:rsid w:val="003246A3"/>
    <w:rsid w:val="00327368"/>
    <w:rsid w:val="00330867"/>
    <w:rsid w:val="00330C43"/>
    <w:rsid w:val="00334B07"/>
    <w:rsid w:val="00335D3D"/>
    <w:rsid w:val="00336388"/>
    <w:rsid w:val="003369F1"/>
    <w:rsid w:val="003379A2"/>
    <w:rsid w:val="00337C4A"/>
    <w:rsid w:val="00337E44"/>
    <w:rsid w:val="00337FCD"/>
    <w:rsid w:val="003431A2"/>
    <w:rsid w:val="00344805"/>
    <w:rsid w:val="003467B9"/>
    <w:rsid w:val="003471B7"/>
    <w:rsid w:val="003474F1"/>
    <w:rsid w:val="00350763"/>
    <w:rsid w:val="00351B4A"/>
    <w:rsid w:val="00351E4F"/>
    <w:rsid w:val="00352DA4"/>
    <w:rsid w:val="00352F2D"/>
    <w:rsid w:val="003544B9"/>
    <w:rsid w:val="003548B6"/>
    <w:rsid w:val="0035741B"/>
    <w:rsid w:val="00357779"/>
    <w:rsid w:val="00360B56"/>
    <w:rsid w:val="00360C3E"/>
    <w:rsid w:val="00360F81"/>
    <w:rsid w:val="00361659"/>
    <w:rsid w:val="0036246F"/>
    <w:rsid w:val="00362552"/>
    <w:rsid w:val="00362CAD"/>
    <w:rsid w:val="0036563D"/>
    <w:rsid w:val="00367135"/>
    <w:rsid w:val="0037022F"/>
    <w:rsid w:val="00370299"/>
    <w:rsid w:val="00373237"/>
    <w:rsid w:val="00374BD7"/>
    <w:rsid w:val="00375BA1"/>
    <w:rsid w:val="00377B8E"/>
    <w:rsid w:val="00377EE5"/>
    <w:rsid w:val="00380D10"/>
    <w:rsid w:val="00380E1B"/>
    <w:rsid w:val="00381035"/>
    <w:rsid w:val="0038124B"/>
    <w:rsid w:val="00381BFC"/>
    <w:rsid w:val="00382642"/>
    <w:rsid w:val="003829B3"/>
    <w:rsid w:val="0038374C"/>
    <w:rsid w:val="00384074"/>
    <w:rsid w:val="003840C1"/>
    <w:rsid w:val="00386A9A"/>
    <w:rsid w:val="00386D2B"/>
    <w:rsid w:val="00386DC7"/>
    <w:rsid w:val="003901C4"/>
    <w:rsid w:val="00390B26"/>
    <w:rsid w:val="00390B3E"/>
    <w:rsid w:val="00391465"/>
    <w:rsid w:val="00392763"/>
    <w:rsid w:val="0039296A"/>
    <w:rsid w:val="00392A36"/>
    <w:rsid w:val="00393820"/>
    <w:rsid w:val="00395139"/>
    <w:rsid w:val="00395AE3"/>
    <w:rsid w:val="00395E41"/>
    <w:rsid w:val="0039709E"/>
    <w:rsid w:val="003A04FB"/>
    <w:rsid w:val="003A236F"/>
    <w:rsid w:val="003A44C0"/>
    <w:rsid w:val="003A4774"/>
    <w:rsid w:val="003A517B"/>
    <w:rsid w:val="003A53D1"/>
    <w:rsid w:val="003A5968"/>
    <w:rsid w:val="003A5E5F"/>
    <w:rsid w:val="003A6381"/>
    <w:rsid w:val="003A6FCE"/>
    <w:rsid w:val="003B031B"/>
    <w:rsid w:val="003B0D9E"/>
    <w:rsid w:val="003B0F1E"/>
    <w:rsid w:val="003B1062"/>
    <w:rsid w:val="003B14A4"/>
    <w:rsid w:val="003B1B52"/>
    <w:rsid w:val="003B1FC1"/>
    <w:rsid w:val="003B2B6F"/>
    <w:rsid w:val="003B2BC6"/>
    <w:rsid w:val="003B3720"/>
    <w:rsid w:val="003B3C8F"/>
    <w:rsid w:val="003B4D2D"/>
    <w:rsid w:val="003B4ED2"/>
    <w:rsid w:val="003B54A2"/>
    <w:rsid w:val="003B5577"/>
    <w:rsid w:val="003B61D3"/>
    <w:rsid w:val="003B62E6"/>
    <w:rsid w:val="003B6AB5"/>
    <w:rsid w:val="003B6E8E"/>
    <w:rsid w:val="003C0A02"/>
    <w:rsid w:val="003C2E63"/>
    <w:rsid w:val="003C2F65"/>
    <w:rsid w:val="003C5105"/>
    <w:rsid w:val="003C6134"/>
    <w:rsid w:val="003C61ED"/>
    <w:rsid w:val="003C657F"/>
    <w:rsid w:val="003C668B"/>
    <w:rsid w:val="003C6DAA"/>
    <w:rsid w:val="003D01BA"/>
    <w:rsid w:val="003D0E3E"/>
    <w:rsid w:val="003D29AA"/>
    <w:rsid w:val="003D2F5D"/>
    <w:rsid w:val="003D3BD6"/>
    <w:rsid w:val="003D4640"/>
    <w:rsid w:val="003D4AF8"/>
    <w:rsid w:val="003D55C0"/>
    <w:rsid w:val="003D7A87"/>
    <w:rsid w:val="003E06B2"/>
    <w:rsid w:val="003E1523"/>
    <w:rsid w:val="003E5B66"/>
    <w:rsid w:val="003E6829"/>
    <w:rsid w:val="003F0843"/>
    <w:rsid w:val="003F2103"/>
    <w:rsid w:val="003F226E"/>
    <w:rsid w:val="003F24FB"/>
    <w:rsid w:val="003F2567"/>
    <w:rsid w:val="003F2736"/>
    <w:rsid w:val="003F3705"/>
    <w:rsid w:val="003F39D3"/>
    <w:rsid w:val="003F4612"/>
    <w:rsid w:val="003F4EDC"/>
    <w:rsid w:val="003F647A"/>
    <w:rsid w:val="003F77E5"/>
    <w:rsid w:val="0040124D"/>
    <w:rsid w:val="004016E1"/>
    <w:rsid w:val="00401926"/>
    <w:rsid w:val="0040417C"/>
    <w:rsid w:val="0040481F"/>
    <w:rsid w:val="00405427"/>
    <w:rsid w:val="004055ED"/>
    <w:rsid w:val="0040589A"/>
    <w:rsid w:val="00405A3A"/>
    <w:rsid w:val="00405CC1"/>
    <w:rsid w:val="004073A0"/>
    <w:rsid w:val="004078A5"/>
    <w:rsid w:val="004105E9"/>
    <w:rsid w:val="00410DE1"/>
    <w:rsid w:val="00413799"/>
    <w:rsid w:val="00414129"/>
    <w:rsid w:val="00414F4D"/>
    <w:rsid w:val="00416D6B"/>
    <w:rsid w:val="00416E0E"/>
    <w:rsid w:val="00420226"/>
    <w:rsid w:val="00420EC9"/>
    <w:rsid w:val="004218BA"/>
    <w:rsid w:val="00423501"/>
    <w:rsid w:val="00424176"/>
    <w:rsid w:val="00424715"/>
    <w:rsid w:val="00425792"/>
    <w:rsid w:val="004270FA"/>
    <w:rsid w:val="0043078A"/>
    <w:rsid w:val="004308C9"/>
    <w:rsid w:val="0043129A"/>
    <w:rsid w:val="0043245D"/>
    <w:rsid w:val="00434AC6"/>
    <w:rsid w:val="00434F8A"/>
    <w:rsid w:val="00435030"/>
    <w:rsid w:val="00435F41"/>
    <w:rsid w:val="00436654"/>
    <w:rsid w:val="00440BAA"/>
    <w:rsid w:val="00440CAA"/>
    <w:rsid w:val="0044101E"/>
    <w:rsid w:val="00442621"/>
    <w:rsid w:val="00444062"/>
    <w:rsid w:val="004463AC"/>
    <w:rsid w:val="004463FB"/>
    <w:rsid w:val="004467D7"/>
    <w:rsid w:val="0044760B"/>
    <w:rsid w:val="00447B2A"/>
    <w:rsid w:val="00450EC9"/>
    <w:rsid w:val="0045133E"/>
    <w:rsid w:val="0045156A"/>
    <w:rsid w:val="0045157F"/>
    <w:rsid w:val="00451A31"/>
    <w:rsid w:val="0045212A"/>
    <w:rsid w:val="00452D20"/>
    <w:rsid w:val="004539D7"/>
    <w:rsid w:val="00455330"/>
    <w:rsid w:val="004557D8"/>
    <w:rsid w:val="00456C4F"/>
    <w:rsid w:val="0045702C"/>
    <w:rsid w:val="00457A05"/>
    <w:rsid w:val="00461806"/>
    <w:rsid w:val="004629C8"/>
    <w:rsid w:val="00462A10"/>
    <w:rsid w:val="00462BF8"/>
    <w:rsid w:val="00462C2C"/>
    <w:rsid w:val="00463166"/>
    <w:rsid w:val="004637E7"/>
    <w:rsid w:val="00463909"/>
    <w:rsid w:val="0046461B"/>
    <w:rsid w:val="004652C6"/>
    <w:rsid w:val="00465E5A"/>
    <w:rsid w:val="00466B57"/>
    <w:rsid w:val="00467698"/>
    <w:rsid w:val="00467DF4"/>
    <w:rsid w:val="004711E7"/>
    <w:rsid w:val="004712A2"/>
    <w:rsid w:val="00473697"/>
    <w:rsid w:val="00473990"/>
    <w:rsid w:val="00474643"/>
    <w:rsid w:val="0047487F"/>
    <w:rsid w:val="0047522A"/>
    <w:rsid w:val="00476E86"/>
    <w:rsid w:val="0047702E"/>
    <w:rsid w:val="00477041"/>
    <w:rsid w:val="0047728D"/>
    <w:rsid w:val="004778D3"/>
    <w:rsid w:val="0048070D"/>
    <w:rsid w:val="00480944"/>
    <w:rsid w:val="00482CCD"/>
    <w:rsid w:val="00483754"/>
    <w:rsid w:val="00483ACE"/>
    <w:rsid w:val="0048521D"/>
    <w:rsid w:val="00486B82"/>
    <w:rsid w:val="00486BF8"/>
    <w:rsid w:val="0049057C"/>
    <w:rsid w:val="00490F99"/>
    <w:rsid w:val="00491B81"/>
    <w:rsid w:val="00493094"/>
    <w:rsid w:val="004930E9"/>
    <w:rsid w:val="004933DC"/>
    <w:rsid w:val="004941DD"/>
    <w:rsid w:val="00495DF8"/>
    <w:rsid w:val="00496211"/>
    <w:rsid w:val="004964BB"/>
    <w:rsid w:val="004966A9"/>
    <w:rsid w:val="0049705A"/>
    <w:rsid w:val="004970E0"/>
    <w:rsid w:val="0049732E"/>
    <w:rsid w:val="004A32D2"/>
    <w:rsid w:val="004A33B3"/>
    <w:rsid w:val="004A3A24"/>
    <w:rsid w:val="004A4436"/>
    <w:rsid w:val="004A5382"/>
    <w:rsid w:val="004A695B"/>
    <w:rsid w:val="004B029E"/>
    <w:rsid w:val="004B043E"/>
    <w:rsid w:val="004B0492"/>
    <w:rsid w:val="004B097A"/>
    <w:rsid w:val="004B0CB4"/>
    <w:rsid w:val="004B1AD2"/>
    <w:rsid w:val="004B37C2"/>
    <w:rsid w:val="004B3E99"/>
    <w:rsid w:val="004B41A3"/>
    <w:rsid w:val="004B43E5"/>
    <w:rsid w:val="004B5569"/>
    <w:rsid w:val="004B5889"/>
    <w:rsid w:val="004B5A86"/>
    <w:rsid w:val="004B65A1"/>
    <w:rsid w:val="004B7C9D"/>
    <w:rsid w:val="004C098D"/>
    <w:rsid w:val="004C0A00"/>
    <w:rsid w:val="004C20D1"/>
    <w:rsid w:val="004C382C"/>
    <w:rsid w:val="004C3842"/>
    <w:rsid w:val="004C3B37"/>
    <w:rsid w:val="004C4BBD"/>
    <w:rsid w:val="004C6BAB"/>
    <w:rsid w:val="004C7230"/>
    <w:rsid w:val="004D01B3"/>
    <w:rsid w:val="004D0582"/>
    <w:rsid w:val="004D098F"/>
    <w:rsid w:val="004D15BB"/>
    <w:rsid w:val="004D3458"/>
    <w:rsid w:val="004D380E"/>
    <w:rsid w:val="004D43E0"/>
    <w:rsid w:val="004D4F47"/>
    <w:rsid w:val="004D586C"/>
    <w:rsid w:val="004D5948"/>
    <w:rsid w:val="004D5A55"/>
    <w:rsid w:val="004D5C76"/>
    <w:rsid w:val="004D6211"/>
    <w:rsid w:val="004D6379"/>
    <w:rsid w:val="004D67D1"/>
    <w:rsid w:val="004D709D"/>
    <w:rsid w:val="004D7884"/>
    <w:rsid w:val="004D7AFC"/>
    <w:rsid w:val="004E1F03"/>
    <w:rsid w:val="004E28B9"/>
    <w:rsid w:val="004E35BD"/>
    <w:rsid w:val="004E3D74"/>
    <w:rsid w:val="004E4A64"/>
    <w:rsid w:val="004E50BF"/>
    <w:rsid w:val="004F0F79"/>
    <w:rsid w:val="004F1A5E"/>
    <w:rsid w:val="004F1B4B"/>
    <w:rsid w:val="004F1C63"/>
    <w:rsid w:val="004F2F1A"/>
    <w:rsid w:val="004F3063"/>
    <w:rsid w:val="004F39CA"/>
    <w:rsid w:val="004F4418"/>
    <w:rsid w:val="004F5AAA"/>
    <w:rsid w:val="004F6207"/>
    <w:rsid w:val="004F7BA2"/>
    <w:rsid w:val="004F7D4D"/>
    <w:rsid w:val="00501904"/>
    <w:rsid w:val="00502550"/>
    <w:rsid w:val="00502743"/>
    <w:rsid w:val="005028E3"/>
    <w:rsid w:val="00502A59"/>
    <w:rsid w:val="00502FDB"/>
    <w:rsid w:val="005031BF"/>
    <w:rsid w:val="0050328E"/>
    <w:rsid w:val="00503752"/>
    <w:rsid w:val="00503CF1"/>
    <w:rsid w:val="005040E3"/>
    <w:rsid w:val="005040F5"/>
    <w:rsid w:val="00506507"/>
    <w:rsid w:val="005068B0"/>
    <w:rsid w:val="00507434"/>
    <w:rsid w:val="00510566"/>
    <w:rsid w:val="00511650"/>
    <w:rsid w:val="00511C97"/>
    <w:rsid w:val="00514E0A"/>
    <w:rsid w:val="00515D94"/>
    <w:rsid w:val="00516C4D"/>
    <w:rsid w:val="005170B6"/>
    <w:rsid w:val="00517BF7"/>
    <w:rsid w:val="00520BB5"/>
    <w:rsid w:val="00522352"/>
    <w:rsid w:val="005228D2"/>
    <w:rsid w:val="00524BDA"/>
    <w:rsid w:val="00525CA3"/>
    <w:rsid w:val="00527146"/>
    <w:rsid w:val="0052776C"/>
    <w:rsid w:val="00530866"/>
    <w:rsid w:val="00530A86"/>
    <w:rsid w:val="00532988"/>
    <w:rsid w:val="00532DEA"/>
    <w:rsid w:val="005348F6"/>
    <w:rsid w:val="00534D79"/>
    <w:rsid w:val="00534E0B"/>
    <w:rsid w:val="00536543"/>
    <w:rsid w:val="00537652"/>
    <w:rsid w:val="00537F19"/>
    <w:rsid w:val="00541B70"/>
    <w:rsid w:val="00541D30"/>
    <w:rsid w:val="00541E53"/>
    <w:rsid w:val="00543913"/>
    <w:rsid w:val="00543EB3"/>
    <w:rsid w:val="005441D4"/>
    <w:rsid w:val="00546310"/>
    <w:rsid w:val="00546B73"/>
    <w:rsid w:val="00546EDE"/>
    <w:rsid w:val="00550417"/>
    <w:rsid w:val="0055069B"/>
    <w:rsid w:val="00551816"/>
    <w:rsid w:val="0055218E"/>
    <w:rsid w:val="00553442"/>
    <w:rsid w:val="00553C3C"/>
    <w:rsid w:val="0055412E"/>
    <w:rsid w:val="005550A6"/>
    <w:rsid w:val="00557028"/>
    <w:rsid w:val="0055728A"/>
    <w:rsid w:val="00557473"/>
    <w:rsid w:val="00557EC1"/>
    <w:rsid w:val="005609E5"/>
    <w:rsid w:val="00560DD5"/>
    <w:rsid w:val="0056138E"/>
    <w:rsid w:val="00562428"/>
    <w:rsid w:val="00562A48"/>
    <w:rsid w:val="00562BC1"/>
    <w:rsid w:val="005645A1"/>
    <w:rsid w:val="00565471"/>
    <w:rsid w:val="005654D6"/>
    <w:rsid w:val="005657B2"/>
    <w:rsid w:val="00566540"/>
    <w:rsid w:val="0057192D"/>
    <w:rsid w:val="00571B88"/>
    <w:rsid w:val="00572127"/>
    <w:rsid w:val="00572ADC"/>
    <w:rsid w:val="00572D0A"/>
    <w:rsid w:val="0057459F"/>
    <w:rsid w:val="005745B3"/>
    <w:rsid w:val="005755B5"/>
    <w:rsid w:val="00575DCB"/>
    <w:rsid w:val="005769D0"/>
    <w:rsid w:val="00576ECC"/>
    <w:rsid w:val="005800C1"/>
    <w:rsid w:val="00582303"/>
    <w:rsid w:val="005826C4"/>
    <w:rsid w:val="005828A3"/>
    <w:rsid w:val="00582BE9"/>
    <w:rsid w:val="00582D3D"/>
    <w:rsid w:val="00582F37"/>
    <w:rsid w:val="00583FD7"/>
    <w:rsid w:val="00584D31"/>
    <w:rsid w:val="005901DE"/>
    <w:rsid w:val="00590795"/>
    <w:rsid w:val="00590EAA"/>
    <w:rsid w:val="00592ECF"/>
    <w:rsid w:val="005937DA"/>
    <w:rsid w:val="0059448A"/>
    <w:rsid w:val="0059512D"/>
    <w:rsid w:val="00595BDF"/>
    <w:rsid w:val="00595E1B"/>
    <w:rsid w:val="00596733"/>
    <w:rsid w:val="00597261"/>
    <w:rsid w:val="0059764F"/>
    <w:rsid w:val="005A0982"/>
    <w:rsid w:val="005A177B"/>
    <w:rsid w:val="005A1DB5"/>
    <w:rsid w:val="005A21B0"/>
    <w:rsid w:val="005A406C"/>
    <w:rsid w:val="005A4E67"/>
    <w:rsid w:val="005A53E2"/>
    <w:rsid w:val="005A58AE"/>
    <w:rsid w:val="005B1431"/>
    <w:rsid w:val="005B1929"/>
    <w:rsid w:val="005B23E0"/>
    <w:rsid w:val="005B3298"/>
    <w:rsid w:val="005C0B15"/>
    <w:rsid w:val="005C1582"/>
    <w:rsid w:val="005C20AE"/>
    <w:rsid w:val="005C285C"/>
    <w:rsid w:val="005C375F"/>
    <w:rsid w:val="005C3C1A"/>
    <w:rsid w:val="005C420B"/>
    <w:rsid w:val="005C53C4"/>
    <w:rsid w:val="005C5B05"/>
    <w:rsid w:val="005C5D62"/>
    <w:rsid w:val="005C6A4D"/>
    <w:rsid w:val="005C73E3"/>
    <w:rsid w:val="005D017B"/>
    <w:rsid w:val="005D4291"/>
    <w:rsid w:val="005D461A"/>
    <w:rsid w:val="005D4680"/>
    <w:rsid w:val="005D4786"/>
    <w:rsid w:val="005D52AB"/>
    <w:rsid w:val="005D5D14"/>
    <w:rsid w:val="005D5E45"/>
    <w:rsid w:val="005E012C"/>
    <w:rsid w:val="005E0216"/>
    <w:rsid w:val="005E238B"/>
    <w:rsid w:val="005E4C8D"/>
    <w:rsid w:val="005E4EA7"/>
    <w:rsid w:val="005E5DFC"/>
    <w:rsid w:val="005E72AB"/>
    <w:rsid w:val="005F06DB"/>
    <w:rsid w:val="005F1756"/>
    <w:rsid w:val="005F3F4E"/>
    <w:rsid w:val="005F4116"/>
    <w:rsid w:val="005F4C13"/>
    <w:rsid w:val="005F6CD3"/>
    <w:rsid w:val="005F7F59"/>
    <w:rsid w:val="00600C69"/>
    <w:rsid w:val="006045B1"/>
    <w:rsid w:val="00604FBA"/>
    <w:rsid w:val="006050CF"/>
    <w:rsid w:val="00606950"/>
    <w:rsid w:val="0061195D"/>
    <w:rsid w:val="00612FC8"/>
    <w:rsid w:val="0061397B"/>
    <w:rsid w:val="00614AC2"/>
    <w:rsid w:val="00615F2A"/>
    <w:rsid w:val="006164A2"/>
    <w:rsid w:val="006164FA"/>
    <w:rsid w:val="0061660D"/>
    <w:rsid w:val="006167A0"/>
    <w:rsid w:val="00616D20"/>
    <w:rsid w:val="00620FD2"/>
    <w:rsid w:val="00621FF2"/>
    <w:rsid w:val="0062245E"/>
    <w:rsid w:val="00622B04"/>
    <w:rsid w:val="00623528"/>
    <w:rsid w:val="0062581A"/>
    <w:rsid w:val="006260B2"/>
    <w:rsid w:val="006274BE"/>
    <w:rsid w:val="006304DB"/>
    <w:rsid w:val="00631009"/>
    <w:rsid w:val="00631B18"/>
    <w:rsid w:val="00631F91"/>
    <w:rsid w:val="00633591"/>
    <w:rsid w:val="00633833"/>
    <w:rsid w:val="00633A15"/>
    <w:rsid w:val="006340BB"/>
    <w:rsid w:val="00635389"/>
    <w:rsid w:val="0063632F"/>
    <w:rsid w:val="00637314"/>
    <w:rsid w:val="00637758"/>
    <w:rsid w:val="00637802"/>
    <w:rsid w:val="00637B29"/>
    <w:rsid w:val="00637C50"/>
    <w:rsid w:val="00637E20"/>
    <w:rsid w:val="00637FBE"/>
    <w:rsid w:val="00641018"/>
    <w:rsid w:val="00642609"/>
    <w:rsid w:val="00643BF9"/>
    <w:rsid w:val="006442FD"/>
    <w:rsid w:val="00644447"/>
    <w:rsid w:val="006513BC"/>
    <w:rsid w:val="00651F6F"/>
    <w:rsid w:val="006536FC"/>
    <w:rsid w:val="00653C3F"/>
    <w:rsid w:val="0065501E"/>
    <w:rsid w:val="00655C7F"/>
    <w:rsid w:val="00655D08"/>
    <w:rsid w:val="0065604D"/>
    <w:rsid w:val="00657F06"/>
    <w:rsid w:val="006604C6"/>
    <w:rsid w:val="00660600"/>
    <w:rsid w:val="0066063B"/>
    <w:rsid w:val="00660CC0"/>
    <w:rsid w:val="00660D0E"/>
    <w:rsid w:val="00660ED8"/>
    <w:rsid w:val="00661B1D"/>
    <w:rsid w:val="0066324A"/>
    <w:rsid w:val="00663686"/>
    <w:rsid w:val="00664077"/>
    <w:rsid w:val="00667853"/>
    <w:rsid w:val="006700B5"/>
    <w:rsid w:val="006709E5"/>
    <w:rsid w:val="00671266"/>
    <w:rsid w:val="006715EA"/>
    <w:rsid w:val="00673ACA"/>
    <w:rsid w:val="006747D2"/>
    <w:rsid w:val="00674F65"/>
    <w:rsid w:val="006750C6"/>
    <w:rsid w:val="00675602"/>
    <w:rsid w:val="0067584A"/>
    <w:rsid w:val="00676600"/>
    <w:rsid w:val="00676944"/>
    <w:rsid w:val="006776D1"/>
    <w:rsid w:val="00677BBC"/>
    <w:rsid w:val="00680642"/>
    <w:rsid w:val="0068099C"/>
    <w:rsid w:val="00683C3A"/>
    <w:rsid w:val="006846BF"/>
    <w:rsid w:val="00684E4B"/>
    <w:rsid w:val="006850BE"/>
    <w:rsid w:val="0068517D"/>
    <w:rsid w:val="00685242"/>
    <w:rsid w:val="00685647"/>
    <w:rsid w:val="00686CCB"/>
    <w:rsid w:val="00687051"/>
    <w:rsid w:val="00687C4B"/>
    <w:rsid w:val="00690CAD"/>
    <w:rsid w:val="00691454"/>
    <w:rsid w:val="0069204F"/>
    <w:rsid w:val="0069236C"/>
    <w:rsid w:val="00692DDC"/>
    <w:rsid w:val="00693767"/>
    <w:rsid w:val="00693895"/>
    <w:rsid w:val="0069426C"/>
    <w:rsid w:val="0069469E"/>
    <w:rsid w:val="00694A0F"/>
    <w:rsid w:val="00694C3F"/>
    <w:rsid w:val="00696FE1"/>
    <w:rsid w:val="0069761C"/>
    <w:rsid w:val="006978EC"/>
    <w:rsid w:val="006A04E4"/>
    <w:rsid w:val="006A10F2"/>
    <w:rsid w:val="006A1E82"/>
    <w:rsid w:val="006A3D91"/>
    <w:rsid w:val="006A43AB"/>
    <w:rsid w:val="006A4D7F"/>
    <w:rsid w:val="006A4DC2"/>
    <w:rsid w:val="006A52E7"/>
    <w:rsid w:val="006A7758"/>
    <w:rsid w:val="006A7A53"/>
    <w:rsid w:val="006B1164"/>
    <w:rsid w:val="006B204A"/>
    <w:rsid w:val="006B2D43"/>
    <w:rsid w:val="006B33C5"/>
    <w:rsid w:val="006B3C55"/>
    <w:rsid w:val="006B40AB"/>
    <w:rsid w:val="006B4C98"/>
    <w:rsid w:val="006B4FD3"/>
    <w:rsid w:val="006B5471"/>
    <w:rsid w:val="006B54AF"/>
    <w:rsid w:val="006B71C5"/>
    <w:rsid w:val="006C1464"/>
    <w:rsid w:val="006C24B0"/>
    <w:rsid w:val="006C25E3"/>
    <w:rsid w:val="006C279D"/>
    <w:rsid w:val="006C2A4D"/>
    <w:rsid w:val="006C3E0A"/>
    <w:rsid w:val="006C3F44"/>
    <w:rsid w:val="006C408F"/>
    <w:rsid w:val="006C41DB"/>
    <w:rsid w:val="006C5EC9"/>
    <w:rsid w:val="006C6E10"/>
    <w:rsid w:val="006D375D"/>
    <w:rsid w:val="006D5759"/>
    <w:rsid w:val="006D7041"/>
    <w:rsid w:val="006D7764"/>
    <w:rsid w:val="006D7A23"/>
    <w:rsid w:val="006D7CBF"/>
    <w:rsid w:val="006E22AC"/>
    <w:rsid w:val="006E2386"/>
    <w:rsid w:val="006E3869"/>
    <w:rsid w:val="006E52A2"/>
    <w:rsid w:val="006E54B7"/>
    <w:rsid w:val="006E7F52"/>
    <w:rsid w:val="006F0679"/>
    <w:rsid w:val="006F0FCB"/>
    <w:rsid w:val="006F12EB"/>
    <w:rsid w:val="006F1D18"/>
    <w:rsid w:val="006F1DA6"/>
    <w:rsid w:val="006F20DA"/>
    <w:rsid w:val="006F250A"/>
    <w:rsid w:val="006F49BF"/>
    <w:rsid w:val="006F4E91"/>
    <w:rsid w:val="006F52FD"/>
    <w:rsid w:val="006F59D1"/>
    <w:rsid w:val="006F66A9"/>
    <w:rsid w:val="006F6C70"/>
    <w:rsid w:val="006F6D74"/>
    <w:rsid w:val="006F79F6"/>
    <w:rsid w:val="007018C5"/>
    <w:rsid w:val="00701D50"/>
    <w:rsid w:val="00702518"/>
    <w:rsid w:val="00703113"/>
    <w:rsid w:val="00703ECD"/>
    <w:rsid w:val="00704115"/>
    <w:rsid w:val="0070411A"/>
    <w:rsid w:val="00704C1A"/>
    <w:rsid w:val="00704CC1"/>
    <w:rsid w:val="00704E97"/>
    <w:rsid w:val="007126BB"/>
    <w:rsid w:val="00713376"/>
    <w:rsid w:val="00713D5B"/>
    <w:rsid w:val="0071405C"/>
    <w:rsid w:val="00714750"/>
    <w:rsid w:val="00715FC4"/>
    <w:rsid w:val="0072122A"/>
    <w:rsid w:val="00721CC3"/>
    <w:rsid w:val="00722264"/>
    <w:rsid w:val="00723509"/>
    <w:rsid w:val="00723EE4"/>
    <w:rsid w:val="007245ED"/>
    <w:rsid w:val="00724B8A"/>
    <w:rsid w:val="00726CE9"/>
    <w:rsid w:val="00727258"/>
    <w:rsid w:val="007274B4"/>
    <w:rsid w:val="0072782F"/>
    <w:rsid w:val="00727F68"/>
    <w:rsid w:val="007306D6"/>
    <w:rsid w:val="007310C0"/>
    <w:rsid w:val="007312ED"/>
    <w:rsid w:val="0073187D"/>
    <w:rsid w:val="00731F35"/>
    <w:rsid w:val="00733B27"/>
    <w:rsid w:val="007346CC"/>
    <w:rsid w:val="00734D2F"/>
    <w:rsid w:val="007365A7"/>
    <w:rsid w:val="00736BB3"/>
    <w:rsid w:val="0074187A"/>
    <w:rsid w:val="007420A3"/>
    <w:rsid w:val="00742897"/>
    <w:rsid w:val="00742CE8"/>
    <w:rsid w:val="00743E43"/>
    <w:rsid w:val="00744F96"/>
    <w:rsid w:val="00745BCD"/>
    <w:rsid w:val="00745DE6"/>
    <w:rsid w:val="00747468"/>
    <w:rsid w:val="007475AC"/>
    <w:rsid w:val="007478DD"/>
    <w:rsid w:val="00747954"/>
    <w:rsid w:val="007479AD"/>
    <w:rsid w:val="007503A7"/>
    <w:rsid w:val="00752F01"/>
    <w:rsid w:val="00753C4E"/>
    <w:rsid w:val="00754624"/>
    <w:rsid w:val="00754820"/>
    <w:rsid w:val="00754B26"/>
    <w:rsid w:val="00755EF5"/>
    <w:rsid w:val="00756792"/>
    <w:rsid w:val="00760067"/>
    <w:rsid w:val="00760946"/>
    <w:rsid w:val="00760CBB"/>
    <w:rsid w:val="00760F23"/>
    <w:rsid w:val="00762A56"/>
    <w:rsid w:val="00762B2D"/>
    <w:rsid w:val="00762E99"/>
    <w:rsid w:val="007644D6"/>
    <w:rsid w:val="00764618"/>
    <w:rsid w:val="00765642"/>
    <w:rsid w:val="00765EEB"/>
    <w:rsid w:val="00766508"/>
    <w:rsid w:val="00766DF3"/>
    <w:rsid w:val="00770A7D"/>
    <w:rsid w:val="00771B3A"/>
    <w:rsid w:val="00771E92"/>
    <w:rsid w:val="007723B3"/>
    <w:rsid w:val="007733AE"/>
    <w:rsid w:val="007740B4"/>
    <w:rsid w:val="00774741"/>
    <w:rsid w:val="0077610A"/>
    <w:rsid w:val="00776F5F"/>
    <w:rsid w:val="007771F2"/>
    <w:rsid w:val="007800FF"/>
    <w:rsid w:val="007801DA"/>
    <w:rsid w:val="00780A01"/>
    <w:rsid w:val="007813F5"/>
    <w:rsid w:val="00781D75"/>
    <w:rsid w:val="00782B1F"/>
    <w:rsid w:val="00786060"/>
    <w:rsid w:val="00790AF1"/>
    <w:rsid w:val="00790C0B"/>
    <w:rsid w:val="0079212E"/>
    <w:rsid w:val="007929BD"/>
    <w:rsid w:val="007932AC"/>
    <w:rsid w:val="0079357C"/>
    <w:rsid w:val="0079382B"/>
    <w:rsid w:val="00793DC2"/>
    <w:rsid w:val="00794ED5"/>
    <w:rsid w:val="00794F6A"/>
    <w:rsid w:val="00796978"/>
    <w:rsid w:val="007975CD"/>
    <w:rsid w:val="0079760C"/>
    <w:rsid w:val="007A198B"/>
    <w:rsid w:val="007A1B80"/>
    <w:rsid w:val="007A23E6"/>
    <w:rsid w:val="007A2C77"/>
    <w:rsid w:val="007A3FE0"/>
    <w:rsid w:val="007A55BA"/>
    <w:rsid w:val="007B046D"/>
    <w:rsid w:val="007B0D9F"/>
    <w:rsid w:val="007B0E84"/>
    <w:rsid w:val="007B0F87"/>
    <w:rsid w:val="007B2C2C"/>
    <w:rsid w:val="007B2E53"/>
    <w:rsid w:val="007B2F29"/>
    <w:rsid w:val="007B345C"/>
    <w:rsid w:val="007B3A6F"/>
    <w:rsid w:val="007B50BA"/>
    <w:rsid w:val="007B5F29"/>
    <w:rsid w:val="007B6550"/>
    <w:rsid w:val="007B6DE7"/>
    <w:rsid w:val="007B6FF1"/>
    <w:rsid w:val="007C518A"/>
    <w:rsid w:val="007C5FF4"/>
    <w:rsid w:val="007C7242"/>
    <w:rsid w:val="007C742D"/>
    <w:rsid w:val="007D093D"/>
    <w:rsid w:val="007D1B30"/>
    <w:rsid w:val="007D2420"/>
    <w:rsid w:val="007D5AE0"/>
    <w:rsid w:val="007D65EF"/>
    <w:rsid w:val="007E077E"/>
    <w:rsid w:val="007E194E"/>
    <w:rsid w:val="007E1978"/>
    <w:rsid w:val="007E1F3E"/>
    <w:rsid w:val="007E45FC"/>
    <w:rsid w:val="007E4E6B"/>
    <w:rsid w:val="007E5D14"/>
    <w:rsid w:val="007E73B7"/>
    <w:rsid w:val="007E749D"/>
    <w:rsid w:val="007E7C28"/>
    <w:rsid w:val="007E7ECC"/>
    <w:rsid w:val="007F14D0"/>
    <w:rsid w:val="007F327B"/>
    <w:rsid w:val="007F448B"/>
    <w:rsid w:val="007F5BED"/>
    <w:rsid w:val="007F5CCB"/>
    <w:rsid w:val="007F6D73"/>
    <w:rsid w:val="007F724E"/>
    <w:rsid w:val="007F7567"/>
    <w:rsid w:val="00800F7F"/>
    <w:rsid w:val="00801F76"/>
    <w:rsid w:val="00802442"/>
    <w:rsid w:val="0080270A"/>
    <w:rsid w:val="008050C2"/>
    <w:rsid w:val="00807160"/>
    <w:rsid w:val="00807164"/>
    <w:rsid w:val="00807B32"/>
    <w:rsid w:val="00810DF9"/>
    <w:rsid w:val="00811039"/>
    <w:rsid w:val="00812EDE"/>
    <w:rsid w:val="00813278"/>
    <w:rsid w:val="008148F0"/>
    <w:rsid w:val="00815F1F"/>
    <w:rsid w:val="00821126"/>
    <w:rsid w:val="008211F0"/>
    <w:rsid w:val="00822164"/>
    <w:rsid w:val="008228DF"/>
    <w:rsid w:val="00823DD1"/>
    <w:rsid w:val="0082457E"/>
    <w:rsid w:val="008245FB"/>
    <w:rsid w:val="008256F6"/>
    <w:rsid w:val="00826595"/>
    <w:rsid w:val="00826642"/>
    <w:rsid w:val="008309D9"/>
    <w:rsid w:val="0083236C"/>
    <w:rsid w:val="0083258B"/>
    <w:rsid w:val="00833CB3"/>
    <w:rsid w:val="00834CED"/>
    <w:rsid w:val="00834F55"/>
    <w:rsid w:val="00837B7E"/>
    <w:rsid w:val="00837F9B"/>
    <w:rsid w:val="008405BC"/>
    <w:rsid w:val="008429DD"/>
    <w:rsid w:val="00843107"/>
    <w:rsid w:val="0084385C"/>
    <w:rsid w:val="00843F9D"/>
    <w:rsid w:val="0084469A"/>
    <w:rsid w:val="008453F0"/>
    <w:rsid w:val="00845A16"/>
    <w:rsid w:val="00845D19"/>
    <w:rsid w:val="008465FA"/>
    <w:rsid w:val="008468C9"/>
    <w:rsid w:val="008471DD"/>
    <w:rsid w:val="008478B1"/>
    <w:rsid w:val="00850889"/>
    <w:rsid w:val="00853B36"/>
    <w:rsid w:val="00853D7F"/>
    <w:rsid w:val="00854468"/>
    <w:rsid w:val="008544B0"/>
    <w:rsid w:val="00855014"/>
    <w:rsid w:val="00855324"/>
    <w:rsid w:val="00856A22"/>
    <w:rsid w:val="00860418"/>
    <w:rsid w:val="00860553"/>
    <w:rsid w:val="0086059F"/>
    <w:rsid w:val="00860D56"/>
    <w:rsid w:val="008615EB"/>
    <w:rsid w:val="0086237E"/>
    <w:rsid w:val="00863442"/>
    <w:rsid w:val="0086557B"/>
    <w:rsid w:val="00865E81"/>
    <w:rsid w:val="00866F40"/>
    <w:rsid w:val="0086721B"/>
    <w:rsid w:val="00867AEC"/>
    <w:rsid w:val="00867EB7"/>
    <w:rsid w:val="00867F51"/>
    <w:rsid w:val="00870A94"/>
    <w:rsid w:val="00870F16"/>
    <w:rsid w:val="00873449"/>
    <w:rsid w:val="0087371B"/>
    <w:rsid w:val="00873CA2"/>
    <w:rsid w:val="00875095"/>
    <w:rsid w:val="00877201"/>
    <w:rsid w:val="00877490"/>
    <w:rsid w:val="00877573"/>
    <w:rsid w:val="00880AB4"/>
    <w:rsid w:val="00882358"/>
    <w:rsid w:val="008824C1"/>
    <w:rsid w:val="00885106"/>
    <w:rsid w:val="00885A4B"/>
    <w:rsid w:val="0088695B"/>
    <w:rsid w:val="008875F3"/>
    <w:rsid w:val="00887E23"/>
    <w:rsid w:val="008937D8"/>
    <w:rsid w:val="00895DB5"/>
    <w:rsid w:val="008A0133"/>
    <w:rsid w:val="008A02C8"/>
    <w:rsid w:val="008A0BCB"/>
    <w:rsid w:val="008A1866"/>
    <w:rsid w:val="008A1A83"/>
    <w:rsid w:val="008A1A86"/>
    <w:rsid w:val="008A1E86"/>
    <w:rsid w:val="008A3166"/>
    <w:rsid w:val="008A3EA6"/>
    <w:rsid w:val="008A4645"/>
    <w:rsid w:val="008A4F9F"/>
    <w:rsid w:val="008A65E4"/>
    <w:rsid w:val="008A663C"/>
    <w:rsid w:val="008A686F"/>
    <w:rsid w:val="008A7362"/>
    <w:rsid w:val="008B0908"/>
    <w:rsid w:val="008B1704"/>
    <w:rsid w:val="008B4AFC"/>
    <w:rsid w:val="008B5495"/>
    <w:rsid w:val="008B6133"/>
    <w:rsid w:val="008B6E27"/>
    <w:rsid w:val="008B7330"/>
    <w:rsid w:val="008C2220"/>
    <w:rsid w:val="008C26EC"/>
    <w:rsid w:val="008C36B2"/>
    <w:rsid w:val="008C4045"/>
    <w:rsid w:val="008C43E8"/>
    <w:rsid w:val="008C4986"/>
    <w:rsid w:val="008C4B76"/>
    <w:rsid w:val="008C54DC"/>
    <w:rsid w:val="008C6F68"/>
    <w:rsid w:val="008C7569"/>
    <w:rsid w:val="008D01BC"/>
    <w:rsid w:val="008D0B72"/>
    <w:rsid w:val="008D1940"/>
    <w:rsid w:val="008D1EBA"/>
    <w:rsid w:val="008D2085"/>
    <w:rsid w:val="008D2C89"/>
    <w:rsid w:val="008D2CE4"/>
    <w:rsid w:val="008D2E86"/>
    <w:rsid w:val="008D3BFB"/>
    <w:rsid w:val="008D48F1"/>
    <w:rsid w:val="008D50F2"/>
    <w:rsid w:val="008D6390"/>
    <w:rsid w:val="008D66FC"/>
    <w:rsid w:val="008D71CA"/>
    <w:rsid w:val="008E0680"/>
    <w:rsid w:val="008E1165"/>
    <w:rsid w:val="008E1D92"/>
    <w:rsid w:val="008E2B0F"/>
    <w:rsid w:val="008E3293"/>
    <w:rsid w:val="008E402E"/>
    <w:rsid w:val="008E4BC7"/>
    <w:rsid w:val="008E4D36"/>
    <w:rsid w:val="008E50D4"/>
    <w:rsid w:val="008E556D"/>
    <w:rsid w:val="008E6B86"/>
    <w:rsid w:val="008E6DFF"/>
    <w:rsid w:val="008E6E95"/>
    <w:rsid w:val="008E75D8"/>
    <w:rsid w:val="008E766D"/>
    <w:rsid w:val="008E78B9"/>
    <w:rsid w:val="008E7970"/>
    <w:rsid w:val="008E7B62"/>
    <w:rsid w:val="008F0020"/>
    <w:rsid w:val="008F1077"/>
    <w:rsid w:val="008F16A8"/>
    <w:rsid w:val="008F2237"/>
    <w:rsid w:val="008F25C5"/>
    <w:rsid w:val="008F2E8D"/>
    <w:rsid w:val="008F4441"/>
    <w:rsid w:val="008F71CE"/>
    <w:rsid w:val="00900B33"/>
    <w:rsid w:val="00902C24"/>
    <w:rsid w:val="00902D17"/>
    <w:rsid w:val="00904484"/>
    <w:rsid w:val="00905AEB"/>
    <w:rsid w:val="00906F42"/>
    <w:rsid w:val="00907E75"/>
    <w:rsid w:val="00910583"/>
    <w:rsid w:val="00913E6B"/>
    <w:rsid w:val="00913EDB"/>
    <w:rsid w:val="00913F8A"/>
    <w:rsid w:val="00915AD4"/>
    <w:rsid w:val="00916044"/>
    <w:rsid w:val="0091648D"/>
    <w:rsid w:val="0092047B"/>
    <w:rsid w:val="0092167B"/>
    <w:rsid w:val="00923E64"/>
    <w:rsid w:val="009253F9"/>
    <w:rsid w:val="009258D2"/>
    <w:rsid w:val="009259B3"/>
    <w:rsid w:val="00926756"/>
    <w:rsid w:val="0092793E"/>
    <w:rsid w:val="00927DE2"/>
    <w:rsid w:val="009315AF"/>
    <w:rsid w:val="00931CA6"/>
    <w:rsid w:val="00932DFA"/>
    <w:rsid w:val="00933AEC"/>
    <w:rsid w:val="00934675"/>
    <w:rsid w:val="00934709"/>
    <w:rsid w:val="00934745"/>
    <w:rsid w:val="00934761"/>
    <w:rsid w:val="00934FB6"/>
    <w:rsid w:val="0093547E"/>
    <w:rsid w:val="0093739D"/>
    <w:rsid w:val="00937506"/>
    <w:rsid w:val="00937792"/>
    <w:rsid w:val="00940221"/>
    <w:rsid w:val="00940CEE"/>
    <w:rsid w:val="0094154C"/>
    <w:rsid w:val="009417E7"/>
    <w:rsid w:val="0094280A"/>
    <w:rsid w:val="009441AC"/>
    <w:rsid w:val="00945F58"/>
    <w:rsid w:val="00946BB2"/>
    <w:rsid w:val="009474FD"/>
    <w:rsid w:val="009503B9"/>
    <w:rsid w:val="00951E55"/>
    <w:rsid w:val="00953BD9"/>
    <w:rsid w:val="00953D4F"/>
    <w:rsid w:val="00955564"/>
    <w:rsid w:val="009559E8"/>
    <w:rsid w:val="00956D43"/>
    <w:rsid w:val="00956E74"/>
    <w:rsid w:val="00957059"/>
    <w:rsid w:val="00960E52"/>
    <w:rsid w:val="009612CE"/>
    <w:rsid w:val="009622A8"/>
    <w:rsid w:val="00963976"/>
    <w:rsid w:val="00964146"/>
    <w:rsid w:val="00967F94"/>
    <w:rsid w:val="009704AE"/>
    <w:rsid w:val="00971F37"/>
    <w:rsid w:val="009721F9"/>
    <w:rsid w:val="0097259E"/>
    <w:rsid w:val="00972DEF"/>
    <w:rsid w:val="009743C5"/>
    <w:rsid w:val="009744A7"/>
    <w:rsid w:val="00974FB7"/>
    <w:rsid w:val="0097678A"/>
    <w:rsid w:val="00976FCB"/>
    <w:rsid w:val="00976FEE"/>
    <w:rsid w:val="00977034"/>
    <w:rsid w:val="00981F16"/>
    <w:rsid w:val="00984C41"/>
    <w:rsid w:val="00985407"/>
    <w:rsid w:val="009854E8"/>
    <w:rsid w:val="0098565D"/>
    <w:rsid w:val="00985817"/>
    <w:rsid w:val="0098731F"/>
    <w:rsid w:val="009877B6"/>
    <w:rsid w:val="009901D4"/>
    <w:rsid w:val="009926F2"/>
    <w:rsid w:val="009942F1"/>
    <w:rsid w:val="00996192"/>
    <w:rsid w:val="009968D9"/>
    <w:rsid w:val="00996C57"/>
    <w:rsid w:val="009971A3"/>
    <w:rsid w:val="009A0C03"/>
    <w:rsid w:val="009A1445"/>
    <w:rsid w:val="009A1588"/>
    <w:rsid w:val="009A1EED"/>
    <w:rsid w:val="009A275B"/>
    <w:rsid w:val="009A2D3C"/>
    <w:rsid w:val="009A3A24"/>
    <w:rsid w:val="009A3A64"/>
    <w:rsid w:val="009A41BA"/>
    <w:rsid w:val="009A43BB"/>
    <w:rsid w:val="009A48D5"/>
    <w:rsid w:val="009A71AB"/>
    <w:rsid w:val="009B09E3"/>
    <w:rsid w:val="009B1429"/>
    <w:rsid w:val="009B2D65"/>
    <w:rsid w:val="009B4439"/>
    <w:rsid w:val="009B4AA0"/>
    <w:rsid w:val="009B5320"/>
    <w:rsid w:val="009B6981"/>
    <w:rsid w:val="009B6F9E"/>
    <w:rsid w:val="009C062D"/>
    <w:rsid w:val="009C0C82"/>
    <w:rsid w:val="009C15BB"/>
    <w:rsid w:val="009C1939"/>
    <w:rsid w:val="009C1E9E"/>
    <w:rsid w:val="009C2CA0"/>
    <w:rsid w:val="009C37CE"/>
    <w:rsid w:val="009C42DF"/>
    <w:rsid w:val="009C68CB"/>
    <w:rsid w:val="009D1DE5"/>
    <w:rsid w:val="009D2895"/>
    <w:rsid w:val="009D2B33"/>
    <w:rsid w:val="009D2C2C"/>
    <w:rsid w:val="009D40DD"/>
    <w:rsid w:val="009D43DA"/>
    <w:rsid w:val="009D47A8"/>
    <w:rsid w:val="009D5349"/>
    <w:rsid w:val="009D5829"/>
    <w:rsid w:val="009D59CA"/>
    <w:rsid w:val="009D76EF"/>
    <w:rsid w:val="009E0072"/>
    <w:rsid w:val="009E2E67"/>
    <w:rsid w:val="009E4871"/>
    <w:rsid w:val="009E5343"/>
    <w:rsid w:val="009E5E02"/>
    <w:rsid w:val="009E631C"/>
    <w:rsid w:val="009F02F7"/>
    <w:rsid w:val="009F0B8B"/>
    <w:rsid w:val="009F0B98"/>
    <w:rsid w:val="009F134C"/>
    <w:rsid w:val="009F1FED"/>
    <w:rsid w:val="009F22FB"/>
    <w:rsid w:val="009F3FBF"/>
    <w:rsid w:val="009F418D"/>
    <w:rsid w:val="009F4531"/>
    <w:rsid w:val="009F7881"/>
    <w:rsid w:val="00A0008F"/>
    <w:rsid w:val="00A01353"/>
    <w:rsid w:val="00A015A4"/>
    <w:rsid w:val="00A02695"/>
    <w:rsid w:val="00A02B97"/>
    <w:rsid w:val="00A03ACF"/>
    <w:rsid w:val="00A07783"/>
    <w:rsid w:val="00A1201A"/>
    <w:rsid w:val="00A12A87"/>
    <w:rsid w:val="00A1346B"/>
    <w:rsid w:val="00A1379C"/>
    <w:rsid w:val="00A13AF8"/>
    <w:rsid w:val="00A13FC9"/>
    <w:rsid w:val="00A14032"/>
    <w:rsid w:val="00A160CB"/>
    <w:rsid w:val="00A1709E"/>
    <w:rsid w:val="00A17697"/>
    <w:rsid w:val="00A20333"/>
    <w:rsid w:val="00A203A1"/>
    <w:rsid w:val="00A211DC"/>
    <w:rsid w:val="00A21B94"/>
    <w:rsid w:val="00A21E6D"/>
    <w:rsid w:val="00A22290"/>
    <w:rsid w:val="00A24051"/>
    <w:rsid w:val="00A24611"/>
    <w:rsid w:val="00A2538D"/>
    <w:rsid w:val="00A257E4"/>
    <w:rsid w:val="00A26B90"/>
    <w:rsid w:val="00A2748B"/>
    <w:rsid w:val="00A305DB"/>
    <w:rsid w:val="00A318DF"/>
    <w:rsid w:val="00A324BA"/>
    <w:rsid w:val="00A33DC6"/>
    <w:rsid w:val="00A33E88"/>
    <w:rsid w:val="00A34DE3"/>
    <w:rsid w:val="00A34E0B"/>
    <w:rsid w:val="00A365A1"/>
    <w:rsid w:val="00A37553"/>
    <w:rsid w:val="00A40C98"/>
    <w:rsid w:val="00A42F11"/>
    <w:rsid w:val="00A437C7"/>
    <w:rsid w:val="00A43960"/>
    <w:rsid w:val="00A43983"/>
    <w:rsid w:val="00A43C69"/>
    <w:rsid w:val="00A4439E"/>
    <w:rsid w:val="00A455BF"/>
    <w:rsid w:val="00A4616C"/>
    <w:rsid w:val="00A46588"/>
    <w:rsid w:val="00A50E9E"/>
    <w:rsid w:val="00A514D7"/>
    <w:rsid w:val="00A516B8"/>
    <w:rsid w:val="00A539ED"/>
    <w:rsid w:val="00A54371"/>
    <w:rsid w:val="00A543A9"/>
    <w:rsid w:val="00A546FB"/>
    <w:rsid w:val="00A5757E"/>
    <w:rsid w:val="00A6099B"/>
    <w:rsid w:val="00A6200C"/>
    <w:rsid w:val="00A62F9F"/>
    <w:rsid w:val="00A65CA1"/>
    <w:rsid w:val="00A667C6"/>
    <w:rsid w:val="00A6707D"/>
    <w:rsid w:val="00A707DC"/>
    <w:rsid w:val="00A72024"/>
    <w:rsid w:val="00A72F04"/>
    <w:rsid w:val="00A74045"/>
    <w:rsid w:val="00A74DE9"/>
    <w:rsid w:val="00A752BB"/>
    <w:rsid w:val="00A753EB"/>
    <w:rsid w:val="00A76361"/>
    <w:rsid w:val="00A76FE4"/>
    <w:rsid w:val="00A779A2"/>
    <w:rsid w:val="00A8069C"/>
    <w:rsid w:val="00A80F16"/>
    <w:rsid w:val="00A818BC"/>
    <w:rsid w:val="00A818C7"/>
    <w:rsid w:val="00A82C8B"/>
    <w:rsid w:val="00A834FD"/>
    <w:rsid w:val="00A90D95"/>
    <w:rsid w:val="00A90E1C"/>
    <w:rsid w:val="00A92A25"/>
    <w:rsid w:val="00A93EB5"/>
    <w:rsid w:val="00A946B0"/>
    <w:rsid w:val="00A954B6"/>
    <w:rsid w:val="00A959DF"/>
    <w:rsid w:val="00A97DBA"/>
    <w:rsid w:val="00A97E35"/>
    <w:rsid w:val="00AA0271"/>
    <w:rsid w:val="00AA0FEF"/>
    <w:rsid w:val="00AA104E"/>
    <w:rsid w:val="00AA22EF"/>
    <w:rsid w:val="00AA2F9F"/>
    <w:rsid w:val="00AA363E"/>
    <w:rsid w:val="00AA56AA"/>
    <w:rsid w:val="00AA5E12"/>
    <w:rsid w:val="00AA6384"/>
    <w:rsid w:val="00AA68AD"/>
    <w:rsid w:val="00AB06B1"/>
    <w:rsid w:val="00AB0B57"/>
    <w:rsid w:val="00AB2A94"/>
    <w:rsid w:val="00AB4454"/>
    <w:rsid w:val="00AB4552"/>
    <w:rsid w:val="00AB466D"/>
    <w:rsid w:val="00AB4CD3"/>
    <w:rsid w:val="00AB5AB4"/>
    <w:rsid w:val="00AB731F"/>
    <w:rsid w:val="00AB78F8"/>
    <w:rsid w:val="00AC0657"/>
    <w:rsid w:val="00AC0910"/>
    <w:rsid w:val="00AC1D1F"/>
    <w:rsid w:val="00AC33AD"/>
    <w:rsid w:val="00AC33DF"/>
    <w:rsid w:val="00AC3DAF"/>
    <w:rsid w:val="00AC4434"/>
    <w:rsid w:val="00AC448C"/>
    <w:rsid w:val="00AC4D20"/>
    <w:rsid w:val="00AC513E"/>
    <w:rsid w:val="00AC5B03"/>
    <w:rsid w:val="00AC672A"/>
    <w:rsid w:val="00AC67FF"/>
    <w:rsid w:val="00AC6B44"/>
    <w:rsid w:val="00AC6FA8"/>
    <w:rsid w:val="00AD0218"/>
    <w:rsid w:val="00AD0BB8"/>
    <w:rsid w:val="00AD0CC0"/>
    <w:rsid w:val="00AD28C6"/>
    <w:rsid w:val="00AD47BA"/>
    <w:rsid w:val="00AD6E56"/>
    <w:rsid w:val="00AD710E"/>
    <w:rsid w:val="00AE00DD"/>
    <w:rsid w:val="00AE259F"/>
    <w:rsid w:val="00AE2B70"/>
    <w:rsid w:val="00AE2BD9"/>
    <w:rsid w:val="00AE30B5"/>
    <w:rsid w:val="00AE3644"/>
    <w:rsid w:val="00AE38AD"/>
    <w:rsid w:val="00AE4DB7"/>
    <w:rsid w:val="00AF0404"/>
    <w:rsid w:val="00AF1D25"/>
    <w:rsid w:val="00AF1FD1"/>
    <w:rsid w:val="00AF2AE4"/>
    <w:rsid w:val="00AF39E7"/>
    <w:rsid w:val="00AF3DA4"/>
    <w:rsid w:val="00AF4140"/>
    <w:rsid w:val="00AF56D7"/>
    <w:rsid w:val="00AF63D0"/>
    <w:rsid w:val="00AF6AB3"/>
    <w:rsid w:val="00B016AC"/>
    <w:rsid w:val="00B01B8C"/>
    <w:rsid w:val="00B02772"/>
    <w:rsid w:val="00B027F4"/>
    <w:rsid w:val="00B04AEC"/>
    <w:rsid w:val="00B05574"/>
    <w:rsid w:val="00B05CB4"/>
    <w:rsid w:val="00B05E59"/>
    <w:rsid w:val="00B06005"/>
    <w:rsid w:val="00B062EC"/>
    <w:rsid w:val="00B06B4F"/>
    <w:rsid w:val="00B072BF"/>
    <w:rsid w:val="00B07687"/>
    <w:rsid w:val="00B07862"/>
    <w:rsid w:val="00B112EB"/>
    <w:rsid w:val="00B1188E"/>
    <w:rsid w:val="00B12635"/>
    <w:rsid w:val="00B16426"/>
    <w:rsid w:val="00B17729"/>
    <w:rsid w:val="00B20ECB"/>
    <w:rsid w:val="00B216C1"/>
    <w:rsid w:val="00B226B3"/>
    <w:rsid w:val="00B22A69"/>
    <w:rsid w:val="00B22BB7"/>
    <w:rsid w:val="00B24E98"/>
    <w:rsid w:val="00B2733B"/>
    <w:rsid w:val="00B27D1D"/>
    <w:rsid w:val="00B3035E"/>
    <w:rsid w:val="00B30C04"/>
    <w:rsid w:val="00B312D1"/>
    <w:rsid w:val="00B3267E"/>
    <w:rsid w:val="00B32B5F"/>
    <w:rsid w:val="00B33817"/>
    <w:rsid w:val="00B35F0D"/>
    <w:rsid w:val="00B371D2"/>
    <w:rsid w:val="00B40C7F"/>
    <w:rsid w:val="00B42744"/>
    <w:rsid w:val="00B43061"/>
    <w:rsid w:val="00B43398"/>
    <w:rsid w:val="00B45969"/>
    <w:rsid w:val="00B5014B"/>
    <w:rsid w:val="00B51500"/>
    <w:rsid w:val="00B51CB3"/>
    <w:rsid w:val="00B51F67"/>
    <w:rsid w:val="00B54182"/>
    <w:rsid w:val="00B54521"/>
    <w:rsid w:val="00B566C6"/>
    <w:rsid w:val="00B56752"/>
    <w:rsid w:val="00B56A3D"/>
    <w:rsid w:val="00B6005C"/>
    <w:rsid w:val="00B60530"/>
    <w:rsid w:val="00B6065C"/>
    <w:rsid w:val="00B607B4"/>
    <w:rsid w:val="00B6096C"/>
    <w:rsid w:val="00B63567"/>
    <w:rsid w:val="00B63808"/>
    <w:rsid w:val="00B6399D"/>
    <w:rsid w:val="00B65413"/>
    <w:rsid w:val="00B667AC"/>
    <w:rsid w:val="00B67D26"/>
    <w:rsid w:val="00B70FA9"/>
    <w:rsid w:val="00B7145E"/>
    <w:rsid w:val="00B71834"/>
    <w:rsid w:val="00B7216E"/>
    <w:rsid w:val="00B72CAE"/>
    <w:rsid w:val="00B72FF0"/>
    <w:rsid w:val="00B73ACA"/>
    <w:rsid w:val="00B74B5D"/>
    <w:rsid w:val="00B75A46"/>
    <w:rsid w:val="00B8190C"/>
    <w:rsid w:val="00B81C3E"/>
    <w:rsid w:val="00B81EF9"/>
    <w:rsid w:val="00B820F5"/>
    <w:rsid w:val="00B823F2"/>
    <w:rsid w:val="00B83935"/>
    <w:rsid w:val="00B869E6"/>
    <w:rsid w:val="00B86A86"/>
    <w:rsid w:val="00B87B74"/>
    <w:rsid w:val="00B904AC"/>
    <w:rsid w:val="00B9141E"/>
    <w:rsid w:val="00B91B41"/>
    <w:rsid w:val="00B91F61"/>
    <w:rsid w:val="00B92108"/>
    <w:rsid w:val="00B92695"/>
    <w:rsid w:val="00B93FC0"/>
    <w:rsid w:val="00B944AE"/>
    <w:rsid w:val="00B95956"/>
    <w:rsid w:val="00B95FE7"/>
    <w:rsid w:val="00B9616A"/>
    <w:rsid w:val="00B97237"/>
    <w:rsid w:val="00B974E3"/>
    <w:rsid w:val="00BA0A8C"/>
    <w:rsid w:val="00BA0A94"/>
    <w:rsid w:val="00BA137F"/>
    <w:rsid w:val="00BA234F"/>
    <w:rsid w:val="00BA2F6F"/>
    <w:rsid w:val="00BA4EDA"/>
    <w:rsid w:val="00BA612A"/>
    <w:rsid w:val="00BA6705"/>
    <w:rsid w:val="00BA6967"/>
    <w:rsid w:val="00BA7286"/>
    <w:rsid w:val="00BA751C"/>
    <w:rsid w:val="00BB127E"/>
    <w:rsid w:val="00BB1F82"/>
    <w:rsid w:val="00BB22CD"/>
    <w:rsid w:val="00BB25A1"/>
    <w:rsid w:val="00BB2B48"/>
    <w:rsid w:val="00BB3299"/>
    <w:rsid w:val="00BB32A6"/>
    <w:rsid w:val="00BB4559"/>
    <w:rsid w:val="00BB6B56"/>
    <w:rsid w:val="00BB753B"/>
    <w:rsid w:val="00BC04D3"/>
    <w:rsid w:val="00BC08D2"/>
    <w:rsid w:val="00BC140B"/>
    <w:rsid w:val="00BC1721"/>
    <w:rsid w:val="00BC1D56"/>
    <w:rsid w:val="00BC3B20"/>
    <w:rsid w:val="00BC62C7"/>
    <w:rsid w:val="00BC6F83"/>
    <w:rsid w:val="00BC702F"/>
    <w:rsid w:val="00BC7C12"/>
    <w:rsid w:val="00BD0D8B"/>
    <w:rsid w:val="00BD1896"/>
    <w:rsid w:val="00BD2281"/>
    <w:rsid w:val="00BD267E"/>
    <w:rsid w:val="00BD2CB4"/>
    <w:rsid w:val="00BD3294"/>
    <w:rsid w:val="00BD3D35"/>
    <w:rsid w:val="00BD42F2"/>
    <w:rsid w:val="00BD44C5"/>
    <w:rsid w:val="00BD599B"/>
    <w:rsid w:val="00BD5DB6"/>
    <w:rsid w:val="00BD65BE"/>
    <w:rsid w:val="00BD6805"/>
    <w:rsid w:val="00BD7C4E"/>
    <w:rsid w:val="00BE1D00"/>
    <w:rsid w:val="00BE2065"/>
    <w:rsid w:val="00BE2319"/>
    <w:rsid w:val="00BE35D8"/>
    <w:rsid w:val="00BE43E6"/>
    <w:rsid w:val="00BE4952"/>
    <w:rsid w:val="00BE49E1"/>
    <w:rsid w:val="00BE6C61"/>
    <w:rsid w:val="00BF006B"/>
    <w:rsid w:val="00BF069B"/>
    <w:rsid w:val="00BF069C"/>
    <w:rsid w:val="00BF1430"/>
    <w:rsid w:val="00BF189E"/>
    <w:rsid w:val="00BF18F4"/>
    <w:rsid w:val="00BF228A"/>
    <w:rsid w:val="00BF6E78"/>
    <w:rsid w:val="00BF6F40"/>
    <w:rsid w:val="00C0028B"/>
    <w:rsid w:val="00C00E0A"/>
    <w:rsid w:val="00C00FD5"/>
    <w:rsid w:val="00C019B7"/>
    <w:rsid w:val="00C03C05"/>
    <w:rsid w:val="00C03F4A"/>
    <w:rsid w:val="00C057BC"/>
    <w:rsid w:val="00C06097"/>
    <w:rsid w:val="00C064BB"/>
    <w:rsid w:val="00C108E9"/>
    <w:rsid w:val="00C10992"/>
    <w:rsid w:val="00C10F00"/>
    <w:rsid w:val="00C13986"/>
    <w:rsid w:val="00C13C0A"/>
    <w:rsid w:val="00C148D0"/>
    <w:rsid w:val="00C159CF"/>
    <w:rsid w:val="00C16B0C"/>
    <w:rsid w:val="00C1738D"/>
    <w:rsid w:val="00C174AE"/>
    <w:rsid w:val="00C20C4D"/>
    <w:rsid w:val="00C212D1"/>
    <w:rsid w:val="00C214CA"/>
    <w:rsid w:val="00C228A3"/>
    <w:rsid w:val="00C23DD0"/>
    <w:rsid w:val="00C23EA7"/>
    <w:rsid w:val="00C268DB"/>
    <w:rsid w:val="00C278D1"/>
    <w:rsid w:val="00C322EF"/>
    <w:rsid w:val="00C32CEA"/>
    <w:rsid w:val="00C336DC"/>
    <w:rsid w:val="00C3389F"/>
    <w:rsid w:val="00C35C82"/>
    <w:rsid w:val="00C361DF"/>
    <w:rsid w:val="00C37846"/>
    <w:rsid w:val="00C37F23"/>
    <w:rsid w:val="00C43FE6"/>
    <w:rsid w:val="00C45252"/>
    <w:rsid w:val="00C45646"/>
    <w:rsid w:val="00C47515"/>
    <w:rsid w:val="00C501BE"/>
    <w:rsid w:val="00C50317"/>
    <w:rsid w:val="00C50787"/>
    <w:rsid w:val="00C50992"/>
    <w:rsid w:val="00C533F9"/>
    <w:rsid w:val="00C5587C"/>
    <w:rsid w:val="00C55DD2"/>
    <w:rsid w:val="00C57CF8"/>
    <w:rsid w:val="00C60005"/>
    <w:rsid w:val="00C6117B"/>
    <w:rsid w:val="00C617AE"/>
    <w:rsid w:val="00C61F2E"/>
    <w:rsid w:val="00C621FB"/>
    <w:rsid w:val="00C6270C"/>
    <w:rsid w:val="00C63172"/>
    <w:rsid w:val="00C6442B"/>
    <w:rsid w:val="00C64546"/>
    <w:rsid w:val="00C65679"/>
    <w:rsid w:val="00C6606D"/>
    <w:rsid w:val="00C6649E"/>
    <w:rsid w:val="00C668E8"/>
    <w:rsid w:val="00C67DE9"/>
    <w:rsid w:val="00C719E2"/>
    <w:rsid w:val="00C71C85"/>
    <w:rsid w:val="00C722B8"/>
    <w:rsid w:val="00C725C4"/>
    <w:rsid w:val="00C7327F"/>
    <w:rsid w:val="00C73634"/>
    <w:rsid w:val="00C73649"/>
    <w:rsid w:val="00C73F1A"/>
    <w:rsid w:val="00C74B97"/>
    <w:rsid w:val="00C74C27"/>
    <w:rsid w:val="00C751CD"/>
    <w:rsid w:val="00C751D3"/>
    <w:rsid w:val="00C7577E"/>
    <w:rsid w:val="00C765AD"/>
    <w:rsid w:val="00C778EC"/>
    <w:rsid w:val="00C77C92"/>
    <w:rsid w:val="00C816F0"/>
    <w:rsid w:val="00C81ECE"/>
    <w:rsid w:val="00C83043"/>
    <w:rsid w:val="00C831F1"/>
    <w:rsid w:val="00C83977"/>
    <w:rsid w:val="00C8686A"/>
    <w:rsid w:val="00C870A2"/>
    <w:rsid w:val="00C87FC4"/>
    <w:rsid w:val="00C90187"/>
    <w:rsid w:val="00C90B6C"/>
    <w:rsid w:val="00C91433"/>
    <w:rsid w:val="00C91D06"/>
    <w:rsid w:val="00C93678"/>
    <w:rsid w:val="00C94885"/>
    <w:rsid w:val="00C94FFB"/>
    <w:rsid w:val="00C9591D"/>
    <w:rsid w:val="00C95B1E"/>
    <w:rsid w:val="00C963F0"/>
    <w:rsid w:val="00C96496"/>
    <w:rsid w:val="00C97992"/>
    <w:rsid w:val="00C97AAA"/>
    <w:rsid w:val="00C97B6C"/>
    <w:rsid w:val="00C97E8B"/>
    <w:rsid w:val="00C97EB9"/>
    <w:rsid w:val="00CA0176"/>
    <w:rsid w:val="00CA0E4C"/>
    <w:rsid w:val="00CA1CEB"/>
    <w:rsid w:val="00CA3CF6"/>
    <w:rsid w:val="00CA3F4B"/>
    <w:rsid w:val="00CA462A"/>
    <w:rsid w:val="00CA5355"/>
    <w:rsid w:val="00CA5A00"/>
    <w:rsid w:val="00CA5DC1"/>
    <w:rsid w:val="00CA5E43"/>
    <w:rsid w:val="00CA68BF"/>
    <w:rsid w:val="00CA6C66"/>
    <w:rsid w:val="00CA77EA"/>
    <w:rsid w:val="00CA7A60"/>
    <w:rsid w:val="00CB1860"/>
    <w:rsid w:val="00CB205C"/>
    <w:rsid w:val="00CB22A0"/>
    <w:rsid w:val="00CB41C1"/>
    <w:rsid w:val="00CB4716"/>
    <w:rsid w:val="00CB545E"/>
    <w:rsid w:val="00CC0E79"/>
    <w:rsid w:val="00CC2A7D"/>
    <w:rsid w:val="00CC2B39"/>
    <w:rsid w:val="00CC36E9"/>
    <w:rsid w:val="00CC5721"/>
    <w:rsid w:val="00CC6146"/>
    <w:rsid w:val="00CC68B4"/>
    <w:rsid w:val="00CC6BDA"/>
    <w:rsid w:val="00CC6CB6"/>
    <w:rsid w:val="00CD0B97"/>
    <w:rsid w:val="00CD0DF0"/>
    <w:rsid w:val="00CD0ED5"/>
    <w:rsid w:val="00CD369B"/>
    <w:rsid w:val="00CD395F"/>
    <w:rsid w:val="00CD4115"/>
    <w:rsid w:val="00CD4241"/>
    <w:rsid w:val="00CD425C"/>
    <w:rsid w:val="00CD4391"/>
    <w:rsid w:val="00CD58DC"/>
    <w:rsid w:val="00CD722B"/>
    <w:rsid w:val="00CD75E3"/>
    <w:rsid w:val="00CE0733"/>
    <w:rsid w:val="00CE08B4"/>
    <w:rsid w:val="00CE1FD5"/>
    <w:rsid w:val="00CE2B0E"/>
    <w:rsid w:val="00CE3C7B"/>
    <w:rsid w:val="00CE3D66"/>
    <w:rsid w:val="00CE3DC4"/>
    <w:rsid w:val="00CE5EC9"/>
    <w:rsid w:val="00CE71A2"/>
    <w:rsid w:val="00CE76F9"/>
    <w:rsid w:val="00CE7CBC"/>
    <w:rsid w:val="00CF032F"/>
    <w:rsid w:val="00CF0E97"/>
    <w:rsid w:val="00CF1009"/>
    <w:rsid w:val="00CF14B9"/>
    <w:rsid w:val="00CF18B0"/>
    <w:rsid w:val="00CF24E8"/>
    <w:rsid w:val="00CF26F1"/>
    <w:rsid w:val="00CF324A"/>
    <w:rsid w:val="00CF44E3"/>
    <w:rsid w:val="00CF4520"/>
    <w:rsid w:val="00CF4E5A"/>
    <w:rsid w:val="00CF50F0"/>
    <w:rsid w:val="00CF5E07"/>
    <w:rsid w:val="00CF780C"/>
    <w:rsid w:val="00CF7F07"/>
    <w:rsid w:val="00D0034F"/>
    <w:rsid w:val="00D02902"/>
    <w:rsid w:val="00D0365E"/>
    <w:rsid w:val="00D041FC"/>
    <w:rsid w:val="00D07554"/>
    <w:rsid w:val="00D07A64"/>
    <w:rsid w:val="00D10605"/>
    <w:rsid w:val="00D119D5"/>
    <w:rsid w:val="00D11EEB"/>
    <w:rsid w:val="00D14840"/>
    <w:rsid w:val="00D14990"/>
    <w:rsid w:val="00D157B5"/>
    <w:rsid w:val="00D16005"/>
    <w:rsid w:val="00D16466"/>
    <w:rsid w:val="00D16D40"/>
    <w:rsid w:val="00D20F53"/>
    <w:rsid w:val="00D21409"/>
    <w:rsid w:val="00D21672"/>
    <w:rsid w:val="00D2386B"/>
    <w:rsid w:val="00D2504B"/>
    <w:rsid w:val="00D265DD"/>
    <w:rsid w:val="00D26A2E"/>
    <w:rsid w:val="00D26EB2"/>
    <w:rsid w:val="00D30F73"/>
    <w:rsid w:val="00D31B33"/>
    <w:rsid w:val="00D323FA"/>
    <w:rsid w:val="00D33AAC"/>
    <w:rsid w:val="00D343C7"/>
    <w:rsid w:val="00D34AD0"/>
    <w:rsid w:val="00D34E4B"/>
    <w:rsid w:val="00D36B60"/>
    <w:rsid w:val="00D4198D"/>
    <w:rsid w:val="00D423CF"/>
    <w:rsid w:val="00D42875"/>
    <w:rsid w:val="00D44442"/>
    <w:rsid w:val="00D44A75"/>
    <w:rsid w:val="00D44EB9"/>
    <w:rsid w:val="00D4728E"/>
    <w:rsid w:val="00D505A4"/>
    <w:rsid w:val="00D50650"/>
    <w:rsid w:val="00D51DE7"/>
    <w:rsid w:val="00D5287D"/>
    <w:rsid w:val="00D53668"/>
    <w:rsid w:val="00D54862"/>
    <w:rsid w:val="00D54865"/>
    <w:rsid w:val="00D54FC9"/>
    <w:rsid w:val="00D629FE"/>
    <w:rsid w:val="00D641FA"/>
    <w:rsid w:val="00D657C0"/>
    <w:rsid w:val="00D65B0E"/>
    <w:rsid w:val="00D65DC6"/>
    <w:rsid w:val="00D66A81"/>
    <w:rsid w:val="00D672EB"/>
    <w:rsid w:val="00D701BA"/>
    <w:rsid w:val="00D73081"/>
    <w:rsid w:val="00D74BB5"/>
    <w:rsid w:val="00D7593E"/>
    <w:rsid w:val="00D763E0"/>
    <w:rsid w:val="00D76E11"/>
    <w:rsid w:val="00D77F6B"/>
    <w:rsid w:val="00D80044"/>
    <w:rsid w:val="00D80137"/>
    <w:rsid w:val="00D81867"/>
    <w:rsid w:val="00D821F4"/>
    <w:rsid w:val="00D82ACE"/>
    <w:rsid w:val="00D8306A"/>
    <w:rsid w:val="00D83D56"/>
    <w:rsid w:val="00D86D58"/>
    <w:rsid w:val="00D87098"/>
    <w:rsid w:val="00D87C3E"/>
    <w:rsid w:val="00D9173B"/>
    <w:rsid w:val="00D928A4"/>
    <w:rsid w:val="00D92C61"/>
    <w:rsid w:val="00D9326F"/>
    <w:rsid w:val="00D9465E"/>
    <w:rsid w:val="00D94DB5"/>
    <w:rsid w:val="00D95286"/>
    <w:rsid w:val="00D968E6"/>
    <w:rsid w:val="00D9763F"/>
    <w:rsid w:val="00DA291E"/>
    <w:rsid w:val="00DA3BB7"/>
    <w:rsid w:val="00DA3C59"/>
    <w:rsid w:val="00DA4076"/>
    <w:rsid w:val="00DA5359"/>
    <w:rsid w:val="00DA5E2D"/>
    <w:rsid w:val="00DA602A"/>
    <w:rsid w:val="00DA6A83"/>
    <w:rsid w:val="00DB0BEF"/>
    <w:rsid w:val="00DB30B3"/>
    <w:rsid w:val="00DB3203"/>
    <w:rsid w:val="00DB3F4F"/>
    <w:rsid w:val="00DB434F"/>
    <w:rsid w:val="00DB678B"/>
    <w:rsid w:val="00DB71AA"/>
    <w:rsid w:val="00DB7864"/>
    <w:rsid w:val="00DC283E"/>
    <w:rsid w:val="00DC3025"/>
    <w:rsid w:val="00DC334C"/>
    <w:rsid w:val="00DC34EE"/>
    <w:rsid w:val="00DC3BBA"/>
    <w:rsid w:val="00DC3C0C"/>
    <w:rsid w:val="00DC4153"/>
    <w:rsid w:val="00DC47D3"/>
    <w:rsid w:val="00DC5094"/>
    <w:rsid w:val="00DC5FDF"/>
    <w:rsid w:val="00DC60E7"/>
    <w:rsid w:val="00DC7980"/>
    <w:rsid w:val="00DD0674"/>
    <w:rsid w:val="00DD163C"/>
    <w:rsid w:val="00DD1855"/>
    <w:rsid w:val="00DD1DE7"/>
    <w:rsid w:val="00DD2E39"/>
    <w:rsid w:val="00DD4EAB"/>
    <w:rsid w:val="00DD5CC6"/>
    <w:rsid w:val="00DD5DA1"/>
    <w:rsid w:val="00DD5E17"/>
    <w:rsid w:val="00DD6B87"/>
    <w:rsid w:val="00DD6CA8"/>
    <w:rsid w:val="00DE0088"/>
    <w:rsid w:val="00DE06F0"/>
    <w:rsid w:val="00DE0BE0"/>
    <w:rsid w:val="00DE2126"/>
    <w:rsid w:val="00DE5008"/>
    <w:rsid w:val="00DE521C"/>
    <w:rsid w:val="00DE59A9"/>
    <w:rsid w:val="00DE6B0F"/>
    <w:rsid w:val="00DE7CB0"/>
    <w:rsid w:val="00DE7DF3"/>
    <w:rsid w:val="00DF0A12"/>
    <w:rsid w:val="00DF16CB"/>
    <w:rsid w:val="00DF1B64"/>
    <w:rsid w:val="00DF1CEB"/>
    <w:rsid w:val="00DF41A2"/>
    <w:rsid w:val="00DF42AA"/>
    <w:rsid w:val="00DF6608"/>
    <w:rsid w:val="00DF676A"/>
    <w:rsid w:val="00DF7178"/>
    <w:rsid w:val="00DF73BE"/>
    <w:rsid w:val="00DF7EA9"/>
    <w:rsid w:val="00E00033"/>
    <w:rsid w:val="00E00F57"/>
    <w:rsid w:val="00E046DE"/>
    <w:rsid w:val="00E047A9"/>
    <w:rsid w:val="00E049DB"/>
    <w:rsid w:val="00E04BF4"/>
    <w:rsid w:val="00E04CC2"/>
    <w:rsid w:val="00E050A7"/>
    <w:rsid w:val="00E13469"/>
    <w:rsid w:val="00E13964"/>
    <w:rsid w:val="00E1475A"/>
    <w:rsid w:val="00E14B37"/>
    <w:rsid w:val="00E15081"/>
    <w:rsid w:val="00E150BD"/>
    <w:rsid w:val="00E179C1"/>
    <w:rsid w:val="00E20963"/>
    <w:rsid w:val="00E21032"/>
    <w:rsid w:val="00E21304"/>
    <w:rsid w:val="00E216DC"/>
    <w:rsid w:val="00E21D29"/>
    <w:rsid w:val="00E22065"/>
    <w:rsid w:val="00E2294D"/>
    <w:rsid w:val="00E2531B"/>
    <w:rsid w:val="00E254B8"/>
    <w:rsid w:val="00E25DE2"/>
    <w:rsid w:val="00E272BA"/>
    <w:rsid w:val="00E275FE"/>
    <w:rsid w:val="00E2785A"/>
    <w:rsid w:val="00E27E98"/>
    <w:rsid w:val="00E27F7B"/>
    <w:rsid w:val="00E305D2"/>
    <w:rsid w:val="00E3090A"/>
    <w:rsid w:val="00E3121A"/>
    <w:rsid w:val="00E31942"/>
    <w:rsid w:val="00E33664"/>
    <w:rsid w:val="00E35D3D"/>
    <w:rsid w:val="00E364DA"/>
    <w:rsid w:val="00E36FC8"/>
    <w:rsid w:val="00E374D8"/>
    <w:rsid w:val="00E404F5"/>
    <w:rsid w:val="00E41623"/>
    <w:rsid w:val="00E41DB2"/>
    <w:rsid w:val="00E4349F"/>
    <w:rsid w:val="00E43D7C"/>
    <w:rsid w:val="00E44430"/>
    <w:rsid w:val="00E47397"/>
    <w:rsid w:val="00E5053F"/>
    <w:rsid w:val="00E51BF2"/>
    <w:rsid w:val="00E524A7"/>
    <w:rsid w:val="00E52AA2"/>
    <w:rsid w:val="00E5312C"/>
    <w:rsid w:val="00E53EEA"/>
    <w:rsid w:val="00E54044"/>
    <w:rsid w:val="00E54EC7"/>
    <w:rsid w:val="00E57266"/>
    <w:rsid w:val="00E60091"/>
    <w:rsid w:val="00E6059F"/>
    <w:rsid w:val="00E61DB0"/>
    <w:rsid w:val="00E62DE5"/>
    <w:rsid w:val="00E63A28"/>
    <w:rsid w:val="00E63E38"/>
    <w:rsid w:val="00E64A28"/>
    <w:rsid w:val="00E64F39"/>
    <w:rsid w:val="00E65825"/>
    <w:rsid w:val="00E660E0"/>
    <w:rsid w:val="00E66776"/>
    <w:rsid w:val="00E6740E"/>
    <w:rsid w:val="00E6794D"/>
    <w:rsid w:val="00E704DE"/>
    <w:rsid w:val="00E70823"/>
    <w:rsid w:val="00E71CE2"/>
    <w:rsid w:val="00E71D70"/>
    <w:rsid w:val="00E727D2"/>
    <w:rsid w:val="00E72DAA"/>
    <w:rsid w:val="00E73253"/>
    <w:rsid w:val="00E73B77"/>
    <w:rsid w:val="00E756D9"/>
    <w:rsid w:val="00E75EC8"/>
    <w:rsid w:val="00E76464"/>
    <w:rsid w:val="00E769A5"/>
    <w:rsid w:val="00E7712D"/>
    <w:rsid w:val="00E77E63"/>
    <w:rsid w:val="00E8054D"/>
    <w:rsid w:val="00E81E34"/>
    <w:rsid w:val="00E821B0"/>
    <w:rsid w:val="00E829BC"/>
    <w:rsid w:val="00E8451B"/>
    <w:rsid w:val="00E84ECE"/>
    <w:rsid w:val="00E850CB"/>
    <w:rsid w:val="00E863D9"/>
    <w:rsid w:val="00E866D2"/>
    <w:rsid w:val="00E903BC"/>
    <w:rsid w:val="00E907CB"/>
    <w:rsid w:val="00E90D02"/>
    <w:rsid w:val="00E91DFE"/>
    <w:rsid w:val="00E929DE"/>
    <w:rsid w:val="00E92B11"/>
    <w:rsid w:val="00E92BCB"/>
    <w:rsid w:val="00E939CB"/>
    <w:rsid w:val="00E97D2E"/>
    <w:rsid w:val="00EA04B8"/>
    <w:rsid w:val="00EA05DC"/>
    <w:rsid w:val="00EA097B"/>
    <w:rsid w:val="00EA1845"/>
    <w:rsid w:val="00EA204C"/>
    <w:rsid w:val="00EA2681"/>
    <w:rsid w:val="00EA366E"/>
    <w:rsid w:val="00EA3700"/>
    <w:rsid w:val="00EA3906"/>
    <w:rsid w:val="00EA39F9"/>
    <w:rsid w:val="00EA3B42"/>
    <w:rsid w:val="00EA5455"/>
    <w:rsid w:val="00EA6B78"/>
    <w:rsid w:val="00EA6CDF"/>
    <w:rsid w:val="00EA7A90"/>
    <w:rsid w:val="00EB00A1"/>
    <w:rsid w:val="00EB00D9"/>
    <w:rsid w:val="00EB0996"/>
    <w:rsid w:val="00EB356F"/>
    <w:rsid w:val="00EB39C1"/>
    <w:rsid w:val="00EB42A8"/>
    <w:rsid w:val="00EB4376"/>
    <w:rsid w:val="00EB48CA"/>
    <w:rsid w:val="00EB4907"/>
    <w:rsid w:val="00EB52D1"/>
    <w:rsid w:val="00EB5786"/>
    <w:rsid w:val="00EB6736"/>
    <w:rsid w:val="00EB683F"/>
    <w:rsid w:val="00EB73E0"/>
    <w:rsid w:val="00EB794B"/>
    <w:rsid w:val="00EB7ED6"/>
    <w:rsid w:val="00EC0EF5"/>
    <w:rsid w:val="00EC18B4"/>
    <w:rsid w:val="00EC214B"/>
    <w:rsid w:val="00EC2945"/>
    <w:rsid w:val="00EC3EC0"/>
    <w:rsid w:val="00EC6258"/>
    <w:rsid w:val="00EC663E"/>
    <w:rsid w:val="00EC7FC5"/>
    <w:rsid w:val="00ED01D9"/>
    <w:rsid w:val="00ED0451"/>
    <w:rsid w:val="00ED2037"/>
    <w:rsid w:val="00ED2B92"/>
    <w:rsid w:val="00ED4696"/>
    <w:rsid w:val="00ED5731"/>
    <w:rsid w:val="00EE3987"/>
    <w:rsid w:val="00EE398F"/>
    <w:rsid w:val="00EE40C4"/>
    <w:rsid w:val="00EE5316"/>
    <w:rsid w:val="00EE57D6"/>
    <w:rsid w:val="00EE5C86"/>
    <w:rsid w:val="00EF0165"/>
    <w:rsid w:val="00EF0385"/>
    <w:rsid w:val="00EF05BB"/>
    <w:rsid w:val="00EF202C"/>
    <w:rsid w:val="00EF28BB"/>
    <w:rsid w:val="00EF2F61"/>
    <w:rsid w:val="00EF3B91"/>
    <w:rsid w:val="00EF579A"/>
    <w:rsid w:val="00EF6B9D"/>
    <w:rsid w:val="00EF6CD8"/>
    <w:rsid w:val="00EF6F28"/>
    <w:rsid w:val="00EF7A5B"/>
    <w:rsid w:val="00F00B93"/>
    <w:rsid w:val="00F02D91"/>
    <w:rsid w:val="00F03F26"/>
    <w:rsid w:val="00F04959"/>
    <w:rsid w:val="00F05BBF"/>
    <w:rsid w:val="00F05E41"/>
    <w:rsid w:val="00F072C3"/>
    <w:rsid w:val="00F077CB"/>
    <w:rsid w:val="00F1225A"/>
    <w:rsid w:val="00F129E8"/>
    <w:rsid w:val="00F12C1F"/>
    <w:rsid w:val="00F12CDE"/>
    <w:rsid w:val="00F14419"/>
    <w:rsid w:val="00F14D34"/>
    <w:rsid w:val="00F16BBB"/>
    <w:rsid w:val="00F16E29"/>
    <w:rsid w:val="00F16F32"/>
    <w:rsid w:val="00F20EAE"/>
    <w:rsid w:val="00F2159D"/>
    <w:rsid w:val="00F217F5"/>
    <w:rsid w:val="00F21DFA"/>
    <w:rsid w:val="00F220DE"/>
    <w:rsid w:val="00F235C3"/>
    <w:rsid w:val="00F23BC4"/>
    <w:rsid w:val="00F23EE2"/>
    <w:rsid w:val="00F2484F"/>
    <w:rsid w:val="00F24B5D"/>
    <w:rsid w:val="00F25931"/>
    <w:rsid w:val="00F2626D"/>
    <w:rsid w:val="00F26537"/>
    <w:rsid w:val="00F26C93"/>
    <w:rsid w:val="00F26DCF"/>
    <w:rsid w:val="00F27C5D"/>
    <w:rsid w:val="00F30D8D"/>
    <w:rsid w:val="00F313D5"/>
    <w:rsid w:val="00F31437"/>
    <w:rsid w:val="00F31B74"/>
    <w:rsid w:val="00F327C8"/>
    <w:rsid w:val="00F3354D"/>
    <w:rsid w:val="00F33865"/>
    <w:rsid w:val="00F33A74"/>
    <w:rsid w:val="00F33F61"/>
    <w:rsid w:val="00F344AA"/>
    <w:rsid w:val="00F34F02"/>
    <w:rsid w:val="00F35BE5"/>
    <w:rsid w:val="00F35D8E"/>
    <w:rsid w:val="00F365B6"/>
    <w:rsid w:val="00F41CEB"/>
    <w:rsid w:val="00F42619"/>
    <w:rsid w:val="00F429D1"/>
    <w:rsid w:val="00F42AB1"/>
    <w:rsid w:val="00F438C4"/>
    <w:rsid w:val="00F43D9A"/>
    <w:rsid w:val="00F446D8"/>
    <w:rsid w:val="00F45522"/>
    <w:rsid w:val="00F46C35"/>
    <w:rsid w:val="00F47CC1"/>
    <w:rsid w:val="00F510D5"/>
    <w:rsid w:val="00F515AF"/>
    <w:rsid w:val="00F535D8"/>
    <w:rsid w:val="00F5495C"/>
    <w:rsid w:val="00F54F16"/>
    <w:rsid w:val="00F5581C"/>
    <w:rsid w:val="00F55D8E"/>
    <w:rsid w:val="00F57141"/>
    <w:rsid w:val="00F574C1"/>
    <w:rsid w:val="00F60601"/>
    <w:rsid w:val="00F61379"/>
    <w:rsid w:val="00F6163B"/>
    <w:rsid w:val="00F6243C"/>
    <w:rsid w:val="00F6319C"/>
    <w:rsid w:val="00F639CA"/>
    <w:rsid w:val="00F63CA5"/>
    <w:rsid w:val="00F63E8B"/>
    <w:rsid w:val="00F64FA1"/>
    <w:rsid w:val="00F65C72"/>
    <w:rsid w:val="00F65E8C"/>
    <w:rsid w:val="00F66065"/>
    <w:rsid w:val="00F66B81"/>
    <w:rsid w:val="00F6716C"/>
    <w:rsid w:val="00F67B03"/>
    <w:rsid w:val="00F7286B"/>
    <w:rsid w:val="00F729C3"/>
    <w:rsid w:val="00F736C8"/>
    <w:rsid w:val="00F73DE1"/>
    <w:rsid w:val="00F7552C"/>
    <w:rsid w:val="00F76502"/>
    <w:rsid w:val="00F816E7"/>
    <w:rsid w:val="00F81701"/>
    <w:rsid w:val="00F819F3"/>
    <w:rsid w:val="00F81B3E"/>
    <w:rsid w:val="00F820FE"/>
    <w:rsid w:val="00F8235D"/>
    <w:rsid w:val="00F823D6"/>
    <w:rsid w:val="00F8320B"/>
    <w:rsid w:val="00F83514"/>
    <w:rsid w:val="00F83A84"/>
    <w:rsid w:val="00F84ADF"/>
    <w:rsid w:val="00F84BA7"/>
    <w:rsid w:val="00F860BF"/>
    <w:rsid w:val="00F86772"/>
    <w:rsid w:val="00F87933"/>
    <w:rsid w:val="00F90C18"/>
    <w:rsid w:val="00F91F55"/>
    <w:rsid w:val="00F925BE"/>
    <w:rsid w:val="00F97375"/>
    <w:rsid w:val="00F97935"/>
    <w:rsid w:val="00F97CF6"/>
    <w:rsid w:val="00FA16E3"/>
    <w:rsid w:val="00FA205C"/>
    <w:rsid w:val="00FA3740"/>
    <w:rsid w:val="00FA41EF"/>
    <w:rsid w:val="00FA5530"/>
    <w:rsid w:val="00FA62CC"/>
    <w:rsid w:val="00FA7664"/>
    <w:rsid w:val="00FA7D60"/>
    <w:rsid w:val="00FB0542"/>
    <w:rsid w:val="00FB0815"/>
    <w:rsid w:val="00FB0DC0"/>
    <w:rsid w:val="00FB1045"/>
    <w:rsid w:val="00FB11EC"/>
    <w:rsid w:val="00FB17A6"/>
    <w:rsid w:val="00FB1E2B"/>
    <w:rsid w:val="00FB37C8"/>
    <w:rsid w:val="00FB39D9"/>
    <w:rsid w:val="00FB39F3"/>
    <w:rsid w:val="00FB432B"/>
    <w:rsid w:val="00FB4D21"/>
    <w:rsid w:val="00FB6EE8"/>
    <w:rsid w:val="00FB7088"/>
    <w:rsid w:val="00FC0CED"/>
    <w:rsid w:val="00FC16D4"/>
    <w:rsid w:val="00FC25BC"/>
    <w:rsid w:val="00FC41C9"/>
    <w:rsid w:val="00FC4244"/>
    <w:rsid w:val="00FC4ECA"/>
    <w:rsid w:val="00FC5A56"/>
    <w:rsid w:val="00FC6F06"/>
    <w:rsid w:val="00FC7D8F"/>
    <w:rsid w:val="00FD1789"/>
    <w:rsid w:val="00FD19E5"/>
    <w:rsid w:val="00FD2CC3"/>
    <w:rsid w:val="00FD2E24"/>
    <w:rsid w:val="00FD351F"/>
    <w:rsid w:val="00FD3B17"/>
    <w:rsid w:val="00FD40C5"/>
    <w:rsid w:val="00FD5CB1"/>
    <w:rsid w:val="00FE10E6"/>
    <w:rsid w:val="00FE41B7"/>
    <w:rsid w:val="00FE5A47"/>
    <w:rsid w:val="00FE5E19"/>
    <w:rsid w:val="00FE66E4"/>
    <w:rsid w:val="00FF01B0"/>
    <w:rsid w:val="00FF120C"/>
    <w:rsid w:val="00FF2F2F"/>
    <w:rsid w:val="00FF33CE"/>
    <w:rsid w:val="00FF383C"/>
    <w:rsid w:val="00FF4169"/>
    <w:rsid w:val="00FF4A76"/>
    <w:rsid w:val="00FF555B"/>
    <w:rsid w:val="00FF68DA"/>
    <w:rsid w:val="0DBA7552"/>
    <w:rsid w:val="1294E080"/>
    <w:rsid w:val="257F9FA3"/>
    <w:rsid w:val="3B4970E7"/>
    <w:rsid w:val="3B5D523E"/>
    <w:rsid w:val="5AC6315F"/>
    <w:rsid w:val="5AE93AE7"/>
    <w:rsid w:val="6010B6AF"/>
    <w:rsid w:val="74A0234B"/>
    <w:rsid w:val="7B53C5BC"/>
    <w:rsid w:val="7D8091D7"/>
    <w:rsid w:val="7DC0CC8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08222C1"/>
  <w15:docId w15:val="{BC07D133-92B2-46EE-BF79-B080A56DB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00B93"/>
    <w:rPr>
      <w:sz w:val="24"/>
      <w:szCs w:val="24"/>
    </w:rPr>
  </w:style>
  <w:style w:type="paragraph" w:styleId="Heading1">
    <w:name w:val="heading 1"/>
    <w:aliases w:val="H1-Sec.Head"/>
    <w:basedOn w:val="Normal"/>
    <w:next w:val="Normal"/>
    <w:link w:val="Heading1Char"/>
    <w:qFormat/>
    <w:rsid w:val="00972DEF"/>
    <w:pPr>
      <w:keepNext/>
      <w:tabs>
        <w:tab w:val="left" w:pos="1152"/>
      </w:tabs>
      <w:spacing w:after="360" w:line="360" w:lineRule="atLeast"/>
      <w:ind w:left="1152" w:hanging="1152"/>
      <w:jc w:val="both"/>
      <w:outlineLvl w:val="0"/>
    </w:pPr>
    <w:rPr>
      <w:rFonts w:ascii="Cambria" w:hAnsi="Cambria" w:cs="Cambria"/>
      <w:b/>
      <w:bCs/>
      <w:kern w:val="32"/>
      <w:sz w:val="32"/>
      <w:szCs w:val="32"/>
    </w:rPr>
  </w:style>
  <w:style w:type="paragraph" w:styleId="Heading2">
    <w:name w:val="heading 2"/>
    <w:basedOn w:val="Normal"/>
    <w:next w:val="Normal"/>
    <w:link w:val="Heading2Char"/>
    <w:qFormat/>
    <w:rsid w:val="00972DEF"/>
    <w:pPr>
      <w:keepNext/>
      <w:spacing w:before="240" w:after="60"/>
      <w:outlineLvl w:val="1"/>
    </w:pPr>
    <w:rPr>
      <w:rFonts w:ascii="Cambria" w:hAnsi="Cambria" w:cs="Cambria"/>
      <w:b/>
      <w:bCs/>
      <w:i/>
      <w:iCs/>
      <w:sz w:val="28"/>
      <w:szCs w:val="28"/>
    </w:rPr>
  </w:style>
  <w:style w:type="paragraph" w:styleId="Heading3">
    <w:name w:val="heading 3"/>
    <w:basedOn w:val="Normal"/>
    <w:next w:val="BodyText1"/>
    <w:link w:val="Heading3Char"/>
    <w:qFormat/>
    <w:rsid w:val="00972DEF"/>
    <w:pPr>
      <w:keepNext/>
      <w:tabs>
        <w:tab w:val="num" w:pos="864"/>
      </w:tabs>
      <w:spacing w:after="60" w:line="240" w:lineRule="exact"/>
      <w:ind w:left="864" w:hanging="864"/>
      <w:outlineLvl w:val="2"/>
    </w:pPr>
    <w:rPr>
      <w:rFonts w:ascii="Cambria" w:hAnsi="Cambria" w:cs="Cambria"/>
      <w:b/>
      <w:bCs/>
      <w:sz w:val="26"/>
      <w:szCs w:val="26"/>
    </w:rPr>
  </w:style>
  <w:style w:type="paragraph" w:styleId="Heading6">
    <w:name w:val="heading 6"/>
    <w:basedOn w:val="Normal"/>
    <w:next w:val="Normal"/>
    <w:link w:val="Heading6Char"/>
    <w:qFormat/>
    <w:rsid w:val="00972DEF"/>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972DEF"/>
    <w:rPr>
      <w:rFonts w:ascii="Cambria" w:hAnsi="Cambria" w:cs="Cambria"/>
      <w:b/>
      <w:bCs/>
      <w:kern w:val="32"/>
      <w:sz w:val="32"/>
      <w:szCs w:val="32"/>
      <w:lang w:val="en-US" w:eastAsia="en-US" w:bidi="ar-SA"/>
    </w:rPr>
  </w:style>
  <w:style w:type="character" w:customStyle="1" w:styleId="Heading2Char">
    <w:name w:val="Heading 2 Char"/>
    <w:link w:val="Heading2"/>
    <w:semiHidden/>
    <w:rsid w:val="00972DEF"/>
    <w:rPr>
      <w:rFonts w:ascii="Cambria" w:hAnsi="Cambria" w:cs="Cambria"/>
      <w:b/>
      <w:bCs/>
      <w:i/>
      <w:iCs/>
      <w:sz w:val="28"/>
      <w:szCs w:val="28"/>
      <w:lang w:val="en-US" w:eastAsia="en-US" w:bidi="ar-SA"/>
    </w:rPr>
  </w:style>
  <w:style w:type="paragraph" w:customStyle="1" w:styleId="BodyText1">
    <w:name w:val="Body Text1"/>
    <w:aliases w:val="body text Char,body tx,body tx Char,bt,bt Char,flush,flush Char Char,flush Char Char Char,flush Char Char Char Char Char,flush Char Char Char Char Char Char,indent,indent Char"/>
    <w:basedOn w:val="Normal"/>
    <w:rsid w:val="00972DEF"/>
    <w:pPr>
      <w:spacing w:after="160"/>
      <w:ind w:firstLine="720"/>
    </w:pPr>
    <w:rPr>
      <w:sz w:val="22"/>
      <w:szCs w:val="22"/>
    </w:rPr>
  </w:style>
  <w:style w:type="character" w:customStyle="1" w:styleId="Heading3Char">
    <w:name w:val="Heading 3 Char"/>
    <w:link w:val="Heading3"/>
    <w:semiHidden/>
    <w:rsid w:val="00972DEF"/>
    <w:rPr>
      <w:rFonts w:ascii="Cambria" w:hAnsi="Cambria" w:cs="Cambria"/>
      <w:b/>
      <w:bCs/>
      <w:sz w:val="26"/>
      <w:szCs w:val="26"/>
      <w:lang w:val="en-US" w:eastAsia="en-US" w:bidi="ar-SA"/>
    </w:rPr>
  </w:style>
  <w:style w:type="character" w:customStyle="1" w:styleId="Heading6Char">
    <w:name w:val="Heading 6 Char"/>
    <w:link w:val="Heading6"/>
    <w:semiHidden/>
    <w:rsid w:val="00972DEF"/>
    <w:rPr>
      <w:rFonts w:ascii="Calibri" w:hAnsi="Calibri" w:cs="Calibri"/>
      <w:b/>
      <w:bCs/>
      <w:sz w:val="22"/>
      <w:szCs w:val="22"/>
      <w:lang w:val="en-US" w:eastAsia="en-US" w:bidi="ar-SA"/>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A02695"/>
    <w:rPr>
      <w:sz w:val="16"/>
      <w:szCs w:val="2"/>
    </w:rPr>
  </w:style>
  <w:style w:type="character" w:customStyle="1" w:styleId="BalloonTextChar">
    <w:name w:val="Balloon Text Char"/>
    <w:link w:val="BalloonText"/>
    <w:semiHidden/>
    <w:rsid w:val="00A02695"/>
    <w:rPr>
      <w:sz w:val="16"/>
      <w:szCs w:val="2"/>
      <w:lang w:val="en-US" w:eastAsia="en-US" w:bidi="ar-SA"/>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semiHidden/>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semiHidden/>
    <w:rsid w:val="00972DEF"/>
    <w:rPr>
      <w:sz w:val="16"/>
      <w:szCs w:val="16"/>
    </w:rPr>
  </w:style>
  <w:style w:type="paragraph" w:styleId="CommentText">
    <w:name w:val="annotation text"/>
    <w:basedOn w:val="Normal"/>
    <w:link w:val="CommentTextChar"/>
    <w:semiHidden/>
    <w:rsid w:val="00972DEF"/>
  </w:style>
  <w:style w:type="character" w:customStyle="1" w:styleId="CommentTextChar">
    <w:name w:val="Comment Text Char"/>
    <w:link w:val="CommentText"/>
    <w:semiHidden/>
    <w:rsid w:val="00972DEF"/>
    <w:rPr>
      <w:sz w:val="24"/>
      <w:szCs w:val="24"/>
      <w:lang w:val="en-US" w:eastAsia="en-US" w:bidi="ar-SA"/>
    </w:rPr>
  </w:style>
  <w:style w:type="paragraph" w:styleId="CommentSubject">
    <w:name w:val="annotation subject"/>
    <w:basedOn w:val="CommentText"/>
    <w:next w:val="CommentText"/>
    <w:link w:val="CommentSubjectChar"/>
    <w:semiHidden/>
    <w:rsid w:val="00972DEF"/>
    <w:rPr>
      <w:b/>
      <w:bCs/>
    </w:rPr>
  </w:style>
  <w:style w:type="character" w:customStyle="1" w:styleId="CommentSubjectChar">
    <w:name w:val="Comment Subject Char"/>
    <w:link w:val="CommentSubject"/>
    <w:semiHidden/>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rsid w:val="00972DEF"/>
    <w:pPr>
      <w:spacing w:before="100" w:beforeAutospacing="1" w:after="100" w:afterAutospacing="1"/>
    </w:pPr>
    <w:rPr>
      <w:color w:val="000000"/>
    </w:rPr>
  </w:style>
  <w:style w:type="paragraph" w:styleId="FootnoteText">
    <w:name w:val="footnote text"/>
    <w:basedOn w:val="Normal"/>
    <w:link w:val="FootnoteTextChar"/>
    <w:semiHidden/>
    <w:rsid w:val="00972DEF"/>
  </w:style>
  <w:style w:type="character" w:customStyle="1" w:styleId="FootnoteTextChar">
    <w:name w:val="Footnote Text Char"/>
    <w:link w:val="FootnoteText"/>
    <w:rsid w:val="00972DEF"/>
    <w:rPr>
      <w:sz w:val="24"/>
      <w:szCs w:val="24"/>
      <w:lang w:val="en-US" w:eastAsia="en-US" w:bidi="ar-SA"/>
    </w:rPr>
  </w:style>
  <w:style w:type="character" w:styleId="FootnoteReference">
    <w:name w:val="footnote reference"/>
    <w:semiHidden/>
    <w:rsid w:val="00972DEF"/>
    <w:rPr>
      <w:vertAlign w:val="superscript"/>
    </w:rPr>
  </w:style>
  <w:style w:type="paragraph" w:customStyle="1" w:styleId="Level1">
    <w:name w:val="Level 1"/>
    <w:basedOn w:val="Normal"/>
    <w:rsid w:val="00972DEF"/>
    <w:pPr>
      <w:widowControl w:val="0"/>
      <w:numPr>
        <w:numId w:val="1"/>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rsid w:val="00972DEF"/>
    <w:rPr>
      <w:color w:val="0000FF"/>
      <w:u w:val="single"/>
    </w:rPr>
  </w:style>
  <w:style w:type="paragraph" w:styleId="PlainText">
    <w:name w:val="Plain Text"/>
    <w:basedOn w:val="Normal"/>
    <w:link w:val="PlainTextChar"/>
    <w:rsid w:val="00972DEF"/>
    <w:rPr>
      <w:rFonts w:ascii="Courier New" w:hAnsi="Courier New" w:cs="Courier New"/>
    </w:rPr>
  </w:style>
  <w:style w:type="character" w:customStyle="1" w:styleId="PlainTextChar">
    <w:name w:val="Plain Text Char"/>
    <w:link w:val="PlainText"/>
    <w:semiHidden/>
    <w:rsid w:val="00972DEF"/>
    <w:rPr>
      <w:rFonts w:ascii="Courier New" w:hAnsi="Courier New" w:cs="Courier New"/>
      <w:sz w:val="24"/>
      <w:szCs w:val="24"/>
      <w:lang w:val="en-US" w:eastAsia="en-US" w:bidi="ar-SA"/>
    </w:rPr>
  </w:style>
  <w:style w:type="character" w:customStyle="1" w:styleId="bodytextChar1">
    <w:name w:val="body text Char1"/>
    <w:aliases w:val="body text Char Char,body tx Char Char,body tx Char1,bt Char Char,bt Char1,flush Char,flush Char Char Char Char Char Char Char,flush Char Char Char Char Char Char1,flush Char Char Char1,indent Char Char,indent Char1"/>
    <w:rsid w:val="00972DEF"/>
    <w:rPr>
      <w:sz w:val="24"/>
      <w:szCs w:val="24"/>
      <w:lang w:val="en-US" w:eastAsia="en-US"/>
    </w:rPr>
  </w:style>
  <w:style w:type="paragraph" w:styleId="Header">
    <w:name w:val="header"/>
    <w:basedOn w:val="Normal"/>
    <w:link w:val="HeaderChar1"/>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rsid w:val="00972DEF"/>
    <w:pPr>
      <w:tabs>
        <w:tab w:val="center" w:pos="4320"/>
        <w:tab w:val="right" w:pos="8640"/>
      </w:tabs>
    </w:pPr>
  </w:style>
  <w:style w:type="character" w:customStyle="1" w:styleId="FooterChar">
    <w:name w:val="Footer Char"/>
    <w:link w:val="Footer"/>
    <w:semiHidden/>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2"/>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semiHidden/>
    <w:rsid w:val="00972DEF"/>
    <w:pPr>
      <w:tabs>
        <w:tab w:val="left" w:pos="1440"/>
        <w:tab w:val="right" w:leader="dot" w:pos="8208"/>
        <w:tab w:val="left" w:pos="8640"/>
      </w:tabs>
      <w:spacing w:line="240" w:lineRule="atLeast"/>
      <w:ind w:left="288"/>
    </w:pPr>
    <w:rPr>
      <w:caps/>
    </w:rPr>
  </w:style>
  <w:style w:type="paragraph" w:styleId="TOC2">
    <w:name w:val="toc 2"/>
    <w:basedOn w:val="Normal"/>
    <w:autoRedefine/>
    <w:semiHidden/>
    <w:rsid w:val="00972DEF"/>
    <w:pPr>
      <w:tabs>
        <w:tab w:val="left" w:pos="2160"/>
        <w:tab w:val="right" w:leader="dot" w:pos="8208"/>
        <w:tab w:val="left" w:pos="8640"/>
      </w:tabs>
      <w:spacing w:line="240" w:lineRule="atLeast"/>
      <w:ind w:left="2160" w:hanging="720"/>
    </w:pPr>
  </w:style>
  <w:style w:type="paragraph" w:styleId="TOC5">
    <w:name w:val="toc 5"/>
    <w:basedOn w:val="TOC1"/>
    <w:autoRedefine/>
    <w:semiHidden/>
    <w:rsid w:val="006F1DA6"/>
    <w:pPr>
      <w:jc w:val="center"/>
    </w:pPr>
    <w:rPr>
      <w:caps w:val="0"/>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972DEF"/>
    <w:pPr>
      <w:numPr>
        <w:numId w:val="3"/>
      </w:numPr>
      <w:tabs>
        <w:tab w:val="clear" w:pos="504"/>
        <w:tab w:val="num" w:pos="600"/>
      </w:tabs>
      <w:ind w:left="600" w:hanging="360"/>
    </w:pPr>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4"/>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5"/>
      </w:numPr>
    </w:pPr>
    <w:rPr>
      <w:rFonts w:eastAsia="SimSun"/>
    </w:rPr>
  </w:style>
  <w:style w:type="paragraph" w:customStyle="1" w:styleId="a2colbul">
    <w:name w:val="a2col_bul"/>
    <w:basedOn w:val="Normal"/>
    <w:rsid w:val="00972DEF"/>
    <w:pPr>
      <w:numPr>
        <w:ilvl w:val="1"/>
        <w:numId w:val="5"/>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semiHidden/>
    <w:locked/>
    <w:rsid w:val="004711E7"/>
    <w:rPr>
      <w:rFonts w:cs="Times New Roman"/>
    </w:rPr>
  </w:style>
  <w:style w:type="paragraph" w:styleId="ListParagraph">
    <w:name w:val="List Paragraph"/>
    <w:basedOn w:val="Normal"/>
    <w:uiPriority w:val="34"/>
    <w:qFormat/>
    <w:rsid w:val="00C1738D"/>
    <w:pPr>
      <w:ind w:left="720"/>
      <w:contextualSpacing/>
    </w:pPr>
  </w:style>
  <w:style w:type="paragraph" w:customStyle="1" w:styleId="Default">
    <w:name w:val="Default"/>
    <w:rsid w:val="00F31437"/>
    <w:pPr>
      <w:autoSpaceDE w:val="0"/>
      <w:autoSpaceDN w:val="0"/>
      <w:adjustRightInd w:val="0"/>
    </w:pPr>
    <w:rPr>
      <w:color w:val="000000"/>
      <w:sz w:val="24"/>
      <w:szCs w:val="24"/>
    </w:rPr>
  </w:style>
  <w:style w:type="paragraph" w:styleId="Revision">
    <w:name w:val="Revision"/>
    <w:hidden/>
    <w:uiPriority w:val="99"/>
    <w:semiHidden/>
    <w:rsid w:val="004C4BBD"/>
    <w:rPr>
      <w:sz w:val="24"/>
      <w:szCs w:val="24"/>
    </w:rPr>
  </w:style>
  <w:style w:type="paragraph" w:customStyle="1" w:styleId="OMBbodytext">
    <w:name w:val="OMB body text"/>
    <w:basedOn w:val="Normal"/>
    <w:link w:val="OMBbodytextChar"/>
    <w:uiPriority w:val="99"/>
    <w:rsid w:val="00C50317"/>
    <w:pPr>
      <w:spacing w:after="240"/>
    </w:pPr>
    <w:rPr>
      <w:szCs w:val="20"/>
    </w:rPr>
  </w:style>
  <w:style w:type="character" w:customStyle="1" w:styleId="OMBbodytextChar">
    <w:name w:val="OMB body text Char"/>
    <w:link w:val="OMBbodytext"/>
    <w:uiPriority w:val="99"/>
    <w:locked/>
    <w:rsid w:val="00C50317"/>
    <w:rPr>
      <w:sz w:val="24"/>
    </w:rPr>
  </w:style>
  <w:style w:type="paragraph" w:customStyle="1" w:styleId="Bodycopy">
    <w:name w:val="Body copy"/>
    <w:basedOn w:val="Normal"/>
    <w:link w:val="BodycopyChar"/>
    <w:qFormat/>
    <w:rsid w:val="00C50317"/>
    <w:pPr>
      <w:spacing w:after="160" w:line="280" w:lineRule="exact"/>
    </w:pPr>
    <w:rPr>
      <w:rFonts w:eastAsia="Calibri"/>
      <w:sz w:val="22"/>
      <w:szCs w:val="22"/>
    </w:rPr>
  </w:style>
  <w:style w:type="character" w:customStyle="1" w:styleId="BodycopyChar">
    <w:name w:val="Body copy Char"/>
    <w:link w:val="Bodycopy"/>
    <w:rsid w:val="00C50317"/>
    <w:rPr>
      <w:rFonts w:eastAsia="Calibri"/>
      <w:sz w:val="22"/>
      <w:szCs w:val="22"/>
    </w:rPr>
  </w:style>
  <w:style w:type="table" w:styleId="TableGrid">
    <w:name w:val="Table Grid"/>
    <w:basedOn w:val="TableNormal"/>
    <w:uiPriority w:val="39"/>
    <w:rsid w:val="008F2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1B38ED"/>
    <w:rPr>
      <w:color w:val="605E5C"/>
      <w:shd w:val="clear" w:color="auto" w:fill="E1DFDD"/>
    </w:rPr>
  </w:style>
  <w:style w:type="character" w:customStyle="1" w:styleId="Mention1">
    <w:name w:val="Mention1"/>
    <w:basedOn w:val="DefaultParagraphFont"/>
    <w:uiPriority w:val="99"/>
    <w:unhideWhenUsed/>
    <w:rsid w:val="00D54FC9"/>
    <w:rPr>
      <w:color w:val="2B579A"/>
      <w:shd w:val="clear" w:color="auto" w:fill="E1DFDD"/>
    </w:rPr>
  </w:style>
  <w:style w:type="paragraph" w:styleId="EndnoteText">
    <w:name w:val="endnote text"/>
    <w:basedOn w:val="Normal"/>
    <w:link w:val="EndnoteTextChar"/>
    <w:semiHidden/>
    <w:unhideWhenUsed/>
    <w:rsid w:val="008A0133"/>
    <w:rPr>
      <w:sz w:val="20"/>
      <w:szCs w:val="20"/>
    </w:rPr>
  </w:style>
  <w:style w:type="character" w:customStyle="1" w:styleId="EndnoteTextChar">
    <w:name w:val="Endnote Text Char"/>
    <w:basedOn w:val="DefaultParagraphFont"/>
    <w:link w:val="EndnoteText"/>
    <w:semiHidden/>
    <w:rsid w:val="008A0133"/>
  </w:style>
  <w:style w:type="character" w:styleId="EndnoteReference">
    <w:name w:val="endnote reference"/>
    <w:basedOn w:val="DefaultParagraphFont"/>
    <w:semiHidden/>
    <w:unhideWhenUsed/>
    <w:rsid w:val="008A0133"/>
    <w:rPr>
      <w:vertAlign w:val="superscript"/>
    </w:rPr>
  </w:style>
  <w:style w:type="paragraph" w:customStyle="1" w:styleId="paragraph">
    <w:name w:val="paragraph"/>
    <w:basedOn w:val="Normal"/>
    <w:rsid w:val="00137C77"/>
    <w:pPr>
      <w:spacing w:before="100" w:beforeAutospacing="1" w:after="100" w:afterAutospacing="1"/>
    </w:pPr>
  </w:style>
  <w:style w:type="character" w:customStyle="1" w:styleId="normaltextrun">
    <w:name w:val="normaltextrun"/>
    <w:basedOn w:val="DefaultParagraphFont"/>
    <w:rsid w:val="00137C77"/>
  </w:style>
  <w:style w:type="character" w:customStyle="1" w:styleId="eop">
    <w:name w:val="eop"/>
    <w:basedOn w:val="DefaultParagraphFont"/>
    <w:rsid w:val="00137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bls.gov/oes/current/oes_stru.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260D3A5A02074C9F970ADCA5904845" ma:contentTypeVersion="12" ma:contentTypeDescription="Create a new document." ma:contentTypeScope="" ma:versionID="1be56e4eadf4b10265c5dc822f54b88e">
  <xsd:schema xmlns:xsd="http://www.w3.org/2001/XMLSchema" xmlns:xs="http://www.w3.org/2001/XMLSchema" xmlns:p="http://schemas.microsoft.com/office/2006/metadata/properties" xmlns:ns2="58a1310c-c0bd-4560-9dfd-13a14dcd98a0" xmlns:ns3="b06055ac-e89a-4c03-a0bf-90641ee8a6f7" targetNamespace="http://schemas.microsoft.com/office/2006/metadata/properties" ma:root="true" ma:fieldsID="a9f4507591ae9759a980d3e2f8448a1c" ns2:_="" ns3:_="">
    <xsd:import namespace="58a1310c-c0bd-4560-9dfd-13a14dcd98a0"/>
    <xsd:import namespace="b06055ac-e89a-4c03-a0bf-90641ee8a6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1310c-c0bd-4560-9dfd-13a14dcd98a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80261905-0f0e-46d8-92aa-3e2be30ab8e7}" ma:internalName="TaxCatchAll" ma:showField="CatchAllData" ma:web="58a1310c-c0bd-4560-9dfd-13a14dcd98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6055ac-e89a-4c03-a0bf-90641ee8a6f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58a1310c-c0bd-4560-9dfd-13a14dcd98a0">HEWYQ6A2VXRY-153267260-32150</_dlc_DocId>
    <_dlc_DocIdUrl xmlns="58a1310c-c0bd-4560-9dfd-13a14dcd98a0">
      <Url>https://cdc.sharepoint.com/teams/NCIPC-DIP/PIEB/Revamp/_layouts/15/DocIdRedir.aspx?ID=HEWYQ6A2VXRY-153267260-32150</Url>
      <Description>HEWYQ6A2VXRY-153267260-32150</Description>
    </_dlc_DocIdUrl>
    <MediaLengthInSeconds xmlns="b06055ac-e89a-4c03-a0bf-90641ee8a6f7" xsi:nil="true"/>
    <TaxCatchAll xmlns="58a1310c-c0bd-4560-9dfd-13a14dcd98a0" xsi:nil="true"/>
    <lcf76f155ced4ddcb4097134ff3c332f xmlns="b06055ac-e89a-4c03-a0bf-90641ee8a6f7">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53785-3D9A-4A9D-B0CB-D6E7B7B690D0}">
  <ds:schemaRefs>
    <ds:schemaRef ds:uri="http://schemas.microsoft.com/sharepoint/v3/contenttype/forms"/>
  </ds:schemaRefs>
</ds:datastoreItem>
</file>

<file path=customXml/itemProps2.xml><?xml version="1.0" encoding="utf-8"?>
<ds:datastoreItem xmlns:ds="http://schemas.openxmlformats.org/officeDocument/2006/customXml" ds:itemID="{EA5E4FCA-2C31-4CAF-8041-C85241312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a1310c-c0bd-4560-9dfd-13a14dcd98a0"/>
    <ds:schemaRef ds:uri="b06055ac-e89a-4c03-a0bf-90641ee8a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68897D-FED2-46C0-9367-1C3BD2FAF78E}">
  <ds:schemaRefs>
    <ds:schemaRef ds:uri="http://schemas.microsoft.com/sharepoint/events"/>
  </ds:schemaRefs>
</ds:datastoreItem>
</file>

<file path=customXml/itemProps4.xml><?xml version="1.0" encoding="utf-8"?>
<ds:datastoreItem xmlns:ds="http://schemas.openxmlformats.org/officeDocument/2006/customXml" ds:itemID="{DA48D616-DE41-4E43-994E-AE28A3042AE2}">
  <ds:schemaRefs>
    <ds:schemaRef ds:uri="http://schemas.microsoft.com/office/2006/metadata/properties"/>
    <ds:schemaRef ds:uri="http://schemas.microsoft.com/office/infopath/2007/PartnerControls"/>
    <ds:schemaRef ds:uri="58a1310c-c0bd-4560-9dfd-13a14dcd98a0"/>
    <ds:schemaRef ds:uri="b06055ac-e89a-4c03-a0bf-90641ee8a6f7"/>
  </ds:schemaRefs>
</ds:datastoreItem>
</file>

<file path=customXml/itemProps5.xml><?xml version="1.0" encoding="utf-8"?>
<ds:datastoreItem xmlns:ds="http://schemas.openxmlformats.org/officeDocument/2006/customXml" ds:itemID="{0635CC49-E823-4308-9FA0-4EB4B04E2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3138</Words>
  <Characters>19285</Characters>
  <Application>Microsoft Office Word</Application>
  <DocSecurity>0</DocSecurity>
  <Lines>160</Lines>
  <Paragraphs>44</Paragraphs>
  <ScaleCrop>false</ScaleCrop>
  <HeadingPairs>
    <vt:vector size="2" baseType="variant">
      <vt:variant>
        <vt:lpstr>Title</vt:lpstr>
      </vt:variant>
      <vt:variant>
        <vt:i4>1</vt:i4>
      </vt:variant>
    </vt:vector>
  </HeadingPairs>
  <TitlesOfParts>
    <vt:vector size="1" baseType="lpstr">
      <vt:lpstr>OMB Application for</vt:lpstr>
    </vt:vector>
  </TitlesOfParts>
  <Company>Centers for Disease Control and Prevention</Company>
  <LinksUpToDate>false</LinksUpToDate>
  <CharactersWithSpaces>22379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Application for</dc:title>
  <dc:creator>mcl2</dc:creator>
  <cp:lastModifiedBy>Halstead, Mary (CDC/NCIPC/OD)</cp:lastModifiedBy>
  <cp:revision>4</cp:revision>
  <cp:lastPrinted>2014-10-08T18:28:00Z</cp:lastPrinted>
  <dcterms:created xsi:type="dcterms:W3CDTF">2025-06-11T15:55:00Z</dcterms:created>
  <dcterms:modified xsi:type="dcterms:W3CDTF">2025-06-12T12:03:00Z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0x01010025260D3A5A02074C9F970ADCA5904845</vt:lpwstr>
  </property>
  <property fmtid="{D5CDD505-2E9C-101B-9397-08002B2CF9AE}" pid="4" name="MediaServiceImageTags">
    <vt:lpwstr/>
  </property>
  <property fmtid="{D5CDD505-2E9C-101B-9397-08002B2CF9AE}" pid="5" name="MSIP_Label_7b94a7b8-f06c-4dfe-bdcc-9b548fd58c31_ActionId">
    <vt:lpwstr>4dc06132-bb67-4914-8e67-9db178e9d0a6</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2020-12-18T21:30:09Z</vt:lpwstr>
  </property>
  <property fmtid="{D5CDD505-2E9C-101B-9397-08002B2CF9AE}" pid="11" name="MSIP_Label_7b94a7b8-f06c-4dfe-bdcc-9b548fd58c31_SiteId">
    <vt:lpwstr>9ce70869-60db-44fd-abe8-d2767077fc8f</vt:lpwstr>
  </property>
  <property fmtid="{D5CDD505-2E9C-101B-9397-08002B2CF9AE}" pid="12" name="Order">
    <vt:r8>3104200</vt:r8>
  </property>
  <property fmtid="{D5CDD505-2E9C-101B-9397-08002B2CF9AE}" pid="13" name="Order0">
    <vt:r8>9</vt:r8>
  </property>
  <property fmtid="{D5CDD505-2E9C-101B-9397-08002B2CF9AE}" pid="14" name="SharedWithUsers">
    <vt:lpwstr>211;#Stone, Deborah (CDC/NCIPC/DIP);#1945;#Barry, Megan (CDC/NCIPC/DIP)</vt:lpwstr>
  </property>
  <property fmtid="{D5CDD505-2E9C-101B-9397-08002B2CF9AE}" pid="15" name="TemplateUrl">
    <vt:lpwstr/>
  </property>
  <property fmtid="{D5CDD505-2E9C-101B-9397-08002B2CF9AE}" pid="16" name="TriggerFlowInfo">
    <vt:lpwstr/>
  </property>
  <property fmtid="{D5CDD505-2E9C-101B-9397-08002B2CF9AE}" pid="17" name="URL">
    <vt:lpwstr/>
  </property>
  <property fmtid="{D5CDD505-2E9C-101B-9397-08002B2CF9AE}" pid="18" name="xd_ProgID">
    <vt:lpwstr/>
  </property>
  <property fmtid="{D5CDD505-2E9C-101B-9397-08002B2CF9AE}" pid="19" name="xd_Signature">
    <vt:bool>false</vt:bool>
  </property>
  <property fmtid="{D5CDD505-2E9C-101B-9397-08002B2CF9AE}" pid="20" name="_dlc_DocIdItemGuid">
    <vt:lpwstr>ee7dd053-d590-4643-a5ba-f192c3462dfe</vt:lpwstr>
  </property>
  <property fmtid="{D5CDD505-2E9C-101B-9397-08002B2CF9AE}" pid="21" name="_ExtendedDescription">
    <vt:lpwstr/>
  </property>
</Properties>
</file>