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D351DD" w:rsidP="00767C53" w14:paraId="4AE40AA7" w14:textId="224FBD0F">
      <w:pPr>
        <w:pStyle w:val="P1-StandPara"/>
        <w:tabs>
          <w:tab w:val="left" w:pos="720"/>
          <w:tab w:val="right" w:leader="dot" w:pos="9504"/>
        </w:tabs>
        <w:spacing w:before="120" w:after="120"/>
        <w:ind w:firstLine="0"/>
        <w:jc w:val="center"/>
        <w:rPr>
          <w:rFonts w:asciiTheme="minorHAnsi" w:hAnsiTheme="minorHAnsi"/>
          <w:szCs w:val="22"/>
        </w:rPr>
      </w:pPr>
      <w:r w:rsidRPr="00D351DD">
        <w:rPr>
          <w:rFonts w:asciiTheme="minorHAnsi" w:hAnsiTheme="minorHAnsi"/>
          <w:szCs w:val="22"/>
        </w:rPr>
        <w:t xml:space="preserve">Assurance </w:t>
      </w:r>
      <w:r>
        <w:rPr>
          <w:rFonts w:asciiTheme="minorHAnsi" w:hAnsiTheme="minorHAnsi"/>
          <w:szCs w:val="22"/>
        </w:rPr>
        <w:t>(</w:t>
      </w:r>
      <w:r w:rsidR="00D32AF6">
        <w:rPr>
          <w:rFonts w:asciiTheme="minorHAnsi" w:hAnsiTheme="minorHAnsi"/>
          <w:szCs w:val="22"/>
        </w:rPr>
        <w:t>I</w:t>
      </w:r>
      <w:r w:rsidRPr="00D351DD">
        <w:rPr>
          <w:rFonts w:asciiTheme="minorHAnsi" w:hAnsiTheme="minorHAnsi"/>
          <w:szCs w:val="22"/>
        </w:rPr>
        <w:t>nterinstitutional</w:t>
      </w:r>
      <w:r>
        <w:rPr>
          <w:rFonts w:asciiTheme="minorHAnsi" w:hAnsiTheme="minorHAnsi"/>
          <w:szCs w:val="22"/>
        </w:rPr>
        <w:t xml:space="preserve">, </w:t>
      </w:r>
      <w:r w:rsidR="00D32AF6">
        <w:rPr>
          <w:rFonts w:asciiTheme="minorHAnsi" w:hAnsiTheme="minorHAnsi"/>
          <w:szCs w:val="22"/>
        </w:rPr>
        <w:t>F</w:t>
      </w:r>
      <w:r w:rsidRPr="00D351DD">
        <w:rPr>
          <w:rFonts w:asciiTheme="minorHAnsi" w:hAnsiTheme="minorHAnsi"/>
          <w:szCs w:val="22"/>
        </w:rPr>
        <w:t>oreign</w:t>
      </w:r>
      <w:r>
        <w:rPr>
          <w:rFonts w:asciiTheme="minorHAnsi" w:hAnsiTheme="minorHAnsi"/>
          <w:szCs w:val="22"/>
        </w:rPr>
        <w:t>,</w:t>
      </w:r>
      <w:r w:rsidRPr="00D351DD">
        <w:rPr>
          <w:rFonts w:asciiTheme="minorHAnsi" w:hAnsiTheme="minorHAnsi"/>
          <w:szCs w:val="22"/>
        </w:rPr>
        <w:t xml:space="preserve"> and </w:t>
      </w:r>
      <w:r w:rsidR="00D32AF6">
        <w:rPr>
          <w:rFonts w:asciiTheme="minorHAnsi" w:hAnsiTheme="minorHAnsi"/>
          <w:szCs w:val="22"/>
        </w:rPr>
        <w:t>D</w:t>
      </w:r>
      <w:r w:rsidRPr="00D351DD">
        <w:rPr>
          <w:rFonts w:asciiTheme="minorHAnsi" w:hAnsiTheme="minorHAnsi"/>
          <w:szCs w:val="22"/>
        </w:rPr>
        <w:t>omestic)</w:t>
      </w:r>
      <w:r>
        <w:rPr>
          <w:rFonts w:asciiTheme="minorHAnsi" w:hAnsiTheme="minorHAnsi"/>
          <w:szCs w:val="22"/>
        </w:rPr>
        <w:t xml:space="preserve"> and</w:t>
      </w:r>
      <w:r w:rsidRPr="00D351DD">
        <w:rPr>
          <w:rFonts w:asciiTheme="minorHAnsi" w:hAnsiTheme="minorHAnsi"/>
          <w:szCs w:val="22"/>
        </w:rPr>
        <w:t xml:space="preserve"> Annual Report. </w:t>
      </w:r>
      <w:r w:rsidR="00333098">
        <w:rPr>
          <w:rFonts w:asciiTheme="minorHAnsi" w:hAnsiTheme="minorHAnsi"/>
          <w:szCs w:val="22"/>
        </w:rPr>
        <w:t>OD.</w:t>
      </w:r>
    </w:p>
    <w:p w:rsidR="00333098" w:rsidP="00BE3A0F" w14:paraId="6A9054D8" w14:textId="36CBA1EE">
      <w:pPr>
        <w:pStyle w:val="P1-StandPara"/>
        <w:tabs>
          <w:tab w:val="left" w:pos="720"/>
          <w:tab w:val="right" w:leader="dot" w:pos="9504"/>
        </w:tabs>
        <w:spacing w:before="120" w:after="120"/>
        <w:ind w:firstLine="0"/>
        <w:jc w:val="center"/>
        <w:rPr>
          <w:rFonts w:asciiTheme="minorHAnsi" w:hAnsiTheme="minorHAnsi"/>
          <w:szCs w:val="22"/>
        </w:rPr>
      </w:pPr>
      <w:r w:rsidRPr="00BE3A0F">
        <w:rPr>
          <w:rFonts w:asciiTheme="minorHAnsi" w:hAnsiTheme="minorHAnsi"/>
          <w:szCs w:val="22"/>
        </w:rPr>
        <w:t>OMB Number 0925-0765</w:t>
      </w:r>
      <w:r>
        <w:rPr>
          <w:rFonts w:asciiTheme="minorHAnsi" w:hAnsiTheme="minorHAnsi"/>
          <w:szCs w:val="22"/>
        </w:rPr>
        <w:t xml:space="preserve"> and </w:t>
      </w:r>
      <w:r w:rsidRPr="00BE3A0F">
        <w:rPr>
          <w:rFonts w:asciiTheme="minorHAnsi" w:hAnsiTheme="minorHAnsi"/>
          <w:szCs w:val="22"/>
        </w:rPr>
        <w:t>Expiration Date: 11/30/2022</w:t>
      </w:r>
    </w:p>
    <w:p w:rsidR="00024899" w:rsidP="00D351DD" w14:paraId="680B9135" w14:textId="2D247459">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E35DD1" w:rsidP="00E35DD1" w14:paraId="1ECE92EB" w14:textId="3E8A288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DF435A">
        <w:rPr>
          <w:rFonts w:asciiTheme="minorHAnsi" w:hAnsiTheme="minorHAnsi"/>
          <w:iCs/>
          <w:szCs w:val="22"/>
        </w:rPr>
        <w:t>Octo</w:t>
      </w:r>
      <w:r w:rsidR="006902F5">
        <w:rPr>
          <w:rFonts w:asciiTheme="minorHAnsi" w:hAnsiTheme="minorHAnsi"/>
          <w:iCs/>
          <w:szCs w:val="22"/>
        </w:rPr>
        <w:t>ber</w:t>
      </w:r>
      <w:r w:rsidR="005D2284">
        <w:rPr>
          <w:rFonts w:asciiTheme="minorHAnsi" w:hAnsiTheme="minorHAnsi"/>
          <w:iCs/>
          <w:szCs w:val="22"/>
        </w:rPr>
        <w:t xml:space="preserve"> </w:t>
      </w:r>
      <w:r w:rsidR="00DE4E05">
        <w:rPr>
          <w:rFonts w:asciiTheme="minorHAnsi" w:hAnsiTheme="minorHAnsi"/>
          <w:iCs/>
          <w:szCs w:val="22"/>
        </w:rPr>
        <w:t>30</w:t>
      </w:r>
      <w:r w:rsidR="00E87667">
        <w:rPr>
          <w:rFonts w:asciiTheme="minorHAnsi" w:hAnsiTheme="minorHAnsi"/>
          <w:iCs/>
          <w:szCs w:val="22"/>
        </w:rPr>
        <w:t>, 2023</w:t>
      </w:r>
    </w:p>
    <w:p w:rsidR="00FF30CE" w:rsidRPr="00BE3A0F" w:rsidP="00BE3A0F" w14:paraId="580EAAC6" w14:textId="4AE16F99">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BE3A0F" w:rsidP="00FF30CE" w14:paraId="064B0175" w14:textId="38A11BCD">
      <w:pPr>
        <w:numPr>
          <w:ilvl w:val="0"/>
          <w:numId w:val="11"/>
        </w:numPr>
        <w:spacing w:after="0" w:line="240" w:lineRule="auto"/>
      </w:pPr>
      <w:r>
        <w:t>New</w:t>
      </w:r>
    </w:p>
    <w:p w:rsidR="008B3001" w:rsidP="008B3001" w14:paraId="07B6FD71" w14:textId="77777777">
      <w:pPr>
        <w:numPr>
          <w:ilvl w:val="0"/>
          <w:numId w:val="11"/>
        </w:numPr>
        <w:spacing w:after="0" w:line="240" w:lineRule="auto"/>
      </w:pPr>
      <w:r>
        <w:t>Revision</w:t>
      </w:r>
      <w:r>
        <w:tab/>
      </w:r>
      <w:r>
        <w:tab/>
      </w:r>
      <w:r>
        <w:tab/>
      </w:r>
    </w:p>
    <w:p w:rsidR="00FF30CE" w:rsidP="008B3001" w14:paraId="185A0B7B" w14:textId="0D120784">
      <w:pPr>
        <w:pStyle w:val="ListParagraph"/>
        <w:numPr>
          <w:ilvl w:val="0"/>
          <w:numId w:val="16"/>
        </w:numPr>
        <w:spacing w:before="120" w:after="0" w:line="240" w:lineRule="auto"/>
      </w:pPr>
      <w:r>
        <w:t>Reinstatement with Change</w:t>
      </w:r>
    </w:p>
    <w:p w:rsidR="00FF30CE" w:rsidP="00FF30CE" w14:paraId="5177244E" w14:textId="77777777">
      <w:pPr>
        <w:numPr>
          <w:ilvl w:val="0"/>
          <w:numId w:val="11"/>
        </w:numPr>
        <w:spacing w:after="0" w:line="240" w:lineRule="auto"/>
      </w:pPr>
      <w:r>
        <w:t>Reinstatement without Change</w:t>
      </w:r>
    </w:p>
    <w:p w:rsidR="00FF30CE" w:rsidP="00FF30CE" w14:paraId="62B8AE22" w14:textId="77777777">
      <w:pPr>
        <w:numPr>
          <w:ilvl w:val="0"/>
          <w:numId w:val="11"/>
        </w:numPr>
        <w:spacing w:after="0" w:line="240" w:lineRule="auto"/>
      </w:pPr>
      <w:r>
        <w:t>Extension</w:t>
      </w:r>
    </w:p>
    <w:p w:rsidR="00FF30CE" w:rsidP="00FF30CE" w14:paraId="61FD3A79" w14:textId="77777777">
      <w:pPr>
        <w:numPr>
          <w:ilvl w:val="0"/>
          <w:numId w:val="11"/>
        </w:numPr>
        <w:spacing w:after="0" w:line="240" w:lineRule="auto"/>
      </w:pPr>
      <w:r>
        <w:t>Emergency</w:t>
      </w:r>
    </w:p>
    <w:p w:rsidR="00FF30CE" w:rsidP="00FF30CE" w14:paraId="4AB911EB" w14:textId="77777777">
      <w:pPr>
        <w:numPr>
          <w:ilvl w:val="0"/>
          <w:numId w:val="11"/>
        </w:numPr>
        <w:spacing w:after="0" w:line="240" w:lineRule="auto"/>
      </w:pPr>
      <w:r>
        <w:t>Existing</w:t>
      </w:r>
    </w:p>
    <w:p w:rsidR="00E35DD1" w:rsidRPr="00E35DD1" w:rsidP="00D351DD" w14:paraId="76887CBB" w14:textId="5623564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RPr="00E35DD1" w:rsidP="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E35DD1" w:rsidRPr="00E35DD1" w:rsidP="00BE76A7" w14:paraId="684ABDC4" w14:textId="1CBF044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333098">
        <w:rPr>
          <w:rFonts w:asciiTheme="minorHAnsi" w:hAnsiTheme="minorHAnsi"/>
          <w:szCs w:val="22"/>
        </w:rPr>
        <w:t xml:space="preserve"> </w:t>
      </w:r>
      <w:r w:rsidR="0022226D">
        <w:rPr>
          <w:rFonts w:asciiTheme="minorHAnsi" w:hAnsiTheme="minorHAnsi"/>
          <w:szCs w:val="22"/>
        </w:rPr>
        <w:t>Jane Na</w:t>
      </w:r>
    </w:p>
    <w:p w:rsidR="00E35DD1" w:rsidRPr="00E35DD1" w:rsidP="00BE76A7" w14:paraId="165F09E8" w14:textId="7114EE4D">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333098">
        <w:rPr>
          <w:rFonts w:asciiTheme="minorHAnsi" w:hAnsiTheme="minorHAnsi"/>
          <w:szCs w:val="22"/>
        </w:rPr>
        <w:t xml:space="preserve"> 6700B Rockledge Drive, Suite 2500</w:t>
      </w:r>
      <w:r w:rsidR="00F75630">
        <w:rPr>
          <w:rFonts w:asciiTheme="minorHAnsi" w:hAnsiTheme="minorHAnsi"/>
          <w:szCs w:val="22"/>
        </w:rPr>
        <w:t>, Bethesda, MD  20892</w:t>
      </w:r>
    </w:p>
    <w:p w:rsidR="00E35DD1" w:rsidP="00BE76A7" w14:paraId="570BCCDE" w14:textId="3F314614">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333098">
        <w:rPr>
          <w:rFonts w:asciiTheme="minorHAnsi" w:hAnsiTheme="minorHAnsi"/>
          <w:szCs w:val="22"/>
        </w:rPr>
        <w:t xml:space="preserve"> 301-</w:t>
      </w:r>
      <w:r w:rsidR="0022226D">
        <w:rPr>
          <w:rFonts w:asciiTheme="minorHAnsi" w:hAnsiTheme="minorHAnsi"/>
          <w:szCs w:val="22"/>
        </w:rPr>
        <w:t>402-1922</w:t>
      </w:r>
    </w:p>
    <w:p w:rsidR="00190DDD" w:rsidRPr="00E35DD1" w:rsidP="00BE76A7" w14:paraId="605A532B" w14:textId="3FDF6B05">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 xml:space="preserve">Fax: </w:t>
      </w:r>
      <w:r w:rsidRPr="00304B47" w:rsidR="00304B47">
        <w:rPr>
          <w:rFonts w:asciiTheme="minorHAnsi" w:hAnsiTheme="minorHAnsi"/>
          <w:szCs w:val="22"/>
        </w:rPr>
        <w:t>301</w:t>
      </w:r>
      <w:r w:rsidR="00304B47">
        <w:rPr>
          <w:rFonts w:asciiTheme="minorHAnsi" w:hAnsiTheme="minorHAnsi"/>
          <w:szCs w:val="22"/>
        </w:rPr>
        <w:t>-</w:t>
      </w:r>
      <w:r w:rsidRPr="00304B47" w:rsidR="00304B47">
        <w:rPr>
          <w:rFonts w:asciiTheme="minorHAnsi" w:hAnsiTheme="minorHAnsi"/>
          <w:szCs w:val="22"/>
        </w:rPr>
        <w:t>451-5609</w:t>
      </w:r>
    </w:p>
    <w:p w:rsidR="00E35DD1" w:rsidRPr="00E35DD1" w:rsidP="00BE76A7" w14:paraId="1447E9B1" w14:textId="0E56DFB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333098">
        <w:rPr>
          <w:rFonts w:asciiTheme="minorHAnsi" w:hAnsiTheme="minorHAnsi"/>
          <w:szCs w:val="22"/>
        </w:rPr>
        <w:t xml:space="preserve"> </w:t>
      </w:r>
      <w:r w:rsidR="009C708F">
        <w:rPr>
          <w:rFonts w:asciiTheme="minorHAnsi" w:hAnsiTheme="minorHAnsi"/>
          <w:szCs w:val="22"/>
        </w:rPr>
        <w:t>jane.na</w:t>
      </w:r>
      <w:r w:rsidR="00333098">
        <w:rPr>
          <w:rFonts w:asciiTheme="minorHAnsi" w:hAnsiTheme="minorHAnsi"/>
          <w:szCs w:val="22"/>
        </w:rPr>
        <w:t>@nih.gov</w:t>
      </w:r>
    </w:p>
    <w:p w:rsidR="00333098" w:rsidP="00E35DD1" w14:paraId="7CEB0B9A" w14:textId="7B1AE84E">
      <w:pPr>
        <w:pStyle w:val="P1-StandPara"/>
        <w:tabs>
          <w:tab w:val="left" w:pos="720"/>
          <w:tab w:val="right" w:leader="dot" w:pos="9504"/>
        </w:tabs>
        <w:spacing w:before="120" w:after="120"/>
        <w:rPr>
          <w:rFonts w:asciiTheme="minorHAnsi" w:hAnsiTheme="minorHAnsi"/>
          <w:b/>
          <w:szCs w:val="22"/>
          <w:u w:val="single"/>
        </w:rPr>
      </w:pPr>
    </w:p>
    <w:p w:rsidR="003D31C2" w:rsidP="00E35DD1" w14:paraId="524EF624" w14:textId="77777777">
      <w:pPr>
        <w:pStyle w:val="P1-StandPara"/>
        <w:tabs>
          <w:tab w:val="left" w:pos="720"/>
          <w:tab w:val="right" w:leader="dot" w:pos="9504"/>
        </w:tabs>
        <w:spacing w:before="120" w:after="120"/>
        <w:rPr>
          <w:rFonts w:asciiTheme="minorHAnsi" w:hAnsiTheme="minorHAnsi"/>
          <w:b/>
          <w:szCs w:val="22"/>
          <w:u w:val="single"/>
        </w:rPr>
      </w:pPr>
    </w:p>
    <w:p w:rsidR="0022226D" w:rsidP="00E35DD1" w14:paraId="3EA956BC" w14:textId="009920CF">
      <w:pPr>
        <w:pStyle w:val="P1-StandPara"/>
        <w:tabs>
          <w:tab w:val="left" w:pos="720"/>
          <w:tab w:val="right" w:leader="dot" w:pos="9504"/>
        </w:tabs>
        <w:spacing w:before="120" w:after="120"/>
        <w:rPr>
          <w:rFonts w:asciiTheme="minorHAnsi" w:hAnsiTheme="minorHAnsi"/>
          <w:b/>
          <w:szCs w:val="22"/>
          <w:u w:val="single"/>
        </w:rPr>
      </w:pPr>
    </w:p>
    <w:p w:rsidR="00E87667" w:rsidP="00E35DD1" w14:paraId="0D8C45A6" w14:textId="77777777">
      <w:pPr>
        <w:pStyle w:val="P1-StandPara"/>
        <w:tabs>
          <w:tab w:val="left" w:pos="720"/>
          <w:tab w:val="right" w:leader="dot" w:pos="9504"/>
        </w:tabs>
        <w:spacing w:before="120" w:after="120"/>
        <w:rPr>
          <w:rFonts w:asciiTheme="minorHAnsi" w:hAnsiTheme="minorHAnsi"/>
          <w:b/>
          <w:szCs w:val="22"/>
          <w:u w:val="single"/>
        </w:rPr>
      </w:pPr>
    </w:p>
    <w:p w:rsidR="00E35DD1" w:rsidRPr="00E35DD1" w:rsidP="00E35DD1" w14:paraId="245B699E" w14:textId="484E3F9B">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5E7B1849">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304B47">
        <w:rPr>
          <w:rFonts w:asciiTheme="minorHAnsi" w:hAnsiTheme="minorHAnsi"/>
          <w:szCs w:val="22"/>
        </w:rPr>
        <w:t>ABSTRACT</w:t>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4943D91E">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w:t>
      </w:r>
      <w:r w:rsidR="00304B47">
        <w:rPr>
          <w:rFonts w:asciiTheme="minorHAnsi" w:hAnsiTheme="minorHAnsi"/>
          <w:szCs w:val="22"/>
        </w:rPr>
        <w:t>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 xml:space="preserve">Use of </w:t>
      </w:r>
      <w:r w:rsidRPr="00E35DD1">
        <w:rPr>
          <w:rFonts w:asciiTheme="minorHAnsi" w:hAnsiTheme="minorHAnsi"/>
          <w:szCs w:val="22"/>
        </w:rPr>
        <w:t>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w:t>
      </w:r>
      <w:r w:rsidRPr="00E35DD1">
        <w:rPr>
          <w:rFonts w:asciiTheme="minorHAnsi" w:hAnsiTheme="minorHAnsi"/>
          <w:szCs w:val="22"/>
        </w:rPr>
        <w:t>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 xml:space="preserve">Assurance of Confidentiality Provided to </w:t>
      </w:r>
      <w:r w:rsidRPr="00E35DD1">
        <w:rPr>
          <w:rFonts w:asciiTheme="minorHAnsi" w:hAnsiTheme="minorHAnsi"/>
          <w:szCs w:val="22"/>
        </w:rPr>
        <w:t>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4A5796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 of Hour Burden Including</w:t>
      </w:r>
      <w:r w:rsidRPr="00B15A65" w:rsidR="00B15A65">
        <w:rPr>
          <w:rFonts w:asciiTheme="minorHAnsi" w:hAnsiTheme="minorHAnsi"/>
          <w:szCs w:val="22"/>
        </w:rPr>
        <w:t xml:space="preserve"> </w:t>
      </w:r>
      <w:r w:rsidRPr="00E35DD1" w:rsidR="00B15A65">
        <w:rPr>
          <w:rFonts w:asciiTheme="minorHAnsi" w:hAnsiTheme="minorHAnsi"/>
          <w:szCs w:val="22"/>
        </w:rPr>
        <w:t>Annualized Hourly Costs</w:t>
      </w:r>
    </w:p>
    <w:p w:rsidR="00E35DD1" w:rsidRPr="00E35DD1" w:rsidP="00E35DD1" w14:paraId="147053D2" w14:textId="0FF0D3A9">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00083A52">
        <w:rPr>
          <w:rFonts w:asciiTheme="minorHAnsi" w:hAnsiTheme="minorHAnsi"/>
          <w:szCs w:val="22"/>
        </w:rPr>
        <w:t>K</w:t>
      </w:r>
      <w:r w:rsidRPr="00E35DD1">
        <w:rPr>
          <w:rFonts w:asciiTheme="minorHAnsi" w:hAnsiTheme="minorHAnsi"/>
          <w:szCs w:val="22"/>
        </w:rPr>
        <w:t>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w:t>
      </w:r>
      <w:r w:rsidRPr="00E35DD1">
        <w:rPr>
          <w:rFonts w:asciiTheme="minorHAnsi" w:hAnsiTheme="minorHAnsi"/>
          <w:szCs w:val="22"/>
        </w:rPr>
        <w:t>xplanation for Program Changes or Adjustments</w:t>
      </w:r>
      <w:r w:rsidRPr="00E35DD1">
        <w:rPr>
          <w:rFonts w:asciiTheme="minorHAnsi" w:hAnsiTheme="minorHAnsi"/>
          <w:szCs w:val="22"/>
        </w:rPr>
        <w:tab/>
      </w:r>
    </w:p>
    <w:p w:rsidR="00E35DD1" w:rsidRPr="00E35DD1" w:rsidP="00E35DD1" w14:paraId="48BBFCB2" w14:textId="54ADDEA8">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 for Tabulation and Publication and Project Time Schedule</w:t>
      </w:r>
      <w:r w:rsidRPr="00E35DD1">
        <w:rPr>
          <w:rFonts w:asciiTheme="minorHAnsi" w:hAnsiTheme="minorHAnsi"/>
          <w:szCs w:val="22"/>
        </w:rPr>
        <w:tab/>
      </w:r>
    </w:p>
    <w:p w:rsidR="00E35DD1" w:rsidRPr="00E35DD1" w:rsidP="00E35DD1" w14:paraId="6EDA2130" w14:textId="681B1B56">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w:t>
      </w:r>
      <w:r w:rsidR="00A2164B">
        <w:rPr>
          <w:rFonts w:asciiTheme="minorHAnsi" w:hAnsiTheme="minorHAnsi"/>
          <w:szCs w:val="22"/>
        </w:rPr>
        <w:t>(s)</w:t>
      </w:r>
      <w:r w:rsidRPr="00E35DD1">
        <w:rPr>
          <w:rFonts w:asciiTheme="minorHAnsi" w:hAnsiTheme="minorHAnsi"/>
          <w:szCs w:val="22"/>
        </w:rPr>
        <w:t xml:space="preserve"> Display of OMB Expiration Date is Inappropriate</w:t>
      </w:r>
      <w:r w:rsidRPr="00E35DD1">
        <w:rPr>
          <w:rFonts w:asciiTheme="minorHAnsi" w:hAnsiTheme="minorHAnsi"/>
          <w:szCs w:val="22"/>
        </w:rPr>
        <w:tab/>
      </w:r>
    </w:p>
    <w:p w:rsidR="006A45F9" w:rsidRPr="007D11BF" w:rsidP="00C61177" w14:paraId="1FDE63E2" w14:textId="666787D1">
      <w:pPr>
        <w:pStyle w:val="P1-StandPara"/>
        <w:ind w:firstLine="0"/>
        <w:rPr>
          <w:rFonts w:asciiTheme="minorHAnsi" w:hAnsiTheme="minorHAnsi"/>
          <w:b/>
          <w: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886030" w:rsidP="00746AC4" w14:paraId="31AA879B" w14:textId="6359578C">
      <w:pPr>
        <w:pStyle w:val="P1-StandPara"/>
        <w:tabs>
          <w:tab w:val="left" w:pos="720"/>
          <w:tab w:val="right" w:leader="dot" w:pos="9504"/>
        </w:tabs>
        <w:spacing w:before="120" w:after="120"/>
        <w:ind w:firstLine="0"/>
        <w:rPr>
          <w:rFonts w:asciiTheme="minorHAnsi" w:hAnsiTheme="minorHAnsi"/>
          <w:b/>
          <w:i/>
          <w:szCs w:val="22"/>
        </w:rPr>
      </w:pPr>
      <w:r w:rsidRPr="00E35DD1">
        <w:rPr>
          <w:rFonts w:asciiTheme="minorHAnsi" w:hAnsiTheme="minorHAnsi"/>
          <w:szCs w:val="22"/>
        </w:rPr>
        <w:fldChar w:fldCharType="end"/>
      </w:r>
      <w:r w:rsidRPr="007D11BF" w:rsidR="00746AC4">
        <w:rPr>
          <w:rFonts w:asciiTheme="minorHAnsi" w:hAnsiTheme="minorHAnsi"/>
          <w:b/>
          <w:i/>
          <w:szCs w:val="22"/>
        </w:rPr>
        <w:t>Attachments</w:t>
      </w:r>
    </w:p>
    <w:p w:rsidR="00886030" w14:paraId="75807D7B" w14:textId="77777777">
      <w:pPr>
        <w:rPr>
          <w:rFonts w:eastAsia="Times New Roman" w:cs="Times New Roman"/>
          <w:b/>
          <w:i/>
        </w:rPr>
      </w:pPr>
      <w:r>
        <w:rPr>
          <w:b/>
          <w:i/>
        </w:rPr>
        <w:br w:type="page"/>
      </w:r>
    </w:p>
    <w:p w:rsidR="00E35DD1" w:rsidP="00746AC4" w14:paraId="23CF50BE" w14:textId="5EFAA8A3">
      <w:pPr>
        <w:pStyle w:val="P1-StandPara"/>
        <w:tabs>
          <w:tab w:val="left" w:pos="720"/>
          <w:tab w:val="right" w:leader="dot" w:pos="9504"/>
        </w:tabs>
        <w:spacing w:before="120" w:after="120"/>
        <w:ind w:firstLine="0"/>
        <w:rPr>
          <w:rFonts w:asciiTheme="minorHAnsi" w:hAnsiTheme="minorHAnsi"/>
          <w:b/>
          <w:bCs/>
          <w:szCs w:val="22"/>
        </w:rPr>
      </w:pPr>
      <w:r>
        <w:rPr>
          <w:rFonts w:asciiTheme="minorHAnsi" w:hAnsiTheme="minorHAnsi"/>
          <w:b/>
          <w:bCs/>
          <w:szCs w:val="22"/>
        </w:rPr>
        <w:t>ATTACHMENTS</w:t>
      </w:r>
    </w:p>
    <w:p w:rsidR="00F4796D" w:rsidP="00746AC4" w14:paraId="0F40280F" w14:textId="190CBD9B">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Attachment 1: </w:t>
      </w:r>
      <w:r w:rsidRPr="00F4796D">
        <w:rPr>
          <w:rFonts w:asciiTheme="minorHAnsi" w:hAnsiTheme="minorHAnsi"/>
          <w:szCs w:val="22"/>
        </w:rPr>
        <w:t>Domestic Annual Report</w:t>
      </w:r>
    </w:p>
    <w:p w:rsidR="00DE3AAF" w:rsidP="00746AC4" w14:paraId="18D28FE5" w14:textId="129A61D6">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Attachment 2: </w:t>
      </w:r>
      <w:r w:rsidRPr="00DE3AAF">
        <w:rPr>
          <w:rFonts w:asciiTheme="minorHAnsi" w:hAnsiTheme="minorHAnsi"/>
          <w:szCs w:val="22"/>
        </w:rPr>
        <w:t>Domestic Assurance</w:t>
      </w:r>
    </w:p>
    <w:p w:rsidR="00DE3AAF" w:rsidP="00DE3AAF" w14:paraId="1308346A" w14:textId="1EE7C0C9">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Attachment 3: Foreign</w:t>
      </w:r>
      <w:r w:rsidRPr="00F4796D">
        <w:rPr>
          <w:rFonts w:asciiTheme="minorHAnsi" w:hAnsiTheme="minorHAnsi"/>
          <w:szCs w:val="22"/>
        </w:rPr>
        <w:t xml:space="preserve"> Annual Report</w:t>
      </w:r>
    </w:p>
    <w:p w:rsidR="00DE3AAF" w:rsidP="00DE3AAF" w14:paraId="745E8379" w14:textId="32D892BE">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Attachment 4: Foreign</w:t>
      </w:r>
      <w:r w:rsidRPr="00DE3AAF">
        <w:rPr>
          <w:rFonts w:asciiTheme="minorHAnsi" w:hAnsiTheme="minorHAnsi"/>
          <w:szCs w:val="22"/>
        </w:rPr>
        <w:t xml:space="preserve"> Assurance</w:t>
      </w:r>
    </w:p>
    <w:p w:rsidR="00DE3AAF" w:rsidP="00DE3AAF" w14:paraId="398262C8" w14:textId="57B7332D">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Attachment 5:</w:t>
      </w:r>
      <w:bookmarkStart w:id="0" w:name="_Hlk132804773"/>
      <w:r>
        <w:rPr>
          <w:rFonts w:asciiTheme="minorHAnsi" w:hAnsiTheme="minorHAnsi"/>
          <w:szCs w:val="22"/>
        </w:rPr>
        <w:t xml:space="preserve"> </w:t>
      </w:r>
      <w:r w:rsidRPr="00DE3AAF">
        <w:rPr>
          <w:rFonts w:asciiTheme="minorHAnsi" w:hAnsiTheme="minorHAnsi"/>
          <w:szCs w:val="22"/>
        </w:rPr>
        <w:t>Interinstitutional Assurance for Domestic Performance Site</w:t>
      </w:r>
      <w:bookmarkEnd w:id="0"/>
    </w:p>
    <w:p w:rsidR="00DE3AAF" w:rsidP="00DE3AAF" w14:paraId="0590EE01" w14:textId="6014E363">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Attachment </w:t>
      </w:r>
      <w:r w:rsidR="001265CA">
        <w:rPr>
          <w:rFonts w:asciiTheme="minorHAnsi" w:hAnsiTheme="minorHAnsi"/>
          <w:szCs w:val="22"/>
        </w:rPr>
        <w:t>6</w:t>
      </w:r>
      <w:r>
        <w:rPr>
          <w:rFonts w:asciiTheme="minorHAnsi" w:hAnsiTheme="minorHAnsi"/>
          <w:szCs w:val="22"/>
        </w:rPr>
        <w:t xml:space="preserve">: </w:t>
      </w:r>
      <w:r w:rsidRPr="00DE3AAF">
        <w:rPr>
          <w:rFonts w:asciiTheme="minorHAnsi" w:hAnsiTheme="minorHAnsi"/>
          <w:szCs w:val="22"/>
        </w:rPr>
        <w:t xml:space="preserve">Interinstitutional Assurance for </w:t>
      </w:r>
      <w:r w:rsidR="001265CA">
        <w:rPr>
          <w:rFonts w:asciiTheme="minorHAnsi" w:hAnsiTheme="minorHAnsi"/>
          <w:szCs w:val="22"/>
        </w:rPr>
        <w:t>Foreign</w:t>
      </w:r>
      <w:r w:rsidRPr="00DE3AAF">
        <w:rPr>
          <w:rFonts w:asciiTheme="minorHAnsi" w:hAnsiTheme="minorHAnsi"/>
          <w:szCs w:val="22"/>
        </w:rPr>
        <w:t xml:space="preserve"> Performance Site</w:t>
      </w:r>
    </w:p>
    <w:p w:rsidR="001265CA" w:rsidP="001265CA" w14:paraId="380FD907" w14:textId="49F4F5B7">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Attachment 7: </w:t>
      </w:r>
      <w:r w:rsidRPr="00DE3AAF">
        <w:rPr>
          <w:rFonts w:asciiTheme="minorHAnsi" w:hAnsiTheme="minorHAnsi"/>
          <w:szCs w:val="22"/>
        </w:rPr>
        <w:t>Interinstitutional Assurance</w:t>
      </w:r>
      <w:r>
        <w:rPr>
          <w:rFonts w:asciiTheme="minorHAnsi" w:hAnsiTheme="minorHAnsi"/>
          <w:szCs w:val="22"/>
        </w:rPr>
        <w:t xml:space="preserve"> Triad</w:t>
      </w:r>
      <w:r w:rsidRPr="00DE3AAF">
        <w:rPr>
          <w:rFonts w:asciiTheme="minorHAnsi" w:hAnsiTheme="minorHAnsi"/>
          <w:szCs w:val="22"/>
        </w:rPr>
        <w:t xml:space="preserve"> for Domestic Performance Site</w:t>
      </w:r>
    </w:p>
    <w:p w:rsidR="001265CA" w:rsidP="001265CA" w14:paraId="5305C20D" w14:textId="26823B6A">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Attachment 8: </w:t>
      </w:r>
      <w:r w:rsidRPr="00DE3AAF">
        <w:rPr>
          <w:rFonts w:asciiTheme="minorHAnsi" w:hAnsiTheme="minorHAnsi"/>
          <w:szCs w:val="22"/>
        </w:rPr>
        <w:t>Interinstitutional Assurance</w:t>
      </w:r>
      <w:r>
        <w:rPr>
          <w:rFonts w:asciiTheme="minorHAnsi" w:hAnsiTheme="minorHAnsi"/>
          <w:szCs w:val="22"/>
        </w:rPr>
        <w:t xml:space="preserve"> Triad</w:t>
      </w:r>
      <w:r w:rsidRPr="00DE3AAF">
        <w:rPr>
          <w:rFonts w:asciiTheme="minorHAnsi" w:hAnsiTheme="minorHAnsi"/>
          <w:szCs w:val="22"/>
        </w:rPr>
        <w:t xml:space="preserve"> for </w:t>
      </w:r>
      <w:r>
        <w:rPr>
          <w:rFonts w:asciiTheme="minorHAnsi" w:hAnsiTheme="minorHAnsi"/>
          <w:szCs w:val="22"/>
        </w:rPr>
        <w:t>Foreign</w:t>
      </w:r>
      <w:r w:rsidRPr="00DE3AAF">
        <w:rPr>
          <w:rFonts w:asciiTheme="minorHAnsi" w:hAnsiTheme="minorHAnsi"/>
          <w:szCs w:val="22"/>
        </w:rPr>
        <w:t xml:space="preserve"> Performance Site</w:t>
      </w:r>
    </w:p>
    <w:p w:rsidR="00976490" w:rsidP="00BE76A7"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C61177" w:rsidP="007C127D" w14:paraId="1D4B8CAA" w14:textId="77777777">
      <w:pPr>
        <w:pStyle w:val="P1-StandPara"/>
        <w:tabs>
          <w:tab w:val="left" w:pos="720"/>
          <w:tab w:val="right" w:leader="dot" w:pos="9504"/>
        </w:tabs>
        <w:spacing w:after="200" w:line="240" w:lineRule="auto"/>
        <w:ind w:firstLine="0"/>
        <w:rPr>
          <w:rFonts w:asciiTheme="minorHAnsi" w:hAnsiTheme="minorHAnsi"/>
          <w:b/>
          <w:szCs w:val="22"/>
        </w:rPr>
      </w:pPr>
    </w:p>
    <w:p w:rsidR="00E3087D" w14:paraId="66EFC72A" w14:textId="77777777">
      <w:pPr>
        <w:rPr>
          <w:rFonts w:eastAsia="Times New Roman" w:cs="Times New Roman"/>
          <w:b/>
        </w:rPr>
      </w:pPr>
      <w:r>
        <w:rPr>
          <w:b/>
        </w:rPr>
        <w:br w:type="page"/>
      </w:r>
    </w:p>
    <w:p w:rsidR="006A45F9" w:rsidP="007C127D" w14:paraId="605173DA" w14:textId="3F66D46A">
      <w:pPr>
        <w:pStyle w:val="P1-StandPara"/>
        <w:tabs>
          <w:tab w:val="left" w:pos="720"/>
          <w:tab w:val="right" w:leader="dot" w:pos="9504"/>
        </w:tabs>
        <w:spacing w:after="200" w:line="240" w:lineRule="auto"/>
        <w:ind w:firstLine="0"/>
        <w:rPr>
          <w:rFonts w:asciiTheme="minorHAnsi" w:hAnsiTheme="minorHAnsi"/>
          <w:szCs w:val="22"/>
        </w:rPr>
      </w:pPr>
      <w:r>
        <w:rPr>
          <w:rFonts w:asciiTheme="minorHAnsi" w:hAnsiTheme="minorHAnsi"/>
          <w:b/>
          <w:szCs w:val="22"/>
        </w:rPr>
        <w:t xml:space="preserve">A. </w:t>
      </w:r>
      <w:r w:rsidR="00083A52">
        <w:rPr>
          <w:rFonts w:asciiTheme="minorHAnsi" w:hAnsiTheme="minorHAnsi"/>
          <w:b/>
          <w:szCs w:val="22"/>
        </w:rPr>
        <w:tab/>
      </w:r>
      <w:r w:rsidRPr="00BE76A7" w:rsidR="00BE76A7">
        <w:rPr>
          <w:rFonts w:asciiTheme="minorHAnsi" w:hAnsiTheme="minorHAnsi"/>
          <w:b/>
          <w:szCs w:val="22"/>
        </w:rPr>
        <w:t>Justification</w:t>
      </w:r>
    </w:p>
    <w:p w:rsidR="000B44E9" w:rsidRPr="00D324F9" w:rsidP="00673ACE" w14:paraId="4E5C57C9" w14:textId="1B233FB6">
      <w:r>
        <w:t>Abstr</w:t>
      </w:r>
      <w:r>
        <w:t xml:space="preserve">act: </w:t>
      </w:r>
      <w:r w:rsidRPr="00D324F9" w:rsidR="00D351DD">
        <w:t>The Office of Laboratory Animal Welfare</w:t>
      </w:r>
      <w:r w:rsidRPr="00D324F9" w:rsidR="007C6D2B">
        <w:t xml:space="preserve"> </w:t>
      </w:r>
      <w:r w:rsidRPr="00D324F9" w:rsidR="008C7B29">
        <w:t xml:space="preserve">(OLAW), Office of Extramural Research, Office of the Director, National Institutes of Health (NIH) </w:t>
      </w:r>
      <w:r w:rsidRPr="00D324F9" w:rsidR="00D351DD">
        <w:t>is requesting approval for</w:t>
      </w:r>
      <w:r w:rsidR="00FC2AB0">
        <w:t xml:space="preserve"> a</w:t>
      </w:r>
      <w:r w:rsidRPr="00D324F9" w:rsidR="00D351DD">
        <w:t xml:space="preserve"> </w:t>
      </w:r>
      <w:r w:rsidRPr="00947771" w:rsidR="00CF6968">
        <w:rPr>
          <w:rFonts w:cstheme="minorHAnsi"/>
          <w:highlight w:val="yellow"/>
        </w:rPr>
        <w:t>reinstatement with change</w:t>
      </w:r>
      <w:r w:rsidRPr="00D324F9" w:rsidR="00CF6968">
        <w:t xml:space="preserve"> </w:t>
      </w:r>
      <w:r w:rsidR="00596DD4">
        <w:t xml:space="preserve">for </w:t>
      </w:r>
      <w:r w:rsidRPr="00D324F9" w:rsidR="00D351DD">
        <w:t xml:space="preserve">the information </w:t>
      </w:r>
      <w:r w:rsidRPr="00D324F9" w:rsidR="009662F8">
        <w:t xml:space="preserve">collection </w:t>
      </w:r>
      <w:r w:rsidRPr="00D324F9" w:rsidR="00D351DD">
        <w:t>requirements of the Paperwork Reduction Act</w:t>
      </w:r>
      <w:r w:rsidRPr="00D324F9" w:rsidR="008C7B29">
        <w:t xml:space="preserve"> of 1995</w:t>
      </w:r>
      <w:r w:rsidRPr="00D324F9" w:rsidR="00D351DD">
        <w:t xml:space="preserve">. </w:t>
      </w:r>
      <w:bookmarkStart w:id="1" w:name="_Hlk2866725"/>
      <w:r w:rsidRPr="00D324F9" w:rsidR="00507837">
        <w:t>The purpose of the Assurance (</w:t>
      </w:r>
      <w:r w:rsidRPr="00D324F9" w:rsidR="00D32AF6">
        <w:t>I</w:t>
      </w:r>
      <w:r w:rsidRPr="00D324F9" w:rsidR="00507837">
        <w:t xml:space="preserve">nterinstitutional, </w:t>
      </w:r>
      <w:r w:rsidRPr="00D324F9" w:rsidR="00D32AF6">
        <w:t>F</w:t>
      </w:r>
      <w:r w:rsidRPr="00D324F9" w:rsidR="00507837">
        <w:t xml:space="preserve">oreign, and </w:t>
      </w:r>
      <w:r w:rsidRPr="00D324F9" w:rsidR="00D32AF6">
        <w:t>D</w:t>
      </w:r>
      <w:r w:rsidRPr="00D324F9" w:rsidR="00507837">
        <w:t xml:space="preserve">omestic) and Annual Report is to provide OLAW with documentation to satisfy the requirements of the </w:t>
      </w:r>
      <w:r w:rsidRPr="00D324F9" w:rsidR="009D0DA0">
        <w:t>Health Research Extension Act (HREA) of 1985 (Public Law 99-158 section 495 as codified in 42 U.S.C. 289d)</w:t>
      </w:r>
      <w:r w:rsidRPr="00D324F9" w:rsidR="00507837">
        <w:t xml:space="preserve">, illustrate institutional adherence to </w:t>
      </w:r>
      <w:r w:rsidRPr="00D324F9" w:rsidR="009D0DA0">
        <w:t>Public Health Service (PHS) Policy on Humane Care and Use of Laboratory Animals (Policy)</w:t>
      </w:r>
      <w:r w:rsidRPr="00D324F9" w:rsidR="00507837">
        <w:t>, and enable OLAW to carry out its mission to ensure the humane care and use of animals in PHS-supported research, testing, and training, thereby contributing to the quality of PHS-supported activities</w:t>
      </w:r>
      <w:r w:rsidRPr="00D324F9" w:rsidR="00F404CC">
        <w:t>.</w:t>
      </w:r>
      <w:bookmarkEnd w:id="1"/>
      <w:r w:rsidRPr="00D324F9" w:rsidR="00134D2C">
        <w:t xml:space="preserve"> </w:t>
      </w:r>
      <w:r w:rsidRPr="00947771" w:rsidR="00134D2C">
        <w:rPr>
          <w:rFonts w:cstheme="minorHAnsi"/>
        </w:rPr>
        <w:t>Office of Management and Budget (OMB) approval is requested for 3</w:t>
      </w:r>
      <w:r w:rsidRPr="00D324F9" w:rsidR="00134D2C">
        <w:t xml:space="preserve"> years.</w:t>
      </w:r>
    </w:p>
    <w:p w:rsidR="000F3043" w:rsidP="00812C64" w14:paraId="278F4695" w14:textId="3402A789">
      <w:pPr>
        <w:pStyle w:val="P1-StandPara"/>
        <w:tabs>
          <w:tab w:val="left" w:pos="720"/>
          <w:tab w:val="right" w:leader="dot" w:pos="9504"/>
        </w:tabs>
        <w:spacing w:before="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722D27" w:rsidP="00EB349E" w14:paraId="5D347317" w14:textId="41E9BEC8">
      <w:r>
        <w:t>T</w:t>
      </w:r>
      <w:r w:rsidRPr="000B44E9" w:rsidR="00257B53">
        <w:t xml:space="preserve">he </w:t>
      </w:r>
      <w:r w:rsidRPr="00D324F9" w:rsidR="00A35294">
        <w:t xml:space="preserve">Health Research Extension Act (HREA) </w:t>
      </w:r>
      <w:r w:rsidRPr="000B44E9" w:rsidR="00257B53">
        <w:t>of 1985 (Public Law 99-158</w:t>
      </w:r>
      <w:r w:rsidRPr="0071684C" w:rsidR="0071684C">
        <w:t xml:space="preserve"> </w:t>
      </w:r>
      <w:r w:rsidR="0071684C">
        <w:t xml:space="preserve">section 495 </w:t>
      </w:r>
      <w:r w:rsidR="00EA02CF">
        <w:t xml:space="preserve">as codified in </w:t>
      </w:r>
      <w:r w:rsidRPr="00EA02CF" w:rsidR="00EA02CF">
        <w:t>42 U</w:t>
      </w:r>
      <w:r w:rsidR="009D08E2">
        <w:t>.</w:t>
      </w:r>
      <w:r w:rsidRPr="00EA02CF" w:rsidR="00EA02CF">
        <w:t>S</w:t>
      </w:r>
      <w:r w:rsidR="009D08E2">
        <w:t>.</w:t>
      </w:r>
      <w:r w:rsidRPr="00EA02CF" w:rsidR="00EA02CF">
        <w:t>C</w:t>
      </w:r>
      <w:r w:rsidR="009D08E2">
        <w:t>.</w:t>
      </w:r>
      <w:r w:rsidR="00EB349E">
        <w:t xml:space="preserve"> </w:t>
      </w:r>
      <w:r w:rsidRPr="00EA02CF" w:rsidR="00EA02CF">
        <w:t>289d</w:t>
      </w:r>
      <w:r w:rsidRPr="000B44E9" w:rsidR="00257B53">
        <w:t>)</w:t>
      </w:r>
      <w:r w:rsidR="00257B53">
        <w:t xml:space="preserve"> </w:t>
      </w:r>
      <w:r w:rsidRPr="00B14E82" w:rsidR="00B14E82">
        <w:t>states</w:t>
      </w:r>
      <w:r w:rsidRPr="00D32AF6">
        <w:t xml:space="preserve"> </w:t>
      </w:r>
      <w:r w:rsidR="00B4428C">
        <w:t xml:space="preserve">that the Director of NIH shall require each applicant for a grant, contract, or cooperative agreement involving research on animals </w:t>
      </w:r>
      <w:r w:rsidR="00897746">
        <w:t>that</w:t>
      </w:r>
      <w:r w:rsidR="00B4428C">
        <w:t xml:space="preserve"> is administered by the N</w:t>
      </w:r>
      <w:r w:rsidR="00910360">
        <w:t>IH</w:t>
      </w:r>
      <w:r w:rsidR="00B4428C">
        <w:t xml:space="preserve"> or any national research institute to provide assurances satisfactory to the Director of NIH that the applicant meets the requirements of the guidelines established in section 495 and has an animal care committee </w:t>
      </w:r>
      <w:r w:rsidR="00897746">
        <w:t>t</w:t>
      </w:r>
      <w:r w:rsidR="00B4428C">
        <w:t>h</w:t>
      </w:r>
      <w:r w:rsidR="00897746">
        <w:t>at</w:t>
      </w:r>
      <w:r w:rsidR="00B4428C">
        <w:t xml:space="preserve"> meets the requirements of section 495. </w:t>
      </w:r>
      <w:r w:rsidR="00EB349E">
        <w:t xml:space="preserve">In addition, </w:t>
      </w:r>
      <w:bookmarkStart w:id="2" w:name="_Hlk527130151"/>
      <w:r w:rsidR="00BD6647">
        <w:t xml:space="preserve">42 </w:t>
      </w:r>
      <w:r w:rsidR="009D08E2">
        <w:t>CFR</w:t>
      </w:r>
      <w:r w:rsidR="00BD6647">
        <w:t xml:space="preserve"> 52</w:t>
      </w:r>
      <w:r w:rsidR="00EB349E">
        <w:t>.8</w:t>
      </w:r>
      <w:r w:rsidR="00BD6647">
        <w:t xml:space="preserve"> </w:t>
      </w:r>
      <w:bookmarkEnd w:id="2"/>
      <w:r w:rsidR="00EB349E">
        <w:t>state</w:t>
      </w:r>
      <w:r w:rsidR="00BD6647">
        <w:t xml:space="preserve">s </w:t>
      </w:r>
      <w:r w:rsidR="00EB349E">
        <w:t>that the</w:t>
      </w:r>
      <w:r w:rsidR="001350E3">
        <w:t xml:space="preserve"> </w:t>
      </w:r>
      <w:r w:rsidRPr="00D324F9" w:rsidR="001350E3">
        <w:t>Public Health Service (PHS) Policy on Humane Care and Use of Laboratory Animals (Policy)</w:t>
      </w:r>
      <w:r w:rsidR="001350E3">
        <w:t xml:space="preserve"> </w:t>
      </w:r>
      <w:r w:rsidR="00EB349E">
        <w:t>applies to all health-related research project grants administered by the P</w:t>
      </w:r>
      <w:r w:rsidR="00EC0CDB">
        <w:t>HS</w:t>
      </w:r>
      <w:r w:rsidR="00EB349E">
        <w:t xml:space="preserve"> or its components. The PHS Policy section IV.A. </w:t>
      </w:r>
      <w:r w:rsidR="0045483A">
        <w:t xml:space="preserve">defines </w:t>
      </w:r>
      <w:r w:rsidR="00EB349E">
        <w:t xml:space="preserve">the required elements to be included in written </w:t>
      </w:r>
      <w:r w:rsidR="0045483A">
        <w:t>A</w:t>
      </w:r>
      <w:r w:rsidR="00EB349E">
        <w:t xml:space="preserve">ssurances and </w:t>
      </w:r>
      <w:r w:rsidR="0045483A">
        <w:t>A</w:t>
      </w:r>
      <w:r w:rsidR="00EB349E">
        <w:t xml:space="preserve">nnual </w:t>
      </w:r>
      <w:r w:rsidR="0045483A">
        <w:t>R</w:t>
      </w:r>
      <w:r w:rsidR="00EB349E">
        <w:t xml:space="preserve">eports </w:t>
      </w:r>
      <w:r w:rsidR="0045483A">
        <w:t>to meet</w:t>
      </w:r>
      <w:r w:rsidR="00EB349E">
        <w:t xml:space="preserve"> 42 U</w:t>
      </w:r>
      <w:r w:rsidR="009D08E2">
        <w:t>.</w:t>
      </w:r>
      <w:r w:rsidR="00EB349E">
        <w:t>S</w:t>
      </w:r>
      <w:r w:rsidR="009D08E2">
        <w:t>.</w:t>
      </w:r>
      <w:r w:rsidR="00EB349E">
        <w:t>C</w:t>
      </w:r>
      <w:r w:rsidR="009D08E2">
        <w:t>.</w:t>
      </w:r>
      <w:r w:rsidR="00EB349E">
        <w:t xml:space="preserve"> 289d</w:t>
      </w:r>
      <w:r w:rsidR="0045483A">
        <w:t xml:space="preserve"> legal requirements</w:t>
      </w:r>
      <w:r w:rsidR="00EB349E">
        <w:t>.</w:t>
      </w:r>
    </w:p>
    <w:p w:rsidR="00B4428C" w:rsidP="00EB349E" w14:paraId="6B834837" w14:textId="5ACE3210">
      <w:r w:rsidRPr="00D324F9">
        <w:t xml:space="preserve">OLAW is responsible for the implementation, general administration, and interpretation of the </w:t>
      </w:r>
      <w:r w:rsidR="001350E3">
        <w:t xml:space="preserve">PHS </w:t>
      </w:r>
      <w:r w:rsidRPr="00D324F9">
        <w:t>Policy</w:t>
      </w:r>
      <w:r w:rsidR="001350E3">
        <w:t xml:space="preserve"> </w:t>
      </w:r>
      <w:r w:rsidRPr="00D324F9">
        <w:t xml:space="preserve"> as codified in 42 CFR 52.8</w:t>
      </w:r>
      <w:r w:rsidR="00A35294">
        <w:t>; t</w:t>
      </w:r>
      <w:r w:rsidRPr="00D324F9">
        <w:t xml:space="preserve">he PHS Policy implements the HREA. </w:t>
      </w:r>
      <w:bookmarkStart w:id="3" w:name="_Hlk534632392"/>
      <w:r w:rsidRPr="00D324F9">
        <w:t xml:space="preserve">The PHS Policy requires entities </w:t>
      </w:r>
      <w:bookmarkEnd w:id="3"/>
      <w:r w:rsidRPr="00D324F9">
        <w:t>th</w:t>
      </w:r>
      <w:r w:rsidRPr="00D324F9">
        <w:t>at conduct research involving vertebrate animals using PHS funds to have an Institutional Animal Care and Use Committee (IACUC), provide assurance that requirements of the Policy are met, and submit an annual report</w:t>
      </w:r>
      <w:r w:rsidR="006D19FF">
        <w:t xml:space="preserve">. </w:t>
      </w:r>
      <w:r w:rsidR="006D19FF">
        <w:rPr>
          <w:highlight w:val="yellow"/>
        </w:rPr>
        <w:t>I</w:t>
      </w:r>
      <w:r w:rsidRPr="00612E8F">
        <w:rPr>
          <w:highlight w:val="yellow"/>
        </w:rPr>
        <w:t xml:space="preserve">nstitutions in foreign </w:t>
      </w:r>
      <w:r w:rsidRPr="00612E8F">
        <w:rPr>
          <w:highlight w:val="yellow"/>
        </w:rPr>
        <w:t>countries comply with PHS Policy or provide evidence that acceptable standards will be met.</w:t>
      </w:r>
      <w:r>
        <w:t xml:space="preserve"> </w:t>
      </w:r>
      <w:r w:rsidRPr="00D324F9">
        <w:t>An institution’s animal care and use program is described in the Animal Welfare Assurance (Assurance) document and sets forth institutional compliance with PHS Poli</w:t>
      </w:r>
      <w:r w:rsidRPr="00D324F9">
        <w:t>cy.</w:t>
      </w:r>
    </w:p>
    <w:p w:rsidR="000F3043" w:rsidRPr="00E35DD1" w:rsidP="00083A52" w14:paraId="6713C5AA" w14:textId="485B02E8">
      <w:pPr>
        <w:pStyle w:val="Heading2"/>
        <w:tabs>
          <w:tab w:val="left" w:pos="720"/>
          <w:tab w:val="clear" w:pos="1152"/>
        </w:tabs>
        <w:spacing w:after="0" w:line="480" w:lineRule="auto"/>
        <w:ind w:left="0" w:firstLine="0"/>
        <w:rPr>
          <w:rFonts w:asciiTheme="minorHAnsi" w:hAnsiTheme="minorHAnsi"/>
          <w:szCs w:val="22"/>
        </w:rPr>
      </w:pPr>
      <w:bookmarkStart w:id="4" w:name="_Toc443881743"/>
      <w:bookmarkStart w:id="5" w:name="_Toc451592232"/>
      <w:bookmarkStart w:id="6" w:name="_Toc5610273"/>
      <w:bookmarkStart w:id="7" w:name="_Toc99178779"/>
      <w:r w:rsidRPr="00E35DD1">
        <w:rPr>
          <w:rFonts w:asciiTheme="minorHAnsi" w:hAnsiTheme="minorHAnsi"/>
          <w:szCs w:val="22"/>
        </w:rPr>
        <w:t>A.2</w:t>
      </w:r>
      <w:r w:rsidR="00083A52">
        <w:rPr>
          <w:rFonts w:asciiTheme="minorHAnsi" w:hAnsiTheme="minorHAnsi"/>
          <w:szCs w:val="22"/>
        </w:rPr>
        <w:tab/>
      </w:r>
      <w:r w:rsidRPr="00E35DD1">
        <w:rPr>
          <w:rFonts w:asciiTheme="minorHAnsi" w:hAnsiTheme="minorHAnsi"/>
          <w:szCs w:val="22"/>
        </w:rPr>
        <w:t>Purpose and Use of the Information</w:t>
      </w:r>
      <w:bookmarkEnd w:id="4"/>
      <w:bookmarkEnd w:id="5"/>
      <w:bookmarkEnd w:id="6"/>
      <w:bookmarkEnd w:id="7"/>
      <w:r w:rsidRPr="00E35DD1">
        <w:rPr>
          <w:rFonts w:asciiTheme="minorHAnsi" w:hAnsiTheme="minorHAnsi"/>
          <w:szCs w:val="22"/>
        </w:rPr>
        <w:t xml:space="preserve"> Collection</w:t>
      </w:r>
    </w:p>
    <w:p w:rsidR="007B284F" w:rsidP="00CE3A89" w14:paraId="67B04091" w14:textId="39F9F4BC">
      <w:r>
        <w:t>I</w:t>
      </w:r>
      <w:r w:rsidRPr="00D32AF6" w:rsidR="00A25E4A">
        <w:t xml:space="preserve">nstitutions conducting research, testing, and training involving animals with PHS funds </w:t>
      </w:r>
      <w:r w:rsidR="005064B1">
        <w:t>will</w:t>
      </w:r>
      <w:r>
        <w:t xml:space="preserve"> continue </w:t>
      </w:r>
      <w:r w:rsidR="004030E4">
        <w:t>to complete</w:t>
      </w:r>
      <w:r>
        <w:t xml:space="preserve"> the Assurance and Annual Report forms</w:t>
      </w:r>
      <w:r w:rsidR="006143E7">
        <w:t xml:space="preserve"> which</w:t>
      </w:r>
      <w:r w:rsidR="00CC25CC">
        <w:t xml:space="preserve"> </w:t>
      </w:r>
      <w:r w:rsidR="00A25E4A">
        <w:t>provide a</w:t>
      </w:r>
      <w:r w:rsidRPr="008C7479" w:rsidR="00A25E4A">
        <w:t xml:space="preserve"> </w:t>
      </w:r>
      <w:r w:rsidR="00A25E4A">
        <w:t>uniform, organized format for efficiency of document completion and review.</w:t>
      </w:r>
      <w:r w:rsidR="00185E7F">
        <w:t xml:space="preserve"> </w:t>
      </w:r>
      <w:r w:rsidR="00167BF1">
        <w:t>As required documents for compliance with PHS Policy and the HREA, t</w:t>
      </w:r>
      <w:r w:rsidR="00292CE0">
        <w:t xml:space="preserve">he Assurance </w:t>
      </w:r>
      <w:r w:rsidR="00F0071E">
        <w:t>documents</w:t>
      </w:r>
      <w:r w:rsidR="009359F3">
        <w:t xml:space="preserve"> (Domestic, Foreign, and Interinstitutional)</w:t>
      </w:r>
      <w:r w:rsidR="00F0071E">
        <w:t xml:space="preserve"> </w:t>
      </w:r>
      <w:r w:rsidR="003C2AB2">
        <w:t xml:space="preserve">describe institutional compliance </w:t>
      </w:r>
      <w:r w:rsidR="00292CE0">
        <w:t>and Annual Report</w:t>
      </w:r>
      <w:r w:rsidR="00F0071E">
        <w:t>s</w:t>
      </w:r>
      <w:r w:rsidR="00292CE0">
        <w:t xml:space="preserve"> </w:t>
      </w:r>
      <w:r w:rsidR="009359F3">
        <w:t xml:space="preserve">(Domestic and Foreign) </w:t>
      </w:r>
      <w:r w:rsidR="00315047">
        <w:t>provides</w:t>
      </w:r>
      <w:r w:rsidR="00F0071E">
        <w:t xml:space="preserve"> the institutions t</w:t>
      </w:r>
      <w:r w:rsidR="008654A6">
        <w:t>he</w:t>
      </w:r>
      <w:r w:rsidR="00167BF1">
        <w:t xml:space="preserve"> opportunity to</w:t>
      </w:r>
      <w:r w:rsidR="00F0071E">
        <w:t xml:space="preserve"> inform OLAW of</w:t>
      </w:r>
      <w:r w:rsidR="00315047">
        <w:t xml:space="preserve"> </w:t>
      </w:r>
      <w:r w:rsidR="00A65BF0">
        <w:t xml:space="preserve">changes to the institution’s program for animal care and use. </w:t>
      </w:r>
      <w:r w:rsidRPr="00185E7F" w:rsidR="00185E7F">
        <w:t xml:space="preserve">This request is for approval </w:t>
      </w:r>
      <w:r w:rsidR="00A426A3">
        <w:t xml:space="preserve">of </w:t>
      </w:r>
      <w:r w:rsidRPr="00185E7F" w:rsidR="00185E7F">
        <w:t xml:space="preserve">a reinstatement with change with edits to existing documents and </w:t>
      </w:r>
      <w:r w:rsidR="00ED1515">
        <w:t xml:space="preserve">addition of </w:t>
      </w:r>
      <w:r w:rsidRPr="00185E7F" w:rsidR="00185E7F">
        <w:t>new documents</w:t>
      </w:r>
      <w:r w:rsidR="00A426A3">
        <w:t xml:space="preserve"> </w:t>
      </w:r>
      <w:r w:rsidRPr="00185E7F" w:rsidR="00A426A3">
        <w:t>for</w:t>
      </w:r>
      <w:r w:rsidR="00A426A3">
        <w:t xml:space="preserve"> three years</w:t>
      </w:r>
      <w:r w:rsidRPr="00185E7F" w:rsidR="00185E7F">
        <w:t>.</w:t>
      </w:r>
    </w:p>
    <w:p w:rsidR="00D72AC1" w:rsidP="003933B7" w14:paraId="3A01ABF5" w14:textId="182D1E58">
      <w:pPr>
        <w:rPr>
          <w:highlight w:val="yellow"/>
        </w:rPr>
      </w:pPr>
      <w:r>
        <w:rPr>
          <w:highlight w:val="yellow"/>
        </w:rPr>
        <w:t>In this submission,</w:t>
      </w:r>
      <w:r w:rsidR="00F02EAE">
        <w:rPr>
          <w:highlight w:val="yellow"/>
        </w:rPr>
        <w:t xml:space="preserve"> documents</w:t>
      </w:r>
      <w:r w:rsidR="00D73722">
        <w:rPr>
          <w:highlight w:val="yellow"/>
        </w:rPr>
        <w:t xml:space="preserve"> </w:t>
      </w:r>
      <w:r w:rsidR="004852A3">
        <w:rPr>
          <w:highlight w:val="yellow"/>
        </w:rPr>
        <w:t>from the original OMB-approval</w:t>
      </w:r>
      <w:r w:rsidR="00610852">
        <w:rPr>
          <w:highlight w:val="yellow"/>
        </w:rPr>
        <w:t xml:space="preserve"> </w:t>
      </w:r>
      <w:r w:rsidR="00EF18C4">
        <w:rPr>
          <w:highlight w:val="yellow"/>
        </w:rPr>
        <w:t xml:space="preserve">have </w:t>
      </w:r>
      <w:r w:rsidR="00BE1F8C">
        <w:rPr>
          <w:highlight w:val="yellow"/>
        </w:rPr>
        <w:t>minimal edits</w:t>
      </w:r>
      <w:r w:rsidR="0054365A">
        <w:rPr>
          <w:highlight w:val="yellow"/>
        </w:rPr>
        <w:t xml:space="preserve"> </w:t>
      </w:r>
      <w:r w:rsidR="00BC50BC">
        <w:rPr>
          <w:highlight w:val="yellow"/>
        </w:rPr>
        <w:t xml:space="preserve">that </w:t>
      </w:r>
      <w:r w:rsidR="0054365A">
        <w:rPr>
          <w:highlight w:val="yellow"/>
        </w:rPr>
        <w:t xml:space="preserve">provide </w:t>
      </w:r>
      <w:r w:rsidR="001A1B3A">
        <w:rPr>
          <w:highlight w:val="yellow"/>
        </w:rPr>
        <w:t xml:space="preserve">clarification </w:t>
      </w:r>
      <w:r w:rsidR="00A70321">
        <w:rPr>
          <w:highlight w:val="yellow"/>
        </w:rPr>
        <w:t>on</w:t>
      </w:r>
      <w:r w:rsidR="001A1B3A">
        <w:rPr>
          <w:highlight w:val="yellow"/>
        </w:rPr>
        <w:t xml:space="preserve"> </w:t>
      </w:r>
      <w:r w:rsidR="00BC50BC">
        <w:rPr>
          <w:highlight w:val="yellow"/>
        </w:rPr>
        <w:t>instruction</w:t>
      </w:r>
      <w:r w:rsidR="00A70321">
        <w:rPr>
          <w:highlight w:val="yellow"/>
        </w:rPr>
        <w:t>s</w:t>
      </w:r>
      <w:r w:rsidR="00C82B7F">
        <w:rPr>
          <w:highlight w:val="yellow"/>
        </w:rPr>
        <w:t xml:space="preserve"> for increased efficiency of completion and review</w:t>
      </w:r>
      <w:r w:rsidR="00E1135D">
        <w:rPr>
          <w:highlight w:val="yellow"/>
        </w:rPr>
        <w:t xml:space="preserve">. </w:t>
      </w:r>
      <w:r w:rsidR="0035288C">
        <w:rPr>
          <w:highlight w:val="yellow"/>
        </w:rPr>
        <w:t>Edited documents</w:t>
      </w:r>
      <w:r w:rsidR="00E1135D">
        <w:rPr>
          <w:highlight w:val="yellow"/>
        </w:rPr>
        <w:t xml:space="preserve"> are</w:t>
      </w:r>
      <w:r w:rsidR="00BE1F8C">
        <w:rPr>
          <w:highlight w:val="yellow"/>
        </w:rPr>
        <w:t xml:space="preserve"> Attachment 1: </w:t>
      </w:r>
      <w:r w:rsidR="00BE1F8C">
        <w:rPr>
          <w:highlight w:val="yellow"/>
        </w:rPr>
        <w:t>Domestic Annual Report</w:t>
      </w:r>
      <w:r w:rsidR="00D33664">
        <w:rPr>
          <w:highlight w:val="yellow"/>
        </w:rPr>
        <w:t>;</w:t>
      </w:r>
      <w:r w:rsidR="00BE1F8C">
        <w:rPr>
          <w:highlight w:val="yellow"/>
        </w:rPr>
        <w:t xml:space="preserve"> Attachment 2: Domestic Assurance</w:t>
      </w:r>
      <w:r w:rsidR="00D33664">
        <w:rPr>
          <w:highlight w:val="yellow"/>
        </w:rPr>
        <w:t>;</w:t>
      </w:r>
      <w:r w:rsidR="00F42827">
        <w:rPr>
          <w:highlight w:val="yellow"/>
        </w:rPr>
        <w:t xml:space="preserve"> </w:t>
      </w:r>
      <w:r w:rsidRPr="004D0502" w:rsidR="004D0502">
        <w:rPr>
          <w:highlight w:val="yellow"/>
        </w:rPr>
        <w:t>Attachment 4: Foreign Assuranc</w:t>
      </w:r>
      <w:r w:rsidR="00EB6714">
        <w:rPr>
          <w:highlight w:val="yellow"/>
        </w:rPr>
        <w:t>e</w:t>
      </w:r>
      <w:r w:rsidR="00D33664">
        <w:rPr>
          <w:highlight w:val="yellow"/>
        </w:rPr>
        <w:t>;</w:t>
      </w:r>
      <w:r w:rsidR="00EB6714">
        <w:rPr>
          <w:highlight w:val="yellow"/>
        </w:rPr>
        <w:t xml:space="preserve"> </w:t>
      </w:r>
      <w:r w:rsidR="00F42827">
        <w:rPr>
          <w:highlight w:val="yellow"/>
        </w:rPr>
        <w:t>Attachment 5:</w:t>
      </w:r>
      <w:r w:rsidRPr="00F42827" w:rsidR="00F42827">
        <w:rPr>
          <w:highlight w:val="yellow"/>
        </w:rPr>
        <w:t xml:space="preserve"> Interinstitutional Assurance for Domestic Performance Site</w:t>
      </w:r>
      <w:r w:rsidR="00D33664">
        <w:rPr>
          <w:highlight w:val="yellow"/>
        </w:rPr>
        <w:t>;</w:t>
      </w:r>
      <w:r w:rsidR="00F42827">
        <w:rPr>
          <w:highlight w:val="yellow"/>
        </w:rPr>
        <w:t xml:space="preserve"> and Attachment 6: </w:t>
      </w:r>
      <w:r w:rsidRPr="00F42827" w:rsidR="00F42827">
        <w:rPr>
          <w:highlight w:val="yellow"/>
        </w:rPr>
        <w:t xml:space="preserve">Interinstitutional Assurance for </w:t>
      </w:r>
      <w:r w:rsidR="00F42827">
        <w:rPr>
          <w:highlight w:val="yellow"/>
        </w:rPr>
        <w:t>Foreign</w:t>
      </w:r>
      <w:r w:rsidRPr="00F42827" w:rsidR="00F42827">
        <w:rPr>
          <w:highlight w:val="yellow"/>
        </w:rPr>
        <w:t xml:space="preserve"> Performance Site</w:t>
      </w:r>
      <w:r w:rsidR="001A4895">
        <w:rPr>
          <w:highlight w:val="yellow"/>
        </w:rPr>
        <w:t xml:space="preserve">. </w:t>
      </w:r>
      <w:r w:rsidR="00CA5879">
        <w:rPr>
          <w:highlight w:val="yellow"/>
        </w:rPr>
        <w:t xml:space="preserve">Section A.15 provides additional detail regarding the edits. </w:t>
      </w:r>
      <w:r w:rsidR="0061233C">
        <w:rPr>
          <w:highlight w:val="yellow"/>
        </w:rPr>
        <w:t xml:space="preserve">Note: </w:t>
      </w:r>
      <w:r w:rsidR="00826FC0">
        <w:rPr>
          <w:highlight w:val="yellow"/>
        </w:rPr>
        <w:t>Regarding the two types of</w:t>
      </w:r>
      <w:r w:rsidRPr="00E8587D" w:rsidR="00E8587D">
        <w:rPr>
          <w:highlight w:val="yellow"/>
        </w:rPr>
        <w:t xml:space="preserve"> Interinstitutional Assurance</w:t>
      </w:r>
      <w:r w:rsidR="00826FC0">
        <w:rPr>
          <w:highlight w:val="yellow"/>
        </w:rPr>
        <w:t xml:space="preserve"> form</w:t>
      </w:r>
      <w:r w:rsidRPr="00E8587D" w:rsidR="00E8587D">
        <w:rPr>
          <w:highlight w:val="yellow"/>
        </w:rPr>
        <w:t>s,</w:t>
      </w:r>
      <w:r w:rsidR="00126D71">
        <w:rPr>
          <w:highlight w:val="yellow"/>
        </w:rPr>
        <w:t xml:space="preserve"> </w:t>
      </w:r>
      <w:r w:rsidR="004E74FB">
        <w:rPr>
          <w:highlight w:val="yellow"/>
        </w:rPr>
        <w:t xml:space="preserve">there is one form for </w:t>
      </w:r>
      <w:r w:rsidRPr="00E8587D" w:rsidR="004E74FB">
        <w:rPr>
          <w:highlight w:val="yellow"/>
        </w:rPr>
        <w:t xml:space="preserve">Domestic Performance sites and </w:t>
      </w:r>
      <w:r w:rsidR="004E74FB">
        <w:rPr>
          <w:highlight w:val="yellow"/>
        </w:rPr>
        <w:t xml:space="preserve">a separate form for </w:t>
      </w:r>
      <w:r w:rsidRPr="00E8587D" w:rsidR="004E74FB">
        <w:rPr>
          <w:highlight w:val="yellow"/>
        </w:rPr>
        <w:t xml:space="preserve">Foreign Performance sites </w:t>
      </w:r>
      <w:r w:rsidR="00126D71">
        <w:rPr>
          <w:highlight w:val="yellow"/>
        </w:rPr>
        <w:t xml:space="preserve">due </w:t>
      </w:r>
      <w:r w:rsidRPr="00E8587D" w:rsidR="00126D71">
        <w:rPr>
          <w:highlight w:val="yellow"/>
        </w:rPr>
        <w:t xml:space="preserve">differences in </w:t>
      </w:r>
      <w:r w:rsidR="00DB3442">
        <w:rPr>
          <w:highlight w:val="yellow"/>
        </w:rPr>
        <w:t xml:space="preserve">the expected </w:t>
      </w:r>
      <w:r w:rsidRPr="00E8587D" w:rsidR="00126D71">
        <w:rPr>
          <w:highlight w:val="yellow"/>
        </w:rPr>
        <w:t xml:space="preserve">oversight </w:t>
      </w:r>
      <w:r w:rsidR="00E44DF9">
        <w:rPr>
          <w:highlight w:val="yellow"/>
        </w:rPr>
        <w:t>since</w:t>
      </w:r>
      <w:r w:rsidRPr="00E8587D" w:rsidR="00126D71">
        <w:rPr>
          <w:highlight w:val="yellow"/>
        </w:rPr>
        <w:t xml:space="preserve"> the laws, regulations, and policies in foreign countries differ from those of domestic institutions</w:t>
      </w:r>
      <w:r w:rsidRPr="00E8587D" w:rsidR="00E8587D">
        <w:rPr>
          <w:highlight w:val="yellow"/>
        </w:rPr>
        <w:t>.</w:t>
      </w:r>
      <w:r w:rsidR="00E8587D">
        <w:rPr>
          <w:highlight w:val="yellow"/>
        </w:rPr>
        <w:t xml:space="preserve"> </w:t>
      </w:r>
    </w:p>
    <w:p w:rsidR="00CD1BEC" w:rsidP="003933B7" w14:paraId="42FCA300" w14:textId="630B0D14">
      <w:pPr>
        <w:rPr>
          <w:highlight w:val="yellow"/>
        </w:rPr>
      </w:pPr>
      <w:r>
        <w:rPr>
          <w:highlight w:val="yellow"/>
        </w:rPr>
        <w:t xml:space="preserve">Since </w:t>
      </w:r>
      <w:r w:rsidR="00E629CF">
        <w:rPr>
          <w:highlight w:val="yellow"/>
        </w:rPr>
        <w:t>OMB</w:t>
      </w:r>
      <w:r>
        <w:rPr>
          <w:highlight w:val="yellow"/>
        </w:rPr>
        <w:t xml:space="preserve"> approval</w:t>
      </w:r>
      <w:r w:rsidR="00E629CF">
        <w:rPr>
          <w:highlight w:val="yellow"/>
        </w:rPr>
        <w:t xml:space="preserve"> of the initial documents was granted, </w:t>
      </w:r>
      <w:r w:rsidR="009A30F7">
        <w:rPr>
          <w:highlight w:val="yellow"/>
        </w:rPr>
        <w:t>the PHS Policy and HREA remain unchanged</w:t>
      </w:r>
      <w:r w:rsidR="0029361A">
        <w:rPr>
          <w:highlight w:val="yellow"/>
        </w:rPr>
        <w:t xml:space="preserve"> and a small change in the Animal Welfare Act and Regulations was </w:t>
      </w:r>
      <w:r w:rsidR="00E6620E">
        <w:rPr>
          <w:highlight w:val="yellow"/>
        </w:rPr>
        <w:t xml:space="preserve">made that allows </w:t>
      </w:r>
      <w:r w:rsidR="00322B8E">
        <w:rPr>
          <w:highlight w:val="yellow"/>
        </w:rPr>
        <w:t xml:space="preserve">an </w:t>
      </w:r>
      <w:r w:rsidR="00E6620E">
        <w:rPr>
          <w:highlight w:val="yellow"/>
        </w:rPr>
        <w:t>institution’s animal care and use committee to eliminate annual protocol reviews</w:t>
      </w:r>
      <w:r w:rsidR="00132E53">
        <w:rPr>
          <w:highlight w:val="yellow"/>
        </w:rPr>
        <w:t xml:space="preserve"> and complete a full protocol review every three years which is consistent with PHS Policy requirements</w:t>
      </w:r>
      <w:r w:rsidR="004E328D">
        <w:rPr>
          <w:highlight w:val="yellow"/>
        </w:rPr>
        <w:t>. This</w:t>
      </w:r>
      <w:r w:rsidR="00B3261C">
        <w:rPr>
          <w:highlight w:val="yellow"/>
        </w:rPr>
        <w:t xml:space="preserve"> </w:t>
      </w:r>
      <w:r w:rsidR="000A11E9">
        <w:rPr>
          <w:highlight w:val="yellow"/>
        </w:rPr>
        <w:t>eliminated</w:t>
      </w:r>
      <w:r w:rsidR="00B3261C">
        <w:rPr>
          <w:highlight w:val="yellow"/>
        </w:rPr>
        <w:t xml:space="preserve"> </w:t>
      </w:r>
      <w:r w:rsidR="00C22DB6">
        <w:rPr>
          <w:highlight w:val="yellow"/>
        </w:rPr>
        <w:t>one</w:t>
      </w:r>
      <w:r w:rsidR="000A11E9">
        <w:rPr>
          <w:highlight w:val="yellow"/>
        </w:rPr>
        <w:t xml:space="preserve"> previously included</w:t>
      </w:r>
      <w:r w:rsidR="00C22DB6">
        <w:rPr>
          <w:highlight w:val="yellow"/>
        </w:rPr>
        <w:t xml:space="preserve"> prompt</w:t>
      </w:r>
      <w:r w:rsidR="00D74905">
        <w:rPr>
          <w:highlight w:val="yellow"/>
        </w:rPr>
        <w:t xml:space="preserve"> for</w:t>
      </w:r>
      <w:r w:rsidR="00B3261C">
        <w:rPr>
          <w:highlight w:val="yellow"/>
        </w:rPr>
        <w:t xml:space="preserve"> </w:t>
      </w:r>
      <w:r w:rsidR="000A11E9">
        <w:rPr>
          <w:highlight w:val="yellow"/>
        </w:rPr>
        <w:t xml:space="preserve">a description of </w:t>
      </w:r>
      <w:r w:rsidR="00C02FC2">
        <w:rPr>
          <w:highlight w:val="yellow"/>
        </w:rPr>
        <w:t xml:space="preserve">the </w:t>
      </w:r>
      <w:r w:rsidR="000A11E9">
        <w:rPr>
          <w:highlight w:val="yellow"/>
        </w:rPr>
        <w:t>annual protocol review procedures</w:t>
      </w:r>
      <w:r w:rsidR="00D74905">
        <w:rPr>
          <w:highlight w:val="yellow"/>
        </w:rPr>
        <w:t xml:space="preserve"> </w:t>
      </w:r>
      <w:r w:rsidR="00B3261C">
        <w:rPr>
          <w:highlight w:val="yellow"/>
        </w:rPr>
        <w:t>in Attachment 2: Domestic Assurance</w:t>
      </w:r>
      <w:r w:rsidR="00132E53">
        <w:rPr>
          <w:highlight w:val="yellow"/>
        </w:rPr>
        <w:t>.</w:t>
      </w:r>
      <w:r w:rsidR="00FD34B6">
        <w:rPr>
          <w:highlight w:val="yellow"/>
        </w:rPr>
        <w:t xml:space="preserve"> </w:t>
      </w:r>
      <w:r w:rsidR="00CA7894">
        <w:rPr>
          <w:highlight w:val="yellow"/>
        </w:rPr>
        <w:t xml:space="preserve"> </w:t>
      </w:r>
      <w:r w:rsidR="000D7D1F">
        <w:rPr>
          <w:highlight w:val="yellow"/>
        </w:rPr>
        <w:t xml:space="preserve">Of the existing documents, </w:t>
      </w:r>
      <w:r w:rsidRPr="008E6351" w:rsidR="00943A71">
        <w:rPr>
          <w:highlight w:val="yellow"/>
        </w:rPr>
        <w:t>Attachment 4: Foreign Assurance</w:t>
      </w:r>
      <w:r w:rsidR="00943A71">
        <w:rPr>
          <w:highlight w:val="yellow"/>
        </w:rPr>
        <w:t xml:space="preserve"> included several</w:t>
      </w:r>
      <w:r w:rsidR="000D7D1F">
        <w:rPr>
          <w:highlight w:val="yellow"/>
        </w:rPr>
        <w:t xml:space="preserve"> new section</w:t>
      </w:r>
      <w:r w:rsidR="00943A71">
        <w:rPr>
          <w:highlight w:val="yellow"/>
        </w:rPr>
        <w:t>s</w:t>
      </w:r>
      <w:r w:rsidR="006016EF">
        <w:rPr>
          <w:highlight w:val="yellow"/>
        </w:rPr>
        <w:t xml:space="preserve">. </w:t>
      </w:r>
      <w:r w:rsidR="00CA472C">
        <w:rPr>
          <w:highlight w:val="yellow"/>
        </w:rPr>
        <w:t>A</w:t>
      </w:r>
      <w:r w:rsidR="006016EF">
        <w:rPr>
          <w:highlight w:val="yellow"/>
        </w:rPr>
        <w:t xml:space="preserve"> section</w:t>
      </w:r>
      <w:r w:rsidR="000D7D1F">
        <w:rPr>
          <w:highlight w:val="yellow"/>
        </w:rPr>
        <w:t xml:space="preserve"> specifying that foreign institutions will report compliance issues to OLAW is added</w:t>
      </w:r>
      <w:r w:rsidRPr="008E6351" w:rsidR="000D7D1F">
        <w:rPr>
          <w:highlight w:val="yellow"/>
        </w:rPr>
        <w:t xml:space="preserve"> to </w:t>
      </w:r>
      <w:r w:rsidR="000D7D1F">
        <w:rPr>
          <w:highlight w:val="yellow"/>
        </w:rPr>
        <w:t>emphasize this existing expectation of all foreign institutions. Next,</w:t>
      </w:r>
      <w:r w:rsidRPr="00801100" w:rsidR="000D7D1F">
        <w:rPr>
          <w:highlight w:val="yellow"/>
        </w:rPr>
        <w:t xml:space="preserve"> </w:t>
      </w:r>
      <w:r w:rsidR="000D7D1F">
        <w:rPr>
          <w:highlight w:val="yellow"/>
        </w:rPr>
        <w:t>a description of items to be included in the Annual Report to OLAW has been added</w:t>
      </w:r>
      <w:bookmarkStart w:id="8" w:name="_Hlk139966453"/>
      <w:r w:rsidR="000D7D1F">
        <w:rPr>
          <w:highlight w:val="yellow"/>
        </w:rPr>
        <w:t xml:space="preserve"> to Attachment 4: Foreign Assurance</w:t>
      </w:r>
      <w:bookmarkEnd w:id="8"/>
      <w:r w:rsidR="000D7D1F">
        <w:rPr>
          <w:highlight w:val="yellow"/>
        </w:rPr>
        <w:t xml:space="preserve"> since </w:t>
      </w:r>
      <w:r w:rsidR="00A80553">
        <w:rPr>
          <w:highlight w:val="yellow"/>
        </w:rPr>
        <w:t>i</w:t>
      </w:r>
      <w:r w:rsidR="000D7D1F">
        <w:rPr>
          <w:highlight w:val="yellow"/>
        </w:rPr>
        <w:t>nstitutions with Foreign Assurances and any future institutions that obtain Foreign Assurances will be required to submit an Annual Report to OLAW to better align with domestic institution requirements who already submit an Annual Report to OLAW. The final addition to Attachment 4: Foreign Assurance is a new section that requires the institution to provide a description of the oversight of the animal activity that is being conducted at their institution. This is a new section to the document, but it not a new requirement since animal activity oversight is already being provided. The addition</w:t>
      </w:r>
      <w:r w:rsidR="00FA76C2">
        <w:rPr>
          <w:highlight w:val="yellow"/>
        </w:rPr>
        <w:t>al section</w:t>
      </w:r>
      <w:r w:rsidR="000D7D1F">
        <w:rPr>
          <w:highlight w:val="yellow"/>
        </w:rPr>
        <w:t xml:space="preserve"> </w:t>
      </w:r>
      <w:r w:rsidR="00EA0F4E">
        <w:rPr>
          <w:highlight w:val="yellow"/>
        </w:rPr>
        <w:t>promp</w:t>
      </w:r>
      <w:r w:rsidR="000D7D1F">
        <w:rPr>
          <w:highlight w:val="yellow"/>
        </w:rPr>
        <w:t xml:space="preserve">ts the institution </w:t>
      </w:r>
      <w:r w:rsidR="00EA0F4E">
        <w:rPr>
          <w:highlight w:val="yellow"/>
        </w:rPr>
        <w:t xml:space="preserve">to </w:t>
      </w:r>
      <w:r w:rsidR="000D7D1F">
        <w:rPr>
          <w:highlight w:val="yellow"/>
        </w:rPr>
        <w:t xml:space="preserve">provide a description of this oversight. Review of this additional information will </w:t>
      </w:r>
      <w:r w:rsidRPr="008A68F2" w:rsidR="000D7D1F">
        <w:rPr>
          <w:highlight w:val="yellow"/>
        </w:rPr>
        <w:t>strengthen the</w:t>
      </w:r>
      <w:r w:rsidR="000D7D1F">
        <w:rPr>
          <w:highlight w:val="yellow"/>
        </w:rPr>
        <w:t xml:space="preserve"> NIH OLAW’s</w:t>
      </w:r>
      <w:r w:rsidRPr="008A68F2" w:rsidR="000D7D1F">
        <w:rPr>
          <w:highlight w:val="yellow"/>
        </w:rPr>
        <w:t xml:space="preserve"> understanding of the foreign institution’s animal care and use program</w:t>
      </w:r>
      <w:r w:rsidR="000D7D1F">
        <w:rPr>
          <w:highlight w:val="yellow"/>
        </w:rPr>
        <w:t>.</w:t>
      </w:r>
    </w:p>
    <w:p w:rsidR="000219F4" w:rsidP="003933B7" w14:paraId="7BF95AA9" w14:textId="0631E74B">
      <w:pPr>
        <w:rPr>
          <w:highlight w:val="yellow"/>
        </w:rPr>
      </w:pPr>
      <w:r>
        <w:rPr>
          <w:highlight w:val="yellow"/>
        </w:rPr>
        <w:t xml:space="preserve">In this submission, </w:t>
      </w:r>
      <w:r w:rsidR="00095F52">
        <w:rPr>
          <w:highlight w:val="yellow"/>
        </w:rPr>
        <w:t xml:space="preserve">three </w:t>
      </w:r>
      <w:r>
        <w:rPr>
          <w:highlight w:val="yellow"/>
        </w:rPr>
        <w:t>new documents were added</w:t>
      </w:r>
      <w:r w:rsidR="00513AC6">
        <w:rPr>
          <w:highlight w:val="yellow"/>
        </w:rPr>
        <w:t xml:space="preserve"> –</w:t>
      </w:r>
      <w:r w:rsidR="00095F52">
        <w:rPr>
          <w:highlight w:val="yellow"/>
        </w:rPr>
        <w:t xml:space="preserve"> </w:t>
      </w:r>
      <w:r w:rsidR="00CA7894">
        <w:rPr>
          <w:highlight w:val="yellow"/>
        </w:rPr>
        <w:t>Attachment</w:t>
      </w:r>
      <w:r w:rsidR="00513AC6">
        <w:rPr>
          <w:highlight w:val="yellow"/>
        </w:rPr>
        <w:t xml:space="preserve"> </w:t>
      </w:r>
      <w:r w:rsidR="007B1822">
        <w:rPr>
          <w:highlight w:val="yellow"/>
        </w:rPr>
        <w:t>3: Foreign Annual Report</w:t>
      </w:r>
      <w:r w:rsidR="002678E9">
        <w:rPr>
          <w:highlight w:val="yellow"/>
        </w:rPr>
        <w:t>;</w:t>
      </w:r>
      <w:r w:rsidR="007B1822">
        <w:rPr>
          <w:highlight w:val="yellow"/>
        </w:rPr>
        <w:t xml:space="preserve"> A</w:t>
      </w:r>
      <w:r w:rsidRPr="003933B7" w:rsidR="003933B7">
        <w:rPr>
          <w:highlight w:val="yellow"/>
        </w:rPr>
        <w:t>ttachment 7: Interinstitutional Assurance Triad for Domestic Performance Sit</w:t>
      </w:r>
      <w:r w:rsidR="003933B7">
        <w:rPr>
          <w:highlight w:val="yellow"/>
        </w:rPr>
        <w:t>e</w:t>
      </w:r>
      <w:r w:rsidR="002678E9">
        <w:rPr>
          <w:highlight w:val="yellow"/>
        </w:rPr>
        <w:t>;</w:t>
      </w:r>
      <w:r w:rsidR="003933B7">
        <w:rPr>
          <w:highlight w:val="yellow"/>
        </w:rPr>
        <w:t xml:space="preserve"> and Attachment 8: </w:t>
      </w:r>
      <w:r w:rsidRPr="003933B7" w:rsidR="003933B7">
        <w:rPr>
          <w:highlight w:val="yellow"/>
        </w:rPr>
        <w:t>Interinstitutional Assurance Triad for</w:t>
      </w:r>
      <w:r w:rsidR="003933B7">
        <w:rPr>
          <w:highlight w:val="yellow"/>
        </w:rPr>
        <w:t xml:space="preserve"> Foreign</w:t>
      </w:r>
      <w:r w:rsidRPr="003933B7" w:rsidR="003933B7">
        <w:rPr>
          <w:highlight w:val="yellow"/>
        </w:rPr>
        <w:t xml:space="preserve"> Performance Sit</w:t>
      </w:r>
      <w:r w:rsidR="003933B7">
        <w:rPr>
          <w:highlight w:val="yellow"/>
        </w:rPr>
        <w:t>e</w:t>
      </w:r>
      <w:r w:rsidR="007D06B7">
        <w:rPr>
          <w:highlight w:val="yellow"/>
        </w:rPr>
        <w:t xml:space="preserve">. </w:t>
      </w:r>
      <w:r w:rsidR="00E60FE0">
        <w:rPr>
          <w:highlight w:val="yellow"/>
        </w:rPr>
        <w:t>In the past three years, scrutiny regarding oversight of animal activities being conducted by foreign institutions ha</w:t>
      </w:r>
      <w:r w:rsidR="00706ECF">
        <w:rPr>
          <w:highlight w:val="yellow"/>
        </w:rPr>
        <w:t>s</w:t>
      </w:r>
      <w:r w:rsidR="00E60FE0">
        <w:rPr>
          <w:highlight w:val="yellow"/>
        </w:rPr>
        <w:t xml:space="preserve"> increased</w:t>
      </w:r>
      <w:r w:rsidR="005A511A">
        <w:rPr>
          <w:highlight w:val="yellow"/>
        </w:rPr>
        <w:t xml:space="preserve"> due to the COVID 19 pandemic</w:t>
      </w:r>
      <w:r w:rsidR="00E60FE0">
        <w:rPr>
          <w:highlight w:val="yellow"/>
        </w:rPr>
        <w:t>.</w:t>
      </w:r>
      <w:r w:rsidR="005A511A">
        <w:rPr>
          <w:highlight w:val="yellow"/>
        </w:rPr>
        <w:t xml:space="preserve"> </w:t>
      </w:r>
      <w:r w:rsidR="00D44002">
        <w:rPr>
          <w:highlight w:val="yellow"/>
        </w:rPr>
        <w:t xml:space="preserve">OLAW plans to increase oversight of foreign institutions preceded </w:t>
      </w:r>
      <w:r w:rsidR="007158DE">
        <w:rPr>
          <w:highlight w:val="yellow"/>
        </w:rPr>
        <w:t xml:space="preserve">the </w:t>
      </w:r>
      <w:r w:rsidR="00E87433">
        <w:rPr>
          <w:highlight w:val="yellow"/>
        </w:rPr>
        <w:t>pandemic and</w:t>
      </w:r>
      <w:r w:rsidR="003117D1">
        <w:rPr>
          <w:highlight w:val="yellow"/>
        </w:rPr>
        <w:t xml:space="preserve"> </w:t>
      </w:r>
      <w:r w:rsidR="001F27B3">
        <w:rPr>
          <w:highlight w:val="yellow"/>
        </w:rPr>
        <w:t>g</w:t>
      </w:r>
      <w:r w:rsidR="003117D1">
        <w:rPr>
          <w:highlight w:val="yellow"/>
        </w:rPr>
        <w:t>iven the current climate</w:t>
      </w:r>
      <w:r w:rsidR="00E759B7">
        <w:rPr>
          <w:highlight w:val="yellow"/>
        </w:rPr>
        <w:t xml:space="preserve"> with</w:t>
      </w:r>
      <w:r w:rsidRPr="00E759B7" w:rsidR="00E759B7">
        <w:rPr>
          <w:highlight w:val="yellow"/>
        </w:rPr>
        <w:t xml:space="preserve"> </w:t>
      </w:r>
      <w:r w:rsidR="00E759B7">
        <w:rPr>
          <w:highlight w:val="yellow"/>
        </w:rPr>
        <w:t xml:space="preserve">heightened awareness of </w:t>
      </w:r>
      <w:r w:rsidR="003117D1">
        <w:rPr>
          <w:highlight w:val="yellow"/>
        </w:rPr>
        <w:t>foreign animal activities,</w:t>
      </w:r>
      <w:r w:rsidR="007158DE">
        <w:rPr>
          <w:highlight w:val="yellow"/>
        </w:rPr>
        <w:t xml:space="preserve"> </w:t>
      </w:r>
      <w:r w:rsidR="0001322D">
        <w:rPr>
          <w:highlight w:val="yellow"/>
        </w:rPr>
        <w:t xml:space="preserve">implementation of </w:t>
      </w:r>
      <w:r w:rsidR="0066253D">
        <w:rPr>
          <w:highlight w:val="yellow"/>
        </w:rPr>
        <w:t xml:space="preserve">enhancements </w:t>
      </w:r>
      <w:r w:rsidR="00BB1E7F">
        <w:rPr>
          <w:highlight w:val="yellow"/>
        </w:rPr>
        <w:t xml:space="preserve">to </w:t>
      </w:r>
      <w:r w:rsidR="00161C04">
        <w:rPr>
          <w:highlight w:val="yellow"/>
        </w:rPr>
        <w:t>the program of assurances</w:t>
      </w:r>
      <w:r w:rsidR="00262E20">
        <w:rPr>
          <w:highlight w:val="yellow"/>
        </w:rPr>
        <w:t>, especially for foreign institutions,</w:t>
      </w:r>
      <w:r w:rsidR="00161C04">
        <w:rPr>
          <w:highlight w:val="yellow"/>
        </w:rPr>
        <w:t xml:space="preserve"> </w:t>
      </w:r>
      <w:r w:rsidR="0001322D">
        <w:rPr>
          <w:highlight w:val="yellow"/>
        </w:rPr>
        <w:t>is timely</w:t>
      </w:r>
      <w:r w:rsidR="00161C04">
        <w:rPr>
          <w:highlight w:val="yellow"/>
        </w:rPr>
        <w:t xml:space="preserve">. </w:t>
      </w:r>
      <w:r w:rsidR="006535CA">
        <w:rPr>
          <w:highlight w:val="yellow"/>
        </w:rPr>
        <w:t>Attachment 3: Foreign Annual Report</w:t>
      </w:r>
      <w:r w:rsidR="00FB5065">
        <w:rPr>
          <w:highlight w:val="yellow"/>
        </w:rPr>
        <w:t xml:space="preserve"> requests information to detail any changes</w:t>
      </w:r>
      <w:r w:rsidR="000F6ABE">
        <w:rPr>
          <w:highlight w:val="yellow"/>
        </w:rPr>
        <w:t xml:space="preserve"> in </w:t>
      </w:r>
      <w:r w:rsidR="00E37A56">
        <w:rPr>
          <w:highlight w:val="yellow"/>
        </w:rPr>
        <w:t>funding or changes to the Assurance document</w:t>
      </w:r>
      <w:r w:rsidR="00FB5065">
        <w:rPr>
          <w:highlight w:val="yellow"/>
        </w:rPr>
        <w:t xml:space="preserve"> since</w:t>
      </w:r>
      <w:r w:rsidR="007B3935">
        <w:rPr>
          <w:highlight w:val="yellow"/>
        </w:rPr>
        <w:t xml:space="preserve"> the</w:t>
      </w:r>
      <w:r w:rsidR="00FB5065">
        <w:rPr>
          <w:highlight w:val="yellow"/>
        </w:rPr>
        <w:t xml:space="preserve"> </w:t>
      </w:r>
      <w:r w:rsidR="007B3935">
        <w:rPr>
          <w:highlight w:val="yellow"/>
        </w:rPr>
        <w:t>initial</w:t>
      </w:r>
      <w:r w:rsidR="00FB5065">
        <w:rPr>
          <w:highlight w:val="yellow"/>
        </w:rPr>
        <w:t xml:space="preserve"> Foreign Assurance approval</w:t>
      </w:r>
      <w:r w:rsidR="000F6ABE">
        <w:rPr>
          <w:highlight w:val="yellow"/>
        </w:rPr>
        <w:t xml:space="preserve"> or renewal</w:t>
      </w:r>
      <w:r w:rsidR="00E87433">
        <w:rPr>
          <w:highlight w:val="yellow"/>
        </w:rPr>
        <w:t xml:space="preserve"> or</w:t>
      </w:r>
      <w:r w:rsidR="00FB5065">
        <w:rPr>
          <w:highlight w:val="yellow"/>
        </w:rPr>
        <w:t xml:space="preserve"> since their last submitted Annual Report to OLAW</w:t>
      </w:r>
      <w:r w:rsidR="0099547F">
        <w:rPr>
          <w:highlight w:val="yellow"/>
        </w:rPr>
        <w:t xml:space="preserve">. The </w:t>
      </w:r>
      <w:r w:rsidR="00D1596F">
        <w:rPr>
          <w:highlight w:val="yellow"/>
        </w:rPr>
        <w:t>Foreign Annual Report to OLAW</w:t>
      </w:r>
      <w:r w:rsidR="0099547F">
        <w:rPr>
          <w:highlight w:val="yellow"/>
        </w:rPr>
        <w:t xml:space="preserve"> will provide OLAW with timelier </w:t>
      </w:r>
      <w:r w:rsidR="006B3216">
        <w:rPr>
          <w:highlight w:val="yellow"/>
        </w:rPr>
        <w:t xml:space="preserve">notification of </w:t>
      </w:r>
      <w:r w:rsidR="0099547F">
        <w:rPr>
          <w:highlight w:val="yellow"/>
        </w:rPr>
        <w:t>change</w:t>
      </w:r>
      <w:r w:rsidR="006B3216">
        <w:rPr>
          <w:highlight w:val="yellow"/>
        </w:rPr>
        <w:t>s</w:t>
      </w:r>
      <w:r w:rsidR="0099547F">
        <w:rPr>
          <w:highlight w:val="yellow"/>
        </w:rPr>
        <w:t xml:space="preserve"> in the </w:t>
      </w:r>
      <w:r w:rsidR="00EE1A68">
        <w:rPr>
          <w:highlight w:val="yellow"/>
        </w:rPr>
        <w:t>Foreign Assurance including changes in the Institutional Official and/or contacts</w:t>
      </w:r>
      <w:r w:rsidR="00FB5065">
        <w:rPr>
          <w:highlight w:val="yellow"/>
        </w:rPr>
        <w:t>.</w:t>
      </w:r>
    </w:p>
    <w:p w:rsidR="0047031C" w:rsidP="0047031C" w14:paraId="59C2B0D5" w14:textId="646E691A">
      <w:pPr>
        <w:rPr>
          <w:highlight w:val="yellow"/>
        </w:rPr>
      </w:pPr>
      <w:r>
        <w:rPr>
          <w:highlight w:val="yellow"/>
        </w:rPr>
        <w:t xml:space="preserve">Attachment </w:t>
      </w:r>
      <w:r w:rsidRPr="003933B7">
        <w:rPr>
          <w:highlight w:val="yellow"/>
        </w:rPr>
        <w:t>7: Interinstitutional Assurance Triad for Domestic Performance Sit</w:t>
      </w:r>
      <w:r>
        <w:rPr>
          <w:highlight w:val="yellow"/>
        </w:rPr>
        <w:t>e</w:t>
      </w:r>
      <w:r>
        <w:rPr>
          <w:highlight w:val="yellow"/>
        </w:rPr>
        <w:t xml:space="preserve"> and Attachment 8: </w:t>
      </w:r>
      <w:r w:rsidRPr="003933B7">
        <w:rPr>
          <w:highlight w:val="yellow"/>
        </w:rPr>
        <w:t>Interinstitutional Assurance Triad for</w:t>
      </w:r>
      <w:r>
        <w:rPr>
          <w:highlight w:val="yellow"/>
        </w:rPr>
        <w:t xml:space="preserve"> Foreign</w:t>
      </w:r>
      <w:r w:rsidRPr="003933B7">
        <w:rPr>
          <w:highlight w:val="yellow"/>
        </w:rPr>
        <w:t xml:space="preserve"> Performance Sit</w:t>
      </w:r>
      <w:r>
        <w:rPr>
          <w:highlight w:val="yellow"/>
        </w:rPr>
        <w:t xml:space="preserve">e </w:t>
      </w:r>
      <w:r w:rsidR="00FD359C">
        <w:rPr>
          <w:highlight w:val="yellow"/>
        </w:rPr>
        <w:t>were added to accom</w:t>
      </w:r>
      <w:r w:rsidR="00201468">
        <w:rPr>
          <w:highlight w:val="yellow"/>
        </w:rPr>
        <w:t xml:space="preserve">modate additional </w:t>
      </w:r>
      <w:r w:rsidR="00D73EC7">
        <w:rPr>
          <w:highlight w:val="yellow"/>
        </w:rPr>
        <w:t>scenario</w:t>
      </w:r>
      <w:r w:rsidR="00201468">
        <w:rPr>
          <w:highlight w:val="yellow"/>
        </w:rPr>
        <w:t xml:space="preserve">s when </w:t>
      </w:r>
      <w:r w:rsidRPr="003933B7" w:rsidR="00FC0133">
        <w:rPr>
          <w:highlight w:val="yellow"/>
        </w:rPr>
        <w:t>Interinstitutional Assurance</w:t>
      </w:r>
      <w:r w:rsidR="00FC0133">
        <w:rPr>
          <w:highlight w:val="yellow"/>
        </w:rPr>
        <w:t xml:space="preserve"> </w:t>
      </w:r>
      <w:r w:rsidR="00201468">
        <w:rPr>
          <w:highlight w:val="yellow"/>
        </w:rPr>
        <w:t>documentation between three institutions</w:t>
      </w:r>
      <w:r w:rsidR="008C2227">
        <w:rPr>
          <w:highlight w:val="yellow"/>
        </w:rPr>
        <w:t xml:space="preserve"> </w:t>
      </w:r>
      <w:r w:rsidR="00201468">
        <w:rPr>
          <w:highlight w:val="yellow"/>
        </w:rPr>
        <w:t>is necessary</w:t>
      </w:r>
      <w:r w:rsidR="008C2227">
        <w:rPr>
          <w:highlight w:val="yellow"/>
        </w:rPr>
        <w:t>.</w:t>
      </w:r>
      <w:r w:rsidR="00201468">
        <w:rPr>
          <w:highlight w:val="yellow"/>
        </w:rPr>
        <w:t xml:space="preserve"> </w:t>
      </w:r>
      <w:r w:rsidRPr="009C404F">
        <w:rPr>
          <w:highlight w:val="yellow"/>
        </w:rPr>
        <w:t xml:space="preserve">As </w:t>
      </w:r>
      <w:r w:rsidRPr="009C404F">
        <w:rPr>
          <w:highlight w:val="yellow"/>
        </w:rPr>
        <w:t xml:space="preserve">with the original </w:t>
      </w:r>
      <w:r w:rsidRPr="003933B7">
        <w:rPr>
          <w:highlight w:val="yellow"/>
        </w:rPr>
        <w:t>Interinstitutional Assurance</w:t>
      </w:r>
      <w:r w:rsidRPr="009C404F">
        <w:rPr>
          <w:highlight w:val="yellow"/>
        </w:rPr>
        <w:t xml:space="preserve"> forms, the</w:t>
      </w:r>
      <w:r w:rsidRPr="0047031C">
        <w:rPr>
          <w:highlight w:val="yellow"/>
        </w:rPr>
        <w:t xml:space="preserve"> </w:t>
      </w:r>
      <w:r w:rsidRPr="003933B7">
        <w:rPr>
          <w:highlight w:val="yellow"/>
        </w:rPr>
        <w:t>Interinstitutional Assurance</w:t>
      </w:r>
      <w:r w:rsidRPr="009C404F">
        <w:rPr>
          <w:highlight w:val="yellow"/>
        </w:rPr>
        <w:t xml:space="preserve"> Triad forms have one form for domestic performance sites and one form for foreign performance sites.</w:t>
      </w:r>
      <w:r>
        <w:rPr>
          <w:highlight w:val="yellow"/>
        </w:rPr>
        <w:t xml:space="preserve"> </w:t>
      </w:r>
    </w:p>
    <w:p w:rsidR="003C2AB2" w:rsidP="003933B7" w14:paraId="52D932B6" w14:textId="2FF7E75A">
      <w:pPr>
        <w:rPr>
          <w:highlight w:val="yellow"/>
        </w:rPr>
      </w:pPr>
      <w:r>
        <w:rPr>
          <w:highlight w:val="yellow"/>
        </w:rPr>
        <w:t>T</w:t>
      </w:r>
      <w:r w:rsidR="00201468">
        <w:rPr>
          <w:highlight w:val="yellow"/>
        </w:rPr>
        <w:t xml:space="preserve">he current Interinstitutional Assurance documents </w:t>
      </w:r>
      <w:r w:rsidR="00D73EC7">
        <w:rPr>
          <w:highlight w:val="yellow"/>
        </w:rPr>
        <w:t xml:space="preserve">only allow completion by two </w:t>
      </w:r>
      <w:r w:rsidR="00A84F49">
        <w:rPr>
          <w:highlight w:val="yellow"/>
        </w:rPr>
        <w:t>institutions</w:t>
      </w:r>
      <w:r w:rsidR="009C18EA">
        <w:rPr>
          <w:highlight w:val="yellow"/>
        </w:rPr>
        <w:t xml:space="preserve"> and when more than two institutions are involved, additional Interinstitutional Assurances must be completed</w:t>
      </w:r>
      <w:r w:rsidR="00C70BB0">
        <w:rPr>
          <w:highlight w:val="yellow"/>
        </w:rPr>
        <w:t xml:space="preserve"> which is </w:t>
      </w:r>
      <w:r w:rsidR="0036792A">
        <w:rPr>
          <w:highlight w:val="yellow"/>
        </w:rPr>
        <w:t>inefficient</w:t>
      </w:r>
      <w:r w:rsidR="00D73EC7">
        <w:rPr>
          <w:highlight w:val="yellow"/>
        </w:rPr>
        <w:t>.</w:t>
      </w:r>
      <w:r w:rsidR="00B928B9">
        <w:rPr>
          <w:highlight w:val="yellow"/>
        </w:rPr>
        <w:t xml:space="preserve"> </w:t>
      </w:r>
      <w:r w:rsidR="00C70BB0">
        <w:rPr>
          <w:highlight w:val="yellow"/>
        </w:rPr>
        <w:t xml:space="preserve">The new </w:t>
      </w:r>
      <w:r w:rsidRPr="001E06B1" w:rsidR="00B928B9">
        <w:rPr>
          <w:highlight w:val="yellow"/>
        </w:rPr>
        <w:t xml:space="preserve">Interinstitutional Assurance </w:t>
      </w:r>
      <w:r w:rsidR="00B928B9">
        <w:rPr>
          <w:highlight w:val="yellow"/>
        </w:rPr>
        <w:t>T</w:t>
      </w:r>
      <w:r w:rsidRPr="001E06B1" w:rsidR="00B928B9">
        <w:rPr>
          <w:highlight w:val="yellow"/>
        </w:rPr>
        <w:t xml:space="preserve">riad </w:t>
      </w:r>
      <w:r w:rsidR="00B928B9">
        <w:rPr>
          <w:highlight w:val="yellow"/>
        </w:rPr>
        <w:t>form</w:t>
      </w:r>
      <w:r w:rsidRPr="001E06B1" w:rsidR="00B928B9">
        <w:rPr>
          <w:highlight w:val="yellow"/>
        </w:rPr>
        <w:t xml:space="preserve">s </w:t>
      </w:r>
      <w:r w:rsidR="00B928B9">
        <w:rPr>
          <w:highlight w:val="yellow"/>
        </w:rPr>
        <w:t>are included</w:t>
      </w:r>
      <w:r w:rsidRPr="001E06B1" w:rsidR="00B928B9">
        <w:rPr>
          <w:highlight w:val="yellow"/>
        </w:rPr>
        <w:t xml:space="preserve"> to reduce the </w:t>
      </w:r>
      <w:r w:rsidR="00B928B9">
        <w:rPr>
          <w:highlight w:val="yellow"/>
        </w:rPr>
        <w:t xml:space="preserve">duplicative paperwork in </w:t>
      </w:r>
      <w:r w:rsidRPr="001E06B1" w:rsidR="00B928B9">
        <w:rPr>
          <w:highlight w:val="yellow"/>
        </w:rPr>
        <w:t>s</w:t>
      </w:r>
      <w:r w:rsidR="00B928B9">
        <w:rPr>
          <w:highlight w:val="yellow"/>
        </w:rPr>
        <w:t>ituations</w:t>
      </w:r>
      <w:r w:rsidRPr="001E06B1" w:rsidR="00B928B9">
        <w:rPr>
          <w:highlight w:val="yellow"/>
        </w:rPr>
        <w:t xml:space="preserve"> when three different institutions are involved. For example, in addition to the prime awardee, there may be a subawardee or </w:t>
      </w:r>
      <w:r w:rsidR="00B928B9">
        <w:rPr>
          <w:highlight w:val="yellow"/>
        </w:rPr>
        <w:t xml:space="preserve">paid or </w:t>
      </w:r>
      <w:r w:rsidRPr="001E06B1" w:rsidR="00B928B9">
        <w:rPr>
          <w:highlight w:val="yellow"/>
        </w:rPr>
        <w:t>unpaid collaborator that is conducting animal activity at a</w:t>
      </w:r>
      <w:r w:rsidR="0089325B">
        <w:rPr>
          <w:highlight w:val="yellow"/>
        </w:rPr>
        <w:t>n institution with a</w:t>
      </w:r>
      <w:r w:rsidRPr="001E06B1" w:rsidR="00B928B9">
        <w:rPr>
          <w:highlight w:val="yellow"/>
        </w:rPr>
        <w:t xml:space="preserve"> Domestic or Foreign Assur</w:t>
      </w:r>
      <w:r w:rsidR="0089325B">
        <w:rPr>
          <w:highlight w:val="yellow"/>
        </w:rPr>
        <w:t>anc</w:t>
      </w:r>
      <w:r w:rsidRPr="001E06B1" w:rsidR="00B928B9">
        <w:rPr>
          <w:highlight w:val="yellow"/>
        </w:rPr>
        <w:t xml:space="preserve">e. Currently, two sets of the original Interinstitutional Assurance </w:t>
      </w:r>
      <w:r w:rsidR="00B928B9">
        <w:rPr>
          <w:highlight w:val="yellow"/>
        </w:rPr>
        <w:t>form</w:t>
      </w:r>
      <w:r w:rsidRPr="001E06B1" w:rsidR="00B928B9">
        <w:rPr>
          <w:highlight w:val="yellow"/>
        </w:rPr>
        <w:t>s would be completed</w:t>
      </w:r>
      <w:r w:rsidR="00B928B9">
        <w:rPr>
          <w:highlight w:val="yellow"/>
        </w:rPr>
        <w:t>,</w:t>
      </w:r>
      <w:r w:rsidRPr="001E06B1" w:rsidR="00B928B9">
        <w:rPr>
          <w:highlight w:val="yellow"/>
        </w:rPr>
        <w:t xml:space="preserve"> </w:t>
      </w:r>
      <w:r w:rsidR="00B928B9">
        <w:rPr>
          <w:highlight w:val="yellow"/>
        </w:rPr>
        <w:t>and</w:t>
      </w:r>
      <w:r w:rsidRPr="001E06B1" w:rsidR="00B928B9">
        <w:rPr>
          <w:highlight w:val="yellow"/>
        </w:rPr>
        <w:t xml:space="preserve"> the </w:t>
      </w:r>
      <w:r w:rsidR="000C231E">
        <w:rPr>
          <w:highlight w:val="yellow"/>
        </w:rPr>
        <w:t>institution with a</w:t>
      </w:r>
      <w:r w:rsidRPr="001E06B1" w:rsidR="000C231E">
        <w:rPr>
          <w:highlight w:val="yellow"/>
        </w:rPr>
        <w:t xml:space="preserve"> Domestic or Foreign Assur</w:t>
      </w:r>
      <w:r w:rsidR="000C231E">
        <w:rPr>
          <w:highlight w:val="yellow"/>
        </w:rPr>
        <w:t>anc</w:t>
      </w:r>
      <w:r w:rsidRPr="001E06B1" w:rsidR="000C231E">
        <w:rPr>
          <w:highlight w:val="yellow"/>
        </w:rPr>
        <w:t>e</w:t>
      </w:r>
      <w:r w:rsidRPr="001E06B1" w:rsidR="00B928B9">
        <w:rPr>
          <w:highlight w:val="yellow"/>
        </w:rPr>
        <w:t xml:space="preserve"> </w:t>
      </w:r>
      <w:r w:rsidR="00B928B9">
        <w:rPr>
          <w:highlight w:val="yellow"/>
        </w:rPr>
        <w:t>would have to review and sign</w:t>
      </w:r>
      <w:r w:rsidRPr="001E06B1" w:rsidR="00B928B9">
        <w:rPr>
          <w:highlight w:val="yellow"/>
        </w:rPr>
        <w:t xml:space="preserve"> both sets of documents. The</w:t>
      </w:r>
      <w:r w:rsidR="000C231E">
        <w:rPr>
          <w:highlight w:val="yellow"/>
        </w:rPr>
        <w:t xml:space="preserve"> addition of Attachment 7 and Attachment 8</w:t>
      </w:r>
      <w:r w:rsidRPr="00F31B17" w:rsidR="00B928B9">
        <w:rPr>
          <w:highlight w:val="yellow"/>
        </w:rPr>
        <w:t xml:space="preserve"> </w:t>
      </w:r>
      <w:r w:rsidRPr="001E06B1" w:rsidR="00B928B9">
        <w:rPr>
          <w:highlight w:val="yellow"/>
        </w:rPr>
        <w:t xml:space="preserve">alleviates the need for two sets of documents and enables all three organizations (i.e., awardee organization, additional organization, and </w:t>
      </w:r>
      <w:r w:rsidR="003D176E">
        <w:rPr>
          <w:highlight w:val="yellow"/>
        </w:rPr>
        <w:t>institution with a</w:t>
      </w:r>
      <w:r w:rsidRPr="001E06B1" w:rsidR="003D176E">
        <w:rPr>
          <w:highlight w:val="yellow"/>
        </w:rPr>
        <w:t xml:space="preserve"> Domestic or Foreign Assur</w:t>
      </w:r>
      <w:r w:rsidR="003D176E">
        <w:rPr>
          <w:highlight w:val="yellow"/>
        </w:rPr>
        <w:t>anc</w:t>
      </w:r>
      <w:r w:rsidRPr="001E06B1" w:rsidR="003D176E">
        <w:rPr>
          <w:highlight w:val="yellow"/>
        </w:rPr>
        <w:t>e</w:t>
      </w:r>
      <w:r w:rsidRPr="001E06B1" w:rsidR="00B928B9">
        <w:rPr>
          <w:highlight w:val="yellow"/>
        </w:rPr>
        <w:t>) to sign one document</w:t>
      </w:r>
      <w:r w:rsidR="003D176E">
        <w:rPr>
          <w:highlight w:val="yellow"/>
        </w:rPr>
        <w:t xml:space="preserve">. Attachment 7 and 8 </w:t>
      </w:r>
      <w:r w:rsidR="00997081">
        <w:rPr>
          <w:highlight w:val="yellow"/>
        </w:rPr>
        <w:t>are</w:t>
      </w:r>
      <w:r w:rsidR="003D176E">
        <w:rPr>
          <w:highlight w:val="yellow"/>
        </w:rPr>
        <w:t xml:space="preserve"> not replace</w:t>
      </w:r>
      <w:r w:rsidR="005917AE">
        <w:rPr>
          <w:highlight w:val="yellow"/>
        </w:rPr>
        <w:t>ment documents for</w:t>
      </w:r>
      <w:r w:rsidR="007C30D9">
        <w:rPr>
          <w:highlight w:val="yellow"/>
        </w:rPr>
        <w:t xml:space="preserve"> the existing </w:t>
      </w:r>
      <w:r w:rsidRPr="003933B7" w:rsidR="007C30D9">
        <w:rPr>
          <w:highlight w:val="yellow"/>
        </w:rPr>
        <w:t>Interinstitutional Assurance</w:t>
      </w:r>
      <w:r w:rsidR="007C30D9">
        <w:rPr>
          <w:highlight w:val="yellow"/>
        </w:rPr>
        <w:t xml:space="preserve"> forms (a</w:t>
      </w:r>
      <w:r w:rsidR="00CC4A1F">
        <w:rPr>
          <w:highlight w:val="yellow"/>
        </w:rPr>
        <w:t xml:space="preserve">ttachment </w:t>
      </w:r>
      <w:r w:rsidRPr="00CC4A1F" w:rsidR="00CC4A1F">
        <w:rPr>
          <w:highlight w:val="yellow"/>
        </w:rPr>
        <w:t>5</w:t>
      </w:r>
      <w:r w:rsidR="007C30D9">
        <w:rPr>
          <w:highlight w:val="yellow"/>
        </w:rPr>
        <w:t xml:space="preserve"> and 6)</w:t>
      </w:r>
      <w:r w:rsidR="00CA78A9">
        <w:rPr>
          <w:highlight w:val="yellow"/>
        </w:rPr>
        <w:t xml:space="preserve">. Instead, the new documents, Attachment 7 </w:t>
      </w:r>
      <w:r w:rsidR="00334446">
        <w:rPr>
          <w:highlight w:val="yellow"/>
        </w:rPr>
        <w:t>or</w:t>
      </w:r>
      <w:r w:rsidR="00CA78A9">
        <w:rPr>
          <w:highlight w:val="yellow"/>
        </w:rPr>
        <w:t xml:space="preserve"> 8</w:t>
      </w:r>
      <w:r w:rsidR="00173F10">
        <w:rPr>
          <w:highlight w:val="yellow"/>
        </w:rPr>
        <w:t>,</w:t>
      </w:r>
      <w:r w:rsidR="00CA78A9">
        <w:rPr>
          <w:highlight w:val="yellow"/>
        </w:rPr>
        <w:t xml:space="preserve"> may b</w:t>
      </w:r>
      <w:r w:rsidR="006239A5">
        <w:rPr>
          <w:highlight w:val="yellow"/>
        </w:rPr>
        <w:t xml:space="preserve">e used in place of </w:t>
      </w:r>
      <w:r w:rsidR="001850E6">
        <w:rPr>
          <w:highlight w:val="yellow"/>
        </w:rPr>
        <w:t xml:space="preserve">Attachment 5 </w:t>
      </w:r>
      <w:r w:rsidR="00334446">
        <w:rPr>
          <w:highlight w:val="yellow"/>
        </w:rPr>
        <w:t>or</w:t>
      </w:r>
      <w:r w:rsidR="001850E6">
        <w:rPr>
          <w:highlight w:val="yellow"/>
        </w:rPr>
        <w:t xml:space="preserve"> 6</w:t>
      </w:r>
      <w:r w:rsidR="006239A5">
        <w:rPr>
          <w:highlight w:val="yellow"/>
        </w:rPr>
        <w:t xml:space="preserve"> when three versus two institutions </w:t>
      </w:r>
      <w:r w:rsidR="00B078C9">
        <w:rPr>
          <w:highlight w:val="yellow"/>
        </w:rPr>
        <w:t>need to complete the Interinstitutional Assurance documentation</w:t>
      </w:r>
      <w:r w:rsidR="00337FF3">
        <w:rPr>
          <w:highlight w:val="yellow"/>
        </w:rPr>
        <w:t>.</w:t>
      </w:r>
      <w:r w:rsidR="005917AE">
        <w:rPr>
          <w:highlight w:val="yellow"/>
        </w:rPr>
        <w:t xml:space="preserve"> Attachment</w:t>
      </w:r>
      <w:r w:rsidR="00337FF3">
        <w:rPr>
          <w:highlight w:val="yellow"/>
        </w:rPr>
        <w:t>s</w:t>
      </w:r>
      <w:r w:rsidR="005917AE">
        <w:rPr>
          <w:highlight w:val="yellow"/>
        </w:rPr>
        <w:t xml:space="preserve"> 5 and 6 will continue to be used when only two institutions are involved </w:t>
      </w:r>
      <w:r w:rsidR="000F2825">
        <w:rPr>
          <w:highlight w:val="yellow"/>
        </w:rPr>
        <w:t>in</w:t>
      </w:r>
      <w:r w:rsidR="005917AE">
        <w:rPr>
          <w:highlight w:val="yellow"/>
        </w:rPr>
        <w:t xml:space="preserve"> completion of the Interinstitutional Assurance documentation</w:t>
      </w:r>
      <w:r w:rsidR="00ED6089">
        <w:rPr>
          <w:highlight w:val="yellow"/>
        </w:rPr>
        <w:t xml:space="preserve">. </w:t>
      </w:r>
    </w:p>
    <w:p w:rsidR="00362B59" w:rsidP="00CE3A89" w14:paraId="25B6962C" w14:textId="507C99AD">
      <w:r>
        <w:t xml:space="preserve">The </w:t>
      </w:r>
      <w:r w:rsidR="005E70B9">
        <w:t>document</w:t>
      </w:r>
      <w:r>
        <w:t>s provide the required information nec</w:t>
      </w:r>
      <w:r>
        <w:t>essary for the NIH OLAW to provide institutional oversight according to the PHS Policy and the HREA and to determine that research, teaching, and training with vertebrate animals is being conducted responsibly in accordance with applicable l</w:t>
      </w:r>
      <w:r w:rsidRPr="00451E83">
        <w:t>aws</w:t>
      </w:r>
      <w:r>
        <w:t xml:space="preserve">, </w:t>
      </w:r>
      <w:r w:rsidRPr="00451E83">
        <w:t>regulation</w:t>
      </w:r>
      <w:r w:rsidRPr="00451E83">
        <w:t>s, and guidance</w:t>
      </w:r>
      <w:r>
        <w:t xml:space="preserve">. </w:t>
      </w:r>
      <w:r w:rsidR="00E30BB8">
        <w:t>Without submission of the Assurance or Annual Report to OLAW, animal welfare and scientific progress may be negatively impacted due to lack of OLAW’s ability to provide oversight.</w:t>
      </w:r>
    </w:p>
    <w:p w:rsidR="00A00CF8" w:rsidP="00083A52" w14:paraId="771476A4" w14:textId="5F353F76">
      <w:pPr>
        <w:tabs>
          <w:tab w:val="left" w:pos="720"/>
        </w:tabs>
        <w:rPr>
          <w:b/>
          <w:color w:val="000000" w:themeColor="text1"/>
        </w:rPr>
      </w:pPr>
      <w:r w:rsidRPr="00E35DD1">
        <w:rPr>
          <w:b/>
          <w:color w:val="000000" w:themeColor="text1"/>
        </w:rPr>
        <w:t>A.3</w:t>
      </w:r>
      <w:r w:rsidR="00083A52">
        <w:rPr>
          <w:b/>
          <w:color w:val="000000" w:themeColor="text1"/>
        </w:rPr>
        <w:tab/>
      </w:r>
      <w:r w:rsidRPr="00E35DD1">
        <w:rPr>
          <w:b/>
          <w:color w:val="000000" w:themeColor="text1"/>
        </w:rPr>
        <w:t xml:space="preserve">Use of Information Technology and Burden </w:t>
      </w:r>
      <w:r w:rsidRPr="00E35DD1">
        <w:rPr>
          <w:b/>
          <w:color w:val="000000" w:themeColor="text1"/>
        </w:rPr>
        <w:t>Reduction</w:t>
      </w:r>
    </w:p>
    <w:p w:rsidR="007E2418" w:rsidRPr="00866183" w:rsidP="007E2418" w14:paraId="00522C61" w14:textId="71FC38E5">
      <w:pPr>
        <w:rPr>
          <w:color w:val="000000" w:themeColor="text1"/>
        </w:rPr>
      </w:pPr>
      <w:bookmarkStart w:id="9" w:name="_Toc443881745"/>
      <w:bookmarkStart w:id="10" w:name="_Toc451592234"/>
      <w:bookmarkStart w:id="11" w:name="_Toc5610275"/>
      <w:bookmarkStart w:id="12" w:name="_Toc99178781"/>
      <w:r w:rsidRPr="009C0C70">
        <w:t xml:space="preserve">OLAW contacts institutions to request new and renewal Assurance and Annual Report completion by email. </w:t>
      </w:r>
      <w:r w:rsidRPr="0078308A" w:rsidR="00C32B87">
        <w:rPr>
          <w:highlight w:val="yellow"/>
        </w:rPr>
        <w:t xml:space="preserve">To </w:t>
      </w:r>
      <w:r w:rsidRPr="0078308A" w:rsidR="0078308A">
        <w:rPr>
          <w:highlight w:val="yellow"/>
        </w:rPr>
        <w:t>reduce</w:t>
      </w:r>
      <w:r w:rsidRPr="0078308A" w:rsidR="00423C8B">
        <w:rPr>
          <w:highlight w:val="yellow"/>
        </w:rPr>
        <w:t xml:space="preserve"> </w:t>
      </w:r>
      <w:r w:rsidRPr="0078308A" w:rsidR="00C32B87">
        <w:rPr>
          <w:highlight w:val="yellow"/>
        </w:rPr>
        <w:t>the</w:t>
      </w:r>
      <w:r w:rsidRPr="0078308A" w:rsidR="0078308A">
        <w:rPr>
          <w:highlight w:val="yellow"/>
        </w:rPr>
        <w:t xml:space="preserve"> number of</w:t>
      </w:r>
      <w:r w:rsidRPr="0078308A" w:rsidR="00C32B87">
        <w:rPr>
          <w:highlight w:val="yellow"/>
        </w:rPr>
        <w:t xml:space="preserve"> </w:t>
      </w:r>
      <w:r w:rsidRPr="0078308A" w:rsidR="00741D67">
        <w:rPr>
          <w:highlight w:val="yellow"/>
        </w:rPr>
        <w:t xml:space="preserve">email inboxes, OLAW no longer maintains the separate email inbox </w:t>
      </w:r>
      <w:r w:rsidRPr="0078308A" w:rsidR="00624BAF">
        <w:rPr>
          <w:highlight w:val="yellow"/>
        </w:rPr>
        <w:t xml:space="preserve"> </w:t>
      </w:r>
      <w:hyperlink r:id="rId6" w:history="1">
        <w:r w:rsidRPr="0078308A" w:rsidR="00624BAF">
          <w:rPr>
            <w:rStyle w:val="Hyperlink"/>
            <w:highlight w:val="yellow"/>
          </w:rPr>
          <w:t>olawdocs@mail.nih.gov</w:t>
        </w:r>
      </w:hyperlink>
      <w:r w:rsidRPr="0078308A" w:rsidR="00624BAF">
        <w:rPr>
          <w:highlight w:val="yellow"/>
        </w:rPr>
        <w:t xml:space="preserve"> </w:t>
      </w:r>
      <w:r w:rsidRPr="0078308A" w:rsidR="002F3990">
        <w:rPr>
          <w:highlight w:val="yellow"/>
        </w:rPr>
        <w:t xml:space="preserve">for submission of documents. </w:t>
      </w:r>
      <w:r w:rsidRPr="0078308A" w:rsidR="0078308A">
        <w:rPr>
          <w:highlight w:val="yellow"/>
        </w:rPr>
        <w:t>Currently, t</w:t>
      </w:r>
      <w:r w:rsidRPr="0078308A" w:rsidR="002F3990">
        <w:rPr>
          <w:highlight w:val="yellow"/>
        </w:rPr>
        <w:t>he</w:t>
      </w:r>
      <w:r w:rsidRPr="0078308A" w:rsidR="00624BAF">
        <w:rPr>
          <w:highlight w:val="yellow"/>
        </w:rPr>
        <w:t xml:space="preserve"> general</w:t>
      </w:r>
      <w:r w:rsidRPr="0078308A" w:rsidR="002F3990">
        <w:rPr>
          <w:highlight w:val="yellow"/>
        </w:rPr>
        <w:t xml:space="preserve"> email address</w:t>
      </w:r>
      <w:r w:rsidRPr="0078308A" w:rsidR="00AE1EE9">
        <w:rPr>
          <w:highlight w:val="yellow"/>
        </w:rPr>
        <w:t xml:space="preserve"> </w:t>
      </w:r>
      <w:hyperlink r:id="rId7" w:history="1">
        <w:r w:rsidRPr="0078308A" w:rsidR="00AE1EE9">
          <w:rPr>
            <w:rStyle w:val="Hyperlink"/>
            <w:highlight w:val="yellow"/>
          </w:rPr>
          <w:t>olawdoa@mail.nih.gov</w:t>
        </w:r>
      </w:hyperlink>
      <w:r w:rsidRPr="0078308A" w:rsidR="00AE1EE9">
        <w:rPr>
          <w:highlight w:val="yellow"/>
        </w:rPr>
        <w:t xml:space="preserve"> </w:t>
      </w:r>
      <w:r w:rsidRPr="0078308A" w:rsidR="00427A13">
        <w:rPr>
          <w:highlight w:val="yellow"/>
        </w:rPr>
        <w:t>is used for</w:t>
      </w:r>
      <w:r w:rsidRPr="0078308A" w:rsidR="00AE1EE9">
        <w:rPr>
          <w:highlight w:val="yellow"/>
        </w:rPr>
        <w:t xml:space="preserve"> both</w:t>
      </w:r>
      <w:r w:rsidRPr="0078308A" w:rsidR="00427A13">
        <w:rPr>
          <w:highlight w:val="yellow"/>
        </w:rPr>
        <w:t xml:space="preserve"> correspondence and submitting Assurance documents.</w:t>
      </w:r>
      <w:r w:rsidR="00427A13">
        <w:t xml:space="preserve"> </w:t>
      </w:r>
      <w:r w:rsidRPr="009C0C70">
        <w:t>Institutions submit their completed Assuran</w:t>
      </w:r>
      <w:r w:rsidRPr="009C0C70">
        <w:t xml:space="preserve">ce </w:t>
      </w:r>
      <w:r w:rsidRPr="00866183">
        <w:rPr>
          <w:color w:val="000000" w:themeColor="text1"/>
        </w:rPr>
        <w:t>documents</w:t>
      </w:r>
      <w:r>
        <w:rPr>
          <w:color w:val="000000" w:themeColor="text1"/>
        </w:rPr>
        <w:t xml:space="preserve"> and</w:t>
      </w:r>
      <w:r w:rsidRPr="00866183">
        <w:rPr>
          <w:color w:val="000000" w:themeColor="text1"/>
        </w:rPr>
        <w:t xml:space="preserve"> </w:t>
      </w:r>
      <w:r>
        <w:rPr>
          <w:color w:val="000000" w:themeColor="text1"/>
        </w:rPr>
        <w:t>A</w:t>
      </w:r>
      <w:r w:rsidRPr="00866183">
        <w:rPr>
          <w:color w:val="000000" w:themeColor="text1"/>
        </w:rPr>
        <w:t xml:space="preserve">nnual </w:t>
      </w:r>
      <w:r>
        <w:rPr>
          <w:color w:val="000000" w:themeColor="text1"/>
        </w:rPr>
        <w:t>R</w:t>
      </w:r>
      <w:r w:rsidRPr="00866183">
        <w:rPr>
          <w:color w:val="000000" w:themeColor="text1"/>
        </w:rPr>
        <w:t xml:space="preserve">eports electronically to the OLAW email inboxes </w:t>
      </w:r>
      <w:hyperlink r:id="rId7" w:history="1">
        <w:r w:rsidRPr="00EF2E74" w:rsidR="0078308A">
          <w:rPr>
            <w:rStyle w:val="Hyperlink"/>
            <w:highlight w:val="yellow"/>
          </w:rPr>
          <w:t>olawdoa@mail.nih.gov</w:t>
        </w:r>
      </w:hyperlink>
      <w:r w:rsidR="0078308A">
        <w:rPr>
          <w:color w:val="000000" w:themeColor="text1"/>
          <w:highlight w:val="yellow"/>
        </w:rPr>
        <w:t xml:space="preserve"> </w:t>
      </w:r>
      <w:r w:rsidRPr="00F53D33">
        <w:rPr>
          <w:color w:val="000000" w:themeColor="text1"/>
          <w:highlight w:val="yellow"/>
        </w:rPr>
        <w:t>(</w:t>
      </w:r>
      <w:r w:rsidRPr="00F53D33" w:rsidR="002742B9">
        <w:rPr>
          <w:color w:val="000000" w:themeColor="text1"/>
          <w:highlight w:val="yellow"/>
        </w:rPr>
        <w:t xml:space="preserve">Correspondence and </w:t>
      </w:r>
      <w:r w:rsidRPr="00F53D33">
        <w:rPr>
          <w:color w:val="000000" w:themeColor="text1"/>
          <w:highlight w:val="yellow"/>
        </w:rPr>
        <w:t>Assurance documents)</w:t>
      </w:r>
      <w:r>
        <w:rPr>
          <w:color w:val="000000" w:themeColor="text1"/>
        </w:rPr>
        <w:t xml:space="preserve"> and </w:t>
      </w:r>
      <w:hyperlink r:id="rId8" w:history="1">
        <w:r w:rsidRPr="00EF2E74" w:rsidR="0078308A">
          <w:rPr>
            <w:rStyle w:val="Hyperlink"/>
          </w:rPr>
          <w:t>olawarp@mail.nih.gov</w:t>
        </w:r>
      </w:hyperlink>
      <w:r w:rsidR="0078308A">
        <w:rPr>
          <w:color w:val="000000" w:themeColor="text1"/>
        </w:rPr>
        <w:t xml:space="preserve"> </w:t>
      </w:r>
      <w:r w:rsidRPr="00866183">
        <w:rPr>
          <w:color w:val="000000" w:themeColor="text1"/>
        </w:rPr>
        <w:t>(</w:t>
      </w:r>
      <w:r>
        <w:rPr>
          <w:color w:val="000000" w:themeColor="text1"/>
        </w:rPr>
        <w:t>A</w:t>
      </w:r>
      <w:r w:rsidRPr="00866183">
        <w:rPr>
          <w:color w:val="000000" w:themeColor="text1"/>
        </w:rPr>
        <w:t xml:space="preserve">nnual </w:t>
      </w:r>
      <w:r>
        <w:rPr>
          <w:color w:val="000000" w:themeColor="text1"/>
        </w:rPr>
        <w:t>R</w:t>
      </w:r>
      <w:r w:rsidRPr="00866183">
        <w:rPr>
          <w:color w:val="000000" w:themeColor="text1"/>
        </w:rPr>
        <w:t>eports)</w:t>
      </w:r>
      <w:r>
        <w:rPr>
          <w:color w:val="000000" w:themeColor="text1"/>
        </w:rPr>
        <w:t>. Electronic submission via email is an efficient and economical method that permits timely transmission.</w:t>
      </w:r>
    </w:p>
    <w:p w:rsidR="00685B30" w:rsidRPr="00E35DD1" w:rsidP="00685B30" w14:paraId="2634512F" w14:textId="77777777">
      <w:pPr>
        <w:pStyle w:val="Heading2"/>
        <w:spacing w:after="0" w:line="480" w:lineRule="auto"/>
        <w:ind w:left="720" w:hanging="72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bookmarkEnd w:id="9"/>
      <w:bookmarkEnd w:id="10"/>
      <w:bookmarkEnd w:id="11"/>
      <w:bookmarkEnd w:id="12"/>
    </w:p>
    <w:p w:rsidR="00333697" w:rsidRPr="00033C42" w:rsidP="00685B30" w14:paraId="55846B99" w14:textId="37A21231">
      <w:r w:rsidRPr="004E45BA">
        <w:t>OLAW</w:t>
      </w:r>
      <w:r w:rsidRPr="004E45BA">
        <w:t xml:space="preserve"> is the only office tasked with oversight of PHS-funded activities involving animals in compliance with 42 U.S.C. 289d and the PHS Policy.</w:t>
      </w:r>
      <w:r w:rsidRPr="00333697">
        <w:t xml:space="preserve"> The </w:t>
      </w:r>
      <w:r w:rsidRPr="004D41B5" w:rsidR="004D41B5">
        <w:t>United States Department of Agriculture</w:t>
      </w:r>
      <w:r w:rsidR="004D41B5">
        <w:t xml:space="preserve"> (</w:t>
      </w:r>
      <w:r w:rsidRPr="00333697">
        <w:t>USDA</w:t>
      </w:r>
      <w:r w:rsidR="004D41B5">
        <w:t>)</w:t>
      </w:r>
      <w:r w:rsidRPr="00333697">
        <w:t xml:space="preserve"> Animal</w:t>
      </w:r>
      <w:r w:rsidR="00ED5632">
        <w:t xml:space="preserve"> and</w:t>
      </w:r>
      <w:r w:rsidRPr="00333697">
        <w:t xml:space="preserve"> Plant Health Inspection Service (APHIS) is tasked with </w:t>
      </w:r>
      <w:r w:rsidRPr="00333697">
        <w:t>enforcing the Animal Welfare Act</w:t>
      </w:r>
      <w:r w:rsidR="001977AE">
        <w:t xml:space="preserve"> and implementing the Animal Welfare Regulations for</w:t>
      </w:r>
      <w:r w:rsidRPr="00333697">
        <w:t xml:space="preserve"> </w:t>
      </w:r>
      <w:r w:rsidR="001977AE">
        <w:t xml:space="preserve">warm-blooded </w:t>
      </w:r>
      <w:r w:rsidRPr="00333697">
        <w:t xml:space="preserve">animals used in research </w:t>
      </w:r>
      <w:r w:rsidR="001977AE">
        <w:t xml:space="preserve">but </w:t>
      </w:r>
      <w:r w:rsidRPr="00333697">
        <w:t>exclud</w:t>
      </w:r>
      <w:r w:rsidR="001977AE">
        <w:t>es</w:t>
      </w:r>
      <w:r w:rsidRPr="00333697">
        <w:t xml:space="preserve"> rats, </w:t>
      </w:r>
      <w:r w:rsidRPr="00033C42">
        <w:t>mice</w:t>
      </w:r>
      <w:r w:rsidR="00B90803">
        <w:t>,</w:t>
      </w:r>
      <w:r w:rsidRPr="00033C42">
        <w:t xml:space="preserve"> and birds</w:t>
      </w:r>
      <w:r w:rsidR="001977AE">
        <w:t xml:space="preserve"> bred for use in research</w:t>
      </w:r>
      <w:r w:rsidRPr="00033C42">
        <w:t>.</w:t>
      </w:r>
      <w:r w:rsidR="001437C7">
        <w:t xml:space="preserve"> </w:t>
      </w:r>
      <w:r w:rsidR="002F013E">
        <w:t xml:space="preserve">Although not all institutions </w:t>
      </w:r>
      <w:r w:rsidR="00077C81">
        <w:t>attain</w:t>
      </w:r>
      <w:r w:rsidR="002F013E">
        <w:t xml:space="preserve"> </w:t>
      </w:r>
      <w:r w:rsidR="00077C81">
        <w:t xml:space="preserve">accreditation by </w:t>
      </w:r>
      <w:r w:rsidRPr="002F013E" w:rsidR="00077C81">
        <w:t xml:space="preserve">AAALAC </w:t>
      </w:r>
      <w:r w:rsidR="00077C81">
        <w:t xml:space="preserve">International, </w:t>
      </w:r>
      <w:r w:rsidR="002264E5">
        <w:t xml:space="preserve">an independent accrediting body, </w:t>
      </w:r>
      <w:r w:rsidR="00077C81">
        <w:t>institutions that are accredited</w:t>
      </w:r>
      <w:r w:rsidR="002F013E">
        <w:t xml:space="preserve"> may </w:t>
      </w:r>
      <w:r w:rsidR="00077C81">
        <w:t>re</w:t>
      </w:r>
      <w:r w:rsidR="002F013E">
        <w:t xml:space="preserve">use </w:t>
      </w:r>
      <w:r w:rsidR="00077C81">
        <w:t xml:space="preserve">wording </w:t>
      </w:r>
      <w:r w:rsidRPr="004E45BA">
        <w:t>from their AAALAC animal program description in the Assurance document and vice versa.</w:t>
      </w:r>
      <w:r w:rsidR="002F013E">
        <w:t xml:space="preserve"> </w:t>
      </w:r>
      <w:r w:rsidR="00077C81">
        <w:t>Because</w:t>
      </w:r>
      <w:r w:rsidR="002F013E">
        <w:t xml:space="preserve"> </w:t>
      </w:r>
      <w:r w:rsidR="00077C81">
        <w:t>OLAW, USDA APHIS, and AAALAC have distinct missions and purposes for information collection, much of the information requested of an institution is specific to each requesting entity</w:t>
      </w:r>
      <w:r w:rsidR="00B917F9">
        <w:t xml:space="preserve"> and therefore, non-duplicative.</w:t>
      </w:r>
    </w:p>
    <w:p w:rsidR="00685B30" w:rsidP="00685B30" w14:paraId="2E534297" w14:textId="77777777">
      <w:pPr>
        <w:pStyle w:val="Heading2"/>
        <w:spacing w:after="0" w:line="480" w:lineRule="auto"/>
        <w:ind w:left="720" w:hanging="720"/>
        <w:rPr>
          <w:rFonts w:asciiTheme="minorHAnsi" w:hAnsiTheme="minorHAnsi"/>
          <w:szCs w:val="22"/>
        </w:rPr>
      </w:pPr>
      <w:bookmarkStart w:id="13" w:name="_Toc443881746"/>
      <w:bookmarkStart w:id="14" w:name="_Toc451592235"/>
      <w:bookmarkStart w:id="15" w:name="_Toc5610276"/>
      <w:bookmarkStart w:id="16" w:name="_Toc99178782"/>
      <w:r w:rsidRPr="004716CF">
        <w:rPr>
          <w:rFonts w:asciiTheme="minorHAnsi" w:hAnsiTheme="minorHAnsi"/>
          <w:szCs w:val="22"/>
        </w:rPr>
        <w:t>A.5</w:t>
      </w:r>
      <w:r w:rsidRPr="004716CF">
        <w:rPr>
          <w:rFonts w:asciiTheme="minorHAnsi" w:hAnsiTheme="minorHAnsi"/>
          <w:szCs w:val="22"/>
        </w:rPr>
        <w:tab/>
        <w:t>Impact on Small Businesses or Other Small Entities</w:t>
      </w:r>
      <w:bookmarkEnd w:id="13"/>
      <w:bookmarkEnd w:id="14"/>
      <w:bookmarkEnd w:id="15"/>
      <w:bookmarkEnd w:id="16"/>
    </w:p>
    <w:p w:rsidR="00B75E10" w:rsidRPr="00041C3D" w:rsidP="00041C3D" w14:paraId="652FD163" w14:textId="2A3F31D7">
      <w:r w:rsidRPr="00041C3D">
        <w:t>Small businesses or other small entities without</w:t>
      </w:r>
      <w:r w:rsidRPr="00041C3D">
        <w:t xml:space="preserve"> an animal care and use program of their own using PHS funds for research involving animals are subject to PHS Policy requirements. This type of entity completes an Interinstitutional Assurance, which links the awardee entity with an Assured institution, d</w:t>
      </w:r>
      <w:r w:rsidRPr="00041C3D">
        <w:t>omestic or foreign, where the animal activity will be conducted. The Interinstitutional Assurance certifies that the specified funded animal activity will be conducted in compliance with the PHS Policy. In this case, only the completion of the concise Inte</w:t>
      </w:r>
      <w:r w:rsidRPr="00041C3D">
        <w:t>rinstitutional Assurance is required.</w:t>
      </w:r>
    </w:p>
    <w:p w:rsidR="00685B30" w:rsidRPr="00E35DD1" w:rsidP="00685B30" w14:paraId="4DCCFE87" w14:textId="77777777">
      <w:pPr>
        <w:pStyle w:val="Heading2"/>
        <w:spacing w:after="0" w:line="480" w:lineRule="auto"/>
        <w:ind w:left="720" w:hanging="720"/>
        <w:rPr>
          <w:rFonts w:asciiTheme="minorHAnsi" w:hAnsiTheme="minorHAnsi"/>
          <w:szCs w:val="22"/>
        </w:rPr>
      </w:pPr>
      <w:bookmarkStart w:id="17" w:name="_Toc443881747"/>
      <w:bookmarkStart w:id="18" w:name="_Toc451592236"/>
      <w:bookmarkStart w:id="19" w:name="_Toc5610277"/>
      <w:bookmarkStart w:id="20" w:name="_Toc99178783"/>
      <w:r w:rsidRPr="00E35DD1">
        <w:rPr>
          <w:rFonts w:asciiTheme="minorHAnsi" w:hAnsiTheme="minorHAnsi"/>
          <w:szCs w:val="22"/>
        </w:rPr>
        <w:t>A.6</w:t>
      </w:r>
      <w:r w:rsidRPr="00E35DD1">
        <w:rPr>
          <w:rFonts w:asciiTheme="minorHAnsi" w:hAnsiTheme="minorHAnsi"/>
          <w:szCs w:val="22"/>
        </w:rPr>
        <w:tab/>
        <w:t>Consequences of Collecting the Information Less Frequently</w:t>
      </w:r>
      <w:bookmarkEnd w:id="17"/>
      <w:bookmarkEnd w:id="18"/>
      <w:bookmarkEnd w:id="19"/>
      <w:bookmarkEnd w:id="20"/>
    </w:p>
    <w:p w:rsidR="00033C42" w:rsidP="00685B30" w14:paraId="49967A77" w14:textId="4C048B12">
      <w:r w:rsidRPr="00033C42">
        <w:t>The PHS Policy requires that institutions using PHS funds for research in</w:t>
      </w:r>
      <w:r w:rsidR="00E2010C">
        <w:t>volving</w:t>
      </w:r>
      <w:r w:rsidRPr="00033C42">
        <w:t xml:space="preserve"> animals </w:t>
      </w:r>
      <w:r w:rsidR="003C3F2D">
        <w:t>submit a n</w:t>
      </w:r>
      <w:r w:rsidRPr="00033C42">
        <w:t>ew Assurance</w:t>
      </w:r>
      <w:r w:rsidR="003C3F2D">
        <w:t xml:space="preserve"> for approval periods no longer than</w:t>
      </w:r>
      <w:r w:rsidRPr="00033C42">
        <w:t xml:space="preserve"> five ye</w:t>
      </w:r>
      <w:r w:rsidRPr="00033C42">
        <w:t>ars</w:t>
      </w:r>
      <w:r w:rsidRPr="00033C42" w:rsidR="00E2010C">
        <w:t xml:space="preserve"> </w:t>
      </w:r>
      <w:r w:rsidR="00E2010C">
        <w:t xml:space="preserve">and </w:t>
      </w:r>
      <w:r w:rsidRPr="00033C42" w:rsidR="00E2010C">
        <w:t>report to OLAW once a year in the Annual Repor</w:t>
      </w:r>
      <w:r w:rsidR="00E2010C">
        <w:t>t</w:t>
      </w:r>
      <w:r w:rsidRPr="00033C42">
        <w:t xml:space="preserve">. This </w:t>
      </w:r>
      <w:r w:rsidRPr="00033C42" w:rsidR="004E45BA">
        <w:t>frequency</w:t>
      </w:r>
      <w:r w:rsidRPr="00033C42">
        <w:t xml:space="preserve"> of reporting is required </w:t>
      </w:r>
      <w:r w:rsidRPr="00033C42" w:rsidR="0018316F">
        <w:t>because</w:t>
      </w:r>
      <w:r w:rsidR="0018316F">
        <w:t xml:space="preserve"> of the ongoing commitment</w:t>
      </w:r>
      <w:r w:rsidRPr="00033C42" w:rsidR="0018316F">
        <w:t xml:space="preserve"> to protect the welfare of animal</w:t>
      </w:r>
      <w:r w:rsidR="0018316F">
        <w:t>s</w:t>
      </w:r>
      <w:r w:rsidRPr="00033C42" w:rsidR="0018316F">
        <w:t xml:space="preserve"> used in research. </w:t>
      </w:r>
      <w:r w:rsidRPr="00033C42">
        <w:t xml:space="preserve">OLAW staff must be apprised of changes to the institution's animal care and use program </w:t>
      </w:r>
      <w:r w:rsidR="004E45BA">
        <w:t>as</w:t>
      </w:r>
      <w:r w:rsidRPr="00033C42">
        <w:t xml:space="preserve"> these changes may </w:t>
      </w:r>
      <w:r w:rsidR="003D31C2">
        <w:t>affect</w:t>
      </w:r>
      <w:r w:rsidRPr="00033C42">
        <w:t xml:space="preserve"> animal welfare. Semiannual program evaluations and facilities inspections </w:t>
      </w:r>
      <w:r w:rsidR="00624895">
        <w:t xml:space="preserve">by Institutional Animal Care and Use Committees (IACUCs) </w:t>
      </w:r>
      <w:r w:rsidRPr="00033C42">
        <w:t>are requi</w:t>
      </w:r>
      <w:r w:rsidRPr="00033C42">
        <w:t>red to safeguard continued animal welfare</w:t>
      </w:r>
      <w:r w:rsidR="00436299">
        <w:t>, and a</w:t>
      </w:r>
      <w:r w:rsidRPr="00033C42">
        <w:t xml:space="preserve">nnual reporting to OLAW ensures that IACUCs </w:t>
      </w:r>
      <w:r w:rsidR="004E45BA">
        <w:t>conduct</w:t>
      </w:r>
      <w:r w:rsidRPr="00033C42">
        <w:t xml:space="preserve"> these reviews. Less frequent reporting </w:t>
      </w:r>
      <w:r w:rsidR="00A949F4">
        <w:t xml:space="preserve">has a strong </w:t>
      </w:r>
      <w:r w:rsidRPr="00B82A89" w:rsidR="00A949F4">
        <w:t>likelihood of negatively impacting animal welfare</w:t>
      </w:r>
      <w:r w:rsidR="00A949F4">
        <w:t xml:space="preserve"> </w:t>
      </w:r>
      <w:r w:rsidR="00624895">
        <w:t xml:space="preserve">and </w:t>
      </w:r>
      <w:r w:rsidR="008E6168">
        <w:t xml:space="preserve">may </w:t>
      </w:r>
      <w:r w:rsidR="003C3F2D">
        <w:t xml:space="preserve">result in </w:t>
      </w:r>
      <w:r w:rsidR="00436299">
        <w:t xml:space="preserve">the reduction of the </w:t>
      </w:r>
      <w:r w:rsidRPr="00436299" w:rsidR="00436299">
        <w:t>quality of PHS-supported activities</w:t>
      </w:r>
      <w:r w:rsidR="00436299">
        <w:t>,</w:t>
      </w:r>
      <w:r w:rsidR="001B15E5">
        <w:t xml:space="preserve"> slow</w:t>
      </w:r>
      <w:r w:rsidR="00436299">
        <w:t xml:space="preserve"> the</w:t>
      </w:r>
      <w:r w:rsidR="009737D8">
        <w:t xml:space="preserve"> advancement of science</w:t>
      </w:r>
      <w:r w:rsidR="00436299">
        <w:t>, and hinder progress to improve human and animal</w:t>
      </w:r>
      <w:r w:rsidRPr="00436299" w:rsidR="00436299">
        <w:t xml:space="preserve"> </w:t>
      </w:r>
      <w:r w:rsidR="00436299">
        <w:t>health</w:t>
      </w:r>
      <w:r w:rsidR="009737D8">
        <w:t>.</w:t>
      </w:r>
    </w:p>
    <w:p w:rsidR="00732B98" w:rsidRPr="00D90BA2" w:rsidP="00D90BA2" w14:paraId="3F703E08" w14:textId="6558157E">
      <w:pPr>
        <w:pStyle w:val="Heading2"/>
        <w:tabs>
          <w:tab w:val="left" w:pos="720"/>
          <w:tab w:val="clear" w:pos="1152"/>
        </w:tabs>
        <w:spacing w:after="0" w:line="480" w:lineRule="auto"/>
        <w:ind w:left="0" w:firstLine="0"/>
        <w:rPr>
          <w:rFonts w:asciiTheme="minorHAnsi" w:hAnsiTheme="minorHAnsi"/>
          <w:szCs w:val="22"/>
        </w:rPr>
      </w:pPr>
      <w:bookmarkStart w:id="21" w:name="_Toc443881748"/>
      <w:bookmarkStart w:id="22" w:name="_Toc451592237"/>
      <w:bookmarkStart w:id="23" w:name="_Toc5610278"/>
      <w:bookmarkStart w:id="24" w:name="_Toc99178784"/>
      <w:r>
        <w:rPr>
          <w:rFonts w:asciiTheme="minorHAnsi" w:hAnsiTheme="minorHAnsi"/>
          <w:szCs w:val="22"/>
        </w:rPr>
        <w:t>A.7</w:t>
      </w:r>
      <w:r>
        <w:rPr>
          <w:rFonts w:asciiTheme="minorHAnsi" w:hAnsiTheme="minorHAnsi"/>
          <w:szCs w:val="22"/>
        </w:rPr>
        <w:tab/>
      </w:r>
      <w:r w:rsidRPr="00E35DD1" w:rsidR="00685B30">
        <w:rPr>
          <w:rFonts w:asciiTheme="minorHAnsi" w:hAnsiTheme="minorHAnsi"/>
          <w:szCs w:val="22"/>
        </w:rPr>
        <w:t xml:space="preserve">Special Circumstances Relating to the Guidelines of 5 </w:t>
      </w:r>
      <w:smartTag w:uri="urn:schemas-microsoft-com:office:smarttags" w:element="stockticker">
        <w:r w:rsidRPr="00E35DD1" w:rsidR="00685B30">
          <w:rPr>
            <w:rFonts w:asciiTheme="minorHAnsi" w:hAnsiTheme="minorHAnsi"/>
            <w:szCs w:val="22"/>
          </w:rPr>
          <w:t>CFR</w:t>
        </w:r>
      </w:smartTag>
      <w:r w:rsidRPr="00E35DD1" w:rsidR="00685B30">
        <w:rPr>
          <w:rFonts w:asciiTheme="minorHAnsi" w:hAnsiTheme="minorHAnsi"/>
          <w:szCs w:val="22"/>
        </w:rPr>
        <w:t xml:space="preserve"> 1320.5</w:t>
      </w:r>
      <w:bookmarkEnd w:id="21"/>
      <w:bookmarkEnd w:id="22"/>
      <w:bookmarkEnd w:id="23"/>
      <w:bookmarkEnd w:id="24"/>
    </w:p>
    <w:p w:rsidR="006551D5" w:rsidRPr="00E64E2C" w:rsidP="00D32AF6" w14:paraId="6744837F" w14:textId="29310D84">
      <w:pPr>
        <w:pStyle w:val="a"/>
        <w:tabs>
          <w:tab w:val="left" w:pos="720"/>
        </w:tabs>
        <w:spacing w:line="276" w:lineRule="auto"/>
        <w:ind w:left="0"/>
        <w:rPr>
          <w:rFonts w:asciiTheme="minorHAnsi" w:hAnsiTheme="minorHAnsi"/>
          <w:i/>
          <w:sz w:val="20"/>
          <w:szCs w:val="22"/>
        </w:rPr>
      </w:pPr>
      <w:r w:rsidRPr="00E64E2C">
        <w:rPr>
          <w:rFonts w:asciiTheme="minorHAnsi" w:hAnsiTheme="minorHAnsi"/>
          <w:sz w:val="22"/>
        </w:rPr>
        <w:t xml:space="preserve">Once the funding component </w:t>
      </w:r>
      <w:r w:rsidRPr="00E64E2C">
        <w:rPr>
          <w:rFonts w:asciiTheme="minorHAnsi" w:hAnsiTheme="minorHAnsi"/>
          <w:sz w:val="22"/>
        </w:rPr>
        <w:t xml:space="preserve">identifies that an award will be </w:t>
      </w:r>
      <w:r w:rsidR="00436299">
        <w:rPr>
          <w:rFonts w:asciiTheme="minorHAnsi" w:hAnsiTheme="minorHAnsi"/>
          <w:sz w:val="22"/>
        </w:rPr>
        <w:t>made</w:t>
      </w:r>
      <w:r w:rsidRPr="00E64E2C">
        <w:rPr>
          <w:rFonts w:asciiTheme="minorHAnsi" w:hAnsiTheme="minorHAnsi"/>
          <w:sz w:val="22"/>
        </w:rPr>
        <w:t xml:space="preserve">, the funding component will request </w:t>
      </w:r>
      <w:r w:rsidR="00702813">
        <w:rPr>
          <w:rFonts w:asciiTheme="minorHAnsi" w:hAnsiTheme="minorHAnsi"/>
          <w:sz w:val="22"/>
        </w:rPr>
        <w:t xml:space="preserve">that </w:t>
      </w:r>
      <w:r w:rsidRPr="00E64E2C">
        <w:rPr>
          <w:rFonts w:asciiTheme="minorHAnsi" w:hAnsiTheme="minorHAnsi"/>
          <w:sz w:val="22"/>
        </w:rPr>
        <w:t xml:space="preserve">OLAW negotiate an </w:t>
      </w:r>
      <w:r w:rsidR="004D41B5">
        <w:rPr>
          <w:rFonts w:asciiTheme="minorHAnsi" w:hAnsiTheme="minorHAnsi"/>
          <w:sz w:val="22"/>
        </w:rPr>
        <w:t>Assurance (</w:t>
      </w:r>
      <w:r w:rsidRPr="00E64E2C">
        <w:rPr>
          <w:rFonts w:asciiTheme="minorHAnsi" w:hAnsiTheme="minorHAnsi"/>
          <w:sz w:val="22"/>
        </w:rPr>
        <w:t>Interinstitutional</w:t>
      </w:r>
      <w:r w:rsidR="004D41B5">
        <w:rPr>
          <w:rFonts w:asciiTheme="minorHAnsi" w:hAnsiTheme="minorHAnsi"/>
          <w:sz w:val="22"/>
        </w:rPr>
        <w:t>,</w:t>
      </w:r>
      <w:r w:rsidRPr="00E64E2C">
        <w:rPr>
          <w:rFonts w:asciiTheme="minorHAnsi" w:hAnsiTheme="minorHAnsi"/>
          <w:sz w:val="22"/>
        </w:rPr>
        <w:t xml:space="preserve"> </w:t>
      </w:r>
      <w:r w:rsidRPr="00E64E2C" w:rsidR="004E45BA">
        <w:rPr>
          <w:rFonts w:asciiTheme="minorHAnsi" w:hAnsiTheme="minorHAnsi"/>
          <w:sz w:val="22"/>
        </w:rPr>
        <w:t>Foreign</w:t>
      </w:r>
      <w:r w:rsidR="004E45BA">
        <w:rPr>
          <w:rFonts w:asciiTheme="minorHAnsi" w:hAnsiTheme="minorHAnsi"/>
          <w:sz w:val="22"/>
        </w:rPr>
        <w:t>, or</w:t>
      </w:r>
      <w:r w:rsidRPr="00E64E2C" w:rsidR="004E45BA">
        <w:rPr>
          <w:rFonts w:asciiTheme="minorHAnsi" w:hAnsiTheme="minorHAnsi"/>
          <w:sz w:val="22"/>
        </w:rPr>
        <w:t xml:space="preserve"> </w:t>
      </w:r>
      <w:r w:rsidRPr="00E64E2C">
        <w:rPr>
          <w:rFonts w:asciiTheme="minorHAnsi" w:hAnsiTheme="minorHAnsi"/>
          <w:sz w:val="22"/>
        </w:rPr>
        <w:t>Domestic</w:t>
      </w:r>
      <w:r w:rsidR="004D41B5">
        <w:rPr>
          <w:rFonts w:asciiTheme="minorHAnsi" w:hAnsiTheme="minorHAnsi"/>
          <w:sz w:val="22"/>
        </w:rPr>
        <w:t>)</w:t>
      </w:r>
      <w:r w:rsidRPr="00E64E2C">
        <w:rPr>
          <w:rFonts w:asciiTheme="minorHAnsi" w:hAnsiTheme="minorHAnsi"/>
          <w:sz w:val="22"/>
        </w:rPr>
        <w:t xml:space="preserve"> if the institution(s) do not already </w:t>
      </w:r>
      <w:r w:rsidR="004D41B5">
        <w:rPr>
          <w:rFonts w:asciiTheme="minorHAnsi" w:hAnsiTheme="minorHAnsi"/>
          <w:sz w:val="22"/>
        </w:rPr>
        <w:t xml:space="preserve">have an </w:t>
      </w:r>
      <w:r w:rsidRPr="00E64E2C">
        <w:rPr>
          <w:rFonts w:asciiTheme="minorHAnsi" w:hAnsiTheme="minorHAnsi"/>
          <w:sz w:val="22"/>
        </w:rPr>
        <w:t xml:space="preserve">Assurance in place. Due to the timing of </w:t>
      </w:r>
      <w:r w:rsidR="00702813">
        <w:rPr>
          <w:rFonts w:asciiTheme="minorHAnsi" w:hAnsiTheme="minorHAnsi"/>
          <w:sz w:val="22"/>
        </w:rPr>
        <w:t xml:space="preserve">the award </w:t>
      </w:r>
      <w:r w:rsidRPr="00E64E2C">
        <w:rPr>
          <w:rFonts w:asciiTheme="minorHAnsi" w:hAnsiTheme="minorHAnsi"/>
          <w:sz w:val="22"/>
        </w:rPr>
        <w:t xml:space="preserve">process, an institution may submit their response to the request to negotiate an Assurance in fewer than 30 days </w:t>
      </w:r>
      <w:r w:rsidR="004D41B5">
        <w:rPr>
          <w:rFonts w:asciiTheme="minorHAnsi" w:hAnsiTheme="minorHAnsi"/>
          <w:sz w:val="22"/>
        </w:rPr>
        <w:t>from</w:t>
      </w:r>
      <w:r w:rsidRPr="00E64E2C">
        <w:rPr>
          <w:rFonts w:asciiTheme="minorHAnsi" w:hAnsiTheme="minorHAnsi"/>
          <w:sz w:val="22"/>
        </w:rPr>
        <w:t xml:space="preserve"> the initial request</w:t>
      </w:r>
      <w:r w:rsidR="00702813">
        <w:rPr>
          <w:rFonts w:asciiTheme="minorHAnsi" w:hAnsiTheme="minorHAnsi"/>
          <w:sz w:val="22"/>
        </w:rPr>
        <w:t xml:space="preserve">. However, there is no requirement that the </w:t>
      </w:r>
      <w:r w:rsidR="004E0EF5">
        <w:rPr>
          <w:rFonts w:asciiTheme="minorHAnsi" w:hAnsiTheme="minorHAnsi"/>
          <w:sz w:val="22"/>
        </w:rPr>
        <w:t>information be submitted within 30 days</w:t>
      </w:r>
      <w:r w:rsidRPr="00E64E2C">
        <w:rPr>
          <w:rFonts w:asciiTheme="minorHAnsi" w:hAnsiTheme="minorHAnsi"/>
          <w:sz w:val="22"/>
        </w:rPr>
        <w:t xml:space="preserve">. </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36208F" w:rsidP="007463B6" w14:paraId="42BE9D3A" w14:textId="388B1E24">
      <w:pPr>
        <w:pStyle w:val="P1-StandPara"/>
        <w:ind w:firstLine="0"/>
        <w:rPr>
          <w:rFonts w:asciiTheme="minorHAnsi" w:hAnsiTheme="minorHAnsi"/>
          <w:szCs w:val="22"/>
        </w:rPr>
      </w:pPr>
      <w:bookmarkStart w:id="25" w:name="_Toc443881749"/>
      <w:bookmarkStart w:id="26" w:name="_Toc451592238"/>
      <w:bookmarkStart w:id="27" w:name="_Toc5610279"/>
      <w:bookmarkStart w:id="28" w:name="_Toc99178785"/>
      <w:r w:rsidRPr="007463B6">
        <w:rPr>
          <w:rFonts w:asciiTheme="minorHAnsi" w:hAnsiTheme="minorHAnsi"/>
          <w:b/>
          <w:szCs w:val="22"/>
        </w:rPr>
        <w:t>A.8</w:t>
      </w:r>
      <w:r w:rsidR="00E71547">
        <w:rPr>
          <w:rFonts w:asciiTheme="minorHAnsi" w:hAnsiTheme="minorHAnsi"/>
          <w:b/>
          <w:szCs w:val="22"/>
        </w:rPr>
        <w:t>.1</w:t>
      </w:r>
      <w:r w:rsidRPr="007463B6">
        <w:rPr>
          <w:rFonts w:asciiTheme="minorHAnsi" w:hAnsiTheme="minorHAnsi"/>
          <w:b/>
          <w:szCs w:val="22"/>
        </w:rPr>
        <w:tab/>
        <w:t xml:space="preserve">Comments in Response to the Federal Register </w:t>
      </w:r>
      <w:r w:rsidRPr="00083A52">
        <w:rPr>
          <w:rFonts w:asciiTheme="minorHAnsi" w:hAnsiTheme="minorHAnsi"/>
          <w:b/>
          <w:szCs w:val="22"/>
        </w:rPr>
        <w:t>Notice</w:t>
      </w:r>
    </w:p>
    <w:p w:rsidR="00204495" w:rsidRPr="00AB13EC" w:rsidP="00685B30" w14:paraId="57A4BD6D" w14:textId="6A4D47DB">
      <w:bookmarkStart w:id="29" w:name="_Hlk17107395"/>
      <w:bookmarkEnd w:id="25"/>
      <w:bookmarkEnd w:id="26"/>
      <w:bookmarkEnd w:id="27"/>
      <w:bookmarkEnd w:id="28"/>
      <w:r w:rsidRPr="009978AD">
        <w:t xml:space="preserve">In accordance with 5 CFR 1320.8(d), a 60-day notice for public comment was published </w:t>
      </w:r>
      <w:r>
        <w:t>on December</w:t>
      </w:r>
      <w:r w:rsidRPr="00B850FB">
        <w:t xml:space="preserve"> 1</w:t>
      </w:r>
      <w:r>
        <w:t>5</w:t>
      </w:r>
      <w:r w:rsidRPr="00B850FB">
        <w:t>, 20</w:t>
      </w:r>
      <w:r>
        <w:t xml:space="preserve">22 </w:t>
      </w:r>
      <w:r w:rsidRPr="00B850FB">
        <w:t>Vol. 8</w:t>
      </w:r>
      <w:r>
        <w:t>7</w:t>
      </w:r>
      <w:r w:rsidRPr="00B850FB">
        <w:t xml:space="preserve">, No. </w:t>
      </w:r>
      <w:r>
        <w:t>240</w:t>
      </w:r>
      <w:r w:rsidRPr="00B850FB">
        <w:t xml:space="preserve"> </w:t>
      </w:r>
      <w:r>
        <w:t>page</w:t>
      </w:r>
      <w:r w:rsidR="009B4C41">
        <w:t>s</w:t>
      </w:r>
      <w:r>
        <w:t xml:space="preserve"> </w:t>
      </w:r>
      <w:r w:rsidR="009B4C41">
        <w:t>76631-76632</w:t>
      </w:r>
      <w:r>
        <w:t xml:space="preserve"> </w:t>
      </w:r>
      <w:r w:rsidRPr="009978AD">
        <w:t xml:space="preserve">in the </w:t>
      </w:r>
      <w:r w:rsidRPr="009978AD">
        <w:rPr>
          <w:i/>
          <w:iCs/>
        </w:rPr>
        <w:t>Federal Register</w:t>
      </w:r>
      <w:r w:rsidRPr="009978AD">
        <w:t>. There were no</w:t>
      </w:r>
      <w:r w:rsidRPr="009978AD">
        <w:t xml:space="preserve"> public comments received.</w:t>
      </w:r>
      <w:bookmarkEnd w:id="29"/>
    </w:p>
    <w:p w:rsidR="00E71547" w:rsidP="00685B30" w14:paraId="6633841D" w14:textId="3F845882">
      <w:pPr>
        <w:pStyle w:val="P1-StandPara"/>
        <w:ind w:firstLine="0"/>
        <w:rPr>
          <w:rFonts w:asciiTheme="minorHAnsi" w:hAnsiTheme="minorHAnsi"/>
          <w:b/>
          <w:szCs w:val="22"/>
        </w:rPr>
      </w:pPr>
      <w:r w:rsidRPr="007463B6">
        <w:rPr>
          <w:rFonts w:asciiTheme="minorHAnsi" w:hAnsiTheme="minorHAnsi"/>
          <w:b/>
          <w:szCs w:val="22"/>
        </w:rPr>
        <w:t>A.8</w:t>
      </w:r>
      <w:r>
        <w:rPr>
          <w:rFonts w:asciiTheme="minorHAnsi" w:hAnsiTheme="minorHAnsi"/>
          <w:b/>
          <w:szCs w:val="22"/>
        </w:rPr>
        <w:t>.2</w:t>
      </w:r>
      <w:r w:rsidRPr="007463B6">
        <w:rPr>
          <w:rFonts w:asciiTheme="minorHAnsi" w:hAnsiTheme="minorHAnsi"/>
          <w:b/>
          <w:szCs w:val="22"/>
        </w:rPr>
        <w:tab/>
      </w:r>
      <w:r>
        <w:rPr>
          <w:rFonts w:asciiTheme="minorHAnsi" w:hAnsiTheme="minorHAnsi"/>
          <w:b/>
          <w:szCs w:val="22"/>
        </w:rPr>
        <w:t>Efforts to Consult Outside Agency</w:t>
      </w:r>
    </w:p>
    <w:p w:rsidR="000561E0" w:rsidRPr="000561E0" w:rsidP="000561E0" w14:paraId="53445801" w14:textId="5757C8C6">
      <w:r>
        <w:t>Representatives from</w:t>
      </w:r>
      <w:r w:rsidR="007616C6">
        <w:t xml:space="preserve"> domestic and foreign</w:t>
      </w:r>
      <w:r>
        <w:t xml:space="preserve"> </w:t>
      </w:r>
      <w:r w:rsidR="00CD40F9">
        <w:t xml:space="preserve">large and small academic institutions, </w:t>
      </w:r>
      <w:r w:rsidR="007616C6">
        <w:t>contracting research organizations, and small companies</w:t>
      </w:r>
      <w:r w:rsidR="002B4415">
        <w:t xml:space="preserve"> were consulted</w:t>
      </w:r>
      <w:r w:rsidR="00A06476">
        <w:t xml:space="preserve"> regarding the</w:t>
      </w:r>
      <w:r w:rsidRPr="00A06476" w:rsidR="00A06476">
        <w:t xml:space="preserve"> frequency of collection, the clarity of instructions,</w:t>
      </w:r>
      <w:r w:rsidR="009E792A">
        <w:t xml:space="preserve"> </w:t>
      </w:r>
      <w:r w:rsidR="00B24558">
        <w:t xml:space="preserve">approximate duration to complete each document, </w:t>
      </w:r>
      <w:r w:rsidR="009E792A">
        <w:t>and</w:t>
      </w:r>
      <w:r w:rsidRPr="00A06476" w:rsidR="00A06476">
        <w:t xml:space="preserve"> format</w:t>
      </w:r>
      <w:r w:rsidR="00AD6B16">
        <w:t>.</w:t>
      </w:r>
      <w:r w:rsidR="007616C6">
        <w:t xml:space="preserve"> </w:t>
      </w:r>
      <w:r>
        <w:t>There are no circumstances that preclude consultation with representatives of those from whom information is to be obtained.</w:t>
      </w:r>
    </w:p>
    <w:p w:rsidR="00685B30" w:rsidRPr="00E35DD1" w:rsidP="00685B30" w14:paraId="06EE05E1" w14:textId="708CD77B">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 xml:space="preserve">Explanation </w:t>
      </w:r>
      <w:r w:rsidRPr="00E35DD1">
        <w:rPr>
          <w:rFonts w:asciiTheme="minorHAnsi" w:hAnsiTheme="minorHAnsi"/>
          <w:b/>
          <w:szCs w:val="22"/>
        </w:rPr>
        <w:t>of Any Payment of Gift to Respondents</w:t>
      </w:r>
    </w:p>
    <w:p w:rsidR="006728E2" w:rsidP="00685B30" w14:paraId="1C927EA7" w14:textId="6994CFFA">
      <w:pPr>
        <w:pStyle w:val="P1-StandPara"/>
        <w:ind w:firstLine="0"/>
        <w:rPr>
          <w:rFonts w:asciiTheme="minorHAnsi" w:eastAsiaTheme="minorHAnsi" w:hAnsiTheme="minorHAnsi" w:cstheme="minorBidi"/>
          <w:szCs w:val="22"/>
        </w:rPr>
      </w:pPr>
      <w:r w:rsidRPr="006728E2">
        <w:rPr>
          <w:rFonts w:asciiTheme="minorHAnsi" w:eastAsiaTheme="minorHAnsi" w:hAnsiTheme="minorHAnsi" w:cstheme="minorBidi"/>
          <w:szCs w:val="22"/>
        </w:rPr>
        <w:t xml:space="preserve">No payment or gifts are provided to respondents. </w:t>
      </w:r>
    </w:p>
    <w:p w:rsidR="007C127D" w:rsidRPr="00D90BA2" w:rsidP="00D90BA2" w14:paraId="07AD6DA6" w14:textId="7F3D6873">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6437E9" w:rsidRPr="004708E1" w:rsidP="006437E9" w14:paraId="6D8C7AEC" w14:textId="4ED4A969">
      <w:pPr>
        <w:pStyle w:val="P1-StandPara"/>
        <w:spacing w:line="276" w:lineRule="auto"/>
        <w:ind w:firstLine="0"/>
      </w:pPr>
      <w:r w:rsidRPr="00E64E2C">
        <w:rPr>
          <w:rFonts w:asciiTheme="minorHAnsi" w:hAnsiTheme="minorHAnsi"/>
          <w:szCs w:val="22"/>
        </w:rPr>
        <w:t xml:space="preserve">The information is private to the extent permitted by law. </w:t>
      </w:r>
      <w:r w:rsidRPr="006728E2">
        <w:rPr>
          <w:rFonts w:asciiTheme="minorHAnsi" w:hAnsiTheme="minorHAnsi"/>
          <w:szCs w:val="22"/>
        </w:rPr>
        <w:t xml:space="preserve">Personally </w:t>
      </w:r>
      <w:r>
        <w:rPr>
          <w:rFonts w:asciiTheme="minorHAnsi" w:hAnsiTheme="minorHAnsi"/>
          <w:szCs w:val="22"/>
        </w:rPr>
        <w:t>i</w:t>
      </w:r>
      <w:r w:rsidRPr="006728E2">
        <w:rPr>
          <w:rFonts w:asciiTheme="minorHAnsi" w:hAnsiTheme="minorHAnsi"/>
          <w:szCs w:val="22"/>
        </w:rPr>
        <w:t>dentifi</w:t>
      </w:r>
      <w:r>
        <w:rPr>
          <w:rFonts w:asciiTheme="minorHAnsi" w:hAnsiTheme="minorHAnsi"/>
          <w:szCs w:val="22"/>
        </w:rPr>
        <w:t>able</w:t>
      </w:r>
      <w:r w:rsidRPr="006728E2">
        <w:rPr>
          <w:rFonts w:asciiTheme="minorHAnsi" w:hAnsiTheme="minorHAnsi"/>
          <w:szCs w:val="22"/>
        </w:rPr>
        <w:t xml:space="preserve"> </w:t>
      </w:r>
      <w:r>
        <w:rPr>
          <w:rFonts w:asciiTheme="minorHAnsi" w:hAnsiTheme="minorHAnsi"/>
          <w:szCs w:val="22"/>
        </w:rPr>
        <w:t>i</w:t>
      </w:r>
      <w:r w:rsidRPr="006728E2">
        <w:rPr>
          <w:rFonts w:asciiTheme="minorHAnsi" w:hAnsiTheme="minorHAnsi"/>
          <w:szCs w:val="22"/>
        </w:rPr>
        <w:t xml:space="preserve">nformation </w:t>
      </w:r>
      <w:r>
        <w:rPr>
          <w:rFonts w:asciiTheme="minorHAnsi" w:hAnsiTheme="minorHAnsi"/>
          <w:szCs w:val="22"/>
        </w:rPr>
        <w:t xml:space="preserve">may consist of full name, email address, work address, telephone number, and name of workplace. </w:t>
      </w:r>
      <w:r w:rsidRPr="00E12F83">
        <w:rPr>
          <w:rFonts w:asciiTheme="minorHAnsi" w:hAnsiTheme="minorHAnsi"/>
          <w:szCs w:val="22"/>
        </w:rPr>
        <w:t xml:space="preserve">Information submitted to OLAW is accessible only to authorized OLAW staff and stored in a database system that requires PIV-card login and system </w:t>
      </w:r>
      <w:r w:rsidRPr="009C0C70">
        <w:rPr>
          <w:rFonts w:asciiTheme="minorHAnsi" w:hAnsiTheme="minorHAnsi"/>
          <w:szCs w:val="22"/>
        </w:rPr>
        <w:t>privileges. Th</w:t>
      </w:r>
      <w:r w:rsidRPr="009C0C70">
        <w:rPr>
          <w:rFonts w:asciiTheme="minorHAnsi" w:hAnsiTheme="minorHAnsi"/>
          <w:szCs w:val="22"/>
        </w:rPr>
        <w:t xml:space="preserve">e database system is for internal use within OLAW and only accessible to authorized OLAW staff and, when necessary, NIH information technology staff. </w:t>
      </w:r>
      <w:r w:rsidRPr="00727157">
        <w:rPr>
          <w:rFonts w:asciiTheme="minorHAnsi" w:hAnsiTheme="minorHAnsi"/>
          <w:szCs w:val="22"/>
          <w:highlight w:val="yellow"/>
        </w:rPr>
        <w:t>Hard copy documents are</w:t>
      </w:r>
      <w:r w:rsidRPr="00727157" w:rsidR="002169A2">
        <w:rPr>
          <w:rFonts w:asciiTheme="minorHAnsi" w:hAnsiTheme="minorHAnsi"/>
          <w:szCs w:val="22"/>
          <w:highlight w:val="yellow"/>
        </w:rPr>
        <w:t xml:space="preserve"> no longer stored in the</w:t>
      </w:r>
      <w:r w:rsidR="00727157">
        <w:rPr>
          <w:rFonts w:asciiTheme="minorHAnsi" w:hAnsiTheme="minorHAnsi"/>
          <w:szCs w:val="22"/>
          <w:highlight w:val="yellow"/>
        </w:rPr>
        <w:t xml:space="preserve"> secure, </w:t>
      </w:r>
      <w:r w:rsidR="00ED2FC7">
        <w:rPr>
          <w:rFonts w:asciiTheme="minorHAnsi" w:hAnsiTheme="minorHAnsi"/>
          <w:szCs w:val="22"/>
          <w:highlight w:val="yellow"/>
        </w:rPr>
        <w:t>card access</w:t>
      </w:r>
      <w:r w:rsidR="00727157">
        <w:rPr>
          <w:rFonts w:asciiTheme="minorHAnsi" w:hAnsiTheme="minorHAnsi"/>
          <w:szCs w:val="22"/>
          <w:highlight w:val="yellow"/>
        </w:rPr>
        <w:t xml:space="preserve"> file room in the</w:t>
      </w:r>
      <w:r w:rsidRPr="00727157" w:rsidR="002169A2">
        <w:rPr>
          <w:rFonts w:asciiTheme="minorHAnsi" w:hAnsiTheme="minorHAnsi"/>
          <w:szCs w:val="22"/>
          <w:highlight w:val="yellow"/>
        </w:rPr>
        <w:t xml:space="preserve"> OLAW office as we have </w:t>
      </w:r>
      <w:r w:rsidRPr="00727157" w:rsidR="00C54BB4">
        <w:rPr>
          <w:rFonts w:asciiTheme="minorHAnsi" w:hAnsiTheme="minorHAnsi"/>
          <w:szCs w:val="22"/>
          <w:highlight w:val="yellow"/>
        </w:rPr>
        <w:t xml:space="preserve">transitioned to </w:t>
      </w:r>
      <w:r w:rsidRPr="00727157" w:rsidR="00727157">
        <w:rPr>
          <w:rFonts w:asciiTheme="minorHAnsi" w:hAnsiTheme="minorHAnsi"/>
          <w:szCs w:val="22"/>
          <w:highlight w:val="yellow"/>
        </w:rPr>
        <w:t>electronic-only records.</w:t>
      </w:r>
    </w:p>
    <w:p w:rsidR="00E35DD1" w:rsidRPr="00E35DD1" w:rsidP="00E35DD1" w14:paraId="63CCC42F" w14:textId="77777777">
      <w:pPr>
        <w:pStyle w:val="P1-StandPara"/>
        <w:spacing w:line="240" w:lineRule="auto"/>
        <w:ind w:firstLine="0"/>
        <w:rPr>
          <w:rFonts w:asciiTheme="minorHAnsi" w:hAnsiTheme="minorHAnsi"/>
          <w:szCs w:val="22"/>
        </w:rPr>
      </w:pPr>
    </w:p>
    <w:p w:rsidR="00595C72" w:rsidRPr="00296D8E" w:rsidP="00296D8E" w14:paraId="68AB7129" w14:textId="3FD3C7D9">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296D8E" w:rsidP="00323CB1" w14:paraId="0894642D" w14:textId="18FECD6A">
      <w:pPr>
        <w:pStyle w:val="P1-StandPara"/>
        <w:spacing w:line="240" w:lineRule="auto"/>
        <w:ind w:firstLine="0"/>
        <w:rPr>
          <w:rFonts w:asciiTheme="minorHAnsi" w:hAnsiTheme="minorHAnsi"/>
          <w:szCs w:val="22"/>
        </w:rPr>
      </w:pPr>
      <w:r w:rsidRPr="00595C72">
        <w:rPr>
          <w:rFonts w:asciiTheme="minorHAnsi" w:hAnsiTheme="minorHAnsi"/>
          <w:szCs w:val="22"/>
        </w:rPr>
        <w:t>None of the information collection requi</w:t>
      </w:r>
      <w:r>
        <w:rPr>
          <w:rFonts w:asciiTheme="minorHAnsi" w:hAnsiTheme="minorHAnsi"/>
          <w:szCs w:val="22"/>
        </w:rPr>
        <w:t>r</w:t>
      </w:r>
      <w:r w:rsidRPr="00595C72">
        <w:rPr>
          <w:rFonts w:asciiTheme="minorHAnsi" w:hAnsiTheme="minorHAnsi"/>
          <w:szCs w:val="22"/>
        </w:rPr>
        <w:t>e</w:t>
      </w:r>
      <w:r>
        <w:rPr>
          <w:rFonts w:asciiTheme="minorHAnsi" w:hAnsiTheme="minorHAnsi"/>
          <w:szCs w:val="22"/>
        </w:rPr>
        <w:t>d</w:t>
      </w:r>
      <w:r w:rsidRPr="00595C72">
        <w:rPr>
          <w:rFonts w:asciiTheme="minorHAnsi" w:hAnsiTheme="minorHAnsi"/>
          <w:szCs w:val="22"/>
        </w:rPr>
        <w:t xml:space="preserve"> </w:t>
      </w:r>
      <w:r>
        <w:rPr>
          <w:rFonts w:asciiTheme="minorHAnsi" w:hAnsiTheme="minorHAnsi"/>
          <w:szCs w:val="22"/>
        </w:rPr>
        <w:t>by</w:t>
      </w:r>
      <w:r w:rsidRPr="00595C72">
        <w:rPr>
          <w:rFonts w:asciiTheme="minorHAnsi" w:hAnsiTheme="minorHAnsi"/>
          <w:szCs w:val="22"/>
        </w:rPr>
        <w:t xml:space="preserve"> the P</w:t>
      </w:r>
      <w:r>
        <w:rPr>
          <w:rFonts w:asciiTheme="minorHAnsi" w:hAnsiTheme="minorHAnsi"/>
          <w:szCs w:val="22"/>
        </w:rPr>
        <w:t>HS P</w:t>
      </w:r>
      <w:r w:rsidRPr="00595C72">
        <w:rPr>
          <w:rFonts w:asciiTheme="minorHAnsi" w:hAnsiTheme="minorHAnsi"/>
          <w:szCs w:val="22"/>
        </w:rPr>
        <w:t xml:space="preserve">olicy </w:t>
      </w:r>
      <w:r w:rsidR="00D026AE">
        <w:rPr>
          <w:rFonts w:asciiTheme="minorHAnsi" w:hAnsiTheme="minorHAnsi"/>
          <w:szCs w:val="22"/>
        </w:rPr>
        <w:t>is</w:t>
      </w:r>
      <w:r w:rsidRPr="00595C72">
        <w:rPr>
          <w:rFonts w:asciiTheme="minorHAnsi" w:hAnsiTheme="minorHAnsi"/>
          <w:szCs w:val="22"/>
        </w:rPr>
        <w:t xml:space="preserve"> of a sensitive nature. </w:t>
      </w: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85B30" w14:paraId="2470C97A" w14:textId="1111D3CE">
      <w:pPr>
        <w:rPr>
          <w:b/>
        </w:rPr>
      </w:pPr>
      <w:r w:rsidRPr="0046301F">
        <w:rPr>
          <w:b/>
        </w:rPr>
        <w:t>A.12</w:t>
      </w:r>
      <w:r w:rsidR="00C4497A">
        <w:rPr>
          <w:b/>
        </w:rPr>
        <w:t>.1</w:t>
      </w:r>
      <w:r w:rsidRPr="0046301F">
        <w:rPr>
          <w:b/>
        </w:rPr>
        <w:tab/>
        <w:t>Estimates of Hour Burden</w:t>
      </w:r>
      <w:r w:rsidR="00083A52">
        <w:rPr>
          <w:b/>
        </w:rPr>
        <w:t xml:space="preserve"> Including </w:t>
      </w:r>
      <w:r w:rsidRPr="0046301F" w:rsidR="00083A52">
        <w:rPr>
          <w:b/>
        </w:rPr>
        <w:t>Annual</w:t>
      </w:r>
      <w:r w:rsidR="00083A52">
        <w:rPr>
          <w:b/>
        </w:rPr>
        <w:t>ized</w:t>
      </w:r>
      <w:r w:rsidR="005F2664">
        <w:rPr>
          <w:b/>
        </w:rPr>
        <w:t xml:space="preserve"> Hourly</w:t>
      </w:r>
      <w:r w:rsidRPr="0046301F" w:rsidR="00083A52">
        <w:rPr>
          <w:b/>
        </w:rPr>
        <w:t xml:space="preserve"> Cost</w:t>
      </w:r>
      <w:r w:rsidR="00083A52">
        <w:rPr>
          <w:b/>
        </w:rPr>
        <w:t>s</w:t>
      </w:r>
    </w:p>
    <w:p w:rsidR="009A4969" w:rsidP="009A4969" w14:paraId="25F05C07" w14:textId="165A295A">
      <w:r>
        <w:t xml:space="preserve">The </w:t>
      </w:r>
      <w:r>
        <w:t>number of respondents is</w:t>
      </w:r>
      <w:r w:rsidR="003E3D5B">
        <w:t xml:space="preserve"> updated</w:t>
      </w:r>
      <w:r>
        <w:t xml:space="preserve"> based on </w:t>
      </w:r>
      <w:r w:rsidR="008848A2">
        <w:t xml:space="preserve">changes in the average number </w:t>
      </w:r>
      <w:r w:rsidR="00834D8D">
        <w:t xml:space="preserve">of </w:t>
      </w:r>
      <w:r>
        <w:t>annual Assurance counts.</w:t>
      </w:r>
      <w:r w:rsidR="00D609EC">
        <w:t xml:space="preserve"> </w:t>
      </w:r>
      <w:r>
        <w:t xml:space="preserve">The average number of hours for each of the rows is provided based on </w:t>
      </w:r>
      <w:r w:rsidR="00DF274C">
        <w:t xml:space="preserve">previous </w:t>
      </w:r>
      <w:r w:rsidR="008F62C1">
        <w:t xml:space="preserve">and projected </w:t>
      </w:r>
      <w:r>
        <w:t>estimate</w:t>
      </w:r>
      <w:r w:rsidR="008F62C1">
        <w:t>d time</w:t>
      </w:r>
      <w:r w:rsidRPr="00A776C5">
        <w:t xml:space="preserve"> for document completion</w:t>
      </w:r>
      <w:r>
        <w:t>.</w:t>
      </w:r>
    </w:p>
    <w:p w:rsidR="00442B5B" w:rsidP="0046301F" w14:paraId="69E5DE25" w14:textId="782C061F">
      <w:pPr>
        <w:jc w:val="center"/>
      </w:pPr>
      <w:r>
        <w:t xml:space="preserve">Table 12-1 </w:t>
      </w:r>
      <w: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
      <w:tblGrid>
        <w:gridCol w:w="2695"/>
        <w:gridCol w:w="1522"/>
        <w:gridCol w:w="1469"/>
        <w:gridCol w:w="1557"/>
        <w:gridCol w:w="1347"/>
        <w:gridCol w:w="1048"/>
      </w:tblGrid>
      <w:tr w14:paraId="3C63DB35" w14:textId="77777777" w:rsidTr="005A18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Ex>
        <w:trPr>
          <w:cantSplit/>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468A81B8" w14:textId="660CADB3">
            <w:pPr>
              <w:spacing w:after="0"/>
              <w:jc w:val="center"/>
              <w:rPr>
                <w:sz w:val="24"/>
                <w:szCs w:val="24"/>
              </w:rPr>
            </w:pPr>
            <w:r>
              <w:rPr>
                <w:sz w:val="24"/>
                <w:szCs w:val="24"/>
              </w:rPr>
              <w:t>Form Name</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4A9F5658" w14:textId="77777777">
            <w:pPr>
              <w:spacing w:after="0"/>
              <w:jc w:val="center"/>
              <w:rPr>
                <w:sz w:val="24"/>
                <w:szCs w:val="24"/>
              </w:rPr>
            </w:pPr>
            <w:r w:rsidRPr="00951840">
              <w:rPr>
                <w:sz w:val="24"/>
                <w:szCs w:val="24"/>
              </w:rPr>
              <w:t>Type of Respondents</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5DC05A63" w14:textId="77777777">
            <w:pPr>
              <w:spacing w:after="0"/>
              <w:jc w:val="center"/>
              <w:rPr>
                <w:sz w:val="24"/>
                <w:szCs w:val="24"/>
              </w:rPr>
            </w:pPr>
            <w:r w:rsidRPr="00951840">
              <w:rPr>
                <w:sz w:val="24"/>
                <w:szCs w:val="24"/>
              </w:rPr>
              <w:t>Number of Respondents</w:t>
            </w:r>
          </w:p>
        </w:tc>
        <w:tc>
          <w:tcPr>
            <w:tcW w:w="0" w:type="auto"/>
            <w:tcBorders>
              <w:top w:val="single" w:sz="4" w:space="0" w:color="auto"/>
              <w:left w:val="single" w:sz="4" w:space="0" w:color="auto"/>
              <w:bottom w:val="single" w:sz="4" w:space="0" w:color="auto"/>
              <w:right w:val="single" w:sz="4" w:space="0" w:color="auto"/>
            </w:tcBorders>
            <w:vAlign w:val="center"/>
          </w:tcPr>
          <w:p w:rsidR="00323CB1" w:rsidRPr="00951840" w:rsidP="00323CB1" w14:paraId="375881CD" w14:textId="77777777">
            <w:pPr>
              <w:spacing w:after="0"/>
              <w:jc w:val="center"/>
              <w:rPr>
                <w:sz w:val="24"/>
                <w:szCs w:val="24"/>
              </w:rPr>
            </w:pPr>
            <w:r>
              <w:rPr>
                <w:sz w:val="24"/>
                <w:szCs w:val="24"/>
              </w:rPr>
              <w:t xml:space="preserve">Number of Responses </w:t>
            </w:r>
            <w:r w:rsidRPr="00951840">
              <w:rPr>
                <w:sz w:val="24"/>
                <w:szCs w:val="24"/>
              </w:rPr>
              <w:t>Per Respon</w:t>
            </w:r>
            <w:r>
              <w:rPr>
                <w:sz w:val="24"/>
                <w:szCs w:val="24"/>
              </w:rPr>
              <w:t>dent</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59785649" w14:textId="77777777">
            <w:pPr>
              <w:spacing w:after="0"/>
              <w:jc w:val="center"/>
              <w:rPr>
                <w:sz w:val="24"/>
                <w:szCs w:val="24"/>
              </w:rPr>
            </w:pPr>
            <w:r w:rsidRPr="00951840">
              <w:rPr>
                <w:sz w:val="24"/>
                <w:szCs w:val="24"/>
              </w:rPr>
              <w:t>Average Burden Per Response (in hours)</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78930CED" w14:textId="70917E59">
            <w:pPr>
              <w:spacing w:after="0"/>
              <w:jc w:val="center"/>
              <w:rPr>
                <w:sz w:val="24"/>
                <w:szCs w:val="24"/>
              </w:rPr>
            </w:pPr>
            <w:r>
              <w:rPr>
                <w:sz w:val="24"/>
                <w:szCs w:val="24"/>
              </w:rPr>
              <w:t xml:space="preserve">Total </w:t>
            </w:r>
            <w:r w:rsidRPr="00951840">
              <w:rPr>
                <w:sz w:val="24"/>
                <w:szCs w:val="24"/>
              </w:rPr>
              <w:t>Annual Burden Hours</w:t>
            </w:r>
          </w:p>
        </w:tc>
      </w:tr>
      <w:tr w14:paraId="2106A4DB" w14:textId="77777777" w:rsidTr="00D36614">
        <w:tblPrEx>
          <w:tblW w:w="0" w:type="auto"/>
          <w:tblCellMar>
            <w:left w:w="100" w:type="dxa"/>
            <w:right w:w="100" w:type="dxa"/>
          </w:tblCellMar>
          <w:tblLook w:val="0000"/>
        </w:tblPrEx>
        <w:trPr>
          <w:cantSplit/>
          <w:trHeight w:val="314"/>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013E197E" w14:textId="3EFAAB82">
            <w:pPr>
              <w:spacing w:after="0"/>
              <w:jc w:val="center"/>
              <w:rPr>
                <w:sz w:val="24"/>
                <w:szCs w:val="24"/>
              </w:rPr>
            </w:pPr>
            <w:r w:rsidRPr="00951840">
              <w:rPr>
                <w:sz w:val="24"/>
                <w:szCs w:val="24"/>
              </w:rPr>
              <w:t>Domestic Assurance</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P="00D36614" w14:paraId="4664975E" w14:textId="36B80B46">
            <w:pPr>
              <w:spacing w:after="0"/>
              <w:jc w:val="center"/>
              <w:rPr>
                <w:sz w:val="24"/>
                <w:szCs w:val="24"/>
              </w:rPr>
            </w:pPr>
            <w:r w:rsidRPr="00951840">
              <w:rPr>
                <w:sz w:val="24"/>
                <w:szCs w:val="24"/>
              </w:rPr>
              <w:t>Renewal</w:t>
            </w:r>
            <w:r w:rsidR="0036526A">
              <w:rPr>
                <w:sz w:val="24"/>
                <w:szCs w:val="24"/>
              </w:rPr>
              <w:t xml:space="preserve"> and New</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00554C" w:rsidP="00D36614" w14:paraId="1C0FCB84" w14:textId="71EB0B77">
            <w:pPr>
              <w:spacing w:after="0"/>
              <w:jc w:val="center"/>
              <w:rPr>
                <w:sz w:val="24"/>
                <w:szCs w:val="24"/>
                <w:highlight w:val="yellow"/>
              </w:rPr>
            </w:pPr>
            <w:r w:rsidRPr="00AF10FF">
              <w:rPr>
                <w:sz w:val="24"/>
                <w:szCs w:val="24"/>
                <w:highlight w:val="yellow"/>
              </w:rPr>
              <w:t>2</w:t>
            </w:r>
            <w:r w:rsidR="0036526A">
              <w:rPr>
                <w:sz w:val="24"/>
                <w:szCs w:val="24"/>
                <w:highlight w:val="yellow"/>
              </w:rPr>
              <w:t>3</w:t>
            </w:r>
            <w:r w:rsidRPr="00AF10FF">
              <w:rPr>
                <w:sz w:val="24"/>
                <w:szCs w:val="24"/>
                <w:highlight w:val="yellow"/>
              </w:rPr>
              <w:t>5</w:t>
            </w:r>
          </w:p>
        </w:tc>
        <w:tc>
          <w:tcPr>
            <w:tcW w:w="0" w:type="auto"/>
            <w:tcBorders>
              <w:top w:val="single" w:sz="4" w:space="0" w:color="auto"/>
              <w:left w:val="single" w:sz="4" w:space="0" w:color="auto"/>
              <w:bottom w:val="single" w:sz="4" w:space="0" w:color="auto"/>
              <w:right w:val="single" w:sz="4" w:space="0" w:color="auto"/>
            </w:tcBorders>
            <w:vAlign w:val="center"/>
          </w:tcPr>
          <w:p w:rsidR="00D36614" w:rsidRPr="00951840" w:rsidP="00D36614" w14:paraId="24FF4825" w14:textId="7839F686">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707F67F7" w14:textId="15A9731C">
            <w:pPr>
              <w:spacing w:after="0"/>
              <w:jc w:val="center"/>
              <w:rPr>
                <w:sz w:val="24"/>
                <w:szCs w:val="24"/>
              </w:rPr>
            </w:pPr>
            <w:r>
              <w:rPr>
                <w:sz w:val="24"/>
                <w:szCs w:val="24"/>
              </w:rPr>
              <w:t>30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AF10FF" w:rsidP="00D36614" w14:paraId="62C4553B" w14:textId="54149224">
            <w:pPr>
              <w:spacing w:after="0"/>
              <w:jc w:val="center"/>
              <w:rPr>
                <w:sz w:val="24"/>
                <w:szCs w:val="24"/>
                <w:highlight w:val="yellow"/>
              </w:rPr>
            </w:pPr>
            <w:r>
              <w:rPr>
                <w:sz w:val="24"/>
                <w:szCs w:val="24"/>
                <w:highlight w:val="yellow"/>
              </w:rPr>
              <w:t>7</w:t>
            </w:r>
            <w:r w:rsidRPr="00AF10FF">
              <w:rPr>
                <w:sz w:val="24"/>
                <w:szCs w:val="24"/>
                <w:highlight w:val="yellow"/>
              </w:rPr>
              <w:t>,</w:t>
            </w:r>
            <w:r>
              <w:rPr>
                <w:sz w:val="24"/>
                <w:szCs w:val="24"/>
                <w:highlight w:val="yellow"/>
              </w:rPr>
              <w:t>0</w:t>
            </w:r>
            <w:r w:rsidRPr="00AF10FF">
              <w:rPr>
                <w:sz w:val="24"/>
                <w:szCs w:val="24"/>
                <w:highlight w:val="yellow"/>
              </w:rPr>
              <w:t>50</w:t>
            </w:r>
          </w:p>
        </w:tc>
      </w:tr>
      <w:tr w14:paraId="3C01485D" w14:textId="77777777" w:rsidTr="00D36614">
        <w:tblPrEx>
          <w:tblW w:w="0" w:type="auto"/>
          <w:tblCellMar>
            <w:left w:w="100" w:type="dxa"/>
            <w:right w:w="100" w:type="dxa"/>
          </w:tblCellMar>
          <w:tblLook w:val="0000"/>
        </w:tblPrEx>
        <w:trPr>
          <w:cantSplit/>
          <w:trHeight w:val="323"/>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57EFCAE0" w14:textId="2DE38AFC">
            <w:pPr>
              <w:spacing w:after="0"/>
              <w:jc w:val="center"/>
              <w:rPr>
                <w:sz w:val="24"/>
                <w:szCs w:val="24"/>
              </w:rPr>
            </w:pPr>
            <w:r>
              <w:rPr>
                <w:sz w:val="24"/>
                <w:szCs w:val="24"/>
              </w:rPr>
              <w:t xml:space="preserve">Domestic </w:t>
            </w:r>
            <w:r w:rsidRPr="00951840">
              <w:rPr>
                <w:sz w:val="24"/>
                <w:szCs w:val="24"/>
              </w:rPr>
              <w:t>Annual Report</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P="00D36614" w14:paraId="2546E74B" w14:textId="0D57B8CC">
            <w:pPr>
              <w:spacing w:after="0"/>
              <w:jc w:val="center"/>
              <w:rPr>
                <w:sz w:val="24"/>
                <w:szCs w:val="24"/>
              </w:rPr>
            </w:pPr>
            <w:r w:rsidRPr="00951840">
              <w:rPr>
                <w:sz w:val="24"/>
                <w:szCs w:val="24"/>
              </w:rPr>
              <w:t>All Domestic</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00554C" w:rsidP="00D36614" w14:paraId="2C23DBA6" w14:textId="79591604">
            <w:pPr>
              <w:spacing w:after="0"/>
              <w:jc w:val="center"/>
              <w:rPr>
                <w:sz w:val="24"/>
                <w:szCs w:val="24"/>
                <w:highlight w:val="yellow"/>
              </w:rPr>
            </w:pPr>
            <w:r w:rsidRPr="00C31B8E">
              <w:rPr>
                <w:sz w:val="24"/>
                <w:szCs w:val="24"/>
                <w:highlight w:val="yellow"/>
              </w:rPr>
              <w:t>890</w:t>
            </w:r>
          </w:p>
        </w:tc>
        <w:tc>
          <w:tcPr>
            <w:tcW w:w="0" w:type="auto"/>
            <w:tcBorders>
              <w:top w:val="single" w:sz="4" w:space="0" w:color="auto"/>
              <w:left w:val="single" w:sz="4" w:space="0" w:color="auto"/>
              <w:bottom w:val="single" w:sz="4" w:space="0" w:color="auto"/>
              <w:right w:val="single" w:sz="4" w:space="0" w:color="auto"/>
            </w:tcBorders>
            <w:vAlign w:val="center"/>
          </w:tcPr>
          <w:p w:rsidR="00D36614" w:rsidRPr="00951840" w:rsidP="00D36614" w14:paraId="76AE3A01" w14:textId="69AE8239">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14F43C3D" w14:textId="66C6BEC3">
            <w:pPr>
              <w:spacing w:after="0"/>
              <w:jc w:val="center"/>
              <w:rPr>
                <w:sz w:val="24"/>
                <w:szCs w:val="24"/>
              </w:rPr>
            </w:pPr>
            <w:r w:rsidRPr="00951840">
              <w:rPr>
                <w:sz w:val="24"/>
                <w:szCs w:val="24"/>
              </w:rPr>
              <w:t>90/60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AF10FF" w:rsidP="00D36614" w14:paraId="78B7BE02" w14:textId="71913AEB">
            <w:pPr>
              <w:spacing w:after="0"/>
              <w:jc w:val="center"/>
              <w:rPr>
                <w:sz w:val="24"/>
                <w:szCs w:val="24"/>
                <w:highlight w:val="yellow"/>
              </w:rPr>
            </w:pPr>
            <w:r w:rsidRPr="00C31B8E">
              <w:rPr>
                <w:sz w:val="24"/>
                <w:szCs w:val="24"/>
                <w:highlight w:val="yellow"/>
              </w:rPr>
              <w:t>1,</w:t>
            </w:r>
            <w:r>
              <w:rPr>
                <w:sz w:val="24"/>
                <w:szCs w:val="24"/>
                <w:highlight w:val="yellow"/>
              </w:rPr>
              <w:t>335</w:t>
            </w:r>
          </w:p>
        </w:tc>
      </w:tr>
      <w:tr w14:paraId="622AAF14" w14:textId="77777777" w:rsidTr="005A1887">
        <w:tblPrEx>
          <w:tblW w:w="0" w:type="auto"/>
          <w:tblCellMar>
            <w:left w:w="100" w:type="dxa"/>
            <w:right w:w="100" w:type="dxa"/>
          </w:tblCellMar>
          <w:tblLook w:val="0000"/>
        </w:tblPrEx>
        <w:trPr>
          <w:cantSplit/>
          <w:trHeight w:val="737"/>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1841F885" w14:textId="6781E230">
            <w:pPr>
              <w:spacing w:after="0"/>
              <w:jc w:val="center"/>
              <w:rPr>
                <w:sz w:val="24"/>
                <w:szCs w:val="24"/>
              </w:rPr>
            </w:pPr>
            <w:r w:rsidRPr="00951840">
              <w:rPr>
                <w:sz w:val="24"/>
                <w:szCs w:val="24"/>
              </w:rPr>
              <w:t>Foreign Assurance</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P="00D36614" w14:paraId="35E7CCE6" w14:textId="7CCF3E73">
            <w:pPr>
              <w:spacing w:after="0"/>
              <w:jc w:val="center"/>
              <w:rPr>
                <w:sz w:val="24"/>
                <w:szCs w:val="24"/>
              </w:rPr>
            </w:pPr>
            <w:r w:rsidRPr="00951840">
              <w:rPr>
                <w:sz w:val="24"/>
                <w:szCs w:val="24"/>
              </w:rPr>
              <w:t>Renewal and New</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00554C" w:rsidP="00D36614" w14:paraId="18AC7171" w14:textId="359BBB03">
            <w:pPr>
              <w:spacing w:after="0"/>
              <w:jc w:val="center"/>
              <w:rPr>
                <w:sz w:val="24"/>
                <w:szCs w:val="24"/>
                <w:highlight w:val="yellow"/>
              </w:rPr>
            </w:pPr>
            <w:r w:rsidRPr="0000554C">
              <w:rPr>
                <w:sz w:val="24"/>
                <w:szCs w:val="24"/>
                <w:highlight w:val="yellow"/>
              </w:rPr>
              <w:t>67</w:t>
            </w:r>
          </w:p>
        </w:tc>
        <w:tc>
          <w:tcPr>
            <w:tcW w:w="0" w:type="auto"/>
            <w:tcBorders>
              <w:top w:val="single" w:sz="4" w:space="0" w:color="auto"/>
              <w:left w:val="single" w:sz="4" w:space="0" w:color="auto"/>
              <w:bottom w:val="single" w:sz="4" w:space="0" w:color="auto"/>
              <w:right w:val="single" w:sz="4" w:space="0" w:color="auto"/>
            </w:tcBorders>
            <w:vAlign w:val="center"/>
          </w:tcPr>
          <w:p w:rsidR="00D36614" w:rsidRPr="00951840" w:rsidP="00D36614" w14:paraId="2A88C662" w14:textId="32623809">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5C2F5845" w14:textId="7D0C71DB">
            <w:pPr>
              <w:spacing w:after="0"/>
              <w:jc w:val="center"/>
              <w:rPr>
                <w:sz w:val="24"/>
                <w:szCs w:val="24"/>
              </w:rPr>
            </w:pPr>
            <w:r w:rsidRPr="009B7DBF">
              <w:rPr>
                <w:sz w:val="24"/>
                <w:szCs w:val="24"/>
                <w:highlight w:val="yellow"/>
              </w:rPr>
              <w:t>90/60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AF10FF" w:rsidP="00D36614" w14:paraId="1F5A3186" w14:textId="6178CE6D">
            <w:pPr>
              <w:spacing w:after="0"/>
              <w:jc w:val="center"/>
              <w:rPr>
                <w:sz w:val="24"/>
                <w:szCs w:val="24"/>
                <w:highlight w:val="yellow"/>
              </w:rPr>
            </w:pPr>
            <w:r>
              <w:rPr>
                <w:sz w:val="24"/>
                <w:szCs w:val="24"/>
                <w:highlight w:val="yellow"/>
              </w:rPr>
              <w:t>101</w:t>
            </w:r>
          </w:p>
        </w:tc>
      </w:tr>
      <w:tr w14:paraId="39FCBB3B" w14:textId="77777777" w:rsidTr="00D36614">
        <w:tblPrEx>
          <w:tblW w:w="0" w:type="auto"/>
          <w:tblCellMar>
            <w:left w:w="100" w:type="dxa"/>
            <w:right w:w="100" w:type="dxa"/>
          </w:tblCellMar>
          <w:tblLook w:val="0000"/>
        </w:tblPrEx>
        <w:trPr>
          <w:cantSplit/>
          <w:trHeight w:val="467"/>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085585A2" w14:textId="72940CC7">
            <w:pPr>
              <w:spacing w:after="0"/>
              <w:jc w:val="center"/>
              <w:rPr>
                <w:sz w:val="24"/>
                <w:szCs w:val="24"/>
              </w:rPr>
            </w:pPr>
            <w:r w:rsidRPr="00DF274C">
              <w:rPr>
                <w:sz w:val="24"/>
                <w:szCs w:val="24"/>
                <w:highlight w:val="yellow"/>
              </w:rPr>
              <w:t>Foreign Annual Report</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P="00D36614" w14:paraId="53F45FC8" w14:textId="34BB1EB0">
            <w:pPr>
              <w:spacing w:after="0"/>
              <w:jc w:val="center"/>
              <w:rPr>
                <w:sz w:val="24"/>
                <w:szCs w:val="24"/>
              </w:rPr>
            </w:pPr>
            <w:r w:rsidRPr="00DF274C">
              <w:rPr>
                <w:sz w:val="24"/>
                <w:szCs w:val="24"/>
                <w:highlight w:val="yellow"/>
              </w:rPr>
              <w:t>All Foreign</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00554C" w:rsidP="00D36614" w14:paraId="610B63E1" w14:textId="09950B1A">
            <w:pPr>
              <w:spacing w:after="0"/>
              <w:jc w:val="center"/>
              <w:rPr>
                <w:sz w:val="24"/>
                <w:szCs w:val="24"/>
                <w:highlight w:val="yellow"/>
              </w:rPr>
            </w:pPr>
            <w:r w:rsidRPr="00DF274C">
              <w:rPr>
                <w:sz w:val="24"/>
                <w:szCs w:val="24"/>
                <w:highlight w:val="yellow"/>
              </w:rPr>
              <w:t>335</w:t>
            </w:r>
          </w:p>
        </w:tc>
        <w:tc>
          <w:tcPr>
            <w:tcW w:w="0" w:type="auto"/>
            <w:tcBorders>
              <w:top w:val="single" w:sz="4" w:space="0" w:color="auto"/>
              <w:left w:val="single" w:sz="4" w:space="0" w:color="auto"/>
              <w:bottom w:val="single" w:sz="4" w:space="0" w:color="auto"/>
              <w:right w:val="single" w:sz="4" w:space="0" w:color="auto"/>
            </w:tcBorders>
            <w:vAlign w:val="center"/>
          </w:tcPr>
          <w:p w:rsidR="00D36614" w:rsidRPr="00951840" w:rsidP="00D36614" w14:paraId="0D03A1FB" w14:textId="35D78AA9">
            <w:pPr>
              <w:spacing w:after="0"/>
              <w:jc w:val="center"/>
              <w:rPr>
                <w:sz w:val="24"/>
                <w:szCs w:val="24"/>
              </w:rPr>
            </w:pPr>
            <w:r w:rsidRPr="00DF274C">
              <w:rPr>
                <w:sz w:val="24"/>
                <w:szCs w:val="24"/>
                <w:highlight w:val="yellow"/>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951840" w:rsidP="00D36614" w14:paraId="5F69DB98" w14:textId="28EF414C">
            <w:pPr>
              <w:spacing w:after="0"/>
              <w:jc w:val="center"/>
              <w:rPr>
                <w:sz w:val="24"/>
                <w:szCs w:val="24"/>
              </w:rPr>
            </w:pPr>
            <w:r w:rsidRPr="00DF274C">
              <w:rPr>
                <w:sz w:val="24"/>
                <w:szCs w:val="24"/>
                <w:highlight w:val="yellow"/>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D36614" w:rsidRPr="00AF10FF" w:rsidP="00D36614" w14:paraId="7B1A4602" w14:textId="7DA8DA85">
            <w:pPr>
              <w:spacing w:after="0"/>
              <w:jc w:val="center"/>
              <w:rPr>
                <w:sz w:val="24"/>
                <w:szCs w:val="24"/>
                <w:highlight w:val="yellow"/>
              </w:rPr>
            </w:pPr>
            <w:r w:rsidRPr="00AF10FF">
              <w:rPr>
                <w:sz w:val="24"/>
                <w:szCs w:val="24"/>
                <w:highlight w:val="yellow"/>
              </w:rPr>
              <w:t>335</w:t>
            </w:r>
          </w:p>
        </w:tc>
      </w:tr>
      <w:tr w14:paraId="68A6FB86" w14:textId="77777777" w:rsidTr="005A1887">
        <w:tblPrEx>
          <w:tblW w:w="0" w:type="auto"/>
          <w:tblCellMar>
            <w:left w:w="100" w:type="dxa"/>
            <w:right w:w="100" w:type="dxa"/>
          </w:tblCellMar>
          <w:tblLook w:val="0000"/>
        </w:tblPrEx>
        <w:trPr>
          <w:cantSplit/>
          <w:trHeight w:val="737"/>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14D4E136" w14:textId="18014ED2">
            <w:pPr>
              <w:spacing w:after="0"/>
              <w:jc w:val="center"/>
              <w:rPr>
                <w:sz w:val="24"/>
                <w:szCs w:val="24"/>
              </w:rPr>
            </w:pPr>
            <w:r w:rsidRPr="00951840">
              <w:rPr>
                <w:sz w:val="24"/>
                <w:szCs w:val="24"/>
              </w:rPr>
              <w:t>Interinstitutional Assurance</w:t>
            </w:r>
            <w:r w:rsidR="006F3E11">
              <w:rPr>
                <w:sz w:val="24"/>
                <w:szCs w:val="24"/>
              </w:rPr>
              <w:t xml:space="preserve"> </w:t>
            </w:r>
            <w:r w:rsidRPr="006F3E11" w:rsidR="006F3E11">
              <w:rPr>
                <w:sz w:val="24"/>
                <w:szCs w:val="24"/>
              </w:rPr>
              <w:t>for Foreign Performance Site</w:t>
            </w:r>
            <w:r w:rsidR="0000554C">
              <w:rPr>
                <w:sz w:val="24"/>
                <w:szCs w:val="24"/>
              </w:rPr>
              <w:t xml:space="preserve"> </w:t>
            </w:r>
            <w:r w:rsidRPr="00434C88" w:rsidR="0000554C">
              <w:rPr>
                <w:rFonts w:eastAsia="Times New Roman" w:cstheme="minorHAnsi"/>
                <w:sz w:val="24"/>
                <w:szCs w:val="24"/>
                <w:highlight w:val="yellow"/>
              </w:rPr>
              <w:t>or Interinstitutional Assurance Tr</w:t>
            </w:r>
            <w:r w:rsidRPr="003F2683" w:rsidR="0000554C">
              <w:rPr>
                <w:rFonts w:eastAsia="Times New Roman" w:cstheme="minorHAnsi"/>
                <w:sz w:val="24"/>
                <w:szCs w:val="24"/>
                <w:highlight w:val="yellow"/>
              </w:rPr>
              <w:t>i</w:t>
            </w:r>
            <w:r w:rsidRPr="003F2683" w:rsidR="006F3E11">
              <w:rPr>
                <w:rFonts w:eastAsia="Times New Roman" w:cstheme="minorHAnsi"/>
                <w:sz w:val="24"/>
                <w:szCs w:val="24"/>
                <w:highlight w:val="yellow"/>
              </w:rPr>
              <w:t>ad f</w:t>
            </w:r>
            <w:r w:rsidRPr="006F3E11" w:rsidR="006F3E11">
              <w:rPr>
                <w:rFonts w:eastAsia="Times New Roman" w:cstheme="minorHAnsi"/>
                <w:sz w:val="24"/>
                <w:szCs w:val="24"/>
                <w:highlight w:val="yellow"/>
              </w:rPr>
              <w:t>or Foreign Performance Site</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45D083AC" w14:textId="77777777">
            <w:pPr>
              <w:spacing w:after="0"/>
              <w:jc w:val="center"/>
              <w:rPr>
                <w:sz w:val="24"/>
                <w:szCs w:val="24"/>
              </w:rPr>
            </w:pPr>
            <w:r>
              <w:rPr>
                <w:sz w:val="24"/>
                <w:szCs w:val="24"/>
              </w:rPr>
              <w:t>Foreign</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00554C" w:rsidP="00323CB1" w14:paraId="6B583A05" w14:textId="41B27D3D">
            <w:pPr>
              <w:spacing w:after="0"/>
              <w:jc w:val="center"/>
              <w:rPr>
                <w:sz w:val="24"/>
                <w:szCs w:val="24"/>
                <w:highlight w:val="yellow"/>
              </w:rPr>
            </w:pPr>
            <w:r w:rsidRPr="0000554C">
              <w:rPr>
                <w:sz w:val="24"/>
                <w:szCs w:val="24"/>
                <w:highlight w:val="yellow"/>
              </w:rPr>
              <w:t>4</w:t>
            </w:r>
            <w:r w:rsidRPr="0000554C" w:rsidR="0036649D">
              <w:rPr>
                <w:sz w:val="24"/>
                <w:szCs w:val="24"/>
                <w:highlight w:val="yellow"/>
              </w:rPr>
              <w:t>6</w:t>
            </w:r>
          </w:p>
        </w:tc>
        <w:tc>
          <w:tcPr>
            <w:tcW w:w="0" w:type="auto"/>
            <w:tcBorders>
              <w:top w:val="single" w:sz="4" w:space="0" w:color="auto"/>
              <w:left w:val="single" w:sz="4" w:space="0" w:color="auto"/>
              <w:bottom w:val="single" w:sz="4" w:space="0" w:color="auto"/>
              <w:right w:val="single" w:sz="4" w:space="0" w:color="auto"/>
            </w:tcBorders>
            <w:vAlign w:val="center"/>
          </w:tcPr>
          <w:p w:rsidR="00323CB1" w:rsidRPr="00951840" w:rsidP="00323CB1" w14:paraId="32B6B82B" w14:textId="77777777">
            <w:pPr>
              <w:spacing w:after="0"/>
              <w:jc w:val="center"/>
              <w:rPr>
                <w:sz w:val="24"/>
                <w:szCs w:val="24"/>
              </w:rPr>
            </w:pPr>
            <w:r w:rsidRPr="00951840">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26C42842" w14:textId="77777777">
            <w:pPr>
              <w:spacing w:after="0"/>
              <w:jc w:val="center"/>
              <w:rPr>
                <w:sz w:val="24"/>
                <w:szCs w:val="24"/>
              </w:rPr>
            </w:pPr>
            <w:r w:rsidRPr="00951840">
              <w:rPr>
                <w:sz w:val="24"/>
                <w:szCs w:val="24"/>
              </w:rPr>
              <w:t>30/60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AF10FF" w:rsidP="00323CB1" w14:paraId="4E492F43" w14:textId="53E08009">
            <w:pPr>
              <w:spacing w:after="0"/>
              <w:jc w:val="center"/>
              <w:rPr>
                <w:sz w:val="24"/>
                <w:szCs w:val="24"/>
                <w:highlight w:val="yellow"/>
              </w:rPr>
            </w:pPr>
            <w:r w:rsidRPr="00AF10FF">
              <w:rPr>
                <w:sz w:val="24"/>
                <w:szCs w:val="24"/>
                <w:highlight w:val="yellow"/>
              </w:rPr>
              <w:t>2</w:t>
            </w:r>
            <w:r w:rsidRPr="00AF10FF" w:rsidR="0036649D">
              <w:rPr>
                <w:sz w:val="24"/>
                <w:szCs w:val="24"/>
                <w:highlight w:val="yellow"/>
              </w:rPr>
              <w:t>3</w:t>
            </w:r>
          </w:p>
        </w:tc>
      </w:tr>
      <w:tr w14:paraId="5ABD3D9C" w14:textId="77777777" w:rsidTr="005A1887">
        <w:tblPrEx>
          <w:tblW w:w="0" w:type="auto"/>
          <w:tblCellMar>
            <w:left w:w="100" w:type="dxa"/>
            <w:right w:w="100" w:type="dxa"/>
          </w:tblCellMar>
          <w:tblLook w:val="0000"/>
        </w:tblPrEx>
        <w:trPr>
          <w:cantSplit/>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690C29E1" w14:textId="1E3E24B5">
            <w:pPr>
              <w:spacing w:after="0"/>
              <w:jc w:val="center"/>
              <w:rPr>
                <w:sz w:val="24"/>
                <w:szCs w:val="24"/>
              </w:rPr>
            </w:pPr>
            <w:r w:rsidRPr="00951840">
              <w:rPr>
                <w:sz w:val="24"/>
                <w:szCs w:val="24"/>
              </w:rPr>
              <w:t>Interinstitutional Assurance</w:t>
            </w:r>
            <w:r w:rsidRPr="005A1887" w:rsidR="005A1887">
              <w:rPr>
                <w:sz w:val="24"/>
                <w:szCs w:val="24"/>
              </w:rPr>
              <w:t xml:space="preserve"> for Domestic Performance Site</w:t>
            </w:r>
            <w:r w:rsidR="0000554C">
              <w:rPr>
                <w:sz w:val="24"/>
                <w:szCs w:val="24"/>
              </w:rPr>
              <w:t xml:space="preserve"> </w:t>
            </w:r>
            <w:r w:rsidRPr="00434C88" w:rsidR="0000554C">
              <w:rPr>
                <w:rFonts w:eastAsia="Times New Roman" w:cstheme="minorHAnsi"/>
                <w:sz w:val="24"/>
                <w:szCs w:val="24"/>
                <w:highlight w:val="yellow"/>
              </w:rPr>
              <w:t>or Interinstitutional Assurance Tria</w:t>
            </w:r>
            <w:r w:rsidRPr="005A1887" w:rsidR="0000554C">
              <w:rPr>
                <w:rFonts w:eastAsia="Times New Roman" w:cstheme="minorHAnsi"/>
                <w:sz w:val="24"/>
                <w:szCs w:val="24"/>
                <w:highlight w:val="yellow"/>
              </w:rPr>
              <w:t>d</w:t>
            </w:r>
            <w:r w:rsidRPr="005A1887" w:rsidR="005A1887">
              <w:rPr>
                <w:rFonts w:eastAsia="Times New Roman" w:cstheme="minorHAnsi"/>
                <w:sz w:val="24"/>
                <w:szCs w:val="24"/>
                <w:highlight w:val="yellow"/>
              </w:rPr>
              <w:t xml:space="preserve"> for Domestic Performance Site</w:t>
            </w:r>
          </w:p>
        </w:tc>
        <w:tc>
          <w:tcPr>
            <w:tcW w:w="1522"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12AF93A7" w14:textId="083F288E">
            <w:pPr>
              <w:spacing w:after="0"/>
              <w:jc w:val="center"/>
              <w:rPr>
                <w:sz w:val="24"/>
                <w:szCs w:val="24"/>
              </w:rPr>
            </w:pPr>
            <w:r>
              <w:rPr>
                <w:sz w:val="24"/>
                <w:szCs w:val="24"/>
              </w:rPr>
              <w:t>Domestic</w:t>
            </w:r>
          </w:p>
        </w:tc>
        <w:tc>
          <w:tcPr>
            <w:tcW w:w="1469"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00554C" w:rsidP="00323CB1" w14:paraId="74C02B42" w14:textId="165A4221">
            <w:pPr>
              <w:spacing w:after="0"/>
              <w:jc w:val="center"/>
              <w:rPr>
                <w:sz w:val="24"/>
                <w:szCs w:val="24"/>
                <w:highlight w:val="yellow"/>
              </w:rPr>
            </w:pPr>
            <w:r w:rsidRPr="0000554C">
              <w:rPr>
                <w:sz w:val="24"/>
                <w:szCs w:val="24"/>
                <w:highlight w:val="yellow"/>
              </w:rPr>
              <w:t>750</w:t>
            </w:r>
          </w:p>
        </w:tc>
        <w:tc>
          <w:tcPr>
            <w:tcW w:w="0" w:type="auto"/>
            <w:tcBorders>
              <w:top w:val="single" w:sz="4" w:space="0" w:color="auto"/>
              <w:left w:val="single" w:sz="4" w:space="0" w:color="auto"/>
              <w:bottom w:val="single" w:sz="4" w:space="0" w:color="auto"/>
              <w:right w:val="single" w:sz="4" w:space="0" w:color="auto"/>
            </w:tcBorders>
            <w:vAlign w:val="center"/>
          </w:tcPr>
          <w:p w:rsidR="00323CB1" w:rsidRPr="00951840" w:rsidP="00323CB1" w14:paraId="0B4868A8" w14:textId="77777777">
            <w:pPr>
              <w:spacing w:after="0"/>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73E3BB3C" w14:textId="77777777">
            <w:pPr>
              <w:spacing w:after="0"/>
              <w:jc w:val="center"/>
              <w:rPr>
                <w:sz w:val="24"/>
                <w:szCs w:val="24"/>
              </w:rPr>
            </w:pPr>
            <w:r w:rsidRPr="00951840">
              <w:rPr>
                <w:sz w:val="24"/>
                <w:szCs w:val="24"/>
              </w:rPr>
              <w:t>30/60</w:t>
            </w: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AF10FF" w:rsidP="00323CB1" w14:paraId="0292F492" w14:textId="1418A08A">
            <w:pPr>
              <w:spacing w:after="0"/>
              <w:jc w:val="center"/>
              <w:rPr>
                <w:sz w:val="24"/>
                <w:szCs w:val="24"/>
                <w:highlight w:val="yellow"/>
              </w:rPr>
            </w:pPr>
            <w:r w:rsidRPr="00AF10FF">
              <w:rPr>
                <w:sz w:val="24"/>
                <w:szCs w:val="24"/>
                <w:highlight w:val="yellow"/>
              </w:rPr>
              <w:t>3</w:t>
            </w:r>
            <w:r w:rsidRPr="00AF10FF" w:rsidR="0036649D">
              <w:rPr>
                <w:sz w:val="24"/>
                <w:szCs w:val="24"/>
                <w:highlight w:val="yellow"/>
              </w:rPr>
              <w:t>75</w:t>
            </w:r>
          </w:p>
        </w:tc>
      </w:tr>
      <w:tr w14:paraId="19789646" w14:textId="77777777" w:rsidTr="005A1887">
        <w:tblPrEx>
          <w:tblW w:w="0" w:type="auto"/>
          <w:tblCellMar>
            <w:left w:w="100" w:type="dxa"/>
            <w:right w:w="100" w:type="dxa"/>
          </w:tblCellMar>
          <w:tblLook w:val="0000"/>
        </w:tblPrEx>
        <w:trPr>
          <w:cantSplit/>
        </w:trPr>
        <w:tc>
          <w:tcPr>
            <w:tcW w:w="2695" w:type="dxa"/>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59C2A650" w14:textId="77777777">
            <w:pPr>
              <w:spacing w:after="0"/>
              <w:jc w:val="center"/>
              <w:rPr>
                <w:sz w:val="24"/>
                <w:szCs w:val="24"/>
              </w:rPr>
            </w:pPr>
            <w:r w:rsidRPr="00951840">
              <w:rPr>
                <w:sz w:val="24"/>
                <w:szCs w:val="24"/>
              </w:rPr>
              <w:t>TOTAL</w:t>
            </w:r>
          </w:p>
        </w:tc>
        <w:tc>
          <w:tcPr>
            <w:tcW w:w="1522" w:type="dxa"/>
            <w:tcBorders>
              <w:top w:val="single" w:sz="4" w:space="0" w:color="auto"/>
              <w:left w:val="single" w:sz="4" w:space="0" w:color="auto"/>
              <w:bottom w:val="single" w:sz="4" w:space="0" w:color="auto"/>
              <w:right w:val="single" w:sz="4" w:space="0" w:color="auto"/>
            </w:tcBorders>
            <w:shd w:val="clear" w:color="auto" w:fill="A6A6A6"/>
            <w:tcMar>
              <w:top w:w="72" w:type="dxa"/>
              <w:bottom w:w="72" w:type="dxa"/>
            </w:tcMar>
            <w:vAlign w:val="center"/>
          </w:tcPr>
          <w:p w:rsidR="00323CB1" w:rsidRPr="00951840" w:rsidP="00323CB1" w14:paraId="1B733FCE" w14:textId="77777777">
            <w:pPr>
              <w:spacing w:after="0"/>
              <w:jc w:val="center"/>
              <w:rPr>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bottom w:w="72" w:type="dxa"/>
            </w:tcMar>
            <w:vAlign w:val="center"/>
          </w:tcPr>
          <w:p w:rsidR="00323CB1" w:rsidRPr="00951840" w:rsidP="00323CB1" w14:paraId="2F63752A" w14:textId="20759998">
            <w:pPr>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23CB1" w:rsidRPr="00951840" w:rsidP="00323CB1" w14:paraId="15928FFF" w14:textId="7918C716">
            <w:pPr>
              <w:spacing w:after="0"/>
              <w:jc w:val="center"/>
              <w:rPr>
                <w:sz w:val="24"/>
                <w:szCs w:val="24"/>
              </w:rPr>
            </w:pPr>
            <w:r w:rsidRPr="00AF10FF">
              <w:rPr>
                <w:sz w:val="24"/>
                <w:szCs w:val="24"/>
                <w:highlight w:val="yellow"/>
              </w:rPr>
              <w:t>2,3</w:t>
            </w:r>
            <w:r w:rsidR="00C31B8E">
              <w:rPr>
                <w:sz w:val="24"/>
                <w:szCs w:val="24"/>
                <w:highlight w:val="yellow"/>
              </w:rPr>
              <w:t>2</w:t>
            </w:r>
            <w:r w:rsidRPr="00AF10FF">
              <w:rPr>
                <w:sz w:val="24"/>
                <w:szCs w:val="24"/>
                <w:highlight w:val="yellow"/>
              </w:rPr>
              <w:t>3</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bottom w:w="72" w:type="dxa"/>
            </w:tcMar>
            <w:vAlign w:val="center"/>
          </w:tcPr>
          <w:p w:rsidR="00323CB1" w:rsidRPr="00951840" w:rsidP="00323CB1" w14:paraId="32AAE4E8" w14:textId="77777777">
            <w:pPr>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Mar>
              <w:top w:w="72" w:type="dxa"/>
              <w:bottom w:w="72" w:type="dxa"/>
            </w:tcMar>
            <w:vAlign w:val="center"/>
          </w:tcPr>
          <w:p w:rsidR="00323CB1" w:rsidRPr="00951840" w:rsidP="00323CB1" w14:paraId="611C65C1" w14:textId="04F6D5A5">
            <w:pPr>
              <w:spacing w:after="0"/>
              <w:jc w:val="center"/>
              <w:rPr>
                <w:sz w:val="24"/>
                <w:szCs w:val="24"/>
              </w:rPr>
            </w:pPr>
            <w:r>
              <w:rPr>
                <w:sz w:val="24"/>
                <w:szCs w:val="24"/>
                <w:highlight w:val="yellow"/>
              </w:rPr>
              <w:t>9</w:t>
            </w:r>
            <w:r w:rsidRPr="000E09A5">
              <w:rPr>
                <w:sz w:val="24"/>
                <w:szCs w:val="24"/>
                <w:highlight w:val="yellow"/>
              </w:rPr>
              <w:t>,</w:t>
            </w:r>
            <w:r>
              <w:rPr>
                <w:sz w:val="24"/>
                <w:szCs w:val="24"/>
                <w:highlight w:val="yellow"/>
              </w:rPr>
              <w:t>21</w:t>
            </w:r>
            <w:r w:rsidR="00A32700">
              <w:rPr>
                <w:sz w:val="24"/>
                <w:szCs w:val="24"/>
                <w:highlight w:val="yellow"/>
              </w:rPr>
              <w:t>9</w:t>
            </w:r>
          </w:p>
        </w:tc>
      </w:tr>
    </w:tbl>
    <w:p w:rsidR="00D2375A" w:rsidP="00C6258F" w14:paraId="66A02794" w14:textId="77777777">
      <w:pPr>
        <w:spacing w:before="200"/>
        <w:rPr>
          <w:b/>
        </w:rPr>
      </w:pPr>
    </w:p>
    <w:p w:rsidR="00D2375A" w:rsidP="00C6258F" w14:paraId="7B32CDEA" w14:textId="19E03874">
      <w:pPr>
        <w:spacing w:before="200"/>
      </w:pPr>
      <w:r w:rsidRPr="0046301F">
        <w:rPr>
          <w:b/>
        </w:rPr>
        <w:t>A.12</w:t>
      </w:r>
      <w:r>
        <w:rPr>
          <w:b/>
        </w:rPr>
        <w:t>.2</w:t>
      </w:r>
      <w:r w:rsidRPr="0046301F">
        <w:rPr>
          <w:b/>
        </w:rPr>
        <w:tab/>
      </w:r>
      <w:r>
        <w:rPr>
          <w:b/>
        </w:rPr>
        <w:t xml:space="preserve">Annual Cost to </w:t>
      </w:r>
      <w:r>
        <w:rPr>
          <w:b/>
        </w:rPr>
        <w:t>Respondent</w:t>
      </w:r>
    </w:p>
    <w:p w:rsidR="002C5D4F" w:rsidRPr="00541EBE" w:rsidP="00C6258F" w14:paraId="36D02200" w14:textId="35CFAD29">
      <w:pPr>
        <w:spacing w:before="200"/>
      </w:pPr>
      <w:r>
        <w:t>The annualized cost to respondents has increased due to the average increase in number of Interinstitutional Assurances; increased time for documents completed by foreign institutions; and increase in average hourly wages of individuals that com</w:t>
      </w:r>
      <w:r>
        <w:t xml:space="preserve">plete the documents. </w:t>
      </w:r>
      <w:r w:rsidR="00CF36BD">
        <w:tab/>
      </w:r>
    </w:p>
    <w:p w:rsidR="00B93C77" w:rsidRPr="00C61177" w:rsidP="00C61177" w14:paraId="661A01B8" w14:textId="67B81D13">
      <w:pPr>
        <w:jc w:val="center"/>
      </w:pPr>
      <w:r>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tblPr>
      <w:tblGrid>
        <w:gridCol w:w="2695"/>
        <w:gridCol w:w="1512"/>
        <w:gridCol w:w="1548"/>
        <w:gridCol w:w="2340"/>
        <w:gridCol w:w="1530"/>
      </w:tblGrid>
      <w:tr w14:paraId="624A29FC" w14:textId="77777777" w:rsidTr="0019352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rsidR="0030526E" w:rsidRPr="00975762" w:rsidP="0030526E" w14:paraId="155F2C3D" w14:textId="0988BD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Document</w:t>
            </w:r>
          </w:p>
        </w:tc>
        <w:tc>
          <w:tcPr>
            <w:tcW w:w="1512" w:type="dxa"/>
            <w:tcBorders>
              <w:top w:val="single" w:sz="4" w:space="0" w:color="auto"/>
              <w:left w:val="single" w:sz="4" w:space="0" w:color="auto"/>
              <w:bottom w:val="single" w:sz="4" w:space="0" w:color="auto"/>
              <w:right w:val="single" w:sz="4" w:space="0" w:color="auto"/>
            </w:tcBorders>
            <w:tcMar>
              <w:left w:w="101" w:type="dxa"/>
              <w:right w:w="101" w:type="dxa"/>
            </w:tcMar>
            <w:vAlign w:val="center"/>
          </w:tcPr>
          <w:p w:rsidR="0030526E" w:rsidRPr="00975762" w:rsidP="0030526E" w14:paraId="05355100" w14:textId="12E456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Type</w:t>
            </w:r>
            <w:r w:rsidR="00711E07">
              <w:rPr>
                <w:rFonts w:eastAsia="Times New Roman" w:cstheme="minorHAnsi"/>
                <w:sz w:val="24"/>
                <w:szCs w:val="24"/>
              </w:rPr>
              <w:t xml:space="preserve"> of Respondents</w:t>
            </w:r>
          </w:p>
        </w:tc>
        <w:tc>
          <w:tcPr>
            <w:tcW w:w="1548"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rsidR="0030526E" w:rsidRPr="00975762" w:rsidP="0030526E" w14:paraId="7F30ECE2" w14:textId="6BC8B9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Pr>
                <w:rFonts w:eastAsia="Times New Roman" w:cstheme="minorHAnsi"/>
                <w:sz w:val="24"/>
                <w:szCs w:val="24"/>
              </w:rPr>
              <w:t xml:space="preserve">Total </w:t>
            </w:r>
            <w:r w:rsidRPr="00975762">
              <w:rPr>
                <w:rFonts w:eastAsia="Times New Roman" w:cstheme="minorHAnsi"/>
                <w:sz w:val="24"/>
                <w:szCs w:val="24"/>
              </w:rPr>
              <w:t>Annual Burden Hours</w:t>
            </w:r>
          </w:p>
        </w:tc>
        <w:tc>
          <w:tcPr>
            <w:tcW w:w="2340"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rsidR="0030526E" w:rsidRPr="00975762" w:rsidP="00975762" w14:paraId="12FC9A4F" w14:textId="40695A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Hourly Respondent Wage Rate*</w:t>
            </w:r>
            <w:r w:rsidRPr="00975762" w:rsidR="00E51B6C">
              <w:rPr>
                <w:rFonts w:eastAsia="Times New Roman" w:cstheme="minorHAnsi"/>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tcMar>
              <w:left w:w="101" w:type="dxa"/>
              <w:right w:w="101" w:type="dxa"/>
            </w:tcMar>
            <w:vAlign w:val="center"/>
            <w:hideMark/>
          </w:tcPr>
          <w:p w:rsidR="0030526E" w:rsidRPr="00975762" w:rsidP="00975762" w14:paraId="7FB87414" w14:textId="0E6F6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Respondent Cost</w:t>
            </w:r>
            <w:r w:rsidRPr="00975762" w:rsidR="00E51B6C">
              <w:rPr>
                <w:rFonts w:eastAsia="Times New Roman" w:cstheme="minorHAnsi"/>
                <w:sz w:val="24"/>
                <w:szCs w:val="24"/>
              </w:rPr>
              <w:t xml:space="preserve"> ($)</w:t>
            </w:r>
          </w:p>
        </w:tc>
      </w:tr>
      <w:tr w14:paraId="600FEE9E"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951840" w:rsidP="00D271E8" w14:paraId="4CAA5621" w14:textId="72F0F2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sz w:val="24"/>
                <w:szCs w:val="24"/>
              </w:rPr>
            </w:pPr>
            <w:r w:rsidRPr="00975762">
              <w:rPr>
                <w:rFonts w:eastAsia="Times New Roman" w:cstheme="minorHAnsi"/>
                <w:sz w:val="24"/>
                <w:szCs w:val="24"/>
              </w:rPr>
              <w:t>Domestic Assurance</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975762" w:rsidP="00D271E8" w14:paraId="3DB7148B" w14:textId="391AF0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Renewal</w:t>
            </w:r>
            <w:r w:rsidR="00AF4902">
              <w:rPr>
                <w:rFonts w:eastAsia="Times New Roman" w:cstheme="minorHAnsi"/>
                <w:sz w:val="24"/>
                <w:szCs w:val="24"/>
              </w:rPr>
              <w:t xml:space="preserve"> and New</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E570E4" w:rsidP="00D271E8" w14:paraId="339BE932" w14:textId="196E25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Pr>
                <w:rFonts w:eastAsia="Times New Roman" w:cstheme="minorHAnsi"/>
                <w:sz w:val="24"/>
                <w:szCs w:val="24"/>
                <w:highlight w:val="yellow"/>
              </w:rPr>
              <w:t>7</w:t>
            </w:r>
            <w:r w:rsidRPr="00E570E4">
              <w:rPr>
                <w:rFonts w:eastAsia="Times New Roman" w:cstheme="minorHAnsi"/>
                <w:sz w:val="24"/>
                <w:szCs w:val="24"/>
                <w:highlight w:val="yellow"/>
              </w:rPr>
              <w:t>,</w:t>
            </w:r>
            <w:r>
              <w:rPr>
                <w:rFonts w:eastAsia="Times New Roman" w:cstheme="minorHAnsi"/>
                <w:sz w:val="24"/>
                <w:szCs w:val="24"/>
                <w:highlight w:val="yellow"/>
              </w:rPr>
              <w:t>0</w:t>
            </w:r>
            <w:r w:rsidRPr="00E570E4">
              <w:rPr>
                <w:rFonts w:eastAsia="Times New Roman" w:cstheme="minorHAnsi"/>
                <w:sz w:val="24"/>
                <w:szCs w:val="24"/>
                <w:highlight w:val="yellow"/>
              </w:rPr>
              <w:t>50</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33193CAF" w14:textId="2C40DD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Vet</w:t>
            </w:r>
            <w:r w:rsidR="00EE0476">
              <w:rPr>
                <w:rFonts w:eastAsia="Times New Roman" w:cstheme="minorHAnsi"/>
                <w:sz w:val="24"/>
                <w:szCs w:val="24"/>
                <w:highlight w:val="yellow"/>
              </w:rPr>
              <w:t xml:space="preserve"> 62.07</w:t>
            </w:r>
            <w:r w:rsidRPr="00E570E4">
              <w:rPr>
                <w:rFonts w:eastAsia="Times New Roman" w:cstheme="minorHAnsi"/>
                <w:sz w:val="24"/>
                <w:szCs w:val="24"/>
                <w:highlight w:val="yellow"/>
              </w:rPr>
              <w:t xml:space="preserve"> 52.84</w:t>
            </w:r>
          </w:p>
          <w:p w:rsidR="00B558D1" w:rsidRPr="00E570E4" w:rsidP="00B558D1" w14:paraId="6A39C6C2" w14:textId="414D4E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 xml:space="preserve">Exec Sec </w:t>
            </w:r>
            <w:r w:rsidR="00CE76A4">
              <w:rPr>
                <w:rFonts w:eastAsia="Times New Roman" w:cstheme="minorHAnsi"/>
                <w:sz w:val="24"/>
                <w:szCs w:val="24"/>
                <w:highlight w:val="yellow"/>
              </w:rPr>
              <w:t xml:space="preserve">34.16 </w:t>
            </w:r>
            <w:r w:rsidRPr="00E570E4">
              <w:rPr>
                <w:rFonts w:eastAsia="Times New Roman" w:cstheme="minorHAnsi"/>
                <w:sz w:val="24"/>
                <w:szCs w:val="24"/>
                <w:highlight w:val="yellow"/>
              </w:rPr>
              <w:t>32.15</w:t>
            </w:r>
          </w:p>
          <w:p w:rsidR="00B558D1" w:rsidRPr="00E570E4" w:rsidP="00B558D1" w14:paraId="458B01BA" w14:textId="247780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 xml:space="preserve">Med. Sci. </w:t>
            </w:r>
            <w:r w:rsidR="000F79B2">
              <w:rPr>
                <w:rFonts w:eastAsia="Times New Roman" w:cstheme="minorHAnsi"/>
                <w:sz w:val="24"/>
                <w:szCs w:val="24"/>
                <w:highlight w:val="yellow"/>
              </w:rPr>
              <w:t xml:space="preserve">52.27 </w:t>
            </w:r>
            <w:r w:rsidRPr="00E570E4">
              <w:rPr>
                <w:rFonts w:eastAsia="Times New Roman" w:cstheme="minorHAnsi"/>
                <w:sz w:val="24"/>
                <w:szCs w:val="24"/>
                <w:highlight w:val="yellow"/>
              </w:rPr>
              <w:t>49.44</w:t>
            </w:r>
          </w:p>
          <w:p w:rsidR="00B558D1" w:rsidRPr="00E570E4" w:rsidP="00B558D1" w14:paraId="00CE2314" w14:textId="5116D8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u w:val="single"/>
              </w:rPr>
            </w:pPr>
            <w:r w:rsidRPr="00E570E4">
              <w:rPr>
                <w:rFonts w:eastAsia="Times New Roman" w:cstheme="minorHAnsi"/>
                <w:sz w:val="24"/>
                <w:szCs w:val="24"/>
                <w:highlight w:val="yellow"/>
                <w:u w:val="single"/>
              </w:rPr>
              <w:t xml:space="preserve">Misc Hlth Pract </w:t>
            </w:r>
            <w:r w:rsidR="004D4FCE">
              <w:rPr>
                <w:rFonts w:eastAsia="Times New Roman" w:cstheme="minorHAnsi"/>
                <w:sz w:val="24"/>
                <w:szCs w:val="24"/>
                <w:highlight w:val="yellow"/>
                <w:u w:val="single"/>
              </w:rPr>
              <w:t>30.</w:t>
            </w:r>
            <w:r w:rsidR="002A5229">
              <w:rPr>
                <w:rFonts w:eastAsia="Times New Roman" w:cstheme="minorHAnsi"/>
                <w:sz w:val="24"/>
                <w:szCs w:val="24"/>
                <w:highlight w:val="yellow"/>
                <w:u w:val="single"/>
              </w:rPr>
              <w:t>92</w:t>
            </w:r>
            <w:r w:rsidR="004D4FCE">
              <w:rPr>
                <w:rFonts w:eastAsia="Times New Roman" w:cstheme="minorHAnsi"/>
                <w:sz w:val="24"/>
                <w:szCs w:val="24"/>
                <w:highlight w:val="yellow"/>
                <w:u w:val="single"/>
              </w:rPr>
              <w:t xml:space="preserve"> </w:t>
            </w:r>
            <w:r w:rsidRPr="00E570E4">
              <w:rPr>
                <w:rFonts w:eastAsia="Times New Roman" w:cstheme="minorHAnsi"/>
                <w:sz w:val="24"/>
                <w:szCs w:val="24"/>
                <w:highlight w:val="yellow"/>
                <w:u w:val="single"/>
              </w:rPr>
              <w:t>29.56</w:t>
            </w:r>
          </w:p>
          <w:p w:rsidR="00D271E8" w:rsidRPr="00E570E4" w:rsidP="00B558D1" w14:paraId="7F4DEEB0" w14:textId="57B440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Avg. 4</w:t>
            </w:r>
            <w:r w:rsidR="001E5827">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E570E4" w:rsidP="00D271E8" w14:paraId="6BCAD9BC" w14:textId="2CFBC7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Calibri" w:hAnsi="Calibri" w:cs="Calibri"/>
                <w:color w:val="000000"/>
                <w:highlight w:val="yellow"/>
              </w:rPr>
            </w:pPr>
            <w:r>
              <w:rPr>
                <w:rFonts w:ascii="Calibri" w:hAnsi="Calibri" w:cs="Calibri"/>
                <w:color w:val="000000"/>
                <w:highlight w:val="yellow"/>
              </w:rPr>
              <w:t>316</w:t>
            </w:r>
            <w:r w:rsidRPr="00E570E4">
              <w:rPr>
                <w:rFonts w:ascii="Calibri" w:hAnsi="Calibri" w:cs="Calibri"/>
                <w:color w:val="000000"/>
                <w:highlight w:val="yellow"/>
              </w:rPr>
              <w:t>,</w:t>
            </w:r>
            <w:r>
              <w:rPr>
                <w:rFonts w:ascii="Calibri" w:hAnsi="Calibri" w:cs="Calibri"/>
                <w:color w:val="000000"/>
                <w:highlight w:val="yellow"/>
              </w:rPr>
              <w:t>263</w:t>
            </w:r>
          </w:p>
        </w:tc>
      </w:tr>
      <w:tr w14:paraId="47C21468"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951840" w:rsidP="00D271E8" w14:paraId="308D8CBF" w14:textId="213FEA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sz w:val="24"/>
                <w:szCs w:val="24"/>
              </w:rPr>
            </w:pPr>
            <w:r>
              <w:rPr>
                <w:rFonts w:eastAsia="Times New Roman" w:cstheme="minorHAnsi"/>
                <w:sz w:val="24"/>
                <w:szCs w:val="24"/>
              </w:rPr>
              <w:t xml:space="preserve">Domestic </w:t>
            </w:r>
            <w:r w:rsidRPr="00975762">
              <w:rPr>
                <w:rFonts w:eastAsia="Times New Roman" w:cstheme="minorHAnsi"/>
                <w:sz w:val="24"/>
                <w:szCs w:val="24"/>
              </w:rPr>
              <w:t>Annual Report</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975762" w:rsidP="00D271E8" w14:paraId="415D53E1" w14:textId="2C09C1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All Domestic</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E570E4" w:rsidP="00D271E8" w14:paraId="3467A612" w14:textId="0D431E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sidRPr="00C170B3">
              <w:rPr>
                <w:rFonts w:eastAsia="Times New Roman" w:cstheme="minorHAnsi"/>
                <w:sz w:val="24"/>
                <w:szCs w:val="24"/>
                <w:highlight w:val="yellow"/>
              </w:rPr>
              <w:t>1,3</w:t>
            </w:r>
            <w:r>
              <w:rPr>
                <w:rFonts w:eastAsia="Times New Roman" w:cstheme="minorHAnsi"/>
                <w:sz w:val="24"/>
                <w:szCs w:val="24"/>
                <w:highlight w:val="yellow"/>
              </w:rPr>
              <w:t>3</w:t>
            </w:r>
            <w:r w:rsidRPr="00C170B3">
              <w:rPr>
                <w:rFonts w:eastAsia="Times New Roman" w:cstheme="minorHAnsi"/>
                <w:sz w:val="24"/>
                <w:szCs w:val="24"/>
                <w:highlight w:val="yellow"/>
              </w:rPr>
              <w:t>5</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E570E4" w:rsidP="00D271E8" w14:paraId="075AD762" w14:textId="4DA2F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D271E8" w:rsidRPr="00E570E4" w:rsidP="00D271E8" w14:paraId="43059215" w14:textId="49B598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Calibri" w:hAnsi="Calibri" w:cs="Calibri"/>
                <w:color w:val="000000"/>
                <w:highlight w:val="yellow"/>
              </w:rPr>
            </w:pPr>
            <w:r>
              <w:rPr>
                <w:rFonts w:ascii="Calibri" w:hAnsi="Calibri" w:cs="Calibri"/>
                <w:color w:val="000000"/>
                <w:highlight w:val="yellow"/>
              </w:rPr>
              <w:t>59,888</w:t>
            </w:r>
          </w:p>
        </w:tc>
      </w:tr>
      <w:tr w14:paraId="0C6E6EC9"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951840" w:rsidP="00B558D1" w14:paraId="75104AFD" w14:textId="42C36C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sz w:val="24"/>
                <w:szCs w:val="24"/>
              </w:rPr>
            </w:pPr>
            <w:r w:rsidRPr="00975762">
              <w:rPr>
                <w:rFonts w:eastAsia="Times New Roman" w:cstheme="minorHAnsi"/>
                <w:sz w:val="24"/>
                <w:szCs w:val="24"/>
              </w:rPr>
              <w:t>Foreign Assurance</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975762" w:rsidP="00B558D1" w14:paraId="0D19BAE2" w14:textId="5E255E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Renewal and New</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2F232407" w14:textId="5AA2BC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Pr>
                <w:rFonts w:eastAsia="Times New Roman" w:cstheme="minorHAnsi"/>
                <w:sz w:val="24"/>
                <w:szCs w:val="24"/>
                <w:highlight w:val="yellow"/>
              </w:rPr>
              <w:t>101</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7229F5A9" w14:textId="6959DB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4EC23B6C" w14:textId="1D55F4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Calibri" w:hAnsi="Calibri" w:cs="Calibri"/>
                <w:color w:val="000000"/>
                <w:highlight w:val="yellow"/>
              </w:rPr>
            </w:pPr>
            <w:r>
              <w:rPr>
                <w:rFonts w:ascii="Calibri" w:hAnsi="Calibri" w:cs="Calibri"/>
                <w:color w:val="000000"/>
                <w:highlight w:val="yellow"/>
              </w:rPr>
              <w:t>4,</w:t>
            </w:r>
            <w:r w:rsidR="007A75AB">
              <w:rPr>
                <w:rFonts w:ascii="Calibri" w:hAnsi="Calibri" w:cs="Calibri"/>
                <w:color w:val="000000"/>
                <w:highlight w:val="yellow"/>
              </w:rPr>
              <w:t>531</w:t>
            </w:r>
          </w:p>
        </w:tc>
      </w:tr>
      <w:tr w14:paraId="320B67BF"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951840" w:rsidP="00B558D1" w14:paraId="60FA3F2C" w14:textId="4B3B33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sz w:val="24"/>
                <w:szCs w:val="24"/>
              </w:rPr>
            </w:pPr>
            <w:r w:rsidRPr="00382BB8">
              <w:rPr>
                <w:rFonts w:eastAsia="Times New Roman" w:cstheme="minorHAnsi"/>
                <w:sz w:val="24"/>
                <w:szCs w:val="24"/>
                <w:highlight w:val="yellow"/>
              </w:rPr>
              <w:t>Foreign Annual Report</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975762" w:rsidP="00B558D1" w14:paraId="7B56545F" w14:textId="392B05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382BB8">
              <w:rPr>
                <w:rFonts w:eastAsia="Times New Roman" w:cstheme="minorHAnsi"/>
                <w:sz w:val="24"/>
                <w:szCs w:val="24"/>
                <w:highlight w:val="yellow"/>
              </w:rPr>
              <w:t>All Foreign</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39EFB51A" w14:textId="428B8A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sidRPr="00382BB8">
              <w:rPr>
                <w:rFonts w:eastAsia="Times New Roman" w:cstheme="minorHAnsi"/>
                <w:sz w:val="24"/>
                <w:szCs w:val="24"/>
                <w:highlight w:val="yellow"/>
              </w:rPr>
              <w:t>335</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3C037233" w14:textId="648311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B558D1" w:rsidRPr="00E570E4" w:rsidP="00B558D1" w14:paraId="6B40DA81" w14:textId="5325E0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Calibri" w:hAnsi="Calibri" w:cs="Calibri"/>
                <w:color w:val="000000"/>
                <w:highlight w:val="yellow"/>
              </w:rPr>
            </w:pPr>
            <w:r w:rsidRPr="00382BB8">
              <w:rPr>
                <w:rFonts w:ascii="Calibri" w:hAnsi="Calibri" w:cs="Calibri"/>
                <w:color w:val="000000"/>
                <w:highlight w:val="yellow"/>
              </w:rPr>
              <w:t>1</w:t>
            </w:r>
            <w:r w:rsidR="007A75AB">
              <w:rPr>
                <w:rFonts w:ascii="Calibri" w:hAnsi="Calibri" w:cs="Calibri"/>
                <w:color w:val="000000"/>
                <w:highlight w:val="yellow"/>
              </w:rPr>
              <w:t>5</w:t>
            </w:r>
            <w:r w:rsidRPr="00382BB8">
              <w:rPr>
                <w:rFonts w:ascii="Calibri" w:hAnsi="Calibri" w:cs="Calibri"/>
                <w:color w:val="000000"/>
                <w:highlight w:val="yellow"/>
              </w:rPr>
              <w:t>,</w:t>
            </w:r>
            <w:r w:rsidR="007A75AB">
              <w:rPr>
                <w:rFonts w:ascii="Calibri" w:hAnsi="Calibri" w:cs="Calibri"/>
                <w:color w:val="000000"/>
                <w:highlight w:val="yellow"/>
              </w:rPr>
              <w:t>028</w:t>
            </w:r>
          </w:p>
        </w:tc>
      </w:tr>
      <w:tr w14:paraId="797409BA"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975762" w:rsidP="00434C88" w14:paraId="0D1A2E81" w14:textId="2C3B7A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r w:rsidRPr="00951840">
              <w:rPr>
                <w:sz w:val="24"/>
                <w:szCs w:val="24"/>
              </w:rPr>
              <w:t>Interinstitutional Assurance</w:t>
            </w:r>
            <w:r>
              <w:rPr>
                <w:sz w:val="24"/>
                <w:szCs w:val="24"/>
              </w:rPr>
              <w:t xml:space="preserve"> </w:t>
            </w:r>
            <w:r w:rsidRPr="006F3E11">
              <w:rPr>
                <w:sz w:val="24"/>
                <w:szCs w:val="24"/>
              </w:rPr>
              <w:t>for Foreign Performance Site</w:t>
            </w:r>
            <w:r>
              <w:rPr>
                <w:sz w:val="24"/>
                <w:szCs w:val="24"/>
              </w:rPr>
              <w:t xml:space="preserve"> </w:t>
            </w:r>
            <w:r w:rsidRPr="00434C88">
              <w:rPr>
                <w:rFonts w:eastAsia="Times New Roman" w:cstheme="minorHAnsi"/>
                <w:sz w:val="24"/>
                <w:szCs w:val="24"/>
                <w:highlight w:val="yellow"/>
              </w:rPr>
              <w:t>or Interinstitutional Assurance Tr</w:t>
            </w:r>
            <w:r w:rsidRPr="003F2683">
              <w:rPr>
                <w:rFonts w:eastAsia="Times New Roman" w:cstheme="minorHAnsi"/>
                <w:sz w:val="24"/>
                <w:szCs w:val="24"/>
                <w:highlight w:val="yellow"/>
              </w:rPr>
              <w:t>iad f</w:t>
            </w:r>
            <w:r w:rsidRPr="006F3E11">
              <w:rPr>
                <w:rFonts w:eastAsia="Times New Roman" w:cstheme="minorHAnsi"/>
                <w:sz w:val="24"/>
                <w:szCs w:val="24"/>
                <w:highlight w:val="yellow"/>
              </w:rPr>
              <w:t>or Foreign Performance Site</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975762" w:rsidP="00182152" w14:paraId="4076B80C" w14:textId="6013FC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Foreign</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257F6C25" w14:textId="32B0D7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sidRPr="00E570E4">
              <w:rPr>
                <w:rFonts w:eastAsia="Times New Roman" w:cstheme="minorHAnsi"/>
                <w:sz w:val="24"/>
                <w:szCs w:val="24"/>
                <w:highlight w:val="yellow"/>
              </w:rPr>
              <w:t>2</w:t>
            </w:r>
            <w:r w:rsidRPr="00E570E4" w:rsidR="003419CF">
              <w:rPr>
                <w:rFonts w:eastAsia="Times New Roman" w:cstheme="minorHAnsi"/>
                <w:sz w:val="24"/>
                <w:szCs w:val="24"/>
                <w:highlight w:val="yellow"/>
              </w:rPr>
              <w:t>3</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24647B5E" w14:textId="0F1214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3DDD9A44" w14:textId="65655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Pr>
                <w:rFonts w:ascii="Calibri" w:hAnsi="Calibri" w:cs="Calibri"/>
                <w:color w:val="000000"/>
                <w:highlight w:val="yellow"/>
              </w:rPr>
              <w:t>1,032</w:t>
            </w:r>
          </w:p>
        </w:tc>
      </w:tr>
      <w:tr w14:paraId="0701C53B"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975762" w:rsidP="00182152" w14:paraId="06B5BA53" w14:textId="70019D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bookmarkStart w:id="30" w:name="_Hlk3534350"/>
            <w:r w:rsidRPr="00951840">
              <w:rPr>
                <w:sz w:val="24"/>
                <w:szCs w:val="24"/>
              </w:rPr>
              <w:t>Interinstitutional Assurance</w:t>
            </w:r>
            <w:r w:rsidRPr="005A1887">
              <w:rPr>
                <w:sz w:val="24"/>
                <w:szCs w:val="24"/>
              </w:rPr>
              <w:t xml:space="preserve"> for Domestic Performance Site</w:t>
            </w:r>
            <w:r>
              <w:rPr>
                <w:sz w:val="24"/>
                <w:szCs w:val="24"/>
              </w:rPr>
              <w:t xml:space="preserve"> </w:t>
            </w:r>
            <w:r w:rsidRPr="00434C88">
              <w:rPr>
                <w:rFonts w:eastAsia="Times New Roman" w:cstheme="minorHAnsi"/>
                <w:sz w:val="24"/>
                <w:szCs w:val="24"/>
                <w:highlight w:val="yellow"/>
              </w:rPr>
              <w:t xml:space="preserve">or </w:t>
            </w:r>
            <w:r w:rsidRPr="00434C88">
              <w:rPr>
                <w:rFonts w:eastAsia="Times New Roman" w:cstheme="minorHAnsi"/>
                <w:sz w:val="24"/>
                <w:szCs w:val="24"/>
                <w:highlight w:val="yellow"/>
              </w:rPr>
              <w:t>Interinstitutional Assurance Tria</w:t>
            </w:r>
            <w:r w:rsidRPr="005A1887">
              <w:rPr>
                <w:rFonts w:eastAsia="Times New Roman" w:cstheme="minorHAnsi"/>
                <w:sz w:val="24"/>
                <w:szCs w:val="24"/>
                <w:highlight w:val="yellow"/>
              </w:rPr>
              <w:t xml:space="preserve">d for </w:t>
            </w:r>
            <w:r w:rsidRPr="005A1887">
              <w:rPr>
                <w:rFonts w:eastAsia="Times New Roman" w:cstheme="minorHAnsi"/>
                <w:sz w:val="24"/>
                <w:szCs w:val="24"/>
                <w:highlight w:val="yellow"/>
              </w:rPr>
              <w:t>Domestic Performance Site</w:t>
            </w:r>
          </w:p>
        </w:tc>
        <w:tc>
          <w:tcPr>
            <w:tcW w:w="1512"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975762" w:rsidP="00182152" w14:paraId="3467D4F3" w14:textId="623189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Domestic</w:t>
            </w: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04B9C25F" w14:textId="2F1C4C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sidRPr="00E570E4">
              <w:rPr>
                <w:rFonts w:eastAsia="Times New Roman" w:cstheme="minorHAnsi"/>
                <w:sz w:val="24"/>
                <w:szCs w:val="24"/>
                <w:highlight w:val="yellow"/>
              </w:rPr>
              <w:t>3</w:t>
            </w:r>
            <w:r w:rsidRPr="00E570E4" w:rsidR="003419CF">
              <w:rPr>
                <w:rFonts w:eastAsia="Times New Roman" w:cstheme="minorHAnsi"/>
                <w:sz w:val="24"/>
                <w:szCs w:val="24"/>
                <w:highlight w:val="yellow"/>
              </w:rPr>
              <w:t>75</w:t>
            </w:r>
          </w:p>
        </w:tc>
        <w:tc>
          <w:tcPr>
            <w:tcW w:w="234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65625D2C" w14:textId="6438C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377462DF" w14:textId="67CC31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sidRPr="00E570E4">
              <w:rPr>
                <w:rFonts w:ascii="Calibri" w:hAnsi="Calibri" w:cs="Calibri"/>
                <w:color w:val="000000"/>
                <w:highlight w:val="yellow"/>
              </w:rPr>
              <w:t>1</w:t>
            </w:r>
            <w:r w:rsidR="007A75AB">
              <w:rPr>
                <w:rFonts w:ascii="Calibri" w:hAnsi="Calibri" w:cs="Calibri"/>
                <w:color w:val="000000"/>
                <w:highlight w:val="yellow"/>
              </w:rPr>
              <w:t>6</w:t>
            </w:r>
            <w:r w:rsidRPr="00E570E4" w:rsidR="00634A73">
              <w:rPr>
                <w:rFonts w:ascii="Calibri" w:hAnsi="Calibri" w:cs="Calibri"/>
                <w:color w:val="000000"/>
                <w:highlight w:val="yellow"/>
              </w:rPr>
              <w:t>,</w:t>
            </w:r>
            <w:r w:rsidR="007A75AB">
              <w:rPr>
                <w:rFonts w:ascii="Calibri" w:hAnsi="Calibri" w:cs="Calibri"/>
                <w:color w:val="000000"/>
                <w:highlight w:val="yellow"/>
              </w:rPr>
              <w:t>823</w:t>
            </w:r>
          </w:p>
        </w:tc>
      </w:tr>
      <w:bookmarkEnd w:id="30"/>
      <w:tr w14:paraId="2C91A97B" w14:textId="77777777" w:rsidTr="00193528">
        <w:tblPrEx>
          <w:tblW w:w="0" w:type="auto"/>
          <w:tblCellMar>
            <w:left w:w="101" w:type="dxa"/>
            <w:right w:w="101" w:type="dxa"/>
          </w:tblCellMar>
          <w:tblLook w:val="01E0"/>
        </w:tblPrEx>
        <w:tc>
          <w:tcPr>
            <w:tcW w:w="2695"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tcPr>
          <w:p w:rsidR="00182152" w:rsidRPr="00975762" w:rsidP="00182152"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975762">
              <w:rPr>
                <w:rFonts w:eastAsia="Times New Roman" w:cstheme="minorHAnsi"/>
                <w:sz w:val="24"/>
                <w:szCs w:val="24"/>
              </w:rPr>
              <w:t>TOTAL</w:t>
            </w:r>
          </w:p>
        </w:tc>
        <w:tc>
          <w:tcPr>
            <w:tcW w:w="15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01" w:type="dxa"/>
              <w:bottom w:w="72" w:type="dxa"/>
              <w:right w:w="101" w:type="dxa"/>
            </w:tcMar>
          </w:tcPr>
          <w:p w:rsidR="00182152" w:rsidRPr="00975762" w:rsidP="00182152" w14:paraId="1FA3B5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1548"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74804500" w14:textId="0E4F21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highlight w:val="yellow"/>
              </w:rPr>
            </w:pPr>
            <w:r>
              <w:rPr>
                <w:rFonts w:eastAsia="Times New Roman" w:cstheme="minorHAnsi"/>
                <w:sz w:val="24"/>
                <w:szCs w:val="24"/>
                <w:highlight w:val="yellow"/>
              </w:rPr>
              <w:t>9</w:t>
            </w:r>
            <w:r w:rsidRPr="00E570E4">
              <w:rPr>
                <w:rFonts w:eastAsia="Times New Roman" w:cstheme="minorHAnsi"/>
                <w:sz w:val="24"/>
                <w:szCs w:val="24"/>
                <w:highlight w:val="yellow"/>
              </w:rPr>
              <w:t>,</w:t>
            </w:r>
            <w:r>
              <w:rPr>
                <w:rFonts w:eastAsia="Times New Roman" w:cstheme="minorHAnsi"/>
                <w:sz w:val="24"/>
                <w:szCs w:val="24"/>
                <w:highlight w:val="yellow"/>
              </w:rPr>
              <w:t>219</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72" w:type="dxa"/>
              <w:left w:w="101" w:type="dxa"/>
              <w:bottom w:w="72" w:type="dxa"/>
              <w:right w:w="101" w:type="dxa"/>
            </w:tcMar>
            <w:vAlign w:val="center"/>
          </w:tcPr>
          <w:p w:rsidR="00182152" w:rsidRPr="00E570E4" w:rsidP="00182152" w14:paraId="77E40DFA" w14:textId="6C3133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color w:val="FF0000"/>
                <w:sz w:val="24"/>
                <w:szCs w:val="24"/>
                <w:highlight w:val="yellow"/>
              </w:rPr>
            </w:pPr>
            <w:r w:rsidRPr="00E570E4">
              <w:rPr>
                <w:rFonts w:eastAsia="Times New Roman" w:cstheme="minorHAnsi"/>
                <w:sz w:val="24"/>
                <w:szCs w:val="24"/>
                <w:highlight w:val="yellow"/>
              </w:rPr>
              <w:t>4</w:t>
            </w:r>
            <w:r>
              <w:rPr>
                <w:rFonts w:eastAsia="Times New Roman" w:cstheme="minorHAnsi"/>
                <w:sz w:val="24"/>
                <w:szCs w:val="24"/>
                <w:highlight w:val="yellow"/>
              </w:rPr>
              <w:t>4.86</w:t>
            </w:r>
          </w:p>
        </w:tc>
        <w:tc>
          <w:tcPr>
            <w:tcW w:w="1530" w:type="dxa"/>
            <w:tcBorders>
              <w:top w:val="single" w:sz="4" w:space="0" w:color="auto"/>
              <w:left w:val="single" w:sz="4" w:space="0" w:color="auto"/>
              <w:bottom w:val="single" w:sz="4" w:space="0" w:color="auto"/>
              <w:right w:val="single" w:sz="4" w:space="0" w:color="auto"/>
            </w:tcBorders>
            <w:tcMar>
              <w:top w:w="72" w:type="dxa"/>
              <w:left w:w="101" w:type="dxa"/>
              <w:bottom w:w="72" w:type="dxa"/>
              <w:right w:w="101" w:type="dxa"/>
            </w:tcMar>
            <w:vAlign w:val="center"/>
          </w:tcPr>
          <w:p w:rsidR="00182152" w:rsidRPr="00E570E4" w:rsidP="00182152" w14:paraId="02F92F21" w14:textId="03D93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eastAsia="Times New Roman" w:cstheme="minorHAnsi"/>
                <w:sz w:val="24"/>
                <w:szCs w:val="24"/>
                <w:highlight w:val="yellow"/>
              </w:rPr>
            </w:pPr>
            <w:r>
              <w:rPr>
                <w:rFonts w:ascii="Calibri" w:hAnsi="Calibri" w:cs="Calibri"/>
                <w:color w:val="000000"/>
                <w:highlight w:val="yellow"/>
              </w:rPr>
              <w:t>443</w:t>
            </w:r>
            <w:r w:rsidR="00C91F82">
              <w:rPr>
                <w:rFonts w:ascii="Calibri" w:hAnsi="Calibri" w:cs="Calibri"/>
                <w:color w:val="000000"/>
                <w:highlight w:val="yellow"/>
              </w:rPr>
              <w:t>,</w:t>
            </w:r>
            <w:r>
              <w:rPr>
                <w:rFonts w:ascii="Calibri" w:hAnsi="Calibri" w:cs="Calibri"/>
                <w:color w:val="000000"/>
                <w:highlight w:val="yellow"/>
              </w:rPr>
              <w:t>565</w:t>
            </w:r>
          </w:p>
        </w:tc>
      </w:tr>
    </w:tbl>
    <w:p w:rsidR="0020593F" w:rsidRPr="00B31022" w:rsidP="0020593F" w14:paraId="40D00CBB" w14:textId="64C8331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B31022">
        <w:rPr>
          <w:rFonts w:ascii="Times New Roman" w:eastAsia="Times New Roman" w:hAnsi="Times New Roman" w:cs="Times New Roman"/>
          <w:sz w:val="16"/>
          <w:szCs w:val="16"/>
        </w:rPr>
        <w:t>Bureau of Labor Statistics</w:t>
      </w:r>
      <w:r>
        <w:rPr>
          <w:rFonts w:ascii="Times New Roman" w:eastAsia="Times New Roman" w:hAnsi="Times New Roman" w:cs="Times New Roman"/>
          <w:sz w:val="16"/>
          <w:szCs w:val="16"/>
        </w:rPr>
        <w:t xml:space="preserve">. </w:t>
      </w:r>
      <w:r w:rsidRPr="00845193">
        <w:rPr>
          <w:rFonts w:ascii="Times New Roman" w:eastAsia="Times New Roman" w:hAnsi="Times New Roman" w:cs="Times New Roman"/>
          <w:sz w:val="16"/>
          <w:szCs w:val="16"/>
          <w:highlight w:val="yellow"/>
        </w:rPr>
        <w:t>May 20</w:t>
      </w:r>
      <w:r w:rsidRPr="00845193" w:rsidR="006E6CE0">
        <w:rPr>
          <w:rFonts w:ascii="Times New Roman" w:eastAsia="Times New Roman" w:hAnsi="Times New Roman" w:cs="Times New Roman"/>
          <w:sz w:val="16"/>
          <w:szCs w:val="16"/>
          <w:highlight w:val="yellow"/>
        </w:rPr>
        <w:t>2</w:t>
      </w:r>
      <w:r w:rsidR="00F4582B">
        <w:rPr>
          <w:rFonts w:ascii="Times New Roman" w:eastAsia="Times New Roman" w:hAnsi="Times New Roman" w:cs="Times New Roman"/>
          <w:sz w:val="16"/>
          <w:szCs w:val="16"/>
          <w:highlight w:val="yellow"/>
        </w:rPr>
        <w:t>2</w:t>
      </w:r>
      <w:r w:rsidRPr="00845193">
        <w:rPr>
          <w:rFonts w:ascii="Times New Roman" w:eastAsia="Times New Roman" w:hAnsi="Times New Roman" w:cs="Times New Roman"/>
          <w:sz w:val="16"/>
          <w:szCs w:val="16"/>
          <w:highlight w:val="yellow"/>
        </w:rPr>
        <w:t>.</w:t>
      </w:r>
      <w:r w:rsidRPr="00281DC1">
        <w:rPr>
          <w:rFonts w:ascii="Times New Roman" w:eastAsia="Times New Roman" w:hAnsi="Times New Roman" w:cs="Times New Roman"/>
          <w:sz w:val="16"/>
          <w:szCs w:val="16"/>
        </w:rPr>
        <w:t xml:space="preserve"> National Occupational Employment and Wage Estimates</w:t>
      </w:r>
      <w:r>
        <w:rPr>
          <w:rFonts w:ascii="Times New Roman" w:eastAsia="Times New Roman" w:hAnsi="Times New Roman" w:cs="Times New Roman"/>
          <w:sz w:val="16"/>
          <w:szCs w:val="16"/>
        </w:rPr>
        <w:t xml:space="preserve"> </w:t>
      </w:r>
      <w:r w:rsidRPr="00281DC1">
        <w:rPr>
          <w:rFonts w:ascii="Times New Roman" w:eastAsia="Times New Roman" w:hAnsi="Times New Roman" w:cs="Times New Roman"/>
          <w:sz w:val="16"/>
          <w:szCs w:val="16"/>
        </w:rPr>
        <w:t>United States</w:t>
      </w:r>
      <w:r>
        <w:rPr>
          <w:rFonts w:ascii="Times New Roman" w:eastAsia="Times New Roman" w:hAnsi="Times New Roman" w:cs="Times New Roman"/>
          <w:sz w:val="16"/>
          <w:szCs w:val="16"/>
        </w:rPr>
        <w:t xml:space="preserve">. </w:t>
      </w:r>
      <w:r w:rsidRPr="003F0C85">
        <w:rPr>
          <w:rFonts w:ascii="Times New Roman" w:eastAsia="Times New Roman" w:hAnsi="Times New Roman" w:cs="Times New Roman"/>
          <w:sz w:val="16"/>
          <w:szCs w:val="16"/>
        </w:rPr>
        <w:t>Veterinarians</w:t>
      </w:r>
      <w:r>
        <w:rPr>
          <w:rFonts w:ascii="Times New Roman" w:eastAsia="Times New Roman" w:hAnsi="Times New Roman" w:cs="Times New Roman"/>
          <w:sz w:val="16"/>
          <w:szCs w:val="16"/>
        </w:rPr>
        <w:t xml:space="preserve">, occupation code 29-1131; </w:t>
      </w:r>
      <w:r w:rsidRPr="003F0C85">
        <w:rPr>
          <w:rFonts w:ascii="Times New Roman" w:eastAsia="Times New Roman" w:hAnsi="Times New Roman" w:cs="Times New Roman"/>
          <w:sz w:val="16"/>
          <w:szCs w:val="16"/>
        </w:rPr>
        <w:t xml:space="preserve">Executive </w:t>
      </w:r>
      <w:r w:rsidRPr="003F0C85">
        <w:rPr>
          <w:rFonts w:ascii="Times New Roman" w:eastAsia="Times New Roman" w:hAnsi="Times New Roman" w:cs="Times New Roman"/>
          <w:sz w:val="16"/>
          <w:szCs w:val="16"/>
        </w:rPr>
        <w:t>Secretaries and Executive Administrative Assistants</w:t>
      </w:r>
      <w:r>
        <w:rPr>
          <w:rFonts w:ascii="Times New Roman" w:eastAsia="Times New Roman" w:hAnsi="Times New Roman" w:cs="Times New Roman"/>
          <w:sz w:val="16"/>
          <w:szCs w:val="16"/>
        </w:rPr>
        <w:t xml:space="preserve">, occupation code 43-6011; </w:t>
      </w:r>
      <w:r w:rsidRPr="003F0C85">
        <w:rPr>
          <w:rFonts w:ascii="Times New Roman" w:eastAsia="Times New Roman" w:hAnsi="Times New Roman" w:cs="Times New Roman"/>
          <w:sz w:val="16"/>
          <w:szCs w:val="16"/>
        </w:rPr>
        <w:t>Medical Scientists</w:t>
      </w:r>
      <w:r>
        <w:rPr>
          <w:rFonts w:ascii="Times New Roman" w:eastAsia="Times New Roman" w:hAnsi="Times New Roman" w:cs="Times New Roman"/>
          <w:sz w:val="16"/>
          <w:szCs w:val="16"/>
        </w:rPr>
        <w:t xml:space="preserve">, occupational code 19-1040; </w:t>
      </w:r>
      <w:r w:rsidRPr="003F0C85">
        <w:rPr>
          <w:rFonts w:ascii="Times New Roman" w:eastAsia="Times New Roman" w:hAnsi="Times New Roman" w:cs="Times New Roman"/>
          <w:sz w:val="16"/>
          <w:szCs w:val="16"/>
        </w:rPr>
        <w:t>Miscellaneous Health Practitioners and Technical Workers</w:t>
      </w:r>
      <w:r>
        <w:rPr>
          <w:rFonts w:ascii="Times New Roman" w:eastAsia="Times New Roman" w:hAnsi="Times New Roman" w:cs="Times New Roman"/>
          <w:sz w:val="16"/>
          <w:szCs w:val="16"/>
        </w:rPr>
        <w:t>, occupation code 29-9090.</w:t>
      </w:r>
      <w:r w:rsidRPr="003F0C8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Available at </w:t>
      </w:r>
      <w:hyperlink r:id="rId9" w:history="1">
        <w:r w:rsidRPr="003B722D">
          <w:rPr>
            <w:rStyle w:val="Hyperlink"/>
            <w:rFonts w:ascii="Times New Roman" w:eastAsia="Times New Roman" w:hAnsi="Times New Roman" w:cs="Times New Roman"/>
            <w:sz w:val="16"/>
            <w:szCs w:val="16"/>
          </w:rPr>
          <w:t>https://www.bls.gov/oes/current/oes_nat.htm</w:t>
        </w:r>
      </w:hyperlink>
      <w:r>
        <w:rPr>
          <w:rFonts w:ascii="Times New Roman" w:eastAsia="Times New Roman" w:hAnsi="Times New Roman" w:cs="Times New Roman"/>
          <w:sz w:val="16"/>
          <w:szCs w:val="16"/>
        </w:rPr>
        <w:t xml:space="preserve"> </w:t>
      </w:r>
    </w:p>
    <w:p w:rsidR="00D8546E" w:rsidRPr="00CF36BD" w:rsidP="00FF72FC" w14:paraId="59DB864A" w14:textId="77777777">
      <w:pPr>
        <w:spacing w:after="0" w:line="240" w:lineRule="auto"/>
        <w:rPr>
          <w:rFonts w:eastAsia="Times New Roman" w:cs="Times New Roman"/>
        </w:rPr>
      </w:pPr>
    </w:p>
    <w:p w:rsidR="00FF72FC" w:rsidRPr="00E35DD1" w:rsidP="00FF72FC" w14:paraId="72B19A1F" w14:textId="77777777">
      <w:pPr>
        <w:rPr>
          <w:b/>
        </w:rPr>
      </w:pPr>
      <w:r w:rsidRPr="001861F3">
        <w:rPr>
          <w:b/>
        </w:rPr>
        <w:t>A.13</w:t>
      </w:r>
      <w:r w:rsidRPr="001861F3">
        <w:rPr>
          <w:b/>
        </w:rPr>
        <w:tab/>
        <w:t>Estimate of Other Total Annual Cost Burden to Respondents or Record Keepers</w:t>
      </w:r>
    </w:p>
    <w:p w:rsidR="00E51138" w:rsidP="00FF72FC" w14:paraId="2AB6F425" w14:textId="76B10216">
      <w:r>
        <w:t xml:space="preserve">No additional costs are anticipated beyond those required for </w:t>
      </w:r>
      <w:r w:rsidRPr="00FA1458">
        <w:t>customary and usual business practices</w:t>
      </w:r>
      <w:r>
        <w:t>.</w:t>
      </w:r>
    </w:p>
    <w:p w:rsidR="0037291F" w:rsidP="00B90D2D" w14:paraId="0DBBBAA0" w14:textId="205D4276">
      <w:pPr>
        <w:pStyle w:val="Heading2"/>
        <w:tabs>
          <w:tab w:val="left" w:pos="720"/>
          <w:tab w:val="clear" w:pos="1152"/>
        </w:tabs>
        <w:spacing w:after="0" w:line="480" w:lineRule="auto"/>
        <w:ind w:left="0" w:firstLine="0"/>
        <w:rPr>
          <w:rFonts w:asciiTheme="minorHAnsi" w:hAnsiTheme="minorHAnsi"/>
          <w:szCs w:val="22"/>
        </w:rPr>
      </w:pPr>
      <w:bookmarkStart w:id="31" w:name="_Hlk534615102"/>
      <w:r w:rsidRPr="00003336">
        <w:rPr>
          <w:rFonts w:asciiTheme="minorHAnsi" w:hAnsiTheme="minorHAnsi"/>
          <w:szCs w:val="22"/>
        </w:rPr>
        <w:t>A.14</w:t>
      </w:r>
      <w:r w:rsidRPr="00003336">
        <w:rPr>
          <w:rFonts w:asciiTheme="minorHAnsi" w:hAnsiTheme="minorHAnsi"/>
          <w:szCs w:val="22"/>
        </w:rPr>
        <w:tab/>
        <w:t xml:space="preserve">Annualized Cost to the Federal Government  </w:t>
      </w:r>
      <w:bookmarkEnd w:id="31"/>
    </w:p>
    <w:p w:rsidR="00514AB1" w:rsidRPr="00514AB1" w:rsidP="00514AB1" w14:paraId="34CB7778" w14:textId="7C2FA865">
      <w:r>
        <w:t xml:space="preserve">Costs are estimated based on review hours of </w:t>
      </w:r>
      <w:r w:rsidRPr="004A4C1B">
        <w:t xml:space="preserve">Assurances and Annual Reports </w:t>
      </w:r>
      <w:r>
        <w:t xml:space="preserve">for Assurance Officers and processing and review hours </w:t>
      </w:r>
      <w:r w:rsidRPr="004A4C1B">
        <w:t xml:space="preserve">of Assurances and Annual Reports </w:t>
      </w:r>
      <w:r>
        <w:t>for support staff.</w:t>
      </w:r>
      <w:r w:rsidR="001736E6">
        <w:t xml:space="preserve"> </w:t>
      </w:r>
      <w:r w:rsidR="00F2711F">
        <w:t>The cost has increased due to c</w:t>
      </w:r>
      <w:r w:rsidR="00A57DEC">
        <w:t>hanges in staff</w:t>
      </w:r>
      <w:r w:rsidR="00401CF3">
        <w:t>ing</w:t>
      </w:r>
      <w:r w:rsidR="00A57DEC">
        <w:t xml:space="preserve"> due to </w:t>
      </w:r>
      <w:r w:rsidR="00477B3C">
        <w:t>retire</w:t>
      </w:r>
      <w:r w:rsidR="00A57DEC">
        <w:t>ments</w:t>
      </w:r>
      <w:r w:rsidR="006E0D99">
        <w:t>,</w:t>
      </w:r>
      <w:r w:rsidR="001E5B05">
        <w:t xml:space="preserve"> hiring</w:t>
      </w:r>
      <w:r w:rsidR="0073353F">
        <w:t xml:space="preserve">, and </w:t>
      </w:r>
      <w:r w:rsidR="00F2711F">
        <w:t>updat</w:t>
      </w:r>
      <w:r w:rsidR="001E0E28">
        <w:t>es to the</w:t>
      </w:r>
      <w:r w:rsidR="00F2711F">
        <w:t xml:space="preserve"> </w:t>
      </w:r>
      <w:r w:rsidR="001E0E28">
        <w:t>percent effort of staff</w:t>
      </w:r>
      <w:r w:rsidR="00130A14">
        <w:t xml:space="preserve"> required to assess Assurances and Annual Reports</w:t>
      </w:r>
      <w:r w:rsidR="001E0E28">
        <w:t xml:space="preserve">. </w:t>
      </w:r>
      <w:r w:rsidR="00DA6DA1">
        <w:t>A decrease in the e</w:t>
      </w:r>
      <w:r>
        <w:t>stimated cost is included for office supplies (paper, pens, printer toner, etc.) related to</w:t>
      </w:r>
      <w:r>
        <w:t xml:space="preserve"> Assurances and Annual Reports</w:t>
      </w:r>
      <w:r w:rsidR="00B948B0">
        <w:t xml:space="preserve"> due to the decrease in </w:t>
      </w:r>
      <w:r w:rsidR="00400998">
        <w:t>printing needs</w:t>
      </w:r>
      <w:r>
        <w:t xml:space="preserve">. </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tblPr>
      <w:tblGrid>
        <w:gridCol w:w="1795"/>
        <w:gridCol w:w="2070"/>
        <w:gridCol w:w="1615"/>
        <w:gridCol w:w="1260"/>
        <w:gridCol w:w="900"/>
        <w:gridCol w:w="1770"/>
      </w:tblGrid>
      <w:tr w14:paraId="50454038" w14:textId="77777777" w:rsidTr="00C24E4A">
        <w:tblPrEx>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tblPrEx>
        <w:trPr>
          <w:jc w:val="center"/>
        </w:trPr>
        <w:tc>
          <w:tcPr>
            <w:tcW w:w="1795" w:type="dxa"/>
            <w:shd w:val="clear" w:color="auto" w:fill="auto"/>
            <w:tcMar>
              <w:top w:w="72" w:type="dxa"/>
              <w:left w:w="101" w:type="dxa"/>
              <w:bottom w:w="72" w:type="dxa"/>
              <w:right w:w="101" w:type="dxa"/>
            </w:tcMar>
            <w:vAlign w:val="center"/>
            <w:hideMark/>
          </w:tcPr>
          <w:p w:rsidR="00C3488C" w:rsidRPr="00C3488C" w:rsidP="0037291F" w14:paraId="75F33ACD" w14:textId="77777777">
            <w:pPr>
              <w:spacing w:after="0" w:line="240" w:lineRule="auto"/>
              <w:jc w:val="center"/>
              <w:rPr>
                <w:rFonts w:eastAsia="Calibri" w:cs="Times New Roman"/>
                <w:bCs/>
                <w:color w:val="000000"/>
                <w:sz w:val="24"/>
                <w:szCs w:val="24"/>
              </w:rPr>
            </w:pPr>
            <w:r w:rsidRPr="00C3488C">
              <w:rPr>
                <w:rFonts w:eastAsia="Times New Roman" w:cs="Times New Roman"/>
                <w:i/>
                <w:sz w:val="24"/>
                <w:szCs w:val="24"/>
              </w:rPr>
              <w:t xml:space="preserve"> </w:t>
            </w:r>
            <w:r w:rsidRPr="00C3488C">
              <w:rPr>
                <w:rFonts w:eastAsia="Times New Roman" w:cs="Times New Roman"/>
                <w:bCs/>
                <w:color w:val="000000"/>
                <w:sz w:val="24"/>
                <w:szCs w:val="24"/>
              </w:rPr>
              <w:t>Cost Descriptions</w:t>
            </w:r>
          </w:p>
        </w:tc>
        <w:tc>
          <w:tcPr>
            <w:tcW w:w="2070" w:type="dxa"/>
            <w:tcMar>
              <w:top w:w="72" w:type="dxa"/>
              <w:left w:w="101" w:type="dxa"/>
              <w:bottom w:w="72" w:type="dxa"/>
              <w:right w:w="101" w:type="dxa"/>
            </w:tcMar>
            <w:vAlign w:val="center"/>
          </w:tcPr>
          <w:p w:rsidR="00C3488C" w:rsidRPr="00C3488C" w:rsidP="00EF396D" w14:paraId="44CBBA7C" w14:textId="712C88DE">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Title</w:t>
            </w:r>
          </w:p>
        </w:tc>
        <w:tc>
          <w:tcPr>
            <w:tcW w:w="1615" w:type="dxa"/>
            <w:shd w:val="clear" w:color="auto" w:fill="auto"/>
            <w:tcMar>
              <w:top w:w="72" w:type="dxa"/>
              <w:left w:w="101" w:type="dxa"/>
              <w:bottom w:w="72" w:type="dxa"/>
              <w:right w:w="101" w:type="dxa"/>
            </w:tcMar>
            <w:vAlign w:val="center"/>
          </w:tcPr>
          <w:p w:rsidR="00C3488C" w:rsidRPr="00C3488C" w:rsidP="0037291F" w14:paraId="6C11B5EF" w14:textId="05C07EC3">
            <w:pPr>
              <w:spacing w:after="0" w:line="240" w:lineRule="auto"/>
              <w:jc w:val="center"/>
              <w:rPr>
                <w:rFonts w:eastAsia="Calibri" w:cs="Times New Roman"/>
                <w:bCs/>
                <w:color w:val="000000"/>
                <w:sz w:val="24"/>
                <w:szCs w:val="24"/>
              </w:rPr>
            </w:pPr>
            <w:r w:rsidRPr="00C3488C">
              <w:rPr>
                <w:rFonts w:eastAsia="Times New Roman" w:cs="Times New Roman"/>
                <w:bCs/>
                <w:color w:val="000000"/>
                <w:sz w:val="24"/>
                <w:szCs w:val="24"/>
              </w:rPr>
              <w:t>Grade/Step</w:t>
            </w:r>
          </w:p>
        </w:tc>
        <w:tc>
          <w:tcPr>
            <w:tcW w:w="1260" w:type="dxa"/>
            <w:shd w:val="clear" w:color="auto" w:fill="auto"/>
            <w:tcMar>
              <w:top w:w="72" w:type="dxa"/>
              <w:left w:w="101" w:type="dxa"/>
              <w:bottom w:w="72" w:type="dxa"/>
              <w:right w:w="101" w:type="dxa"/>
            </w:tcMar>
            <w:vAlign w:val="center"/>
            <w:hideMark/>
          </w:tcPr>
          <w:p w:rsidR="00C3488C" w:rsidRPr="00C3488C" w:rsidP="0037291F" w14:paraId="7E7D7C5E" w14:textId="4C896CB7">
            <w:pPr>
              <w:spacing w:after="0" w:line="240" w:lineRule="auto"/>
              <w:jc w:val="center"/>
              <w:rPr>
                <w:rFonts w:eastAsia="Calibri" w:cs="Times New Roman"/>
                <w:bCs/>
                <w:sz w:val="24"/>
                <w:szCs w:val="24"/>
              </w:rPr>
            </w:pPr>
            <w:r w:rsidRPr="00C3488C">
              <w:rPr>
                <w:rFonts w:eastAsia="Times New Roman" w:cs="Times New Roman"/>
                <w:bCs/>
                <w:sz w:val="24"/>
                <w:szCs w:val="24"/>
              </w:rPr>
              <w:t>Salary</w:t>
            </w:r>
            <w:r w:rsidR="00950D5A">
              <w:rPr>
                <w:rFonts w:eastAsia="Times New Roman" w:cs="Times New Roman"/>
                <w:bCs/>
                <w:sz w:val="24"/>
                <w:szCs w:val="24"/>
              </w:rPr>
              <w:t>*</w:t>
            </w:r>
            <w:r w:rsidR="00D3161C">
              <w:rPr>
                <w:rFonts w:eastAsia="Times New Roman" w:cs="Times New Roman"/>
                <w:bCs/>
                <w:sz w:val="24"/>
                <w:szCs w:val="24"/>
              </w:rPr>
              <w:t xml:space="preserve"> (</w:t>
            </w:r>
            <w:r w:rsidR="00CA7739">
              <w:rPr>
                <w:rFonts w:eastAsia="Times New Roman" w:cs="Times New Roman"/>
                <w:bCs/>
                <w:sz w:val="24"/>
                <w:szCs w:val="24"/>
              </w:rPr>
              <w:t>$)</w:t>
            </w:r>
          </w:p>
        </w:tc>
        <w:tc>
          <w:tcPr>
            <w:tcW w:w="900" w:type="dxa"/>
            <w:shd w:val="clear" w:color="auto" w:fill="auto"/>
            <w:tcMar>
              <w:top w:w="72" w:type="dxa"/>
              <w:left w:w="101" w:type="dxa"/>
              <w:bottom w:w="72" w:type="dxa"/>
              <w:right w:w="101" w:type="dxa"/>
            </w:tcMar>
            <w:vAlign w:val="center"/>
            <w:hideMark/>
          </w:tcPr>
          <w:p w:rsidR="00C3488C" w:rsidRPr="00C3488C" w:rsidP="0037291F" w14:paraId="2F192DBE" w14:textId="77777777">
            <w:pPr>
              <w:spacing w:after="0" w:line="240" w:lineRule="auto"/>
              <w:jc w:val="center"/>
              <w:rPr>
                <w:rFonts w:eastAsia="Calibri" w:cs="Times New Roman"/>
                <w:bCs/>
                <w:sz w:val="24"/>
                <w:szCs w:val="24"/>
              </w:rPr>
            </w:pPr>
            <w:r w:rsidRPr="00C3488C">
              <w:rPr>
                <w:rFonts w:eastAsia="Times New Roman" w:cs="Times New Roman"/>
                <w:bCs/>
                <w:sz w:val="24"/>
                <w:szCs w:val="24"/>
              </w:rPr>
              <w:t>% of Effort</w:t>
            </w:r>
          </w:p>
        </w:tc>
        <w:tc>
          <w:tcPr>
            <w:tcW w:w="1770" w:type="dxa"/>
            <w:shd w:val="clear" w:color="auto" w:fill="auto"/>
            <w:tcMar>
              <w:top w:w="72" w:type="dxa"/>
              <w:left w:w="101" w:type="dxa"/>
              <w:bottom w:w="72" w:type="dxa"/>
              <w:right w:w="101" w:type="dxa"/>
            </w:tcMar>
            <w:vAlign w:val="center"/>
          </w:tcPr>
          <w:p w:rsidR="00C3488C" w:rsidRPr="00C3488C" w:rsidP="0037291F" w14:paraId="3BE4B6CA" w14:textId="434383D4">
            <w:pPr>
              <w:spacing w:after="0" w:line="240" w:lineRule="auto"/>
              <w:jc w:val="center"/>
              <w:rPr>
                <w:rFonts w:eastAsia="Times New Roman" w:cs="Times New Roman"/>
                <w:bCs/>
                <w:sz w:val="24"/>
                <w:szCs w:val="24"/>
              </w:rPr>
            </w:pPr>
            <w:r w:rsidRPr="00C3488C">
              <w:rPr>
                <w:rFonts w:eastAsia="Times New Roman" w:cs="Times New Roman"/>
                <w:bCs/>
                <w:sz w:val="24"/>
                <w:szCs w:val="24"/>
              </w:rPr>
              <w:t>Total Cost</w:t>
            </w:r>
            <w:r w:rsidR="00CA7739">
              <w:rPr>
                <w:rFonts w:eastAsia="Times New Roman" w:cs="Times New Roman"/>
                <w:bCs/>
                <w:sz w:val="24"/>
                <w:szCs w:val="24"/>
              </w:rPr>
              <w:t xml:space="preserve"> ($)</w:t>
            </w:r>
            <w:r w:rsidRPr="00C3488C">
              <w:rPr>
                <w:rFonts w:eastAsia="Times New Roman" w:cs="Times New Roman"/>
                <w:bCs/>
                <w:sz w:val="24"/>
                <w:szCs w:val="24"/>
              </w:rPr>
              <w:t xml:space="preserve"> to Government</w:t>
            </w:r>
          </w:p>
        </w:tc>
      </w:tr>
      <w:tr w14:paraId="4575CF15" w14:textId="77777777" w:rsidTr="00C24E4A">
        <w:tblPrEx>
          <w:tblW w:w="9410" w:type="dxa"/>
          <w:jc w:val="center"/>
          <w:tblCellMar>
            <w:left w:w="101" w:type="dxa"/>
            <w:right w:w="101" w:type="dxa"/>
          </w:tblCellMar>
          <w:tblLook w:val="04A0"/>
        </w:tblPrEx>
        <w:trPr>
          <w:jc w:val="center"/>
        </w:trPr>
        <w:tc>
          <w:tcPr>
            <w:tcW w:w="1795" w:type="dxa"/>
            <w:vMerge w:val="restart"/>
            <w:tcMar>
              <w:top w:w="72" w:type="dxa"/>
              <w:left w:w="101" w:type="dxa"/>
              <w:bottom w:w="72" w:type="dxa"/>
              <w:right w:w="101" w:type="dxa"/>
            </w:tcMar>
            <w:vAlign w:val="center"/>
          </w:tcPr>
          <w:p w:rsidR="00E30C3C" w:rsidRPr="00C3488C" w:rsidP="006841CA" w14:paraId="0BBD8036" w14:textId="77777777">
            <w:pPr>
              <w:spacing w:after="0" w:line="240" w:lineRule="auto"/>
              <w:jc w:val="center"/>
              <w:rPr>
                <w:rFonts w:eastAsia="Calibri" w:cs="Times New Roman"/>
                <w:color w:val="000000"/>
                <w:sz w:val="24"/>
                <w:szCs w:val="24"/>
              </w:rPr>
            </w:pPr>
            <w:r w:rsidRPr="00C3488C">
              <w:rPr>
                <w:rFonts w:eastAsia="Calibri" w:cs="Times New Roman"/>
                <w:color w:val="000000"/>
                <w:sz w:val="24"/>
                <w:szCs w:val="24"/>
              </w:rPr>
              <w:t>Federal Oversight</w:t>
            </w:r>
          </w:p>
        </w:tc>
        <w:tc>
          <w:tcPr>
            <w:tcW w:w="2070" w:type="dxa"/>
            <w:shd w:val="clear" w:color="auto" w:fill="auto"/>
            <w:tcMar>
              <w:top w:w="72" w:type="dxa"/>
              <w:left w:w="101" w:type="dxa"/>
              <w:bottom w:w="72" w:type="dxa"/>
              <w:right w:w="101" w:type="dxa"/>
            </w:tcMar>
          </w:tcPr>
          <w:p w:rsidR="00E30C3C" w:rsidRPr="00EA1C41" w:rsidP="006841CA" w14:paraId="4FD3718E" w14:textId="25241546">
            <w:pPr>
              <w:spacing w:after="0" w:line="240" w:lineRule="auto"/>
              <w:jc w:val="center"/>
              <w:rPr>
                <w:rFonts w:eastAsia="Calibri" w:cs="Times New Roman"/>
                <w:color w:val="000000"/>
                <w:sz w:val="24"/>
                <w:szCs w:val="24"/>
                <w:highlight w:val="yellow"/>
              </w:rPr>
            </w:pPr>
            <w:r w:rsidRPr="00EA1C41">
              <w:rPr>
                <w:sz w:val="24"/>
                <w:szCs w:val="24"/>
                <w:highlight w:val="yellow"/>
              </w:rPr>
              <w:t>Director</w:t>
            </w:r>
          </w:p>
        </w:tc>
        <w:tc>
          <w:tcPr>
            <w:tcW w:w="1615" w:type="dxa"/>
            <w:shd w:val="clear" w:color="auto" w:fill="auto"/>
            <w:tcMar>
              <w:top w:w="72" w:type="dxa"/>
              <w:left w:w="101" w:type="dxa"/>
              <w:bottom w:w="72" w:type="dxa"/>
              <w:right w:w="101" w:type="dxa"/>
            </w:tcMar>
          </w:tcPr>
          <w:p w:rsidR="00E30C3C" w:rsidRPr="00EA1C41" w:rsidP="006841CA" w14:paraId="7FEC3F40" w14:textId="16F32386">
            <w:pPr>
              <w:spacing w:after="0" w:line="240" w:lineRule="auto"/>
              <w:jc w:val="center"/>
              <w:rPr>
                <w:rFonts w:eastAsia="Calibri" w:cs="Times New Roman"/>
                <w:color w:val="000000"/>
                <w:sz w:val="24"/>
                <w:szCs w:val="24"/>
                <w:highlight w:val="yellow"/>
              </w:rPr>
            </w:pPr>
            <w:r w:rsidRPr="00EA1C41">
              <w:rPr>
                <w:sz w:val="24"/>
                <w:szCs w:val="24"/>
                <w:highlight w:val="yellow"/>
              </w:rPr>
              <w:t>15/4</w:t>
            </w:r>
          </w:p>
        </w:tc>
        <w:tc>
          <w:tcPr>
            <w:tcW w:w="1260" w:type="dxa"/>
            <w:tcMar>
              <w:top w:w="72" w:type="dxa"/>
              <w:left w:w="101" w:type="dxa"/>
              <w:bottom w:w="72" w:type="dxa"/>
              <w:right w:w="101" w:type="dxa"/>
            </w:tcMar>
          </w:tcPr>
          <w:p w:rsidR="00E30C3C" w:rsidRPr="00EA1C41" w:rsidP="006841CA" w14:paraId="25437DD3" w14:textId="2CE46B05">
            <w:pPr>
              <w:spacing w:after="0" w:line="240" w:lineRule="auto"/>
              <w:jc w:val="right"/>
              <w:rPr>
                <w:rFonts w:eastAsia="Times New Roman" w:cs="Times New Roman"/>
                <w:sz w:val="24"/>
                <w:szCs w:val="24"/>
                <w:highlight w:val="yellow"/>
              </w:rPr>
            </w:pPr>
            <w:r w:rsidRPr="00EA1C41">
              <w:rPr>
                <w:sz w:val="24"/>
                <w:szCs w:val="24"/>
                <w:highlight w:val="yellow"/>
              </w:rPr>
              <w:t>1</w:t>
            </w:r>
            <w:r>
              <w:rPr>
                <w:sz w:val="24"/>
                <w:szCs w:val="24"/>
                <w:highlight w:val="yellow"/>
              </w:rPr>
              <w:t>71</w:t>
            </w:r>
            <w:r w:rsidRPr="00EA1C41">
              <w:rPr>
                <w:sz w:val="24"/>
                <w:szCs w:val="24"/>
                <w:highlight w:val="yellow"/>
              </w:rPr>
              <w:t>,</w:t>
            </w:r>
            <w:r>
              <w:rPr>
                <w:sz w:val="24"/>
                <w:szCs w:val="24"/>
                <w:highlight w:val="yellow"/>
              </w:rPr>
              <w:t>268</w:t>
            </w:r>
          </w:p>
        </w:tc>
        <w:tc>
          <w:tcPr>
            <w:tcW w:w="900" w:type="dxa"/>
            <w:tcMar>
              <w:top w:w="72" w:type="dxa"/>
              <w:left w:w="101" w:type="dxa"/>
              <w:bottom w:w="72" w:type="dxa"/>
              <w:right w:w="101" w:type="dxa"/>
            </w:tcMar>
          </w:tcPr>
          <w:p w:rsidR="00E30C3C" w:rsidRPr="00EA1C41" w:rsidP="006841CA" w14:paraId="293EDFFF" w14:textId="606EED60">
            <w:pPr>
              <w:spacing w:after="0" w:line="240" w:lineRule="auto"/>
              <w:jc w:val="center"/>
              <w:rPr>
                <w:rFonts w:eastAsia="Times New Roman" w:cs="Times New Roman"/>
                <w:sz w:val="24"/>
                <w:szCs w:val="24"/>
                <w:highlight w:val="yellow"/>
              </w:rPr>
            </w:pPr>
            <w:r w:rsidRPr="00EA1C41">
              <w:rPr>
                <w:sz w:val="24"/>
                <w:szCs w:val="24"/>
                <w:highlight w:val="yellow"/>
              </w:rPr>
              <w:t>10</w:t>
            </w:r>
          </w:p>
        </w:tc>
        <w:tc>
          <w:tcPr>
            <w:tcW w:w="1770" w:type="dxa"/>
            <w:tcMar>
              <w:top w:w="72" w:type="dxa"/>
              <w:left w:w="101" w:type="dxa"/>
              <w:bottom w:w="72" w:type="dxa"/>
              <w:right w:w="101" w:type="dxa"/>
            </w:tcMar>
          </w:tcPr>
          <w:p w:rsidR="00E30C3C" w:rsidRPr="00EA1C41" w:rsidP="006841CA" w14:paraId="3A2F58FE" w14:textId="3EEE27E2">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1</w:t>
            </w:r>
            <w:r>
              <w:rPr>
                <w:rFonts w:eastAsia="Times New Roman" w:cs="Times New Roman"/>
                <w:sz w:val="24"/>
                <w:szCs w:val="24"/>
                <w:highlight w:val="yellow"/>
              </w:rPr>
              <w:t>7</w:t>
            </w:r>
            <w:r w:rsidRPr="00EA1C41">
              <w:rPr>
                <w:rFonts w:eastAsia="Times New Roman" w:cs="Times New Roman"/>
                <w:sz w:val="24"/>
                <w:szCs w:val="24"/>
                <w:highlight w:val="yellow"/>
              </w:rPr>
              <w:t>,</w:t>
            </w:r>
            <w:r>
              <w:rPr>
                <w:rFonts w:eastAsia="Times New Roman" w:cs="Times New Roman"/>
                <w:sz w:val="24"/>
                <w:szCs w:val="24"/>
                <w:highlight w:val="yellow"/>
              </w:rPr>
              <w:t>127</w:t>
            </w:r>
          </w:p>
        </w:tc>
      </w:tr>
      <w:tr w14:paraId="0E452805"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021B36" w14:paraId="60E405D4"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021B36" w14:paraId="26C07540" w14:textId="11D2BDAD">
            <w:pPr>
              <w:spacing w:after="0" w:line="240" w:lineRule="auto"/>
              <w:jc w:val="center"/>
              <w:rPr>
                <w:rFonts w:eastAsia="Calibri" w:cs="Times New Roman"/>
                <w:color w:val="000000"/>
                <w:sz w:val="24"/>
                <w:szCs w:val="24"/>
                <w:highlight w:val="yellow"/>
              </w:rPr>
            </w:pPr>
            <w:r w:rsidRPr="00EA1C41">
              <w:rPr>
                <w:rFonts w:eastAsia="Calibri" w:cs="Times New Roman"/>
                <w:color w:val="000000"/>
                <w:sz w:val="24"/>
                <w:szCs w:val="24"/>
                <w:highlight w:val="yellow"/>
              </w:rPr>
              <w:t>Assurance Officer</w:t>
            </w:r>
          </w:p>
        </w:tc>
        <w:tc>
          <w:tcPr>
            <w:tcW w:w="1615" w:type="dxa"/>
            <w:tcMar>
              <w:top w:w="72" w:type="dxa"/>
              <w:left w:w="101" w:type="dxa"/>
              <w:bottom w:w="72" w:type="dxa"/>
              <w:right w:w="101" w:type="dxa"/>
            </w:tcMar>
            <w:vAlign w:val="center"/>
          </w:tcPr>
          <w:p w:rsidR="00E30C3C" w:rsidRPr="00EA1C41" w:rsidP="00021B36" w14:paraId="405EECEB" w14:textId="4C2E37D2">
            <w:pPr>
              <w:spacing w:after="0" w:line="240" w:lineRule="auto"/>
              <w:jc w:val="center"/>
              <w:rPr>
                <w:rFonts w:eastAsia="Calibri" w:cs="Times New Roman"/>
                <w:color w:val="000000"/>
                <w:sz w:val="24"/>
                <w:szCs w:val="24"/>
                <w:highlight w:val="yellow"/>
              </w:rPr>
            </w:pPr>
            <w:r w:rsidRPr="00EA1C41">
              <w:rPr>
                <w:rFonts w:eastAsia="Calibri" w:cs="Times New Roman"/>
                <w:sz w:val="24"/>
                <w:szCs w:val="24"/>
                <w:highlight w:val="yellow"/>
              </w:rPr>
              <w:t>14/7</w:t>
            </w:r>
          </w:p>
        </w:tc>
        <w:tc>
          <w:tcPr>
            <w:tcW w:w="1260" w:type="dxa"/>
            <w:tcMar>
              <w:top w:w="72" w:type="dxa"/>
              <w:left w:w="101" w:type="dxa"/>
              <w:bottom w:w="72" w:type="dxa"/>
              <w:right w:w="101" w:type="dxa"/>
            </w:tcMar>
            <w:vAlign w:val="center"/>
          </w:tcPr>
          <w:p w:rsidR="00E30C3C" w:rsidRPr="00EA1C41" w:rsidP="00021B36" w14:paraId="14B3D6F4" w14:textId="6003FDD7">
            <w:pPr>
              <w:spacing w:after="0" w:line="240" w:lineRule="auto"/>
              <w:jc w:val="right"/>
              <w:rPr>
                <w:rFonts w:eastAsia="Times New Roman" w:cs="Times New Roman"/>
                <w:sz w:val="24"/>
                <w:szCs w:val="24"/>
                <w:highlight w:val="yellow"/>
              </w:rPr>
            </w:pPr>
            <w:r w:rsidRPr="00EA1C41">
              <w:rPr>
                <w:rFonts w:eastAsia="Calibri" w:cs="Times New Roman"/>
                <w:sz w:val="24"/>
                <w:szCs w:val="24"/>
                <w:highlight w:val="yellow"/>
              </w:rPr>
              <w:t>15</w:t>
            </w:r>
            <w:r>
              <w:rPr>
                <w:rFonts w:eastAsia="Calibri" w:cs="Times New Roman"/>
                <w:sz w:val="24"/>
                <w:szCs w:val="24"/>
                <w:highlight w:val="yellow"/>
              </w:rPr>
              <w:t>8</w:t>
            </w:r>
            <w:r w:rsidRPr="00EA1C41">
              <w:rPr>
                <w:rFonts w:eastAsia="Calibri" w:cs="Times New Roman"/>
                <w:sz w:val="24"/>
                <w:szCs w:val="24"/>
                <w:highlight w:val="yellow"/>
              </w:rPr>
              <w:t>,</w:t>
            </w:r>
            <w:r>
              <w:rPr>
                <w:rFonts w:eastAsia="Calibri" w:cs="Times New Roman"/>
                <w:sz w:val="24"/>
                <w:szCs w:val="24"/>
                <w:highlight w:val="yellow"/>
              </w:rPr>
              <w:t>840</w:t>
            </w:r>
          </w:p>
        </w:tc>
        <w:tc>
          <w:tcPr>
            <w:tcW w:w="900" w:type="dxa"/>
            <w:tcMar>
              <w:top w:w="72" w:type="dxa"/>
              <w:left w:w="101" w:type="dxa"/>
              <w:bottom w:w="72" w:type="dxa"/>
              <w:right w:w="101" w:type="dxa"/>
            </w:tcMar>
            <w:vAlign w:val="center"/>
          </w:tcPr>
          <w:p w:rsidR="00E30C3C" w:rsidRPr="00EA1C41" w:rsidP="00021B36" w14:paraId="524A117A" w14:textId="5FC01BFD">
            <w:pPr>
              <w:spacing w:after="0" w:line="240" w:lineRule="auto"/>
              <w:jc w:val="center"/>
              <w:rPr>
                <w:rFonts w:eastAsia="Times New Roman" w:cs="Times New Roman"/>
                <w:sz w:val="24"/>
                <w:szCs w:val="24"/>
                <w:highlight w:val="yellow"/>
              </w:rPr>
            </w:pPr>
            <w:r w:rsidRPr="00EA1C41">
              <w:rPr>
                <w:rFonts w:eastAsia="Calibri" w:cs="Times New Roman"/>
                <w:sz w:val="24"/>
                <w:szCs w:val="24"/>
                <w:highlight w:val="yellow"/>
              </w:rPr>
              <w:t>60</w:t>
            </w:r>
          </w:p>
        </w:tc>
        <w:tc>
          <w:tcPr>
            <w:tcW w:w="1770" w:type="dxa"/>
            <w:tcMar>
              <w:top w:w="72" w:type="dxa"/>
              <w:left w:w="101" w:type="dxa"/>
              <w:bottom w:w="72" w:type="dxa"/>
              <w:right w:w="101" w:type="dxa"/>
            </w:tcMar>
            <w:vAlign w:val="center"/>
          </w:tcPr>
          <w:p w:rsidR="00E30C3C" w:rsidRPr="00EA1C41" w:rsidP="00021B36" w14:paraId="7E8D500E" w14:textId="1F6E45DC">
            <w:pPr>
              <w:spacing w:after="0" w:line="240" w:lineRule="auto"/>
              <w:jc w:val="right"/>
              <w:rPr>
                <w:rFonts w:eastAsia="Times New Roman" w:cs="Times New Roman"/>
                <w:sz w:val="24"/>
                <w:szCs w:val="24"/>
                <w:highlight w:val="yellow"/>
              </w:rPr>
            </w:pPr>
            <w:r>
              <w:rPr>
                <w:rFonts w:eastAsia="Times New Roman" w:cs="Times New Roman"/>
                <w:sz w:val="24"/>
                <w:szCs w:val="24"/>
                <w:highlight w:val="yellow"/>
              </w:rPr>
              <w:t>95,304</w:t>
            </w:r>
          </w:p>
        </w:tc>
      </w:tr>
      <w:tr w14:paraId="27551A65"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6841CA" w14:paraId="5396250E"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6841CA" w14:paraId="1C7B2D0D" w14:textId="3BC7D15A">
            <w:pPr>
              <w:spacing w:after="0" w:line="240" w:lineRule="auto"/>
              <w:jc w:val="center"/>
              <w:rPr>
                <w:rFonts w:eastAsia="Calibri" w:cs="Times New Roman"/>
                <w:sz w:val="24"/>
                <w:szCs w:val="24"/>
                <w:highlight w:val="yellow"/>
              </w:rPr>
            </w:pPr>
            <w:r w:rsidRPr="00EA1C41">
              <w:rPr>
                <w:rFonts w:eastAsia="Calibri" w:cs="Times New Roman"/>
                <w:color w:val="000000"/>
                <w:sz w:val="24"/>
                <w:szCs w:val="24"/>
                <w:highlight w:val="yellow"/>
              </w:rPr>
              <w:t>Assurance Officer</w:t>
            </w:r>
          </w:p>
        </w:tc>
        <w:tc>
          <w:tcPr>
            <w:tcW w:w="1615" w:type="dxa"/>
            <w:tcMar>
              <w:top w:w="72" w:type="dxa"/>
              <w:left w:w="101" w:type="dxa"/>
              <w:bottom w:w="72" w:type="dxa"/>
              <w:right w:w="101" w:type="dxa"/>
            </w:tcMar>
            <w:vAlign w:val="center"/>
          </w:tcPr>
          <w:p w:rsidR="00E30C3C" w:rsidRPr="00EA1C41" w:rsidP="006841CA" w14:paraId="42186E6A" w14:textId="78DFD872">
            <w:pPr>
              <w:spacing w:after="0" w:line="240" w:lineRule="auto"/>
              <w:jc w:val="center"/>
              <w:rPr>
                <w:rFonts w:eastAsia="Calibri" w:cs="Times New Roman"/>
                <w:sz w:val="24"/>
                <w:szCs w:val="24"/>
                <w:highlight w:val="yellow"/>
              </w:rPr>
            </w:pPr>
            <w:r w:rsidRPr="00EA1C41">
              <w:rPr>
                <w:rFonts w:eastAsia="Calibri" w:cs="Times New Roman"/>
                <w:color w:val="000000"/>
                <w:sz w:val="24"/>
                <w:szCs w:val="24"/>
                <w:highlight w:val="yellow"/>
              </w:rPr>
              <w:t>14/</w:t>
            </w:r>
            <w:r>
              <w:rPr>
                <w:rFonts w:eastAsia="Calibri" w:cs="Times New Roman"/>
                <w:color w:val="000000"/>
                <w:sz w:val="24"/>
                <w:szCs w:val="24"/>
                <w:highlight w:val="yellow"/>
              </w:rPr>
              <w:t>6</w:t>
            </w:r>
            <w:r w:rsidRPr="00EA1C41">
              <w:rPr>
                <w:rFonts w:eastAsia="Calibri" w:cs="Times New Roman"/>
                <w:color w:val="000000"/>
                <w:sz w:val="24"/>
                <w:szCs w:val="24"/>
                <w:highlight w:val="yellow"/>
              </w:rPr>
              <w:t xml:space="preserve"> @ 75%</w:t>
            </w:r>
          </w:p>
        </w:tc>
        <w:tc>
          <w:tcPr>
            <w:tcW w:w="1260" w:type="dxa"/>
            <w:tcMar>
              <w:top w:w="72" w:type="dxa"/>
              <w:left w:w="101" w:type="dxa"/>
              <w:bottom w:w="72" w:type="dxa"/>
              <w:right w:w="101" w:type="dxa"/>
            </w:tcMar>
            <w:vAlign w:val="center"/>
          </w:tcPr>
          <w:p w:rsidR="00E30C3C" w:rsidRPr="00EA1C41" w:rsidP="006841CA" w14:paraId="3E50BAAA" w14:textId="1ED987E7">
            <w:pPr>
              <w:spacing w:after="0" w:line="240" w:lineRule="auto"/>
              <w:jc w:val="right"/>
              <w:rPr>
                <w:rFonts w:eastAsia="Calibri" w:cs="Times New Roman"/>
                <w:sz w:val="24"/>
                <w:szCs w:val="24"/>
                <w:highlight w:val="yellow"/>
              </w:rPr>
            </w:pPr>
            <w:r w:rsidRPr="00EA1C41">
              <w:rPr>
                <w:rFonts w:eastAsia="Times New Roman" w:cs="Times New Roman"/>
                <w:sz w:val="24"/>
                <w:szCs w:val="24"/>
                <w:highlight w:val="yellow"/>
              </w:rPr>
              <w:t>1</w:t>
            </w:r>
            <w:r>
              <w:rPr>
                <w:rFonts w:eastAsia="Times New Roman" w:cs="Times New Roman"/>
                <w:sz w:val="24"/>
                <w:szCs w:val="24"/>
                <w:highlight w:val="yellow"/>
              </w:rPr>
              <w:t>5</w:t>
            </w:r>
            <w:r w:rsidRPr="00EA1C41">
              <w:rPr>
                <w:rFonts w:eastAsia="Times New Roman" w:cs="Times New Roman"/>
                <w:sz w:val="24"/>
                <w:szCs w:val="24"/>
                <w:highlight w:val="yellow"/>
              </w:rPr>
              <w:t>4,</w:t>
            </w:r>
            <w:r>
              <w:rPr>
                <w:rFonts w:eastAsia="Times New Roman" w:cs="Times New Roman"/>
                <w:sz w:val="24"/>
                <w:szCs w:val="24"/>
                <w:highlight w:val="yellow"/>
              </w:rPr>
              <w:t>428</w:t>
            </w:r>
          </w:p>
        </w:tc>
        <w:tc>
          <w:tcPr>
            <w:tcW w:w="900" w:type="dxa"/>
            <w:tcMar>
              <w:top w:w="72" w:type="dxa"/>
              <w:left w:w="101" w:type="dxa"/>
              <w:bottom w:w="72" w:type="dxa"/>
              <w:right w:w="101" w:type="dxa"/>
            </w:tcMar>
            <w:vAlign w:val="center"/>
          </w:tcPr>
          <w:p w:rsidR="00E30C3C" w:rsidRPr="00EA1C41" w:rsidP="006841CA" w14:paraId="3A15E3A6" w14:textId="5FB68ACB">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10</w:t>
            </w:r>
          </w:p>
        </w:tc>
        <w:tc>
          <w:tcPr>
            <w:tcW w:w="1770" w:type="dxa"/>
            <w:tcMar>
              <w:top w:w="72" w:type="dxa"/>
              <w:left w:w="101" w:type="dxa"/>
              <w:bottom w:w="72" w:type="dxa"/>
              <w:right w:w="101" w:type="dxa"/>
            </w:tcMar>
            <w:vAlign w:val="center"/>
          </w:tcPr>
          <w:p w:rsidR="00E30C3C" w:rsidRPr="00EA1C41" w:rsidP="006841CA" w14:paraId="328805D9" w14:textId="04FEE455">
            <w:pPr>
              <w:spacing w:after="0" w:line="240" w:lineRule="auto"/>
              <w:jc w:val="right"/>
              <w:rPr>
                <w:rFonts w:eastAsia="Times New Roman" w:cs="Times New Roman"/>
                <w:sz w:val="24"/>
                <w:szCs w:val="24"/>
                <w:highlight w:val="yellow"/>
              </w:rPr>
            </w:pPr>
            <w:r>
              <w:rPr>
                <w:rFonts w:eastAsia="Times New Roman" w:cs="Times New Roman"/>
                <w:sz w:val="24"/>
                <w:szCs w:val="24"/>
                <w:highlight w:val="yellow"/>
              </w:rPr>
              <w:t>11,</w:t>
            </w:r>
            <w:r w:rsidR="0053573F">
              <w:rPr>
                <w:rFonts w:eastAsia="Times New Roman" w:cs="Times New Roman"/>
                <w:sz w:val="24"/>
                <w:szCs w:val="24"/>
                <w:highlight w:val="yellow"/>
              </w:rPr>
              <w:t>582</w:t>
            </w:r>
          </w:p>
        </w:tc>
      </w:tr>
      <w:tr w14:paraId="7A3F545A"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021B36" w14:paraId="06E24FE3"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021B36" w14:paraId="7C8412FD" w14:textId="2BBB64DE">
            <w:pPr>
              <w:spacing w:after="0" w:line="240" w:lineRule="auto"/>
              <w:jc w:val="center"/>
              <w:rPr>
                <w:rFonts w:eastAsia="Calibri" w:cs="Times New Roman"/>
                <w:sz w:val="24"/>
                <w:szCs w:val="24"/>
                <w:highlight w:val="yellow"/>
              </w:rPr>
            </w:pPr>
            <w:r w:rsidRPr="00EA1C41">
              <w:rPr>
                <w:rFonts w:eastAsia="Calibri" w:cs="Times New Roman"/>
                <w:color w:val="000000"/>
                <w:sz w:val="24"/>
                <w:szCs w:val="24"/>
                <w:highlight w:val="yellow"/>
              </w:rPr>
              <w:t>Assurance Officer</w:t>
            </w:r>
          </w:p>
        </w:tc>
        <w:tc>
          <w:tcPr>
            <w:tcW w:w="1615" w:type="dxa"/>
            <w:tcMar>
              <w:top w:w="72" w:type="dxa"/>
              <w:left w:w="101" w:type="dxa"/>
              <w:bottom w:w="72" w:type="dxa"/>
              <w:right w:w="101" w:type="dxa"/>
            </w:tcMar>
            <w:vAlign w:val="center"/>
          </w:tcPr>
          <w:p w:rsidR="00E30C3C" w:rsidRPr="00EA1C41" w:rsidP="00021B36" w14:paraId="331F7DF9" w14:textId="1DA33E96">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13/10</w:t>
            </w:r>
          </w:p>
        </w:tc>
        <w:tc>
          <w:tcPr>
            <w:tcW w:w="1260" w:type="dxa"/>
            <w:tcMar>
              <w:top w:w="72" w:type="dxa"/>
              <w:left w:w="101" w:type="dxa"/>
              <w:bottom w:w="72" w:type="dxa"/>
              <w:right w:w="101" w:type="dxa"/>
            </w:tcMar>
            <w:vAlign w:val="center"/>
          </w:tcPr>
          <w:p w:rsidR="00E30C3C" w:rsidRPr="00EA1C41" w:rsidP="00021B36" w14:paraId="5A30905F" w14:textId="5E512005">
            <w:pPr>
              <w:spacing w:after="0" w:line="240" w:lineRule="auto"/>
              <w:jc w:val="right"/>
              <w:rPr>
                <w:rFonts w:eastAsia="Calibri" w:cs="Times New Roman"/>
                <w:sz w:val="24"/>
                <w:szCs w:val="24"/>
                <w:highlight w:val="yellow"/>
              </w:rPr>
            </w:pPr>
            <w:r w:rsidRPr="00EA1C41">
              <w:rPr>
                <w:rFonts w:eastAsia="Calibri" w:cs="Times New Roman"/>
                <w:sz w:val="24"/>
                <w:szCs w:val="24"/>
                <w:highlight w:val="yellow"/>
              </w:rPr>
              <w:t>1</w:t>
            </w:r>
            <w:r>
              <w:rPr>
                <w:rFonts w:eastAsia="Calibri" w:cs="Times New Roman"/>
                <w:sz w:val="24"/>
                <w:szCs w:val="24"/>
                <w:highlight w:val="yellow"/>
              </w:rPr>
              <w:t>45,617</w:t>
            </w:r>
          </w:p>
        </w:tc>
        <w:tc>
          <w:tcPr>
            <w:tcW w:w="900" w:type="dxa"/>
            <w:tcMar>
              <w:top w:w="72" w:type="dxa"/>
              <w:left w:w="101" w:type="dxa"/>
              <w:bottom w:w="72" w:type="dxa"/>
              <w:right w:w="101" w:type="dxa"/>
            </w:tcMar>
            <w:vAlign w:val="center"/>
          </w:tcPr>
          <w:p w:rsidR="00E30C3C" w:rsidRPr="00EA1C41" w:rsidP="00021B36" w14:paraId="141F8154" w14:textId="6EC99627">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75</w:t>
            </w:r>
          </w:p>
        </w:tc>
        <w:tc>
          <w:tcPr>
            <w:tcW w:w="1770" w:type="dxa"/>
            <w:tcMar>
              <w:top w:w="72" w:type="dxa"/>
              <w:left w:w="101" w:type="dxa"/>
              <w:bottom w:w="72" w:type="dxa"/>
              <w:right w:w="101" w:type="dxa"/>
            </w:tcMar>
            <w:vAlign w:val="center"/>
          </w:tcPr>
          <w:p w:rsidR="00E30C3C" w:rsidRPr="00EA1C41" w:rsidP="00021B36" w14:paraId="0337442E" w14:textId="26549DF6">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10</w:t>
            </w:r>
            <w:r>
              <w:rPr>
                <w:rFonts w:eastAsia="Times New Roman" w:cs="Times New Roman"/>
                <w:sz w:val="24"/>
                <w:szCs w:val="24"/>
                <w:highlight w:val="yellow"/>
              </w:rPr>
              <w:t>9,213</w:t>
            </w:r>
          </w:p>
        </w:tc>
      </w:tr>
      <w:tr w14:paraId="70D5FED2"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021B36" w14:paraId="7E4275FD" w14:textId="1EB10234">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021B36" w14:paraId="54B0807D" w14:textId="561E8A2D">
            <w:pPr>
              <w:spacing w:after="0" w:line="240" w:lineRule="auto"/>
              <w:jc w:val="center"/>
              <w:rPr>
                <w:rFonts w:eastAsia="Calibri" w:cs="Times New Roman"/>
                <w:sz w:val="24"/>
                <w:szCs w:val="24"/>
                <w:highlight w:val="yellow"/>
              </w:rPr>
            </w:pPr>
            <w:r w:rsidRPr="00EA1C41">
              <w:rPr>
                <w:rFonts w:eastAsia="Calibri" w:cs="Times New Roman"/>
                <w:color w:val="000000"/>
                <w:sz w:val="24"/>
                <w:szCs w:val="24"/>
                <w:highlight w:val="yellow"/>
              </w:rPr>
              <w:t>Assurance Officer</w:t>
            </w:r>
          </w:p>
        </w:tc>
        <w:tc>
          <w:tcPr>
            <w:tcW w:w="1615" w:type="dxa"/>
            <w:shd w:val="clear" w:color="auto" w:fill="auto"/>
            <w:tcMar>
              <w:top w:w="72" w:type="dxa"/>
              <w:left w:w="101" w:type="dxa"/>
              <w:bottom w:w="72" w:type="dxa"/>
              <w:right w:w="101" w:type="dxa"/>
            </w:tcMar>
            <w:vAlign w:val="center"/>
          </w:tcPr>
          <w:p w:rsidR="00E30C3C" w:rsidRPr="00EA1C41" w:rsidP="00021B36" w14:paraId="56B57766" w14:textId="7C64952A">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O5</w:t>
            </w:r>
          </w:p>
        </w:tc>
        <w:tc>
          <w:tcPr>
            <w:tcW w:w="1260" w:type="dxa"/>
            <w:tcMar>
              <w:top w:w="72" w:type="dxa"/>
              <w:left w:w="101" w:type="dxa"/>
              <w:bottom w:w="72" w:type="dxa"/>
              <w:right w:w="101" w:type="dxa"/>
            </w:tcMar>
            <w:vAlign w:val="center"/>
          </w:tcPr>
          <w:p w:rsidR="00E30C3C" w:rsidRPr="00EA1C41" w:rsidP="00021B36" w14:paraId="0AB27413" w14:textId="631DA091">
            <w:pPr>
              <w:spacing w:after="0" w:line="240" w:lineRule="auto"/>
              <w:jc w:val="right"/>
              <w:rPr>
                <w:rFonts w:eastAsia="Calibri" w:cs="Times New Roman"/>
                <w:sz w:val="24"/>
                <w:szCs w:val="24"/>
                <w:highlight w:val="yellow"/>
              </w:rPr>
            </w:pPr>
            <w:r w:rsidRPr="00EA1C41">
              <w:rPr>
                <w:rFonts w:eastAsia="Calibri" w:cs="Times New Roman"/>
                <w:sz w:val="24"/>
                <w:szCs w:val="24"/>
                <w:highlight w:val="yellow"/>
              </w:rPr>
              <w:t>145,808</w:t>
            </w:r>
          </w:p>
        </w:tc>
        <w:tc>
          <w:tcPr>
            <w:tcW w:w="900" w:type="dxa"/>
            <w:tcMar>
              <w:top w:w="72" w:type="dxa"/>
              <w:left w:w="101" w:type="dxa"/>
              <w:bottom w:w="72" w:type="dxa"/>
              <w:right w:w="101" w:type="dxa"/>
            </w:tcMar>
            <w:vAlign w:val="center"/>
          </w:tcPr>
          <w:p w:rsidR="00E30C3C" w:rsidRPr="00EA1C41" w:rsidP="00021B36" w14:paraId="7B1BC594" w14:textId="2A3BDB6E">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75</w:t>
            </w:r>
          </w:p>
        </w:tc>
        <w:tc>
          <w:tcPr>
            <w:tcW w:w="1770" w:type="dxa"/>
            <w:tcMar>
              <w:top w:w="72" w:type="dxa"/>
              <w:left w:w="101" w:type="dxa"/>
              <w:bottom w:w="72" w:type="dxa"/>
              <w:right w:w="101" w:type="dxa"/>
            </w:tcMar>
            <w:vAlign w:val="center"/>
          </w:tcPr>
          <w:p w:rsidR="00E30C3C" w:rsidRPr="00EA1C41" w:rsidP="00021B36" w14:paraId="54FFB52A" w14:textId="30D98AFE">
            <w:pPr>
              <w:spacing w:after="0" w:line="240" w:lineRule="auto"/>
              <w:jc w:val="right"/>
              <w:rPr>
                <w:rFonts w:eastAsia="Times New Roman" w:cs="Times New Roman"/>
                <w:sz w:val="24"/>
                <w:szCs w:val="24"/>
                <w:highlight w:val="yellow"/>
              </w:rPr>
            </w:pPr>
            <w:r>
              <w:rPr>
                <w:rFonts w:eastAsia="Times New Roman" w:cs="Times New Roman"/>
                <w:sz w:val="24"/>
                <w:szCs w:val="24"/>
                <w:highlight w:val="yellow"/>
              </w:rPr>
              <w:t>109,356</w:t>
            </w:r>
          </w:p>
        </w:tc>
      </w:tr>
      <w:tr w14:paraId="130FD359"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C3488C" w14:paraId="1A6149D4"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EF396D" w14:paraId="2159FE8B" w14:textId="3CA7C488">
            <w:pPr>
              <w:spacing w:after="0" w:line="240" w:lineRule="auto"/>
              <w:jc w:val="center"/>
              <w:rPr>
                <w:rFonts w:eastAsia="Calibri" w:cs="Times New Roman"/>
                <w:color w:val="000000"/>
                <w:sz w:val="24"/>
                <w:szCs w:val="24"/>
                <w:highlight w:val="yellow"/>
              </w:rPr>
            </w:pPr>
            <w:r w:rsidRPr="00EA1C41">
              <w:rPr>
                <w:rFonts w:eastAsia="Calibri" w:cs="Times New Roman"/>
                <w:color w:val="000000"/>
                <w:sz w:val="24"/>
                <w:szCs w:val="24"/>
                <w:highlight w:val="yellow"/>
              </w:rPr>
              <w:t xml:space="preserve">Assurance </w:t>
            </w:r>
            <w:r>
              <w:rPr>
                <w:rFonts w:eastAsia="Calibri" w:cs="Times New Roman"/>
                <w:color w:val="000000"/>
                <w:sz w:val="24"/>
                <w:szCs w:val="24"/>
                <w:highlight w:val="yellow"/>
              </w:rPr>
              <w:t>Analyst</w:t>
            </w:r>
          </w:p>
        </w:tc>
        <w:tc>
          <w:tcPr>
            <w:tcW w:w="1615" w:type="dxa"/>
            <w:shd w:val="clear" w:color="auto" w:fill="auto"/>
            <w:tcMar>
              <w:top w:w="72" w:type="dxa"/>
              <w:left w:w="101" w:type="dxa"/>
              <w:bottom w:w="72" w:type="dxa"/>
              <w:right w:w="101" w:type="dxa"/>
            </w:tcMar>
            <w:vAlign w:val="center"/>
          </w:tcPr>
          <w:p w:rsidR="00E30C3C" w:rsidRPr="00EA1C41" w:rsidP="00EF396D" w14:paraId="1486DAA3" w14:textId="004886B4">
            <w:pPr>
              <w:spacing w:after="0" w:line="240" w:lineRule="auto"/>
              <w:jc w:val="center"/>
              <w:rPr>
                <w:rFonts w:eastAsia="Calibri" w:cs="Times New Roman"/>
                <w:sz w:val="24"/>
                <w:szCs w:val="24"/>
                <w:highlight w:val="yellow"/>
              </w:rPr>
            </w:pPr>
            <w:r>
              <w:rPr>
                <w:rFonts w:eastAsia="Calibri" w:cs="Times New Roman"/>
                <w:sz w:val="24"/>
                <w:szCs w:val="24"/>
                <w:highlight w:val="yellow"/>
              </w:rPr>
              <w:t>12/2</w:t>
            </w:r>
          </w:p>
        </w:tc>
        <w:tc>
          <w:tcPr>
            <w:tcW w:w="1260" w:type="dxa"/>
            <w:tcMar>
              <w:top w:w="72" w:type="dxa"/>
              <w:left w:w="101" w:type="dxa"/>
              <w:bottom w:w="72" w:type="dxa"/>
              <w:right w:w="101" w:type="dxa"/>
            </w:tcMar>
            <w:vAlign w:val="center"/>
          </w:tcPr>
          <w:p w:rsidR="00E30C3C" w:rsidRPr="00EA1C41" w:rsidP="00003336" w14:paraId="147E6547" w14:textId="4F588EFD">
            <w:pPr>
              <w:spacing w:after="0" w:line="240" w:lineRule="auto"/>
              <w:jc w:val="right"/>
              <w:rPr>
                <w:rFonts w:eastAsia="Calibri" w:cs="Times New Roman"/>
                <w:sz w:val="24"/>
                <w:szCs w:val="24"/>
                <w:highlight w:val="yellow"/>
              </w:rPr>
            </w:pPr>
            <w:r>
              <w:rPr>
                <w:rFonts w:eastAsia="Calibri" w:cs="Times New Roman"/>
                <w:sz w:val="24"/>
                <w:szCs w:val="24"/>
                <w:highlight w:val="yellow"/>
              </w:rPr>
              <w:t>97,339</w:t>
            </w:r>
          </w:p>
        </w:tc>
        <w:tc>
          <w:tcPr>
            <w:tcW w:w="900" w:type="dxa"/>
            <w:tcMar>
              <w:top w:w="72" w:type="dxa"/>
              <w:left w:w="101" w:type="dxa"/>
              <w:bottom w:w="72" w:type="dxa"/>
              <w:right w:w="101" w:type="dxa"/>
            </w:tcMar>
            <w:vAlign w:val="center"/>
          </w:tcPr>
          <w:p w:rsidR="00E30C3C" w:rsidRPr="00EA1C41" w:rsidP="00003336" w14:paraId="500001E6" w14:textId="6FF25291">
            <w:pPr>
              <w:spacing w:after="0" w:line="240" w:lineRule="auto"/>
              <w:jc w:val="center"/>
              <w:rPr>
                <w:rFonts w:eastAsia="Calibri" w:cs="Times New Roman"/>
                <w:sz w:val="24"/>
                <w:szCs w:val="24"/>
                <w:highlight w:val="yellow"/>
              </w:rPr>
            </w:pPr>
            <w:r>
              <w:rPr>
                <w:rFonts w:eastAsia="Calibri" w:cs="Times New Roman"/>
                <w:sz w:val="24"/>
                <w:szCs w:val="24"/>
                <w:highlight w:val="yellow"/>
              </w:rPr>
              <w:t>50</w:t>
            </w:r>
          </w:p>
        </w:tc>
        <w:tc>
          <w:tcPr>
            <w:tcW w:w="1770" w:type="dxa"/>
            <w:tcMar>
              <w:top w:w="72" w:type="dxa"/>
              <w:left w:w="101" w:type="dxa"/>
              <w:bottom w:w="72" w:type="dxa"/>
              <w:right w:w="101" w:type="dxa"/>
            </w:tcMar>
            <w:vAlign w:val="center"/>
          </w:tcPr>
          <w:p w:rsidR="00E30C3C" w:rsidRPr="00EA1C41" w:rsidP="00D3161C" w14:paraId="2B55BBBC" w14:textId="6BDE3063">
            <w:pPr>
              <w:spacing w:after="0" w:line="240" w:lineRule="auto"/>
              <w:jc w:val="right"/>
              <w:rPr>
                <w:rFonts w:eastAsia="Times New Roman" w:cs="Times New Roman"/>
                <w:sz w:val="24"/>
                <w:szCs w:val="24"/>
                <w:highlight w:val="yellow"/>
              </w:rPr>
            </w:pPr>
            <w:r>
              <w:rPr>
                <w:rFonts w:eastAsia="Times New Roman" w:cs="Times New Roman"/>
                <w:sz w:val="24"/>
                <w:szCs w:val="24"/>
                <w:highlight w:val="yellow"/>
              </w:rPr>
              <w:t>48,670</w:t>
            </w:r>
          </w:p>
        </w:tc>
      </w:tr>
      <w:tr w14:paraId="6D32B8B1"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C3488C" w14:paraId="5C9DB413"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EF396D" w14:paraId="753A6D78" w14:textId="64E4582F">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Program Analyst</w:t>
            </w:r>
          </w:p>
        </w:tc>
        <w:tc>
          <w:tcPr>
            <w:tcW w:w="1615" w:type="dxa"/>
            <w:tcMar>
              <w:top w:w="72" w:type="dxa"/>
              <w:left w:w="101" w:type="dxa"/>
              <w:bottom w:w="72" w:type="dxa"/>
              <w:right w:w="101" w:type="dxa"/>
            </w:tcMar>
            <w:vAlign w:val="center"/>
          </w:tcPr>
          <w:p w:rsidR="00E30C3C" w:rsidRPr="00EA1C41" w:rsidP="00EF396D" w14:paraId="29122B6C" w14:textId="6B9BD8A8">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1</w:t>
            </w:r>
            <w:r>
              <w:rPr>
                <w:rFonts w:eastAsia="Calibri" w:cs="Times New Roman"/>
                <w:sz w:val="24"/>
                <w:szCs w:val="24"/>
                <w:highlight w:val="yellow"/>
              </w:rPr>
              <w:t>3</w:t>
            </w:r>
            <w:r w:rsidRPr="00EA1C41">
              <w:rPr>
                <w:rFonts w:eastAsia="Calibri" w:cs="Times New Roman"/>
                <w:sz w:val="24"/>
                <w:szCs w:val="24"/>
                <w:highlight w:val="yellow"/>
              </w:rPr>
              <w:t>/</w:t>
            </w:r>
            <w:r>
              <w:rPr>
                <w:rFonts w:eastAsia="Calibri" w:cs="Times New Roman"/>
                <w:sz w:val="24"/>
                <w:szCs w:val="24"/>
                <w:highlight w:val="yellow"/>
              </w:rPr>
              <w:t>3</w:t>
            </w:r>
          </w:p>
        </w:tc>
        <w:tc>
          <w:tcPr>
            <w:tcW w:w="1260" w:type="dxa"/>
            <w:tcMar>
              <w:top w:w="72" w:type="dxa"/>
              <w:left w:w="101" w:type="dxa"/>
              <w:bottom w:w="72" w:type="dxa"/>
              <w:right w:w="101" w:type="dxa"/>
            </w:tcMar>
            <w:vAlign w:val="center"/>
          </w:tcPr>
          <w:p w:rsidR="00E30C3C" w:rsidRPr="00EA1C41" w:rsidP="00003336" w14:paraId="3918A501" w14:textId="7378F795">
            <w:pPr>
              <w:spacing w:after="0" w:line="240" w:lineRule="auto"/>
              <w:jc w:val="right"/>
              <w:rPr>
                <w:rFonts w:eastAsia="Calibri" w:cs="Times New Roman"/>
                <w:sz w:val="24"/>
                <w:szCs w:val="24"/>
                <w:highlight w:val="yellow"/>
              </w:rPr>
            </w:pPr>
            <w:r w:rsidRPr="00EA1C41">
              <w:rPr>
                <w:rFonts w:eastAsia="Calibri" w:cs="Times New Roman"/>
                <w:sz w:val="24"/>
                <w:szCs w:val="24"/>
                <w:highlight w:val="yellow"/>
              </w:rPr>
              <w:t>1</w:t>
            </w:r>
            <w:r>
              <w:rPr>
                <w:rFonts w:eastAsia="Calibri" w:cs="Times New Roman"/>
                <w:sz w:val="24"/>
                <w:szCs w:val="24"/>
                <w:highlight w:val="yellow"/>
              </w:rPr>
              <w:t>19</w:t>
            </w:r>
            <w:r w:rsidRPr="00EA1C41">
              <w:rPr>
                <w:rFonts w:eastAsia="Calibri" w:cs="Times New Roman"/>
                <w:sz w:val="24"/>
                <w:szCs w:val="24"/>
                <w:highlight w:val="yellow"/>
              </w:rPr>
              <w:t>,</w:t>
            </w:r>
            <w:r>
              <w:rPr>
                <w:rFonts w:eastAsia="Calibri" w:cs="Times New Roman"/>
                <w:sz w:val="24"/>
                <w:szCs w:val="24"/>
                <w:highlight w:val="yellow"/>
              </w:rPr>
              <w:t>4</w:t>
            </w:r>
            <w:r w:rsidRPr="00EA1C41">
              <w:rPr>
                <w:rFonts w:eastAsia="Calibri" w:cs="Times New Roman"/>
                <w:sz w:val="24"/>
                <w:szCs w:val="24"/>
                <w:highlight w:val="yellow"/>
              </w:rPr>
              <w:t>8</w:t>
            </w:r>
            <w:r>
              <w:rPr>
                <w:rFonts w:eastAsia="Calibri" w:cs="Times New Roman"/>
                <w:sz w:val="24"/>
                <w:szCs w:val="24"/>
                <w:highlight w:val="yellow"/>
              </w:rPr>
              <w:t>2</w:t>
            </w:r>
          </w:p>
        </w:tc>
        <w:tc>
          <w:tcPr>
            <w:tcW w:w="900" w:type="dxa"/>
            <w:tcMar>
              <w:top w:w="72" w:type="dxa"/>
              <w:left w:w="101" w:type="dxa"/>
              <w:bottom w:w="72" w:type="dxa"/>
              <w:right w:w="101" w:type="dxa"/>
            </w:tcMar>
            <w:vAlign w:val="center"/>
          </w:tcPr>
          <w:p w:rsidR="00E30C3C" w:rsidRPr="00EA1C41" w:rsidP="00003336" w14:paraId="017ED7E1" w14:textId="6C039696">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20</w:t>
            </w:r>
          </w:p>
        </w:tc>
        <w:tc>
          <w:tcPr>
            <w:tcW w:w="1770" w:type="dxa"/>
            <w:tcMar>
              <w:top w:w="72" w:type="dxa"/>
              <w:left w:w="101" w:type="dxa"/>
              <w:bottom w:w="72" w:type="dxa"/>
              <w:right w:w="101" w:type="dxa"/>
            </w:tcMar>
            <w:vAlign w:val="center"/>
          </w:tcPr>
          <w:p w:rsidR="00E30C3C" w:rsidRPr="00EA1C41" w:rsidP="007E6002" w14:paraId="1B6783A9" w14:textId="4F757E1F">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2</w:t>
            </w:r>
            <w:r>
              <w:rPr>
                <w:rFonts w:eastAsia="Times New Roman" w:cs="Times New Roman"/>
                <w:sz w:val="24"/>
                <w:szCs w:val="24"/>
                <w:highlight w:val="yellow"/>
              </w:rPr>
              <w:t>3,896</w:t>
            </w:r>
          </w:p>
        </w:tc>
      </w:tr>
      <w:tr w14:paraId="0C3AC42C"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C3488C" w14:paraId="4DE45762" w14:textId="6077E010">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EF396D" w14:paraId="0B52928A" w14:textId="67F93F1F">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Program Analyst</w:t>
            </w:r>
          </w:p>
        </w:tc>
        <w:tc>
          <w:tcPr>
            <w:tcW w:w="1615" w:type="dxa"/>
            <w:shd w:val="clear" w:color="auto" w:fill="auto"/>
            <w:tcMar>
              <w:top w:w="72" w:type="dxa"/>
              <w:left w:w="101" w:type="dxa"/>
              <w:bottom w:w="72" w:type="dxa"/>
              <w:right w:w="101" w:type="dxa"/>
            </w:tcMar>
            <w:vAlign w:val="center"/>
          </w:tcPr>
          <w:p w:rsidR="00E30C3C" w:rsidRPr="00EA1C41" w:rsidP="00EF396D" w14:paraId="4BF938D2" w14:textId="1FA08726">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11/5</w:t>
            </w:r>
          </w:p>
        </w:tc>
        <w:tc>
          <w:tcPr>
            <w:tcW w:w="1260" w:type="dxa"/>
            <w:shd w:val="clear" w:color="auto" w:fill="auto"/>
            <w:tcMar>
              <w:top w:w="72" w:type="dxa"/>
              <w:left w:w="101" w:type="dxa"/>
              <w:bottom w:w="72" w:type="dxa"/>
              <w:right w:w="101" w:type="dxa"/>
            </w:tcMar>
            <w:vAlign w:val="center"/>
          </w:tcPr>
          <w:p w:rsidR="00E30C3C" w:rsidRPr="00EA1C41" w:rsidP="00A53135" w14:paraId="3305B18C" w14:textId="372FAE31">
            <w:pPr>
              <w:spacing w:after="0" w:line="240" w:lineRule="auto"/>
              <w:jc w:val="right"/>
              <w:rPr>
                <w:rFonts w:eastAsia="Calibri" w:cs="Times New Roman"/>
                <w:sz w:val="24"/>
                <w:szCs w:val="24"/>
                <w:highlight w:val="yellow"/>
              </w:rPr>
            </w:pPr>
            <w:r>
              <w:rPr>
                <w:rFonts w:eastAsia="Calibri" w:cs="Times New Roman"/>
                <w:sz w:val="24"/>
                <w:szCs w:val="24"/>
                <w:highlight w:val="yellow"/>
              </w:rPr>
              <w:t>89,069</w:t>
            </w:r>
          </w:p>
        </w:tc>
        <w:tc>
          <w:tcPr>
            <w:tcW w:w="900" w:type="dxa"/>
            <w:shd w:val="clear" w:color="auto" w:fill="auto"/>
            <w:tcMar>
              <w:top w:w="72" w:type="dxa"/>
              <w:left w:w="101" w:type="dxa"/>
              <w:bottom w:w="72" w:type="dxa"/>
              <w:right w:w="101" w:type="dxa"/>
            </w:tcMar>
            <w:vAlign w:val="center"/>
          </w:tcPr>
          <w:p w:rsidR="00E30C3C" w:rsidRPr="00EA1C41" w:rsidP="00003336" w14:paraId="7C7918DA" w14:textId="57EAA819">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20</w:t>
            </w:r>
          </w:p>
        </w:tc>
        <w:tc>
          <w:tcPr>
            <w:tcW w:w="1770" w:type="dxa"/>
            <w:tcMar>
              <w:top w:w="72" w:type="dxa"/>
              <w:left w:w="101" w:type="dxa"/>
              <w:bottom w:w="72" w:type="dxa"/>
              <w:right w:w="101" w:type="dxa"/>
            </w:tcMar>
            <w:vAlign w:val="center"/>
          </w:tcPr>
          <w:p w:rsidR="00E30C3C" w:rsidRPr="00EA1C41" w:rsidP="00003336" w14:paraId="4DE95A51" w14:textId="24FD0D9E">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1</w:t>
            </w:r>
            <w:r>
              <w:rPr>
                <w:rFonts w:eastAsia="Times New Roman" w:cs="Times New Roman"/>
                <w:sz w:val="24"/>
                <w:szCs w:val="24"/>
                <w:highlight w:val="yellow"/>
              </w:rPr>
              <w:t>7</w:t>
            </w:r>
            <w:r w:rsidR="00023E21">
              <w:rPr>
                <w:rFonts w:eastAsia="Times New Roman" w:cs="Times New Roman"/>
                <w:sz w:val="24"/>
                <w:szCs w:val="24"/>
                <w:highlight w:val="yellow"/>
              </w:rPr>
              <w:t>,</w:t>
            </w:r>
            <w:r>
              <w:rPr>
                <w:rFonts w:eastAsia="Times New Roman" w:cs="Times New Roman"/>
                <w:sz w:val="24"/>
                <w:szCs w:val="24"/>
                <w:highlight w:val="yellow"/>
              </w:rPr>
              <w:t>814</w:t>
            </w:r>
          </w:p>
        </w:tc>
      </w:tr>
      <w:tr w14:paraId="32BD2CD0"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C3488C" w14:paraId="120F8ECB"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EF396D" w14:paraId="79E5B239" w14:textId="2E8D1A77">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Program Analyst</w:t>
            </w:r>
          </w:p>
        </w:tc>
        <w:tc>
          <w:tcPr>
            <w:tcW w:w="1615" w:type="dxa"/>
            <w:shd w:val="clear" w:color="auto" w:fill="auto"/>
            <w:tcMar>
              <w:top w:w="72" w:type="dxa"/>
              <w:left w:w="101" w:type="dxa"/>
              <w:bottom w:w="72" w:type="dxa"/>
              <w:right w:w="101" w:type="dxa"/>
            </w:tcMar>
            <w:vAlign w:val="center"/>
          </w:tcPr>
          <w:p w:rsidR="00E30C3C" w:rsidRPr="00EA1C41" w:rsidP="003553D8" w14:paraId="7BF3228C" w14:textId="26062C66">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9/</w:t>
            </w:r>
            <w:r>
              <w:rPr>
                <w:rFonts w:eastAsia="Calibri" w:cs="Times New Roman"/>
                <w:sz w:val="24"/>
                <w:szCs w:val="24"/>
                <w:highlight w:val="yellow"/>
              </w:rPr>
              <w:t>4</w:t>
            </w:r>
          </w:p>
        </w:tc>
        <w:tc>
          <w:tcPr>
            <w:tcW w:w="1260" w:type="dxa"/>
            <w:shd w:val="clear" w:color="auto" w:fill="auto"/>
            <w:tcMar>
              <w:top w:w="72" w:type="dxa"/>
              <w:left w:w="101" w:type="dxa"/>
              <w:bottom w:w="72" w:type="dxa"/>
              <w:right w:w="101" w:type="dxa"/>
            </w:tcMar>
            <w:vAlign w:val="center"/>
          </w:tcPr>
          <w:p w:rsidR="00E30C3C" w:rsidRPr="00EA1C41" w:rsidP="00003336" w14:paraId="39816027" w14:textId="509095A1">
            <w:pPr>
              <w:spacing w:after="0" w:line="240" w:lineRule="auto"/>
              <w:jc w:val="right"/>
              <w:rPr>
                <w:rFonts w:eastAsia="Calibri" w:cs="Times New Roman"/>
                <w:sz w:val="24"/>
                <w:szCs w:val="24"/>
                <w:highlight w:val="yellow"/>
              </w:rPr>
            </w:pPr>
            <w:r>
              <w:rPr>
                <w:rFonts w:eastAsia="Calibri" w:cs="Times New Roman"/>
                <w:sz w:val="24"/>
                <w:szCs w:val="24"/>
                <w:highlight w:val="yellow"/>
              </w:rPr>
              <w:t>71,452</w:t>
            </w:r>
          </w:p>
        </w:tc>
        <w:tc>
          <w:tcPr>
            <w:tcW w:w="900" w:type="dxa"/>
            <w:shd w:val="clear" w:color="auto" w:fill="auto"/>
            <w:tcMar>
              <w:top w:w="72" w:type="dxa"/>
              <w:left w:w="101" w:type="dxa"/>
              <w:bottom w:w="72" w:type="dxa"/>
              <w:right w:w="101" w:type="dxa"/>
            </w:tcMar>
            <w:vAlign w:val="center"/>
          </w:tcPr>
          <w:p w:rsidR="00E30C3C" w:rsidRPr="00EA1C41" w:rsidP="00003336" w14:paraId="3352856C" w14:textId="685109FD">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20</w:t>
            </w:r>
          </w:p>
        </w:tc>
        <w:tc>
          <w:tcPr>
            <w:tcW w:w="1770" w:type="dxa"/>
            <w:tcMar>
              <w:top w:w="72" w:type="dxa"/>
              <w:left w:w="101" w:type="dxa"/>
              <w:bottom w:w="72" w:type="dxa"/>
              <w:right w:w="101" w:type="dxa"/>
            </w:tcMar>
            <w:vAlign w:val="center"/>
          </w:tcPr>
          <w:p w:rsidR="00E30C3C" w:rsidRPr="00EA1C41" w:rsidP="00003336" w14:paraId="7FD53E1F" w14:textId="5E0F3993">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1</w:t>
            </w:r>
            <w:r>
              <w:rPr>
                <w:rFonts w:eastAsia="Times New Roman" w:cs="Times New Roman"/>
                <w:sz w:val="24"/>
                <w:szCs w:val="24"/>
                <w:highlight w:val="yellow"/>
              </w:rPr>
              <w:t>4,290</w:t>
            </w:r>
          </w:p>
        </w:tc>
      </w:tr>
      <w:tr w14:paraId="54C7AAE7" w14:textId="77777777" w:rsidTr="00C24E4A">
        <w:tblPrEx>
          <w:tblW w:w="9410" w:type="dxa"/>
          <w:jc w:val="center"/>
          <w:tblCellMar>
            <w:left w:w="101" w:type="dxa"/>
            <w:right w:w="101" w:type="dxa"/>
          </w:tblCellMar>
          <w:tblLook w:val="04A0"/>
        </w:tblPrEx>
        <w:trPr>
          <w:jc w:val="center"/>
        </w:trPr>
        <w:tc>
          <w:tcPr>
            <w:tcW w:w="1795" w:type="dxa"/>
            <w:vMerge/>
            <w:tcMar>
              <w:top w:w="72" w:type="dxa"/>
              <w:left w:w="101" w:type="dxa"/>
              <w:bottom w:w="72" w:type="dxa"/>
              <w:right w:w="101" w:type="dxa"/>
            </w:tcMar>
            <w:vAlign w:val="center"/>
          </w:tcPr>
          <w:p w:rsidR="00E30C3C" w:rsidRPr="00C3488C" w:rsidP="00C3488C" w14:paraId="746C4327" w14:textId="77777777">
            <w:pPr>
              <w:spacing w:after="0" w:line="240" w:lineRule="auto"/>
              <w:jc w:val="center"/>
              <w:rPr>
                <w:rFonts w:eastAsia="Calibri" w:cs="Times New Roman"/>
                <w:sz w:val="24"/>
                <w:szCs w:val="24"/>
              </w:rPr>
            </w:pPr>
          </w:p>
        </w:tc>
        <w:tc>
          <w:tcPr>
            <w:tcW w:w="2070" w:type="dxa"/>
            <w:tcMar>
              <w:top w:w="72" w:type="dxa"/>
              <w:left w:w="101" w:type="dxa"/>
              <w:bottom w:w="72" w:type="dxa"/>
              <w:right w:w="101" w:type="dxa"/>
            </w:tcMar>
            <w:vAlign w:val="center"/>
          </w:tcPr>
          <w:p w:rsidR="00E30C3C" w:rsidRPr="00EA1C41" w:rsidP="00EF396D" w14:paraId="30188A90" w14:textId="019988BD">
            <w:pPr>
              <w:spacing w:after="0" w:line="240" w:lineRule="auto"/>
              <w:jc w:val="center"/>
              <w:rPr>
                <w:rFonts w:eastAsia="Calibri" w:cs="Times New Roman"/>
                <w:color w:val="000000"/>
                <w:sz w:val="24"/>
                <w:szCs w:val="24"/>
                <w:highlight w:val="yellow"/>
              </w:rPr>
            </w:pPr>
            <w:r w:rsidRPr="00EA1C41">
              <w:rPr>
                <w:rFonts w:eastAsia="Calibri" w:cs="Times New Roman"/>
                <w:sz w:val="24"/>
                <w:szCs w:val="24"/>
                <w:highlight w:val="yellow"/>
              </w:rPr>
              <w:t>Program Analyst</w:t>
            </w:r>
          </w:p>
        </w:tc>
        <w:tc>
          <w:tcPr>
            <w:tcW w:w="1615" w:type="dxa"/>
            <w:shd w:val="clear" w:color="auto" w:fill="auto"/>
            <w:tcMar>
              <w:top w:w="72" w:type="dxa"/>
              <w:left w:w="101" w:type="dxa"/>
              <w:bottom w:w="72" w:type="dxa"/>
              <w:right w:w="101" w:type="dxa"/>
            </w:tcMar>
            <w:vAlign w:val="center"/>
          </w:tcPr>
          <w:p w:rsidR="00E30C3C" w:rsidRPr="00EA1C41" w:rsidP="00EF396D" w14:paraId="785917D7" w14:textId="5D9A3671">
            <w:pPr>
              <w:spacing w:after="0" w:line="240" w:lineRule="auto"/>
              <w:jc w:val="center"/>
              <w:rPr>
                <w:rFonts w:eastAsia="Calibri" w:cs="Times New Roman"/>
                <w:color w:val="000000"/>
                <w:sz w:val="24"/>
                <w:szCs w:val="24"/>
                <w:highlight w:val="yellow"/>
              </w:rPr>
            </w:pPr>
            <w:r>
              <w:rPr>
                <w:rFonts w:eastAsia="Calibri" w:cs="Times New Roman"/>
                <w:color w:val="000000"/>
                <w:sz w:val="24"/>
                <w:szCs w:val="24"/>
                <w:highlight w:val="yellow"/>
              </w:rPr>
              <w:t>9</w:t>
            </w:r>
            <w:r w:rsidRPr="00EA1C41">
              <w:rPr>
                <w:rFonts w:eastAsia="Calibri" w:cs="Times New Roman"/>
                <w:color w:val="000000"/>
                <w:sz w:val="24"/>
                <w:szCs w:val="24"/>
                <w:highlight w:val="yellow"/>
              </w:rPr>
              <w:t>/1</w:t>
            </w:r>
          </w:p>
        </w:tc>
        <w:tc>
          <w:tcPr>
            <w:tcW w:w="1260" w:type="dxa"/>
            <w:shd w:val="clear" w:color="auto" w:fill="auto"/>
            <w:tcMar>
              <w:top w:w="72" w:type="dxa"/>
              <w:left w:w="101" w:type="dxa"/>
              <w:bottom w:w="72" w:type="dxa"/>
              <w:right w:w="101" w:type="dxa"/>
            </w:tcMar>
            <w:vAlign w:val="center"/>
          </w:tcPr>
          <w:p w:rsidR="00E30C3C" w:rsidRPr="00EA1C41" w:rsidP="00003336" w14:paraId="0CF489DF" w14:textId="11925FDB">
            <w:pPr>
              <w:spacing w:after="0" w:line="240" w:lineRule="auto"/>
              <w:jc w:val="right"/>
              <w:rPr>
                <w:rFonts w:eastAsia="Calibri" w:cs="Times New Roman"/>
                <w:sz w:val="24"/>
                <w:szCs w:val="24"/>
                <w:highlight w:val="yellow"/>
              </w:rPr>
            </w:pPr>
            <w:r>
              <w:rPr>
                <w:rFonts w:eastAsia="Calibri" w:cs="Times New Roman"/>
                <w:sz w:val="24"/>
                <w:szCs w:val="24"/>
                <w:highlight w:val="yellow"/>
              </w:rPr>
              <w:t>64,957</w:t>
            </w:r>
          </w:p>
        </w:tc>
        <w:tc>
          <w:tcPr>
            <w:tcW w:w="900" w:type="dxa"/>
            <w:shd w:val="clear" w:color="auto" w:fill="auto"/>
            <w:tcMar>
              <w:top w:w="72" w:type="dxa"/>
              <w:left w:w="101" w:type="dxa"/>
              <w:bottom w:w="72" w:type="dxa"/>
              <w:right w:w="101" w:type="dxa"/>
            </w:tcMar>
            <w:vAlign w:val="center"/>
          </w:tcPr>
          <w:p w:rsidR="00E30C3C" w:rsidRPr="00EA1C41" w:rsidP="00003336" w14:paraId="1C59DFBE" w14:textId="2F499274">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20</w:t>
            </w:r>
          </w:p>
        </w:tc>
        <w:tc>
          <w:tcPr>
            <w:tcW w:w="1770" w:type="dxa"/>
            <w:tcMar>
              <w:top w:w="72" w:type="dxa"/>
              <w:left w:w="101" w:type="dxa"/>
              <w:bottom w:w="72" w:type="dxa"/>
              <w:right w:w="101" w:type="dxa"/>
            </w:tcMar>
            <w:vAlign w:val="center"/>
          </w:tcPr>
          <w:p w:rsidR="00E30C3C" w:rsidRPr="00EA1C41" w:rsidP="00003336" w14:paraId="16DDC47D" w14:textId="5085F948">
            <w:pPr>
              <w:spacing w:after="0" w:line="240" w:lineRule="auto"/>
              <w:jc w:val="right"/>
              <w:rPr>
                <w:rFonts w:eastAsia="Calibri" w:cs="Times New Roman"/>
                <w:sz w:val="24"/>
                <w:szCs w:val="24"/>
                <w:highlight w:val="yellow"/>
              </w:rPr>
            </w:pPr>
            <w:r>
              <w:rPr>
                <w:rFonts w:eastAsia="Calibri" w:cs="Times New Roman"/>
                <w:sz w:val="24"/>
                <w:szCs w:val="24"/>
                <w:highlight w:val="yellow"/>
              </w:rPr>
              <w:t>12,991</w:t>
            </w:r>
          </w:p>
        </w:tc>
      </w:tr>
      <w:tr w14:paraId="4AEBFF88" w14:textId="77777777" w:rsidTr="003553D8">
        <w:tblPrEx>
          <w:tblW w:w="9410" w:type="dxa"/>
          <w:jc w:val="center"/>
          <w:tblCellMar>
            <w:left w:w="101" w:type="dxa"/>
            <w:right w:w="101" w:type="dxa"/>
          </w:tblCellMar>
          <w:tblLook w:val="04A0"/>
        </w:tblPrEx>
        <w:trPr>
          <w:trHeight w:val="224"/>
          <w:jc w:val="center"/>
        </w:trPr>
        <w:tc>
          <w:tcPr>
            <w:tcW w:w="1795" w:type="dxa"/>
            <w:vMerge/>
            <w:tcMar>
              <w:top w:w="72" w:type="dxa"/>
              <w:left w:w="101" w:type="dxa"/>
              <w:bottom w:w="72" w:type="dxa"/>
              <w:right w:w="101" w:type="dxa"/>
            </w:tcMar>
            <w:vAlign w:val="center"/>
          </w:tcPr>
          <w:p w:rsidR="00E30C3C" w:rsidRPr="00C3488C" w:rsidP="003553D8" w14:paraId="4584914B" w14:textId="28D3D0C9">
            <w:pPr>
              <w:spacing w:after="0" w:line="240" w:lineRule="auto"/>
              <w:jc w:val="center"/>
              <w:rPr>
                <w:rFonts w:eastAsia="Calibri" w:cs="Times New Roman"/>
                <w:color w:val="1F497D"/>
                <w:sz w:val="24"/>
                <w:szCs w:val="24"/>
              </w:rPr>
            </w:pPr>
          </w:p>
        </w:tc>
        <w:tc>
          <w:tcPr>
            <w:tcW w:w="2070" w:type="dxa"/>
            <w:shd w:val="clear" w:color="auto" w:fill="auto"/>
            <w:tcMar>
              <w:top w:w="72" w:type="dxa"/>
              <w:left w:w="101" w:type="dxa"/>
              <w:bottom w:w="72" w:type="dxa"/>
              <w:right w:w="101" w:type="dxa"/>
            </w:tcMar>
            <w:vAlign w:val="center"/>
          </w:tcPr>
          <w:p w:rsidR="00E30C3C" w:rsidRPr="00EA1C41" w:rsidP="003553D8" w14:paraId="69B2FDFA" w14:textId="0CD96114">
            <w:pPr>
              <w:spacing w:after="0" w:line="240" w:lineRule="auto"/>
              <w:jc w:val="center"/>
              <w:rPr>
                <w:rFonts w:eastAsia="Calibri" w:cs="Times New Roman"/>
                <w:color w:val="000000"/>
                <w:sz w:val="24"/>
                <w:szCs w:val="24"/>
                <w:highlight w:val="yellow"/>
              </w:rPr>
            </w:pPr>
            <w:r w:rsidRPr="00EA1C41">
              <w:rPr>
                <w:rFonts w:eastAsia="Calibri" w:cs="Times New Roman"/>
                <w:sz w:val="24"/>
                <w:szCs w:val="24"/>
                <w:highlight w:val="yellow"/>
              </w:rPr>
              <w:t>Program Analyst</w:t>
            </w:r>
          </w:p>
        </w:tc>
        <w:tc>
          <w:tcPr>
            <w:tcW w:w="1615" w:type="dxa"/>
            <w:shd w:val="clear" w:color="auto" w:fill="auto"/>
            <w:tcMar>
              <w:top w:w="72" w:type="dxa"/>
              <w:left w:w="101" w:type="dxa"/>
              <w:bottom w:w="72" w:type="dxa"/>
              <w:right w:w="101" w:type="dxa"/>
            </w:tcMar>
            <w:vAlign w:val="center"/>
          </w:tcPr>
          <w:p w:rsidR="00E30C3C" w:rsidRPr="00EA1C41" w:rsidP="003553D8" w14:paraId="09C6C4C3" w14:textId="2FEFA8DE">
            <w:pPr>
              <w:spacing w:after="0" w:line="240" w:lineRule="auto"/>
              <w:jc w:val="center"/>
              <w:rPr>
                <w:rFonts w:eastAsia="Calibri" w:cs="Times New Roman"/>
                <w:color w:val="000000"/>
                <w:sz w:val="24"/>
                <w:szCs w:val="24"/>
                <w:highlight w:val="yellow"/>
              </w:rPr>
            </w:pPr>
            <w:r>
              <w:rPr>
                <w:rFonts w:eastAsia="Calibri" w:cs="Times New Roman"/>
                <w:color w:val="000000"/>
                <w:sz w:val="24"/>
                <w:szCs w:val="24"/>
                <w:highlight w:val="yellow"/>
              </w:rPr>
              <w:t>7</w:t>
            </w:r>
            <w:r w:rsidRPr="00EA1C41">
              <w:rPr>
                <w:rFonts w:eastAsia="Calibri" w:cs="Times New Roman"/>
                <w:color w:val="000000"/>
                <w:sz w:val="24"/>
                <w:szCs w:val="24"/>
                <w:highlight w:val="yellow"/>
              </w:rPr>
              <w:t>/1</w:t>
            </w:r>
          </w:p>
        </w:tc>
        <w:tc>
          <w:tcPr>
            <w:tcW w:w="1260" w:type="dxa"/>
            <w:shd w:val="clear" w:color="auto" w:fill="auto"/>
            <w:tcMar>
              <w:top w:w="72" w:type="dxa"/>
              <w:left w:w="101" w:type="dxa"/>
              <w:bottom w:w="72" w:type="dxa"/>
              <w:right w:w="101" w:type="dxa"/>
            </w:tcMar>
            <w:vAlign w:val="center"/>
          </w:tcPr>
          <w:p w:rsidR="00E30C3C" w:rsidRPr="00EA1C41" w:rsidP="003553D8" w14:paraId="29773080" w14:textId="34801995">
            <w:pPr>
              <w:spacing w:after="0" w:line="240" w:lineRule="auto"/>
              <w:jc w:val="right"/>
              <w:rPr>
                <w:rFonts w:eastAsia="Calibri" w:cs="Times New Roman"/>
                <w:sz w:val="24"/>
                <w:szCs w:val="24"/>
                <w:highlight w:val="yellow"/>
              </w:rPr>
            </w:pPr>
            <w:r>
              <w:rPr>
                <w:rFonts w:eastAsia="Calibri" w:cs="Times New Roman"/>
                <w:sz w:val="24"/>
                <w:szCs w:val="24"/>
                <w:highlight w:val="yellow"/>
              </w:rPr>
              <w:t>53,105</w:t>
            </w:r>
          </w:p>
        </w:tc>
        <w:tc>
          <w:tcPr>
            <w:tcW w:w="900" w:type="dxa"/>
            <w:shd w:val="clear" w:color="auto" w:fill="auto"/>
            <w:tcMar>
              <w:top w:w="72" w:type="dxa"/>
              <w:left w:w="101" w:type="dxa"/>
              <w:bottom w:w="72" w:type="dxa"/>
              <w:right w:w="101" w:type="dxa"/>
            </w:tcMar>
            <w:vAlign w:val="center"/>
          </w:tcPr>
          <w:p w:rsidR="00E30C3C" w:rsidRPr="00EA1C41" w:rsidP="003553D8" w14:paraId="5C8C7929" w14:textId="3F1345C1">
            <w:pPr>
              <w:spacing w:after="0" w:line="240" w:lineRule="auto"/>
              <w:jc w:val="center"/>
              <w:rPr>
                <w:rFonts w:eastAsia="Calibri" w:cs="Times New Roman"/>
                <w:sz w:val="24"/>
                <w:szCs w:val="24"/>
                <w:highlight w:val="yellow"/>
              </w:rPr>
            </w:pPr>
            <w:r w:rsidRPr="00EA1C41">
              <w:rPr>
                <w:rFonts w:eastAsia="Calibri" w:cs="Times New Roman"/>
                <w:sz w:val="24"/>
                <w:szCs w:val="24"/>
                <w:highlight w:val="yellow"/>
              </w:rPr>
              <w:t>20</w:t>
            </w:r>
          </w:p>
        </w:tc>
        <w:tc>
          <w:tcPr>
            <w:tcW w:w="1770" w:type="dxa"/>
            <w:tcMar>
              <w:top w:w="72" w:type="dxa"/>
              <w:left w:w="101" w:type="dxa"/>
              <w:bottom w:w="72" w:type="dxa"/>
              <w:right w:w="101" w:type="dxa"/>
            </w:tcMar>
            <w:vAlign w:val="center"/>
          </w:tcPr>
          <w:p w:rsidR="00E30C3C" w:rsidRPr="00EA1C41" w:rsidP="003553D8" w14:paraId="6DE6D0FA" w14:textId="308B9872">
            <w:pPr>
              <w:spacing w:after="0" w:line="240" w:lineRule="auto"/>
              <w:jc w:val="right"/>
              <w:rPr>
                <w:rFonts w:eastAsia="Calibri" w:cs="Times New Roman"/>
                <w:sz w:val="24"/>
                <w:szCs w:val="24"/>
                <w:highlight w:val="yellow"/>
              </w:rPr>
            </w:pPr>
            <w:r>
              <w:rPr>
                <w:rFonts w:eastAsia="Calibri" w:cs="Times New Roman"/>
                <w:sz w:val="24"/>
                <w:szCs w:val="24"/>
                <w:highlight w:val="yellow"/>
              </w:rPr>
              <w:t>10,621</w:t>
            </w:r>
          </w:p>
        </w:tc>
      </w:tr>
      <w:tr w14:paraId="0B2FFAED" w14:textId="77777777" w:rsidTr="00C24E4A">
        <w:tblPrEx>
          <w:tblW w:w="9410" w:type="dxa"/>
          <w:jc w:val="center"/>
          <w:tblCellMar>
            <w:left w:w="101" w:type="dxa"/>
            <w:right w:w="101" w:type="dxa"/>
          </w:tblCellMar>
          <w:tblLook w:val="04A0"/>
        </w:tblPrEx>
        <w:trPr>
          <w:jc w:val="center"/>
        </w:trPr>
        <w:tc>
          <w:tcPr>
            <w:tcW w:w="1795" w:type="dxa"/>
            <w:tcMar>
              <w:top w:w="72" w:type="dxa"/>
              <w:left w:w="101" w:type="dxa"/>
              <w:bottom w:w="72" w:type="dxa"/>
              <w:right w:w="101" w:type="dxa"/>
            </w:tcMar>
            <w:vAlign w:val="center"/>
          </w:tcPr>
          <w:p w:rsidR="00B90D2D" w:rsidRPr="00C3488C" w:rsidP="00B90D2D" w14:paraId="1A1B07FA" w14:textId="79F7AAE0">
            <w:pPr>
              <w:spacing w:after="0" w:line="240" w:lineRule="auto"/>
              <w:jc w:val="center"/>
              <w:rPr>
                <w:rFonts w:eastAsia="Times New Roman" w:cs="Times New Roman"/>
                <w:sz w:val="24"/>
                <w:szCs w:val="24"/>
              </w:rPr>
            </w:pPr>
            <w:r w:rsidRPr="00C3488C">
              <w:rPr>
                <w:rFonts w:eastAsia="Times New Roman" w:cs="Times New Roman"/>
                <w:sz w:val="24"/>
                <w:szCs w:val="24"/>
              </w:rPr>
              <w:t>Office Supplies / Printer Costs</w:t>
            </w:r>
          </w:p>
        </w:tc>
        <w:tc>
          <w:tcPr>
            <w:tcW w:w="2070" w:type="dxa"/>
            <w:shd w:val="clear" w:color="auto" w:fill="BFBFBF" w:themeFill="background1" w:themeFillShade="BF"/>
            <w:tcMar>
              <w:top w:w="72" w:type="dxa"/>
              <w:left w:w="101" w:type="dxa"/>
              <w:bottom w:w="72" w:type="dxa"/>
              <w:right w:w="101" w:type="dxa"/>
            </w:tcMar>
            <w:vAlign w:val="center"/>
          </w:tcPr>
          <w:p w:rsidR="00B90D2D" w:rsidRPr="00EA1C41" w:rsidP="00B90D2D" w14:paraId="525FB01A" w14:textId="77777777">
            <w:pPr>
              <w:spacing w:after="0" w:line="240" w:lineRule="auto"/>
              <w:jc w:val="center"/>
              <w:rPr>
                <w:rFonts w:eastAsia="Calibri" w:cs="Times New Roman"/>
                <w:sz w:val="24"/>
                <w:szCs w:val="24"/>
                <w:highlight w:val="yellow"/>
              </w:rPr>
            </w:pPr>
          </w:p>
        </w:tc>
        <w:tc>
          <w:tcPr>
            <w:tcW w:w="1615" w:type="dxa"/>
            <w:shd w:val="clear" w:color="auto" w:fill="BFBFBF" w:themeFill="background1" w:themeFillShade="BF"/>
            <w:tcMar>
              <w:top w:w="72" w:type="dxa"/>
              <w:left w:w="101" w:type="dxa"/>
              <w:bottom w:w="72" w:type="dxa"/>
              <w:right w:w="101" w:type="dxa"/>
            </w:tcMar>
            <w:vAlign w:val="center"/>
          </w:tcPr>
          <w:p w:rsidR="00B90D2D" w:rsidRPr="00EA1C41" w:rsidP="00B90D2D" w14:paraId="1A0DC5C8" w14:textId="2616C3BB">
            <w:pPr>
              <w:spacing w:after="0" w:line="240" w:lineRule="auto"/>
              <w:rPr>
                <w:rFonts w:eastAsia="Calibri" w:cs="Times New Roman"/>
                <w:sz w:val="24"/>
                <w:szCs w:val="24"/>
                <w:highlight w:val="yellow"/>
              </w:rPr>
            </w:pPr>
          </w:p>
        </w:tc>
        <w:tc>
          <w:tcPr>
            <w:tcW w:w="1260" w:type="dxa"/>
            <w:shd w:val="clear" w:color="auto" w:fill="BFBFBF" w:themeFill="background1" w:themeFillShade="BF"/>
            <w:tcMar>
              <w:top w:w="72" w:type="dxa"/>
              <w:left w:w="101" w:type="dxa"/>
              <w:bottom w:w="72" w:type="dxa"/>
              <w:right w:w="101" w:type="dxa"/>
            </w:tcMar>
            <w:vAlign w:val="center"/>
          </w:tcPr>
          <w:p w:rsidR="00B90D2D" w:rsidRPr="00EA1C41" w:rsidP="00B90D2D" w14:paraId="1D6959D5" w14:textId="77777777">
            <w:pPr>
              <w:spacing w:after="0" w:line="240" w:lineRule="auto"/>
              <w:rPr>
                <w:rFonts w:eastAsia="Times New Roman" w:cs="Times New Roman"/>
                <w:sz w:val="24"/>
                <w:szCs w:val="24"/>
                <w:highlight w:val="yellow"/>
              </w:rPr>
            </w:pPr>
          </w:p>
        </w:tc>
        <w:tc>
          <w:tcPr>
            <w:tcW w:w="900" w:type="dxa"/>
            <w:shd w:val="clear" w:color="auto" w:fill="BFBFBF" w:themeFill="background1" w:themeFillShade="BF"/>
            <w:tcMar>
              <w:top w:w="72" w:type="dxa"/>
              <w:left w:w="101" w:type="dxa"/>
              <w:bottom w:w="72" w:type="dxa"/>
              <w:right w:w="101" w:type="dxa"/>
            </w:tcMar>
            <w:vAlign w:val="center"/>
          </w:tcPr>
          <w:p w:rsidR="00B90D2D" w:rsidRPr="00EA1C41" w:rsidP="00B90D2D" w14:paraId="6DA8017D" w14:textId="77777777">
            <w:pPr>
              <w:spacing w:after="0" w:line="240" w:lineRule="auto"/>
              <w:rPr>
                <w:rFonts w:eastAsia="Times New Roman" w:cs="Times New Roman"/>
                <w:sz w:val="24"/>
                <w:szCs w:val="24"/>
                <w:highlight w:val="yellow"/>
              </w:rPr>
            </w:pPr>
          </w:p>
        </w:tc>
        <w:tc>
          <w:tcPr>
            <w:tcW w:w="1770" w:type="dxa"/>
            <w:tcMar>
              <w:top w:w="72" w:type="dxa"/>
              <w:left w:w="101" w:type="dxa"/>
              <w:bottom w:w="72" w:type="dxa"/>
              <w:right w:w="101" w:type="dxa"/>
            </w:tcMar>
            <w:vAlign w:val="center"/>
          </w:tcPr>
          <w:p w:rsidR="00B90D2D" w:rsidRPr="00EA1C41" w:rsidP="00B90D2D" w14:paraId="614E12B1" w14:textId="33217335">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1,500</w:t>
            </w:r>
          </w:p>
        </w:tc>
      </w:tr>
      <w:tr w14:paraId="7F34BEA2" w14:textId="77777777" w:rsidTr="00C24E4A">
        <w:tblPrEx>
          <w:tblW w:w="9410" w:type="dxa"/>
          <w:jc w:val="center"/>
          <w:tblCellMar>
            <w:left w:w="101" w:type="dxa"/>
            <w:right w:w="101" w:type="dxa"/>
          </w:tblCellMar>
          <w:tblLook w:val="04A0"/>
        </w:tblPrEx>
        <w:trPr>
          <w:jc w:val="center"/>
        </w:trPr>
        <w:tc>
          <w:tcPr>
            <w:tcW w:w="1795" w:type="dxa"/>
            <w:tcMar>
              <w:top w:w="72" w:type="dxa"/>
              <w:left w:w="101" w:type="dxa"/>
              <w:bottom w:w="72" w:type="dxa"/>
              <w:right w:w="101" w:type="dxa"/>
            </w:tcMar>
            <w:vAlign w:val="center"/>
            <w:hideMark/>
          </w:tcPr>
          <w:p w:rsidR="00B90D2D" w:rsidRPr="00C3488C" w:rsidP="00B90D2D" w14:paraId="24442857" w14:textId="77777777">
            <w:pPr>
              <w:spacing w:after="0" w:line="240" w:lineRule="auto"/>
              <w:jc w:val="center"/>
              <w:rPr>
                <w:rFonts w:eastAsia="Times New Roman" w:cs="Times New Roman"/>
                <w:sz w:val="24"/>
                <w:szCs w:val="24"/>
              </w:rPr>
            </w:pPr>
            <w:r w:rsidRPr="00C3488C">
              <w:rPr>
                <w:rFonts w:eastAsia="Times New Roman" w:cs="Times New Roman"/>
                <w:sz w:val="24"/>
                <w:szCs w:val="24"/>
              </w:rPr>
              <w:t>Total</w:t>
            </w:r>
          </w:p>
        </w:tc>
        <w:tc>
          <w:tcPr>
            <w:tcW w:w="2070" w:type="dxa"/>
            <w:shd w:val="clear" w:color="auto" w:fill="BFBFBF" w:themeFill="background1" w:themeFillShade="BF"/>
            <w:tcMar>
              <w:top w:w="72" w:type="dxa"/>
              <w:left w:w="101" w:type="dxa"/>
              <w:bottom w:w="72" w:type="dxa"/>
              <w:right w:w="101" w:type="dxa"/>
            </w:tcMar>
            <w:vAlign w:val="center"/>
          </w:tcPr>
          <w:p w:rsidR="00B90D2D" w:rsidRPr="00EA1C41" w:rsidP="00B90D2D" w14:paraId="122A6C12" w14:textId="77777777">
            <w:pPr>
              <w:spacing w:after="0" w:line="240" w:lineRule="auto"/>
              <w:jc w:val="center"/>
              <w:rPr>
                <w:rFonts w:eastAsia="Calibri" w:cs="Times New Roman"/>
                <w:sz w:val="24"/>
                <w:szCs w:val="24"/>
                <w:highlight w:val="yellow"/>
              </w:rPr>
            </w:pPr>
          </w:p>
        </w:tc>
        <w:tc>
          <w:tcPr>
            <w:tcW w:w="1615" w:type="dxa"/>
            <w:shd w:val="clear" w:color="auto" w:fill="BFBFBF" w:themeFill="background1" w:themeFillShade="BF"/>
            <w:tcMar>
              <w:top w:w="72" w:type="dxa"/>
              <w:left w:w="101" w:type="dxa"/>
              <w:bottom w:w="72" w:type="dxa"/>
              <w:right w:w="101" w:type="dxa"/>
            </w:tcMar>
            <w:vAlign w:val="center"/>
          </w:tcPr>
          <w:p w:rsidR="00B90D2D" w:rsidRPr="00EA1C41" w:rsidP="00B90D2D" w14:paraId="65CC58DC" w14:textId="3BF3C71D">
            <w:pPr>
              <w:spacing w:after="0" w:line="240" w:lineRule="auto"/>
              <w:rPr>
                <w:rFonts w:eastAsia="Calibri" w:cs="Times New Roman"/>
                <w:sz w:val="24"/>
                <w:szCs w:val="24"/>
                <w:highlight w:val="yellow"/>
              </w:rPr>
            </w:pPr>
          </w:p>
        </w:tc>
        <w:tc>
          <w:tcPr>
            <w:tcW w:w="1260" w:type="dxa"/>
            <w:shd w:val="clear" w:color="auto" w:fill="BFBFBF" w:themeFill="background1" w:themeFillShade="BF"/>
            <w:tcMar>
              <w:top w:w="72" w:type="dxa"/>
              <w:left w:w="101" w:type="dxa"/>
              <w:bottom w:w="72" w:type="dxa"/>
              <w:right w:w="101" w:type="dxa"/>
            </w:tcMar>
            <w:vAlign w:val="center"/>
            <w:hideMark/>
          </w:tcPr>
          <w:p w:rsidR="00B90D2D" w:rsidRPr="00EA1C41" w:rsidP="00B90D2D" w14:paraId="6B79E628" w14:textId="77777777">
            <w:pPr>
              <w:spacing w:after="0" w:line="240" w:lineRule="auto"/>
              <w:rPr>
                <w:rFonts w:eastAsia="Times New Roman" w:cs="Times New Roman"/>
                <w:sz w:val="24"/>
                <w:szCs w:val="24"/>
                <w:highlight w:val="yellow"/>
              </w:rPr>
            </w:pPr>
          </w:p>
        </w:tc>
        <w:tc>
          <w:tcPr>
            <w:tcW w:w="900" w:type="dxa"/>
            <w:shd w:val="clear" w:color="auto" w:fill="BFBFBF" w:themeFill="background1" w:themeFillShade="BF"/>
            <w:tcMar>
              <w:top w:w="72" w:type="dxa"/>
              <w:left w:w="101" w:type="dxa"/>
              <w:bottom w:w="72" w:type="dxa"/>
              <w:right w:w="101" w:type="dxa"/>
            </w:tcMar>
            <w:vAlign w:val="center"/>
            <w:hideMark/>
          </w:tcPr>
          <w:p w:rsidR="00B90D2D" w:rsidRPr="00EA1C41" w:rsidP="00B90D2D" w14:paraId="3E7F7E7F" w14:textId="77777777">
            <w:pPr>
              <w:spacing w:after="0" w:line="240" w:lineRule="auto"/>
              <w:rPr>
                <w:rFonts w:eastAsia="Times New Roman" w:cs="Times New Roman"/>
                <w:sz w:val="24"/>
                <w:szCs w:val="24"/>
                <w:highlight w:val="yellow"/>
              </w:rPr>
            </w:pPr>
          </w:p>
        </w:tc>
        <w:tc>
          <w:tcPr>
            <w:tcW w:w="1770" w:type="dxa"/>
            <w:tcMar>
              <w:top w:w="72" w:type="dxa"/>
              <w:left w:w="101" w:type="dxa"/>
              <w:bottom w:w="72" w:type="dxa"/>
              <w:right w:w="101" w:type="dxa"/>
            </w:tcMar>
            <w:vAlign w:val="center"/>
          </w:tcPr>
          <w:p w:rsidR="00B90D2D" w:rsidRPr="00EA1C41" w:rsidP="00B90D2D" w14:paraId="66E52120" w14:textId="75F31D54">
            <w:pPr>
              <w:spacing w:after="0" w:line="240" w:lineRule="auto"/>
              <w:jc w:val="right"/>
              <w:rPr>
                <w:rFonts w:eastAsia="Times New Roman" w:cs="Times New Roman"/>
                <w:sz w:val="24"/>
                <w:szCs w:val="24"/>
                <w:highlight w:val="yellow"/>
              </w:rPr>
            </w:pPr>
            <w:r w:rsidRPr="00EA1C41">
              <w:rPr>
                <w:rFonts w:eastAsia="Times New Roman" w:cs="Times New Roman"/>
                <w:sz w:val="24"/>
                <w:szCs w:val="24"/>
                <w:highlight w:val="yellow"/>
              </w:rPr>
              <w:t>4</w:t>
            </w:r>
            <w:r w:rsidRPr="00EA1C41" w:rsidR="00420450">
              <w:rPr>
                <w:rFonts w:eastAsia="Times New Roman" w:cs="Times New Roman"/>
                <w:sz w:val="24"/>
                <w:szCs w:val="24"/>
                <w:highlight w:val="yellow"/>
              </w:rPr>
              <w:t>7</w:t>
            </w:r>
            <w:r w:rsidR="00951B74">
              <w:rPr>
                <w:rFonts w:eastAsia="Times New Roman" w:cs="Times New Roman"/>
                <w:sz w:val="24"/>
                <w:szCs w:val="24"/>
                <w:highlight w:val="yellow"/>
              </w:rPr>
              <w:t>2</w:t>
            </w:r>
            <w:r w:rsidRPr="00EA1C41">
              <w:rPr>
                <w:rFonts w:eastAsia="Times New Roman" w:cs="Times New Roman"/>
                <w:sz w:val="24"/>
                <w:szCs w:val="24"/>
                <w:highlight w:val="yellow"/>
              </w:rPr>
              <w:t>,</w:t>
            </w:r>
            <w:r w:rsidR="00951B74">
              <w:rPr>
                <w:rFonts w:eastAsia="Times New Roman" w:cs="Times New Roman"/>
                <w:sz w:val="24"/>
                <w:szCs w:val="24"/>
                <w:highlight w:val="yellow"/>
              </w:rPr>
              <w:t>3</w:t>
            </w:r>
            <w:r w:rsidRPr="00EA1C41" w:rsidR="00420450">
              <w:rPr>
                <w:rFonts w:eastAsia="Times New Roman" w:cs="Times New Roman"/>
                <w:sz w:val="24"/>
                <w:szCs w:val="24"/>
                <w:highlight w:val="yellow"/>
              </w:rPr>
              <w:t>6</w:t>
            </w:r>
            <w:r w:rsidR="00951B74">
              <w:rPr>
                <w:rFonts w:eastAsia="Times New Roman" w:cs="Times New Roman"/>
                <w:sz w:val="24"/>
                <w:szCs w:val="24"/>
                <w:highlight w:val="yellow"/>
              </w:rPr>
              <w:t>4</w:t>
            </w:r>
          </w:p>
        </w:tc>
      </w:tr>
    </w:tbl>
    <w:p w:rsidR="00950D5A" w:rsidP="00950D5A" w14:paraId="152E189E" w14:textId="77777777">
      <w:pPr>
        <w:spacing w:after="0" w:line="240" w:lineRule="auto"/>
        <w:jc w:val="center"/>
        <w:rPr>
          <w:rFonts w:eastAsia="Times New Roman" w:cs="Times New Roman"/>
        </w:rPr>
      </w:pPr>
    </w:p>
    <w:p w:rsidR="00950D5A" w:rsidRPr="00B31022" w:rsidP="00950D5A" w14:paraId="2473126F" w14:textId="359FCAD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EF396D">
        <w:rPr>
          <w:rFonts w:ascii="Times New Roman" w:eastAsia="Times New Roman" w:hAnsi="Times New Roman" w:cs="Times New Roman"/>
          <w:sz w:val="16"/>
          <w:szCs w:val="16"/>
        </w:rPr>
        <w:t>Office of Personnel Management</w:t>
      </w:r>
      <w:r>
        <w:rPr>
          <w:rFonts w:ascii="Times New Roman" w:eastAsia="Times New Roman" w:hAnsi="Times New Roman" w:cs="Times New Roman"/>
          <w:sz w:val="16"/>
          <w:szCs w:val="16"/>
        </w:rPr>
        <w:t xml:space="preserve">. </w:t>
      </w:r>
      <w:r w:rsidR="00EF396D">
        <w:rPr>
          <w:rFonts w:ascii="Times New Roman" w:eastAsia="Times New Roman" w:hAnsi="Times New Roman" w:cs="Times New Roman"/>
          <w:sz w:val="16"/>
          <w:szCs w:val="16"/>
        </w:rPr>
        <w:t xml:space="preserve">January </w:t>
      </w:r>
      <w:r w:rsidRPr="0018121E" w:rsidR="00EF396D">
        <w:rPr>
          <w:rFonts w:ascii="Times New Roman" w:eastAsia="Times New Roman" w:hAnsi="Times New Roman" w:cs="Times New Roman"/>
          <w:sz w:val="16"/>
          <w:szCs w:val="16"/>
          <w:highlight w:val="yellow"/>
        </w:rPr>
        <w:t>20</w:t>
      </w:r>
      <w:r w:rsidRPr="0018121E" w:rsidR="008E69BC">
        <w:rPr>
          <w:rFonts w:ascii="Times New Roman" w:eastAsia="Times New Roman" w:hAnsi="Times New Roman" w:cs="Times New Roman"/>
          <w:sz w:val="16"/>
          <w:szCs w:val="16"/>
          <w:highlight w:val="yellow"/>
        </w:rPr>
        <w:t>2</w:t>
      </w:r>
      <w:r w:rsidR="00AB1CED">
        <w:rPr>
          <w:rFonts w:ascii="Times New Roman" w:eastAsia="Times New Roman" w:hAnsi="Times New Roman" w:cs="Times New Roman"/>
          <w:sz w:val="16"/>
          <w:szCs w:val="16"/>
        </w:rPr>
        <w:t>3</w:t>
      </w:r>
      <w:r>
        <w:rPr>
          <w:rFonts w:ascii="Times New Roman" w:eastAsia="Times New Roman" w:hAnsi="Times New Roman" w:cs="Times New Roman"/>
          <w:sz w:val="16"/>
          <w:szCs w:val="16"/>
        </w:rPr>
        <w:t>.</w:t>
      </w:r>
      <w:r w:rsidRPr="00281DC1">
        <w:rPr>
          <w:rFonts w:ascii="Times New Roman" w:eastAsia="Times New Roman" w:hAnsi="Times New Roman" w:cs="Times New Roman"/>
          <w:sz w:val="16"/>
          <w:szCs w:val="16"/>
        </w:rPr>
        <w:t xml:space="preserve"> </w:t>
      </w:r>
      <w:r w:rsidRPr="00EF396D" w:rsidR="00EF396D">
        <w:rPr>
          <w:rFonts w:ascii="Times New Roman" w:eastAsia="Times New Roman" w:hAnsi="Times New Roman" w:cs="Times New Roman"/>
          <w:sz w:val="16"/>
          <w:szCs w:val="16"/>
        </w:rPr>
        <w:t xml:space="preserve">General Schedule </w:t>
      </w:r>
      <w:r w:rsidR="00EF396D">
        <w:rPr>
          <w:rFonts w:ascii="Times New Roman" w:eastAsia="Times New Roman" w:hAnsi="Times New Roman" w:cs="Times New Roman"/>
          <w:sz w:val="16"/>
          <w:szCs w:val="16"/>
        </w:rPr>
        <w:t>Salary Table 20</w:t>
      </w:r>
      <w:r w:rsidR="008E69BC">
        <w:rPr>
          <w:rFonts w:ascii="Times New Roman" w:eastAsia="Times New Roman" w:hAnsi="Times New Roman" w:cs="Times New Roman"/>
          <w:sz w:val="16"/>
          <w:szCs w:val="16"/>
        </w:rPr>
        <w:t>2</w:t>
      </w:r>
      <w:r w:rsidR="00AB1CED">
        <w:rPr>
          <w:rFonts w:ascii="Times New Roman" w:eastAsia="Times New Roman" w:hAnsi="Times New Roman" w:cs="Times New Roman"/>
          <w:sz w:val="16"/>
          <w:szCs w:val="16"/>
        </w:rPr>
        <w:t>3</w:t>
      </w:r>
      <w:r w:rsidR="00EF396D">
        <w:rPr>
          <w:rFonts w:ascii="Times New Roman" w:eastAsia="Times New Roman" w:hAnsi="Times New Roman" w:cs="Times New Roman"/>
          <w:sz w:val="16"/>
          <w:szCs w:val="16"/>
        </w:rPr>
        <w:t>-DCB for the Locality Pay Area of Washington-Baltimore-Arlington, DC-MD-VA-WV-PA</w:t>
      </w:r>
      <w:r>
        <w:rPr>
          <w:rFonts w:ascii="Times New Roman" w:eastAsia="Times New Roman" w:hAnsi="Times New Roman" w:cs="Times New Roman"/>
          <w:sz w:val="16"/>
          <w:szCs w:val="16"/>
        </w:rPr>
        <w:t xml:space="preserve">. Available at </w:t>
      </w:r>
      <w:hyperlink r:id="rId10" w:history="1">
        <w:r w:rsidRPr="000B6620" w:rsidR="00AB1CED">
          <w:rPr>
            <w:rStyle w:val="Hyperlink"/>
            <w:rFonts w:ascii="Times New Roman" w:eastAsia="Times New Roman" w:hAnsi="Times New Roman" w:cs="Times New Roman"/>
            <w:sz w:val="16"/>
            <w:szCs w:val="16"/>
          </w:rPr>
          <w:t>https://www.opm.gov/policy-data-oversight/pay-leave/salaries-wages/salary-tables/pdf/2023/DCB.pdf</w:t>
        </w:r>
      </w:hyperlink>
      <w:r>
        <w:rPr>
          <w:rFonts w:ascii="Times New Roman" w:eastAsia="Times New Roman" w:hAnsi="Times New Roman" w:cs="Times New Roman"/>
          <w:sz w:val="16"/>
          <w:szCs w:val="16"/>
        </w:rPr>
        <w:t xml:space="preserve"> </w:t>
      </w:r>
    </w:p>
    <w:p w:rsidR="00950D5A" w:rsidP="00950D5A" w14:paraId="034843B7" w14:textId="77777777">
      <w:pPr>
        <w:spacing w:after="0"/>
      </w:pPr>
    </w:p>
    <w:p w:rsidR="00FF72FC" w:rsidRPr="00157013" w:rsidP="00FF72FC" w14:paraId="4551EBE8" w14:textId="77777777">
      <w:pPr>
        <w:rPr>
          <w:b/>
        </w:rPr>
      </w:pPr>
      <w:r w:rsidRPr="00157013">
        <w:rPr>
          <w:b/>
        </w:rPr>
        <w:t>A.15</w:t>
      </w:r>
      <w:r w:rsidRPr="00157013">
        <w:rPr>
          <w:b/>
        </w:rPr>
        <w:tab/>
        <w:t>Explanation for Program Changes or Adju</w:t>
      </w:r>
      <w:r w:rsidRPr="00157013">
        <w:rPr>
          <w:b/>
        </w:rPr>
        <w:t>stments</w:t>
      </w:r>
    </w:p>
    <w:p w:rsidR="0013481B" w:rsidRPr="00C83248" w:rsidP="0013481B" w14:paraId="191EDEEA" w14:textId="5AFA7C5C">
      <w:pPr>
        <w:rPr>
          <w:highlight w:val="yellow"/>
        </w:rPr>
      </w:pPr>
      <w:r w:rsidRPr="00C83248">
        <w:rPr>
          <w:highlight w:val="yellow"/>
        </w:rPr>
        <w:t>All documents</w:t>
      </w:r>
    </w:p>
    <w:p w:rsidR="0013481B" w:rsidRPr="00C83248" w:rsidP="0013481B" w14:paraId="505A7233" w14:textId="00139BC8">
      <w:pPr>
        <w:pStyle w:val="ListParagraph"/>
        <w:numPr>
          <w:ilvl w:val="0"/>
          <w:numId w:val="17"/>
        </w:numPr>
        <w:rPr>
          <w:sz w:val="20"/>
          <w:szCs w:val="20"/>
          <w:highlight w:val="yellow"/>
        </w:rPr>
      </w:pPr>
      <w:r w:rsidRPr="00C83248">
        <w:rPr>
          <w:highlight w:val="yellow"/>
        </w:rPr>
        <w:t>Throughout, italicized instructional text is in black font</w:t>
      </w:r>
      <w:r w:rsidRPr="00C83248" w:rsidR="007460E0">
        <w:rPr>
          <w:highlight w:val="yellow"/>
        </w:rPr>
        <w:t xml:space="preserve"> to improve readability and accessibility</w:t>
      </w:r>
      <w:r w:rsidRPr="00C83248" w:rsidR="005866A0">
        <w:rPr>
          <w:highlight w:val="yellow"/>
        </w:rPr>
        <w:t xml:space="preserve">. Previously approved forms may have included italicized </w:t>
      </w:r>
      <w:r w:rsidRPr="00C83248" w:rsidR="007460E0">
        <w:rPr>
          <w:highlight w:val="yellow"/>
        </w:rPr>
        <w:t>instructional</w:t>
      </w:r>
      <w:r w:rsidRPr="00C83248" w:rsidR="005866A0">
        <w:rPr>
          <w:highlight w:val="yellow"/>
        </w:rPr>
        <w:t xml:space="preserve"> text in green font</w:t>
      </w:r>
      <w:r w:rsidRPr="00C83248" w:rsidR="00C14902">
        <w:rPr>
          <w:highlight w:val="yellow"/>
        </w:rPr>
        <w:t xml:space="preserve"> which has now been changed to black font</w:t>
      </w:r>
      <w:r w:rsidRPr="00C83248">
        <w:rPr>
          <w:highlight w:val="yellow"/>
        </w:rPr>
        <w:t>.</w:t>
      </w:r>
    </w:p>
    <w:p w:rsidR="00AA571C" w:rsidRPr="00261807" w:rsidP="00261807" w14:paraId="6661D3E9" w14:textId="40A24FE0">
      <w:pPr>
        <w:pStyle w:val="ListParagraph"/>
        <w:numPr>
          <w:ilvl w:val="0"/>
          <w:numId w:val="17"/>
        </w:numPr>
        <w:rPr>
          <w:highlight w:val="yellow"/>
        </w:rPr>
      </w:pPr>
      <w:r>
        <w:rPr>
          <w:highlight w:val="yellow"/>
        </w:rPr>
        <w:t xml:space="preserve">Documents refer to </w:t>
      </w:r>
      <w:r w:rsidRPr="00AA571C">
        <w:rPr>
          <w:highlight w:val="yellow"/>
        </w:rPr>
        <w:t>all funding entities that the NIH OLAW provides animal care and use program oversight fo</w:t>
      </w:r>
      <w:r w:rsidR="00A74F11">
        <w:rPr>
          <w:highlight w:val="yellow"/>
        </w:rPr>
        <w:t>r. In addition to</w:t>
      </w:r>
      <w:r w:rsidR="00B92754">
        <w:rPr>
          <w:highlight w:val="yellow"/>
        </w:rPr>
        <w:t xml:space="preserve"> providing oversight for</w:t>
      </w:r>
      <w:r w:rsidR="00A74F11">
        <w:rPr>
          <w:highlight w:val="yellow"/>
        </w:rPr>
        <w:t xml:space="preserve"> Public Health Service fund</w:t>
      </w:r>
      <w:r w:rsidR="00B92754">
        <w:rPr>
          <w:highlight w:val="yellow"/>
        </w:rPr>
        <w:t>ed animal work</w:t>
      </w:r>
      <w:r w:rsidR="00A74F11">
        <w:rPr>
          <w:highlight w:val="yellow"/>
        </w:rPr>
        <w:t>, the NIH OLAW has memoranda</w:t>
      </w:r>
      <w:r w:rsidR="000001C3">
        <w:rPr>
          <w:highlight w:val="yellow"/>
        </w:rPr>
        <w:t xml:space="preserve"> </w:t>
      </w:r>
      <w:r w:rsidR="00A74F11">
        <w:rPr>
          <w:highlight w:val="yellow"/>
        </w:rPr>
        <w:t>of understandings</w:t>
      </w:r>
      <w:r w:rsidR="000001C3">
        <w:rPr>
          <w:highlight w:val="yellow"/>
        </w:rPr>
        <w:t xml:space="preserve"> with</w:t>
      </w:r>
      <w:r w:rsidRPr="000001C3" w:rsidR="000001C3">
        <w:rPr>
          <w:highlight w:val="yellow"/>
        </w:rPr>
        <w:t xml:space="preserve"> </w:t>
      </w:r>
      <w:r w:rsidR="000001C3">
        <w:rPr>
          <w:highlight w:val="yellow"/>
        </w:rPr>
        <w:t>t</w:t>
      </w:r>
      <w:r w:rsidRPr="00AA571C" w:rsidR="000001C3">
        <w:rPr>
          <w:highlight w:val="yellow"/>
        </w:rPr>
        <w:t>he National Science Foundation (NSF)</w:t>
      </w:r>
      <w:r w:rsidR="000001C3">
        <w:rPr>
          <w:highlight w:val="yellow"/>
        </w:rPr>
        <w:t xml:space="preserve"> </w:t>
      </w:r>
      <w:r w:rsidRPr="00AA571C" w:rsidR="000001C3">
        <w:rPr>
          <w:highlight w:val="yellow"/>
        </w:rPr>
        <w:t>and National Aeronautics and Space Administration (NASA)</w:t>
      </w:r>
      <w:r w:rsidR="00C102A6">
        <w:rPr>
          <w:highlight w:val="yellow"/>
        </w:rPr>
        <w:t xml:space="preserve"> for live, vertebrate animal activities.</w:t>
      </w:r>
      <w:r w:rsidR="00BB69C3">
        <w:rPr>
          <w:highlight w:val="yellow"/>
        </w:rPr>
        <w:t xml:space="preserve"> Some documents only referenced NSF and not also NASA. </w:t>
      </w:r>
      <w:r w:rsidRPr="00ED1C84">
        <w:rPr>
          <w:highlight w:val="yellow"/>
        </w:rPr>
        <w:t>The MOU outlining oversight responsibility between the NIH OLAW and NASA was announced in NIH Guide Notice NOT-OD-20-095 Notice of Memorandum of Understanding Between NIH and NASA Concerning Laboratory</w:t>
      </w:r>
      <w:r w:rsidRPr="00ED1C84">
        <w:rPr>
          <w:highlight w:val="yellow"/>
        </w:rPr>
        <w:t xml:space="preserve"> Animal Welfare which was released on April 16, 2020. As a result of this change, there is no additional information requested and no increase of burden on the respondent.</w:t>
      </w:r>
    </w:p>
    <w:p w:rsidR="0013481B" w:rsidRPr="008256DF" w:rsidP="0013481B" w14:paraId="38DBFB66" w14:textId="62E5BACE">
      <w:pPr>
        <w:rPr>
          <w:highlight w:val="yellow"/>
        </w:rPr>
      </w:pPr>
      <w:r w:rsidRPr="008256DF">
        <w:rPr>
          <w:highlight w:val="yellow"/>
        </w:rPr>
        <w:t>Domestic Annual Report</w:t>
      </w:r>
      <w:r w:rsidRPr="008256DF" w:rsidR="004654F9">
        <w:rPr>
          <w:highlight w:val="yellow"/>
        </w:rPr>
        <w:t xml:space="preserve"> (attachment 1)</w:t>
      </w:r>
      <w:r w:rsidRPr="008256DF">
        <w:rPr>
          <w:highlight w:val="yellow"/>
        </w:rPr>
        <w:t xml:space="preserve"> – document with changes</w:t>
      </w:r>
    </w:p>
    <w:p w:rsidR="0013481B" w:rsidRPr="008256DF" w:rsidP="0013481B" w14:paraId="6A484EF8" w14:textId="77777777">
      <w:pPr>
        <w:pStyle w:val="ListParagraph"/>
        <w:numPr>
          <w:ilvl w:val="0"/>
          <w:numId w:val="20"/>
        </w:numPr>
        <w:rPr>
          <w:highlight w:val="yellow"/>
        </w:rPr>
      </w:pPr>
      <w:r w:rsidRPr="008256DF">
        <w:rPr>
          <w:highlight w:val="yellow"/>
        </w:rPr>
        <w:t>Added the term “progra</w:t>
      </w:r>
      <w:r w:rsidRPr="008256DF">
        <w:rPr>
          <w:highlight w:val="yellow"/>
        </w:rPr>
        <w:t>m reviews” to replace “program evaluation” which traditionally refers to both program reviews and facility inspections</w:t>
      </w:r>
    </w:p>
    <w:p w:rsidR="0013481B" w:rsidRPr="008256DF" w:rsidP="0013481B" w14:paraId="730A74E7" w14:textId="77777777">
      <w:pPr>
        <w:pStyle w:val="ListParagraph"/>
        <w:numPr>
          <w:ilvl w:val="0"/>
          <w:numId w:val="20"/>
        </w:numPr>
        <w:rPr>
          <w:highlight w:val="yellow"/>
        </w:rPr>
      </w:pPr>
      <w:r w:rsidRPr="008256DF">
        <w:rPr>
          <w:highlight w:val="yellow"/>
        </w:rPr>
        <w:t>Added instructional prompts to:</w:t>
      </w:r>
    </w:p>
    <w:p w:rsidR="0013481B" w:rsidRPr="008256DF" w:rsidP="0013481B" w14:paraId="7333C8F0" w14:textId="77777777">
      <w:pPr>
        <w:pStyle w:val="ListParagraph"/>
        <w:numPr>
          <w:ilvl w:val="1"/>
          <w:numId w:val="20"/>
        </w:numPr>
        <w:rPr>
          <w:highlight w:val="yellow"/>
        </w:rPr>
      </w:pPr>
      <w:r w:rsidRPr="008256DF">
        <w:rPr>
          <w:highlight w:val="yellow"/>
        </w:rPr>
        <w:t xml:space="preserve">describe what to submit if there were any minority views to reduce submission of excess documentation in </w:t>
      </w:r>
      <w:r w:rsidRPr="008256DF">
        <w:rPr>
          <w:highlight w:val="yellow"/>
        </w:rPr>
        <w:t>addition to the minority view</w:t>
      </w:r>
    </w:p>
    <w:p w:rsidR="0013481B" w:rsidRPr="008256DF" w:rsidP="0013481B" w14:paraId="24B08551" w14:textId="77777777">
      <w:pPr>
        <w:pStyle w:val="ListParagraph"/>
        <w:numPr>
          <w:ilvl w:val="1"/>
          <w:numId w:val="20"/>
        </w:numPr>
        <w:rPr>
          <w:highlight w:val="yellow"/>
        </w:rPr>
      </w:pPr>
      <w:r w:rsidRPr="008256DF">
        <w:rPr>
          <w:highlight w:val="yellow"/>
        </w:rPr>
        <w:t>request completion of some items to reduce incomplete submissions on the committee roster table</w:t>
      </w:r>
    </w:p>
    <w:p w:rsidR="0013481B" w:rsidRPr="008256DF" w:rsidP="0013481B" w14:paraId="22F73E15" w14:textId="67C33C8E">
      <w:pPr>
        <w:pStyle w:val="ListParagraph"/>
        <w:numPr>
          <w:ilvl w:val="1"/>
          <w:numId w:val="20"/>
        </w:numPr>
        <w:rPr>
          <w:highlight w:val="yellow"/>
        </w:rPr>
      </w:pPr>
      <w:r w:rsidRPr="008256DF">
        <w:rPr>
          <w:highlight w:val="yellow"/>
        </w:rPr>
        <w:t>describe what to include if an individual does not meet the qualifications of any of the required committee membership roles but w</w:t>
      </w:r>
      <w:r w:rsidRPr="008256DF">
        <w:rPr>
          <w:highlight w:val="yellow"/>
        </w:rPr>
        <w:t>ill remain a committee member</w:t>
      </w:r>
    </w:p>
    <w:p w:rsidR="00FE6A36" w:rsidRPr="008256DF" w:rsidP="00FE6A36" w14:paraId="47F6EF99" w14:textId="786E2512">
      <w:pPr>
        <w:pStyle w:val="ListParagraph"/>
        <w:numPr>
          <w:ilvl w:val="0"/>
          <w:numId w:val="20"/>
        </w:numPr>
        <w:rPr>
          <w:highlight w:val="yellow"/>
        </w:rPr>
      </w:pPr>
      <w:r w:rsidRPr="008256DF">
        <w:rPr>
          <w:highlight w:val="yellow"/>
        </w:rPr>
        <w:t xml:space="preserve">All changes </w:t>
      </w:r>
      <w:r w:rsidRPr="008256DF" w:rsidR="00C95FFB">
        <w:rPr>
          <w:highlight w:val="yellow"/>
        </w:rPr>
        <w:t xml:space="preserve">should not result in </w:t>
      </w:r>
      <w:r w:rsidRPr="008256DF" w:rsidR="000E748E">
        <w:rPr>
          <w:highlight w:val="yellow"/>
        </w:rPr>
        <w:t>a</w:t>
      </w:r>
      <w:r w:rsidRPr="008256DF" w:rsidR="00C95FFB">
        <w:rPr>
          <w:highlight w:val="yellow"/>
        </w:rPr>
        <w:t xml:space="preserve"> significant change</w:t>
      </w:r>
      <w:r w:rsidRPr="008256DF" w:rsidR="000E748E">
        <w:rPr>
          <w:highlight w:val="yellow"/>
        </w:rPr>
        <w:t xml:space="preserve"> of</w:t>
      </w:r>
      <w:r w:rsidRPr="008256DF" w:rsidR="00C95FFB">
        <w:rPr>
          <w:highlight w:val="yellow"/>
        </w:rPr>
        <w:t xml:space="preserve"> burden</w:t>
      </w:r>
      <w:r w:rsidRPr="008256DF" w:rsidR="000E748E">
        <w:rPr>
          <w:highlight w:val="yellow"/>
        </w:rPr>
        <w:t xml:space="preserve">, and in the long run, may reduce </w:t>
      </w:r>
      <w:r w:rsidRPr="008256DF" w:rsidR="00502648">
        <w:rPr>
          <w:highlight w:val="yellow"/>
        </w:rPr>
        <w:t>burden time during the subsequent document review between OLAW and the institution after submission.</w:t>
      </w:r>
    </w:p>
    <w:p w:rsidR="0013481B" w:rsidRPr="008256DF" w:rsidP="0013481B" w14:paraId="02157450" w14:textId="3BB301E7">
      <w:pPr>
        <w:rPr>
          <w:highlight w:val="yellow"/>
        </w:rPr>
      </w:pPr>
      <w:r w:rsidRPr="008256DF">
        <w:rPr>
          <w:highlight w:val="yellow"/>
        </w:rPr>
        <w:t>Domestic Assurance</w:t>
      </w:r>
      <w:r w:rsidRPr="008256DF" w:rsidR="004654F9">
        <w:rPr>
          <w:highlight w:val="yellow"/>
        </w:rPr>
        <w:t xml:space="preserve"> (attachment 2)</w:t>
      </w:r>
      <w:r w:rsidRPr="008256DF">
        <w:rPr>
          <w:highlight w:val="yellow"/>
        </w:rPr>
        <w:t xml:space="preserve"> – document with changes</w:t>
      </w:r>
    </w:p>
    <w:p w:rsidR="00655F0B" w:rsidRPr="008256DF" w:rsidP="00655F0B" w14:paraId="06BCFA9A" w14:textId="1929B549">
      <w:pPr>
        <w:pStyle w:val="ListParagraph"/>
        <w:numPr>
          <w:ilvl w:val="0"/>
          <w:numId w:val="17"/>
        </w:numPr>
        <w:rPr>
          <w:highlight w:val="yellow"/>
        </w:rPr>
      </w:pPr>
      <w:r w:rsidRPr="008256DF">
        <w:rPr>
          <w:highlight w:val="yellow"/>
        </w:rPr>
        <w:t xml:space="preserve">Minor changes </w:t>
      </w:r>
      <w:r w:rsidRPr="008256DF" w:rsidR="000328FE">
        <w:rPr>
          <w:highlight w:val="yellow"/>
        </w:rPr>
        <w:t>to</w:t>
      </w:r>
      <w:r w:rsidRPr="008256DF">
        <w:rPr>
          <w:highlight w:val="yellow"/>
        </w:rPr>
        <w:t xml:space="preserve"> references and guidance for assistance with document completion:</w:t>
      </w:r>
    </w:p>
    <w:p w:rsidR="00B31FA3" w:rsidRPr="008256DF" w:rsidP="00B31FA3" w14:paraId="0B24ED3C" w14:textId="0D109955">
      <w:pPr>
        <w:pStyle w:val="ListParagraph"/>
        <w:numPr>
          <w:ilvl w:val="1"/>
          <w:numId w:val="17"/>
        </w:numPr>
        <w:rPr>
          <w:highlight w:val="yellow"/>
        </w:rPr>
      </w:pPr>
      <w:r w:rsidRPr="008256DF">
        <w:rPr>
          <w:highlight w:val="yellow"/>
        </w:rPr>
        <w:t xml:space="preserve">swapped </w:t>
      </w:r>
      <w:r w:rsidRPr="008256DF" w:rsidR="00D947F8">
        <w:rPr>
          <w:highlight w:val="yellow"/>
        </w:rPr>
        <w:t xml:space="preserve">the numbering for </w:t>
      </w:r>
      <w:r w:rsidRPr="008256DF">
        <w:rPr>
          <w:highlight w:val="yellow"/>
        </w:rPr>
        <w:t xml:space="preserve">paragraphs E and F </w:t>
      </w:r>
      <w:r w:rsidR="00C2012E">
        <w:rPr>
          <w:highlight w:val="yellow"/>
        </w:rPr>
        <w:t xml:space="preserve">(paragraphs </w:t>
      </w:r>
      <w:r w:rsidRPr="008256DF" w:rsidR="00D947F8">
        <w:rPr>
          <w:highlight w:val="yellow"/>
        </w:rPr>
        <w:t xml:space="preserve">otherwise </w:t>
      </w:r>
      <w:r w:rsidRPr="008256DF">
        <w:rPr>
          <w:highlight w:val="yellow"/>
        </w:rPr>
        <w:t>remain unchange</w:t>
      </w:r>
      <w:r w:rsidR="00C2012E">
        <w:rPr>
          <w:highlight w:val="yellow"/>
        </w:rPr>
        <w:t>d)</w:t>
      </w:r>
    </w:p>
    <w:p w:rsidR="00655F0B" w:rsidRPr="008256DF" w:rsidP="00655F0B" w14:paraId="1AE68711" w14:textId="00E54931">
      <w:pPr>
        <w:pStyle w:val="ListParagraph"/>
        <w:numPr>
          <w:ilvl w:val="1"/>
          <w:numId w:val="17"/>
        </w:numPr>
        <w:rPr>
          <w:highlight w:val="yellow"/>
        </w:rPr>
      </w:pPr>
      <w:r w:rsidRPr="008256DF">
        <w:rPr>
          <w:highlight w:val="yellow"/>
        </w:rPr>
        <w:t xml:space="preserve">prompted for whether institutional </w:t>
      </w:r>
      <w:r w:rsidRPr="008256DF">
        <w:rPr>
          <w:highlight w:val="yellow"/>
        </w:rPr>
        <w:t>accreditation is identified as a component in the Semiannual Report</w:t>
      </w:r>
    </w:p>
    <w:p w:rsidR="00655F0B" w:rsidRPr="008256DF" w:rsidP="00655F0B" w14:paraId="18D85598" w14:textId="44F95C76">
      <w:pPr>
        <w:pStyle w:val="ListParagraph"/>
        <w:numPr>
          <w:ilvl w:val="1"/>
          <w:numId w:val="17"/>
        </w:numPr>
        <w:rPr>
          <w:highlight w:val="yellow"/>
        </w:rPr>
      </w:pPr>
      <w:r w:rsidRPr="008256DF">
        <w:rPr>
          <w:highlight w:val="yellow"/>
        </w:rPr>
        <w:t>added description to explain anonymity</w:t>
      </w:r>
    </w:p>
    <w:p w:rsidR="00655F0B" w:rsidRPr="008256DF" w:rsidP="00655F0B" w14:paraId="3E586775" w14:textId="4050AA2C">
      <w:pPr>
        <w:pStyle w:val="ListParagraph"/>
        <w:numPr>
          <w:ilvl w:val="1"/>
          <w:numId w:val="17"/>
        </w:numPr>
        <w:rPr>
          <w:highlight w:val="yellow"/>
        </w:rPr>
      </w:pPr>
      <w:r w:rsidRPr="008256DF">
        <w:rPr>
          <w:highlight w:val="yellow"/>
        </w:rPr>
        <w:t>requested a list of changes considered to be significant</w:t>
      </w:r>
    </w:p>
    <w:p w:rsidR="00B97C1A" w:rsidRPr="008256DF" w:rsidP="00655F0B" w14:paraId="719D2356" w14:textId="4B08E866">
      <w:pPr>
        <w:pStyle w:val="ListParagraph"/>
        <w:numPr>
          <w:ilvl w:val="1"/>
          <w:numId w:val="17"/>
        </w:numPr>
        <w:rPr>
          <w:highlight w:val="yellow"/>
        </w:rPr>
      </w:pPr>
      <w:r w:rsidRPr="008256DF">
        <w:rPr>
          <w:highlight w:val="yellow"/>
        </w:rPr>
        <w:t xml:space="preserve">deleted the prompt to describe the annual review process for species regulated by the USDA </w:t>
      </w:r>
      <w:r w:rsidRPr="008256DF" w:rsidR="009C0FB2">
        <w:rPr>
          <w:highlight w:val="yellow"/>
        </w:rPr>
        <w:t>which</w:t>
      </w:r>
      <w:r w:rsidRPr="008256DF" w:rsidR="002F4BE9">
        <w:rPr>
          <w:highlight w:val="yellow"/>
        </w:rPr>
        <w:t xml:space="preserve"> is no longer required due to </w:t>
      </w:r>
      <w:r w:rsidRPr="008256DF">
        <w:rPr>
          <w:highlight w:val="yellow"/>
        </w:rPr>
        <w:t>the</w:t>
      </w:r>
      <w:r w:rsidRPr="008256DF" w:rsidR="007D5920">
        <w:rPr>
          <w:highlight w:val="yellow"/>
        </w:rPr>
        <w:t xml:space="preserve"> Animal Welfare Act regulations</w:t>
      </w:r>
      <w:r w:rsidRPr="008256DF" w:rsidR="00AA6204">
        <w:rPr>
          <w:highlight w:val="yellow"/>
        </w:rPr>
        <w:t xml:space="preserve"> </w:t>
      </w:r>
      <w:r w:rsidRPr="008256DF" w:rsidR="007D5920">
        <w:rPr>
          <w:highlight w:val="yellow"/>
        </w:rPr>
        <w:t>amend</w:t>
      </w:r>
      <w:r w:rsidRPr="008256DF" w:rsidR="00AA6204">
        <w:rPr>
          <w:highlight w:val="yellow"/>
        </w:rPr>
        <w:t xml:space="preserve">ment (as posted in the Federal Register notice </w:t>
      </w:r>
      <w:r w:rsidRPr="008256DF" w:rsidR="00A851FC">
        <w:rPr>
          <w:highlight w:val="yellow"/>
        </w:rPr>
        <w:t xml:space="preserve">86 FR 66919 </w:t>
      </w:r>
      <w:r w:rsidRPr="008256DF" w:rsidR="009C0FB2">
        <w:rPr>
          <w:highlight w:val="yellow"/>
        </w:rPr>
        <w:t xml:space="preserve">https://www.federalregister.gov/documents/2021/11/24/2021-25614/awa-research-facility-registration-updates-reviews-and-reports/) </w:t>
      </w:r>
    </w:p>
    <w:p w:rsidR="00F157BC" w:rsidRPr="008256DF" w:rsidP="00655F0B" w14:paraId="78C5FFD8" w14:textId="29EAA468">
      <w:pPr>
        <w:pStyle w:val="ListParagraph"/>
        <w:numPr>
          <w:ilvl w:val="1"/>
          <w:numId w:val="17"/>
        </w:numPr>
        <w:rPr>
          <w:highlight w:val="yellow"/>
        </w:rPr>
      </w:pPr>
      <w:r w:rsidRPr="008256DF">
        <w:rPr>
          <w:highlight w:val="yellow"/>
        </w:rPr>
        <w:t xml:space="preserve">added </w:t>
      </w:r>
      <w:r w:rsidRPr="008256DF" w:rsidR="00312B88">
        <w:rPr>
          <w:highlight w:val="yellow"/>
        </w:rPr>
        <w:t xml:space="preserve">an existing FAQ as a </w:t>
      </w:r>
      <w:r w:rsidRPr="008256DF">
        <w:rPr>
          <w:highlight w:val="yellow"/>
        </w:rPr>
        <w:t>reference regarding suspension of animal activities</w:t>
      </w:r>
      <w:r w:rsidRPr="008256DF" w:rsidR="00312B88">
        <w:rPr>
          <w:highlight w:val="yellow"/>
        </w:rPr>
        <w:t xml:space="preserve"> </w:t>
      </w:r>
    </w:p>
    <w:p w:rsidR="00655F0B" w:rsidRPr="008256DF" w:rsidP="00655F0B" w14:paraId="6085D908" w14:textId="1B6C06FB">
      <w:pPr>
        <w:pStyle w:val="ListParagraph"/>
        <w:numPr>
          <w:ilvl w:val="1"/>
          <w:numId w:val="17"/>
        </w:numPr>
        <w:rPr>
          <w:highlight w:val="yellow"/>
        </w:rPr>
      </w:pPr>
      <w:r>
        <w:rPr>
          <w:highlight w:val="yellow"/>
        </w:rPr>
        <w:t xml:space="preserve">added a </w:t>
      </w:r>
      <w:r w:rsidRPr="008256DF">
        <w:rPr>
          <w:highlight w:val="yellow"/>
        </w:rPr>
        <w:t>request</w:t>
      </w:r>
      <w:r>
        <w:rPr>
          <w:highlight w:val="yellow"/>
        </w:rPr>
        <w:t xml:space="preserve"> for</w:t>
      </w:r>
      <w:r w:rsidRPr="008256DF">
        <w:rPr>
          <w:highlight w:val="yellow"/>
        </w:rPr>
        <w:t xml:space="preserve"> completion of some items to reduce incomplete submissions on the committee roster table</w:t>
      </w:r>
    </w:p>
    <w:p w:rsidR="00655F0B" w:rsidRPr="008256DF" w:rsidP="00655F0B" w14:paraId="09E3E678" w14:textId="31CEAC4D">
      <w:pPr>
        <w:pStyle w:val="ListParagraph"/>
        <w:numPr>
          <w:ilvl w:val="1"/>
          <w:numId w:val="17"/>
        </w:numPr>
        <w:rPr>
          <w:highlight w:val="yellow"/>
        </w:rPr>
      </w:pPr>
      <w:r>
        <w:rPr>
          <w:highlight w:val="yellow"/>
        </w:rPr>
        <w:t xml:space="preserve">added a </w:t>
      </w:r>
      <w:r w:rsidRPr="008256DF">
        <w:rPr>
          <w:highlight w:val="yellow"/>
        </w:rPr>
        <w:t>descri</w:t>
      </w:r>
      <w:r>
        <w:rPr>
          <w:highlight w:val="yellow"/>
        </w:rPr>
        <w:t>ption</w:t>
      </w:r>
      <w:r w:rsidRPr="008256DF">
        <w:rPr>
          <w:highlight w:val="yellow"/>
        </w:rPr>
        <w:t xml:space="preserve"> what to include if an individual does not</w:t>
      </w:r>
      <w:r w:rsidRPr="008256DF">
        <w:rPr>
          <w:highlight w:val="yellow"/>
        </w:rPr>
        <w:t xml:space="preserve"> meet the qualifications of any of the required committee membership roles but will remain a committee member</w:t>
      </w:r>
    </w:p>
    <w:p w:rsidR="0013481B" w:rsidRPr="009C404F" w:rsidP="0013481B" w14:paraId="2432F94D" w14:textId="523CEDE1">
      <w:pPr>
        <w:pStyle w:val="ListParagraph"/>
        <w:numPr>
          <w:ilvl w:val="0"/>
          <w:numId w:val="17"/>
        </w:numPr>
        <w:rPr>
          <w:highlight w:val="yellow"/>
        </w:rPr>
      </w:pPr>
      <w:r w:rsidRPr="008256DF">
        <w:rPr>
          <w:highlight w:val="yellow"/>
        </w:rPr>
        <w:t xml:space="preserve">The above changes assist in completion of the form and provide more detail or refer to items from the </w:t>
      </w:r>
      <w:r w:rsidRPr="008256DF">
        <w:rPr>
          <w:i/>
          <w:iCs/>
          <w:highlight w:val="yellow"/>
        </w:rPr>
        <w:t>Guide for the Care and Use of Laboratory Ani</w:t>
      </w:r>
      <w:r w:rsidRPr="008256DF">
        <w:rPr>
          <w:i/>
          <w:iCs/>
          <w:highlight w:val="yellow"/>
        </w:rPr>
        <w:t>mals: Eight Edition</w:t>
      </w:r>
      <w:r w:rsidRPr="008256DF">
        <w:rPr>
          <w:highlight w:val="yellow"/>
        </w:rPr>
        <w:t xml:space="preserve"> (</w:t>
      </w:r>
      <w:r w:rsidRPr="008256DF">
        <w:rPr>
          <w:i/>
          <w:iCs/>
          <w:highlight w:val="yellow"/>
        </w:rPr>
        <w:t xml:space="preserve">Guide) </w:t>
      </w:r>
      <w:r w:rsidRPr="008256DF">
        <w:rPr>
          <w:highlight w:val="yellow"/>
        </w:rPr>
        <w:t xml:space="preserve">which was adopted by NIH after appropriate public comment periods and announced in NOT-OD-12-020 Adoption and Implementation of the Guide for the Care and Use of Laboratory Animals: Eighth Edition on December 2, 2011. The added </w:t>
      </w:r>
      <w:r w:rsidRPr="008256DF">
        <w:rPr>
          <w:highlight w:val="yellow"/>
        </w:rPr>
        <w:t xml:space="preserve">items are not new requirements since institutions completing the Domestic Assurance have been required to implement the </w:t>
      </w:r>
      <w:r w:rsidRPr="008256DF">
        <w:rPr>
          <w:i/>
          <w:iCs/>
          <w:highlight w:val="yellow"/>
        </w:rPr>
        <w:t>Guide</w:t>
      </w:r>
      <w:r w:rsidRPr="008256DF">
        <w:rPr>
          <w:highlight w:val="yellow"/>
        </w:rPr>
        <w:t xml:space="preserve"> since 2012. The changes to provide more detail may slightly increase the burden to the respondent but will result in a net reducti</w:t>
      </w:r>
      <w:r w:rsidRPr="008256DF">
        <w:rPr>
          <w:highlight w:val="yellow"/>
        </w:rPr>
        <w:t>on of burden during the document review between OLAW and the institution after initial submission.</w:t>
      </w:r>
    </w:p>
    <w:p w:rsidR="0013481B" w:rsidRPr="009C404F" w:rsidP="0013481B" w14:paraId="5292CBEC" w14:textId="2AAA2878">
      <w:pPr>
        <w:rPr>
          <w:highlight w:val="yellow"/>
        </w:rPr>
      </w:pPr>
      <w:r w:rsidRPr="009C404F">
        <w:rPr>
          <w:highlight w:val="yellow"/>
        </w:rPr>
        <w:t>Foreign Annual Report</w:t>
      </w:r>
      <w:bookmarkStart w:id="32" w:name="_Hlk142384140"/>
      <w:r w:rsidRPr="009C404F">
        <w:rPr>
          <w:highlight w:val="yellow"/>
        </w:rPr>
        <w:t xml:space="preserve"> </w:t>
      </w:r>
      <w:r w:rsidRPr="009C404F" w:rsidR="004654F9">
        <w:rPr>
          <w:highlight w:val="yellow"/>
        </w:rPr>
        <w:t xml:space="preserve">(attachment 3) </w:t>
      </w:r>
      <w:r w:rsidRPr="009C404F">
        <w:rPr>
          <w:highlight w:val="yellow"/>
        </w:rPr>
        <w:t>– new document</w:t>
      </w:r>
      <w:bookmarkEnd w:id="32"/>
    </w:p>
    <w:p w:rsidR="00B06C03" w:rsidRPr="009C404F" w:rsidP="00B06C03" w14:paraId="479DBE4C" w14:textId="77777777">
      <w:pPr>
        <w:pStyle w:val="ListParagraph"/>
        <w:numPr>
          <w:ilvl w:val="0"/>
          <w:numId w:val="22"/>
        </w:numPr>
        <w:rPr>
          <w:highlight w:val="yellow"/>
        </w:rPr>
      </w:pPr>
      <w:r w:rsidRPr="009C404F">
        <w:rPr>
          <w:highlight w:val="yellow"/>
        </w:rPr>
        <w:t xml:space="preserve">To better align with the reporting requirements </w:t>
      </w:r>
      <w:r w:rsidRPr="009C404F" w:rsidR="0057439C">
        <w:rPr>
          <w:highlight w:val="yellow"/>
        </w:rPr>
        <w:t>followed by</w:t>
      </w:r>
      <w:r w:rsidRPr="009C404F" w:rsidR="005D001B">
        <w:rPr>
          <w:highlight w:val="yellow"/>
        </w:rPr>
        <w:t xml:space="preserve"> domestic institutions </w:t>
      </w:r>
      <w:r w:rsidRPr="009C404F" w:rsidR="00A67472">
        <w:rPr>
          <w:highlight w:val="yellow"/>
        </w:rPr>
        <w:t xml:space="preserve">that </w:t>
      </w:r>
      <w:r w:rsidRPr="009C404F" w:rsidR="0057439C">
        <w:rPr>
          <w:highlight w:val="yellow"/>
        </w:rPr>
        <w:t>have an approved Domestic Assurance</w:t>
      </w:r>
      <w:r w:rsidRPr="009C404F" w:rsidR="00B26809">
        <w:rPr>
          <w:highlight w:val="yellow"/>
        </w:rPr>
        <w:t xml:space="preserve">, </w:t>
      </w:r>
      <w:r w:rsidRPr="009C404F" w:rsidR="00176108">
        <w:rPr>
          <w:highlight w:val="yellow"/>
        </w:rPr>
        <w:t>foreign institutions</w:t>
      </w:r>
      <w:r w:rsidRPr="009C404F" w:rsidR="00336FAB">
        <w:rPr>
          <w:highlight w:val="yellow"/>
        </w:rPr>
        <w:t xml:space="preserve"> that have an approved Foreign Assurance </w:t>
      </w:r>
      <w:r w:rsidRPr="009C404F" w:rsidR="00176108">
        <w:rPr>
          <w:highlight w:val="yellow"/>
        </w:rPr>
        <w:t xml:space="preserve">will submit a Foreign Annual Report to OLAW </w:t>
      </w:r>
      <w:r w:rsidRPr="009C404F" w:rsidR="00284A4C">
        <w:rPr>
          <w:highlight w:val="yellow"/>
        </w:rPr>
        <w:t xml:space="preserve">that </w:t>
      </w:r>
      <w:r w:rsidRPr="009C404F" w:rsidR="00176108">
        <w:rPr>
          <w:highlight w:val="yellow"/>
        </w:rPr>
        <w:t>includ</w:t>
      </w:r>
      <w:r w:rsidRPr="009C404F" w:rsidR="00284A4C">
        <w:rPr>
          <w:highlight w:val="yellow"/>
        </w:rPr>
        <w:t>es</w:t>
      </w:r>
      <w:r w:rsidRPr="009C404F" w:rsidR="0013481B">
        <w:rPr>
          <w:highlight w:val="yellow"/>
        </w:rPr>
        <w:t xml:space="preserve"> </w:t>
      </w:r>
      <w:r w:rsidRPr="009C404F" w:rsidR="00176108">
        <w:rPr>
          <w:highlight w:val="yellow"/>
        </w:rPr>
        <w:t>the following information</w:t>
      </w:r>
      <w:r w:rsidRPr="009C404F" w:rsidR="00E0627E">
        <w:rPr>
          <w:highlight w:val="yellow"/>
        </w:rPr>
        <w:t>.</w:t>
      </w:r>
    </w:p>
    <w:p w:rsidR="00B06C03" w:rsidRPr="009C404F" w:rsidP="00B06C03" w14:paraId="74217C73" w14:textId="77777777">
      <w:pPr>
        <w:pStyle w:val="ListParagraph"/>
        <w:numPr>
          <w:ilvl w:val="1"/>
          <w:numId w:val="22"/>
        </w:numPr>
        <w:rPr>
          <w:highlight w:val="yellow"/>
        </w:rPr>
      </w:pPr>
      <w:r w:rsidRPr="009C404F">
        <w:rPr>
          <w:highlight w:val="yellow"/>
        </w:rPr>
        <w:t>Funding status</w:t>
      </w:r>
    </w:p>
    <w:p w:rsidR="00B06C03" w:rsidRPr="009C404F" w:rsidP="00B06C03" w14:paraId="223D5472" w14:textId="77777777">
      <w:pPr>
        <w:pStyle w:val="ListParagraph"/>
        <w:numPr>
          <w:ilvl w:val="1"/>
          <w:numId w:val="22"/>
        </w:numPr>
        <w:rPr>
          <w:highlight w:val="yellow"/>
        </w:rPr>
      </w:pPr>
      <w:r w:rsidRPr="009C404F">
        <w:rPr>
          <w:highlight w:val="yellow"/>
        </w:rPr>
        <w:t>Attestation of noncompliance reporting to OLAW during the reportin</w:t>
      </w:r>
      <w:r w:rsidRPr="009C404F">
        <w:rPr>
          <w:highlight w:val="yellow"/>
        </w:rPr>
        <w:t>g period or whether there was no reportable noncompliance</w:t>
      </w:r>
    </w:p>
    <w:p w:rsidR="0013481B" w:rsidRPr="009C404F" w:rsidP="00B06C03" w14:paraId="2D624D0B" w14:textId="759CFA5A">
      <w:pPr>
        <w:pStyle w:val="ListParagraph"/>
        <w:numPr>
          <w:ilvl w:val="1"/>
          <w:numId w:val="22"/>
        </w:numPr>
        <w:rPr>
          <w:highlight w:val="yellow"/>
        </w:rPr>
      </w:pPr>
      <w:r w:rsidRPr="009C404F">
        <w:rPr>
          <w:highlight w:val="yellow"/>
        </w:rPr>
        <w:t>Change in accreditation or certification status; institutional comm</w:t>
      </w:r>
      <w:r w:rsidRPr="009C404F" w:rsidR="00B8308B">
        <w:rPr>
          <w:highlight w:val="yellow"/>
        </w:rPr>
        <w:t>itm</w:t>
      </w:r>
      <w:r w:rsidRPr="009C404F">
        <w:rPr>
          <w:highlight w:val="yellow"/>
        </w:rPr>
        <w:t>ent including laws, regulations, policies; oversight body processes; Institutional Official or institutional contacts</w:t>
      </w:r>
    </w:p>
    <w:p w:rsidR="0013481B" w:rsidRPr="009C404F" w:rsidP="00B06C03" w14:paraId="2F3279A9" w14:textId="2478BD28">
      <w:pPr>
        <w:pStyle w:val="ListParagraph"/>
        <w:numPr>
          <w:ilvl w:val="0"/>
          <w:numId w:val="22"/>
        </w:numPr>
        <w:rPr>
          <w:highlight w:val="yellow"/>
        </w:rPr>
      </w:pPr>
      <w:r w:rsidRPr="009C404F">
        <w:rPr>
          <w:highlight w:val="yellow"/>
        </w:rPr>
        <w:t>As a resul</w:t>
      </w:r>
      <w:r w:rsidRPr="009C404F">
        <w:rPr>
          <w:highlight w:val="yellow"/>
        </w:rPr>
        <w:t>t of these changes, additional information is requested, and there is an increase in burden to respondents</w:t>
      </w:r>
      <w:r w:rsidRPr="009C404F" w:rsidR="00396F71">
        <w:rPr>
          <w:highlight w:val="yellow"/>
        </w:rPr>
        <w:t xml:space="preserve"> since this is a new document</w:t>
      </w:r>
      <w:r w:rsidRPr="009C404F" w:rsidR="004B2B35">
        <w:rPr>
          <w:highlight w:val="yellow"/>
        </w:rPr>
        <w:t>. Th</w:t>
      </w:r>
      <w:r w:rsidR="00C9605A">
        <w:rPr>
          <w:highlight w:val="yellow"/>
        </w:rPr>
        <w:t>e Foreign Annual Report</w:t>
      </w:r>
      <w:r w:rsidRPr="009C404F" w:rsidR="004B2B35">
        <w:rPr>
          <w:highlight w:val="yellow"/>
        </w:rPr>
        <w:t xml:space="preserve"> </w:t>
      </w:r>
      <w:r w:rsidRPr="009C404F" w:rsidR="005932CD">
        <w:rPr>
          <w:highlight w:val="yellow"/>
        </w:rPr>
        <w:t>will provide</w:t>
      </w:r>
      <w:r w:rsidRPr="009C404F" w:rsidR="004B2B35">
        <w:rPr>
          <w:highlight w:val="yellow"/>
        </w:rPr>
        <w:t xml:space="preserve"> the NIH OLAW </w:t>
      </w:r>
      <w:r w:rsidRPr="009C404F" w:rsidR="005932CD">
        <w:rPr>
          <w:highlight w:val="yellow"/>
        </w:rPr>
        <w:t xml:space="preserve">with regular updates regarding the foreign institution’s animal care and use program and will facilitate </w:t>
      </w:r>
      <w:r w:rsidRPr="009C404F" w:rsidR="00C56C79">
        <w:rPr>
          <w:highlight w:val="yellow"/>
        </w:rPr>
        <w:t>enhanced oversight</w:t>
      </w:r>
      <w:r w:rsidRPr="009C404F" w:rsidR="00396F71">
        <w:rPr>
          <w:highlight w:val="yellow"/>
        </w:rPr>
        <w:t>.</w:t>
      </w:r>
      <w:r w:rsidRPr="009C404F" w:rsidR="00165843">
        <w:rPr>
          <w:highlight w:val="yellow"/>
        </w:rPr>
        <w:t xml:space="preserve"> </w:t>
      </w:r>
    </w:p>
    <w:p w:rsidR="0013481B" w:rsidRPr="009C404F" w:rsidP="0013481B" w14:paraId="3E7219FE" w14:textId="735FDFF6">
      <w:pPr>
        <w:rPr>
          <w:highlight w:val="yellow"/>
        </w:rPr>
      </w:pPr>
      <w:r w:rsidRPr="009C404F">
        <w:rPr>
          <w:highlight w:val="yellow"/>
        </w:rPr>
        <w:t xml:space="preserve">Foreign Assurance </w:t>
      </w:r>
      <w:r w:rsidRPr="009C404F" w:rsidR="004654F9">
        <w:rPr>
          <w:highlight w:val="yellow"/>
        </w:rPr>
        <w:t xml:space="preserve">(attachment 4) </w:t>
      </w:r>
      <w:r w:rsidRPr="009C404F">
        <w:rPr>
          <w:highlight w:val="yellow"/>
        </w:rPr>
        <w:t>– document with changes</w:t>
      </w:r>
    </w:p>
    <w:p w:rsidR="00AD1E0C" w:rsidRPr="009C404F" w:rsidP="00AD1E0C" w14:paraId="53206233" w14:textId="77777777">
      <w:pPr>
        <w:pStyle w:val="ListParagraph"/>
        <w:numPr>
          <w:ilvl w:val="0"/>
          <w:numId w:val="17"/>
        </w:numPr>
        <w:rPr>
          <w:sz w:val="20"/>
          <w:szCs w:val="20"/>
          <w:highlight w:val="yellow"/>
        </w:rPr>
      </w:pPr>
      <w:bookmarkStart w:id="33" w:name="_Hlk142381604"/>
      <w:r w:rsidRPr="009C404F">
        <w:rPr>
          <w:highlight w:val="yellow"/>
        </w:rPr>
        <w:t>Added a new informational section that describes the institution’s responsibility to report noncompliance or suspension of animal activities</w:t>
      </w:r>
      <w:r w:rsidRPr="009C404F">
        <w:rPr>
          <w:highlight w:val="yellow"/>
        </w:rPr>
        <w:t xml:space="preserve"> to OLAW</w:t>
      </w:r>
    </w:p>
    <w:p w:rsidR="00AD1E0C" w:rsidRPr="009C404F" w:rsidP="00AD1E0C" w14:paraId="1C641718" w14:textId="77777777">
      <w:pPr>
        <w:pStyle w:val="ListParagraph"/>
        <w:numPr>
          <w:ilvl w:val="0"/>
          <w:numId w:val="17"/>
        </w:numPr>
        <w:rPr>
          <w:sz w:val="20"/>
          <w:szCs w:val="20"/>
          <w:highlight w:val="yellow"/>
        </w:rPr>
      </w:pPr>
      <w:r w:rsidRPr="009C404F">
        <w:rPr>
          <w:highlight w:val="yellow"/>
        </w:rPr>
        <w:t>Added a new section for a description of oversight including information on the Institution’s Animal Welfare Committee or Oversight Body and description of responsibilities for review of research using live, vertebrate animals</w:t>
      </w:r>
    </w:p>
    <w:p w:rsidR="00192BB6" w:rsidRPr="00192BB6" w:rsidP="00192BB6" w14:paraId="6B90851C" w14:textId="77777777">
      <w:pPr>
        <w:pStyle w:val="ListParagraph"/>
        <w:numPr>
          <w:ilvl w:val="0"/>
          <w:numId w:val="17"/>
        </w:numPr>
        <w:rPr>
          <w:sz w:val="20"/>
          <w:szCs w:val="20"/>
          <w:highlight w:val="yellow"/>
        </w:rPr>
      </w:pPr>
      <w:r w:rsidRPr="009C404F">
        <w:rPr>
          <w:highlight w:val="yellow"/>
        </w:rPr>
        <w:t>Added a new informational sec</w:t>
      </w:r>
      <w:r w:rsidRPr="009C404F">
        <w:rPr>
          <w:highlight w:val="yellow"/>
        </w:rPr>
        <w:t>tion that describes the institution’s responsibility to submit an Annual Report to OLAW</w:t>
      </w:r>
    </w:p>
    <w:p w:rsidR="00192BB6" w:rsidRPr="00192BB6" w:rsidP="00192BB6" w14:paraId="4446450A" w14:textId="7D125C35">
      <w:pPr>
        <w:pStyle w:val="ListParagraph"/>
        <w:numPr>
          <w:ilvl w:val="0"/>
          <w:numId w:val="17"/>
        </w:numPr>
        <w:rPr>
          <w:sz w:val="20"/>
          <w:szCs w:val="20"/>
          <w:highlight w:val="yellow"/>
        </w:rPr>
      </w:pPr>
      <w:r w:rsidRPr="00192BB6">
        <w:rPr>
          <w:highlight w:val="yellow"/>
        </w:rPr>
        <w:t xml:space="preserve">Moved the Institutional Contacts section to appear before the signature page and made minor non-substantive formatting edits </w:t>
      </w:r>
    </w:p>
    <w:p w:rsidR="00975190" w:rsidRPr="00192BB6" w:rsidP="00FF72FC" w14:paraId="7F5FD6AC" w14:textId="6B78D475">
      <w:pPr>
        <w:pStyle w:val="ListParagraph"/>
        <w:numPr>
          <w:ilvl w:val="0"/>
          <w:numId w:val="17"/>
        </w:numPr>
        <w:rPr>
          <w:highlight w:val="yellow"/>
        </w:rPr>
      </w:pPr>
      <w:r w:rsidRPr="009C404F">
        <w:rPr>
          <w:highlight w:val="yellow"/>
        </w:rPr>
        <w:t>New informational sections serve to more d</w:t>
      </w:r>
      <w:r w:rsidRPr="009C404F">
        <w:rPr>
          <w:highlight w:val="yellow"/>
        </w:rPr>
        <w:t>irectly inform foreign institutions of existing responsibilities that are already included in the PHS Policy.</w:t>
      </w:r>
      <w:r w:rsidR="00377B7B">
        <w:rPr>
          <w:highlight w:val="yellow"/>
        </w:rPr>
        <w:t xml:space="preserve"> A</w:t>
      </w:r>
      <w:r w:rsidRPr="009C404F">
        <w:rPr>
          <w:highlight w:val="yellow"/>
        </w:rPr>
        <w:t xml:space="preserve"> new section for </w:t>
      </w:r>
      <w:r w:rsidR="00EF7524">
        <w:rPr>
          <w:highlight w:val="yellow"/>
        </w:rPr>
        <w:t xml:space="preserve">a </w:t>
      </w:r>
      <w:r w:rsidRPr="009C404F">
        <w:rPr>
          <w:highlight w:val="yellow"/>
        </w:rPr>
        <w:t>description of oversight and responsibilities for review of animal research</w:t>
      </w:r>
      <w:r w:rsidR="00EF7524">
        <w:rPr>
          <w:highlight w:val="yellow"/>
        </w:rPr>
        <w:t xml:space="preserve"> </w:t>
      </w:r>
      <w:r w:rsidR="00FF67E0">
        <w:rPr>
          <w:highlight w:val="yellow"/>
        </w:rPr>
        <w:t>is not a new requirement since foreign institutions already commit to</w:t>
      </w:r>
      <w:r w:rsidR="00C0725E">
        <w:rPr>
          <w:highlight w:val="yellow"/>
        </w:rPr>
        <w:t xml:space="preserve"> the</w:t>
      </w:r>
      <w:r w:rsidR="00FF67E0">
        <w:rPr>
          <w:highlight w:val="yellow"/>
        </w:rPr>
        <w:t xml:space="preserve"> </w:t>
      </w:r>
      <w:bookmarkStart w:id="34" w:name="_Hlk142392313"/>
      <w:r w:rsidRPr="00C0725E" w:rsidR="00C0725E">
        <w:rPr>
          <w:bCs/>
          <w:i/>
          <w:highlight w:val="yellow"/>
        </w:rPr>
        <w:t>International Guiding Principles for Biomedical Research Involving Animals</w:t>
      </w:r>
      <w:bookmarkEnd w:id="34"/>
      <w:r w:rsidRPr="00C0725E" w:rsidR="00C0725E">
        <w:rPr>
          <w:highlight w:val="yellow"/>
        </w:rPr>
        <w:t xml:space="preserve"> https://olaw.nih.gov/sites/default/files/Guiding_Principles_2012.pdf</w:t>
      </w:r>
      <w:r w:rsidR="00C0725E">
        <w:rPr>
          <w:highlight w:val="yellow"/>
        </w:rPr>
        <w:t xml:space="preserve"> which </w:t>
      </w:r>
      <w:r w:rsidR="00746C8F">
        <w:rPr>
          <w:highlight w:val="yellow"/>
        </w:rPr>
        <w:t>st</w:t>
      </w:r>
      <w:r w:rsidR="00B358F5">
        <w:rPr>
          <w:highlight w:val="yellow"/>
        </w:rPr>
        <w:t xml:space="preserve">ates that a </w:t>
      </w:r>
      <w:r w:rsidRPr="00B358F5" w:rsidR="00B358F5">
        <w:rPr>
          <w:highlight w:val="yellow"/>
        </w:rPr>
        <w:t>system of animal use oversight should be implemented in each country</w:t>
      </w:r>
      <w:r w:rsidR="00B358F5">
        <w:rPr>
          <w:highlight w:val="yellow"/>
        </w:rPr>
        <w:t xml:space="preserve">. Although the </w:t>
      </w:r>
      <w:r w:rsidR="00ED74A9">
        <w:rPr>
          <w:highlight w:val="yellow"/>
        </w:rPr>
        <w:t xml:space="preserve">oversight </w:t>
      </w:r>
      <w:r w:rsidR="00B358F5">
        <w:rPr>
          <w:highlight w:val="yellow"/>
        </w:rPr>
        <w:t>requirement is not new, providing a description</w:t>
      </w:r>
      <w:r w:rsidR="006D5C81">
        <w:rPr>
          <w:highlight w:val="yellow"/>
        </w:rPr>
        <w:t xml:space="preserve"> requires </w:t>
      </w:r>
      <w:r w:rsidRPr="009C404F">
        <w:rPr>
          <w:highlight w:val="yellow"/>
        </w:rPr>
        <w:t xml:space="preserve">additional information </w:t>
      </w:r>
      <w:r w:rsidR="006D5C81">
        <w:rPr>
          <w:highlight w:val="yellow"/>
        </w:rPr>
        <w:t xml:space="preserve">to be provided which </w:t>
      </w:r>
      <w:r w:rsidRPr="009C404F">
        <w:rPr>
          <w:highlight w:val="yellow"/>
        </w:rPr>
        <w:t>is an increase in burden to respondents which has been accounted for with an increased estimated average response time.</w:t>
      </w:r>
      <w:bookmarkEnd w:id="33"/>
    </w:p>
    <w:p w:rsidR="00284646" w:rsidP="004654F9" w14:paraId="0C190793" w14:textId="77777777">
      <w:pPr>
        <w:rPr>
          <w:highlight w:val="yellow"/>
        </w:rPr>
      </w:pPr>
    </w:p>
    <w:p w:rsidR="00284646" w:rsidP="004654F9" w14:paraId="4F902D8D" w14:textId="63CA92BB">
      <w:pPr>
        <w:rPr>
          <w:highlight w:val="yellow"/>
        </w:rPr>
      </w:pPr>
      <w:r>
        <w:rPr>
          <w:highlight w:val="yellow"/>
        </w:rPr>
        <w:t xml:space="preserve">All </w:t>
      </w:r>
      <w:r w:rsidRPr="009C404F">
        <w:rPr>
          <w:highlight w:val="yellow"/>
        </w:rPr>
        <w:t>Inter</w:t>
      </w:r>
      <w:r w:rsidRPr="009C404F">
        <w:rPr>
          <w:highlight w:val="yellow"/>
        </w:rPr>
        <w:t>institutional Assurance</w:t>
      </w:r>
      <w:r>
        <w:rPr>
          <w:highlight w:val="yellow"/>
        </w:rPr>
        <w:t xml:space="preserve"> (IA) documents: </w:t>
      </w:r>
    </w:p>
    <w:p w:rsidR="00284646" w:rsidRPr="00284646" w:rsidP="00284646" w14:paraId="0C75EC48" w14:textId="26888A8B">
      <w:pPr>
        <w:pStyle w:val="ListParagraph"/>
        <w:numPr>
          <w:ilvl w:val="0"/>
          <w:numId w:val="24"/>
        </w:numPr>
        <w:rPr>
          <w:highlight w:val="yellow"/>
        </w:rPr>
      </w:pPr>
      <w:r w:rsidRPr="00284646">
        <w:rPr>
          <w:highlight w:val="yellow"/>
        </w:rPr>
        <w:t>reference the responsibility of the prime awardee</w:t>
      </w:r>
      <w:r w:rsidR="009669BB">
        <w:rPr>
          <w:highlight w:val="yellow"/>
        </w:rPr>
        <w:t xml:space="preserve"> for compliance with PHS Policy</w:t>
      </w:r>
      <w:r w:rsidRPr="00284646">
        <w:rPr>
          <w:highlight w:val="yellow"/>
        </w:rPr>
        <w:t xml:space="preserve"> to reinforce the information that is already included in the NIH Grants Policy Statement</w:t>
      </w:r>
    </w:p>
    <w:p w:rsidR="00284646" w:rsidP="00284646" w14:paraId="7A3A5422" w14:textId="7DD917E0">
      <w:r w:rsidRPr="009C404F">
        <w:rPr>
          <w:highlight w:val="yellow"/>
        </w:rPr>
        <w:t>The changes to IA forms and new IA Triad form</w:t>
      </w:r>
      <w:r w:rsidRPr="009C404F">
        <w:rPr>
          <w:highlight w:val="yellow"/>
        </w:rPr>
        <w:t>s do not request additional information and there is no increase in burden to respondents.</w:t>
      </w:r>
      <w:r>
        <w:t xml:space="preserve"> </w:t>
      </w:r>
    </w:p>
    <w:p w:rsidR="00284646" w:rsidP="004654F9" w14:paraId="7D6F02FB" w14:textId="77777777">
      <w:pPr>
        <w:rPr>
          <w:highlight w:val="yellow"/>
        </w:rPr>
      </w:pPr>
    </w:p>
    <w:p w:rsidR="004654F9" w:rsidRPr="009C404F" w:rsidP="004654F9" w14:paraId="401FDB8D" w14:textId="69304FB7">
      <w:pPr>
        <w:rPr>
          <w:highlight w:val="yellow"/>
        </w:rPr>
      </w:pPr>
      <w:r w:rsidRPr="009C404F">
        <w:rPr>
          <w:highlight w:val="yellow"/>
        </w:rPr>
        <w:t>Interinstitutional Assurance for Domestic Performance Site</w:t>
      </w:r>
      <w:r w:rsidRPr="009C404F" w:rsidR="00B00CA4">
        <w:rPr>
          <w:highlight w:val="yellow"/>
        </w:rPr>
        <w:t xml:space="preserve"> (attachment 5</w:t>
      </w:r>
      <w:r w:rsidRPr="009C404F" w:rsidR="008008C4">
        <w:rPr>
          <w:highlight w:val="yellow"/>
        </w:rPr>
        <w:t>)</w:t>
      </w:r>
      <w:r w:rsidRPr="009C404F" w:rsidR="00570456">
        <w:rPr>
          <w:highlight w:val="yellow"/>
        </w:rPr>
        <w:t xml:space="preserve"> – document with changes</w:t>
      </w:r>
    </w:p>
    <w:p w:rsidR="00AD152C" w:rsidP="00AD152C" w14:paraId="2D45B864" w14:textId="77777777">
      <w:pPr>
        <w:pStyle w:val="ListParagraph"/>
        <w:numPr>
          <w:ilvl w:val="0"/>
          <w:numId w:val="21"/>
        </w:numPr>
        <w:rPr>
          <w:highlight w:val="yellow"/>
        </w:rPr>
      </w:pPr>
      <w:r w:rsidRPr="009C404F">
        <w:rPr>
          <w:highlight w:val="yellow"/>
        </w:rPr>
        <w:t>Minor updates with the majority of</w:t>
      </w:r>
      <w:r w:rsidRPr="009C404F">
        <w:rPr>
          <w:highlight w:val="yellow"/>
        </w:rPr>
        <w:t xml:space="preserve"> the changes providing additional prompts or instruction to assist with completion.</w:t>
      </w:r>
    </w:p>
    <w:p w:rsidR="004654F9" w:rsidRPr="00AD152C" w:rsidP="00AD152C" w14:paraId="21367B61" w14:textId="160A8966">
      <w:pPr>
        <w:rPr>
          <w:highlight w:val="yellow"/>
        </w:rPr>
      </w:pPr>
      <w:r w:rsidRPr="00AD152C">
        <w:rPr>
          <w:highlight w:val="yellow"/>
        </w:rPr>
        <w:t>Interinstitutional Assurance for Foreign Performance Site</w:t>
      </w:r>
      <w:r w:rsidRPr="00AD152C" w:rsidR="00D56DCB">
        <w:rPr>
          <w:highlight w:val="yellow"/>
        </w:rPr>
        <w:t xml:space="preserve"> (attachment 6) – document with changes</w:t>
      </w:r>
    </w:p>
    <w:p w:rsidR="0093138F" w:rsidRPr="00195E3A" w:rsidP="00195E3A" w14:paraId="43B370EB" w14:textId="237B64E6">
      <w:pPr>
        <w:pStyle w:val="ListParagraph"/>
        <w:numPr>
          <w:ilvl w:val="0"/>
          <w:numId w:val="23"/>
        </w:numPr>
        <w:rPr>
          <w:highlight w:val="yellow"/>
        </w:rPr>
      </w:pPr>
      <w:r>
        <w:rPr>
          <w:highlight w:val="yellow"/>
        </w:rPr>
        <w:t xml:space="preserve">The attachment 5 changes </w:t>
      </w:r>
      <w:r w:rsidR="00195E3A">
        <w:rPr>
          <w:highlight w:val="yellow"/>
        </w:rPr>
        <w:t xml:space="preserve">described above </w:t>
      </w:r>
      <w:r>
        <w:rPr>
          <w:highlight w:val="yellow"/>
        </w:rPr>
        <w:t>have also been made on this document</w:t>
      </w:r>
    </w:p>
    <w:p w:rsidR="00C34CB8" w:rsidP="004654F9" w14:paraId="59E1A366" w14:textId="4046546D">
      <w:pPr>
        <w:rPr>
          <w:highlight w:val="yellow"/>
        </w:rPr>
      </w:pPr>
      <w:r w:rsidRPr="009C404F">
        <w:rPr>
          <w:highlight w:val="yellow"/>
        </w:rPr>
        <w:t>Interinstitutional Assurance Triad for Domestic Performance Site</w:t>
      </w:r>
      <w:r w:rsidRPr="009C404F" w:rsidR="00D56DCB">
        <w:rPr>
          <w:highlight w:val="yellow"/>
        </w:rPr>
        <w:t xml:space="preserve"> (attachment 7) – new documen</w:t>
      </w:r>
      <w:r w:rsidR="0090296B">
        <w:rPr>
          <w:highlight w:val="yellow"/>
        </w:rPr>
        <w:t xml:space="preserve">t </w:t>
      </w:r>
    </w:p>
    <w:p w:rsidR="007759E0" w:rsidP="00C34CB8" w14:paraId="235B5D36" w14:textId="21BCD3ED">
      <w:pPr>
        <w:pStyle w:val="ListParagraph"/>
        <w:numPr>
          <w:ilvl w:val="0"/>
          <w:numId w:val="23"/>
        </w:numPr>
        <w:rPr>
          <w:highlight w:val="yellow"/>
        </w:rPr>
      </w:pPr>
      <w:r>
        <w:rPr>
          <w:highlight w:val="yellow"/>
        </w:rPr>
        <w:t xml:space="preserve">In addition to the Awardee Institution and Assured Institution, additional fields are added for the </w:t>
      </w:r>
      <w:r w:rsidR="00A45B2F">
        <w:rPr>
          <w:highlight w:val="yellow"/>
        </w:rPr>
        <w:t xml:space="preserve">basic information and signature for the </w:t>
      </w:r>
      <w:r>
        <w:rPr>
          <w:highlight w:val="yellow"/>
        </w:rPr>
        <w:t>Institution that requires the Interinstitutional Assurance.</w:t>
      </w:r>
    </w:p>
    <w:p w:rsidR="00C34CB8" w:rsidRPr="00C34CB8" w:rsidP="00C34CB8" w14:paraId="6521A14D" w14:textId="7F5B9B42">
      <w:pPr>
        <w:pStyle w:val="ListParagraph"/>
        <w:numPr>
          <w:ilvl w:val="0"/>
          <w:numId w:val="23"/>
        </w:numPr>
        <w:rPr>
          <w:highlight w:val="yellow"/>
        </w:rPr>
      </w:pPr>
      <w:r>
        <w:rPr>
          <w:highlight w:val="yellow"/>
        </w:rPr>
        <w:t xml:space="preserve">The IACUC approval </w:t>
      </w:r>
      <w:r w:rsidR="001D165F">
        <w:rPr>
          <w:highlight w:val="yellow"/>
        </w:rPr>
        <w:t>has its own section in the add</w:t>
      </w:r>
      <w:r w:rsidR="0013004A">
        <w:rPr>
          <w:highlight w:val="yellow"/>
        </w:rPr>
        <w:t>ed</w:t>
      </w:r>
      <w:r w:rsidR="001D165F">
        <w:rPr>
          <w:highlight w:val="yellow"/>
        </w:rPr>
        <w:t xml:space="preserve"> section </w:t>
      </w:r>
      <w:r w:rsidR="004D7169">
        <w:rPr>
          <w:highlight w:val="yellow"/>
        </w:rPr>
        <w:t>I.C. because</w:t>
      </w:r>
      <w:r w:rsidR="0013004A">
        <w:rPr>
          <w:highlight w:val="yellow"/>
        </w:rPr>
        <w:t xml:space="preserve"> this information </w:t>
      </w:r>
      <w:r w:rsidR="00824960">
        <w:rPr>
          <w:highlight w:val="yellow"/>
        </w:rPr>
        <w:t>could originate from the Awardee Institution or the Assured Institution.</w:t>
      </w:r>
      <w:r>
        <w:rPr>
          <w:highlight w:val="yellow"/>
        </w:rPr>
        <w:t xml:space="preserve"> </w:t>
      </w:r>
    </w:p>
    <w:p w:rsidR="004654F9" w:rsidRPr="009C404F" w:rsidP="004654F9" w14:paraId="119BB0DF" w14:textId="493A3A76">
      <w:pPr>
        <w:rPr>
          <w:highlight w:val="yellow"/>
        </w:rPr>
      </w:pPr>
      <w:r w:rsidRPr="009C404F">
        <w:rPr>
          <w:highlight w:val="yellow"/>
        </w:rPr>
        <w:t>Interinstitutio</w:t>
      </w:r>
      <w:r w:rsidRPr="009C404F">
        <w:rPr>
          <w:highlight w:val="yellow"/>
        </w:rPr>
        <w:t>nal Assurance Triad for Foreign Performance Site</w:t>
      </w:r>
      <w:r w:rsidRPr="009C404F" w:rsidR="00D56DCB">
        <w:rPr>
          <w:highlight w:val="yellow"/>
        </w:rPr>
        <w:t xml:space="preserve"> (attachment 8) – new document</w:t>
      </w:r>
    </w:p>
    <w:p w:rsidR="00A45B2F" w:rsidP="00A45B2F" w14:paraId="60A43B9D" w14:textId="69E8E02B">
      <w:pPr>
        <w:pStyle w:val="ListParagraph"/>
        <w:numPr>
          <w:ilvl w:val="0"/>
          <w:numId w:val="23"/>
        </w:numPr>
        <w:rPr>
          <w:highlight w:val="yellow"/>
        </w:rPr>
      </w:pPr>
      <w:r>
        <w:rPr>
          <w:highlight w:val="yellow"/>
        </w:rPr>
        <w:t>The attachment 7 changes described above have also been made on this document</w:t>
      </w:r>
    </w:p>
    <w:p w:rsidR="00A45B2F" w:rsidRPr="00195E3A" w:rsidP="00A45B2F" w14:paraId="25ECB461" w14:textId="3B2F99C0">
      <w:pPr>
        <w:pStyle w:val="ListParagraph"/>
        <w:numPr>
          <w:ilvl w:val="0"/>
          <w:numId w:val="23"/>
        </w:numPr>
        <w:rPr>
          <w:highlight w:val="yellow"/>
        </w:rPr>
      </w:pPr>
      <w:r>
        <w:rPr>
          <w:highlight w:val="yellow"/>
        </w:rPr>
        <w:t>Accompanying the IACUC approval field in section I.C., information is provided that explains that t</w:t>
      </w:r>
      <w:r>
        <w:rPr>
          <w:highlight w:val="yellow"/>
        </w:rPr>
        <w:t>his i</w:t>
      </w:r>
      <w:r w:rsidR="0079147F">
        <w:rPr>
          <w:highlight w:val="yellow"/>
        </w:rPr>
        <w:t>nformation i</w:t>
      </w:r>
      <w:r>
        <w:rPr>
          <w:highlight w:val="yellow"/>
        </w:rPr>
        <w:t>s only required when the prime awardee is a domestic institution that holds an Approved Domestic Assurance</w:t>
      </w:r>
      <w:r w:rsidR="0079147F">
        <w:rPr>
          <w:highlight w:val="yellow"/>
        </w:rPr>
        <w:t xml:space="preserve">. This is </w:t>
      </w:r>
      <w:r w:rsidRPr="00284646" w:rsidR="0079147F">
        <w:rPr>
          <w:highlight w:val="yellow"/>
        </w:rPr>
        <w:t>information that is already included in the NIH Grants Policy Statement</w:t>
      </w:r>
      <w:r>
        <w:rPr>
          <w:highlight w:val="yellow"/>
        </w:rPr>
        <w:t>.</w:t>
      </w:r>
    </w:p>
    <w:p w:rsidR="00FF72FC" w:rsidRPr="00C31618" w:rsidP="007670B9" w14:paraId="4912A666" w14:textId="3748818D">
      <w:pPr>
        <w:rPr>
          <w:b/>
          <w:bCs/>
        </w:rPr>
      </w:pPr>
      <w:bookmarkStart w:id="35" w:name="_Toc443881759"/>
      <w:bookmarkStart w:id="36" w:name="_Toc451592246"/>
      <w:bookmarkStart w:id="37" w:name="_Toc5610287"/>
      <w:bookmarkStart w:id="38" w:name="_Toc99178793"/>
      <w:r w:rsidRPr="00C31618">
        <w:rPr>
          <w:b/>
          <w:bCs/>
        </w:rPr>
        <w:t>A.16</w:t>
      </w:r>
      <w:r w:rsidRPr="00C31618">
        <w:rPr>
          <w:b/>
          <w:bCs/>
        </w:rPr>
        <w:tab/>
        <w:t xml:space="preserve">Plan for Tabulation and </w:t>
      </w:r>
      <w:r w:rsidRPr="00C31618">
        <w:rPr>
          <w:b/>
          <w:bCs/>
        </w:rPr>
        <w:t>Publication and Project Time Schedule</w:t>
      </w:r>
      <w:bookmarkEnd w:id="35"/>
      <w:bookmarkEnd w:id="36"/>
      <w:bookmarkEnd w:id="37"/>
      <w:bookmarkEnd w:id="38"/>
    </w:p>
    <w:p w:rsidR="00FF72FC" w:rsidRPr="00E35DD1" w:rsidP="00FF72FC" w14:paraId="6FE438DD" w14:textId="6CCFB5DD">
      <w:r w:rsidRPr="00296D8E">
        <w:t>Th</w:t>
      </w:r>
      <w:r>
        <w:t>i</w:t>
      </w:r>
      <w:r w:rsidRPr="00296D8E">
        <w:t>s information collection</w:t>
      </w:r>
      <w:r>
        <w:t xml:space="preserve"> does not include results that will be published.</w:t>
      </w:r>
    </w:p>
    <w:p w:rsidR="00FF72FC" w:rsidRPr="00F36D1D" w:rsidP="00FF72FC" w14:paraId="216672D1" w14:textId="3AC1A0B8">
      <w:pPr>
        <w:rPr>
          <w:b/>
        </w:rPr>
      </w:pPr>
      <w:r w:rsidRPr="00F36D1D">
        <w:rPr>
          <w:b/>
        </w:rPr>
        <w:t>A.17</w:t>
      </w:r>
      <w:r w:rsidRPr="00F36D1D">
        <w:rPr>
          <w:b/>
        </w:rPr>
        <w:tab/>
        <w:t>Reason</w:t>
      </w:r>
      <w:r w:rsidR="00EF16A8">
        <w:rPr>
          <w:b/>
        </w:rPr>
        <w:t>(s)</w:t>
      </w:r>
      <w:r w:rsidRPr="00F36D1D">
        <w:rPr>
          <w:b/>
        </w:rPr>
        <w:t xml:space="preserve"> Display of OMB Expiration Date is Inappropriate</w:t>
      </w:r>
    </w:p>
    <w:p w:rsidR="00296D8E" w:rsidRPr="00296D8E" w:rsidP="00FF72FC" w14:paraId="25CCF3D1" w14:textId="7BA54E11">
      <w:r w:rsidRPr="00296D8E">
        <w:t xml:space="preserve">The OMB control number will be displayed </w:t>
      </w:r>
      <w:r>
        <w:t xml:space="preserve">with an </w:t>
      </w:r>
      <w:r w:rsidRPr="00296D8E">
        <w:t>expiration date.</w:t>
      </w:r>
    </w:p>
    <w:p w:rsidR="0057480E" w:rsidRPr="00F36D1D" w:rsidP="00FF72FC" w14:paraId="7190591D" w14:textId="77777777">
      <w:pPr>
        <w:rPr>
          <w:b/>
        </w:rPr>
      </w:pPr>
      <w:r w:rsidRPr="00F36D1D">
        <w:rPr>
          <w:b/>
        </w:rPr>
        <w:t>A.18</w:t>
      </w:r>
      <w:r w:rsidRPr="00F36D1D">
        <w:rPr>
          <w:b/>
        </w:rPr>
        <w:tab/>
        <w:t>Excepti</w:t>
      </w:r>
      <w:r w:rsidRPr="00F36D1D">
        <w:rPr>
          <w:b/>
        </w:rPr>
        <w:t>ons to Certification for Paperwork Reduction Act Submissions</w:t>
      </w:r>
    </w:p>
    <w:p w:rsidR="00FF72FC" w:rsidRPr="00E35DD1" w:rsidP="00FF72FC" w14:paraId="49B7AE09" w14:textId="303F654B">
      <w:r w:rsidRPr="00024899">
        <w:t>None</w:t>
      </w:r>
    </w:p>
    <w:sectPr w:rsidSect="00FE6EA5">
      <w:footerReference w:type="even" r:id="rId11"/>
      <w:footerReference w:type="default" r:id="rId12"/>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7B29" w:rsidP="00E06F8D" w14:paraId="6B47343B" w14:textId="7CF90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030">
      <w:rPr>
        <w:rStyle w:val="PageNumber"/>
        <w:noProof/>
      </w:rPr>
      <w:t>1</w:t>
    </w:r>
    <w:r>
      <w:rPr>
        <w:rStyle w:val="PageNumber"/>
      </w:rPr>
      <w:fldChar w:fldCharType="end"/>
    </w:r>
  </w:p>
  <w:p w:rsidR="008C7B29"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5445282"/>
      <w:docPartObj>
        <w:docPartGallery w:val="Page Numbers (Bottom of Page)"/>
        <w:docPartUnique/>
      </w:docPartObj>
    </w:sdtPr>
    <w:sdtEndPr>
      <w:rPr>
        <w:noProof/>
      </w:rPr>
    </w:sdtEndPr>
    <w:sdtContent>
      <w:p w:rsidR="00886030" w14:paraId="0C4D70AE" w14:textId="77AC3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7B29" w:rsidP="00E06F8D" w14:paraId="64873C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726BF"/>
    <w:multiLevelType w:val="hybridMultilevel"/>
    <w:tmpl w:val="3F76E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5471F2"/>
    <w:multiLevelType w:val="hybridMultilevel"/>
    <w:tmpl w:val="C14AD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3442BFC"/>
    <w:multiLevelType w:val="hybridMultilevel"/>
    <w:tmpl w:val="1CF2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52082D"/>
    <w:multiLevelType w:val="hybridMultilevel"/>
    <w:tmpl w:val="A880A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1F516E"/>
    <w:multiLevelType w:val="hybridMultilevel"/>
    <w:tmpl w:val="EAFEB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D20823"/>
    <w:multiLevelType w:val="hybridMultilevel"/>
    <w:tmpl w:val="BAB066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D900B7"/>
    <w:multiLevelType w:val="hybridMultilevel"/>
    <w:tmpl w:val="2E4459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6C5704"/>
    <w:multiLevelType w:val="multilevel"/>
    <w:tmpl w:val="E390A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1B5144"/>
    <w:multiLevelType w:val="hybridMultilevel"/>
    <w:tmpl w:val="8E54A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141EF6"/>
    <w:multiLevelType w:val="hybridMultilevel"/>
    <w:tmpl w:val="2B326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514E2C"/>
    <w:multiLevelType w:val="hybridMultilevel"/>
    <w:tmpl w:val="8C785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5049BA"/>
    <w:multiLevelType w:val="hybridMultilevel"/>
    <w:tmpl w:val="762012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9"/>
  </w:num>
  <w:num w:numId="4">
    <w:abstractNumId w:val="2"/>
  </w:num>
  <w:num w:numId="5">
    <w:abstractNumId w:val="9"/>
  </w:num>
  <w:num w:numId="6">
    <w:abstractNumId w:val="6"/>
  </w:num>
  <w:num w:numId="7">
    <w:abstractNumId w:val="12"/>
  </w:num>
  <w:num w:numId="8">
    <w:abstractNumId w:val="14"/>
  </w:num>
  <w:num w:numId="9">
    <w:abstractNumId w:val="13"/>
  </w:num>
  <w:num w:numId="10">
    <w:abstractNumId w:val="20"/>
  </w:num>
  <w:num w:numId="11">
    <w:abstractNumId w:val="3"/>
  </w:num>
  <w:num w:numId="12">
    <w:abstractNumId w:val="22"/>
  </w:num>
  <w:num w:numId="13">
    <w:abstractNumId w:val="15"/>
  </w:num>
  <w:num w:numId="14">
    <w:abstractNumId w:val="18"/>
  </w:num>
  <w:num w:numId="15">
    <w:abstractNumId w:val="11"/>
  </w:num>
  <w:num w:numId="16">
    <w:abstractNumId w:val="10"/>
  </w:num>
  <w:num w:numId="17">
    <w:abstractNumId w:val="1"/>
  </w:num>
  <w:num w:numId="18">
    <w:abstractNumId w:val="4"/>
  </w:num>
  <w:num w:numId="19">
    <w:abstractNumId w:val="1"/>
  </w:num>
  <w:num w:numId="20">
    <w:abstractNumId w:val="16"/>
  </w:num>
  <w:num w:numId="21">
    <w:abstractNumId w:val="7"/>
  </w:num>
  <w:num w:numId="22">
    <w:abstractNumId w:val="8"/>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1C3"/>
    <w:rsid w:val="00000C31"/>
    <w:rsid w:val="0000304E"/>
    <w:rsid w:val="00003336"/>
    <w:rsid w:val="00003401"/>
    <w:rsid w:val="0000554C"/>
    <w:rsid w:val="0000630E"/>
    <w:rsid w:val="00007E22"/>
    <w:rsid w:val="0001322D"/>
    <w:rsid w:val="000213F2"/>
    <w:rsid w:val="00021612"/>
    <w:rsid w:val="000218E0"/>
    <w:rsid w:val="000219F4"/>
    <w:rsid w:val="00021B36"/>
    <w:rsid w:val="00023E21"/>
    <w:rsid w:val="00024899"/>
    <w:rsid w:val="00024C2D"/>
    <w:rsid w:val="000251EE"/>
    <w:rsid w:val="00030E13"/>
    <w:rsid w:val="00031C24"/>
    <w:rsid w:val="000328FE"/>
    <w:rsid w:val="00033C42"/>
    <w:rsid w:val="00037EB1"/>
    <w:rsid w:val="00041C3D"/>
    <w:rsid w:val="00042D78"/>
    <w:rsid w:val="000445DF"/>
    <w:rsid w:val="000455C8"/>
    <w:rsid w:val="00045D64"/>
    <w:rsid w:val="00046D63"/>
    <w:rsid w:val="0005051D"/>
    <w:rsid w:val="00051B2F"/>
    <w:rsid w:val="00054C3E"/>
    <w:rsid w:val="00055384"/>
    <w:rsid w:val="000561E0"/>
    <w:rsid w:val="00062C62"/>
    <w:rsid w:val="000651AE"/>
    <w:rsid w:val="00065E00"/>
    <w:rsid w:val="00074440"/>
    <w:rsid w:val="00077C81"/>
    <w:rsid w:val="00082047"/>
    <w:rsid w:val="0008330A"/>
    <w:rsid w:val="00083A52"/>
    <w:rsid w:val="0009296D"/>
    <w:rsid w:val="00093E8E"/>
    <w:rsid w:val="00095D46"/>
    <w:rsid w:val="00095F52"/>
    <w:rsid w:val="000A11E9"/>
    <w:rsid w:val="000A4644"/>
    <w:rsid w:val="000A6C56"/>
    <w:rsid w:val="000A6D8D"/>
    <w:rsid w:val="000A7057"/>
    <w:rsid w:val="000B353D"/>
    <w:rsid w:val="000B44E9"/>
    <w:rsid w:val="000B6620"/>
    <w:rsid w:val="000B7F3E"/>
    <w:rsid w:val="000C231E"/>
    <w:rsid w:val="000C583E"/>
    <w:rsid w:val="000C60BC"/>
    <w:rsid w:val="000C6314"/>
    <w:rsid w:val="000C7F79"/>
    <w:rsid w:val="000D2732"/>
    <w:rsid w:val="000D32E8"/>
    <w:rsid w:val="000D385C"/>
    <w:rsid w:val="000D45D4"/>
    <w:rsid w:val="000D4B36"/>
    <w:rsid w:val="000D73BA"/>
    <w:rsid w:val="000D7D1F"/>
    <w:rsid w:val="000E0163"/>
    <w:rsid w:val="000E09A5"/>
    <w:rsid w:val="000E1C55"/>
    <w:rsid w:val="000E38B6"/>
    <w:rsid w:val="000E42FD"/>
    <w:rsid w:val="000E439E"/>
    <w:rsid w:val="000E4517"/>
    <w:rsid w:val="000E748E"/>
    <w:rsid w:val="000E7F7C"/>
    <w:rsid w:val="000F04E4"/>
    <w:rsid w:val="000F0BAB"/>
    <w:rsid w:val="000F18E8"/>
    <w:rsid w:val="000F27A4"/>
    <w:rsid w:val="000F2825"/>
    <w:rsid w:val="000F3043"/>
    <w:rsid w:val="000F3216"/>
    <w:rsid w:val="000F58E2"/>
    <w:rsid w:val="000F6AB4"/>
    <w:rsid w:val="000F6ABE"/>
    <w:rsid w:val="000F79B2"/>
    <w:rsid w:val="001009AA"/>
    <w:rsid w:val="001031B4"/>
    <w:rsid w:val="001047A7"/>
    <w:rsid w:val="00104DAF"/>
    <w:rsid w:val="001072F1"/>
    <w:rsid w:val="00107A75"/>
    <w:rsid w:val="00112C78"/>
    <w:rsid w:val="00114059"/>
    <w:rsid w:val="0011479D"/>
    <w:rsid w:val="00114C0B"/>
    <w:rsid w:val="00116253"/>
    <w:rsid w:val="001201C5"/>
    <w:rsid w:val="001223E1"/>
    <w:rsid w:val="001258BD"/>
    <w:rsid w:val="001265CA"/>
    <w:rsid w:val="00126D71"/>
    <w:rsid w:val="00127B51"/>
    <w:rsid w:val="0013004A"/>
    <w:rsid w:val="00130A14"/>
    <w:rsid w:val="00132E53"/>
    <w:rsid w:val="0013481B"/>
    <w:rsid w:val="00134C94"/>
    <w:rsid w:val="00134D2C"/>
    <w:rsid w:val="001350E3"/>
    <w:rsid w:val="001435EB"/>
    <w:rsid w:val="001437C7"/>
    <w:rsid w:val="00145D42"/>
    <w:rsid w:val="00150A5B"/>
    <w:rsid w:val="00152AF3"/>
    <w:rsid w:val="00153FAA"/>
    <w:rsid w:val="00156826"/>
    <w:rsid w:val="00156F6B"/>
    <w:rsid w:val="00157013"/>
    <w:rsid w:val="00161C04"/>
    <w:rsid w:val="0016303D"/>
    <w:rsid w:val="00165703"/>
    <w:rsid w:val="00165843"/>
    <w:rsid w:val="00167BF1"/>
    <w:rsid w:val="0017044F"/>
    <w:rsid w:val="00170EC9"/>
    <w:rsid w:val="001723DF"/>
    <w:rsid w:val="00172994"/>
    <w:rsid w:val="001736E6"/>
    <w:rsid w:val="00173F10"/>
    <w:rsid w:val="00176108"/>
    <w:rsid w:val="001801C4"/>
    <w:rsid w:val="00180F55"/>
    <w:rsid w:val="0018121E"/>
    <w:rsid w:val="00182152"/>
    <w:rsid w:val="0018316F"/>
    <w:rsid w:val="001850E6"/>
    <w:rsid w:val="00185674"/>
    <w:rsid w:val="00185E7F"/>
    <w:rsid w:val="001861F3"/>
    <w:rsid w:val="00186BD2"/>
    <w:rsid w:val="001870BF"/>
    <w:rsid w:val="00190C83"/>
    <w:rsid w:val="00190DDD"/>
    <w:rsid w:val="001919C7"/>
    <w:rsid w:val="00192BB6"/>
    <w:rsid w:val="00193528"/>
    <w:rsid w:val="00193CE1"/>
    <w:rsid w:val="00195414"/>
    <w:rsid w:val="00195E3A"/>
    <w:rsid w:val="001977AE"/>
    <w:rsid w:val="00197F99"/>
    <w:rsid w:val="001A13A3"/>
    <w:rsid w:val="001A1746"/>
    <w:rsid w:val="001A1B3A"/>
    <w:rsid w:val="001A3F30"/>
    <w:rsid w:val="001A4895"/>
    <w:rsid w:val="001B15E5"/>
    <w:rsid w:val="001B332D"/>
    <w:rsid w:val="001B4481"/>
    <w:rsid w:val="001B4E18"/>
    <w:rsid w:val="001B7571"/>
    <w:rsid w:val="001C305B"/>
    <w:rsid w:val="001D165F"/>
    <w:rsid w:val="001D2B3D"/>
    <w:rsid w:val="001D49C0"/>
    <w:rsid w:val="001E06B1"/>
    <w:rsid w:val="001E0E28"/>
    <w:rsid w:val="001E5827"/>
    <w:rsid w:val="001E5B05"/>
    <w:rsid w:val="001E63FE"/>
    <w:rsid w:val="001F1850"/>
    <w:rsid w:val="001F1DCC"/>
    <w:rsid w:val="001F27B3"/>
    <w:rsid w:val="001F7F91"/>
    <w:rsid w:val="00201468"/>
    <w:rsid w:val="00204495"/>
    <w:rsid w:val="0020562C"/>
    <w:rsid w:val="0020593F"/>
    <w:rsid w:val="00206A5B"/>
    <w:rsid w:val="00210859"/>
    <w:rsid w:val="00211FB1"/>
    <w:rsid w:val="002169A2"/>
    <w:rsid w:val="00216F8C"/>
    <w:rsid w:val="0022190A"/>
    <w:rsid w:val="00221B36"/>
    <w:rsid w:val="0022226D"/>
    <w:rsid w:val="002233B5"/>
    <w:rsid w:val="00223BBB"/>
    <w:rsid w:val="00223FCD"/>
    <w:rsid w:val="002264E5"/>
    <w:rsid w:val="00227224"/>
    <w:rsid w:val="002275DD"/>
    <w:rsid w:val="00227E6F"/>
    <w:rsid w:val="002317CC"/>
    <w:rsid w:val="002435AB"/>
    <w:rsid w:val="00244ADC"/>
    <w:rsid w:val="00244D8F"/>
    <w:rsid w:val="00244F67"/>
    <w:rsid w:val="002464AF"/>
    <w:rsid w:val="00247B91"/>
    <w:rsid w:val="00255CB6"/>
    <w:rsid w:val="00255F7C"/>
    <w:rsid w:val="0025641D"/>
    <w:rsid w:val="00257B53"/>
    <w:rsid w:val="00257DCE"/>
    <w:rsid w:val="00260AB5"/>
    <w:rsid w:val="00261807"/>
    <w:rsid w:val="00262AD7"/>
    <w:rsid w:val="00262E20"/>
    <w:rsid w:val="00263A4F"/>
    <w:rsid w:val="00263C62"/>
    <w:rsid w:val="00265BEB"/>
    <w:rsid w:val="00266C0F"/>
    <w:rsid w:val="002670CD"/>
    <w:rsid w:val="002678E9"/>
    <w:rsid w:val="00267D84"/>
    <w:rsid w:val="002703C4"/>
    <w:rsid w:val="0027140F"/>
    <w:rsid w:val="00272227"/>
    <w:rsid w:val="00272645"/>
    <w:rsid w:val="002742B9"/>
    <w:rsid w:val="0027522D"/>
    <w:rsid w:val="002770FA"/>
    <w:rsid w:val="00281A1D"/>
    <w:rsid w:val="00281DC1"/>
    <w:rsid w:val="00283EFE"/>
    <w:rsid w:val="00284646"/>
    <w:rsid w:val="00284A4C"/>
    <w:rsid w:val="002901A7"/>
    <w:rsid w:val="00291B8C"/>
    <w:rsid w:val="00291DD8"/>
    <w:rsid w:val="00292CE0"/>
    <w:rsid w:val="00292E44"/>
    <w:rsid w:val="0029361A"/>
    <w:rsid w:val="00294E0D"/>
    <w:rsid w:val="002967BA"/>
    <w:rsid w:val="00296BEC"/>
    <w:rsid w:val="00296D8E"/>
    <w:rsid w:val="002A5229"/>
    <w:rsid w:val="002B0632"/>
    <w:rsid w:val="002B187C"/>
    <w:rsid w:val="002B1F90"/>
    <w:rsid w:val="002B3170"/>
    <w:rsid w:val="002B37B0"/>
    <w:rsid w:val="002B4415"/>
    <w:rsid w:val="002B60C7"/>
    <w:rsid w:val="002C36EF"/>
    <w:rsid w:val="002C4717"/>
    <w:rsid w:val="002C5D4F"/>
    <w:rsid w:val="002C69FF"/>
    <w:rsid w:val="002D0B5B"/>
    <w:rsid w:val="002D1659"/>
    <w:rsid w:val="002D38C4"/>
    <w:rsid w:val="002D5FBD"/>
    <w:rsid w:val="002E2421"/>
    <w:rsid w:val="002E2A87"/>
    <w:rsid w:val="002F013E"/>
    <w:rsid w:val="002F3990"/>
    <w:rsid w:val="002F4317"/>
    <w:rsid w:val="002F4BE9"/>
    <w:rsid w:val="003005AF"/>
    <w:rsid w:val="00302CF6"/>
    <w:rsid w:val="00303D4B"/>
    <w:rsid w:val="0030449B"/>
    <w:rsid w:val="00304B47"/>
    <w:rsid w:val="0030517D"/>
    <w:rsid w:val="0030526E"/>
    <w:rsid w:val="003070B4"/>
    <w:rsid w:val="00310AE2"/>
    <w:rsid w:val="00310FB5"/>
    <w:rsid w:val="00311613"/>
    <w:rsid w:val="003117D1"/>
    <w:rsid w:val="00312283"/>
    <w:rsid w:val="00312856"/>
    <w:rsid w:val="00312B88"/>
    <w:rsid w:val="00315047"/>
    <w:rsid w:val="00317173"/>
    <w:rsid w:val="00320966"/>
    <w:rsid w:val="00322B8E"/>
    <w:rsid w:val="00323CB1"/>
    <w:rsid w:val="00323D85"/>
    <w:rsid w:val="0032402A"/>
    <w:rsid w:val="00325C60"/>
    <w:rsid w:val="00327771"/>
    <w:rsid w:val="00333098"/>
    <w:rsid w:val="00333697"/>
    <w:rsid w:val="00334446"/>
    <w:rsid w:val="0033560F"/>
    <w:rsid w:val="00336D66"/>
    <w:rsid w:val="00336FAB"/>
    <w:rsid w:val="0033758F"/>
    <w:rsid w:val="00337FF3"/>
    <w:rsid w:val="0034106E"/>
    <w:rsid w:val="003419CF"/>
    <w:rsid w:val="0034305D"/>
    <w:rsid w:val="003444D0"/>
    <w:rsid w:val="00346AFA"/>
    <w:rsid w:val="00350A31"/>
    <w:rsid w:val="0035288C"/>
    <w:rsid w:val="003531D6"/>
    <w:rsid w:val="003553D8"/>
    <w:rsid w:val="00357352"/>
    <w:rsid w:val="003606F4"/>
    <w:rsid w:val="00361B3D"/>
    <w:rsid w:val="0036208F"/>
    <w:rsid w:val="00362B59"/>
    <w:rsid w:val="00363378"/>
    <w:rsid w:val="0036526A"/>
    <w:rsid w:val="003654FE"/>
    <w:rsid w:val="00365951"/>
    <w:rsid w:val="003659AC"/>
    <w:rsid w:val="0036649D"/>
    <w:rsid w:val="00367221"/>
    <w:rsid w:val="0036792A"/>
    <w:rsid w:val="00371E2C"/>
    <w:rsid w:val="0037291F"/>
    <w:rsid w:val="00375043"/>
    <w:rsid w:val="00377B7B"/>
    <w:rsid w:val="00380AA5"/>
    <w:rsid w:val="00380BA4"/>
    <w:rsid w:val="00382BB8"/>
    <w:rsid w:val="003836FB"/>
    <w:rsid w:val="0038544E"/>
    <w:rsid w:val="00386F3F"/>
    <w:rsid w:val="0038733A"/>
    <w:rsid w:val="0039071C"/>
    <w:rsid w:val="003933B7"/>
    <w:rsid w:val="003953B9"/>
    <w:rsid w:val="00396F71"/>
    <w:rsid w:val="003A4204"/>
    <w:rsid w:val="003A58FE"/>
    <w:rsid w:val="003B3B4B"/>
    <w:rsid w:val="003B4B2E"/>
    <w:rsid w:val="003B59CD"/>
    <w:rsid w:val="003B607D"/>
    <w:rsid w:val="003B722D"/>
    <w:rsid w:val="003C0AA8"/>
    <w:rsid w:val="003C1851"/>
    <w:rsid w:val="003C2AB2"/>
    <w:rsid w:val="003C3814"/>
    <w:rsid w:val="003C3F2D"/>
    <w:rsid w:val="003C6E60"/>
    <w:rsid w:val="003D176E"/>
    <w:rsid w:val="003D31C2"/>
    <w:rsid w:val="003D3BE0"/>
    <w:rsid w:val="003D4851"/>
    <w:rsid w:val="003D7419"/>
    <w:rsid w:val="003E3513"/>
    <w:rsid w:val="003E3D5B"/>
    <w:rsid w:val="003F0C85"/>
    <w:rsid w:val="003F163B"/>
    <w:rsid w:val="003F245F"/>
    <w:rsid w:val="003F2683"/>
    <w:rsid w:val="003F2FB5"/>
    <w:rsid w:val="003F37A5"/>
    <w:rsid w:val="003F37B2"/>
    <w:rsid w:val="003F50BA"/>
    <w:rsid w:val="003F7E43"/>
    <w:rsid w:val="00400998"/>
    <w:rsid w:val="00401CF3"/>
    <w:rsid w:val="00402066"/>
    <w:rsid w:val="004030E4"/>
    <w:rsid w:val="00410691"/>
    <w:rsid w:val="0041107B"/>
    <w:rsid w:val="00412088"/>
    <w:rsid w:val="004133BD"/>
    <w:rsid w:val="00415BA9"/>
    <w:rsid w:val="00420450"/>
    <w:rsid w:val="00423C8B"/>
    <w:rsid w:val="00426AF0"/>
    <w:rsid w:val="00427A13"/>
    <w:rsid w:val="00432E6B"/>
    <w:rsid w:val="00434C88"/>
    <w:rsid w:val="00436299"/>
    <w:rsid w:val="00442740"/>
    <w:rsid w:val="00442B5B"/>
    <w:rsid w:val="004436FB"/>
    <w:rsid w:val="00447398"/>
    <w:rsid w:val="00450B1F"/>
    <w:rsid w:val="00451E83"/>
    <w:rsid w:val="00452F7F"/>
    <w:rsid w:val="004537B5"/>
    <w:rsid w:val="00453C57"/>
    <w:rsid w:val="0045440E"/>
    <w:rsid w:val="0045483A"/>
    <w:rsid w:val="0045749B"/>
    <w:rsid w:val="004576CA"/>
    <w:rsid w:val="00460F40"/>
    <w:rsid w:val="00462CCC"/>
    <w:rsid w:val="0046301F"/>
    <w:rsid w:val="00463151"/>
    <w:rsid w:val="004654F9"/>
    <w:rsid w:val="00465EAB"/>
    <w:rsid w:val="00465F1B"/>
    <w:rsid w:val="0047031C"/>
    <w:rsid w:val="004708E1"/>
    <w:rsid w:val="00471015"/>
    <w:rsid w:val="004716CF"/>
    <w:rsid w:val="004728D8"/>
    <w:rsid w:val="00472E47"/>
    <w:rsid w:val="00475BD1"/>
    <w:rsid w:val="00477B3C"/>
    <w:rsid w:val="004802A7"/>
    <w:rsid w:val="00480CEA"/>
    <w:rsid w:val="0048167B"/>
    <w:rsid w:val="004844EA"/>
    <w:rsid w:val="004852A3"/>
    <w:rsid w:val="00486979"/>
    <w:rsid w:val="0049627C"/>
    <w:rsid w:val="00497B81"/>
    <w:rsid w:val="004A1575"/>
    <w:rsid w:val="004A4C1B"/>
    <w:rsid w:val="004A5A17"/>
    <w:rsid w:val="004B0619"/>
    <w:rsid w:val="004B0CB2"/>
    <w:rsid w:val="004B2204"/>
    <w:rsid w:val="004B2B35"/>
    <w:rsid w:val="004B7929"/>
    <w:rsid w:val="004C013F"/>
    <w:rsid w:val="004C2284"/>
    <w:rsid w:val="004C4B9F"/>
    <w:rsid w:val="004C7555"/>
    <w:rsid w:val="004C7B44"/>
    <w:rsid w:val="004D0502"/>
    <w:rsid w:val="004D1166"/>
    <w:rsid w:val="004D1A33"/>
    <w:rsid w:val="004D219B"/>
    <w:rsid w:val="004D24B8"/>
    <w:rsid w:val="004D2D55"/>
    <w:rsid w:val="004D3FBB"/>
    <w:rsid w:val="004D4117"/>
    <w:rsid w:val="004D41B5"/>
    <w:rsid w:val="004D4FCE"/>
    <w:rsid w:val="004D7169"/>
    <w:rsid w:val="004E0EF5"/>
    <w:rsid w:val="004E31C7"/>
    <w:rsid w:val="004E328D"/>
    <w:rsid w:val="004E36F3"/>
    <w:rsid w:val="004E45BA"/>
    <w:rsid w:val="004E65CB"/>
    <w:rsid w:val="004E74FB"/>
    <w:rsid w:val="004F0C4A"/>
    <w:rsid w:val="004F321F"/>
    <w:rsid w:val="004F6747"/>
    <w:rsid w:val="004F6B5D"/>
    <w:rsid w:val="00502648"/>
    <w:rsid w:val="00502B56"/>
    <w:rsid w:val="005064B1"/>
    <w:rsid w:val="00507837"/>
    <w:rsid w:val="00507B4E"/>
    <w:rsid w:val="00511AF5"/>
    <w:rsid w:val="00512319"/>
    <w:rsid w:val="00512C47"/>
    <w:rsid w:val="00513A9A"/>
    <w:rsid w:val="00513AC6"/>
    <w:rsid w:val="00514AB1"/>
    <w:rsid w:val="005150E7"/>
    <w:rsid w:val="0051780C"/>
    <w:rsid w:val="00520240"/>
    <w:rsid w:val="00521E5C"/>
    <w:rsid w:val="005243CB"/>
    <w:rsid w:val="00530163"/>
    <w:rsid w:val="00533E34"/>
    <w:rsid w:val="00534674"/>
    <w:rsid w:val="0053573F"/>
    <w:rsid w:val="00536C12"/>
    <w:rsid w:val="005409E7"/>
    <w:rsid w:val="00541EBE"/>
    <w:rsid w:val="00542A10"/>
    <w:rsid w:val="0054365A"/>
    <w:rsid w:val="00550BF1"/>
    <w:rsid w:val="0055290D"/>
    <w:rsid w:val="00553258"/>
    <w:rsid w:val="00554728"/>
    <w:rsid w:val="00555EAD"/>
    <w:rsid w:val="005561B0"/>
    <w:rsid w:val="00557864"/>
    <w:rsid w:val="00561FEA"/>
    <w:rsid w:val="005629D7"/>
    <w:rsid w:val="0056785D"/>
    <w:rsid w:val="00570456"/>
    <w:rsid w:val="00570EC9"/>
    <w:rsid w:val="005710F4"/>
    <w:rsid w:val="005722B8"/>
    <w:rsid w:val="005728E0"/>
    <w:rsid w:val="0057439C"/>
    <w:rsid w:val="0057480E"/>
    <w:rsid w:val="005819A0"/>
    <w:rsid w:val="00583DF6"/>
    <w:rsid w:val="005866A0"/>
    <w:rsid w:val="00590013"/>
    <w:rsid w:val="005917AE"/>
    <w:rsid w:val="005932CD"/>
    <w:rsid w:val="00593B4E"/>
    <w:rsid w:val="00595302"/>
    <w:rsid w:val="00595C72"/>
    <w:rsid w:val="00596D86"/>
    <w:rsid w:val="00596DD4"/>
    <w:rsid w:val="005A1887"/>
    <w:rsid w:val="005A20E6"/>
    <w:rsid w:val="005A2EB4"/>
    <w:rsid w:val="005A511A"/>
    <w:rsid w:val="005A5CBD"/>
    <w:rsid w:val="005B53FF"/>
    <w:rsid w:val="005C1C89"/>
    <w:rsid w:val="005C2784"/>
    <w:rsid w:val="005C2AD7"/>
    <w:rsid w:val="005D001B"/>
    <w:rsid w:val="005D2284"/>
    <w:rsid w:val="005D3608"/>
    <w:rsid w:val="005D4EDF"/>
    <w:rsid w:val="005D5F62"/>
    <w:rsid w:val="005D630C"/>
    <w:rsid w:val="005E18CD"/>
    <w:rsid w:val="005E24F8"/>
    <w:rsid w:val="005E36CD"/>
    <w:rsid w:val="005E58ED"/>
    <w:rsid w:val="005E70B9"/>
    <w:rsid w:val="005E7F34"/>
    <w:rsid w:val="005F17E9"/>
    <w:rsid w:val="005F2664"/>
    <w:rsid w:val="005F48F6"/>
    <w:rsid w:val="005F4A54"/>
    <w:rsid w:val="005F6DD6"/>
    <w:rsid w:val="006016EF"/>
    <w:rsid w:val="00610852"/>
    <w:rsid w:val="0061233C"/>
    <w:rsid w:val="00612454"/>
    <w:rsid w:val="00612E8F"/>
    <w:rsid w:val="006143E7"/>
    <w:rsid w:val="00614F70"/>
    <w:rsid w:val="00616A06"/>
    <w:rsid w:val="0062255D"/>
    <w:rsid w:val="0062351E"/>
    <w:rsid w:val="006239A5"/>
    <w:rsid w:val="00624895"/>
    <w:rsid w:val="00624BAF"/>
    <w:rsid w:val="0062699A"/>
    <w:rsid w:val="006271AC"/>
    <w:rsid w:val="006275DC"/>
    <w:rsid w:val="00627C0C"/>
    <w:rsid w:val="00632234"/>
    <w:rsid w:val="00634A73"/>
    <w:rsid w:val="006355D5"/>
    <w:rsid w:val="006437E9"/>
    <w:rsid w:val="00644341"/>
    <w:rsid w:val="00646F42"/>
    <w:rsid w:val="00650239"/>
    <w:rsid w:val="0065034F"/>
    <w:rsid w:val="00650D95"/>
    <w:rsid w:val="00651A7F"/>
    <w:rsid w:val="00651C60"/>
    <w:rsid w:val="006535CA"/>
    <w:rsid w:val="006551D5"/>
    <w:rsid w:val="00655AF5"/>
    <w:rsid w:val="00655C7E"/>
    <w:rsid w:val="00655F0B"/>
    <w:rsid w:val="00660147"/>
    <w:rsid w:val="0066253D"/>
    <w:rsid w:val="00665684"/>
    <w:rsid w:val="00666DA2"/>
    <w:rsid w:val="006728E2"/>
    <w:rsid w:val="00673ACE"/>
    <w:rsid w:val="00676EE3"/>
    <w:rsid w:val="00677EA8"/>
    <w:rsid w:val="00680E2A"/>
    <w:rsid w:val="006815E8"/>
    <w:rsid w:val="00681F63"/>
    <w:rsid w:val="006841CA"/>
    <w:rsid w:val="0068590E"/>
    <w:rsid w:val="00685B30"/>
    <w:rsid w:val="00687194"/>
    <w:rsid w:val="00687A32"/>
    <w:rsid w:val="0069011A"/>
    <w:rsid w:val="006902F5"/>
    <w:rsid w:val="00692C1C"/>
    <w:rsid w:val="00693015"/>
    <w:rsid w:val="00693F7F"/>
    <w:rsid w:val="00694137"/>
    <w:rsid w:val="00694E4D"/>
    <w:rsid w:val="006970BE"/>
    <w:rsid w:val="0069725B"/>
    <w:rsid w:val="00697F16"/>
    <w:rsid w:val="006A45F9"/>
    <w:rsid w:val="006B095F"/>
    <w:rsid w:val="006B1360"/>
    <w:rsid w:val="006B1BA0"/>
    <w:rsid w:val="006B207A"/>
    <w:rsid w:val="006B3216"/>
    <w:rsid w:val="006B48EC"/>
    <w:rsid w:val="006B4B03"/>
    <w:rsid w:val="006C25E9"/>
    <w:rsid w:val="006D19FF"/>
    <w:rsid w:val="006D24A4"/>
    <w:rsid w:val="006D5C81"/>
    <w:rsid w:val="006D662B"/>
    <w:rsid w:val="006D6F16"/>
    <w:rsid w:val="006E0D99"/>
    <w:rsid w:val="006E1F6F"/>
    <w:rsid w:val="006E3C02"/>
    <w:rsid w:val="006E553A"/>
    <w:rsid w:val="006E6CE0"/>
    <w:rsid w:val="006E7B99"/>
    <w:rsid w:val="006F0A39"/>
    <w:rsid w:val="006F1DBB"/>
    <w:rsid w:val="006F247B"/>
    <w:rsid w:val="006F3E11"/>
    <w:rsid w:val="00702813"/>
    <w:rsid w:val="00703A54"/>
    <w:rsid w:val="00703A8B"/>
    <w:rsid w:val="007063F8"/>
    <w:rsid w:val="00706ECF"/>
    <w:rsid w:val="00707BB3"/>
    <w:rsid w:val="00711140"/>
    <w:rsid w:val="00711E07"/>
    <w:rsid w:val="007158DE"/>
    <w:rsid w:val="0071684C"/>
    <w:rsid w:val="00717158"/>
    <w:rsid w:val="007172F7"/>
    <w:rsid w:val="00717AC5"/>
    <w:rsid w:val="00722D27"/>
    <w:rsid w:val="00723A7F"/>
    <w:rsid w:val="00725463"/>
    <w:rsid w:val="00727157"/>
    <w:rsid w:val="00732B98"/>
    <w:rsid w:val="0073353F"/>
    <w:rsid w:val="00737288"/>
    <w:rsid w:val="00741D67"/>
    <w:rsid w:val="0074378D"/>
    <w:rsid w:val="00744A63"/>
    <w:rsid w:val="007460E0"/>
    <w:rsid w:val="007463B6"/>
    <w:rsid w:val="00746AC4"/>
    <w:rsid w:val="00746C8F"/>
    <w:rsid w:val="007479AE"/>
    <w:rsid w:val="00747F51"/>
    <w:rsid w:val="00750E22"/>
    <w:rsid w:val="00756775"/>
    <w:rsid w:val="00756DDA"/>
    <w:rsid w:val="00757C58"/>
    <w:rsid w:val="007616C6"/>
    <w:rsid w:val="00764315"/>
    <w:rsid w:val="00765FE9"/>
    <w:rsid w:val="007670B9"/>
    <w:rsid w:val="00767C53"/>
    <w:rsid w:val="007719EB"/>
    <w:rsid w:val="007724FC"/>
    <w:rsid w:val="007759E0"/>
    <w:rsid w:val="00775F40"/>
    <w:rsid w:val="00776924"/>
    <w:rsid w:val="00780FC0"/>
    <w:rsid w:val="00782BC0"/>
    <w:rsid w:val="0078308A"/>
    <w:rsid w:val="007831DC"/>
    <w:rsid w:val="00786179"/>
    <w:rsid w:val="00787871"/>
    <w:rsid w:val="0079045C"/>
    <w:rsid w:val="0079147F"/>
    <w:rsid w:val="00794D4C"/>
    <w:rsid w:val="00796462"/>
    <w:rsid w:val="007A75AB"/>
    <w:rsid w:val="007B1822"/>
    <w:rsid w:val="007B284F"/>
    <w:rsid w:val="007B3935"/>
    <w:rsid w:val="007B54BC"/>
    <w:rsid w:val="007B75AE"/>
    <w:rsid w:val="007C127D"/>
    <w:rsid w:val="007C30D9"/>
    <w:rsid w:val="007C4004"/>
    <w:rsid w:val="007C50EC"/>
    <w:rsid w:val="007C6C83"/>
    <w:rsid w:val="007C6D2B"/>
    <w:rsid w:val="007D06B7"/>
    <w:rsid w:val="007D11BF"/>
    <w:rsid w:val="007D24B8"/>
    <w:rsid w:val="007D402F"/>
    <w:rsid w:val="007D49A4"/>
    <w:rsid w:val="007D5920"/>
    <w:rsid w:val="007D61D5"/>
    <w:rsid w:val="007D6A1C"/>
    <w:rsid w:val="007D7371"/>
    <w:rsid w:val="007E202E"/>
    <w:rsid w:val="007E2418"/>
    <w:rsid w:val="007E6002"/>
    <w:rsid w:val="007F60E1"/>
    <w:rsid w:val="008008C4"/>
    <w:rsid w:val="00801100"/>
    <w:rsid w:val="00801323"/>
    <w:rsid w:val="0080140F"/>
    <w:rsid w:val="008029B3"/>
    <w:rsid w:val="008039C0"/>
    <w:rsid w:val="00807D4C"/>
    <w:rsid w:val="00811B18"/>
    <w:rsid w:val="008122E5"/>
    <w:rsid w:val="00812C64"/>
    <w:rsid w:val="00813D5D"/>
    <w:rsid w:val="008155D5"/>
    <w:rsid w:val="008161C5"/>
    <w:rsid w:val="00822FF4"/>
    <w:rsid w:val="008244BF"/>
    <w:rsid w:val="0082460D"/>
    <w:rsid w:val="00824960"/>
    <w:rsid w:val="008256DF"/>
    <w:rsid w:val="00826481"/>
    <w:rsid w:val="00826FC0"/>
    <w:rsid w:val="00834044"/>
    <w:rsid w:val="00834D8D"/>
    <w:rsid w:val="008359FA"/>
    <w:rsid w:val="008406DE"/>
    <w:rsid w:val="008420D0"/>
    <w:rsid w:val="00845193"/>
    <w:rsid w:val="00847072"/>
    <w:rsid w:val="00851235"/>
    <w:rsid w:val="0086071F"/>
    <w:rsid w:val="0086248B"/>
    <w:rsid w:val="00862C20"/>
    <w:rsid w:val="00864855"/>
    <w:rsid w:val="00864BAD"/>
    <w:rsid w:val="008654A6"/>
    <w:rsid w:val="008660E8"/>
    <w:rsid w:val="00866183"/>
    <w:rsid w:val="00867384"/>
    <w:rsid w:val="00872A13"/>
    <w:rsid w:val="00884351"/>
    <w:rsid w:val="008848A2"/>
    <w:rsid w:val="00886030"/>
    <w:rsid w:val="00886851"/>
    <w:rsid w:val="0089325B"/>
    <w:rsid w:val="00893752"/>
    <w:rsid w:val="008942E9"/>
    <w:rsid w:val="00894FF4"/>
    <w:rsid w:val="00897746"/>
    <w:rsid w:val="008977B1"/>
    <w:rsid w:val="008A26FA"/>
    <w:rsid w:val="008A27E0"/>
    <w:rsid w:val="008A3E13"/>
    <w:rsid w:val="008A469C"/>
    <w:rsid w:val="008A68F2"/>
    <w:rsid w:val="008B0E86"/>
    <w:rsid w:val="008B2740"/>
    <w:rsid w:val="008B3001"/>
    <w:rsid w:val="008C2227"/>
    <w:rsid w:val="008C2D31"/>
    <w:rsid w:val="008C447F"/>
    <w:rsid w:val="008C5440"/>
    <w:rsid w:val="008C7479"/>
    <w:rsid w:val="008C7B29"/>
    <w:rsid w:val="008C7BD1"/>
    <w:rsid w:val="008D2C12"/>
    <w:rsid w:val="008D5C90"/>
    <w:rsid w:val="008E143C"/>
    <w:rsid w:val="008E1CD4"/>
    <w:rsid w:val="008E37A8"/>
    <w:rsid w:val="008E537B"/>
    <w:rsid w:val="008E6168"/>
    <w:rsid w:val="008E6351"/>
    <w:rsid w:val="008E69BC"/>
    <w:rsid w:val="008F5693"/>
    <w:rsid w:val="008F62C1"/>
    <w:rsid w:val="008F6E0D"/>
    <w:rsid w:val="008F793F"/>
    <w:rsid w:val="0090296B"/>
    <w:rsid w:val="00903CD3"/>
    <w:rsid w:val="009053B8"/>
    <w:rsid w:val="009070C6"/>
    <w:rsid w:val="00907D2B"/>
    <w:rsid w:val="00910360"/>
    <w:rsid w:val="0091757D"/>
    <w:rsid w:val="00917B5A"/>
    <w:rsid w:val="0092424E"/>
    <w:rsid w:val="00925CF4"/>
    <w:rsid w:val="0093138F"/>
    <w:rsid w:val="00933FBF"/>
    <w:rsid w:val="009353A1"/>
    <w:rsid w:val="0093571F"/>
    <w:rsid w:val="009359F3"/>
    <w:rsid w:val="00940D4A"/>
    <w:rsid w:val="00941822"/>
    <w:rsid w:val="00943A71"/>
    <w:rsid w:val="00943F6A"/>
    <w:rsid w:val="00947771"/>
    <w:rsid w:val="00950D5A"/>
    <w:rsid w:val="00951840"/>
    <w:rsid w:val="00951B74"/>
    <w:rsid w:val="00953017"/>
    <w:rsid w:val="00953D04"/>
    <w:rsid w:val="00957347"/>
    <w:rsid w:val="00963672"/>
    <w:rsid w:val="009662F8"/>
    <w:rsid w:val="009669BB"/>
    <w:rsid w:val="00967A8E"/>
    <w:rsid w:val="00970623"/>
    <w:rsid w:val="009737D8"/>
    <w:rsid w:val="00974367"/>
    <w:rsid w:val="00975190"/>
    <w:rsid w:val="00975762"/>
    <w:rsid w:val="00976490"/>
    <w:rsid w:val="009773F4"/>
    <w:rsid w:val="00980939"/>
    <w:rsid w:val="00980A67"/>
    <w:rsid w:val="009824E9"/>
    <w:rsid w:val="00982628"/>
    <w:rsid w:val="009841BF"/>
    <w:rsid w:val="009853EE"/>
    <w:rsid w:val="00992C02"/>
    <w:rsid w:val="0099547F"/>
    <w:rsid w:val="00997081"/>
    <w:rsid w:val="009978AD"/>
    <w:rsid w:val="009A2185"/>
    <w:rsid w:val="009A30F7"/>
    <w:rsid w:val="009A4969"/>
    <w:rsid w:val="009B145D"/>
    <w:rsid w:val="009B296F"/>
    <w:rsid w:val="009B365B"/>
    <w:rsid w:val="009B4C41"/>
    <w:rsid w:val="009B615C"/>
    <w:rsid w:val="009B7DBF"/>
    <w:rsid w:val="009C09F2"/>
    <w:rsid w:val="009C0C70"/>
    <w:rsid w:val="009C0FB2"/>
    <w:rsid w:val="009C18EA"/>
    <w:rsid w:val="009C1D0A"/>
    <w:rsid w:val="009C3E9D"/>
    <w:rsid w:val="009C404F"/>
    <w:rsid w:val="009C5955"/>
    <w:rsid w:val="009C6512"/>
    <w:rsid w:val="009C708F"/>
    <w:rsid w:val="009D08E2"/>
    <w:rsid w:val="009D0DA0"/>
    <w:rsid w:val="009D43BD"/>
    <w:rsid w:val="009D4E79"/>
    <w:rsid w:val="009D5081"/>
    <w:rsid w:val="009D5FC4"/>
    <w:rsid w:val="009E1DB3"/>
    <w:rsid w:val="009E2890"/>
    <w:rsid w:val="009E3418"/>
    <w:rsid w:val="009E43B3"/>
    <w:rsid w:val="009E792A"/>
    <w:rsid w:val="009F0D15"/>
    <w:rsid w:val="009F21FC"/>
    <w:rsid w:val="00A00393"/>
    <w:rsid w:val="00A00CF8"/>
    <w:rsid w:val="00A02DB6"/>
    <w:rsid w:val="00A0640E"/>
    <w:rsid w:val="00A06476"/>
    <w:rsid w:val="00A105C0"/>
    <w:rsid w:val="00A13689"/>
    <w:rsid w:val="00A2164B"/>
    <w:rsid w:val="00A259C3"/>
    <w:rsid w:val="00A25E4A"/>
    <w:rsid w:val="00A32700"/>
    <w:rsid w:val="00A35294"/>
    <w:rsid w:val="00A35D70"/>
    <w:rsid w:val="00A369FB"/>
    <w:rsid w:val="00A412FE"/>
    <w:rsid w:val="00A426A3"/>
    <w:rsid w:val="00A45B2F"/>
    <w:rsid w:val="00A53135"/>
    <w:rsid w:val="00A55DC1"/>
    <w:rsid w:val="00A57DEC"/>
    <w:rsid w:val="00A60894"/>
    <w:rsid w:val="00A613B6"/>
    <w:rsid w:val="00A62ACB"/>
    <w:rsid w:val="00A6350F"/>
    <w:rsid w:val="00A64C0D"/>
    <w:rsid w:val="00A65BF0"/>
    <w:rsid w:val="00A67472"/>
    <w:rsid w:val="00A67984"/>
    <w:rsid w:val="00A70321"/>
    <w:rsid w:val="00A74180"/>
    <w:rsid w:val="00A74F11"/>
    <w:rsid w:val="00A776C5"/>
    <w:rsid w:val="00A77F5E"/>
    <w:rsid w:val="00A80553"/>
    <w:rsid w:val="00A8082F"/>
    <w:rsid w:val="00A84F49"/>
    <w:rsid w:val="00A851FC"/>
    <w:rsid w:val="00A87D0C"/>
    <w:rsid w:val="00A92C97"/>
    <w:rsid w:val="00A949F4"/>
    <w:rsid w:val="00A95440"/>
    <w:rsid w:val="00A96513"/>
    <w:rsid w:val="00AA4924"/>
    <w:rsid w:val="00AA571C"/>
    <w:rsid w:val="00AA6204"/>
    <w:rsid w:val="00AB0866"/>
    <w:rsid w:val="00AB13EC"/>
    <w:rsid w:val="00AB1CE0"/>
    <w:rsid w:val="00AB1CED"/>
    <w:rsid w:val="00AB455F"/>
    <w:rsid w:val="00AB6255"/>
    <w:rsid w:val="00AB6341"/>
    <w:rsid w:val="00AB736C"/>
    <w:rsid w:val="00AC3579"/>
    <w:rsid w:val="00AD152C"/>
    <w:rsid w:val="00AD1E0C"/>
    <w:rsid w:val="00AD5B4F"/>
    <w:rsid w:val="00AD65E2"/>
    <w:rsid w:val="00AD67BE"/>
    <w:rsid w:val="00AD6B16"/>
    <w:rsid w:val="00AE0599"/>
    <w:rsid w:val="00AE0CC1"/>
    <w:rsid w:val="00AE1EE9"/>
    <w:rsid w:val="00AE1F8A"/>
    <w:rsid w:val="00AE3921"/>
    <w:rsid w:val="00AE555A"/>
    <w:rsid w:val="00AE58F8"/>
    <w:rsid w:val="00AE70D1"/>
    <w:rsid w:val="00AE74AC"/>
    <w:rsid w:val="00AF10FF"/>
    <w:rsid w:val="00AF17F5"/>
    <w:rsid w:val="00AF18AE"/>
    <w:rsid w:val="00AF24A5"/>
    <w:rsid w:val="00AF3E58"/>
    <w:rsid w:val="00AF4902"/>
    <w:rsid w:val="00B00250"/>
    <w:rsid w:val="00B00CA4"/>
    <w:rsid w:val="00B00EB3"/>
    <w:rsid w:val="00B03736"/>
    <w:rsid w:val="00B043E9"/>
    <w:rsid w:val="00B04EAA"/>
    <w:rsid w:val="00B06C03"/>
    <w:rsid w:val="00B078C9"/>
    <w:rsid w:val="00B07FF7"/>
    <w:rsid w:val="00B1067F"/>
    <w:rsid w:val="00B14A2C"/>
    <w:rsid w:val="00B14E82"/>
    <w:rsid w:val="00B15A65"/>
    <w:rsid w:val="00B160E6"/>
    <w:rsid w:val="00B16B4A"/>
    <w:rsid w:val="00B24558"/>
    <w:rsid w:val="00B24924"/>
    <w:rsid w:val="00B25151"/>
    <w:rsid w:val="00B25E95"/>
    <w:rsid w:val="00B2616F"/>
    <w:rsid w:val="00B26809"/>
    <w:rsid w:val="00B2767E"/>
    <w:rsid w:val="00B31022"/>
    <w:rsid w:val="00B311B1"/>
    <w:rsid w:val="00B31DE2"/>
    <w:rsid w:val="00B31FA3"/>
    <w:rsid w:val="00B3261C"/>
    <w:rsid w:val="00B353A3"/>
    <w:rsid w:val="00B358F5"/>
    <w:rsid w:val="00B4012B"/>
    <w:rsid w:val="00B40709"/>
    <w:rsid w:val="00B428F1"/>
    <w:rsid w:val="00B4428C"/>
    <w:rsid w:val="00B4581C"/>
    <w:rsid w:val="00B50910"/>
    <w:rsid w:val="00B558D1"/>
    <w:rsid w:val="00B64506"/>
    <w:rsid w:val="00B64D8B"/>
    <w:rsid w:val="00B6761D"/>
    <w:rsid w:val="00B7062E"/>
    <w:rsid w:val="00B71822"/>
    <w:rsid w:val="00B71C76"/>
    <w:rsid w:val="00B71CE5"/>
    <w:rsid w:val="00B741C9"/>
    <w:rsid w:val="00B75E10"/>
    <w:rsid w:val="00B76387"/>
    <w:rsid w:val="00B806CD"/>
    <w:rsid w:val="00B82A89"/>
    <w:rsid w:val="00B8308B"/>
    <w:rsid w:val="00B841A2"/>
    <w:rsid w:val="00B84B1A"/>
    <w:rsid w:val="00B850FB"/>
    <w:rsid w:val="00B85AC3"/>
    <w:rsid w:val="00B8615B"/>
    <w:rsid w:val="00B906DC"/>
    <w:rsid w:val="00B90803"/>
    <w:rsid w:val="00B90D2D"/>
    <w:rsid w:val="00B917F9"/>
    <w:rsid w:val="00B92754"/>
    <w:rsid w:val="00B928B9"/>
    <w:rsid w:val="00B93256"/>
    <w:rsid w:val="00B93C77"/>
    <w:rsid w:val="00B9418B"/>
    <w:rsid w:val="00B948B0"/>
    <w:rsid w:val="00B96691"/>
    <w:rsid w:val="00B977F8"/>
    <w:rsid w:val="00B97C1A"/>
    <w:rsid w:val="00BA2774"/>
    <w:rsid w:val="00BA2DBD"/>
    <w:rsid w:val="00BA497C"/>
    <w:rsid w:val="00BA4A54"/>
    <w:rsid w:val="00BA4F75"/>
    <w:rsid w:val="00BA5FCE"/>
    <w:rsid w:val="00BB0F5F"/>
    <w:rsid w:val="00BB1E7F"/>
    <w:rsid w:val="00BB582C"/>
    <w:rsid w:val="00BB6852"/>
    <w:rsid w:val="00BB69C3"/>
    <w:rsid w:val="00BC1051"/>
    <w:rsid w:val="00BC2125"/>
    <w:rsid w:val="00BC24ED"/>
    <w:rsid w:val="00BC504F"/>
    <w:rsid w:val="00BC50BC"/>
    <w:rsid w:val="00BC62E8"/>
    <w:rsid w:val="00BC6C05"/>
    <w:rsid w:val="00BD13C6"/>
    <w:rsid w:val="00BD4F9F"/>
    <w:rsid w:val="00BD56E8"/>
    <w:rsid w:val="00BD5F09"/>
    <w:rsid w:val="00BD6647"/>
    <w:rsid w:val="00BD7524"/>
    <w:rsid w:val="00BE1F8C"/>
    <w:rsid w:val="00BE3A0F"/>
    <w:rsid w:val="00BE5EFA"/>
    <w:rsid w:val="00BE6494"/>
    <w:rsid w:val="00BE69C4"/>
    <w:rsid w:val="00BE76A7"/>
    <w:rsid w:val="00BF0769"/>
    <w:rsid w:val="00BF0A3D"/>
    <w:rsid w:val="00BF1BC0"/>
    <w:rsid w:val="00BF321A"/>
    <w:rsid w:val="00BF491C"/>
    <w:rsid w:val="00BF78F6"/>
    <w:rsid w:val="00BF7EF8"/>
    <w:rsid w:val="00C00DAE"/>
    <w:rsid w:val="00C02FC2"/>
    <w:rsid w:val="00C04157"/>
    <w:rsid w:val="00C0725E"/>
    <w:rsid w:val="00C10000"/>
    <w:rsid w:val="00C102A6"/>
    <w:rsid w:val="00C14902"/>
    <w:rsid w:val="00C170B3"/>
    <w:rsid w:val="00C2012E"/>
    <w:rsid w:val="00C20BC6"/>
    <w:rsid w:val="00C22DB6"/>
    <w:rsid w:val="00C2420B"/>
    <w:rsid w:val="00C24E4A"/>
    <w:rsid w:val="00C25B0A"/>
    <w:rsid w:val="00C26EEC"/>
    <w:rsid w:val="00C278FB"/>
    <w:rsid w:val="00C27AE7"/>
    <w:rsid w:val="00C31284"/>
    <w:rsid w:val="00C31618"/>
    <w:rsid w:val="00C31B8E"/>
    <w:rsid w:val="00C323DF"/>
    <w:rsid w:val="00C32B87"/>
    <w:rsid w:val="00C3488C"/>
    <w:rsid w:val="00C34CB8"/>
    <w:rsid w:val="00C3794A"/>
    <w:rsid w:val="00C4497A"/>
    <w:rsid w:val="00C5014D"/>
    <w:rsid w:val="00C54BB4"/>
    <w:rsid w:val="00C55AF9"/>
    <w:rsid w:val="00C55FD0"/>
    <w:rsid w:val="00C56C79"/>
    <w:rsid w:val="00C61177"/>
    <w:rsid w:val="00C61687"/>
    <w:rsid w:val="00C6258F"/>
    <w:rsid w:val="00C63E47"/>
    <w:rsid w:val="00C6445A"/>
    <w:rsid w:val="00C66310"/>
    <w:rsid w:val="00C663C6"/>
    <w:rsid w:val="00C66F6B"/>
    <w:rsid w:val="00C70BB0"/>
    <w:rsid w:val="00C72591"/>
    <w:rsid w:val="00C743F6"/>
    <w:rsid w:val="00C76797"/>
    <w:rsid w:val="00C7728E"/>
    <w:rsid w:val="00C803B5"/>
    <w:rsid w:val="00C82B7F"/>
    <w:rsid w:val="00C83248"/>
    <w:rsid w:val="00C91F82"/>
    <w:rsid w:val="00C9323D"/>
    <w:rsid w:val="00C94BDB"/>
    <w:rsid w:val="00C95FFB"/>
    <w:rsid w:val="00C9605A"/>
    <w:rsid w:val="00CA0C2B"/>
    <w:rsid w:val="00CA1233"/>
    <w:rsid w:val="00CA4197"/>
    <w:rsid w:val="00CA472C"/>
    <w:rsid w:val="00CA5879"/>
    <w:rsid w:val="00CA5EC1"/>
    <w:rsid w:val="00CA7739"/>
    <w:rsid w:val="00CA7894"/>
    <w:rsid w:val="00CA78A9"/>
    <w:rsid w:val="00CB0C05"/>
    <w:rsid w:val="00CB31F6"/>
    <w:rsid w:val="00CC25CC"/>
    <w:rsid w:val="00CC2660"/>
    <w:rsid w:val="00CC340D"/>
    <w:rsid w:val="00CC4A1F"/>
    <w:rsid w:val="00CD0299"/>
    <w:rsid w:val="00CD1BEC"/>
    <w:rsid w:val="00CD2ED6"/>
    <w:rsid w:val="00CD40F9"/>
    <w:rsid w:val="00CD6EF8"/>
    <w:rsid w:val="00CE02CE"/>
    <w:rsid w:val="00CE3A89"/>
    <w:rsid w:val="00CE4785"/>
    <w:rsid w:val="00CE65E8"/>
    <w:rsid w:val="00CE76A4"/>
    <w:rsid w:val="00CE7BB0"/>
    <w:rsid w:val="00CF20B1"/>
    <w:rsid w:val="00CF36BD"/>
    <w:rsid w:val="00CF4128"/>
    <w:rsid w:val="00CF6968"/>
    <w:rsid w:val="00D00382"/>
    <w:rsid w:val="00D02499"/>
    <w:rsid w:val="00D026AE"/>
    <w:rsid w:val="00D033EC"/>
    <w:rsid w:val="00D03E74"/>
    <w:rsid w:val="00D04783"/>
    <w:rsid w:val="00D047AF"/>
    <w:rsid w:val="00D05B01"/>
    <w:rsid w:val="00D1187C"/>
    <w:rsid w:val="00D1332E"/>
    <w:rsid w:val="00D13CC5"/>
    <w:rsid w:val="00D1596F"/>
    <w:rsid w:val="00D2079A"/>
    <w:rsid w:val="00D213DF"/>
    <w:rsid w:val="00D23396"/>
    <w:rsid w:val="00D2375A"/>
    <w:rsid w:val="00D23E61"/>
    <w:rsid w:val="00D24AE5"/>
    <w:rsid w:val="00D271E8"/>
    <w:rsid w:val="00D3161C"/>
    <w:rsid w:val="00D3195F"/>
    <w:rsid w:val="00D324F9"/>
    <w:rsid w:val="00D32AF6"/>
    <w:rsid w:val="00D33664"/>
    <w:rsid w:val="00D33E47"/>
    <w:rsid w:val="00D34BE5"/>
    <w:rsid w:val="00D351DD"/>
    <w:rsid w:val="00D36614"/>
    <w:rsid w:val="00D43443"/>
    <w:rsid w:val="00D44002"/>
    <w:rsid w:val="00D45D2F"/>
    <w:rsid w:val="00D463DD"/>
    <w:rsid w:val="00D52093"/>
    <w:rsid w:val="00D56AC3"/>
    <w:rsid w:val="00D56DCB"/>
    <w:rsid w:val="00D609EC"/>
    <w:rsid w:val="00D64F98"/>
    <w:rsid w:val="00D66850"/>
    <w:rsid w:val="00D7145C"/>
    <w:rsid w:val="00D7280E"/>
    <w:rsid w:val="00D72AC1"/>
    <w:rsid w:val="00D73167"/>
    <w:rsid w:val="00D73722"/>
    <w:rsid w:val="00D73EC7"/>
    <w:rsid w:val="00D74905"/>
    <w:rsid w:val="00D7755F"/>
    <w:rsid w:val="00D77887"/>
    <w:rsid w:val="00D77CA7"/>
    <w:rsid w:val="00D84F24"/>
    <w:rsid w:val="00D8546E"/>
    <w:rsid w:val="00D86064"/>
    <w:rsid w:val="00D86792"/>
    <w:rsid w:val="00D8688A"/>
    <w:rsid w:val="00D87325"/>
    <w:rsid w:val="00D905F6"/>
    <w:rsid w:val="00D90BA2"/>
    <w:rsid w:val="00D947F8"/>
    <w:rsid w:val="00DA16D5"/>
    <w:rsid w:val="00DA251F"/>
    <w:rsid w:val="00DA5ABD"/>
    <w:rsid w:val="00DA6DA1"/>
    <w:rsid w:val="00DB1217"/>
    <w:rsid w:val="00DB3442"/>
    <w:rsid w:val="00DC0706"/>
    <w:rsid w:val="00DC5367"/>
    <w:rsid w:val="00DC5CC4"/>
    <w:rsid w:val="00DD6009"/>
    <w:rsid w:val="00DE1221"/>
    <w:rsid w:val="00DE313C"/>
    <w:rsid w:val="00DE3AAF"/>
    <w:rsid w:val="00DE4E05"/>
    <w:rsid w:val="00DE5570"/>
    <w:rsid w:val="00DE5789"/>
    <w:rsid w:val="00DE5A5E"/>
    <w:rsid w:val="00DE7B4B"/>
    <w:rsid w:val="00DF0895"/>
    <w:rsid w:val="00DF235B"/>
    <w:rsid w:val="00DF274C"/>
    <w:rsid w:val="00DF29C4"/>
    <w:rsid w:val="00DF3C24"/>
    <w:rsid w:val="00DF435A"/>
    <w:rsid w:val="00DF606B"/>
    <w:rsid w:val="00E00371"/>
    <w:rsid w:val="00E018B4"/>
    <w:rsid w:val="00E03967"/>
    <w:rsid w:val="00E04326"/>
    <w:rsid w:val="00E050EB"/>
    <w:rsid w:val="00E0627E"/>
    <w:rsid w:val="00E06559"/>
    <w:rsid w:val="00E06F8D"/>
    <w:rsid w:val="00E1091F"/>
    <w:rsid w:val="00E11149"/>
    <w:rsid w:val="00E1135D"/>
    <w:rsid w:val="00E12F83"/>
    <w:rsid w:val="00E16F7E"/>
    <w:rsid w:val="00E2010C"/>
    <w:rsid w:val="00E219A2"/>
    <w:rsid w:val="00E253B0"/>
    <w:rsid w:val="00E26009"/>
    <w:rsid w:val="00E26159"/>
    <w:rsid w:val="00E26DD1"/>
    <w:rsid w:val="00E3087D"/>
    <w:rsid w:val="00E30BB8"/>
    <w:rsid w:val="00E30C3C"/>
    <w:rsid w:val="00E3117C"/>
    <w:rsid w:val="00E31638"/>
    <w:rsid w:val="00E31F3E"/>
    <w:rsid w:val="00E336CF"/>
    <w:rsid w:val="00E347F9"/>
    <w:rsid w:val="00E35DD1"/>
    <w:rsid w:val="00E37A56"/>
    <w:rsid w:val="00E422E1"/>
    <w:rsid w:val="00E44CEF"/>
    <w:rsid w:val="00E44DF9"/>
    <w:rsid w:val="00E5045F"/>
    <w:rsid w:val="00E51138"/>
    <w:rsid w:val="00E51358"/>
    <w:rsid w:val="00E51B6C"/>
    <w:rsid w:val="00E5244B"/>
    <w:rsid w:val="00E547CF"/>
    <w:rsid w:val="00E553B7"/>
    <w:rsid w:val="00E56374"/>
    <w:rsid w:val="00E56BF9"/>
    <w:rsid w:val="00E570E4"/>
    <w:rsid w:val="00E5722E"/>
    <w:rsid w:val="00E60FE0"/>
    <w:rsid w:val="00E629CF"/>
    <w:rsid w:val="00E64E2C"/>
    <w:rsid w:val="00E6620E"/>
    <w:rsid w:val="00E67B10"/>
    <w:rsid w:val="00E71547"/>
    <w:rsid w:val="00E72390"/>
    <w:rsid w:val="00E72E5F"/>
    <w:rsid w:val="00E7329A"/>
    <w:rsid w:val="00E74795"/>
    <w:rsid w:val="00E749EC"/>
    <w:rsid w:val="00E759B7"/>
    <w:rsid w:val="00E82534"/>
    <w:rsid w:val="00E827D5"/>
    <w:rsid w:val="00E84CA5"/>
    <w:rsid w:val="00E8587D"/>
    <w:rsid w:val="00E86DCE"/>
    <w:rsid w:val="00E87433"/>
    <w:rsid w:val="00E87667"/>
    <w:rsid w:val="00E9103A"/>
    <w:rsid w:val="00E9308C"/>
    <w:rsid w:val="00E93CB3"/>
    <w:rsid w:val="00E96A87"/>
    <w:rsid w:val="00EA02CF"/>
    <w:rsid w:val="00EA0F4E"/>
    <w:rsid w:val="00EA1C41"/>
    <w:rsid w:val="00EA29FD"/>
    <w:rsid w:val="00EA37D2"/>
    <w:rsid w:val="00EA4036"/>
    <w:rsid w:val="00EA4912"/>
    <w:rsid w:val="00EB349E"/>
    <w:rsid w:val="00EB3F2C"/>
    <w:rsid w:val="00EB4468"/>
    <w:rsid w:val="00EB4E50"/>
    <w:rsid w:val="00EB6714"/>
    <w:rsid w:val="00EB6E17"/>
    <w:rsid w:val="00EB7E3E"/>
    <w:rsid w:val="00EC0CDB"/>
    <w:rsid w:val="00EC0E21"/>
    <w:rsid w:val="00EC0EC7"/>
    <w:rsid w:val="00EC11D1"/>
    <w:rsid w:val="00EC20FD"/>
    <w:rsid w:val="00EC387F"/>
    <w:rsid w:val="00ED02FC"/>
    <w:rsid w:val="00ED114C"/>
    <w:rsid w:val="00ED1515"/>
    <w:rsid w:val="00ED1C84"/>
    <w:rsid w:val="00ED1E89"/>
    <w:rsid w:val="00ED2FC7"/>
    <w:rsid w:val="00ED5632"/>
    <w:rsid w:val="00ED58B4"/>
    <w:rsid w:val="00ED6089"/>
    <w:rsid w:val="00ED74A9"/>
    <w:rsid w:val="00EE0476"/>
    <w:rsid w:val="00EE1A68"/>
    <w:rsid w:val="00EE245F"/>
    <w:rsid w:val="00EE3BA9"/>
    <w:rsid w:val="00EE3E55"/>
    <w:rsid w:val="00EE4552"/>
    <w:rsid w:val="00EE5A75"/>
    <w:rsid w:val="00EE5BB5"/>
    <w:rsid w:val="00EE5FCD"/>
    <w:rsid w:val="00EF0CCB"/>
    <w:rsid w:val="00EF16A8"/>
    <w:rsid w:val="00EF18C4"/>
    <w:rsid w:val="00EF2B28"/>
    <w:rsid w:val="00EF2E74"/>
    <w:rsid w:val="00EF396D"/>
    <w:rsid w:val="00EF3DCF"/>
    <w:rsid w:val="00EF66B8"/>
    <w:rsid w:val="00EF7524"/>
    <w:rsid w:val="00F00455"/>
    <w:rsid w:val="00F0071E"/>
    <w:rsid w:val="00F0089A"/>
    <w:rsid w:val="00F02EAE"/>
    <w:rsid w:val="00F03CB7"/>
    <w:rsid w:val="00F078E3"/>
    <w:rsid w:val="00F10486"/>
    <w:rsid w:val="00F14BBD"/>
    <w:rsid w:val="00F157BC"/>
    <w:rsid w:val="00F15846"/>
    <w:rsid w:val="00F16EF8"/>
    <w:rsid w:val="00F173ED"/>
    <w:rsid w:val="00F20735"/>
    <w:rsid w:val="00F2711F"/>
    <w:rsid w:val="00F274CE"/>
    <w:rsid w:val="00F31572"/>
    <w:rsid w:val="00F31B17"/>
    <w:rsid w:val="00F32AE1"/>
    <w:rsid w:val="00F3339D"/>
    <w:rsid w:val="00F33485"/>
    <w:rsid w:val="00F336F1"/>
    <w:rsid w:val="00F348BC"/>
    <w:rsid w:val="00F36D1D"/>
    <w:rsid w:val="00F404CC"/>
    <w:rsid w:val="00F42827"/>
    <w:rsid w:val="00F43810"/>
    <w:rsid w:val="00F43F7E"/>
    <w:rsid w:val="00F4582B"/>
    <w:rsid w:val="00F4796D"/>
    <w:rsid w:val="00F51BE6"/>
    <w:rsid w:val="00F53D33"/>
    <w:rsid w:val="00F61496"/>
    <w:rsid w:val="00F75630"/>
    <w:rsid w:val="00F75EDE"/>
    <w:rsid w:val="00F81267"/>
    <w:rsid w:val="00F82B91"/>
    <w:rsid w:val="00F83574"/>
    <w:rsid w:val="00F961F2"/>
    <w:rsid w:val="00F96903"/>
    <w:rsid w:val="00FA1458"/>
    <w:rsid w:val="00FA76C2"/>
    <w:rsid w:val="00FB0A5C"/>
    <w:rsid w:val="00FB346E"/>
    <w:rsid w:val="00FB5065"/>
    <w:rsid w:val="00FB7974"/>
    <w:rsid w:val="00FC0133"/>
    <w:rsid w:val="00FC0966"/>
    <w:rsid w:val="00FC2AB0"/>
    <w:rsid w:val="00FC2F18"/>
    <w:rsid w:val="00FC4427"/>
    <w:rsid w:val="00FC54FA"/>
    <w:rsid w:val="00FC588D"/>
    <w:rsid w:val="00FD34B6"/>
    <w:rsid w:val="00FD359C"/>
    <w:rsid w:val="00FD66B6"/>
    <w:rsid w:val="00FD6872"/>
    <w:rsid w:val="00FE1BE5"/>
    <w:rsid w:val="00FE3DC3"/>
    <w:rsid w:val="00FE6A36"/>
    <w:rsid w:val="00FE6A94"/>
    <w:rsid w:val="00FE6EA5"/>
    <w:rsid w:val="00FF2F56"/>
    <w:rsid w:val="00FF30CE"/>
    <w:rsid w:val="00FF5865"/>
    <w:rsid w:val="00FF5AED"/>
    <w:rsid w:val="00FF67E0"/>
    <w:rsid w:val="00FF6C9E"/>
    <w:rsid w:val="00FF72FC"/>
    <w:rsid w:val="00FF7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5E154A3E-443D-4F53-8665-3115638C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910"/>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1">
    <w:name w:val="Unresolved Mention1"/>
    <w:basedOn w:val="DefaultParagraphFont"/>
    <w:uiPriority w:val="99"/>
    <w:semiHidden/>
    <w:unhideWhenUsed/>
    <w:rsid w:val="00B14E82"/>
    <w:rPr>
      <w:color w:val="605E5C"/>
      <w:shd w:val="clear" w:color="auto" w:fill="E1DFDD"/>
    </w:rPr>
  </w:style>
  <w:style w:type="character" w:styleId="Strong">
    <w:name w:val="Strong"/>
    <w:basedOn w:val="DefaultParagraphFont"/>
    <w:uiPriority w:val="22"/>
    <w:qFormat/>
    <w:rsid w:val="000D4B36"/>
    <w:rPr>
      <w:b/>
      <w:bCs/>
    </w:rPr>
  </w:style>
  <w:style w:type="character" w:styleId="FollowedHyperlink">
    <w:name w:val="FollowedHyperlink"/>
    <w:basedOn w:val="DefaultParagraphFont"/>
    <w:uiPriority w:val="99"/>
    <w:semiHidden/>
    <w:unhideWhenUsed/>
    <w:rsid w:val="00677EA8"/>
    <w:rPr>
      <w:color w:val="800080" w:themeColor="followedHyperlink"/>
      <w:u w:val="single"/>
    </w:rPr>
  </w:style>
  <w:style w:type="character" w:styleId="UnresolvedMention">
    <w:name w:val="Unresolved Mention"/>
    <w:basedOn w:val="DefaultParagraphFont"/>
    <w:uiPriority w:val="99"/>
    <w:semiHidden/>
    <w:unhideWhenUsed/>
    <w:rsid w:val="002F3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olawdocs@mail.nih.gov" TargetMode="External" /><Relationship Id="rId7" Type="http://schemas.openxmlformats.org/officeDocument/2006/relationships/hyperlink" Target="mailto:olawdoa@mail.nih.gov" TargetMode="External" /><Relationship Id="rId8" Type="http://schemas.openxmlformats.org/officeDocument/2006/relationships/hyperlink" Target="mailto:olawarp@mail.nih.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6CA926-99CA-47DE-9647-E572DBCB1A0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Eliseo, Matthew S. EOP/OMB</cp:lastModifiedBy>
  <cp:revision>3</cp:revision>
  <cp:lastPrinted>2019-08-19T15:48:00Z</cp:lastPrinted>
  <dcterms:created xsi:type="dcterms:W3CDTF">2023-12-04T14:32:00Z</dcterms:created>
  <dcterms:modified xsi:type="dcterms:W3CDTF">2024-01-09T21:45:00Z</dcterms:modified>
</cp:coreProperties>
</file>