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C21A5" w:rsidRPr="009A23E6" w:rsidP="000C21A5" w14:paraId="67270E2E" w14:textId="196A58B8">
      <w:pPr>
        <w:jc w:val="center"/>
        <w:rPr>
          <w:i/>
        </w:rPr>
      </w:pPr>
      <w:r w:rsidRPr="009A23E6">
        <w:rPr>
          <w:i/>
        </w:rPr>
        <w:t xml:space="preserve">              </w:t>
      </w:r>
    </w:p>
    <w:p w:rsidR="000C21A5" w:rsidRPr="009A23E6" w:rsidP="000C21A5" w14:paraId="6057E183" w14:textId="77777777">
      <w:pPr>
        <w:jc w:val="center"/>
        <w:rPr>
          <w:i/>
        </w:rPr>
      </w:pPr>
    </w:p>
    <w:p w:rsidR="000C21A5" w:rsidRPr="009A23E6" w:rsidP="000C21A5" w14:paraId="26734086" w14:textId="77777777">
      <w:pPr>
        <w:jc w:val="center"/>
      </w:pPr>
    </w:p>
    <w:p w:rsidR="000C21A5" w:rsidRPr="009A23E6" w:rsidP="000C21A5" w14:paraId="2E7F17AB" w14:textId="77777777">
      <w:pPr>
        <w:jc w:val="center"/>
        <w:rPr>
          <w:b/>
        </w:rPr>
      </w:pPr>
    </w:p>
    <w:p w:rsidR="000C21A5" w:rsidRPr="009A23E6" w:rsidP="000C21A5" w14:paraId="5CBBBD6E" w14:textId="77777777">
      <w:pPr>
        <w:jc w:val="center"/>
        <w:rPr>
          <w:b/>
          <w:sz w:val="28"/>
          <w:szCs w:val="28"/>
        </w:rPr>
      </w:pPr>
      <w:r w:rsidRPr="009A23E6">
        <w:rPr>
          <w:b/>
          <w:sz w:val="28"/>
          <w:szCs w:val="28"/>
        </w:rPr>
        <w:t>SUPPORTING STATEMENT</w:t>
      </w:r>
    </w:p>
    <w:p w:rsidR="000C21A5" w:rsidRPr="009A23E6" w:rsidP="000C21A5" w14:paraId="295F1BA6" w14:textId="77777777">
      <w:pPr>
        <w:jc w:val="center"/>
        <w:rPr>
          <w:b/>
          <w:sz w:val="28"/>
          <w:szCs w:val="28"/>
        </w:rPr>
      </w:pPr>
    </w:p>
    <w:p w:rsidR="000C21A5" w:rsidRPr="009A23E6" w:rsidP="000C21A5" w14:paraId="40B47E5B" w14:textId="77777777">
      <w:pPr>
        <w:jc w:val="center"/>
        <w:rPr>
          <w:sz w:val="28"/>
          <w:szCs w:val="28"/>
        </w:rPr>
      </w:pPr>
      <w:r w:rsidRPr="009A23E6">
        <w:rPr>
          <w:b/>
          <w:sz w:val="28"/>
          <w:szCs w:val="28"/>
        </w:rPr>
        <w:t>Part B</w:t>
      </w:r>
    </w:p>
    <w:p w:rsidR="000C21A5" w:rsidRPr="009A23E6" w:rsidP="000C21A5" w14:paraId="676034BC" w14:textId="1927EA14">
      <w:pPr>
        <w:jc w:val="center"/>
        <w:rPr>
          <w:sz w:val="28"/>
          <w:szCs w:val="28"/>
        </w:rPr>
      </w:pPr>
      <w:r w:rsidRPr="009A23E6">
        <w:rPr>
          <w:sz w:val="28"/>
          <w:szCs w:val="28"/>
        </w:rPr>
        <w:t xml:space="preserve">                                                                                                                                                                                                                                                                                                                                                                                                                                                                                                                                                                                                                                                                                                                                                                                                                                                                                                                                                                                                                                                                                                                                                                                                                                                                                                                                                                                                                                                                                                                                                                                                                                                                                                                                                                                                                                                                                                                                                                                                                                                                                                                                                                                                                                                                                                                                                                                                                                                                                                                                                                                                                                                                                                                                                                                                                                                                                                                                                                                                                                                                                                                                                                                                                                                                                                                                                                                                                                                                                                                                                                                                                                                                                                                                                                                                                                                                                                                                                                                                                                                                                                                                                                                                                                                                                                                                                                                                                                                                                                                                                                                                                                                                                                                                                                                                                                                                                                                                                                                                                                                                                                                                                                                                </w:t>
      </w:r>
    </w:p>
    <w:p w:rsidR="000C21A5" w:rsidRPr="009A23E6" w:rsidP="000C21A5" w14:paraId="70D3FBAB" w14:textId="77777777">
      <w:pPr>
        <w:jc w:val="center"/>
      </w:pPr>
    </w:p>
    <w:p w:rsidR="000C21A5" w:rsidRPr="009A23E6" w:rsidP="000C21A5" w14:paraId="0F6AB421" w14:textId="77777777">
      <w:pPr>
        <w:jc w:val="center"/>
      </w:pPr>
    </w:p>
    <w:p w:rsidR="000C21A5" w:rsidRPr="009A23E6" w:rsidP="000C21A5" w14:paraId="0B8D03C6" w14:textId="77777777">
      <w:pPr>
        <w:jc w:val="center"/>
      </w:pPr>
    </w:p>
    <w:p w:rsidR="000C21A5" w:rsidRPr="009A23E6" w:rsidP="000C21A5" w14:paraId="3BD675BB" w14:textId="77777777">
      <w:pPr>
        <w:jc w:val="center"/>
      </w:pPr>
    </w:p>
    <w:p w:rsidR="000C21A5" w:rsidRPr="009A23E6" w:rsidP="000C21A5" w14:paraId="2D6F669E" w14:textId="77777777">
      <w:pPr>
        <w:jc w:val="center"/>
      </w:pPr>
    </w:p>
    <w:p w:rsidR="000C21A5" w:rsidRPr="0096314F" w:rsidP="000C21A5" w14:paraId="25C09384" w14:textId="3B6F9575">
      <w:pPr>
        <w:jc w:val="center"/>
        <w:rPr>
          <w:i/>
          <w:sz w:val="28"/>
        </w:rPr>
      </w:pPr>
      <w:r w:rsidRPr="0096314F">
        <w:rPr>
          <w:i/>
          <w:sz w:val="28"/>
        </w:rPr>
        <w:t xml:space="preserve">The AHRQ </w:t>
      </w:r>
      <w:r w:rsidRPr="0096314F" w:rsidR="007B26FE">
        <w:rPr>
          <w:i/>
          <w:sz w:val="28"/>
        </w:rPr>
        <w:t xml:space="preserve">Safety Program for Healthcare Associated Infection Prevention </w:t>
      </w:r>
    </w:p>
    <w:p w:rsidR="000C21A5" w:rsidRPr="0096314F" w:rsidP="000C21A5" w14:paraId="67E7F9CE" w14:textId="77777777">
      <w:pPr>
        <w:jc w:val="center"/>
        <w:rPr>
          <w:sz w:val="28"/>
        </w:rPr>
      </w:pPr>
    </w:p>
    <w:p w:rsidR="000C21A5" w:rsidRPr="0096314F" w:rsidP="000C21A5" w14:paraId="49673F48" w14:textId="6A24B026">
      <w:pPr>
        <w:jc w:val="center"/>
        <w:rPr>
          <w:sz w:val="28"/>
        </w:rPr>
      </w:pPr>
      <w:r w:rsidRPr="0096314F">
        <w:rPr>
          <w:sz w:val="28"/>
          <w:szCs w:val="28"/>
        </w:rPr>
        <w:t>Submission of a New Information Collection Request</w:t>
      </w:r>
    </w:p>
    <w:p w:rsidR="000C21A5" w:rsidRPr="0096314F" w:rsidP="000C21A5" w14:paraId="18F39921" w14:textId="77777777">
      <w:pPr>
        <w:jc w:val="center"/>
        <w:rPr>
          <w:sz w:val="28"/>
        </w:rPr>
      </w:pPr>
    </w:p>
    <w:p w:rsidR="000C21A5" w:rsidRPr="0096314F" w:rsidP="000C21A5" w14:paraId="54465703" w14:textId="77777777">
      <w:pPr>
        <w:jc w:val="center"/>
        <w:rPr>
          <w:sz w:val="28"/>
        </w:rPr>
      </w:pPr>
    </w:p>
    <w:p w:rsidR="000C21A5" w:rsidRPr="003D0F84" w:rsidP="000C21A5" w14:paraId="2984E7A1" w14:textId="49D94092">
      <w:pPr>
        <w:jc w:val="center"/>
        <w:rPr>
          <w:sz w:val="28"/>
          <w:szCs w:val="28"/>
        </w:rPr>
      </w:pPr>
      <w:r w:rsidRPr="003D0F84">
        <w:rPr>
          <w:b/>
          <w:sz w:val="28"/>
          <w:szCs w:val="28"/>
        </w:rPr>
        <w:t xml:space="preserve">Version: </w:t>
      </w:r>
      <w:r w:rsidR="00C3713B">
        <w:rPr>
          <w:sz w:val="28"/>
          <w:szCs w:val="28"/>
        </w:rPr>
        <w:t xml:space="preserve">October </w:t>
      </w:r>
      <w:r w:rsidRPr="003D0F84" w:rsidR="00C3713B">
        <w:rPr>
          <w:sz w:val="28"/>
          <w:szCs w:val="28"/>
        </w:rPr>
        <w:t>2</w:t>
      </w:r>
      <w:r w:rsidR="00C3713B">
        <w:rPr>
          <w:sz w:val="28"/>
          <w:szCs w:val="28"/>
        </w:rPr>
        <w:t>9</w:t>
      </w:r>
      <w:r w:rsidRPr="003D0F84" w:rsidR="005D2FBB">
        <w:rPr>
          <w:sz w:val="28"/>
          <w:szCs w:val="28"/>
        </w:rPr>
        <w:t>, 2024</w:t>
      </w:r>
    </w:p>
    <w:p w:rsidR="000C21A5" w:rsidRPr="009A23E6" w:rsidP="000C21A5" w14:paraId="6AB6E7A6" w14:textId="77777777">
      <w:pPr>
        <w:jc w:val="center"/>
      </w:pPr>
    </w:p>
    <w:p w:rsidR="000C21A5" w:rsidRPr="009A23E6" w:rsidP="000C21A5" w14:paraId="05E1B52F" w14:textId="77777777">
      <w:pPr>
        <w:jc w:val="center"/>
      </w:pPr>
    </w:p>
    <w:p w:rsidR="000C21A5" w:rsidRPr="009A23E6" w:rsidP="000C21A5" w14:paraId="3EF07270" w14:textId="77777777">
      <w:pPr>
        <w:jc w:val="center"/>
      </w:pPr>
    </w:p>
    <w:p w:rsidR="000C21A5" w:rsidRPr="009A23E6" w:rsidP="000C21A5" w14:paraId="29630C87" w14:textId="77777777">
      <w:pPr>
        <w:jc w:val="center"/>
      </w:pPr>
    </w:p>
    <w:p w:rsidR="000C21A5" w:rsidRPr="009A23E6" w:rsidP="000C21A5" w14:paraId="57E468B7" w14:textId="77777777">
      <w:pPr>
        <w:jc w:val="center"/>
      </w:pPr>
    </w:p>
    <w:p w:rsidR="000C21A5" w:rsidRPr="009A23E6" w:rsidP="000C21A5" w14:paraId="70920DDE" w14:textId="77777777">
      <w:pPr>
        <w:jc w:val="center"/>
      </w:pPr>
    </w:p>
    <w:p w:rsidR="000C21A5" w:rsidRPr="009A23E6" w:rsidP="000C21A5" w14:paraId="2E2AF23D" w14:textId="77777777">
      <w:pPr>
        <w:jc w:val="center"/>
      </w:pPr>
    </w:p>
    <w:p w:rsidR="000C21A5" w:rsidRPr="009A23E6" w:rsidP="000C21A5" w14:paraId="409BD9EA" w14:textId="77777777">
      <w:pPr>
        <w:jc w:val="center"/>
      </w:pPr>
    </w:p>
    <w:p w:rsidR="000C21A5" w:rsidRPr="009A23E6" w:rsidP="000C21A5" w14:paraId="3603B1FC" w14:textId="0D4BE1C7">
      <w:pPr>
        <w:jc w:val="center"/>
        <w:rPr>
          <w:sz w:val="28"/>
          <w:szCs w:val="28"/>
        </w:rPr>
      </w:pPr>
      <w:r w:rsidRPr="009A23E6">
        <w:rPr>
          <w:sz w:val="28"/>
          <w:szCs w:val="28"/>
        </w:rPr>
        <w:t xml:space="preserve">Agency </w:t>
      </w:r>
      <w:r w:rsidRPr="009A23E6" w:rsidR="00AC41A4">
        <w:rPr>
          <w:sz w:val="28"/>
          <w:szCs w:val="28"/>
        </w:rPr>
        <w:t xml:space="preserve">for </w:t>
      </w:r>
      <w:r w:rsidRPr="009A23E6">
        <w:rPr>
          <w:sz w:val="28"/>
          <w:szCs w:val="28"/>
        </w:rPr>
        <w:t>Healthcare Research and Quality (AHRQ)</w:t>
      </w:r>
    </w:p>
    <w:p w:rsidR="000C21A5" w:rsidRPr="009A23E6" w:rsidP="000C21A5" w14:paraId="46CFF16E" w14:textId="77777777"/>
    <w:p w:rsidR="000C21A5" w:rsidRPr="009A23E6" w:rsidP="000C21A5" w14:paraId="326DDD7B" w14:textId="77777777"/>
    <w:p w:rsidR="007B50C6" w:rsidP="000C21A5" w14:paraId="0AF12C94" w14:textId="77777777">
      <w:pPr>
        <w:sectPr w:rsidSect="00A17234">
          <w:headerReference w:type="default" r:id="rId10"/>
          <w:footerReference w:type="even" r:id="rId11"/>
          <w:footerReference w:type="default" r:id="rId12"/>
          <w:pgSz w:w="12240" w:h="15840"/>
          <w:pgMar w:top="1440" w:right="1800" w:bottom="1440" w:left="1800" w:header="720" w:footer="720" w:gutter="0"/>
          <w:pgNumType w:fmt="lowerRoman" w:start="1"/>
          <w:cols w:space="720"/>
          <w:titlePg/>
          <w:docGrid w:linePitch="360"/>
        </w:sectPr>
      </w:pPr>
    </w:p>
    <w:p w:rsidR="004207A9" w:rsidRPr="004207A9" w:rsidP="006A5596" w14:paraId="4D99F75A" w14:textId="6C28001B">
      <w:pPr>
        <w:pStyle w:val="Heading1"/>
      </w:pPr>
      <w:bookmarkStart w:id="0" w:name="_Toc176411965"/>
      <w:bookmarkStart w:id="1" w:name="_Toc151782198"/>
      <w:bookmarkStart w:id="2" w:name="_Toc158526234"/>
      <w:r w:rsidRPr="007C09D7">
        <w:t>Table of Contents</w:t>
      </w:r>
      <w:bookmarkEnd w:id="0"/>
    </w:p>
    <w:p w:rsidR="00DC2A27" w14:paraId="5A413416" w14:textId="44640420">
      <w:pPr>
        <w:pStyle w:val="TOC1"/>
        <w:rPr>
          <w:rFonts w:asciiTheme="minorHAnsi" w:eastAsiaTheme="minorEastAsia" w:hAnsiTheme="minorHAnsi" w:cstheme="minorBidi"/>
          <w:noProof/>
          <w:kern w:val="2"/>
          <w14:ligatures w14:val="standardContextual"/>
        </w:rPr>
      </w:pPr>
      <w:r w:rsidRPr="009A23E6">
        <w:rPr>
          <w:color w:val="2B579A"/>
          <w:shd w:val="clear" w:color="auto" w:fill="E6E6E6"/>
        </w:rPr>
        <w:fldChar w:fldCharType="begin"/>
      </w:r>
      <w:r w:rsidRPr="009A23E6">
        <w:instrText xml:space="preserve"> TOC \o "1-3" \h \z \u </w:instrText>
      </w:r>
      <w:r w:rsidRPr="009A23E6">
        <w:rPr>
          <w:color w:val="2B579A"/>
          <w:shd w:val="clear" w:color="auto" w:fill="E6E6E6"/>
        </w:rPr>
        <w:fldChar w:fldCharType="separate"/>
      </w:r>
      <w:hyperlink w:anchor="_Toc176411968" w:history="1">
        <w:r w:rsidRPr="00483933">
          <w:rPr>
            <w:rStyle w:val="Hyperlink"/>
            <w:noProof/>
          </w:rPr>
          <w:t>B. Collections of Information Employing Statistical Methods</w:t>
        </w:r>
        <w:r>
          <w:rPr>
            <w:noProof/>
            <w:webHidden/>
          </w:rPr>
          <w:tab/>
        </w:r>
        <w:r>
          <w:rPr>
            <w:noProof/>
            <w:webHidden/>
          </w:rPr>
          <w:fldChar w:fldCharType="begin"/>
        </w:r>
        <w:r>
          <w:rPr>
            <w:noProof/>
            <w:webHidden/>
          </w:rPr>
          <w:instrText xml:space="preserve"> PAGEREF _Toc176411968 \h </w:instrText>
        </w:r>
        <w:r>
          <w:rPr>
            <w:noProof/>
            <w:webHidden/>
          </w:rPr>
          <w:fldChar w:fldCharType="separate"/>
        </w:r>
        <w:r w:rsidR="00E00E75">
          <w:rPr>
            <w:noProof/>
            <w:webHidden/>
          </w:rPr>
          <w:t>1</w:t>
        </w:r>
        <w:r>
          <w:rPr>
            <w:noProof/>
            <w:webHidden/>
          </w:rPr>
          <w:fldChar w:fldCharType="end"/>
        </w:r>
      </w:hyperlink>
    </w:p>
    <w:p w:rsidR="00DC2A27" w:rsidP="003D0F84" w14:paraId="1278148D" w14:textId="2F54260C">
      <w:pPr>
        <w:pStyle w:val="TOC2"/>
        <w:rPr>
          <w:rFonts w:asciiTheme="minorHAnsi" w:eastAsiaTheme="minorEastAsia" w:hAnsiTheme="minorHAnsi" w:cstheme="minorBidi"/>
          <w:noProof/>
          <w:kern w:val="2"/>
          <w14:ligatures w14:val="standardContextual"/>
        </w:rPr>
      </w:pPr>
      <w:hyperlink w:anchor="_Toc176411969" w:history="1">
        <w:r w:rsidRPr="00483933">
          <w:rPr>
            <w:rStyle w:val="Hyperlink"/>
            <w:noProof/>
          </w:rPr>
          <w:t>1. Respondent Universe and Sampling Methods</w:t>
        </w:r>
        <w:r>
          <w:rPr>
            <w:noProof/>
            <w:webHidden/>
          </w:rPr>
          <w:tab/>
        </w:r>
        <w:r>
          <w:rPr>
            <w:noProof/>
            <w:webHidden/>
          </w:rPr>
          <w:fldChar w:fldCharType="begin"/>
        </w:r>
        <w:r>
          <w:rPr>
            <w:noProof/>
            <w:webHidden/>
          </w:rPr>
          <w:instrText xml:space="preserve"> PAGEREF _Toc176411969 \h </w:instrText>
        </w:r>
        <w:r>
          <w:rPr>
            <w:noProof/>
            <w:webHidden/>
          </w:rPr>
          <w:fldChar w:fldCharType="separate"/>
        </w:r>
        <w:r w:rsidR="00E00E75">
          <w:rPr>
            <w:noProof/>
            <w:webHidden/>
          </w:rPr>
          <w:t>1</w:t>
        </w:r>
        <w:r>
          <w:rPr>
            <w:noProof/>
            <w:webHidden/>
          </w:rPr>
          <w:fldChar w:fldCharType="end"/>
        </w:r>
      </w:hyperlink>
    </w:p>
    <w:p w:rsidR="00DC2A27" w:rsidP="003D0F84" w14:paraId="23B90F8F" w14:textId="19FFDBCE">
      <w:pPr>
        <w:pStyle w:val="TOC2"/>
        <w:rPr>
          <w:rFonts w:asciiTheme="minorHAnsi" w:eastAsiaTheme="minorEastAsia" w:hAnsiTheme="minorHAnsi" w:cstheme="minorBidi"/>
          <w:noProof/>
          <w:kern w:val="2"/>
          <w14:ligatures w14:val="standardContextual"/>
        </w:rPr>
      </w:pPr>
      <w:hyperlink w:anchor="_Toc176411970" w:history="1">
        <w:r w:rsidRPr="00483933">
          <w:rPr>
            <w:rStyle w:val="Hyperlink"/>
            <w:noProof/>
          </w:rPr>
          <w:t>2. Information Collection Procedures</w:t>
        </w:r>
        <w:r>
          <w:rPr>
            <w:noProof/>
            <w:webHidden/>
          </w:rPr>
          <w:tab/>
        </w:r>
        <w:r>
          <w:rPr>
            <w:noProof/>
            <w:webHidden/>
          </w:rPr>
          <w:fldChar w:fldCharType="begin"/>
        </w:r>
        <w:r>
          <w:rPr>
            <w:noProof/>
            <w:webHidden/>
          </w:rPr>
          <w:instrText xml:space="preserve"> PAGEREF _Toc176411970 \h </w:instrText>
        </w:r>
        <w:r>
          <w:rPr>
            <w:noProof/>
            <w:webHidden/>
          </w:rPr>
          <w:fldChar w:fldCharType="separate"/>
        </w:r>
        <w:r w:rsidR="00E00E75">
          <w:rPr>
            <w:noProof/>
            <w:webHidden/>
          </w:rPr>
          <w:t>4</w:t>
        </w:r>
        <w:r>
          <w:rPr>
            <w:noProof/>
            <w:webHidden/>
          </w:rPr>
          <w:fldChar w:fldCharType="end"/>
        </w:r>
      </w:hyperlink>
    </w:p>
    <w:p w:rsidR="00DC2A27" w:rsidP="003D0F84" w14:paraId="0D96AC7B" w14:textId="4BFF199D">
      <w:pPr>
        <w:pStyle w:val="TOC2"/>
        <w:rPr>
          <w:rFonts w:asciiTheme="minorHAnsi" w:eastAsiaTheme="minorEastAsia" w:hAnsiTheme="minorHAnsi" w:cstheme="minorBidi"/>
          <w:noProof/>
          <w:kern w:val="2"/>
          <w14:ligatures w14:val="standardContextual"/>
        </w:rPr>
      </w:pPr>
      <w:hyperlink w:anchor="_Toc176411971" w:history="1">
        <w:r w:rsidRPr="00483933" w:rsidR="00CB5CD4">
          <w:rPr>
            <w:rStyle w:val="Hyperlink"/>
            <w:noProof/>
          </w:rPr>
          <w:t>3. Methods to Maximize Response Rates</w:t>
        </w:r>
        <w:r w:rsidR="00CB5CD4">
          <w:rPr>
            <w:noProof/>
            <w:webHidden/>
          </w:rPr>
          <w:tab/>
          <w:t>8</w:t>
        </w:r>
      </w:hyperlink>
    </w:p>
    <w:p w:rsidR="00DC2A27" w:rsidP="003D0F84" w14:paraId="6863A1C1" w14:textId="14867BA6">
      <w:pPr>
        <w:pStyle w:val="TOC2"/>
        <w:rPr>
          <w:rFonts w:asciiTheme="minorHAnsi" w:eastAsiaTheme="minorEastAsia" w:hAnsiTheme="minorHAnsi" w:cstheme="minorBidi"/>
          <w:noProof/>
          <w:kern w:val="2"/>
          <w14:ligatures w14:val="standardContextual"/>
        </w:rPr>
      </w:pPr>
      <w:hyperlink w:anchor="_Toc176411972" w:history="1">
        <w:r w:rsidRPr="00483933" w:rsidR="00CB5CD4">
          <w:rPr>
            <w:rStyle w:val="Hyperlink"/>
            <w:noProof/>
          </w:rPr>
          <w:t>4. Tests of Procedures</w:t>
        </w:r>
        <w:r w:rsidR="00CB5CD4">
          <w:rPr>
            <w:noProof/>
            <w:webHidden/>
          </w:rPr>
          <w:tab/>
          <w:t>9</w:t>
        </w:r>
      </w:hyperlink>
    </w:p>
    <w:p w:rsidR="00DC2A27" w:rsidP="003D0F84" w14:paraId="5141565C" w14:textId="06423A18">
      <w:pPr>
        <w:pStyle w:val="TOC2"/>
        <w:rPr>
          <w:rFonts w:asciiTheme="minorHAnsi" w:eastAsiaTheme="minorEastAsia" w:hAnsiTheme="minorHAnsi" w:cstheme="minorBidi"/>
          <w:noProof/>
          <w:kern w:val="2"/>
          <w14:ligatures w14:val="standardContextual"/>
        </w:rPr>
      </w:pPr>
      <w:hyperlink w:anchor="_Toc176411973" w:history="1">
        <w:r w:rsidRPr="00483933" w:rsidR="00CB5CD4">
          <w:rPr>
            <w:rStyle w:val="Hyperlink"/>
            <w:noProof/>
          </w:rPr>
          <w:t>5. Statistical Consultants</w:t>
        </w:r>
        <w:r w:rsidR="00CB5CD4">
          <w:rPr>
            <w:noProof/>
            <w:webHidden/>
          </w:rPr>
          <w:tab/>
        </w:r>
        <w:r w:rsidR="00E23C50">
          <w:rPr>
            <w:noProof/>
            <w:webHidden/>
          </w:rPr>
          <w:t>10</w:t>
        </w:r>
      </w:hyperlink>
    </w:p>
    <w:p w:rsidR="00D77CC0" w:rsidP="00D77CC0" w14:paraId="443D7BCE" w14:textId="5B3A76D5">
      <w:pPr>
        <w:pStyle w:val="TOC1"/>
        <w:rPr>
          <w:rFonts w:asciiTheme="minorHAnsi" w:eastAsiaTheme="minorEastAsia" w:hAnsiTheme="minorHAnsi" w:cstheme="minorBidi"/>
          <w:noProof/>
          <w:kern w:val="2"/>
          <w14:ligatures w14:val="standardContextual"/>
        </w:rPr>
      </w:pPr>
      <w:r w:rsidRPr="009A23E6">
        <w:rPr>
          <w:b/>
          <w:color w:val="2B579A"/>
          <w:shd w:val="clear" w:color="auto" w:fill="E6E6E6"/>
        </w:rPr>
        <w:fldChar w:fldCharType="end"/>
      </w:r>
      <w:r w:rsidR="00E73AB5">
        <w:rPr>
          <w:rFonts w:asciiTheme="minorHAnsi" w:eastAsiaTheme="minorEastAsia" w:hAnsiTheme="minorHAnsi" w:cstheme="minorBidi"/>
          <w:noProof/>
          <w:kern w:val="2"/>
          <w14:ligatures w14:val="standardContextual"/>
        </w:rPr>
        <w:t xml:space="preserve"> </w:t>
      </w:r>
    </w:p>
    <w:p w:rsidR="00645BDE" w:rsidP="003D0F84" w14:paraId="10B8D994" w14:textId="77777777">
      <w:pPr>
        <w:sectPr w:rsidSect="00A17234">
          <w:pgSz w:w="12240" w:h="15840"/>
          <w:pgMar w:top="1440" w:right="1800" w:bottom="1440" w:left="1800" w:header="720" w:footer="720" w:gutter="0"/>
          <w:pgNumType w:fmt="lowerRoman"/>
          <w:cols w:space="720"/>
          <w:titlePg/>
          <w:docGrid w:linePitch="360"/>
        </w:sectPr>
      </w:pPr>
    </w:p>
    <w:p w:rsidR="000C21A5" w:rsidRPr="004D4B7F" w:rsidP="004D4B7F" w14:paraId="04FF761A" w14:textId="6D81AF14">
      <w:pPr>
        <w:pStyle w:val="Heading1"/>
        <w:rPr>
          <w:sz w:val="28"/>
          <w:szCs w:val="28"/>
        </w:rPr>
      </w:pPr>
      <w:bookmarkStart w:id="3" w:name="_Toc175258776"/>
      <w:bookmarkStart w:id="4" w:name="_Toc175258883"/>
      <w:bookmarkStart w:id="5" w:name="_Toc176411968"/>
      <w:r w:rsidRPr="004D4B7F">
        <w:rPr>
          <w:sz w:val="28"/>
          <w:szCs w:val="28"/>
        </w:rPr>
        <w:t>B. Collections of Information Employing Statistical Methods</w:t>
      </w:r>
      <w:bookmarkEnd w:id="1"/>
      <w:bookmarkEnd w:id="2"/>
      <w:bookmarkEnd w:id="3"/>
      <w:bookmarkEnd w:id="4"/>
      <w:bookmarkEnd w:id="5"/>
    </w:p>
    <w:p w:rsidR="000C21A5" w:rsidRPr="009A23E6" w:rsidP="000C21A5" w14:paraId="57628262" w14:textId="3B102B7A">
      <w:pPr>
        <w:spacing w:before="240"/>
      </w:pPr>
      <w:r w:rsidRPr="009A23E6">
        <w:t xml:space="preserve">The data collection planned under this </w:t>
      </w:r>
      <w:r w:rsidRPr="009A23E6" w:rsidR="007C730E">
        <w:t>pr</w:t>
      </w:r>
      <w:r w:rsidR="007C730E">
        <w:t>ogram</w:t>
      </w:r>
      <w:r w:rsidRPr="009A23E6" w:rsidR="007C730E">
        <w:t xml:space="preserve"> </w:t>
      </w:r>
      <w:r w:rsidRPr="009A23E6">
        <w:t xml:space="preserve">is part of a comprehensive evaluation strategy to assess the adoption of the </w:t>
      </w:r>
      <w:r w:rsidR="00D73322">
        <w:t xml:space="preserve">AHRQ </w:t>
      </w:r>
      <w:r w:rsidR="005D2FBB">
        <w:t>Comprehensive Unit-based Safety Program</w:t>
      </w:r>
      <w:r w:rsidR="00ED498F">
        <w:t xml:space="preserve"> (CUSP)</w:t>
      </w:r>
      <w:r w:rsidR="005D2FBB">
        <w:t xml:space="preserve"> for Healthcare Associated Infection</w:t>
      </w:r>
      <w:r w:rsidR="00E40FB5">
        <w:t xml:space="preserve"> (HAI)</w:t>
      </w:r>
      <w:r w:rsidR="005D2FBB">
        <w:t xml:space="preserve"> Prevention</w:t>
      </w:r>
      <w:r w:rsidRPr="009A23E6" w:rsidR="00AE1D9B">
        <w:t xml:space="preserve"> </w:t>
      </w:r>
      <w:r w:rsidR="00D73322">
        <w:t>(“</w:t>
      </w:r>
      <w:r w:rsidR="00AB58B1">
        <w:t xml:space="preserve">AHRQ </w:t>
      </w:r>
      <w:r w:rsidR="00E764CC">
        <w:t>Safety Program for HAI Prevention</w:t>
      </w:r>
      <w:r w:rsidR="00D73322">
        <w:t>”</w:t>
      </w:r>
      <w:r w:rsidR="00D921D7">
        <w:t>).</w:t>
      </w:r>
      <w:r w:rsidR="007C09D7">
        <w:t xml:space="preserve"> </w:t>
      </w:r>
      <w:r w:rsidR="00D921D7">
        <w:t>Specifically,</w:t>
      </w:r>
      <w:r w:rsidR="007C09D7">
        <w:t xml:space="preserve"> </w:t>
      </w:r>
      <w:r w:rsidR="00D97B1B">
        <w:t xml:space="preserve">the program team will use </w:t>
      </w:r>
      <w:r w:rsidR="00DA1922">
        <w:t xml:space="preserve">the </w:t>
      </w:r>
      <w:r w:rsidR="007C09D7">
        <w:t>data collect</w:t>
      </w:r>
      <w:r w:rsidR="00DA1922">
        <w:t>ed</w:t>
      </w:r>
      <w:r w:rsidR="007C09D7">
        <w:t xml:space="preserve"> to </w:t>
      </w:r>
      <w:r w:rsidR="00804A57">
        <w:t xml:space="preserve">evaluate participating units’ experiences </w:t>
      </w:r>
      <w:r w:rsidR="0093626E">
        <w:t xml:space="preserve">with the </w:t>
      </w:r>
      <w:r w:rsidR="00AB58B1">
        <w:t>AHRQ Safety Program</w:t>
      </w:r>
      <w:r w:rsidR="002F27E1">
        <w:t xml:space="preserve"> for HAI Prevention</w:t>
      </w:r>
      <w:r w:rsidR="006149FD">
        <w:t xml:space="preserve"> and changes in </w:t>
      </w:r>
      <w:r w:rsidR="00E40FB5">
        <w:t>HAI processes and rates</w:t>
      </w:r>
      <w:r w:rsidRPr="009A23E6">
        <w:t xml:space="preserve">. A key component of the </w:t>
      </w:r>
      <w:r w:rsidR="00AB58B1">
        <w:rPr>
          <w:iCs/>
        </w:rPr>
        <w:t xml:space="preserve">AHRQ Safety Program </w:t>
      </w:r>
      <w:r w:rsidR="002F27E1">
        <w:rPr>
          <w:iCs/>
        </w:rPr>
        <w:t>for HAI Prevention</w:t>
      </w:r>
      <w:r w:rsidRPr="009A23E6">
        <w:t xml:space="preserve"> is the recruitment of </w:t>
      </w:r>
      <w:r w:rsidR="006A594F">
        <w:t xml:space="preserve">three cohorts of </w:t>
      </w:r>
      <w:r w:rsidR="003F2059">
        <w:t>acute care hospital units</w:t>
      </w:r>
      <w:r w:rsidRPr="009A23E6" w:rsidR="006A594F">
        <w:t xml:space="preserve"> </w:t>
      </w:r>
      <w:r w:rsidR="007C730E">
        <w:t>that</w:t>
      </w:r>
      <w:r w:rsidRPr="009A23E6" w:rsidR="00BE4D37">
        <w:t xml:space="preserve"> </w:t>
      </w:r>
      <w:r w:rsidR="000F67CB">
        <w:t xml:space="preserve">will </w:t>
      </w:r>
      <w:r w:rsidR="00DA1922">
        <w:t>use</w:t>
      </w:r>
      <w:r w:rsidRPr="009A23E6" w:rsidR="00BE4D37">
        <w:t xml:space="preserve"> </w:t>
      </w:r>
      <w:r w:rsidR="00481C07">
        <w:t xml:space="preserve">AHRQ’s updated HAI Prevention Toolkits to </w:t>
      </w:r>
      <w:r w:rsidR="00C96945">
        <w:t>reduce</w:t>
      </w:r>
      <w:r w:rsidR="00A7067B">
        <w:t xml:space="preserve"> </w:t>
      </w:r>
      <w:r w:rsidR="006E6895">
        <w:t>central line-associated bloodstream infections (</w:t>
      </w:r>
      <w:r w:rsidR="00FC3D7C">
        <w:t xml:space="preserve">CLABSI), catheter-associated urinary tract infections (CAUTI), </w:t>
      </w:r>
      <w:r w:rsidR="001568ED">
        <w:t xml:space="preserve">and </w:t>
      </w:r>
      <w:r w:rsidR="006A594F">
        <w:t xml:space="preserve">ventilator-associated pneumonia and </w:t>
      </w:r>
      <w:r w:rsidR="001568ED">
        <w:t>ventilator-associated adverse events (VAP/VAE)</w:t>
      </w:r>
      <w:r w:rsidRPr="009A23E6">
        <w:t xml:space="preserve">. </w:t>
      </w:r>
      <w:r w:rsidR="002242EF">
        <w:t xml:space="preserve">These recruited units will implement the </w:t>
      </w:r>
      <w:r w:rsidR="005E3C68">
        <w:t>updated Toolkits</w:t>
      </w:r>
      <w:r w:rsidR="00D63405">
        <w:t xml:space="preserve"> in rolling cohorts</w:t>
      </w:r>
      <w:r w:rsidR="00591E97">
        <w:t>, while the program team provides units with technical assistance.</w:t>
      </w:r>
      <w:r w:rsidR="00183820">
        <w:t xml:space="preserve"> The program team will then use participant feedback to </w:t>
      </w:r>
      <w:r w:rsidR="009B2574">
        <w:t xml:space="preserve">finalize the updated </w:t>
      </w:r>
      <w:r w:rsidR="00F60FE9">
        <w:t xml:space="preserve">AHRQ HAI </w:t>
      </w:r>
      <w:r w:rsidR="009B2574">
        <w:t>Toolkits</w:t>
      </w:r>
      <w:r w:rsidR="00F60FE9">
        <w:t xml:space="preserve"> for public use.</w:t>
      </w:r>
    </w:p>
    <w:p w:rsidR="000C21A5" w:rsidRPr="006A5596" w:rsidP="009C4A9E" w14:paraId="7930D99E" w14:textId="2B2AA409">
      <w:pPr>
        <w:pStyle w:val="Heading2"/>
        <w:rPr>
          <w:sz w:val="24"/>
          <w:szCs w:val="24"/>
        </w:rPr>
      </w:pPr>
      <w:bookmarkStart w:id="6" w:name="_Toc151782199"/>
      <w:bookmarkStart w:id="7" w:name="_Toc158526235"/>
      <w:bookmarkStart w:id="8" w:name="_Toc176411969"/>
      <w:r w:rsidRPr="006A5596">
        <w:rPr>
          <w:sz w:val="24"/>
          <w:szCs w:val="24"/>
        </w:rPr>
        <w:t xml:space="preserve">1. </w:t>
      </w:r>
      <w:r w:rsidRPr="006A5596">
        <w:rPr>
          <w:sz w:val="24"/>
          <w:szCs w:val="24"/>
        </w:rPr>
        <w:t>Respondent Universe and Sampling Methods</w:t>
      </w:r>
      <w:bookmarkEnd w:id="6"/>
      <w:bookmarkEnd w:id="7"/>
      <w:bookmarkEnd w:id="8"/>
    </w:p>
    <w:p w:rsidR="000C21A5" w:rsidRPr="009A23E6" w:rsidP="000C21A5" w14:paraId="62197171" w14:textId="096715E8">
      <w:r w:rsidRPr="009A23E6">
        <w:t xml:space="preserve">This data collection request covers </w:t>
      </w:r>
      <w:r w:rsidR="00B87814">
        <w:t>planned</w:t>
      </w:r>
      <w:r w:rsidRPr="009A23E6">
        <w:t xml:space="preserve"> activities</w:t>
      </w:r>
      <w:r w:rsidRPr="009A23E6" w:rsidR="00847E83">
        <w:t xml:space="preserve"> </w:t>
      </w:r>
      <w:r w:rsidRPr="009A23E6" w:rsidR="00BE4D37">
        <w:t xml:space="preserve">that will occur </w:t>
      </w:r>
      <w:r w:rsidR="00B87814">
        <w:t xml:space="preserve">over the course of </w:t>
      </w:r>
      <w:r w:rsidR="00C96945">
        <w:t xml:space="preserve">nine </w:t>
      </w:r>
      <w:r w:rsidR="00B87814">
        <w:t xml:space="preserve">months for each cohort. The </w:t>
      </w:r>
      <w:r w:rsidR="00AA5EC1">
        <w:t>CLABSI</w:t>
      </w:r>
      <w:r w:rsidR="007C46EF">
        <w:t xml:space="preserve"> </w:t>
      </w:r>
      <w:r w:rsidR="00D73322">
        <w:t xml:space="preserve">cohort </w:t>
      </w:r>
      <w:r w:rsidR="00B87814">
        <w:t xml:space="preserve">will begin data collection first, </w:t>
      </w:r>
      <w:r w:rsidR="0059252A">
        <w:t xml:space="preserve">the CAUTI cohort </w:t>
      </w:r>
      <w:r w:rsidR="00C75F96">
        <w:t xml:space="preserve">and VAP/VAE cohort </w:t>
      </w:r>
      <w:r w:rsidR="0059252A">
        <w:t xml:space="preserve">will begin data collection approximately </w:t>
      </w:r>
      <w:r w:rsidR="00806F28">
        <w:t>7</w:t>
      </w:r>
      <w:r w:rsidR="00AD7DBE">
        <w:t xml:space="preserve"> months later</w:t>
      </w:r>
      <w:r w:rsidR="00C75F96">
        <w:t xml:space="preserve"> and 14 months later, respectively.</w:t>
      </w:r>
    </w:p>
    <w:p w:rsidR="000C21A5" w:rsidRPr="009A23E6" w:rsidP="000C21A5" w14:paraId="0521DD63" w14:textId="77777777"/>
    <w:p w:rsidR="00C71EF0" w:rsidRPr="009A23E6" w:rsidP="001D3230" w14:paraId="6FB88B40" w14:textId="764FB10D">
      <w:r w:rsidRPr="009A23E6">
        <w:rPr>
          <w:b/>
          <w:i/>
        </w:rPr>
        <w:t>Recruitment Methods</w:t>
      </w:r>
      <w:r w:rsidR="00264616">
        <w:rPr>
          <w:b/>
          <w:i/>
        </w:rPr>
        <w:t>.</w:t>
      </w:r>
      <w:r w:rsidR="00264616">
        <w:t xml:space="preserve"> </w:t>
      </w:r>
      <w:r w:rsidR="00F522DA">
        <w:t xml:space="preserve">The </w:t>
      </w:r>
      <w:r w:rsidR="00AB58B1">
        <w:t>AHRQ Safety Program for HAI Prevention</w:t>
      </w:r>
      <w:r w:rsidR="00F522DA">
        <w:t xml:space="preserve"> will </w:t>
      </w:r>
      <w:r w:rsidR="00D55A54">
        <w:t xml:space="preserve">follow </w:t>
      </w:r>
      <w:r w:rsidR="00F522DA">
        <w:t xml:space="preserve">a phased approach, beginning with the </w:t>
      </w:r>
      <w:r w:rsidR="00E83C38">
        <w:t xml:space="preserve">CLABSI </w:t>
      </w:r>
      <w:r w:rsidR="00D73322">
        <w:t>cohort</w:t>
      </w:r>
      <w:r w:rsidR="007C730E">
        <w:t>,</w:t>
      </w:r>
      <w:r w:rsidR="00D73322">
        <w:t xml:space="preserve"> </w:t>
      </w:r>
      <w:r w:rsidR="00F522DA">
        <w:t xml:space="preserve">followed by </w:t>
      </w:r>
      <w:r w:rsidR="00B87814">
        <w:t>r</w:t>
      </w:r>
      <w:r w:rsidRPr="009A23E6" w:rsidR="00EE635B">
        <w:t xml:space="preserve">ecruitment for the </w:t>
      </w:r>
      <w:r w:rsidR="007B5849">
        <w:t>CAUTI</w:t>
      </w:r>
      <w:r w:rsidRPr="009A23E6" w:rsidR="007B5849">
        <w:t xml:space="preserve"> </w:t>
      </w:r>
      <w:r w:rsidRPr="009A23E6" w:rsidR="00EE635B">
        <w:t>cohort</w:t>
      </w:r>
      <w:r w:rsidR="007C730E">
        <w:t>,</w:t>
      </w:r>
      <w:r w:rsidRPr="009A23E6" w:rsidR="00EE635B">
        <w:t xml:space="preserve"> </w:t>
      </w:r>
      <w:r w:rsidR="007B5849">
        <w:t>and finally, recruitment for the VAP/VAE cohort.</w:t>
      </w:r>
    </w:p>
    <w:p w:rsidR="00C71EF0" w:rsidRPr="009A23E6" w:rsidP="007429E0" w14:paraId="464B9FB9" w14:textId="5E3B6208">
      <w:pPr>
        <w:pStyle w:val="Normal15Spaced"/>
        <w:spacing w:line="240" w:lineRule="auto"/>
        <w:ind w:firstLine="0"/>
        <w:rPr>
          <w:rFonts w:ascii="Times New Roman" w:hAnsi="Times New Roman"/>
          <w:sz w:val="24"/>
          <w:szCs w:val="24"/>
        </w:rPr>
      </w:pPr>
    </w:p>
    <w:p w:rsidR="00EE635B" w:rsidRPr="009A23E6" w:rsidP="00C71EF0" w14:paraId="58E7303A" w14:textId="78375A58">
      <w:pPr>
        <w:pStyle w:val="Normal15Spaced"/>
        <w:spacing w:line="240" w:lineRule="auto"/>
        <w:ind w:firstLine="0"/>
        <w:rPr>
          <w:rFonts w:ascii="Times New Roman" w:hAnsi="Times New Roman"/>
          <w:sz w:val="24"/>
          <w:szCs w:val="24"/>
        </w:rPr>
      </w:pPr>
      <w:r w:rsidRPr="009A23E6">
        <w:rPr>
          <w:rFonts w:ascii="Times New Roman" w:eastAsia="Calibri" w:hAnsi="Times New Roman"/>
          <w:b/>
          <w:bCs/>
          <w:i/>
          <w:iCs/>
          <w:sz w:val="24"/>
          <w:szCs w:val="24"/>
        </w:rPr>
        <w:t xml:space="preserve">Targets. </w:t>
      </w:r>
      <w:r w:rsidRPr="009A23E6">
        <w:rPr>
          <w:rFonts w:ascii="Times New Roman" w:eastAsia="Calibri" w:hAnsi="Times New Roman"/>
          <w:sz w:val="24"/>
          <w:szCs w:val="24"/>
        </w:rPr>
        <w:t>T</w:t>
      </w:r>
      <w:r w:rsidRPr="009A23E6">
        <w:rPr>
          <w:rFonts w:ascii="Times New Roman" w:hAnsi="Times New Roman"/>
          <w:sz w:val="24"/>
          <w:szCs w:val="24"/>
        </w:rPr>
        <w:t xml:space="preserve">he </w:t>
      </w:r>
      <w:r w:rsidRPr="009A23E6" w:rsidR="007C730E">
        <w:rPr>
          <w:rFonts w:ascii="Times New Roman" w:hAnsi="Times New Roman"/>
          <w:sz w:val="24"/>
          <w:szCs w:val="24"/>
        </w:rPr>
        <w:t>pro</w:t>
      </w:r>
      <w:r w:rsidR="007C730E">
        <w:rPr>
          <w:rFonts w:ascii="Times New Roman" w:hAnsi="Times New Roman"/>
          <w:sz w:val="24"/>
          <w:szCs w:val="24"/>
        </w:rPr>
        <w:t>gram</w:t>
      </w:r>
      <w:r w:rsidRPr="009A23E6" w:rsidR="007C730E">
        <w:rPr>
          <w:rFonts w:ascii="Times New Roman" w:hAnsi="Times New Roman"/>
          <w:sz w:val="24"/>
          <w:szCs w:val="24"/>
        </w:rPr>
        <w:t xml:space="preserve"> </w:t>
      </w:r>
      <w:r w:rsidRPr="009A23E6">
        <w:rPr>
          <w:rFonts w:ascii="Times New Roman" w:hAnsi="Times New Roman"/>
          <w:sz w:val="24"/>
          <w:szCs w:val="24"/>
        </w:rPr>
        <w:t xml:space="preserve">will recruit </w:t>
      </w:r>
      <w:r w:rsidR="00331100">
        <w:rPr>
          <w:rFonts w:ascii="Times New Roman" w:hAnsi="Times New Roman"/>
          <w:sz w:val="24"/>
          <w:szCs w:val="24"/>
        </w:rPr>
        <w:t>approximately 100</w:t>
      </w:r>
      <w:r w:rsidR="007B5849">
        <w:rPr>
          <w:rFonts w:ascii="Times New Roman" w:hAnsi="Times New Roman"/>
          <w:sz w:val="24"/>
          <w:szCs w:val="24"/>
        </w:rPr>
        <w:t xml:space="preserve"> </w:t>
      </w:r>
      <w:r w:rsidR="00652187">
        <w:rPr>
          <w:rFonts w:ascii="Times New Roman" w:hAnsi="Times New Roman"/>
          <w:sz w:val="24"/>
          <w:szCs w:val="24"/>
        </w:rPr>
        <w:t xml:space="preserve">acute care </w:t>
      </w:r>
      <w:r w:rsidR="007B5849">
        <w:rPr>
          <w:rFonts w:ascii="Times New Roman" w:hAnsi="Times New Roman"/>
          <w:sz w:val="24"/>
          <w:szCs w:val="24"/>
        </w:rPr>
        <w:t>units</w:t>
      </w:r>
      <w:r w:rsidR="00AC6ACC">
        <w:rPr>
          <w:rFonts w:ascii="Times New Roman" w:hAnsi="Times New Roman"/>
          <w:sz w:val="24"/>
          <w:szCs w:val="24"/>
        </w:rPr>
        <w:t>—</w:t>
      </w:r>
      <w:r w:rsidR="00652187">
        <w:rPr>
          <w:rFonts w:ascii="Times New Roman" w:hAnsi="Times New Roman"/>
          <w:sz w:val="24"/>
          <w:szCs w:val="24"/>
        </w:rPr>
        <w:t>intensive</w:t>
      </w:r>
      <w:r w:rsidR="00AC6ACC">
        <w:rPr>
          <w:rFonts w:ascii="Times New Roman" w:hAnsi="Times New Roman"/>
          <w:sz w:val="24"/>
          <w:szCs w:val="24"/>
        </w:rPr>
        <w:t xml:space="preserve"> </w:t>
      </w:r>
      <w:r w:rsidR="00652187">
        <w:rPr>
          <w:rFonts w:ascii="Times New Roman" w:hAnsi="Times New Roman"/>
          <w:sz w:val="24"/>
          <w:szCs w:val="24"/>
        </w:rPr>
        <w:t xml:space="preserve">care </w:t>
      </w:r>
      <w:r w:rsidR="00ED2BE3">
        <w:rPr>
          <w:rFonts w:ascii="Times New Roman" w:hAnsi="Times New Roman"/>
          <w:sz w:val="24"/>
          <w:szCs w:val="24"/>
        </w:rPr>
        <w:t xml:space="preserve">units (ICUs) or non-ICUs </w:t>
      </w:r>
      <w:r w:rsidR="007B5849">
        <w:rPr>
          <w:rFonts w:ascii="Times New Roman" w:hAnsi="Times New Roman"/>
          <w:sz w:val="24"/>
          <w:szCs w:val="24"/>
        </w:rPr>
        <w:t xml:space="preserve">for </w:t>
      </w:r>
      <w:r w:rsidR="004F5FDF">
        <w:rPr>
          <w:rFonts w:ascii="Times New Roman" w:hAnsi="Times New Roman"/>
          <w:sz w:val="24"/>
          <w:szCs w:val="24"/>
        </w:rPr>
        <w:t>each of</w:t>
      </w:r>
      <w:r w:rsidR="00E30F2C">
        <w:rPr>
          <w:rFonts w:ascii="Times New Roman" w:hAnsi="Times New Roman"/>
          <w:sz w:val="24"/>
          <w:szCs w:val="24"/>
        </w:rPr>
        <w:t xml:space="preserve"> </w:t>
      </w:r>
      <w:r w:rsidR="007B5849">
        <w:rPr>
          <w:rFonts w:ascii="Times New Roman" w:hAnsi="Times New Roman"/>
          <w:sz w:val="24"/>
          <w:szCs w:val="24"/>
        </w:rPr>
        <w:t>the CLABSI</w:t>
      </w:r>
      <w:r w:rsidRPr="009A23E6">
        <w:rPr>
          <w:rFonts w:ascii="Times New Roman" w:hAnsi="Times New Roman"/>
          <w:sz w:val="24"/>
          <w:szCs w:val="24"/>
        </w:rPr>
        <w:t xml:space="preserve"> and </w:t>
      </w:r>
      <w:r w:rsidR="0056387B">
        <w:rPr>
          <w:rFonts w:ascii="Times New Roman" w:hAnsi="Times New Roman"/>
          <w:sz w:val="24"/>
          <w:szCs w:val="24"/>
        </w:rPr>
        <w:t>CAUTI cohorts</w:t>
      </w:r>
      <w:r w:rsidRPr="009A23E6">
        <w:rPr>
          <w:rFonts w:ascii="Times New Roman" w:hAnsi="Times New Roman"/>
          <w:sz w:val="24"/>
          <w:szCs w:val="24"/>
        </w:rPr>
        <w:t xml:space="preserve">. </w:t>
      </w:r>
      <w:r w:rsidR="00E30F2C">
        <w:rPr>
          <w:rFonts w:ascii="Times New Roman" w:hAnsi="Times New Roman"/>
          <w:sz w:val="24"/>
          <w:szCs w:val="24"/>
        </w:rPr>
        <w:t xml:space="preserve">The VAP/VAE </w:t>
      </w:r>
      <w:r w:rsidR="0039317A">
        <w:rPr>
          <w:rFonts w:ascii="Times New Roman" w:hAnsi="Times New Roman"/>
          <w:sz w:val="24"/>
          <w:szCs w:val="24"/>
        </w:rPr>
        <w:t xml:space="preserve">cohort </w:t>
      </w:r>
      <w:r w:rsidR="00887ADB">
        <w:rPr>
          <w:rFonts w:ascii="Times New Roman" w:hAnsi="Times New Roman"/>
          <w:sz w:val="24"/>
          <w:szCs w:val="24"/>
        </w:rPr>
        <w:t xml:space="preserve">will </w:t>
      </w:r>
      <w:r w:rsidR="00D13B84">
        <w:rPr>
          <w:rFonts w:ascii="Times New Roman" w:hAnsi="Times New Roman"/>
          <w:sz w:val="24"/>
          <w:szCs w:val="24"/>
        </w:rPr>
        <w:t xml:space="preserve">recruit </w:t>
      </w:r>
      <w:r w:rsidR="00331100">
        <w:rPr>
          <w:rFonts w:ascii="Times New Roman" w:hAnsi="Times New Roman"/>
          <w:sz w:val="24"/>
          <w:szCs w:val="24"/>
        </w:rPr>
        <w:t>approximately 75</w:t>
      </w:r>
      <w:r w:rsidR="00D13B84">
        <w:rPr>
          <w:rFonts w:ascii="Times New Roman" w:hAnsi="Times New Roman"/>
          <w:sz w:val="24"/>
          <w:szCs w:val="24"/>
        </w:rPr>
        <w:t xml:space="preserve"> </w:t>
      </w:r>
      <w:r w:rsidR="00ED2BE3">
        <w:rPr>
          <w:rFonts w:ascii="Times New Roman" w:hAnsi="Times New Roman"/>
          <w:sz w:val="24"/>
          <w:szCs w:val="24"/>
        </w:rPr>
        <w:t>ICUs</w:t>
      </w:r>
      <w:r w:rsidR="00D13B84">
        <w:rPr>
          <w:rFonts w:ascii="Times New Roman" w:hAnsi="Times New Roman"/>
          <w:sz w:val="24"/>
          <w:szCs w:val="24"/>
        </w:rPr>
        <w:t xml:space="preserve">. </w:t>
      </w:r>
      <w:r w:rsidR="00E30F2C">
        <w:rPr>
          <w:rFonts w:ascii="Times New Roman" w:hAnsi="Times New Roman"/>
          <w:sz w:val="24"/>
          <w:szCs w:val="24"/>
        </w:rPr>
        <w:t>All</w:t>
      </w:r>
      <w:r w:rsidRPr="009A23E6" w:rsidR="00E30F2C">
        <w:rPr>
          <w:rFonts w:ascii="Times New Roman" w:hAnsi="Times New Roman"/>
          <w:sz w:val="24"/>
          <w:szCs w:val="24"/>
        </w:rPr>
        <w:t xml:space="preserve"> </w:t>
      </w:r>
      <w:r w:rsidRPr="009A23E6">
        <w:rPr>
          <w:rFonts w:ascii="Times New Roman" w:hAnsi="Times New Roman"/>
          <w:sz w:val="24"/>
          <w:szCs w:val="24"/>
        </w:rPr>
        <w:t xml:space="preserve">cohorts will include </w:t>
      </w:r>
      <w:r w:rsidR="00ED2BE3">
        <w:rPr>
          <w:rFonts w:ascii="Times New Roman" w:hAnsi="Times New Roman"/>
          <w:sz w:val="24"/>
          <w:szCs w:val="24"/>
        </w:rPr>
        <w:t>hospitals</w:t>
      </w:r>
      <w:r w:rsidRPr="009A23E6">
        <w:rPr>
          <w:rFonts w:ascii="Times New Roman" w:hAnsi="Times New Roman"/>
          <w:sz w:val="24"/>
          <w:szCs w:val="24"/>
        </w:rPr>
        <w:t xml:space="preserve"> from across</w:t>
      </w:r>
      <w:r w:rsidR="002A6A7E">
        <w:rPr>
          <w:rFonts w:ascii="Times New Roman" w:hAnsi="Times New Roman"/>
          <w:sz w:val="24"/>
          <w:szCs w:val="24"/>
        </w:rPr>
        <w:t xml:space="preserve"> the</w:t>
      </w:r>
      <w:r w:rsidR="005F7F0A">
        <w:rPr>
          <w:rFonts w:ascii="Times New Roman" w:hAnsi="Times New Roman"/>
          <w:sz w:val="24"/>
          <w:szCs w:val="24"/>
        </w:rPr>
        <w:t xml:space="preserve"> </w:t>
      </w:r>
      <w:r w:rsidRPr="009A23E6">
        <w:rPr>
          <w:rFonts w:ascii="Times New Roman" w:hAnsi="Times New Roman"/>
          <w:sz w:val="24"/>
          <w:szCs w:val="24"/>
        </w:rPr>
        <w:t xml:space="preserve">10 </w:t>
      </w:r>
      <w:r w:rsidR="007C730E">
        <w:rPr>
          <w:rFonts w:ascii="Times New Roman" w:hAnsi="Times New Roman"/>
          <w:sz w:val="24"/>
          <w:szCs w:val="24"/>
        </w:rPr>
        <w:t>Department of Health and Human Services (</w:t>
      </w:r>
      <w:r w:rsidRPr="009A23E6">
        <w:rPr>
          <w:rFonts w:ascii="Times New Roman" w:hAnsi="Times New Roman"/>
          <w:sz w:val="24"/>
          <w:szCs w:val="24"/>
        </w:rPr>
        <w:t>HHS</w:t>
      </w:r>
      <w:r w:rsidR="007C730E">
        <w:rPr>
          <w:rFonts w:ascii="Times New Roman" w:hAnsi="Times New Roman"/>
          <w:sz w:val="24"/>
          <w:szCs w:val="24"/>
        </w:rPr>
        <w:t>)</w:t>
      </w:r>
      <w:r w:rsidRPr="009A23E6">
        <w:rPr>
          <w:rFonts w:ascii="Times New Roman" w:hAnsi="Times New Roman"/>
          <w:sz w:val="24"/>
          <w:szCs w:val="24"/>
        </w:rPr>
        <w:t xml:space="preserve"> </w:t>
      </w:r>
      <w:r w:rsidRPr="009A23E6" w:rsidR="00583384">
        <w:rPr>
          <w:rFonts w:ascii="Times New Roman" w:hAnsi="Times New Roman"/>
          <w:sz w:val="24"/>
          <w:szCs w:val="24"/>
        </w:rPr>
        <w:t>geographic re</w:t>
      </w:r>
      <w:r w:rsidRPr="009A23E6">
        <w:rPr>
          <w:rFonts w:ascii="Times New Roman" w:hAnsi="Times New Roman"/>
          <w:sz w:val="24"/>
          <w:szCs w:val="24"/>
        </w:rPr>
        <w:t>gions</w:t>
      </w:r>
      <w:r w:rsidRPr="009A23E6">
        <w:rPr>
          <w:rFonts w:ascii="Times New Roman" w:hAnsi="Times New Roman"/>
          <w:sz w:val="24"/>
          <w:szCs w:val="24"/>
        </w:rPr>
        <w:t xml:space="preserve">. </w:t>
      </w:r>
    </w:p>
    <w:p w:rsidR="00EE635B" w:rsidRPr="009A23E6" w:rsidP="00C71EF0" w14:paraId="73AF6911" w14:textId="77777777">
      <w:pPr>
        <w:pStyle w:val="Normal15Spaced"/>
        <w:spacing w:line="240" w:lineRule="auto"/>
        <w:ind w:firstLine="0"/>
        <w:rPr>
          <w:rFonts w:ascii="Times New Roman" w:hAnsi="Times New Roman"/>
          <w:sz w:val="24"/>
          <w:szCs w:val="24"/>
        </w:rPr>
      </w:pPr>
    </w:p>
    <w:p w:rsidR="00EE635B" w:rsidRPr="009A23E6" w:rsidP="0017624A" w14:paraId="08DEDB16" w14:textId="6DD25AFC">
      <w:pPr>
        <w:rPr>
          <w:b/>
          <w:bCs/>
          <w:i/>
          <w:iCs/>
        </w:rPr>
      </w:pPr>
      <w:r>
        <w:rPr>
          <w:b/>
          <w:i/>
        </w:rPr>
        <w:t>Hospital</w:t>
      </w:r>
      <w:r w:rsidRPr="009A23E6">
        <w:rPr>
          <w:b/>
          <w:i/>
        </w:rPr>
        <w:t xml:space="preserve"> Characteristics. </w:t>
      </w:r>
      <w:r w:rsidRPr="009A23E6">
        <w:t>To meet recruitment targets</w:t>
      </w:r>
      <w:r w:rsidR="007C730E">
        <w:t>,</w:t>
      </w:r>
      <w:r w:rsidRPr="009A23E6">
        <w:t xml:space="preserve"> the pro</w:t>
      </w:r>
      <w:r w:rsidR="00AF278F">
        <w:t>gram</w:t>
      </w:r>
      <w:r w:rsidRPr="009A23E6">
        <w:t xml:space="preserve"> </w:t>
      </w:r>
      <w:r w:rsidR="00605DE4">
        <w:t xml:space="preserve">team </w:t>
      </w:r>
      <w:r w:rsidRPr="009A23E6">
        <w:t xml:space="preserve">will cast a wide net and ensure that eligibility criteria </w:t>
      </w:r>
      <w:r w:rsidRPr="009A23E6" w:rsidR="008E5859">
        <w:t>garner</w:t>
      </w:r>
      <w:r w:rsidRPr="009A23E6">
        <w:t xml:space="preserve"> broader participation rather than unnecessarily excluding potential </w:t>
      </w:r>
      <w:r>
        <w:t>hospitals</w:t>
      </w:r>
      <w:r w:rsidRPr="009A23E6">
        <w:t xml:space="preserve">. In addition to ensuring coverage of all 10 HHS regions, the </w:t>
      </w:r>
      <w:r w:rsidR="00AB58B1">
        <w:t>AHRQ Safety Program for HAI Prevention</w:t>
      </w:r>
      <w:r w:rsidRPr="009A23E6" w:rsidR="0018583E">
        <w:t xml:space="preserve"> </w:t>
      </w:r>
      <w:r w:rsidRPr="009A23E6">
        <w:t xml:space="preserve">will seek to ensure diversity of recruited </w:t>
      </w:r>
      <w:r w:rsidR="00573AEC">
        <w:t xml:space="preserve">hospitals </w:t>
      </w:r>
      <w:r w:rsidRPr="00883F7D" w:rsidR="00883F7D">
        <w:t>with various types of urbanicity</w:t>
      </w:r>
      <w:r w:rsidR="00883F7D">
        <w:t xml:space="preserve"> </w:t>
      </w:r>
      <w:r w:rsidRPr="00883F7D" w:rsidR="00883F7D">
        <w:t xml:space="preserve">(i.e., rural, suburban, and/or urban), number of beds, number of providers, types of Electronic Health Record (EHR) systems, </w:t>
      </w:r>
      <w:r w:rsidR="00BA504E">
        <w:t>ownership (</w:t>
      </w:r>
      <w:r w:rsidR="00B5674E">
        <w:t xml:space="preserve">independent and part of larger health system) </w:t>
      </w:r>
      <w:r w:rsidRPr="00883F7D" w:rsidR="00883F7D">
        <w:t xml:space="preserve">and teaching status. </w:t>
      </w:r>
      <w:r w:rsidR="0017624A">
        <w:t xml:space="preserve">This will include </w:t>
      </w:r>
      <w:r w:rsidR="00A15C4F">
        <w:t>outreach to smaller, under-resourced hospitals</w:t>
      </w:r>
      <w:r w:rsidR="002B53E6">
        <w:t>, including safety net hospitals,</w:t>
      </w:r>
      <w:r w:rsidR="00A15C4F">
        <w:t xml:space="preserve"> to ensure </w:t>
      </w:r>
      <w:r w:rsidR="000C5595">
        <w:t xml:space="preserve">recruitment of </w:t>
      </w:r>
      <w:r w:rsidR="00D24770">
        <w:t>hospitals</w:t>
      </w:r>
      <w:r w:rsidR="00F947F1">
        <w:t xml:space="preserve"> </w:t>
      </w:r>
      <w:r w:rsidR="00654FEF">
        <w:t>of varying sizes</w:t>
      </w:r>
      <w:r w:rsidR="00D24770">
        <w:t>,</w:t>
      </w:r>
      <w:r w:rsidR="00654FEF">
        <w:t xml:space="preserve"> geographies</w:t>
      </w:r>
      <w:r w:rsidR="00D24770">
        <w:t>,</w:t>
      </w:r>
      <w:r w:rsidR="00654FEF">
        <w:t xml:space="preserve"> and serving different types of populations</w:t>
      </w:r>
      <w:r w:rsidR="000C5595">
        <w:t>.</w:t>
      </w:r>
    </w:p>
    <w:p w:rsidR="000C5595" w:rsidP="00F13EAC" w14:paraId="20FF1628" w14:textId="77777777">
      <w:pPr>
        <w:pStyle w:val="Normal15Spaced"/>
        <w:spacing w:line="240" w:lineRule="auto"/>
        <w:ind w:firstLine="0"/>
        <w:rPr>
          <w:rFonts w:ascii="Times New Roman" w:hAnsi="Times New Roman"/>
          <w:b/>
          <w:i/>
          <w:sz w:val="24"/>
          <w:szCs w:val="24"/>
        </w:rPr>
      </w:pPr>
      <w:bookmarkStart w:id="9" w:name="_Toc372292704"/>
      <w:bookmarkStart w:id="10" w:name="_Toc378681309"/>
    </w:p>
    <w:p w:rsidR="00CE262F" w:rsidP="001D3230" w14:paraId="690ED2A7" w14:textId="2F7257BE">
      <w:pPr>
        <w:pStyle w:val="Normal15Spaced"/>
        <w:spacing w:line="240" w:lineRule="auto"/>
        <w:ind w:firstLine="0"/>
        <w:rPr>
          <w:rFonts w:ascii="Times New Roman" w:hAnsi="Times New Roman"/>
          <w:bCs/>
          <w:sz w:val="24"/>
          <w:szCs w:val="22"/>
        </w:rPr>
      </w:pPr>
      <w:r w:rsidRPr="009A23E6">
        <w:rPr>
          <w:rFonts w:ascii="Times New Roman" w:hAnsi="Times New Roman"/>
          <w:b/>
          <w:i/>
          <w:sz w:val="24"/>
          <w:szCs w:val="24"/>
        </w:rPr>
        <w:t xml:space="preserve">Recruitment Strategy. </w:t>
      </w:r>
      <w:r w:rsidRPr="009A23E6">
        <w:rPr>
          <w:rFonts w:ascii="Times New Roman" w:hAnsi="Times New Roman"/>
          <w:sz w:val="24"/>
          <w:szCs w:val="24"/>
        </w:rPr>
        <w:t xml:space="preserve">The </w:t>
      </w:r>
      <w:r w:rsidR="00AB58B1">
        <w:rPr>
          <w:rFonts w:ascii="Times New Roman" w:hAnsi="Times New Roman"/>
          <w:sz w:val="24"/>
          <w:szCs w:val="24"/>
        </w:rPr>
        <w:t>AHRQ Safety Program for HAI Prevention</w:t>
      </w:r>
      <w:r w:rsidRPr="009A23E6">
        <w:rPr>
          <w:rFonts w:ascii="Times New Roman" w:hAnsi="Times New Roman"/>
          <w:sz w:val="24"/>
          <w:szCs w:val="24"/>
        </w:rPr>
        <w:t xml:space="preserve"> will use a multi-pronged </w:t>
      </w:r>
      <w:r w:rsidRPr="009A23E6" w:rsidR="00490A8C">
        <w:rPr>
          <w:rFonts w:ascii="Times New Roman" w:hAnsi="Times New Roman"/>
          <w:sz w:val="24"/>
          <w:szCs w:val="24"/>
        </w:rPr>
        <w:t>approach</w:t>
      </w:r>
      <w:r w:rsidRPr="009A23E6">
        <w:rPr>
          <w:rFonts w:ascii="Times New Roman" w:hAnsi="Times New Roman"/>
          <w:sz w:val="24"/>
          <w:szCs w:val="24"/>
        </w:rPr>
        <w:t xml:space="preserve"> for recruitment</w:t>
      </w:r>
      <w:r w:rsidRPr="009A23E6" w:rsidR="00490A8C">
        <w:rPr>
          <w:rFonts w:ascii="Times New Roman" w:hAnsi="Times New Roman"/>
          <w:sz w:val="24"/>
          <w:szCs w:val="24"/>
        </w:rPr>
        <w:t xml:space="preserve"> of </w:t>
      </w:r>
      <w:r w:rsidR="00D24770">
        <w:rPr>
          <w:rFonts w:ascii="Times New Roman" w:hAnsi="Times New Roman"/>
          <w:sz w:val="24"/>
          <w:szCs w:val="24"/>
        </w:rPr>
        <w:t>hospitals</w:t>
      </w:r>
      <w:r w:rsidRPr="009A23E6" w:rsidR="00490A8C">
        <w:rPr>
          <w:rFonts w:ascii="Times New Roman" w:hAnsi="Times New Roman"/>
          <w:sz w:val="24"/>
          <w:szCs w:val="24"/>
        </w:rPr>
        <w:t xml:space="preserve"> for </w:t>
      </w:r>
      <w:r w:rsidR="002B53E6">
        <w:rPr>
          <w:rFonts w:ascii="Times New Roman" w:hAnsi="Times New Roman"/>
          <w:sz w:val="24"/>
          <w:szCs w:val="24"/>
        </w:rPr>
        <w:t>all</w:t>
      </w:r>
      <w:r w:rsidRPr="009A23E6" w:rsidR="00490A8C">
        <w:rPr>
          <w:rFonts w:ascii="Times New Roman" w:hAnsi="Times New Roman"/>
          <w:sz w:val="24"/>
          <w:szCs w:val="24"/>
        </w:rPr>
        <w:t xml:space="preserve"> </w:t>
      </w:r>
      <w:r w:rsidR="00AF278F">
        <w:rPr>
          <w:rFonts w:ascii="Times New Roman" w:hAnsi="Times New Roman"/>
          <w:sz w:val="24"/>
          <w:szCs w:val="24"/>
        </w:rPr>
        <w:t>c</w:t>
      </w:r>
      <w:r w:rsidRPr="009A23E6" w:rsidR="00490A8C">
        <w:rPr>
          <w:rFonts w:ascii="Times New Roman" w:hAnsi="Times New Roman"/>
          <w:sz w:val="24"/>
          <w:szCs w:val="24"/>
        </w:rPr>
        <w:t>ohorts</w:t>
      </w:r>
      <w:r w:rsidRPr="009A23E6">
        <w:rPr>
          <w:rFonts w:ascii="Times New Roman" w:hAnsi="Times New Roman"/>
          <w:sz w:val="24"/>
          <w:szCs w:val="24"/>
        </w:rPr>
        <w:t>.</w:t>
      </w:r>
      <w:r w:rsidRPr="009A23E6">
        <w:rPr>
          <w:rFonts w:ascii="Times New Roman" w:hAnsi="Times New Roman"/>
          <w:b/>
          <w:sz w:val="24"/>
          <w:szCs w:val="24"/>
        </w:rPr>
        <w:t xml:space="preserve"> </w:t>
      </w:r>
      <w:r w:rsidR="00AC796A">
        <w:rPr>
          <w:rFonts w:ascii="Times New Roman" w:hAnsi="Times New Roman"/>
          <w:bCs/>
          <w:sz w:val="24"/>
          <w:szCs w:val="22"/>
        </w:rPr>
        <w:t xml:space="preserve">The program </w:t>
      </w:r>
      <w:r w:rsidR="00255C71">
        <w:rPr>
          <w:rFonts w:ascii="Times New Roman" w:hAnsi="Times New Roman"/>
          <w:bCs/>
          <w:sz w:val="24"/>
          <w:szCs w:val="22"/>
        </w:rPr>
        <w:t xml:space="preserve">team </w:t>
      </w:r>
      <w:r w:rsidR="00AC796A">
        <w:rPr>
          <w:rFonts w:ascii="Times New Roman" w:hAnsi="Times New Roman"/>
          <w:bCs/>
          <w:sz w:val="24"/>
          <w:szCs w:val="22"/>
        </w:rPr>
        <w:t xml:space="preserve">will </w:t>
      </w:r>
      <w:r w:rsidR="00AC796A">
        <w:rPr>
          <w:rFonts w:ascii="Times New Roman" w:hAnsi="Times New Roman"/>
          <w:bCs/>
          <w:sz w:val="24"/>
          <w:szCs w:val="22"/>
        </w:rPr>
        <w:t>draw</w:t>
      </w:r>
      <w:r w:rsidRPr="001D3230" w:rsidR="00AC796A">
        <w:rPr>
          <w:rFonts w:ascii="Times New Roman" w:hAnsi="Times New Roman"/>
          <w:bCs/>
          <w:sz w:val="24"/>
          <w:szCs w:val="22"/>
        </w:rPr>
        <w:t xml:space="preserve"> on deep experience recruiting for CUSP programs to implement strategies to maximize success, including beginning “soft” outreach prior to the recruitment period, leveraging trusted recruitment channels, testing and refining recruitment messaging, offering continuing medical education (CME) and continuing education units (CEUs), and implementing high-touch outreach, including targeted outreach to large delivery systems and engagement with state hospital associations and professional societies</w:t>
      </w:r>
      <w:r w:rsidR="005B7132">
        <w:rPr>
          <w:rFonts w:ascii="Times New Roman" w:hAnsi="Times New Roman"/>
          <w:bCs/>
          <w:sz w:val="24"/>
          <w:szCs w:val="22"/>
        </w:rPr>
        <w:t xml:space="preserve"> (e.g., </w:t>
      </w:r>
      <w:r w:rsidR="00A14AD3">
        <w:rPr>
          <w:rFonts w:ascii="Times New Roman" w:hAnsi="Times New Roman"/>
          <w:bCs/>
          <w:sz w:val="24"/>
          <w:szCs w:val="22"/>
        </w:rPr>
        <w:t xml:space="preserve">The Society for Healthcare Epidemiology of America, </w:t>
      </w:r>
      <w:r w:rsidR="002B2F6F">
        <w:rPr>
          <w:rFonts w:ascii="Times New Roman" w:hAnsi="Times New Roman"/>
          <w:bCs/>
          <w:sz w:val="24"/>
          <w:szCs w:val="22"/>
        </w:rPr>
        <w:t xml:space="preserve">Infectious Diseases Society of America) </w:t>
      </w:r>
      <w:r w:rsidRPr="001D3230" w:rsidR="00AC796A">
        <w:rPr>
          <w:rFonts w:ascii="Times New Roman" w:hAnsi="Times New Roman"/>
          <w:bCs/>
          <w:sz w:val="24"/>
          <w:szCs w:val="22"/>
        </w:rPr>
        <w:t xml:space="preserve">and </w:t>
      </w:r>
      <w:r w:rsidR="006D2328">
        <w:rPr>
          <w:rFonts w:ascii="Times New Roman" w:hAnsi="Times New Roman"/>
          <w:bCs/>
          <w:sz w:val="24"/>
          <w:szCs w:val="22"/>
        </w:rPr>
        <w:t xml:space="preserve">national </w:t>
      </w:r>
      <w:r w:rsidRPr="001D3230" w:rsidR="00AC796A">
        <w:rPr>
          <w:rFonts w:ascii="Times New Roman" w:hAnsi="Times New Roman"/>
          <w:bCs/>
          <w:sz w:val="24"/>
          <w:szCs w:val="22"/>
        </w:rPr>
        <w:t>organizations like The Joint Commission to build broad awareness of the program. </w:t>
      </w:r>
    </w:p>
    <w:p w:rsidR="00CE262F" w:rsidP="001D3230" w14:paraId="369E030F" w14:textId="77777777">
      <w:pPr>
        <w:pStyle w:val="Normal15Spaced"/>
        <w:spacing w:line="240" w:lineRule="auto"/>
        <w:ind w:firstLine="0"/>
        <w:rPr>
          <w:rFonts w:ascii="Times New Roman" w:hAnsi="Times New Roman"/>
          <w:bCs/>
          <w:sz w:val="24"/>
          <w:szCs w:val="22"/>
        </w:rPr>
      </w:pPr>
    </w:p>
    <w:p w:rsidR="00CE262F" w:rsidP="001D3230" w14:paraId="721EB4BF" w14:textId="2AFFDB44">
      <w:pPr>
        <w:pStyle w:val="Normal15Spaced"/>
        <w:spacing w:line="240" w:lineRule="auto"/>
        <w:ind w:firstLine="0"/>
        <w:rPr>
          <w:rFonts w:ascii="Times New Roman" w:hAnsi="Times New Roman"/>
          <w:bCs/>
          <w:sz w:val="24"/>
          <w:szCs w:val="22"/>
        </w:rPr>
      </w:pPr>
      <w:r>
        <w:rPr>
          <w:rFonts w:ascii="Times New Roman" w:hAnsi="Times New Roman"/>
          <w:bCs/>
          <w:sz w:val="24"/>
          <w:szCs w:val="22"/>
        </w:rPr>
        <w:t xml:space="preserve">The </w:t>
      </w:r>
      <w:r w:rsidR="00AB58B1">
        <w:rPr>
          <w:rFonts w:ascii="Times New Roman" w:hAnsi="Times New Roman"/>
          <w:bCs/>
          <w:sz w:val="24"/>
          <w:szCs w:val="22"/>
        </w:rPr>
        <w:t>AHRQ Safety Program for HAI Prevention</w:t>
      </w:r>
      <w:r w:rsidR="001516CE">
        <w:rPr>
          <w:rFonts w:ascii="Times New Roman" w:hAnsi="Times New Roman"/>
          <w:bCs/>
          <w:sz w:val="24"/>
          <w:szCs w:val="22"/>
        </w:rPr>
        <w:t xml:space="preserve"> </w:t>
      </w:r>
      <w:r w:rsidRPr="001516CE" w:rsidR="001516CE">
        <w:rPr>
          <w:rFonts w:ascii="Times New Roman" w:hAnsi="Times New Roman"/>
          <w:bCs/>
          <w:sz w:val="24"/>
          <w:szCs w:val="22"/>
        </w:rPr>
        <w:t xml:space="preserve">will develop recruitment tools and enrollment materials for each cohort, working across program stakeholders including internal clinical and CUSP experts, </w:t>
      </w:r>
      <w:r w:rsidR="006E363F">
        <w:rPr>
          <w:rFonts w:ascii="Times New Roman" w:hAnsi="Times New Roman"/>
          <w:bCs/>
          <w:sz w:val="24"/>
          <w:szCs w:val="22"/>
        </w:rPr>
        <w:t>external subject matter experts</w:t>
      </w:r>
      <w:r w:rsidR="002F272A">
        <w:rPr>
          <w:rFonts w:ascii="Times New Roman" w:hAnsi="Times New Roman"/>
          <w:bCs/>
          <w:sz w:val="24"/>
          <w:szCs w:val="22"/>
        </w:rPr>
        <w:t xml:space="preserve"> (SMEs)</w:t>
      </w:r>
      <w:r w:rsidRPr="001516CE" w:rsidR="001516CE">
        <w:rPr>
          <w:rFonts w:ascii="Times New Roman" w:hAnsi="Times New Roman"/>
          <w:bCs/>
          <w:sz w:val="24"/>
          <w:szCs w:val="22"/>
        </w:rPr>
        <w:t>, AHRQ, and Quality Innovation Network – Quality Improvement Organization (QIN-QIO) Implementation Advisers (IAs) for feedback and to ensure effective messaging for each cohort’s target audience. Recruitment materials will list program benefits of participation and requirements.</w:t>
      </w:r>
    </w:p>
    <w:p w:rsidR="00CE262F" w:rsidP="001D3230" w14:paraId="3471B0EB" w14:textId="77777777">
      <w:pPr>
        <w:pStyle w:val="Normal15Spaced"/>
        <w:spacing w:line="240" w:lineRule="auto"/>
        <w:ind w:firstLine="0"/>
        <w:rPr>
          <w:rFonts w:ascii="Times New Roman" w:hAnsi="Times New Roman"/>
          <w:bCs/>
          <w:sz w:val="24"/>
          <w:szCs w:val="22"/>
        </w:rPr>
      </w:pPr>
    </w:p>
    <w:p w:rsidR="000C21A5" w:rsidRPr="009A23E6" w:rsidP="006A5596" w14:paraId="6543DF61" w14:textId="6EB97FA1">
      <w:pPr>
        <w:pStyle w:val="Normal15Spaced"/>
        <w:spacing w:line="240" w:lineRule="auto"/>
        <w:ind w:firstLine="0"/>
        <w:rPr>
          <w:rFonts w:ascii="Times New Roman" w:hAnsi="Times New Roman"/>
        </w:rPr>
      </w:pPr>
      <w:r w:rsidRPr="00394C78">
        <w:rPr>
          <w:rFonts w:ascii="Times New Roman" w:hAnsi="Times New Roman"/>
          <w:bCs/>
          <w:sz w:val="24"/>
          <w:szCs w:val="22"/>
        </w:rPr>
        <w:t>Additional recruitment activities will include the following:</w:t>
      </w:r>
      <w:r w:rsidRPr="001D3230" w:rsidR="00AC796A">
        <w:rPr>
          <w:rFonts w:ascii="Times New Roman" w:hAnsi="Times New Roman"/>
          <w:bCs/>
          <w:sz w:val="24"/>
          <w:szCs w:val="22"/>
        </w:rPr>
        <w:t> </w:t>
      </w:r>
    </w:p>
    <w:p w:rsidR="006046B7" w:rsidRPr="006046B7" w:rsidP="001A31BE" w14:paraId="7EA08FEE" w14:textId="4E6ECE61">
      <w:pPr>
        <w:pStyle w:val="ListParagraph"/>
        <w:numPr>
          <w:ilvl w:val="0"/>
          <w:numId w:val="4"/>
        </w:numPr>
        <w:contextualSpacing w:val="0"/>
        <w:rPr>
          <w:noProof/>
        </w:rPr>
      </w:pPr>
      <w:r>
        <w:rPr>
          <w:rFonts w:ascii="Times New Roman" w:hAnsi="Times New Roman"/>
          <w:noProof/>
          <w:sz w:val="24"/>
          <w:szCs w:val="24"/>
        </w:rPr>
        <w:t xml:space="preserve">Conduct informational webinars </w:t>
      </w:r>
      <w:r w:rsidR="008542FB">
        <w:rPr>
          <w:rFonts w:ascii="Times New Roman" w:hAnsi="Times New Roman"/>
          <w:noProof/>
          <w:sz w:val="24"/>
          <w:szCs w:val="24"/>
        </w:rPr>
        <w:t>to garner interest in the program</w:t>
      </w:r>
      <w:r w:rsidRPr="001D3230">
        <w:rPr>
          <w:rFonts w:ascii="Times New Roman" w:hAnsi="Times New Roman"/>
          <w:noProof/>
          <w:sz w:val="24"/>
          <w:szCs w:val="24"/>
        </w:rPr>
        <w:t>.</w:t>
      </w:r>
      <w:r w:rsidRPr="006046B7">
        <w:rPr>
          <w:noProof/>
        </w:rPr>
        <w:t> </w:t>
      </w:r>
    </w:p>
    <w:p w:rsidR="00564AF8" w:rsidRPr="00564AF8" w:rsidP="00BC2C22" w14:paraId="58D78E39" w14:textId="6943AA0A">
      <w:pPr>
        <w:pStyle w:val="paragraph"/>
        <w:numPr>
          <w:ilvl w:val="0"/>
          <w:numId w:val="4"/>
        </w:numPr>
        <w:spacing w:before="0" w:beforeAutospacing="0" w:after="0" w:afterAutospacing="0"/>
        <w:textAlignment w:val="baseline"/>
        <w:rPr>
          <w:rStyle w:val="eop"/>
          <w:color w:val="000000"/>
          <w:sz w:val="22"/>
          <w:szCs w:val="22"/>
        </w:rPr>
      </w:pPr>
      <w:r w:rsidRPr="001D3230">
        <w:rPr>
          <w:rStyle w:val="normaltextrun"/>
          <w:color w:val="000000"/>
        </w:rPr>
        <w:t xml:space="preserve">Launch and maintain a public </w:t>
      </w:r>
      <w:r w:rsidR="00AB58B1">
        <w:rPr>
          <w:rStyle w:val="normaltextrun"/>
          <w:color w:val="000000"/>
        </w:rPr>
        <w:t>AHRQ Safety Program for HAI Prevention</w:t>
      </w:r>
      <w:r w:rsidR="007E785B">
        <w:rPr>
          <w:rStyle w:val="normaltextrun"/>
          <w:color w:val="000000"/>
        </w:rPr>
        <w:t xml:space="preserve"> </w:t>
      </w:r>
      <w:r w:rsidRPr="001D3230">
        <w:rPr>
          <w:rStyle w:val="normaltextrun"/>
          <w:color w:val="000000"/>
        </w:rPr>
        <w:t>website to serve as an information hub, including Frequently Asked Questions (FAQs), registration links for informational</w:t>
      </w:r>
      <w:r>
        <w:rPr>
          <w:rStyle w:val="normaltextrun"/>
          <w:color w:val="000000"/>
        </w:rPr>
        <w:t xml:space="preserve"> </w:t>
      </w:r>
      <w:r w:rsidRPr="001D3230">
        <w:rPr>
          <w:rStyle w:val="normaltextrun"/>
          <w:color w:val="000000"/>
        </w:rPr>
        <w:t xml:space="preserve">webinars, </w:t>
      </w:r>
      <w:r w:rsidR="00247307">
        <w:rPr>
          <w:rStyle w:val="normaltextrun"/>
          <w:color w:val="000000"/>
        </w:rPr>
        <w:t>program team</w:t>
      </w:r>
      <w:r w:rsidRPr="001D3230">
        <w:rPr>
          <w:rStyle w:val="normaltextrun"/>
          <w:color w:val="000000"/>
        </w:rPr>
        <w:t xml:space="preserve"> contact information, and the Enrollment Form link.</w:t>
      </w:r>
      <w:r w:rsidRPr="001D3230">
        <w:rPr>
          <w:rStyle w:val="eop"/>
          <w:color w:val="000000"/>
          <w:sz w:val="32"/>
          <w:szCs w:val="32"/>
        </w:rPr>
        <w:t> </w:t>
      </w:r>
    </w:p>
    <w:p w:rsidR="00E047DD" w:rsidRPr="001D3230" w:rsidP="00BC2C22" w14:paraId="270307B6" w14:textId="5E5BA5FD">
      <w:pPr>
        <w:pStyle w:val="paragraph"/>
        <w:numPr>
          <w:ilvl w:val="0"/>
          <w:numId w:val="4"/>
        </w:numPr>
        <w:spacing w:before="0" w:beforeAutospacing="0" w:after="0" w:afterAutospacing="0"/>
        <w:textAlignment w:val="baseline"/>
        <w:rPr>
          <w:color w:val="000000"/>
          <w:sz w:val="22"/>
          <w:szCs w:val="22"/>
        </w:rPr>
      </w:pPr>
      <w:r w:rsidRPr="001D3230">
        <w:rPr>
          <w:rStyle w:val="normaltextrun"/>
          <w:color w:val="000000"/>
        </w:rPr>
        <w:t>Highlight cohort-specific information while recruiting for each cohort but include</w:t>
      </w:r>
      <w:r w:rsidR="00A43994">
        <w:rPr>
          <w:rStyle w:val="normaltextrun"/>
          <w:color w:val="000000"/>
        </w:rPr>
        <w:t xml:space="preserve"> </w:t>
      </w:r>
      <w:r w:rsidRPr="001D3230">
        <w:rPr>
          <w:rStyle w:val="normaltextrun"/>
          <w:color w:val="000000"/>
        </w:rPr>
        <w:t xml:space="preserve">notices on subsequent cohorts to generate early awareness/interest </w:t>
      </w:r>
      <w:r w:rsidR="00A85B27">
        <w:rPr>
          <w:rStyle w:val="normaltextrun"/>
          <w:color w:val="000000"/>
        </w:rPr>
        <w:t>across cohorts</w:t>
      </w:r>
      <w:r w:rsidRPr="001D3230">
        <w:rPr>
          <w:rStyle w:val="normaltextrun"/>
          <w:color w:val="000000"/>
        </w:rPr>
        <w:t>.</w:t>
      </w:r>
      <w:r w:rsidRPr="001D3230">
        <w:rPr>
          <w:rStyle w:val="eop"/>
          <w:color w:val="000000"/>
          <w:sz w:val="32"/>
          <w:szCs w:val="32"/>
        </w:rPr>
        <w:t> </w:t>
      </w:r>
    </w:p>
    <w:p w:rsidR="00F24A01" w:rsidP="00BC2C22" w14:paraId="1C8AE071" w14:textId="730FB7FD">
      <w:pPr>
        <w:pStyle w:val="ListParagraph"/>
        <w:numPr>
          <w:ilvl w:val="0"/>
          <w:numId w:val="4"/>
        </w:numPr>
        <w:contextualSpacing w:val="0"/>
        <w:rPr>
          <w:rFonts w:ascii="Times New Roman" w:hAnsi="Times New Roman"/>
          <w:noProof/>
          <w:sz w:val="24"/>
          <w:szCs w:val="24"/>
        </w:rPr>
      </w:pPr>
      <w:r w:rsidRPr="00E22C27">
        <w:rPr>
          <w:rFonts w:ascii="Times New Roman" w:hAnsi="Times New Roman"/>
          <w:sz w:val="24"/>
          <w:szCs w:val="24"/>
        </w:rPr>
        <w:t>Leverage SMEs to promote the program within their institutions (as relevant) and to identify contacts at partner organizations and health systems. </w:t>
      </w:r>
    </w:p>
    <w:p w:rsidR="005C6730" w:rsidRPr="009A23E6" w:rsidP="00BC2C22" w14:paraId="5541A379" w14:textId="0746D3C5">
      <w:pPr>
        <w:pStyle w:val="ListParagraph"/>
        <w:numPr>
          <w:ilvl w:val="0"/>
          <w:numId w:val="4"/>
        </w:numPr>
        <w:contextualSpacing w:val="0"/>
        <w:rPr>
          <w:rFonts w:ascii="Times New Roman" w:hAnsi="Times New Roman"/>
          <w:noProof/>
          <w:sz w:val="24"/>
          <w:szCs w:val="24"/>
        </w:rPr>
      </w:pPr>
      <w:r>
        <w:rPr>
          <w:rFonts w:ascii="Times New Roman" w:hAnsi="Times New Roman"/>
          <w:sz w:val="24"/>
          <w:szCs w:val="24"/>
        </w:rPr>
        <w:t xml:space="preserve">Collaborate with federal partners including CDC and CMS to ensure synergistic efforts across related </w:t>
      </w:r>
      <w:r w:rsidR="00ED40E4">
        <w:rPr>
          <w:rFonts w:ascii="Times New Roman" w:hAnsi="Times New Roman"/>
          <w:sz w:val="24"/>
          <w:szCs w:val="24"/>
        </w:rPr>
        <w:t>programs</w:t>
      </w:r>
      <w:r>
        <w:rPr>
          <w:rFonts w:ascii="Times New Roman" w:hAnsi="Times New Roman"/>
          <w:sz w:val="24"/>
          <w:szCs w:val="24"/>
        </w:rPr>
        <w:t>.</w:t>
      </w:r>
    </w:p>
    <w:p w:rsidR="00960119" w:rsidP="00BC2C22" w14:paraId="00185F7F" w14:textId="77777777">
      <w:pPr>
        <w:pStyle w:val="ListParagraph"/>
        <w:numPr>
          <w:ilvl w:val="0"/>
          <w:numId w:val="4"/>
        </w:numPr>
        <w:contextualSpacing w:val="0"/>
        <w:rPr>
          <w:rFonts w:ascii="Times New Roman" w:hAnsi="Times New Roman"/>
          <w:noProof/>
          <w:sz w:val="24"/>
          <w:szCs w:val="24"/>
        </w:rPr>
      </w:pPr>
      <w:r>
        <w:rPr>
          <w:rFonts w:ascii="Times New Roman" w:hAnsi="Times New Roman"/>
          <w:noProof/>
          <w:sz w:val="24"/>
          <w:szCs w:val="24"/>
        </w:rPr>
        <w:t xml:space="preserve">Work with professonal societies and </w:t>
      </w:r>
      <w:r>
        <w:rPr>
          <w:rFonts w:ascii="Times New Roman" w:hAnsi="Times New Roman"/>
          <w:noProof/>
          <w:sz w:val="24"/>
          <w:szCs w:val="24"/>
        </w:rPr>
        <w:t>quality improvement organizations to promote the program</w:t>
      </w:r>
    </w:p>
    <w:p w:rsidR="0095403E" w:rsidRPr="009A23E6" w:rsidP="00BC2C22" w14:paraId="33F23FC7" w14:textId="384AB1D3">
      <w:pPr>
        <w:pStyle w:val="ListParagraph"/>
        <w:numPr>
          <w:ilvl w:val="0"/>
          <w:numId w:val="4"/>
        </w:numPr>
        <w:contextualSpacing w:val="0"/>
        <w:rPr>
          <w:rFonts w:ascii="Times New Roman" w:hAnsi="Times New Roman"/>
          <w:noProof/>
          <w:sz w:val="24"/>
          <w:szCs w:val="24"/>
        </w:rPr>
      </w:pPr>
      <w:r w:rsidRPr="00320FC9">
        <w:rPr>
          <w:rFonts w:ascii="Times New Roman" w:hAnsi="Times New Roman"/>
          <w:noProof/>
          <w:sz w:val="24"/>
          <w:szCs w:val="24"/>
        </w:rPr>
        <w:t>Leverage contact lists from relevant past CUSP Pro</w:t>
      </w:r>
      <w:r w:rsidR="007A6CCD">
        <w:rPr>
          <w:rFonts w:ascii="Times New Roman" w:hAnsi="Times New Roman"/>
          <w:noProof/>
          <w:sz w:val="24"/>
          <w:szCs w:val="24"/>
        </w:rPr>
        <w:t>grams</w:t>
      </w:r>
      <w:r w:rsidRPr="00320FC9">
        <w:rPr>
          <w:rFonts w:ascii="Times New Roman" w:hAnsi="Times New Roman"/>
          <w:noProof/>
          <w:sz w:val="24"/>
          <w:szCs w:val="24"/>
        </w:rPr>
        <w:t xml:space="preserve"> (</w:t>
      </w:r>
      <w:r w:rsidR="00AE0093">
        <w:rPr>
          <w:rFonts w:ascii="Times New Roman" w:hAnsi="Times New Roman"/>
          <w:i/>
          <w:iCs/>
          <w:noProof/>
          <w:sz w:val="24"/>
          <w:szCs w:val="24"/>
        </w:rPr>
        <w:t>AHRQ Safety Program for MRSA Prevention</w:t>
      </w:r>
      <w:r w:rsidRPr="00320FC9">
        <w:rPr>
          <w:rFonts w:ascii="Times New Roman" w:hAnsi="Times New Roman"/>
          <w:noProof/>
          <w:sz w:val="24"/>
          <w:szCs w:val="24"/>
        </w:rPr>
        <w:t xml:space="preserve"> and </w:t>
      </w:r>
      <w:r w:rsidR="00AE0093">
        <w:rPr>
          <w:rFonts w:ascii="Times New Roman" w:hAnsi="Times New Roman"/>
          <w:i/>
          <w:iCs/>
          <w:noProof/>
          <w:sz w:val="24"/>
          <w:szCs w:val="24"/>
        </w:rPr>
        <w:t>AHRQ Safety Program for Improving Antibiotic Use</w:t>
      </w:r>
      <w:r w:rsidRPr="00320FC9">
        <w:rPr>
          <w:rFonts w:ascii="Times New Roman" w:hAnsi="Times New Roman"/>
          <w:noProof/>
          <w:sz w:val="24"/>
          <w:szCs w:val="24"/>
        </w:rPr>
        <w:t xml:space="preserve">) to promote the new </w:t>
      </w:r>
      <w:r w:rsidR="00AE0093">
        <w:rPr>
          <w:rFonts w:ascii="Times New Roman" w:hAnsi="Times New Roman"/>
          <w:noProof/>
          <w:sz w:val="24"/>
          <w:szCs w:val="24"/>
        </w:rPr>
        <w:t>Safety Program</w:t>
      </w:r>
      <w:r w:rsidRPr="00320FC9">
        <w:rPr>
          <w:rFonts w:ascii="Times New Roman" w:hAnsi="Times New Roman"/>
          <w:noProof/>
          <w:sz w:val="24"/>
          <w:szCs w:val="24"/>
        </w:rPr>
        <w:t xml:space="preserve"> to prior participants</w:t>
      </w:r>
      <w:r>
        <w:rPr>
          <w:rFonts w:ascii="Times New Roman" w:hAnsi="Times New Roman"/>
          <w:noProof/>
          <w:sz w:val="24"/>
          <w:szCs w:val="24"/>
        </w:rPr>
        <w:t>.</w:t>
      </w:r>
    </w:p>
    <w:p w:rsidR="00967D15" w:rsidP="00CA1B8B" w14:paraId="7B52D6CF" w14:textId="77777777">
      <w:pPr>
        <w:rPr>
          <w:b/>
          <w:bCs/>
          <w:i/>
          <w:iCs/>
        </w:rPr>
      </w:pPr>
    </w:p>
    <w:p w:rsidR="004E4437" w:rsidP="00CA1B8B" w14:paraId="17D458CA" w14:textId="6B38EBF6">
      <w:pPr>
        <w:rPr>
          <w:b/>
          <w:bCs/>
        </w:rPr>
      </w:pPr>
      <w:r w:rsidRPr="009A23E6">
        <w:rPr>
          <w:b/>
          <w:bCs/>
          <w:i/>
          <w:iCs/>
        </w:rPr>
        <w:t xml:space="preserve">Respondent Selection </w:t>
      </w:r>
      <w:bookmarkEnd w:id="9"/>
      <w:r w:rsidRPr="009A23E6">
        <w:rPr>
          <w:b/>
          <w:bCs/>
          <w:i/>
          <w:iCs/>
        </w:rPr>
        <w:t>and Sample Sizes</w:t>
      </w:r>
      <w:r w:rsidRPr="009A23E6" w:rsidR="001278F4">
        <w:rPr>
          <w:b/>
          <w:bCs/>
          <w:i/>
          <w:iCs/>
        </w:rPr>
        <w:t xml:space="preserve">. </w:t>
      </w:r>
    </w:p>
    <w:p w:rsidR="006C3B63" w:rsidP="00E766D8" w14:paraId="382E85FD" w14:textId="163A5F47">
      <w:r w:rsidRPr="009A23E6">
        <w:t xml:space="preserve">For </w:t>
      </w:r>
      <w:r w:rsidR="00C14BC9">
        <w:t>all</w:t>
      </w:r>
      <w:r w:rsidRPr="009A23E6" w:rsidR="00C14BC9">
        <w:t xml:space="preserve"> </w:t>
      </w:r>
      <w:r w:rsidRPr="009A23E6">
        <w:t>cohorts</w:t>
      </w:r>
      <w:r w:rsidR="00D179AE">
        <w:t>,</w:t>
      </w:r>
      <w:r w:rsidRPr="009A23E6">
        <w:t xml:space="preserve"> the </w:t>
      </w:r>
      <w:r w:rsidR="00AB58B1">
        <w:t xml:space="preserve">AHRQ </w:t>
      </w:r>
      <w:r w:rsidR="00E764CC">
        <w:rPr>
          <w:iCs/>
        </w:rPr>
        <w:t>Safety Program for HAI Prevention</w:t>
      </w:r>
      <w:r w:rsidR="00D73322">
        <w:rPr>
          <w:iCs/>
        </w:rPr>
        <w:t xml:space="preserve"> </w:t>
      </w:r>
      <w:r w:rsidRPr="009A23E6">
        <w:t xml:space="preserve">will collect </w:t>
      </w:r>
      <w:r>
        <w:t xml:space="preserve">the following </w:t>
      </w:r>
      <w:r w:rsidR="00EF70F6">
        <w:t>unit-level</w:t>
      </w:r>
      <w:r w:rsidR="00E766D8">
        <w:t xml:space="preserve"> </w:t>
      </w:r>
      <w:r w:rsidRPr="009A23E6">
        <w:t xml:space="preserve">data from all participating </w:t>
      </w:r>
      <w:r w:rsidR="006C4528">
        <w:t>units</w:t>
      </w:r>
      <w:r w:rsidRPr="009A23E6">
        <w:t xml:space="preserve"> when possible</w:t>
      </w:r>
      <w:r>
        <w:t>:</w:t>
      </w:r>
    </w:p>
    <w:p w:rsidR="006C3B63" w:rsidP="001A31BE" w14:paraId="16DBF8B2" w14:textId="2965BBED">
      <w:pPr>
        <w:pStyle w:val="ListParagraph"/>
        <w:numPr>
          <w:ilvl w:val="0"/>
          <w:numId w:val="8"/>
        </w:numPr>
        <w:rPr>
          <w:rFonts w:ascii="Times New Roman" w:hAnsi="Times New Roman"/>
          <w:sz w:val="24"/>
          <w:szCs w:val="24"/>
        </w:rPr>
      </w:pPr>
      <w:r w:rsidRPr="004D3025">
        <w:rPr>
          <w:rFonts w:ascii="Times New Roman" w:hAnsi="Times New Roman"/>
          <w:b/>
          <w:bCs/>
          <w:sz w:val="24"/>
          <w:szCs w:val="24"/>
        </w:rPr>
        <w:t>Gap Analysis.</w:t>
      </w:r>
      <w:r>
        <w:rPr>
          <w:rFonts w:ascii="Times New Roman" w:hAnsi="Times New Roman"/>
          <w:sz w:val="24"/>
          <w:szCs w:val="24"/>
        </w:rPr>
        <w:t xml:space="preserve"> </w:t>
      </w:r>
      <w:r w:rsidR="000439EB">
        <w:rPr>
          <w:rFonts w:ascii="Times New Roman" w:hAnsi="Times New Roman"/>
          <w:sz w:val="24"/>
          <w:szCs w:val="24"/>
        </w:rPr>
        <w:t>Together, o</w:t>
      </w:r>
      <w:r w:rsidR="006E265C">
        <w:rPr>
          <w:rFonts w:ascii="Times New Roman" w:hAnsi="Times New Roman"/>
          <w:sz w:val="24"/>
          <w:szCs w:val="24"/>
        </w:rPr>
        <w:t>ne</w:t>
      </w:r>
      <w:r w:rsidRPr="006C3B63" w:rsidR="004D3025">
        <w:rPr>
          <w:rFonts w:ascii="Times New Roman" w:hAnsi="Times New Roman"/>
          <w:sz w:val="24"/>
          <w:szCs w:val="24"/>
        </w:rPr>
        <w:t xml:space="preserve"> unit lead</w:t>
      </w:r>
      <w:r w:rsidR="00EC1D76">
        <w:rPr>
          <w:rFonts w:ascii="Times New Roman" w:hAnsi="Times New Roman"/>
          <w:sz w:val="24"/>
          <w:szCs w:val="24"/>
        </w:rPr>
        <w:t xml:space="preserve"> and </w:t>
      </w:r>
      <w:r w:rsidR="002A6F3E">
        <w:rPr>
          <w:rFonts w:ascii="Times New Roman" w:hAnsi="Times New Roman"/>
          <w:sz w:val="24"/>
          <w:szCs w:val="24"/>
        </w:rPr>
        <w:t xml:space="preserve">one </w:t>
      </w:r>
      <w:r w:rsidRPr="006C3B63" w:rsidR="004D3025">
        <w:rPr>
          <w:rFonts w:ascii="Times New Roman" w:hAnsi="Times New Roman"/>
          <w:sz w:val="24"/>
          <w:szCs w:val="24"/>
        </w:rPr>
        <w:t xml:space="preserve">infection preventionist </w:t>
      </w:r>
      <w:r w:rsidR="002A6F3E">
        <w:rPr>
          <w:rFonts w:ascii="Times New Roman" w:hAnsi="Times New Roman"/>
          <w:sz w:val="24"/>
          <w:szCs w:val="24"/>
        </w:rPr>
        <w:t xml:space="preserve">from </w:t>
      </w:r>
      <w:r w:rsidR="006E265C">
        <w:rPr>
          <w:rFonts w:ascii="Times New Roman" w:hAnsi="Times New Roman"/>
          <w:sz w:val="24"/>
          <w:szCs w:val="24"/>
        </w:rPr>
        <w:t xml:space="preserve">each participating unit </w:t>
      </w:r>
      <w:r w:rsidRPr="006C3B63" w:rsidR="004D3025">
        <w:rPr>
          <w:rFonts w:ascii="Times New Roman" w:hAnsi="Times New Roman"/>
          <w:sz w:val="24"/>
          <w:szCs w:val="24"/>
        </w:rPr>
        <w:t xml:space="preserve">will </w:t>
      </w:r>
      <w:r w:rsidR="000439EB">
        <w:rPr>
          <w:rFonts w:ascii="Times New Roman" w:hAnsi="Times New Roman"/>
          <w:sz w:val="24"/>
          <w:szCs w:val="24"/>
        </w:rPr>
        <w:t>collaborat</w:t>
      </w:r>
      <w:r w:rsidR="00C70D1E">
        <w:rPr>
          <w:rFonts w:ascii="Times New Roman" w:hAnsi="Times New Roman"/>
          <w:sz w:val="24"/>
          <w:szCs w:val="24"/>
        </w:rPr>
        <w:t>ively</w:t>
      </w:r>
      <w:r w:rsidR="000439EB">
        <w:rPr>
          <w:rFonts w:ascii="Times New Roman" w:hAnsi="Times New Roman"/>
          <w:sz w:val="24"/>
          <w:szCs w:val="24"/>
        </w:rPr>
        <w:t xml:space="preserve"> </w:t>
      </w:r>
      <w:r w:rsidRPr="006C3B63" w:rsidR="004D3025">
        <w:rPr>
          <w:rFonts w:ascii="Times New Roman" w:hAnsi="Times New Roman"/>
          <w:sz w:val="24"/>
          <w:szCs w:val="24"/>
        </w:rPr>
        <w:t xml:space="preserve">complete the Gap Analysis </w:t>
      </w:r>
      <w:r w:rsidR="00F40494">
        <w:rPr>
          <w:rFonts w:ascii="Times New Roman" w:hAnsi="Times New Roman"/>
          <w:sz w:val="24"/>
          <w:szCs w:val="24"/>
        </w:rPr>
        <w:t xml:space="preserve">at month </w:t>
      </w:r>
      <w:r w:rsidR="001B125B">
        <w:rPr>
          <w:rFonts w:ascii="Times New Roman" w:hAnsi="Times New Roman"/>
          <w:sz w:val="24"/>
          <w:szCs w:val="24"/>
        </w:rPr>
        <w:t>1</w:t>
      </w:r>
      <w:r w:rsidR="002D4DB1">
        <w:rPr>
          <w:rFonts w:ascii="Times New Roman" w:hAnsi="Times New Roman"/>
          <w:sz w:val="24"/>
          <w:szCs w:val="24"/>
        </w:rPr>
        <w:t xml:space="preserve"> (</w:t>
      </w:r>
      <w:r w:rsidR="00B64FCA">
        <w:rPr>
          <w:rFonts w:ascii="Times New Roman" w:hAnsi="Times New Roman"/>
          <w:sz w:val="24"/>
          <w:szCs w:val="24"/>
        </w:rPr>
        <w:t>baseline</w:t>
      </w:r>
      <w:r w:rsidR="002D4DB1">
        <w:rPr>
          <w:rFonts w:ascii="Times New Roman" w:hAnsi="Times New Roman"/>
          <w:sz w:val="24"/>
          <w:szCs w:val="24"/>
        </w:rPr>
        <w:t>)</w:t>
      </w:r>
      <w:r w:rsidRPr="006C3B63" w:rsidR="004D3025">
        <w:rPr>
          <w:rFonts w:ascii="Times New Roman" w:hAnsi="Times New Roman"/>
          <w:sz w:val="24"/>
          <w:szCs w:val="24"/>
        </w:rPr>
        <w:t xml:space="preserve"> and </w:t>
      </w:r>
      <w:r w:rsidR="002D4DB1">
        <w:rPr>
          <w:rFonts w:ascii="Times New Roman" w:hAnsi="Times New Roman"/>
          <w:sz w:val="24"/>
          <w:szCs w:val="24"/>
        </w:rPr>
        <w:t xml:space="preserve">month </w:t>
      </w:r>
      <w:r w:rsidR="001B125B">
        <w:rPr>
          <w:rFonts w:ascii="Times New Roman" w:hAnsi="Times New Roman"/>
          <w:sz w:val="24"/>
          <w:szCs w:val="24"/>
        </w:rPr>
        <w:t>9</w:t>
      </w:r>
      <w:r w:rsidR="002D4DB1">
        <w:rPr>
          <w:rFonts w:ascii="Times New Roman" w:hAnsi="Times New Roman"/>
          <w:sz w:val="24"/>
          <w:szCs w:val="24"/>
        </w:rPr>
        <w:t xml:space="preserve"> (</w:t>
      </w:r>
      <w:r w:rsidR="00B64FCA">
        <w:rPr>
          <w:rFonts w:ascii="Times New Roman" w:hAnsi="Times New Roman"/>
          <w:sz w:val="24"/>
          <w:szCs w:val="24"/>
        </w:rPr>
        <w:t>endline</w:t>
      </w:r>
      <w:r w:rsidR="002D4DB1">
        <w:rPr>
          <w:rFonts w:ascii="Times New Roman" w:hAnsi="Times New Roman"/>
          <w:sz w:val="24"/>
          <w:szCs w:val="24"/>
        </w:rPr>
        <w:t>)</w:t>
      </w:r>
      <w:r w:rsidRPr="006C3B63" w:rsidR="004D3025">
        <w:rPr>
          <w:rFonts w:ascii="Times New Roman" w:hAnsi="Times New Roman"/>
          <w:sz w:val="24"/>
          <w:szCs w:val="24"/>
        </w:rPr>
        <w:t xml:space="preserve"> to measure changes in units’ HAI prevention processes.</w:t>
      </w:r>
    </w:p>
    <w:p w:rsidR="004D3025" w:rsidP="001A31BE" w14:paraId="6CED70FD" w14:textId="499F2EF2">
      <w:pPr>
        <w:pStyle w:val="ListParagraph"/>
        <w:numPr>
          <w:ilvl w:val="0"/>
          <w:numId w:val="8"/>
        </w:numPr>
        <w:rPr>
          <w:rFonts w:ascii="Times New Roman" w:hAnsi="Times New Roman"/>
          <w:sz w:val="24"/>
          <w:szCs w:val="24"/>
        </w:rPr>
      </w:pPr>
      <w:r w:rsidRPr="004D3025">
        <w:rPr>
          <w:rFonts w:ascii="Times New Roman" w:hAnsi="Times New Roman"/>
          <w:b/>
          <w:bCs/>
          <w:sz w:val="24"/>
          <w:szCs w:val="24"/>
        </w:rPr>
        <w:t>CUSP Device Rounds</w:t>
      </w:r>
      <w:r>
        <w:rPr>
          <w:rFonts w:ascii="Times New Roman" w:hAnsi="Times New Roman"/>
          <w:b/>
          <w:bCs/>
          <w:sz w:val="24"/>
          <w:szCs w:val="24"/>
        </w:rPr>
        <w:t xml:space="preserve">. </w:t>
      </w:r>
      <w:r w:rsidRPr="006C3B63">
        <w:rPr>
          <w:rFonts w:ascii="Times New Roman" w:hAnsi="Times New Roman"/>
          <w:sz w:val="24"/>
          <w:szCs w:val="24"/>
        </w:rPr>
        <w:t xml:space="preserve">Each </w:t>
      </w:r>
      <w:r w:rsidR="007D32F6">
        <w:rPr>
          <w:rFonts w:ascii="Times New Roman" w:hAnsi="Times New Roman"/>
          <w:sz w:val="24"/>
          <w:szCs w:val="24"/>
        </w:rPr>
        <w:t xml:space="preserve">units’ </w:t>
      </w:r>
      <w:r w:rsidR="00E032A6">
        <w:rPr>
          <w:rFonts w:ascii="Times New Roman" w:hAnsi="Times New Roman"/>
          <w:sz w:val="24"/>
          <w:szCs w:val="24"/>
        </w:rPr>
        <w:t>CUSP staff wi</w:t>
      </w:r>
      <w:r w:rsidR="001B0BEE">
        <w:rPr>
          <w:rFonts w:ascii="Times New Roman" w:hAnsi="Times New Roman"/>
          <w:sz w:val="24"/>
          <w:szCs w:val="24"/>
        </w:rPr>
        <w:t>ll</w:t>
      </w:r>
      <w:r w:rsidR="00E032A6">
        <w:rPr>
          <w:rFonts w:ascii="Times New Roman" w:hAnsi="Times New Roman"/>
          <w:sz w:val="24"/>
          <w:szCs w:val="24"/>
        </w:rPr>
        <w:t xml:space="preserve"> collaborate with </w:t>
      </w:r>
      <w:r w:rsidR="00823D07">
        <w:rPr>
          <w:rFonts w:ascii="Times New Roman" w:hAnsi="Times New Roman"/>
          <w:sz w:val="24"/>
          <w:szCs w:val="24"/>
        </w:rPr>
        <w:t>an</w:t>
      </w:r>
      <w:r w:rsidRPr="006C3B63">
        <w:rPr>
          <w:rFonts w:ascii="Times New Roman" w:hAnsi="Times New Roman"/>
          <w:sz w:val="24"/>
          <w:szCs w:val="24"/>
        </w:rPr>
        <w:t xml:space="preserve"> infection preventionist </w:t>
      </w:r>
      <w:r w:rsidR="001B0BEE">
        <w:rPr>
          <w:rFonts w:ascii="Times New Roman" w:hAnsi="Times New Roman"/>
          <w:sz w:val="24"/>
          <w:szCs w:val="24"/>
        </w:rPr>
        <w:t>to</w:t>
      </w:r>
      <w:r w:rsidRPr="006C3B63">
        <w:rPr>
          <w:rFonts w:ascii="Times New Roman" w:hAnsi="Times New Roman"/>
          <w:sz w:val="24"/>
          <w:szCs w:val="24"/>
        </w:rPr>
        <w:t xml:space="preserve"> complete</w:t>
      </w:r>
      <w:r w:rsidR="005064D2">
        <w:rPr>
          <w:rFonts w:ascii="Times New Roman" w:hAnsi="Times New Roman"/>
          <w:sz w:val="24"/>
          <w:szCs w:val="24"/>
        </w:rPr>
        <w:t xml:space="preserve"> </w:t>
      </w:r>
      <w:r w:rsidR="00D020CF">
        <w:rPr>
          <w:rFonts w:ascii="Times New Roman" w:hAnsi="Times New Roman"/>
          <w:sz w:val="24"/>
          <w:szCs w:val="24"/>
        </w:rPr>
        <w:t xml:space="preserve">this assessment </w:t>
      </w:r>
      <w:r w:rsidR="00AC4A7E">
        <w:rPr>
          <w:rFonts w:ascii="Times New Roman" w:hAnsi="Times New Roman"/>
          <w:sz w:val="24"/>
          <w:szCs w:val="24"/>
        </w:rPr>
        <w:t>once</w:t>
      </w:r>
      <w:r w:rsidR="009856EF">
        <w:rPr>
          <w:rFonts w:ascii="Times New Roman" w:hAnsi="Times New Roman"/>
          <w:sz w:val="24"/>
          <w:szCs w:val="24"/>
        </w:rPr>
        <w:t xml:space="preserve"> a month </w:t>
      </w:r>
      <w:r w:rsidR="00F36F45">
        <w:rPr>
          <w:rFonts w:ascii="Times New Roman" w:hAnsi="Times New Roman"/>
          <w:sz w:val="24"/>
          <w:szCs w:val="24"/>
        </w:rPr>
        <w:t>to</w:t>
      </w:r>
      <w:r w:rsidR="00793B9B">
        <w:rPr>
          <w:rFonts w:ascii="Times New Roman" w:hAnsi="Times New Roman"/>
          <w:sz w:val="24"/>
          <w:szCs w:val="24"/>
        </w:rPr>
        <w:t xml:space="preserve"> </w:t>
      </w:r>
      <w:r w:rsidR="00D43D2E">
        <w:rPr>
          <w:rFonts w:ascii="Times New Roman" w:hAnsi="Times New Roman"/>
          <w:sz w:val="24"/>
          <w:szCs w:val="24"/>
        </w:rPr>
        <w:t xml:space="preserve">collect data </w:t>
      </w:r>
      <w:r w:rsidR="00795012">
        <w:rPr>
          <w:rFonts w:ascii="Times New Roman" w:hAnsi="Times New Roman"/>
          <w:sz w:val="24"/>
          <w:szCs w:val="24"/>
        </w:rPr>
        <w:t xml:space="preserve">on participating units’ </w:t>
      </w:r>
      <w:r w:rsidR="007B7BEB">
        <w:rPr>
          <w:rFonts w:ascii="Times New Roman" w:hAnsi="Times New Roman"/>
          <w:sz w:val="24"/>
          <w:szCs w:val="24"/>
        </w:rPr>
        <w:t>use of best practices</w:t>
      </w:r>
      <w:r w:rsidR="002D5AC9">
        <w:rPr>
          <w:rFonts w:ascii="Times New Roman" w:hAnsi="Times New Roman"/>
          <w:sz w:val="24"/>
          <w:szCs w:val="24"/>
        </w:rPr>
        <w:t xml:space="preserve"> in device-associated </w:t>
      </w:r>
      <w:r w:rsidR="006C7DDB">
        <w:rPr>
          <w:rFonts w:ascii="Times New Roman" w:hAnsi="Times New Roman"/>
          <w:sz w:val="24"/>
          <w:szCs w:val="24"/>
        </w:rPr>
        <w:t>HAI prevention.</w:t>
      </w:r>
    </w:p>
    <w:p w:rsidR="004D3025" w:rsidP="001A31BE" w14:paraId="634F1F11" w14:textId="7457EC26">
      <w:pPr>
        <w:pStyle w:val="ListParagraph"/>
        <w:numPr>
          <w:ilvl w:val="0"/>
          <w:numId w:val="8"/>
        </w:numPr>
        <w:rPr>
          <w:rFonts w:ascii="Times New Roman" w:hAnsi="Times New Roman"/>
          <w:sz w:val="24"/>
          <w:szCs w:val="24"/>
        </w:rPr>
      </w:pPr>
      <w:r w:rsidRPr="002358FC">
        <w:rPr>
          <w:rFonts w:ascii="Times New Roman" w:hAnsi="Times New Roman"/>
          <w:b/>
          <w:bCs/>
          <w:sz w:val="24"/>
          <w:szCs w:val="24"/>
        </w:rPr>
        <w:t>Self-Reported Changes in HAI Rates</w:t>
      </w:r>
      <w:r w:rsidR="008C5B4E">
        <w:rPr>
          <w:rFonts w:ascii="Times New Roman" w:hAnsi="Times New Roman"/>
          <w:b/>
          <w:bCs/>
          <w:sz w:val="24"/>
          <w:szCs w:val="24"/>
        </w:rPr>
        <w:t xml:space="preserve"> and HAI Prevention Processes</w:t>
      </w:r>
      <w:r>
        <w:rPr>
          <w:rFonts w:ascii="Times New Roman" w:hAnsi="Times New Roman"/>
          <w:b/>
          <w:bCs/>
          <w:sz w:val="24"/>
          <w:szCs w:val="24"/>
        </w:rPr>
        <w:t xml:space="preserve">. </w:t>
      </w:r>
      <w:r w:rsidR="007702E3">
        <w:rPr>
          <w:rFonts w:ascii="Times New Roman" w:hAnsi="Times New Roman"/>
          <w:sz w:val="24"/>
          <w:szCs w:val="24"/>
        </w:rPr>
        <w:t xml:space="preserve">Each unit </w:t>
      </w:r>
      <w:r w:rsidR="00A4032C">
        <w:rPr>
          <w:rFonts w:ascii="Times New Roman" w:hAnsi="Times New Roman"/>
          <w:sz w:val="24"/>
          <w:szCs w:val="24"/>
        </w:rPr>
        <w:t xml:space="preserve">lead and infection preventionist will </w:t>
      </w:r>
      <w:r w:rsidR="00DD46F2">
        <w:rPr>
          <w:rFonts w:ascii="Times New Roman" w:hAnsi="Times New Roman"/>
          <w:sz w:val="24"/>
          <w:szCs w:val="24"/>
        </w:rPr>
        <w:t xml:space="preserve">collaboratively </w:t>
      </w:r>
      <w:r w:rsidR="00A4032C">
        <w:rPr>
          <w:rFonts w:ascii="Times New Roman" w:hAnsi="Times New Roman"/>
          <w:sz w:val="24"/>
          <w:szCs w:val="24"/>
        </w:rPr>
        <w:t xml:space="preserve">complete this </w:t>
      </w:r>
      <w:r w:rsidRPr="006C3B63">
        <w:rPr>
          <w:rFonts w:ascii="Times New Roman" w:hAnsi="Times New Roman"/>
          <w:sz w:val="24"/>
          <w:szCs w:val="24"/>
        </w:rPr>
        <w:t xml:space="preserve">assessment post-implementation </w:t>
      </w:r>
      <w:r w:rsidR="008B5CAF">
        <w:rPr>
          <w:rFonts w:ascii="Times New Roman" w:hAnsi="Times New Roman"/>
          <w:sz w:val="24"/>
          <w:szCs w:val="24"/>
        </w:rPr>
        <w:t xml:space="preserve">within the Gap Analysis </w:t>
      </w:r>
      <w:r w:rsidRPr="006C3B63">
        <w:rPr>
          <w:rFonts w:ascii="Times New Roman" w:hAnsi="Times New Roman"/>
          <w:sz w:val="24"/>
          <w:szCs w:val="24"/>
        </w:rPr>
        <w:t>to assess units’ change in HAI rates</w:t>
      </w:r>
      <w:r w:rsidR="008C5B4E">
        <w:rPr>
          <w:rFonts w:ascii="Times New Roman" w:hAnsi="Times New Roman"/>
          <w:sz w:val="24"/>
          <w:szCs w:val="24"/>
        </w:rPr>
        <w:t xml:space="preserve"> and </w:t>
      </w:r>
      <w:r w:rsidR="003025DE">
        <w:rPr>
          <w:rFonts w:ascii="Times New Roman" w:hAnsi="Times New Roman"/>
          <w:sz w:val="24"/>
          <w:szCs w:val="24"/>
        </w:rPr>
        <w:t>HAI prevention processes</w:t>
      </w:r>
      <w:r w:rsidRPr="006C3B63">
        <w:rPr>
          <w:rFonts w:ascii="Times New Roman" w:hAnsi="Times New Roman"/>
          <w:sz w:val="24"/>
          <w:szCs w:val="24"/>
        </w:rPr>
        <w:t>.</w:t>
      </w:r>
    </w:p>
    <w:p w:rsidR="004757A4" w:rsidRPr="00BC4213" w:rsidP="001A31BE" w14:paraId="0CCC6F1D" w14:textId="13143DB5">
      <w:pPr>
        <w:pStyle w:val="ListParagraph"/>
        <w:numPr>
          <w:ilvl w:val="0"/>
          <w:numId w:val="8"/>
        </w:numPr>
        <w:rPr>
          <w:rFonts w:ascii="Times New Roman" w:hAnsi="Times New Roman"/>
          <w:sz w:val="24"/>
          <w:szCs w:val="24"/>
        </w:rPr>
      </w:pPr>
      <w:r>
        <w:rPr>
          <w:rFonts w:ascii="Times New Roman" w:hAnsi="Times New Roman"/>
          <w:b/>
          <w:bCs/>
          <w:sz w:val="24"/>
          <w:szCs w:val="24"/>
        </w:rPr>
        <w:t>Clinical Outcomes Data</w:t>
      </w:r>
      <w:r w:rsidRPr="001763C5" w:rsidR="001763C5">
        <w:rPr>
          <w:rFonts w:ascii="Times New Roman" w:hAnsi="Times New Roman"/>
          <w:b/>
          <w:bCs/>
          <w:sz w:val="24"/>
          <w:szCs w:val="24"/>
        </w:rPr>
        <w:t xml:space="preserve"> (National Health Safety Network [NHSN] or </w:t>
      </w:r>
      <w:r w:rsidR="00AE21A2">
        <w:rPr>
          <w:rFonts w:ascii="Times New Roman" w:hAnsi="Times New Roman"/>
          <w:b/>
          <w:bCs/>
          <w:sz w:val="24"/>
          <w:szCs w:val="24"/>
        </w:rPr>
        <w:t>EHRs</w:t>
      </w:r>
      <w:r w:rsidRPr="001763C5" w:rsidR="001763C5">
        <w:rPr>
          <w:rFonts w:ascii="Times New Roman" w:hAnsi="Times New Roman"/>
          <w:b/>
          <w:bCs/>
          <w:sz w:val="24"/>
          <w:szCs w:val="24"/>
        </w:rPr>
        <w:t>)</w:t>
      </w:r>
      <w:r w:rsidR="001763C5">
        <w:rPr>
          <w:rFonts w:ascii="Times New Roman" w:hAnsi="Times New Roman"/>
          <w:b/>
          <w:bCs/>
          <w:sz w:val="24"/>
          <w:szCs w:val="24"/>
        </w:rPr>
        <w:t>.</w:t>
      </w:r>
      <w:r w:rsidR="00CE4F5B">
        <w:rPr>
          <w:rFonts w:ascii="Times New Roman" w:hAnsi="Times New Roman"/>
          <w:b/>
          <w:bCs/>
          <w:sz w:val="24"/>
          <w:szCs w:val="24"/>
        </w:rPr>
        <w:t xml:space="preserve"> </w:t>
      </w:r>
      <w:r w:rsidRPr="00CE4F5B" w:rsidR="00CE4F5B">
        <w:rPr>
          <w:rFonts w:ascii="Times New Roman" w:hAnsi="Times New Roman"/>
          <w:sz w:val="24"/>
          <w:szCs w:val="24"/>
        </w:rPr>
        <w:t>P</w:t>
      </w:r>
      <w:r w:rsidRPr="00441B8C" w:rsidR="00441B8C">
        <w:rPr>
          <w:rFonts w:ascii="Times New Roman" w:hAnsi="Times New Roman"/>
          <w:sz w:val="24"/>
          <w:szCs w:val="24"/>
        </w:rPr>
        <w:t xml:space="preserve">articipating units </w:t>
      </w:r>
      <w:r w:rsidR="00CE4F5B">
        <w:rPr>
          <w:rFonts w:ascii="Times New Roman" w:hAnsi="Times New Roman"/>
          <w:sz w:val="24"/>
          <w:szCs w:val="24"/>
        </w:rPr>
        <w:t>will</w:t>
      </w:r>
      <w:r w:rsidRPr="00441B8C" w:rsidR="00441B8C">
        <w:rPr>
          <w:rFonts w:ascii="Times New Roman" w:hAnsi="Times New Roman"/>
          <w:sz w:val="24"/>
          <w:szCs w:val="24"/>
        </w:rPr>
        <w:t xml:space="preserve"> </w:t>
      </w:r>
      <w:r w:rsidR="00FF1C71">
        <w:rPr>
          <w:rFonts w:ascii="Times New Roman" w:hAnsi="Times New Roman"/>
          <w:sz w:val="24"/>
          <w:szCs w:val="24"/>
        </w:rPr>
        <w:t>retrospectively</w:t>
      </w:r>
      <w:r w:rsidRPr="00441B8C" w:rsidR="00441B8C">
        <w:rPr>
          <w:rFonts w:ascii="Times New Roman" w:hAnsi="Times New Roman"/>
          <w:sz w:val="24"/>
          <w:szCs w:val="24"/>
        </w:rPr>
        <w:t xml:space="preserve"> provide 12 months of </w:t>
      </w:r>
      <w:r w:rsidR="006D33C6">
        <w:rPr>
          <w:rFonts w:ascii="Times New Roman" w:hAnsi="Times New Roman"/>
          <w:sz w:val="24"/>
          <w:szCs w:val="24"/>
        </w:rPr>
        <w:t>pre-implementation</w:t>
      </w:r>
      <w:r w:rsidRPr="00441B8C" w:rsidR="00441B8C">
        <w:rPr>
          <w:rFonts w:ascii="Times New Roman" w:hAnsi="Times New Roman"/>
          <w:sz w:val="24"/>
          <w:szCs w:val="24"/>
        </w:rPr>
        <w:t xml:space="preserve"> clinical outcomes data and monthly clinical outcomes data during</w:t>
      </w:r>
      <w:r w:rsidRPr="00441B8C" w:rsidR="00441B8C">
        <w:rPr>
          <w:rFonts w:ascii="Times New Roman" w:hAnsi="Times New Roman"/>
          <w:b/>
          <w:bCs/>
          <w:sz w:val="24"/>
          <w:szCs w:val="24"/>
        </w:rPr>
        <w:t xml:space="preserve"> </w:t>
      </w:r>
      <w:r w:rsidRPr="00441B8C" w:rsidR="00441B8C">
        <w:rPr>
          <w:rFonts w:ascii="Times New Roman" w:hAnsi="Times New Roman"/>
          <w:sz w:val="24"/>
          <w:szCs w:val="24"/>
        </w:rPr>
        <w:t xml:space="preserve">implementation (months </w:t>
      </w:r>
      <w:r w:rsidR="00A448D8">
        <w:rPr>
          <w:rFonts w:ascii="Times New Roman" w:hAnsi="Times New Roman"/>
          <w:sz w:val="24"/>
          <w:szCs w:val="24"/>
        </w:rPr>
        <w:t>1</w:t>
      </w:r>
      <w:r w:rsidRPr="00441B8C" w:rsidR="00441B8C">
        <w:rPr>
          <w:rFonts w:ascii="Times New Roman" w:hAnsi="Times New Roman"/>
          <w:sz w:val="24"/>
          <w:szCs w:val="24"/>
        </w:rPr>
        <w:t xml:space="preserve"> through </w:t>
      </w:r>
      <w:r w:rsidR="00A448D8">
        <w:rPr>
          <w:rFonts w:ascii="Times New Roman" w:hAnsi="Times New Roman"/>
          <w:sz w:val="24"/>
          <w:szCs w:val="24"/>
        </w:rPr>
        <w:t>9</w:t>
      </w:r>
      <w:r w:rsidRPr="00441B8C" w:rsidR="00441B8C">
        <w:rPr>
          <w:rFonts w:ascii="Times New Roman" w:hAnsi="Times New Roman"/>
          <w:sz w:val="24"/>
          <w:szCs w:val="24"/>
        </w:rPr>
        <w:t>).</w:t>
      </w:r>
      <w:r w:rsidR="0067372D">
        <w:rPr>
          <w:rFonts w:ascii="Times New Roman" w:hAnsi="Times New Roman"/>
          <w:sz w:val="24"/>
          <w:szCs w:val="24"/>
        </w:rPr>
        <w:t xml:space="preserve"> </w:t>
      </w:r>
      <w:r w:rsidRPr="0067372D" w:rsidR="0067372D">
        <w:rPr>
          <w:rFonts w:ascii="Times New Roman" w:hAnsi="Times New Roman"/>
          <w:sz w:val="24"/>
          <w:szCs w:val="24"/>
        </w:rPr>
        <w:t xml:space="preserve">Infection </w:t>
      </w:r>
      <w:r w:rsidR="00CA65A8">
        <w:rPr>
          <w:rFonts w:ascii="Times New Roman" w:hAnsi="Times New Roman"/>
          <w:sz w:val="24"/>
          <w:szCs w:val="24"/>
        </w:rPr>
        <w:t>P</w:t>
      </w:r>
      <w:r w:rsidRPr="0067372D" w:rsidR="0067372D">
        <w:rPr>
          <w:rFonts w:ascii="Times New Roman" w:hAnsi="Times New Roman"/>
          <w:sz w:val="24"/>
          <w:szCs w:val="24"/>
        </w:rPr>
        <w:t xml:space="preserve">revention and </w:t>
      </w:r>
      <w:r w:rsidR="00CA65A8">
        <w:rPr>
          <w:rFonts w:ascii="Times New Roman" w:hAnsi="Times New Roman"/>
          <w:sz w:val="24"/>
          <w:szCs w:val="24"/>
        </w:rPr>
        <w:t>C</w:t>
      </w:r>
      <w:r w:rsidRPr="0067372D" w:rsidR="0067372D">
        <w:rPr>
          <w:rFonts w:ascii="Times New Roman" w:hAnsi="Times New Roman"/>
          <w:sz w:val="24"/>
          <w:szCs w:val="24"/>
        </w:rPr>
        <w:t xml:space="preserve">ontrol </w:t>
      </w:r>
      <w:r w:rsidR="00CA65A8">
        <w:rPr>
          <w:rFonts w:ascii="Times New Roman" w:hAnsi="Times New Roman"/>
          <w:sz w:val="24"/>
          <w:szCs w:val="24"/>
        </w:rPr>
        <w:t>P</w:t>
      </w:r>
      <w:r w:rsidRPr="0067372D" w:rsidR="0067372D">
        <w:rPr>
          <w:rFonts w:ascii="Times New Roman" w:hAnsi="Times New Roman"/>
          <w:sz w:val="24"/>
          <w:szCs w:val="24"/>
        </w:rPr>
        <w:t>rograms</w:t>
      </w:r>
      <w:r w:rsidR="00ED4560">
        <w:rPr>
          <w:rFonts w:ascii="Times New Roman" w:hAnsi="Times New Roman"/>
          <w:sz w:val="24"/>
          <w:szCs w:val="24"/>
        </w:rPr>
        <w:t xml:space="preserve"> (IPCs)</w:t>
      </w:r>
      <w:r w:rsidRPr="0067372D" w:rsidR="0067372D">
        <w:rPr>
          <w:rFonts w:ascii="Times New Roman" w:hAnsi="Times New Roman"/>
          <w:sz w:val="24"/>
          <w:szCs w:val="24"/>
        </w:rPr>
        <w:t xml:space="preserve"> at participating units will report </w:t>
      </w:r>
      <w:r w:rsidR="0075307C">
        <w:rPr>
          <w:rFonts w:ascii="Times New Roman" w:hAnsi="Times New Roman"/>
          <w:sz w:val="24"/>
          <w:szCs w:val="24"/>
        </w:rPr>
        <w:t xml:space="preserve">pre-implementation </w:t>
      </w:r>
      <w:r w:rsidR="006561EE">
        <w:rPr>
          <w:rFonts w:ascii="Times New Roman" w:hAnsi="Times New Roman"/>
          <w:sz w:val="24"/>
          <w:szCs w:val="24"/>
        </w:rPr>
        <w:t>data once</w:t>
      </w:r>
      <w:r w:rsidR="00A60AD1">
        <w:rPr>
          <w:rFonts w:ascii="Times New Roman" w:hAnsi="Times New Roman"/>
          <w:sz w:val="24"/>
          <w:szCs w:val="24"/>
        </w:rPr>
        <w:t xml:space="preserve"> and implementation data on a quarterly basis</w:t>
      </w:r>
      <w:r w:rsidRPr="0067372D" w:rsidR="0067372D">
        <w:rPr>
          <w:rFonts w:ascii="Times New Roman" w:hAnsi="Times New Roman"/>
          <w:sz w:val="24"/>
          <w:szCs w:val="24"/>
        </w:rPr>
        <w:t>.</w:t>
      </w:r>
    </w:p>
    <w:p w:rsidR="00F72EE0" w:rsidP="001A31BE" w14:paraId="0CFC7882" w14:textId="03F288DB">
      <w:pPr>
        <w:pStyle w:val="ListParagraph"/>
        <w:numPr>
          <w:ilvl w:val="1"/>
          <w:numId w:val="8"/>
        </w:numPr>
        <w:rPr>
          <w:rFonts w:ascii="Times New Roman" w:hAnsi="Times New Roman"/>
          <w:sz w:val="24"/>
          <w:szCs w:val="24"/>
        </w:rPr>
      </w:pPr>
      <w:r>
        <w:rPr>
          <w:rFonts w:ascii="Times New Roman" w:hAnsi="Times New Roman"/>
          <w:b/>
          <w:bCs/>
          <w:sz w:val="24"/>
          <w:szCs w:val="24"/>
        </w:rPr>
        <w:t xml:space="preserve">NHSN data. </w:t>
      </w:r>
      <w:r w:rsidRPr="00A411B5" w:rsidR="00A411B5">
        <w:rPr>
          <w:rFonts w:ascii="Times New Roman" w:hAnsi="Times New Roman"/>
          <w:sz w:val="24"/>
          <w:szCs w:val="24"/>
        </w:rPr>
        <w:t xml:space="preserve">For </w:t>
      </w:r>
      <w:r w:rsidR="0076236A">
        <w:rPr>
          <w:rFonts w:ascii="Times New Roman" w:hAnsi="Times New Roman"/>
          <w:sz w:val="24"/>
          <w:szCs w:val="24"/>
        </w:rPr>
        <w:t>clinical outcomes data</w:t>
      </w:r>
      <w:r w:rsidRPr="00A411B5" w:rsidR="00A411B5">
        <w:rPr>
          <w:rFonts w:ascii="Times New Roman" w:hAnsi="Times New Roman"/>
          <w:sz w:val="24"/>
          <w:szCs w:val="24"/>
        </w:rPr>
        <w:t xml:space="preserve">, participating hospitals can confer rights to their NHSN data to the </w:t>
      </w:r>
      <w:r w:rsidR="00AB58B1">
        <w:rPr>
          <w:rFonts w:ascii="Times New Roman" w:hAnsi="Times New Roman"/>
          <w:sz w:val="24"/>
          <w:szCs w:val="24"/>
        </w:rPr>
        <w:t xml:space="preserve">AHRQ </w:t>
      </w:r>
      <w:r w:rsidR="00E764CC">
        <w:rPr>
          <w:rFonts w:ascii="Times New Roman" w:hAnsi="Times New Roman"/>
          <w:sz w:val="24"/>
          <w:szCs w:val="24"/>
        </w:rPr>
        <w:t>Safety Program for HAI Prevention</w:t>
      </w:r>
      <w:r w:rsidRPr="00A411B5" w:rsidR="00A411B5">
        <w:rPr>
          <w:rFonts w:ascii="Times New Roman" w:hAnsi="Times New Roman"/>
          <w:sz w:val="24"/>
          <w:szCs w:val="24"/>
        </w:rPr>
        <w:t xml:space="preserve"> Group. Any entity, such as </w:t>
      </w:r>
      <w:r w:rsidR="00CC5537">
        <w:rPr>
          <w:rFonts w:ascii="Times New Roman" w:hAnsi="Times New Roman"/>
          <w:sz w:val="24"/>
          <w:szCs w:val="24"/>
        </w:rPr>
        <w:t xml:space="preserve">a hospital or </w:t>
      </w:r>
      <w:r w:rsidRPr="00A411B5" w:rsidR="00A411B5">
        <w:rPr>
          <w:rFonts w:ascii="Times New Roman" w:hAnsi="Times New Roman"/>
          <w:sz w:val="24"/>
          <w:szCs w:val="24"/>
        </w:rPr>
        <w:t xml:space="preserve">hospital systems, can maintain a Group in NHSN. These entities can share data with partners and agencies, such as the </w:t>
      </w:r>
      <w:r w:rsidR="00AB58B1">
        <w:rPr>
          <w:rFonts w:ascii="Times New Roman" w:hAnsi="Times New Roman"/>
          <w:sz w:val="24"/>
          <w:szCs w:val="24"/>
        </w:rPr>
        <w:t>AHRQ Safety Program for HAI Prevention</w:t>
      </w:r>
      <w:r w:rsidRPr="00A411B5" w:rsidR="00A411B5">
        <w:rPr>
          <w:rFonts w:ascii="Times New Roman" w:hAnsi="Times New Roman"/>
          <w:sz w:val="24"/>
          <w:szCs w:val="24"/>
        </w:rPr>
        <w:t xml:space="preserve">, using NHSN’s Group function. These hospitals can join Groups and provide access to data requested by the Group within the NHSN application. After sites confer rights and join the </w:t>
      </w:r>
      <w:r w:rsidR="00AB58B1">
        <w:rPr>
          <w:rFonts w:ascii="Times New Roman" w:hAnsi="Times New Roman"/>
          <w:sz w:val="24"/>
          <w:szCs w:val="24"/>
        </w:rPr>
        <w:t xml:space="preserve">AHRQ </w:t>
      </w:r>
      <w:r w:rsidR="00E764CC">
        <w:rPr>
          <w:rFonts w:ascii="Times New Roman" w:hAnsi="Times New Roman"/>
          <w:sz w:val="24"/>
          <w:szCs w:val="24"/>
        </w:rPr>
        <w:t>Safety Program for HAI Prevention</w:t>
      </w:r>
      <w:r w:rsidR="00AE21A2">
        <w:rPr>
          <w:rFonts w:ascii="Times New Roman" w:hAnsi="Times New Roman"/>
          <w:sz w:val="24"/>
          <w:szCs w:val="24"/>
        </w:rPr>
        <w:t xml:space="preserve"> </w:t>
      </w:r>
      <w:r w:rsidRPr="00A411B5" w:rsidR="00A411B5">
        <w:rPr>
          <w:rFonts w:ascii="Times New Roman" w:hAnsi="Times New Roman"/>
          <w:sz w:val="24"/>
          <w:szCs w:val="24"/>
        </w:rPr>
        <w:t xml:space="preserve">Group in NHSN, they will not need to take any further action. The data they submit to NHSN will automatically become available to the </w:t>
      </w:r>
      <w:r w:rsidR="00AB58B1">
        <w:rPr>
          <w:rFonts w:ascii="Times New Roman" w:hAnsi="Times New Roman"/>
          <w:sz w:val="24"/>
          <w:szCs w:val="24"/>
        </w:rPr>
        <w:t xml:space="preserve">AHRQ </w:t>
      </w:r>
      <w:r w:rsidR="00E764CC">
        <w:rPr>
          <w:rFonts w:ascii="Times New Roman" w:hAnsi="Times New Roman"/>
          <w:sz w:val="24"/>
          <w:szCs w:val="24"/>
        </w:rPr>
        <w:t>Safety Program for HAI Prevention</w:t>
      </w:r>
      <w:r w:rsidRPr="00A411B5" w:rsidR="00A411B5">
        <w:rPr>
          <w:rFonts w:ascii="Times New Roman" w:hAnsi="Times New Roman"/>
          <w:sz w:val="24"/>
          <w:szCs w:val="24"/>
        </w:rPr>
        <w:t>.</w:t>
      </w:r>
    </w:p>
    <w:p w:rsidR="001763C5" w:rsidP="001A31BE" w14:paraId="5405B5E6" w14:textId="01C4B7D6">
      <w:pPr>
        <w:pStyle w:val="ListParagraph"/>
        <w:numPr>
          <w:ilvl w:val="1"/>
          <w:numId w:val="8"/>
        </w:numPr>
        <w:rPr>
          <w:rFonts w:ascii="Times New Roman" w:hAnsi="Times New Roman"/>
          <w:sz w:val="24"/>
          <w:szCs w:val="24"/>
        </w:rPr>
      </w:pPr>
      <w:r>
        <w:rPr>
          <w:rFonts w:ascii="Times New Roman" w:hAnsi="Times New Roman"/>
          <w:b/>
          <w:bCs/>
          <w:sz w:val="24"/>
          <w:szCs w:val="24"/>
        </w:rPr>
        <w:t xml:space="preserve">EHR data. </w:t>
      </w:r>
      <w:r w:rsidR="00D673C2">
        <w:rPr>
          <w:rFonts w:ascii="Times New Roman" w:hAnsi="Times New Roman"/>
          <w:sz w:val="24"/>
          <w:szCs w:val="24"/>
        </w:rPr>
        <w:t>I</w:t>
      </w:r>
      <w:r w:rsidRPr="00D673C2" w:rsidR="00D673C2">
        <w:rPr>
          <w:rFonts w:ascii="Times New Roman" w:hAnsi="Times New Roman"/>
          <w:sz w:val="24"/>
          <w:szCs w:val="24"/>
        </w:rPr>
        <w:t xml:space="preserve">f a hospital does not report to NHSN or refuses to confer data rights to the </w:t>
      </w:r>
      <w:r w:rsidR="00AB58B1">
        <w:rPr>
          <w:rFonts w:ascii="Times New Roman" w:hAnsi="Times New Roman"/>
          <w:sz w:val="24"/>
          <w:szCs w:val="24"/>
        </w:rPr>
        <w:t xml:space="preserve">AHRQ </w:t>
      </w:r>
      <w:r w:rsidR="00E764CC">
        <w:rPr>
          <w:rFonts w:ascii="Times New Roman" w:hAnsi="Times New Roman"/>
          <w:sz w:val="24"/>
          <w:szCs w:val="24"/>
        </w:rPr>
        <w:t>Safety Program for HAI Prevention</w:t>
      </w:r>
      <w:r w:rsidRPr="00D673C2" w:rsidR="00D673C2">
        <w:rPr>
          <w:rFonts w:ascii="Times New Roman" w:hAnsi="Times New Roman"/>
          <w:sz w:val="24"/>
          <w:szCs w:val="24"/>
        </w:rPr>
        <w:t xml:space="preserve">, </w:t>
      </w:r>
      <w:r w:rsidR="00BA51D3">
        <w:rPr>
          <w:rFonts w:ascii="Times New Roman" w:hAnsi="Times New Roman"/>
          <w:sz w:val="24"/>
          <w:szCs w:val="24"/>
        </w:rPr>
        <w:t xml:space="preserve">the </w:t>
      </w:r>
      <w:r w:rsidR="00F75145">
        <w:rPr>
          <w:rFonts w:ascii="Times New Roman" w:hAnsi="Times New Roman"/>
          <w:sz w:val="24"/>
          <w:szCs w:val="24"/>
        </w:rPr>
        <w:t xml:space="preserve">unit or </w:t>
      </w:r>
      <w:r w:rsidR="00BA51D3">
        <w:rPr>
          <w:rFonts w:ascii="Times New Roman" w:hAnsi="Times New Roman"/>
          <w:sz w:val="24"/>
          <w:szCs w:val="24"/>
        </w:rPr>
        <w:t>hospital</w:t>
      </w:r>
      <w:r w:rsidRPr="00D673C2" w:rsidR="00D673C2">
        <w:rPr>
          <w:rFonts w:ascii="Times New Roman" w:hAnsi="Times New Roman"/>
          <w:sz w:val="24"/>
          <w:szCs w:val="24"/>
        </w:rPr>
        <w:t xml:space="preserve"> </w:t>
      </w:r>
      <w:r w:rsidR="00F75145">
        <w:rPr>
          <w:rFonts w:ascii="Times New Roman" w:hAnsi="Times New Roman"/>
          <w:sz w:val="24"/>
          <w:szCs w:val="24"/>
        </w:rPr>
        <w:t>staff within their IPC</w:t>
      </w:r>
      <w:r w:rsidRPr="00D673C2" w:rsidR="00D673C2">
        <w:rPr>
          <w:rFonts w:ascii="Times New Roman" w:hAnsi="Times New Roman"/>
          <w:sz w:val="24"/>
          <w:szCs w:val="24"/>
        </w:rPr>
        <w:t xml:space="preserve"> can submit these data by extracting them from their EH</w:t>
      </w:r>
      <w:r w:rsidR="00AE21A2">
        <w:rPr>
          <w:rFonts w:ascii="Times New Roman" w:hAnsi="Times New Roman"/>
          <w:sz w:val="24"/>
          <w:szCs w:val="24"/>
        </w:rPr>
        <w:t>R</w:t>
      </w:r>
      <w:r w:rsidRPr="00D673C2" w:rsidR="00D673C2">
        <w:rPr>
          <w:rFonts w:ascii="Times New Roman" w:hAnsi="Times New Roman"/>
          <w:sz w:val="24"/>
          <w:szCs w:val="24"/>
        </w:rPr>
        <w:t xml:space="preserve"> and submitting to the </w:t>
      </w:r>
      <w:r w:rsidR="00BA51D3">
        <w:rPr>
          <w:rFonts w:ascii="Times New Roman" w:hAnsi="Times New Roman"/>
          <w:sz w:val="24"/>
          <w:szCs w:val="24"/>
        </w:rPr>
        <w:t>program</w:t>
      </w:r>
      <w:r w:rsidRPr="00D673C2" w:rsidR="00D673C2">
        <w:rPr>
          <w:rFonts w:ascii="Times New Roman" w:hAnsi="Times New Roman"/>
          <w:sz w:val="24"/>
          <w:szCs w:val="24"/>
        </w:rPr>
        <w:t xml:space="preserve"> directly via </w:t>
      </w:r>
      <w:r w:rsidR="00BA51D3">
        <w:rPr>
          <w:rFonts w:ascii="Times New Roman" w:hAnsi="Times New Roman"/>
          <w:sz w:val="24"/>
          <w:szCs w:val="24"/>
        </w:rPr>
        <w:t>a</w:t>
      </w:r>
      <w:r w:rsidRPr="00D673C2" w:rsidR="00D673C2">
        <w:rPr>
          <w:rFonts w:ascii="Times New Roman" w:hAnsi="Times New Roman"/>
          <w:sz w:val="24"/>
          <w:szCs w:val="24"/>
        </w:rPr>
        <w:t xml:space="preserve"> secure </w:t>
      </w:r>
      <w:r w:rsidR="00BA51D3">
        <w:rPr>
          <w:rFonts w:ascii="Times New Roman" w:hAnsi="Times New Roman"/>
          <w:sz w:val="24"/>
          <w:szCs w:val="24"/>
        </w:rPr>
        <w:t xml:space="preserve">program </w:t>
      </w:r>
      <w:r w:rsidRPr="00D673C2" w:rsidR="00D673C2">
        <w:rPr>
          <w:rFonts w:ascii="Times New Roman" w:hAnsi="Times New Roman"/>
          <w:sz w:val="24"/>
          <w:szCs w:val="24"/>
        </w:rPr>
        <w:t>website portal.</w:t>
      </w:r>
    </w:p>
    <w:p w:rsidR="00F72EE0" w:rsidP="00F72EE0" w14:paraId="6E2DBE96" w14:textId="77777777"/>
    <w:p w:rsidR="00ED61EB" w:rsidP="00F72EE0" w14:paraId="5858EA0B" w14:textId="16296272">
      <w:r>
        <w:t xml:space="preserve">For all cohorts, the </w:t>
      </w:r>
      <w:r w:rsidR="00AB58B1">
        <w:t xml:space="preserve">AHRQ </w:t>
      </w:r>
      <w:r w:rsidR="00E764CC">
        <w:rPr>
          <w:iCs/>
        </w:rPr>
        <w:t>Safety Program for HAI Prevention</w:t>
      </w:r>
      <w:r w:rsidRPr="00F72EE0">
        <w:rPr>
          <w:iCs/>
        </w:rPr>
        <w:t xml:space="preserve"> </w:t>
      </w:r>
      <w:r>
        <w:t xml:space="preserve">will collect the following </w:t>
      </w:r>
      <w:r>
        <w:t>individual</w:t>
      </w:r>
      <w:r>
        <w:t>-level data from all participating units when possible:</w:t>
      </w:r>
    </w:p>
    <w:p w:rsidR="000F5AE9" w:rsidP="001A31BE" w14:paraId="31B0E81C" w14:textId="0ADAF6C1">
      <w:pPr>
        <w:pStyle w:val="ListParagraph"/>
        <w:numPr>
          <w:ilvl w:val="0"/>
          <w:numId w:val="9"/>
        </w:numPr>
        <w:rPr>
          <w:rFonts w:ascii="Times New Roman" w:hAnsi="Times New Roman"/>
          <w:b/>
          <w:bCs/>
          <w:sz w:val="24"/>
          <w:szCs w:val="24"/>
        </w:rPr>
      </w:pPr>
      <w:r>
        <w:rPr>
          <w:rFonts w:ascii="Times New Roman" w:hAnsi="Times New Roman"/>
          <w:b/>
          <w:bCs/>
          <w:sz w:val="24"/>
          <w:szCs w:val="24"/>
        </w:rPr>
        <w:t xml:space="preserve">The </w:t>
      </w:r>
      <w:r w:rsidRPr="000F5AE9" w:rsidR="005D6229">
        <w:rPr>
          <w:rFonts w:ascii="Times New Roman" w:hAnsi="Times New Roman"/>
          <w:b/>
          <w:bCs/>
          <w:sz w:val="24"/>
          <w:szCs w:val="24"/>
        </w:rPr>
        <w:t>Semi-</w:t>
      </w:r>
      <w:r w:rsidR="000F71FB">
        <w:rPr>
          <w:rFonts w:ascii="Times New Roman" w:hAnsi="Times New Roman"/>
          <w:b/>
          <w:bCs/>
          <w:sz w:val="24"/>
          <w:szCs w:val="24"/>
        </w:rPr>
        <w:t>s</w:t>
      </w:r>
      <w:r w:rsidRPr="000F5AE9" w:rsidR="005D6229">
        <w:rPr>
          <w:rFonts w:ascii="Times New Roman" w:hAnsi="Times New Roman"/>
          <w:b/>
          <w:bCs/>
          <w:sz w:val="24"/>
          <w:szCs w:val="24"/>
        </w:rPr>
        <w:t>tructured Interviews</w:t>
      </w:r>
      <w:r>
        <w:rPr>
          <w:rFonts w:ascii="Times New Roman" w:hAnsi="Times New Roman"/>
          <w:b/>
          <w:bCs/>
          <w:sz w:val="24"/>
          <w:szCs w:val="24"/>
        </w:rPr>
        <w:t>.</w:t>
      </w:r>
      <w:r w:rsidRPr="005D6229" w:rsidR="005D6229">
        <w:rPr>
          <w:rFonts w:ascii="Times New Roman" w:hAnsi="Times New Roman"/>
          <w:sz w:val="24"/>
          <w:szCs w:val="24"/>
        </w:rPr>
        <w:t xml:space="preserve"> </w:t>
      </w:r>
      <w:r w:rsidR="005D6229">
        <w:rPr>
          <w:rFonts w:ascii="Times New Roman" w:hAnsi="Times New Roman"/>
          <w:sz w:val="24"/>
          <w:szCs w:val="24"/>
        </w:rPr>
        <w:t>T</w:t>
      </w:r>
      <w:r w:rsidRPr="006C3B63" w:rsidR="005D6229">
        <w:rPr>
          <w:rFonts w:ascii="Times New Roman" w:hAnsi="Times New Roman"/>
          <w:sz w:val="24"/>
          <w:szCs w:val="24"/>
        </w:rPr>
        <w:t xml:space="preserve">he program team will recruit approximately </w:t>
      </w:r>
      <w:r w:rsidR="00DA2102">
        <w:rPr>
          <w:rFonts w:ascii="Times New Roman" w:hAnsi="Times New Roman"/>
          <w:sz w:val="24"/>
          <w:szCs w:val="24"/>
        </w:rPr>
        <w:t>eight</w:t>
      </w:r>
      <w:r w:rsidRPr="006C3B63" w:rsidR="005D6229">
        <w:rPr>
          <w:rFonts w:ascii="Times New Roman" w:hAnsi="Times New Roman"/>
          <w:sz w:val="24"/>
          <w:szCs w:val="24"/>
        </w:rPr>
        <w:t xml:space="preserve"> unit leads and staff at </w:t>
      </w:r>
      <w:r w:rsidR="00DD6C54">
        <w:rPr>
          <w:rFonts w:ascii="Times New Roman" w:hAnsi="Times New Roman"/>
          <w:sz w:val="24"/>
          <w:szCs w:val="24"/>
        </w:rPr>
        <w:t>endline for</w:t>
      </w:r>
      <w:r w:rsidRPr="006C3B63" w:rsidR="005D6229">
        <w:rPr>
          <w:rFonts w:ascii="Times New Roman" w:hAnsi="Times New Roman"/>
          <w:sz w:val="24"/>
          <w:szCs w:val="24"/>
        </w:rPr>
        <w:t xml:space="preserve"> each cohort (24 total participants) to examine participants’ experiences during the program, including use and perceptions of materials, experiences with measurement, and feedback about the program.</w:t>
      </w:r>
    </w:p>
    <w:p w:rsidR="000F5AE9" w:rsidP="006A5596" w14:paraId="093495AA" w14:textId="0F308307">
      <w:pPr>
        <w:pStyle w:val="ListParagraph"/>
        <w:numPr>
          <w:ilvl w:val="0"/>
          <w:numId w:val="9"/>
        </w:numPr>
      </w:pPr>
      <w:r>
        <w:rPr>
          <w:rFonts w:ascii="Times New Roman" w:hAnsi="Times New Roman"/>
          <w:b/>
          <w:bCs/>
          <w:sz w:val="24"/>
          <w:szCs w:val="24"/>
        </w:rPr>
        <w:t>T</w:t>
      </w:r>
      <w:r w:rsidRPr="00ED61EB" w:rsidR="00ED61EB">
        <w:rPr>
          <w:rFonts w:ascii="Times New Roman" w:hAnsi="Times New Roman"/>
          <w:b/>
          <w:bCs/>
          <w:sz w:val="24"/>
          <w:szCs w:val="24"/>
        </w:rPr>
        <w:t>he Hospital Survey on Patient Safety (HSOPS)</w:t>
      </w:r>
      <w:r w:rsidR="00ED61EB">
        <w:rPr>
          <w:rFonts w:ascii="Times New Roman" w:hAnsi="Times New Roman"/>
          <w:b/>
          <w:bCs/>
          <w:sz w:val="24"/>
          <w:szCs w:val="24"/>
        </w:rPr>
        <w:t xml:space="preserve">. </w:t>
      </w:r>
      <w:r w:rsidR="00E66400">
        <w:rPr>
          <w:rFonts w:ascii="Times New Roman" w:hAnsi="Times New Roman"/>
          <w:sz w:val="24"/>
          <w:szCs w:val="24"/>
        </w:rPr>
        <w:t>T</w:t>
      </w:r>
      <w:r w:rsidRPr="006C3B63">
        <w:rPr>
          <w:rFonts w:ascii="Times New Roman" w:hAnsi="Times New Roman"/>
          <w:sz w:val="24"/>
          <w:szCs w:val="24"/>
        </w:rPr>
        <w:t xml:space="preserve">he </w:t>
      </w:r>
      <w:r w:rsidR="00AB58B1">
        <w:rPr>
          <w:rFonts w:ascii="Times New Roman" w:hAnsi="Times New Roman"/>
          <w:sz w:val="24"/>
          <w:szCs w:val="24"/>
        </w:rPr>
        <w:t xml:space="preserve">AHRQ </w:t>
      </w:r>
      <w:r w:rsidR="00E764CC">
        <w:rPr>
          <w:rFonts w:ascii="Times New Roman" w:hAnsi="Times New Roman"/>
          <w:sz w:val="24"/>
          <w:szCs w:val="24"/>
        </w:rPr>
        <w:t>Safety Program for HAI Prevention</w:t>
      </w:r>
      <w:r w:rsidRPr="006C3B63">
        <w:rPr>
          <w:rFonts w:ascii="Times New Roman" w:hAnsi="Times New Roman"/>
          <w:sz w:val="24"/>
          <w:szCs w:val="24"/>
        </w:rPr>
        <w:t xml:space="preserve"> will collect these data from all eligible staff within each participating unit; because unit size varies, the program </w:t>
      </w:r>
      <w:r w:rsidR="00E66400">
        <w:rPr>
          <w:rFonts w:ascii="Times New Roman" w:hAnsi="Times New Roman"/>
          <w:sz w:val="24"/>
          <w:szCs w:val="24"/>
        </w:rPr>
        <w:t xml:space="preserve">team </w:t>
      </w:r>
      <w:r w:rsidRPr="006C3B63">
        <w:rPr>
          <w:rFonts w:ascii="Times New Roman" w:hAnsi="Times New Roman"/>
          <w:sz w:val="24"/>
          <w:szCs w:val="24"/>
        </w:rPr>
        <w:t>estimates the average number of respondents to be 20 per unit.</w:t>
      </w:r>
    </w:p>
    <w:p w:rsidR="07EDD0EA" w:rsidRPr="006C3B63" w:rsidP="07EDD0EA" w14:paraId="4EF99724" w14:textId="0E9274C3"/>
    <w:p w:rsidR="001D5E34" w:rsidP="005F504E" w14:paraId="62BB7226" w14:textId="662A767F">
      <w:r w:rsidRPr="006C3B63">
        <w:rPr>
          <w:b/>
          <w:bCs/>
          <w:i/>
          <w:iCs/>
        </w:rPr>
        <w:t>Response Rates</w:t>
      </w:r>
      <w:r w:rsidRPr="006C3B63" w:rsidR="001278F4">
        <w:rPr>
          <w:b/>
          <w:bCs/>
          <w:i/>
          <w:iCs/>
        </w:rPr>
        <w:t xml:space="preserve">. </w:t>
      </w:r>
      <w:r w:rsidR="004270C8">
        <w:t>The program team</w:t>
      </w:r>
      <w:r w:rsidRPr="006C3B63">
        <w:t xml:space="preserve"> anticipate</w:t>
      </w:r>
      <w:r w:rsidR="004270C8">
        <w:t>s</w:t>
      </w:r>
      <w:r w:rsidRPr="006C3B63">
        <w:t xml:space="preserve"> a </w:t>
      </w:r>
      <w:r w:rsidR="005D3098">
        <w:t xml:space="preserve">variety of </w:t>
      </w:r>
      <w:r w:rsidR="001979EC">
        <w:t xml:space="preserve">cooperation rates </w:t>
      </w:r>
      <w:r w:rsidR="00BA5652">
        <w:t xml:space="preserve">depending on cohort and </w:t>
      </w:r>
      <w:r w:rsidR="00E319B2">
        <w:t>data collection tool</w:t>
      </w:r>
      <w:r w:rsidR="00FE0022">
        <w:t xml:space="preserve">. See </w:t>
      </w:r>
      <w:r w:rsidR="00232D14">
        <w:t xml:space="preserve">Exhibit 1 for a summary </w:t>
      </w:r>
      <w:r w:rsidR="005F504E">
        <w:t xml:space="preserve">on the projected response rates. </w:t>
      </w:r>
    </w:p>
    <w:p w:rsidR="000C38BA" w:rsidRPr="0096314F" w:rsidP="0096314F" w14:paraId="0CAC37AF" w14:textId="293A366B">
      <w:pPr>
        <w:pStyle w:val="Exhibit1"/>
        <w:rPr>
          <w:b w:val="0"/>
          <w:color w:val="8AB3A4"/>
          <w:szCs w:val="24"/>
        </w:rPr>
      </w:pPr>
      <w:r w:rsidRPr="0096314F">
        <w:rPr>
          <w:rStyle w:val="NORCCaption-Color"/>
          <w:rFonts w:ascii="Times New Roman" w:hAnsi="Times New Roman"/>
          <w:b/>
          <w:color w:val="auto"/>
          <w:sz w:val="24"/>
          <w:szCs w:val="24"/>
        </w:rPr>
        <w:t>Exhibit 1:</w:t>
      </w:r>
      <w:r w:rsidRPr="0096314F">
        <w:rPr>
          <w:color w:val="auto"/>
          <w:szCs w:val="24"/>
        </w:rPr>
        <w:t xml:space="preserve"> </w:t>
      </w:r>
      <w:r w:rsidRPr="0096314F">
        <w:rPr>
          <w:b w:val="0"/>
          <w:szCs w:val="24"/>
        </w:rPr>
        <w:t>Response Rate Summary</w:t>
      </w:r>
    </w:p>
    <w:tbl>
      <w:tblPr>
        <w:tblStyle w:val="TableGrid3"/>
        <w:tblW w:w="8635" w:type="dxa"/>
        <w:tblInd w:w="0" w:type="dxa"/>
        <w:tblLook w:val="04A0"/>
      </w:tblPr>
      <w:tblGrid>
        <w:gridCol w:w="1054"/>
        <w:gridCol w:w="1641"/>
        <w:gridCol w:w="5940"/>
      </w:tblGrid>
      <w:tr w14:paraId="692FBF98" w14:textId="77777777" w:rsidTr="0096314F">
        <w:tblPrEx>
          <w:tblW w:w="8635" w:type="dxa"/>
          <w:tblInd w:w="0" w:type="dxa"/>
          <w:tblLook w:val="04A0"/>
        </w:tblPrEx>
        <w:tc>
          <w:tcPr>
            <w:tcW w:w="1054" w:type="dxa"/>
            <w:tcBorders>
              <w:top w:val="single" w:sz="4" w:space="0" w:color="auto"/>
              <w:left w:val="single" w:sz="4" w:space="0" w:color="auto"/>
              <w:bottom w:val="single" w:sz="4" w:space="0" w:color="auto"/>
              <w:right w:val="single" w:sz="4" w:space="0" w:color="auto"/>
            </w:tcBorders>
            <w:hideMark/>
          </w:tcPr>
          <w:p w:rsidR="00202323" w:rsidRPr="0096314F" w:rsidP="00202323" w14:paraId="6ACC22D1" w14:textId="77777777">
            <w:pPr>
              <w:rPr>
                <w:rFonts w:eastAsia="Aptos"/>
                <w:b/>
                <w:bCs/>
                <w:sz w:val="20"/>
                <w:szCs w:val="20"/>
              </w:rPr>
            </w:pPr>
            <w:r w:rsidRPr="0096314F">
              <w:rPr>
                <w:rFonts w:eastAsia="Aptos"/>
                <w:b/>
                <w:bCs/>
                <w:sz w:val="20"/>
                <w:szCs w:val="20"/>
              </w:rPr>
              <w:t>Cohort</w:t>
            </w:r>
          </w:p>
        </w:tc>
        <w:tc>
          <w:tcPr>
            <w:tcW w:w="1641" w:type="dxa"/>
            <w:tcBorders>
              <w:top w:val="single" w:sz="4" w:space="0" w:color="auto"/>
              <w:left w:val="single" w:sz="4" w:space="0" w:color="auto"/>
              <w:bottom w:val="single" w:sz="4" w:space="0" w:color="auto"/>
              <w:right w:val="single" w:sz="4" w:space="0" w:color="auto"/>
            </w:tcBorders>
            <w:hideMark/>
          </w:tcPr>
          <w:p w:rsidR="00202323" w:rsidRPr="0096314F" w:rsidP="00202323" w14:paraId="34608CBC" w14:textId="77777777">
            <w:pPr>
              <w:rPr>
                <w:rFonts w:eastAsia="Aptos"/>
                <w:b/>
                <w:bCs/>
                <w:sz w:val="20"/>
                <w:szCs w:val="20"/>
              </w:rPr>
            </w:pPr>
            <w:r w:rsidRPr="0096314F">
              <w:rPr>
                <w:rFonts w:eastAsia="Aptos"/>
                <w:b/>
                <w:bCs/>
                <w:sz w:val="20"/>
                <w:szCs w:val="20"/>
              </w:rPr>
              <w:t>Median Recruited Units</w:t>
            </w:r>
          </w:p>
        </w:tc>
        <w:tc>
          <w:tcPr>
            <w:tcW w:w="5940" w:type="dxa"/>
            <w:tcBorders>
              <w:top w:val="single" w:sz="4" w:space="0" w:color="auto"/>
              <w:left w:val="single" w:sz="4" w:space="0" w:color="auto"/>
              <w:bottom w:val="single" w:sz="4" w:space="0" w:color="auto"/>
              <w:right w:val="single" w:sz="4" w:space="0" w:color="auto"/>
            </w:tcBorders>
            <w:hideMark/>
          </w:tcPr>
          <w:p w:rsidR="00202323" w:rsidRPr="0096314F" w:rsidP="00202323" w14:paraId="7703D5D8" w14:textId="54874235">
            <w:pPr>
              <w:rPr>
                <w:rFonts w:eastAsia="Aptos"/>
                <w:b/>
                <w:bCs/>
                <w:sz w:val="20"/>
                <w:szCs w:val="20"/>
              </w:rPr>
            </w:pPr>
            <w:r w:rsidRPr="0096314F">
              <w:rPr>
                <w:rFonts w:eastAsia="Aptos"/>
                <w:b/>
                <w:bCs/>
                <w:sz w:val="20"/>
                <w:szCs w:val="20"/>
              </w:rPr>
              <w:t xml:space="preserve">Response Rates for Each </w:t>
            </w:r>
            <w:r w:rsidR="005F504E">
              <w:rPr>
                <w:rFonts w:eastAsia="Aptos"/>
                <w:b/>
                <w:bCs/>
                <w:sz w:val="20"/>
                <w:szCs w:val="20"/>
              </w:rPr>
              <w:t xml:space="preserve">Data </w:t>
            </w:r>
            <w:r w:rsidRPr="0096314F">
              <w:rPr>
                <w:rFonts w:eastAsia="Aptos"/>
                <w:b/>
                <w:bCs/>
                <w:sz w:val="20"/>
                <w:szCs w:val="20"/>
              </w:rPr>
              <w:t>Collection Tool</w:t>
            </w:r>
          </w:p>
        </w:tc>
      </w:tr>
      <w:tr w14:paraId="441ACDE7" w14:textId="77777777" w:rsidTr="0096314F">
        <w:tblPrEx>
          <w:tblW w:w="8635" w:type="dxa"/>
          <w:tblInd w:w="0" w:type="dxa"/>
          <w:tblLook w:val="04A0"/>
        </w:tblPrEx>
        <w:trPr>
          <w:trHeight w:val="1115"/>
        </w:trPr>
        <w:tc>
          <w:tcPr>
            <w:tcW w:w="1054" w:type="dxa"/>
            <w:tcBorders>
              <w:top w:val="single" w:sz="4" w:space="0" w:color="auto"/>
              <w:left w:val="single" w:sz="4" w:space="0" w:color="auto"/>
              <w:bottom w:val="single" w:sz="4" w:space="0" w:color="auto"/>
              <w:right w:val="single" w:sz="4" w:space="0" w:color="auto"/>
            </w:tcBorders>
            <w:hideMark/>
          </w:tcPr>
          <w:p w:rsidR="00202323" w:rsidRPr="0096314F" w:rsidP="00202323" w14:paraId="67D61B6F" w14:textId="77777777">
            <w:pPr>
              <w:rPr>
                <w:rFonts w:eastAsia="Aptos"/>
                <w:b/>
                <w:bCs/>
                <w:sz w:val="20"/>
                <w:szCs w:val="20"/>
              </w:rPr>
            </w:pPr>
            <w:r w:rsidRPr="0096314F">
              <w:rPr>
                <w:rFonts w:eastAsia="Aptos"/>
                <w:b/>
                <w:bCs/>
                <w:sz w:val="20"/>
                <w:szCs w:val="20"/>
              </w:rPr>
              <w:t>CLABSI</w:t>
            </w:r>
          </w:p>
        </w:tc>
        <w:tc>
          <w:tcPr>
            <w:tcW w:w="1641" w:type="dxa"/>
            <w:tcBorders>
              <w:top w:val="single" w:sz="4" w:space="0" w:color="auto"/>
              <w:left w:val="single" w:sz="4" w:space="0" w:color="auto"/>
              <w:bottom w:val="single" w:sz="4" w:space="0" w:color="auto"/>
              <w:right w:val="single" w:sz="4" w:space="0" w:color="auto"/>
            </w:tcBorders>
            <w:hideMark/>
          </w:tcPr>
          <w:p w:rsidR="00202323" w:rsidRPr="0096314F" w:rsidP="00202323" w14:paraId="1BE75CC6" w14:textId="77777777">
            <w:pPr>
              <w:jc w:val="center"/>
              <w:rPr>
                <w:rFonts w:eastAsia="Aptos"/>
                <w:sz w:val="20"/>
                <w:szCs w:val="20"/>
              </w:rPr>
            </w:pPr>
            <w:r w:rsidRPr="0096314F">
              <w:rPr>
                <w:rFonts w:eastAsia="Aptos"/>
                <w:sz w:val="20"/>
                <w:szCs w:val="20"/>
              </w:rPr>
              <w:t>N=100</w:t>
            </w:r>
          </w:p>
        </w:tc>
        <w:tc>
          <w:tcPr>
            <w:tcW w:w="5940" w:type="dxa"/>
            <w:tcBorders>
              <w:top w:val="single" w:sz="4" w:space="0" w:color="auto"/>
              <w:left w:val="single" w:sz="4" w:space="0" w:color="auto"/>
              <w:bottom w:val="single" w:sz="4" w:space="0" w:color="auto"/>
              <w:right w:val="single" w:sz="4" w:space="0" w:color="auto"/>
            </w:tcBorders>
            <w:hideMark/>
          </w:tcPr>
          <w:p w:rsidR="00202323" w:rsidRPr="0096314F" w:rsidP="00202323" w14:paraId="15DEDD8A" w14:textId="77777777">
            <w:pPr>
              <w:numPr>
                <w:ilvl w:val="0"/>
                <w:numId w:val="11"/>
              </w:numPr>
              <w:spacing w:after="160" w:line="254" w:lineRule="auto"/>
              <w:ind w:left="166" w:hanging="180"/>
              <w:contextualSpacing/>
              <w:rPr>
                <w:rFonts w:eastAsia="Aptos"/>
                <w:sz w:val="20"/>
                <w:szCs w:val="20"/>
              </w:rPr>
            </w:pPr>
            <w:r w:rsidRPr="0096314F">
              <w:rPr>
                <w:rFonts w:eastAsia="Aptos"/>
                <w:sz w:val="20"/>
                <w:szCs w:val="20"/>
              </w:rPr>
              <w:t>Semi-structured Interviews: 100%</w:t>
            </w:r>
          </w:p>
          <w:p w:rsidR="00202323" w:rsidRPr="0096314F" w:rsidP="00202323" w14:paraId="21E5C729" w14:textId="77777777">
            <w:pPr>
              <w:numPr>
                <w:ilvl w:val="0"/>
                <w:numId w:val="11"/>
              </w:numPr>
              <w:spacing w:after="160" w:line="256" w:lineRule="auto"/>
              <w:ind w:left="166" w:hanging="180"/>
              <w:contextualSpacing/>
              <w:rPr>
                <w:rFonts w:eastAsia="Aptos"/>
                <w:sz w:val="20"/>
                <w:szCs w:val="20"/>
              </w:rPr>
            </w:pPr>
            <w:r w:rsidRPr="0096314F">
              <w:rPr>
                <w:rFonts w:eastAsia="Aptos"/>
                <w:sz w:val="20"/>
                <w:szCs w:val="20"/>
              </w:rPr>
              <w:t>NHSN CLABSI data: 90%</w:t>
            </w:r>
          </w:p>
          <w:p w:rsidR="00202323" w:rsidRPr="0096314F" w:rsidP="00202323" w14:paraId="07162313" w14:textId="77777777">
            <w:pPr>
              <w:numPr>
                <w:ilvl w:val="0"/>
                <w:numId w:val="11"/>
              </w:numPr>
              <w:spacing w:after="160" w:line="256" w:lineRule="auto"/>
              <w:ind w:left="166" w:hanging="180"/>
              <w:contextualSpacing/>
              <w:rPr>
                <w:rFonts w:eastAsia="Aptos"/>
                <w:sz w:val="20"/>
                <w:szCs w:val="20"/>
              </w:rPr>
            </w:pPr>
            <w:r w:rsidRPr="0096314F">
              <w:rPr>
                <w:rFonts w:eastAsia="Aptos"/>
                <w:sz w:val="20"/>
                <w:szCs w:val="20"/>
              </w:rPr>
              <w:t>CUSP Device Rounds, Gap Analysis (Baseline, Endline) and Quarterly Submissions of EHR Clinical Outcomes: 75%</w:t>
            </w:r>
          </w:p>
          <w:p w:rsidR="00202323" w:rsidRPr="0096314F" w:rsidP="00202323" w14:paraId="774C45B3" w14:textId="5058F52D">
            <w:pPr>
              <w:numPr>
                <w:ilvl w:val="0"/>
                <w:numId w:val="11"/>
              </w:numPr>
              <w:spacing w:after="160" w:line="256" w:lineRule="auto"/>
              <w:ind w:left="166" w:hanging="180"/>
              <w:contextualSpacing/>
              <w:rPr>
                <w:rFonts w:eastAsia="Aptos"/>
                <w:sz w:val="20"/>
                <w:szCs w:val="20"/>
              </w:rPr>
            </w:pPr>
            <w:r w:rsidRPr="0096314F">
              <w:rPr>
                <w:rFonts w:eastAsia="Aptos"/>
                <w:sz w:val="20"/>
                <w:szCs w:val="20"/>
              </w:rPr>
              <w:t xml:space="preserve">AHRQ Survey on Patient Safety Culture (HSOPS): </w:t>
            </w:r>
            <w:r w:rsidR="001D76FC">
              <w:rPr>
                <w:rFonts w:eastAsia="Aptos"/>
                <w:sz w:val="20"/>
                <w:szCs w:val="20"/>
              </w:rPr>
              <w:t>4</w:t>
            </w:r>
            <w:r w:rsidRPr="0096314F">
              <w:rPr>
                <w:rFonts w:eastAsia="Aptos"/>
                <w:sz w:val="20"/>
                <w:szCs w:val="20"/>
              </w:rPr>
              <w:t xml:space="preserve">5% </w:t>
            </w:r>
          </w:p>
        </w:tc>
      </w:tr>
      <w:tr w14:paraId="67E89050" w14:textId="77777777" w:rsidTr="0096314F">
        <w:tblPrEx>
          <w:tblW w:w="8635" w:type="dxa"/>
          <w:tblInd w:w="0" w:type="dxa"/>
          <w:tblLook w:val="04A0"/>
        </w:tblPrEx>
        <w:trPr>
          <w:trHeight w:val="845"/>
        </w:trPr>
        <w:tc>
          <w:tcPr>
            <w:tcW w:w="1054" w:type="dxa"/>
            <w:tcBorders>
              <w:top w:val="single" w:sz="4" w:space="0" w:color="auto"/>
              <w:left w:val="single" w:sz="4" w:space="0" w:color="auto"/>
              <w:bottom w:val="single" w:sz="4" w:space="0" w:color="auto"/>
              <w:right w:val="single" w:sz="4" w:space="0" w:color="auto"/>
            </w:tcBorders>
            <w:hideMark/>
          </w:tcPr>
          <w:p w:rsidR="00202323" w:rsidRPr="0096314F" w:rsidP="00202323" w14:paraId="5359E3B8" w14:textId="77777777">
            <w:pPr>
              <w:rPr>
                <w:rFonts w:eastAsia="Aptos"/>
                <w:b/>
                <w:bCs/>
                <w:sz w:val="20"/>
                <w:szCs w:val="20"/>
              </w:rPr>
            </w:pPr>
            <w:r w:rsidRPr="0096314F">
              <w:rPr>
                <w:rFonts w:eastAsia="Aptos"/>
                <w:b/>
                <w:bCs/>
                <w:sz w:val="20"/>
                <w:szCs w:val="20"/>
              </w:rPr>
              <w:t>CAUTI</w:t>
            </w:r>
          </w:p>
        </w:tc>
        <w:tc>
          <w:tcPr>
            <w:tcW w:w="1641" w:type="dxa"/>
            <w:tcBorders>
              <w:top w:val="single" w:sz="4" w:space="0" w:color="auto"/>
              <w:left w:val="single" w:sz="4" w:space="0" w:color="auto"/>
              <w:bottom w:val="single" w:sz="4" w:space="0" w:color="auto"/>
              <w:right w:val="single" w:sz="4" w:space="0" w:color="auto"/>
            </w:tcBorders>
            <w:hideMark/>
          </w:tcPr>
          <w:p w:rsidR="00202323" w:rsidRPr="0096314F" w:rsidP="00202323" w14:paraId="3A81EAA7" w14:textId="77777777">
            <w:pPr>
              <w:jc w:val="center"/>
              <w:rPr>
                <w:rFonts w:eastAsia="Aptos"/>
                <w:sz w:val="20"/>
                <w:szCs w:val="20"/>
              </w:rPr>
            </w:pPr>
            <w:r w:rsidRPr="0096314F">
              <w:rPr>
                <w:rFonts w:eastAsia="Aptos"/>
                <w:sz w:val="20"/>
                <w:szCs w:val="20"/>
              </w:rPr>
              <w:t>N=100</w:t>
            </w:r>
          </w:p>
        </w:tc>
        <w:tc>
          <w:tcPr>
            <w:tcW w:w="5940" w:type="dxa"/>
            <w:tcBorders>
              <w:top w:val="single" w:sz="4" w:space="0" w:color="auto"/>
              <w:left w:val="single" w:sz="4" w:space="0" w:color="auto"/>
              <w:bottom w:val="single" w:sz="4" w:space="0" w:color="auto"/>
              <w:right w:val="single" w:sz="4" w:space="0" w:color="auto"/>
            </w:tcBorders>
            <w:hideMark/>
          </w:tcPr>
          <w:p w:rsidR="00202323" w:rsidRPr="0096314F" w:rsidP="00202323" w14:paraId="2513D639" w14:textId="77777777">
            <w:pPr>
              <w:numPr>
                <w:ilvl w:val="0"/>
                <w:numId w:val="11"/>
              </w:numPr>
              <w:spacing w:after="160" w:line="254" w:lineRule="auto"/>
              <w:ind w:left="166" w:hanging="180"/>
              <w:contextualSpacing/>
              <w:rPr>
                <w:rFonts w:eastAsia="Aptos"/>
                <w:sz w:val="20"/>
                <w:szCs w:val="20"/>
              </w:rPr>
            </w:pPr>
            <w:r w:rsidRPr="0096314F">
              <w:rPr>
                <w:rFonts w:eastAsia="Aptos"/>
                <w:sz w:val="20"/>
                <w:szCs w:val="20"/>
              </w:rPr>
              <w:t>Semi-structured Interviews: 100%</w:t>
            </w:r>
          </w:p>
          <w:p w:rsidR="00202323" w:rsidRPr="0096314F" w:rsidP="00202323" w14:paraId="050DFC1D" w14:textId="77777777">
            <w:pPr>
              <w:numPr>
                <w:ilvl w:val="0"/>
                <w:numId w:val="11"/>
              </w:numPr>
              <w:spacing w:after="160" w:line="254" w:lineRule="auto"/>
              <w:ind w:left="166" w:hanging="180"/>
              <w:contextualSpacing/>
              <w:rPr>
                <w:rFonts w:eastAsia="Aptos"/>
                <w:sz w:val="20"/>
                <w:szCs w:val="20"/>
              </w:rPr>
            </w:pPr>
            <w:r w:rsidRPr="0096314F">
              <w:rPr>
                <w:rFonts w:eastAsia="Aptos"/>
                <w:sz w:val="20"/>
                <w:szCs w:val="20"/>
              </w:rPr>
              <w:t>NHSN CAUTI data: 90%</w:t>
            </w:r>
          </w:p>
          <w:p w:rsidR="00202323" w:rsidRPr="0096314F" w:rsidP="00202323" w14:paraId="048D88E1" w14:textId="77777777">
            <w:pPr>
              <w:numPr>
                <w:ilvl w:val="0"/>
                <w:numId w:val="11"/>
              </w:numPr>
              <w:spacing w:after="160" w:line="254" w:lineRule="auto"/>
              <w:ind w:left="166" w:hanging="180"/>
              <w:contextualSpacing/>
              <w:rPr>
                <w:rFonts w:eastAsia="Aptos"/>
                <w:sz w:val="20"/>
                <w:szCs w:val="20"/>
              </w:rPr>
            </w:pPr>
            <w:r w:rsidRPr="0096314F">
              <w:rPr>
                <w:rFonts w:eastAsia="Aptos"/>
                <w:sz w:val="20"/>
                <w:szCs w:val="20"/>
              </w:rPr>
              <w:t>CUSP Device Rounds, Gap Analysis (Baseline, Endline) and Quarterly Submissions of EHR Clinical Outcomes: 75%</w:t>
            </w:r>
          </w:p>
          <w:p w:rsidR="00202323" w:rsidRPr="0096314F" w:rsidP="00202323" w14:paraId="44C8D6E3" w14:textId="66BDE0A5">
            <w:pPr>
              <w:numPr>
                <w:ilvl w:val="0"/>
                <w:numId w:val="11"/>
              </w:numPr>
              <w:spacing w:after="160" w:line="254" w:lineRule="auto"/>
              <w:ind w:left="166" w:hanging="180"/>
              <w:contextualSpacing/>
              <w:rPr>
                <w:rFonts w:eastAsia="Aptos"/>
                <w:sz w:val="20"/>
                <w:szCs w:val="20"/>
              </w:rPr>
            </w:pPr>
            <w:r w:rsidRPr="0096314F">
              <w:rPr>
                <w:rFonts w:eastAsia="Aptos"/>
                <w:sz w:val="20"/>
                <w:szCs w:val="20"/>
              </w:rPr>
              <w:t xml:space="preserve">AHRQ Survey on Patient Safety Culture (HSOPS): </w:t>
            </w:r>
            <w:r w:rsidR="001D76FC">
              <w:rPr>
                <w:rFonts w:eastAsia="Aptos"/>
                <w:sz w:val="20"/>
                <w:szCs w:val="20"/>
              </w:rPr>
              <w:t>4</w:t>
            </w:r>
            <w:r w:rsidRPr="0096314F">
              <w:rPr>
                <w:rFonts w:eastAsia="Aptos"/>
                <w:sz w:val="20"/>
                <w:szCs w:val="20"/>
              </w:rPr>
              <w:t xml:space="preserve">5% </w:t>
            </w:r>
          </w:p>
        </w:tc>
      </w:tr>
      <w:tr w14:paraId="6374FE1B" w14:textId="77777777" w:rsidTr="0096314F">
        <w:tblPrEx>
          <w:tblW w:w="8635" w:type="dxa"/>
          <w:tblInd w:w="0" w:type="dxa"/>
          <w:tblLook w:val="04A0"/>
        </w:tblPrEx>
        <w:trPr>
          <w:trHeight w:val="305"/>
        </w:trPr>
        <w:tc>
          <w:tcPr>
            <w:tcW w:w="1054" w:type="dxa"/>
            <w:tcBorders>
              <w:top w:val="single" w:sz="4" w:space="0" w:color="auto"/>
              <w:left w:val="single" w:sz="4" w:space="0" w:color="auto"/>
              <w:bottom w:val="single" w:sz="4" w:space="0" w:color="auto"/>
              <w:right w:val="single" w:sz="4" w:space="0" w:color="auto"/>
            </w:tcBorders>
            <w:hideMark/>
          </w:tcPr>
          <w:p w:rsidR="00202323" w:rsidRPr="0096314F" w:rsidP="00202323" w14:paraId="5FF542B3" w14:textId="77777777">
            <w:pPr>
              <w:rPr>
                <w:rFonts w:eastAsia="Aptos"/>
                <w:b/>
                <w:bCs/>
                <w:sz w:val="20"/>
                <w:szCs w:val="20"/>
              </w:rPr>
            </w:pPr>
            <w:r w:rsidRPr="0096314F">
              <w:rPr>
                <w:rFonts w:eastAsia="Aptos"/>
                <w:b/>
                <w:bCs/>
                <w:sz w:val="20"/>
                <w:szCs w:val="20"/>
              </w:rPr>
              <w:t>VAP/VAE</w:t>
            </w:r>
          </w:p>
        </w:tc>
        <w:tc>
          <w:tcPr>
            <w:tcW w:w="1641" w:type="dxa"/>
            <w:tcBorders>
              <w:top w:val="single" w:sz="4" w:space="0" w:color="auto"/>
              <w:left w:val="single" w:sz="4" w:space="0" w:color="auto"/>
              <w:bottom w:val="single" w:sz="4" w:space="0" w:color="auto"/>
              <w:right w:val="single" w:sz="4" w:space="0" w:color="auto"/>
            </w:tcBorders>
            <w:hideMark/>
          </w:tcPr>
          <w:p w:rsidR="00202323" w:rsidRPr="0096314F" w:rsidP="00202323" w14:paraId="5F0CAD9C" w14:textId="77777777">
            <w:pPr>
              <w:jc w:val="center"/>
              <w:rPr>
                <w:rFonts w:eastAsia="Aptos"/>
                <w:sz w:val="20"/>
                <w:szCs w:val="20"/>
              </w:rPr>
            </w:pPr>
            <w:r w:rsidRPr="0096314F">
              <w:rPr>
                <w:rFonts w:eastAsia="Aptos"/>
                <w:sz w:val="20"/>
                <w:szCs w:val="20"/>
              </w:rPr>
              <w:t>N=75</w:t>
            </w:r>
          </w:p>
        </w:tc>
        <w:tc>
          <w:tcPr>
            <w:tcW w:w="5940" w:type="dxa"/>
            <w:tcBorders>
              <w:top w:val="single" w:sz="4" w:space="0" w:color="auto"/>
              <w:left w:val="single" w:sz="4" w:space="0" w:color="auto"/>
              <w:bottom w:val="single" w:sz="4" w:space="0" w:color="auto"/>
              <w:right w:val="single" w:sz="4" w:space="0" w:color="auto"/>
            </w:tcBorders>
            <w:hideMark/>
          </w:tcPr>
          <w:p w:rsidR="00202323" w:rsidRPr="0096314F" w:rsidP="00202323" w14:paraId="046D18AF" w14:textId="77777777">
            <w:pPr>
              <w:numPr>
                <w:ilvl w:val="0"/>
                <w:numId w:val="12"/>
              </w:numPr>
              <w:spacing w:after="160" w:line="252" w:lineRule="auto"/>
              <w:ind w:left="166" w:hanging="180"/>
              <w:contextualSpacing/>
              <w:rPr>
                <w:rFonts w:eastAsia="Aptos"/>
                <w:sz w:val="20"/>
                <w:szCs w:val="20"/>
              </w:rPr>
            </w:pPr>
            <w:r w:rsidRPr="0096314F">
              <w:rPr>
                <w:rFonts w:eastAsia="Aptos"/>
                <w:sz w:val="20"/>
                <w:szCs w:val="20"/>
              </w:rPr>
              <w:t>Semi-structured Interviews: 100%</w:t>
            </w:r>
          </w:p>
          <w:p w:rsidR="00202323" w:rsidRPr="0096314F" w:rsidP="00202323" w14:paraId="6858B156" w14:textId="77777777">
            <w:pPr>
              <w:numPr>
                <w:ilvl w:val="0"/>
                <w:numId w:val="12"/>
              </w:numPr>
              <w:spacing w:after="160" w:line="252" w:lineRule="auto"/>
              <w:ind w:left="166" w:hanging="180"/>
              <w:contextualSpacing/>
              <w:rPr>
                <w:rFonts w:eastAsia="Aptos"/>
                <w:sz w:val="20"/>
                <w:szCs w:val="20"/>
              </w:rPr>
            </w:pPr>
            <w:r w:rsidRPr="0096314F">
              <w:rPr>
                <w:rFonts w:eastAsia="Aptos"/>
                <w:sz w:val="20"/>
                <w:szCs w:val="20"/>
              </w:rPr>
              <w:t>NHSN VAP/VAE data: 40%</w:t>
            </w:r>
          </w:p>
          <w:p w:rsidR="00202323" w:rsidRPr="0096314F" w:rsidP="00202323" w14:paraId="2D982030" w14:textId="77777777">
            <w:pPr>
              <w:numPr>
                <w:ilvl w:val="0"/>
                <w:numId w:val="12"/>
              </w:numPr>
              <w:spacing w:after="160" w:line="252" w:lineRule="auto"/>
              <w:ind w:left="166" w:hanging="180"/>
              <w:contextualSpacing/>
              <w:rPr>
                <w:rFonts w:eastAsia="Aptos"/>
                <w:sz w:val="20"/>
                <w:szCs w:val="20"/>
              </w:rPr>
            </w:pPr>
            <w:r w:rsidRPr="0096314F">
              <w:rPr>
                <w:rFonts w:eastAsia="Aptos"/>
                <w:sz w:val="20"/>
                <w:szCs w:val="20"/>
              </w:rPr>
              <w:t>CUSP Device Rounds, Gap Analysis (Baseline, Endline) and Quarterly Submissions of EHR Clinical Outcomes: 75%</w:t>
            </w:r>
          </w:p>
          <w:p w:rsidR="00202323" w:rsidRPr="0096314F" w:rsidP="00202323" w14:paraId="40179326" w14:textId="058B0C29">
            <w:pPr>
              <w:numPr>
                <w:ilvl w:val="0"/>
                <w:numId w:val="12"/>
              </w:numPr>
              <w:spacing w:after="160" w:line="252" w:lineRule="auto"/>
              <w:ind w:left="166" w:hanging="180"/>
              <w:contextualSpacing/>
              <w:rPr>
                <w:rFonts w:eastAsia="Aptos"/>
                <w:sz w:val="20"/>
                <w:szCs w:val="20"/>
              </w:rPr>
            </w:pPr>
            <w:r w:rsidRPr="0096314F">
              <w:rPr>
                <w:rFonts w:eastAsia="Aptos"/>
                <w:sz w:val="20"/>
                <w:szCs w:val="20"/>
              </w:rPr>
              <w:t xml:space="preserve">AHRQ Survey on Patient Safety Culture (HSOPS): </w:t>
            </w:r>
            <w:r w:rsidR="001D76FC">
              <w:rPr>
                <w:rFonts w:eastAsia="Aptos"/>
                <w:sz w:val="20"/>
                <w:szCs w:val="20"/>
              </w:rPr>
              <w:t>4</w:t>
            </w:r>
            <w:r w:rsidRPr="0096314F">
              <w:rPr>
                <w:rFonts w:eastAsia="Aptos"/>
                <w:sz w:val="20"/>
                <w:szCs w:val="20"/>
              </w:rPr>
              <w:t xml:space="preserve">5% </w:t>
            </w:r>
          </w:p>
        </w:tc>
      </w:tr>
      <w:tr w14:paraId="6DFB2AB2" w14:textId="77777777" w:rsidTr="0096314F">
        <w:tblPrEx>
          <w:tblW w:w="8635" w:type="dxa"/>
          <w:tblInd w:w="0" w:type="dxa"/>
          <w:tblLook w:val="04A0"/>
        </w:tblPrEx>
        <w:tc>
          <w:tcPr>
            <w:tcW w:w="8635" w:type="dxa"/>
            <w:gridSpan w:val="3"/>
            <w:tcBorders>
              <w:top w:val="single" w:sz="4" w:space="0" w:color="auto"/>
              <w:left w:val="single" w:sz="4" w:space="0" w:color="auto"/>
              <w:bottom w:val="single" w:sz="4" w:space="0" w:color="auto"/>
              <w:right w:val="single" w:sz="4" w:space="0" w:color="auto"/>
            </w:tcBorders>
            <w:shd w:val="clear" w:color="auto" w:fill="auto"/>
            <w:hideMark/>
          </w:tcPr>
          <w:p w:rsidR="00202323" w:rsidRPr="0096314F" w:rsidP="00202323" w14:paraId="1A4541D4" w14:textId="77777777">
            <w:pPr>
              <w:spacing w:line="252" w:lineRule="auto"/>
              <w:rPr>
                <w:rFonts w:eastAsia="Aptos"/>
                <w:sz w:val="20"/>
                <w:szCs w:val="20"/>
              </w:rPr>
            </w:pPr>
            <w:r w:rsidRPr="0096314F">
              <w:rPr>
                <w:rFonts w:eastAsia="Aptos"/>
                <w:b/>
                <w:bCs/>
                <w:sz w:val="20"/>
                <w:szCs w:val="20"/>
              </w:rPr>
              <w:t>Total: N=275</w:t>
            </w:r>
          </w:p>
        </w:tc>
      </w:tr>
    </w:tbl>
    <w:p w:rsidR="001D5E34" w:rsidRPr="009A23E6" w:rsidP="000C21A5" w14:paraId="52E46E4B" w14:textId="77777777">
      <w:pPr>
        <w:rPr>
          <w:b/>
          <w:u w:val="single"/>
        </w:rPr>
      </w:pPr>
    </w:p>
    <w:p w:rsidR="000C21A5" w:rsidRPr="006A5596" w:rsidP="000C21A5" w14:paraId="2917F204" w14:textId="77777777">
      <w:pPr>
        <w:pStyle w:val="Heading2"/>
        <w:rPr>
          <w:sz w:val="24"/>
          <w:szCs w:val="24"/>
        </w:rPr>
      </w:pPr>
      <w:bookmarkStart w:id="11" w:name="_Toc176411970"/>
      <w:r w:rsidRPr="006A5596">
        <w:rPr>
          <w:sz w:val="24"/>
          <w:szCs w:val="24"/>
        </w:rPr>
        <w:t>2. Information Collection Procedures</w:t>
      </w:r>
      <w:bookmarkEnd w:id="10"/>
      <w:bookmarkEnd w:id="11"/>
    </w:p>
    <w:p w:rsidR="009F3997" w:rsidRPr="009F3997" w:rsidP="006A5596" w14:paraId="653F50A4" w14:textId="48BBE8B0">
      <w:pPr>
        <w:rPr>
          <w:bCs/>
          <w:iCs/>
        </w:rPr>
      </w:pPr>
      <w:r w:rsidRPr="009F3997">
        <w:rPr>
          <w:bCs/>
          <w:iCs/>
        </w:rPr>
        <w:t xml:space="preserve">This section describes procedures for collecting data (i.e., </w:t>
      </w:r>
      <w:r w:rsidR="00256240">
        <w:rPr>
          <w:bCs/>
          <w:iCs/>
        </w:rPr>
        <w:t xml:space="preserve">semi-structured interviews, </w:t>
      </w:r>
      <w:r w:rsidR="003E6453">
        <w:rPr>
          <w:bCs/>
          <w:iCs/>
        </w:rPr>
        <w:t xml:space="preserve">HSOPS, </w:t>
      </w:r>
      <w:r w:rsidR="00717136">
        <w:rPr>
          <w:bCs/>
          <w:iCs/>
        </w:rPr>
        <w:t xml:space="preserve">Gap Analyses, </w:t>
      </w:r>
      <w:r w:rsidR="003903EF">
        <w:rPr>
          <w:bCs/>
          <w:iCs/>
        </w:rPr>
        <w:t xml:space="preserve">CUSP </w:t>
      </w:r>
      <w:r w:rsidR="005871C6">
        <w:rPr>
          <w:bCs/>
          <w:iCs/>
        </w:rPr>
        <w:t>Device Rounds</w:t>
      </w:r>
      <w:r w:rsidR="003903EF">
        <w:rPr>
          <w:bCs/>
          <w:iCs/>
        </w:rPr>
        <w:t xml:space="preserve">, </w:t>
      </w:r>
      <w:r w:rsidR="006E777F">
        <w:rPr>
          <w:bCs/>
          <w:iCs/>
        </w:rPr>
        <w:t>self-report</w:t>
      </w:r>
      <w:r w:rsidR="005871C6">
        <w:rPr>
          <w:bCs/>
          <w:iCs/>
        </w:rPr>
        <w:t>ed</w:t>
      </w:r>
      <w:r w:rsidR="006E777F">
        <w:rPr>
          <w:bCs/>
          <w:iCs/>
        </w:rPr>
        <w:t xml:space="preserve"> change in HAI rates</w:t>
      </w:r>
      <w:r w:rsidR="00DB7BF8">
        <w:rPr>
          <w:bCs/>
          <w:iCs/>
        </w:rPr>
        <w:t xml:space="preserve"> and HAI prevention processes</w:t>
      </w:r>
      <w:r w:rsidR="006E777F">
        <w:rPr>
          <w:bCs/>
          <w:iCs/>
        </w:rPr>
        <w:t xml:space="preserve">, </w:t>
      </w:r>
      <w:r w:rsidR="00851A0E">
        <w:rPr>
          <w:bCs/>
          <w:iCs/>
        </w:rPr>
        <w:t xml:space="preserve">and </w:t>
      </w:r>
      <w:r w:rsidRPr="009F3997">
        <w:rPr>
          <w:bCs/>
          <w:iCs/>
        </w:rPr>
        <w:t xml:space="preserve">unit-level </w:t>
      </w:r>
      <w:r w:rsidR="005871C6">
        <w:rPr>
          <w:bCs/>
          <w:iCs/>
        </w:rPr>
        <w:t>clinical outcomes data</w:t>
      </w:r>
      <w:r w:rsidR="002229F1">
        <w:rPr>
          <w:bCs/>
          <w:iCs/>
        </w:rPr>
        <w:t xml:space="preserve"> via </w:t>
      </w:r>
      <w:r w:rsidRPr="009F3997">
        <w:rPr>
          <w:bCs/>
          <w:iCs/>
        </w:rPr>
        <w:t>EHR data extracts</w:t>
      </w:r>
      <w:r w:rsidR="00B14802">
        <w:rPr>
          <w:bCs/>
          <w:iCs/>
        </w:rPr>
        <w:t xml:space="preserve"> or NHSN</w:t>
      </w:r>
      <w:r w:rsidRPr="009F3997">
        <w:rPr>
          <w:bCs/>
          <w:iCs/>
        </w:rPr>
        <w:t>).</w:t>
      </w:r>
    </w:p>
    <w:p w:rsidR="00105C59" w:rsidRPr="009A23E6" w:rsidP="00517657" w14:paraId="46045209" w14:textId="0F49C88A">
      <w:pPr>
        <w:spacing w:before="100" w:beforeAutospacing="1"/>
        <w:rPr>
          <w:b/>
          <w:iCs/>
        </w:rPr>
      </w:pPr>
      <w:r w:rsidRPr="009A23E6">
        <w:rPr>
          <w:b/>
          <w:iCs/>
        </w:rPr>
        <w:t>Data Collection</w:t>
      </w:r>
    </w:p>
    <w:p w:rsidR="00F13EAC" w:rsidP="000C21A5" w14:paraId="05EDF936" w14:textId="542B081D">
      <w:r w:rsidRPr="009A23E6">
        <w:t xml:space="preserve">The </w:t>
      </w:r>
      <w:r w:rsidRPr="009A23E6" w:rsidR="008E1928">
        <w:t>pr</w:t>
      </w:r>
      <w:r w:rsidR="008E1928">
        <w:t>ogram</w:t>
      </w:r>
      <w:r w:rsidRPr="009A23E6" w:rsidR="008E1928">
        <w:t xml:space="preserve"> </w:t>
      </w:r>
      <w:r w:rsidRPr="009A23E6">
        <w:t xml:space="preserve">will collect a range of data to contribute substantively to the evaluation and </w:t>
      </w:r>
      <w:r w:rsidR="003F6259">
        <w:t xml:space="preserve">to </w:t>
      </w:r>
      <w:r w:rsidRPr="009A23E6">
        <w:t xml:space="preserve">facilitate analysis of progress over time. </w:t>
      </w:r>
      <w:r w:rsidR="003F6259">
        <w:t>D</w:t>
      </w:r>
      <w:r w:rsidRPr="009A23E6">
        <w:t xml:space="preserve">ata collection includes </w:t>
      </w:r>
      <w:r w:rsidR="00260947">
        <w:t>interviews</w:t>
      </w:r>
      <w:r w:rsidR="00D921D7">
        <w:t xml:space="preserve">, </w:t>
      </w:r>
      <w:r w:rsidRPr="009A23E6" w:rsidR="002229F1">
        <w:t xml:space="preserve">surveys, </w:t>
      </w:r>
      <w:r w:rsidR="002F20DF">
        <w:t xml:space="preserve">assessments, </w:t>
      </w:r>
      <w:r w:rsidR="00D921D7">
        <w:t xml:space="preserve">and clinical </w:t>
      </w:r>
      <w:r w:rsidR="00606EAF">
        <w:t xml:space="preserve">outcomes </w:t>
      </w:r>
      <w:r w:rsidR="00D921D7">
        <w:t>data</w:t>
      </w:r>
      <w:r w:rsidRPr="009A23E6">
        <w:t xml:space="preserve">. </w:t>
      </w:r>
    </w:p>
    <w:p w:rsidR="00D838DB" w:rsidP="000C21A5" w14:paraId="5D128C42" w14:textId="77777777">
      <w:pPr>
        <w:rPr>
          <w:rFonts w:eastAsia="Calibri"/>
        </w:rPr>
      </w:pPr>
    </w:p>
    <w:p w:rsidR="009A6F2C" w:rsidRPr="009A23E6" w:rsidP="00274E90" w14:paraId="02AE9551" w14:textId="6967278E">
      <w:pPr>
        <w:spacing w:after="100" w:afterAutospacing="1"/>
      </w:pPr>
      <w:r>
        <w:rPr>
          <w:b/>
          <w:bCs/>
          <w:i/>
          <w:iCs/>
        </w:rPr>
        <w:t>Semi-structured</w:t>
      </w:r>
      <w:r w:rsidRPr="009A23E6">
        <w:rPr>
          <w:b/>
          <w:bCs/>
          <w:i/>
          <w:iCs/>
        </w:rPr>
        <w:t xml:space="preserve"> Interviews. </w:t>
      </w:r>
      <w:r w:rsidRPr="009A23E6">
        <w:t xml:space="preserve">The </w:t>
      </w:r>
      <w:r>
        <w:t>program</w:t>
      </w:r>
      <w:r w:rsidRPr="009A23E6">
        <w:t xml:space="preserve"> will </w:t>
      </w:r>
      <w:r w:rsidRPr="00E40F6D">
        <w:t xml:space="preserve">conduct </w:t>
      </w:r>
      <w:r w:rsidR="003B1651">
        <w:t>eight</w:t>
      </w:r>
      <w:r w:rsidRPr="00E40F6D">
        <w:t xml:space="preserve"> virtual, semi-structured interviews with unit leads and staff at </w:t>
      </w:r>
      <w:r w:rsidR="00F2499A">
        <w:t>endline for</w:t>
      </w:r>
      <w:r w:rsidRPr="00E40F6D">
        <w:t xml:space="preserve"> each cohort</w:t>
      </w:r>
      <w:r>
        <w:t xml:space="preserve"> (24 total interviews)</w:t>
      </w:r>
      <w:r w:rsidRPr="00E40F6D">
        <w:t xml:space="preserve"> to examine participants’ experiences during the </w:t>
      </w:r>
      <w:r w:rsidR="00AB58B1">
        <w:t xml:space="preserve">AHRQ </w:t>
      </w:r>
      <w:r w:rsidR="00E764CC">
        <w:t>Safety Program for HAI Prevention</w:t>
      </w:r>
      <w:r w:rsidRPr="00E40F6D">
        <w:t xml:space="preserve">, including use and perceptions of materials, experiences with measurement, and feedback about the </w:t>
      </w:r>
      <w:r w:rsidR="00147129">
        <w:t>program</w:t>
      </w:r>
      <w:r>
        <w:t>.</w:t>
      </w:r>
      <w:r w:rsidRPr="00E40F6D">
        <w:t xml:space="preserve"> (</w:t>
      </w:r>
      <w:r>
        <w:t>S</w:t>
      </w:r>
      <w:r w:rsidRPr="00E40F6D">
        <w:t xml:space="preserve">ee </w:t>
      </w:r>
      <w:r w:rsidR="002A4667">
        <w:rPr>
          <w:b/>
          <w:bCs/>
        </w:rPr>
        <w:t>Attachment</w:t>
      </w:r>
      <w:r w:rsidRPr="001D3230">
        <w:rPr>
          <w:b/>
          <w:bCs/>
        </w:rPr>
        <w:t xml:space="preserve"> </w:t>
      </w:r>
      <w:r>
        <w:rPr>
          <w:b/>
          <w:bCs/>
        </w:rPr>
        <w:t>A</w:t>
      </w:r>
      <w:r>
        <w:t xml:space="preserve"> </w:t>
      </w:r>
      <w:r w:rsidRPr="00E40F6D">
        <w:t>for sample interview guide</w:t>
      </w:r>
      <w:r>
        <w:t>.</w:t>
      </w:r>
      <w:r w:rsidR="005B5A6B">
        <w:t>)</w:t>
      </w:r>
      <w:r w:rsidRPr="00E40F6D">
        <w:t xml:space="preserve"> The interviews will last approximately </w:t>
      </w:r>
      <w:r w:rsidR="00505A0D">
        <w:t>30</w:t>
      </w:r>
      <w:r w:rsidRPr="00E40F6D" w:rsidR="00505A0D">
        <w:t xml:space="preserve"> </w:t>
      </w:r>
      <w:r w:rsidRPr="00E40F6D">
        <w:t xml:space="preserve">minutes </w:t>
      </w:r>
      <w:r w:rsidR="008729E3">
        <w:t>per respondent</w:t>
      </w:r>
      <w:r w:rsidRPr="00E40F6D">
        <w:t xml:space="preserve"> and interview participants will receive $40 incentives for their participation. </w:t>
      </w:r>
    </w:p>
    <w:p w:rsidR="00DD30E4" w:rsidP="00DD30E4" w14:paraId="5A387462" w14:textId="6A690D8E">
      <w:pPr>
        <w:spacing w:before="100" w:beforeAutospacing="1" w:after="100" w:afterAutospacing="1"/>
      </w:pPr>
      <w:r>
        <w:rPr>
          <w:b/>
          <w:i/>
        </w:rPr>
        <w:t>HSOPS</w:t>
      </w:r>
      <w:r w:rsidRPr="009A23E6" w:rsidR="000C21A5">
        <w:rPr>
          <w:b/>
          <w:i/>
        </w:rPr>
        <w:t>.</w:t>
      </w:r>
      <w:r w:rsidRPr="009A23E6" w:rsidR="000C21A5">
        <w:rPr>
          <w:i/>
        </w:rPr>
        <w:t xml:space="preserve"> </w:t>
      </w:r>
      <w:r w:rsidRPr="009A23E6" w:rsidR="000C21A5">
        <w:t xml:space="preserve">The </w:t>
      </w:r>
      <w:r w:rsidR="0018583E">
        <w:t>program</w:t>
      </w:r>
      <w:r w:rsidRPr="009A23E6" w:rsidR="0018583E">
        <w:t xml:space="preserve"> </w:t>
      </w:r>
      <w:r w:rsidR="00B7623C">
        <w:t xml:space="preserve">team </w:t>
      </w:r>
      <w:r w:rsidRPr="009A23E6" w:rsidR="000C21A5">
        <w:t xml:space="preserve">will </w:t>
      </w:r>
      <w:r w:rsidR="005E4857">
        <w:t xml:space="preserve">request </w:t>
      </w:r>
      <w:r w:rsidR="00B7623C">
        <w:t xml:space="preserve">that </w:t>
      </w:r>
      <w:r w:rsidR="00CE4795">
        <w:t>participating unit</w:t>
      </w:r>
      <w:r w:rsidR="00B7623C">
        <w:t xml:space="preserve"> staff complete the HSOPS </w:t>
      </w:r>
      <w:r w:rsidR="005C03BE">
        <w:t xml:space="preserve">at baseline (month 1) and </w:t>
      </w:r>
      <w:r w:rsidR="003A4DB3">
        <w:t>endline</w:t>
      </w:r>
      <w:r w:rsidR="005C03BE">
        <w:t xml:space="preserve"> (month 9). </w:t>
      </w:r>
      <w:r w:rsidRPr="00283DF6" w:rsidR="00283DF6">
        <w:t>The HSOPS asks questions about patient safety issues, medical error</w:t>
      </w:r>
      <w:r w:rsidR="006C1CFD">
        <w:t>s</w:t>
      </w:r>
      <w:r w:rsidRPr="00283DF6" w:rsidR="00283DF6">
        <w:t>, and event reporting, and takes approximately 15 minutes to complete (</w:t>
      </w:r>
      <w:r w:rsidR="002A4667">
        <w:rPr>
          <w:b/>
          <w:bCs/>
        </w:rPr>
        <w:t>Attachment</w:t>
      </w:r>
      <w:r w:rsidRPr="001D3230" w:rsidR="00283DF6">
        <w:rPr>
          <w:b/>
          <w:bCs/>
        </w:rPr>
        <w:t xml:space="preserve"> </w:t>
      </w:r>
      <w:r w:rsidR="008A692E">
        <w:rPr>
          <w:b/>
          <w:bCs/>
        </w:rPr>
        <w:t>B</w:t>
      </w:r>
      <w:r w:rsidRPr="00283DF6" w:rsidR="00283DF6">
        <w:t>). Th</w:t>
      </w:r>
      <w:r w:rsidR="00435405">
        <w:t xml:space="preserve">e </w:t>
      </w:r>
      <w:r w:rsidR="005B5A6B">
        <w:t>program</w:t>
      </w:r>
      <w:r w:rsidR="00435405">
        <w:t xml:space="preserve"> team</w:t>
      </w:r>
      <w:r w:rsidRPr="00283DF6" w:rsidR="00283DF6">
        <w:t xml:space="preserve"> will request that all frontline staff implementing </w:t>
      </w:r>
      <w:r w:rsidR="009D51B9">
        <w:t xml:space="preserve">the </w:t>
      </w:r>
      <w:r w:rsidR="00AB58B1">
        <w:t xml:space="preserve">AHRQ </w:t>
      </w:r>
      <w:r w:rsidR="00E764CC">
        <w:t>Safety Program for HAI Prevention</w:t>
      </w:r>
      <w:r w:rsidRPr="00283DF6" w:rsidR="00283DF6">
        <w:t xml:space="preserve"> complete the survey. As unit size vary, we estimate the average number of respondents to be 20 for each unit. Participating staff should have enough knowledge about the day-to-day activities in the </w:t>
      </w:r>
      <w:r w:rsidRPr="00283DF6" w:rsidR="00283DF6">
        <w:t>unit and interact regularly with other staff working in the unit to provide informed answers. These staff members, who spend all or most of their time at work within the unit, may include the following: staff who have direct contact or interaction with patients or staff who may not have direct contact or interaction with patients but whose work directly affects patient care.</w:t>
      </w:r>
    </w:p>
    <w:p w:rsidR="003F7FDA" w:rsidRPr="001D3230" w:rsidP="00C706F7" w14:paraId="6D0E20D7" w14:textId="68370B0C">
      <w:pPr>
        <w:spacing w:before="100" w:beforeAutospacing="1" w:after="100" w:afterAutospacing="1"/>
      </w:pPr>
      <w:r w:rsidRPr="00C706F7">
        <w:rPr>
          <w:b/>
          <w:bCs/>
          <w:i/>
          <w:iCs/>
        </w:rPr>
        <w:t>CUSP Device Rounds.</w:t>
      </w:r>
      <w:r>
        <w:rPr>
          <w:i/>
          <w:iCs/>
        </w:rPr>
        <w:t xml:space="preserve"> </w:t>
      </w:r>
      <w:r w:rsidRPr="001D3230" w:rsidR="008279F8">
        <w:t xml:space="preserve">The CUSP Device Rounds will draw upon the Four Moments for Prevention of Device-Associated Infections. </w:t>
      </w:r>
      <w:r w:rsidR="001D7DB7">
        <w:t xml:space="preserve">CUSP staff will collaborate with </w:t>
      </w:r>
      <w:r w:rsidR="00346A83">
        <w:t>an i</w:t>
      </w:r>
      <w:r w:rsidR="007B3C15">
        <w:t xml:space="preserve">nfection </w:t>
      </w:r>
      <w:r w:rsidR="00095AEB">
        <w:t>p</w:t>
      </w:r>
      <w:r w:rsidR="007B3C15">
        <w:t xml:space="preserve">reventionist </w:t>
      </w:r>
      <w:r w:rsidR="00346A83">
        <w:t>to</w:t>
      </w:r>
      <w:r w:rsidRPr="001D3230" w:rsidR="008279F8">
        <w:t xml:space="preserve"> complete</w:t>
      </w:r>
      <w:r w:rsidR="00E85AF4">
        <w:t xml:space="preserve"> these </w:t>
      </w:r>
      <w:r w:rsidR="00095AEB">
        <w:t xml:space="preserve">checklist </w:t>
      </w:r>
      <w:r w:rsidR="000F5821">
        <w:t>assessments</w:t>
      </w:r>
      <w:r w:rsidRPr="001D3230" w:rsidR="008279F8">
        <w:t xml:space="preserve"> </w:t>
      </w:r>
      <w:r w:rsidR="00296EAC">
        <w:t>once per</w:t>
      </w:r>
      <w:r w:rsidR="00174CCF">
        <w:t xml:space="preserve"> month</w:t>
      </w:r>
      <w:r w:rsidR="006B3C69">
        <w:t xml:space="preserve">, which take </w:t>
      </w:r>
      <w:r w:rsidR="00957653">
        <w:t>90 minutes to collect and submit data</w:t>
      </w:r>
      <w:r w:rsidRPr="001D3230" w:rsidR="008279F8">
        <w:t>. This innovative strategy will serve as a framework to organize education and build communication among infection preventionists and CUSP teams, as well as a method of collecting data on participating units’ use of best practices in device-associated HAI prevention</w:t>
      </w:r>
      <w:r w:rsidR="002A4446">
        <w:t xml:space="preserve"> </w:t>
      </w:r>
      <w:r w:rsidRPr="001D3230" w:rsidR="008279F8">
        <w:t>(</w:t>
      </w:r>
      <w:r w:rsidR="002A4667">
        <w:rPr>
          <w:b/>
          <w:bCs/>
        </w:rPr>
        <w:t>Attachments</w:t>
      </w:r>
      <w:r w:rsidRPr="001D3230" w:rsidR="008279F8">
        <w:rPr>
          <w:b/>
          <w:bCs/>
        </w:rPr>
        <w:t xml:space="preserve"> </w:t>
      </w:r>
      <w:r w:rsidR="006064F3">
        <w:rPr>
          <w:b/>
          <w:bCs/>
        </w:rPr>
        <w:t>C</w:t>
      </w:r>
      <w:r w:rsidRPr="001D3230" w:rsidR="008279F8">
        <w:rPr>
          <w:b/>
          <w:bCs/>
        </w:rPr>
        <w:t>-</w:t>
      </w:r>
      <w:r w:rsidR="00D21FF2">
        <w:rPr>
          <w:b/>
          <w:bCs/>
        </w:rPr>
        <w:t>E</w:t>
      </w:r>
      <w:r w:rsidRPr="001D3230" w:rsidR="008279F8">
        <w:t>).</w:t>
      </w:r>
    </w:p>
    <w:p w:rsidR="00D90FB6" w:rsidP="002A4446" w14:paraId="2C61A017" w14:textId="0A80C113">
      <w:pPr>
        <w:spacing w:before="100" w:beforeAutospacing="1" w:after="100" w:afterAutospacing="1"/>
        <w:rPr>
          <w:i/>
          <w:iCs/>
        </w:rPr>
      </w:pPr>
      <w:r w:rsidRPr="002A4446">
        <w:rPr>
          <w:b/>
          <w:bCs/>
          <w:i/>
          <w:iCs/>
        </w:rPr>
        <w:t>Gap Analysis.</w:t>
      </w:r>
      <w:r w:rsidR="002405C7">
        <w:rPr>
          <w:i/>
          <w:iCs/>
        </w:rPr>
        <w:t xml:space="preserve"> </w:t>
      </w:r>
      <w:r w:rsidR="00A63B14">
        <w:t>The</w:t>
      </w:r>
      <w:r w:rsidRPr="001D3230" w:rsidR="002A4446">
        <w:t xml:space="preserve"> unit lead and </w:t>
      </w:r>
      <w:r w:rsidR="00A63B14">
        <w:t>an</w:t>
      </w:r>
      <w:r w:rsidRPr="001D3230" w:rsidR="002A4446">
        <w:t xml:space="preserve"> infection preventionist per unit </w:t>
      </w:r>
      <w:r w:rsidRPr="001D3230" w:rsidR="002405C7">
        <w:t xml:space="preserve">will </w:t>
      </w:r>
      <w:r w:rsidR="00545147">
        <w:t>collaboratively</w:t>
      </w:r>
      <w:r w:rsidR="00094B93">
        <w:t xml:space="preserve"> </w:t>
      </w:r>
      <w:r w:rsidR="002A4446">
        <w:t>complete th</w:t>
      </w:r>
      <w:r w:rsidRPr="001D3230" w:rsidR="002405C7">
        <w:t xml:space="preserve">is online tool at baseline (month 1) and endline (month 9) of the implementation period. At the start of </w:t>
      </w:r>
      <w:r w:rsidR="00094B93">
        <w:t>implementation</w:t>
      </w:r>
      <w:r w:rsidRPr="001D3230" w:rsidR="002405C7">
        <w:t xml:space="preserve">, the </w:t>
      </w:r>
      <w:r w:rsidR="00094B93">
        <w:t>program team</w:t>
      </w:r>
      <w:r w:rsidRPr="001D3230" w:rsidR="002405C7">
        <w:t xml:space="preserve"> will use the </w:t>
      </w:r>
      <w:r w:rsidR="006B2770">
        <w:t>Gap Analysis</w:t>
      </w:r>
      <w:r w:rsidRPr="001D3230" w:rsidR="002405C7">
        <w:t xml:space="preserve"> to understand the needs of participating units, prioritize areas for improvement, and advocate for </w:t>
      </w:r>
      <w:r w:rsidR="00094B93">
        <w:t>hospital</w:t>
      </w:r>
      <w:r w:rsidRPr="001D3230" w:rsidR="002405C7">
        <w:t xml:space="preserve">-level and unit-level resources. At the end of </w:t>
      </w:r>
      <w:r w:rsidR="00094B93">
        <w:t>implementation</w:t>
      </w:r>
      <w:r w:rsidRPr="001D3230" w:rsidR="002405C7">
        <w:t>, the</w:t>
      </w:r>
      <w:r w:rsidR="00E16146">
        <w:t xml:space="preserve"> </w:t>
      </w:r>
      <w:r w:rsidR="00094B93">
        <w:t>program</w:t>
      </w:r>
      <w:r w:rsidR="00E16146">
        <w:t xml:space="preserve"> team</w:t>
      </w:r>
      <w:r w:rsidRPr="001D3230" w:rsidR="002405C7">
        <w:t xml:space="preserve"> and participating units will use the </w:t>
      </w:r>
      <w:r w:rsidR="006B2770">
        <w:t>Gap Analysis</w:t>
      </w:r>
      <w:r w:rsidRPr="001D3230" w:rsidR="002405C7">
        <w:t xml:space="preserve"> to assess progress in building infrastructure and capacity to sustainably reduce HAIs. The </w:t>
      </w:r>
      <w:r w:rsidR="006B2770">
        <w:t>Gap Analysis</w:t>
      </w:r>
      <w:r w:rsidRPr="001D3230" w:rsidR="002405C7">
        <w:t xml:space="preserve"> addresses unit infrastructure and capacity to reduce the relevant device-associated infection a</w:t>
      </w:r>
      <w:r w:rsidR="001029CC">
        <w:t>s</w:t>
      </w:r>
      <w:r w:rsidRPr="001D3230" w:rsidR="002405C7">
        <w:t xml:space="preserve"> well as current prevention activities on the participating unit</w:t>
      </w:r>
      <w:r w:rsidRPr="001D3230" w:rsidR="00DC2A27">
        <w:t xml:space="preserve">. </w:t>
      </w:r>
      <w:r w:rsidR="00D948CC">
        <w:t xml:space="preserve">The Gap Analysis will also ask for self-reported change in HAI rates and HAI prevention processes at endline (month 9). </w:t>
      </w:r>
      <w:r w:rsidR="005A72B5">
        <w:t>T</w:t>
      </w:r>
      <w:r w:rsidRPr="001D3230" w:rsidR="002405C7">
        <w:t xml:space="preserve">he </w:t>
      </w:r>
      <w:r w:rsidR="006B2770">
        <w:t>Gap Analysis</w:t>
      </w:r>
      <w:r w:rsidRPr="001D3230" w:rsidR="002405C7">
        <w:t xml:space="preserve"> takes approximately </w:t>
      </w:r>
      <w:r w:rsidR="00D66F4C">
        <w:t>6</w:t>
      </w:r>
      <w:r w:rsidRPr="001D3230" w:rsidR="002405C7">
        <w:t>0</w:t>
      </w:r>
      <w:r w:rsidR="00D61FDD">
        <w:t xml:space="preserve"> </w:t>
      </w:r>
      <w:r w:rsidRPr="001D3230" w:rsidR="002405C7">
        <w:t>minutes to complete</w:t>
      </w:r>
      <w:r w:rsidR="007A1F4D">
        <w:t xml:space="preserve"> (</w:t>
      </w:r>
      <w:r w:rsidR="002A4667">
        <w:rPr>
          <w:b/>
          <w:bCs/>
        </w:rPr>
        <w:t>Attachments</w:t>
      </w:r>
      <w:r w:rsidRPr="001D3230" w:rsidR="002405C7">
        <w:rPr>
          <w:b/>
          <w:bCs/>
        </w:rPr>
        <w:t xml:space="preserve"> </w:t>
      </w:r>
      <w:r w:rsidR="00D21FF2">
        <w:rPr>
          <w:b/>
          <w:bCs/>
        </w:rPr>
        <w:t>F-</w:t>
      </w:r>
      <w:r w:rsidR="000F2EDF">
        <w:rPr>
          <w:b/>
          <w:bCs/>
        </w:rPr>
        <w:t>H</w:t>
      </w:r>
      <w:r w:rsidR="007A1F4D">
        <w:t>).</w:t>
      </w:r>
    </w:p>
    <w:p w:rsidR="000F3C9F" w:rsidRPr="009A23E6" w:rsidP="000F3C9F" w14:paraId="4966620C" w14:textId="0FDDAF30">
      <w:pPr>
        <w:spacing w:before="100" w:beforeAutospacing="1"/>
      </w:pPr>
      <w:r>
        <w:rPr>
          <w:b/>
          <w:i/>
        </w:rPr>
        <w:t>Clinical Outcomes</w:t>
      </w:r>
      <w:r w:rsidR="002B2344">
        <w:rPr>
          <w:b/>
          <w:i/>
        </w:rPr>
        <w:t xml:space="preserve"> Data</w:t>
      </w:r>
      <w:r w:rsidRPr="009A23E6">
        <w:rPr>
          <w:b/>
          <w:i/>
        </w:rPr>
        <w:t xml:space="preserve">. </w:t>
      </w:r>
      <w:r w:rsidRPr="009A23E6" w:rsidR="00B1623E">
        <w:t xml:space="preserve">The </w:t>
      </w:r>
      <w:r w:rsidR="00A911F2">
        <w:t>program</w:t>
      </w:r>
      <w:r w:rsidR="004E62B1">
        <w:t xml:space="preserve"> team</w:t>
      </w:r>
      <w:r w:rsidRPr="009A23E6">
        <w:t xml:space="preserve"> </w:t>
      </w:r>
      <w:r w:rsidRPr="009A23E6" w:rsidR="003207A1">
        <w:t xml:space="preserve">will collect </w:t>
      </w:r>
      <w:r w:rsidR="00521C31">
        <w:t xml:space="preserve">clinical outcomes reported by </w:t>
      </w:r>
      <w:r w:rsidR="00CA65A8">
        <w:t>I</w:t>
      </w:r>
      <w:r w:rsidR="00521C31">
        <w:t xml:space="preserve">nfection </w:t>
      </w:r>
      <w:r w:rsidR="00CA65A8">
        <w:t>P</w:t>
      </w:r>
      <w:r w:rsidR="00521C31">
        <w:t xml:space="preserve">revention and </w:t>
      </w:r>
      <w:r w:rsidR="00CA65A8">
        <w:t>C</w:t>
      </w:r>
      <w:r w:rsidR="00521C31">
        <w:t xml:space="preserve">ontrol </w:t>
      </w:r>
      <w:r w:rsidR="00CA65A8">
        <w:t>P</w:t>
      </w:r>
      <w:r w:rsidR="00521C31">
        <w:t>rograms at participating units</w:t>
      </w:r>
      <w:r w:rsidRPr="009A23E6" w:rsidR="00B1623E">
        <w:t xml:space="preserve">. The </w:t>
      </w:r>
      <w:r w:rsidR="006A6ECA">
        <w:t xml:space="preserve">clinical </w:t>
      </w:r>
      <w:r w:rsidR="007C554C">
        <w:t xml:space="preserve">outcomes </w:t>
      </w:r>
      <w:r w:rsidR="006A6ECA">
        <w:t xml:space="preserve">by cohort </w:t>
      </w:r>
      <w:r w:rsidR="007C554C">
        <w:t>include</w:t>
      </w:r>
      <w:r w:rsidR="00F244A7">
        <w:t>: 1) changes to CLABSI rate per 1</w:t>
      </w:r>
      <w:r w:rsidR="00C66A10">
        <w:t>0</w:t>
      </w:r>
      <w:r w:rsidR="00F244A7">
        <w:t>,000 central line-days, 2) changes to CAUTI rate per 1</w:t>
      </w:r>
      <w:r w:rsidR="00C66A10">
        <w:t>0</w:t>
      </w:r>
      <w:r w:rsidR="00F244A7">
        <w:t>,000 catheter days, and 3) changes to VAP/VAE incidence rate per 1</w:t>
      </w:r>
      <w:r w:rsidR="00C66A10">
        <w:t>0</w:t>
      </w:r>
      <w:r w:rsidR="00F244A7">
        <w:t>,000 ventilator</w:t>
      </w:r>
      <w:r w:rsidR="00904AB0">
        <w:t xml:space="preserve"> </w:t>
      </w:r>
      <w:r w:rsidR="00C4367B">
        <w:t>days.</w:t>
      </w:r>
      <w:r w:rsidRPr="009A23E6">
        <w:t xml:space="preserve"> </w:t>
      </w:r>
    </w:p>
    <w:p w:rsidR="00BD056E" w:rsidP="0020004E" w14:paraId="628EF264" w14:textId="1169F35C">
      <w:pPr>
        <w:spacing w:before="100" w:beforeAutospacing="1"/>
      </w:pPr>
      <w:r>
        <w:t xml:space="preserve">The </w:t>
      </w:r>
      <w:r w:rsidR="00E64A08">
        <w:t>program</w:t>
      </w:r>
      <w:r>
        <w:t xml:space="preserve"> team will request participating units to provide 12 months of </w:t>
      </w:r>
      <w:r w:rsidR="00DE0EF2">
        <w:t>pre-implementation</w:t>
      </w:r>
      <w:r>
        <w:t xml:space="preserve"> clinical outcomes data </w:t>
      </w:r>
      <w:r w:rsidR="000E5165">
        <w:t>once,</w:t>
      </w:r>
      <w:r>
        <w:t xml:space="preserve"> and monthly clinical outcomes data during implementation (months 1 through 9)</w:t>
      </w:r>
      <w:r w:rsidR="00B22351">
        <w:t xml:space="preserve"> </w:t>
      </w:r>
      <w:r w:rsidR="00A66981">
        <w:t>on a</w:t>
      </w:r>
      <w:r w:rsidR="00D73584">
        <w:t xml:space="preserve"> quarterly</w:t>
      </w:r>
      <w:r w:rsidR="00A66981">
        <w:t xml:space="preserve"> basis</w:t>
      </w:r>
      <w:r w:rsidR="00D73584">
        <w:t xml:space="preserve">. </w:t>
      </w:r>
    </w:p>
    <w:p w:rsidR="00A226EF" w:rsidRPr="00A226EF" w:rsidP="00A226EF" w14:paraId="19187CB1" w14:textId="08A45F8A">
      <w:pPr>
        <w:spacing w:before="100" w:beforeAutospacing="1"/>
      </w:pPr>
      <w:r w:rsidRPr="00BD056E">
        <w:t xml:space="preserve">The </w:t>
      </w:r>
      <w:r w:rsidR="000274E1">
        <w:t>program</w:t>
      </w:r>
      <w:r>
        <w:t xml:space="preserve"> team </w:t>
      </w:r>
      <w:r w:rsidRPr="00BD056E">
        <w:t xml:space="preserve">assumes </w:t>
      </w:r>
      <w:r w:rsidR="00D41CCA">
        <w:t>most</w:t>
      </w:r>
      <w:r w:rsidRPr="00BD056E">
        <w:t xml:space="preserve"> participating sites will confer NHSN rights to the </w:t>
      </w:r>
      <w:r w:rsidR="000274E1">
        <w:t>program</w:t>
      </w:r>
      <w:r w:rsidRPr="00BD056E">
        <w:t xml:space="preserve"> for CLABSI and CAUTI. However, if a hospital does not report to NHSN or refuses to confer data rights to the </w:t>
      </w:r>
      <w:r w:rsidR="00AB58B1">
        <w:t xml:space="preserve">AHRQ </w:t>
      </w:r>
      <w:r w:rsidR="00E764CC">
        <w:t>Safety Program for HAI Prevention</w:t>
      </w:r>
      <w:r w:rsidRPr="00BD056E">
        <w:t xml:space="preserve">, </w:t>
      </w:r>
      <w:r w:rsidR="009C5476">
        <w:t>participating units</w:t>
      </w:r>
      <w:r w:rsidRPr="00BD056E">
        <w:t xml:space="preserve"> can submit these data by extracting them from their EHRs and submitting to the </w:t>
      </w:r>
      <w:r w:rsidR="00AB58B1">
        <w:t xml:space="preserve">AHRQ </w:t>
      </w:r>
      <w:r w:rsidR="00E764CC">
        <w:t>Safety Program for HAI Prevention</w:t>
      </w:r>
      <w:r w:rsidRPr="00BD056E">
        <w:t xml:space="preserve"> directly via </w:t>
      </w:r>
      <w:r w:rsidR="00923CB0">
        <w:t>a</w:t>
      </w:r>
      <w:r w:rsidRPr="00BD056E">
        <w:t xml:space="preserve"> secure </w:t>
      </w:r>
      <w:r w:rsidR="009C5476">
        <w:t xml:space="preserve">program </w:t>
      </w:r>
      <w:r w:rsidRPr="00BD056E">
        <w:t xml:space="preserve">website portal. Given that only 1,900 U.S. hospitals currently submit VAP/VAE data to NHSN, we anticipate a higher number of participating sites will use the hybrid option in this cohort submitting these data via the secure program portal while other hospitals may confer NHSN rights. </w:t>
      </w:r>
      <w:r w:rsidRPr="00A226EF">
        <w:t xml:space="preserve">The use of NHSN data from hospitals that confer </w:t>
      </w:r>
      <w:r w:rsidRPr="00A226EF">
        <w:t xml:space="preserve">rights to the </w:t>
      </w:r>
      <w:r w:rsidR="00AB58B1">
        <w:t xml:space="preserve">AHRQ </w:t>
      </w:r>
      <w:r w:rsidR="00E764CC">
        <w:rPr>
          <w:iCs/>
        </w:rPr>
        <w:t>Safety Program for HAI Prevention</w:t>
      </w:r>
      <w:r w:rsidRPr="00A226EF">
        <w:rPr>
          <w:iCs/>
        </w:rPr>
        <w:t xml:space="preserve"> </w:t>
      </w:r>
      <w:r w:rsidRPr="00A226EF">
        <w:t>to use their NHSN data for the evaluation</w:t>
      </w:r>
      <w:r w:rsidR="00F3481C">
        <w:t xml:space="preserve"> reduces respondent burden</w:t>
      </w:r>
      <w:r w:rsidRPr="00A226EF">
        <w:t xml:space="preserve">. NHSN data will serve as </w:t>
      </w:r>
      <w:r w:rsidR="00F3481C">
        <w:t>the primary</w:t>
      </w:r>
      <w:r w:rsidRPr="00A226EF">
        <w:t xml:space="preserve"> data source for clinical </w:t>
      </w:r>
      <w:r w:rsidR="00F3481C">
        <w:t>data</w:t>
      </w:r>
      <w:r w:rsidRPr="00A226EF">
        <w:t>.</w:t>
      </w:r>
    </w:p>
    <w:p w:rsidR="00C719B3" w:rsidP="00627496" w14:paraId="60C1D5F3" w14:textId="39A47312">
      <w:pPr>
        <w:spacing w:before="100" w:beforeAutospacing="1"/>
        <w:rPr>
          <w:rStyle w:val="NORCCaption-Color"/>
          <w:rFonts w:ascii="Times New Roman" w:eastAsia="Calibri" w:hAnsi="Times New Roman"/>
          <w:sz w:val="24"/>
        </w:rPr>
      </w:pPr>
      <w:r w:rsidRPr="00AE17BE">
        <w:rPr>
          <w:bCs/>
        </w:rPr>
        <w:t xml:space="preserve">Exhibit </w:t>
      </w:r>
      <w:r w:rsidRPr="00AE17BE" w:rsidR="00F13EAC">
        <w:rPr>
          <w:bCs/>
        </w:rPr>
        <w:t>2</w:t>
      </w:r>
      <w:r w:rsidRPr="009A23E6">
        <w:t xml:space="preserve"> describes the </w:t>
      </w:r>
      <w:r w:rsidR="005E240C">
        <w:t xml:space="preserve">requested clinical outcomes data. </w:t>
      </w:r>
      <w:r w:rsidR="00C80A53">
        <w:t xml:space="preserve">(See </w:t>
      </w:r>
      <w:r w:rsidR="000809D4">
        <w:rPr>
          <w:b/>
          <w:bCs/>
        </w:rPr>
        <w:t>Attachment</w:t>
      </w:r>
      <w:r w:rsidR="0019533C">
        <w:rPr>
          <w:b/>
          <w:bCs/>
        </w:rPr>
        <w:t xml:space="preserve"> I </w:t>
      </w:r>
      <w:r w:rsidR="00C80A53">
        <w:t>for</w:t>
      </w:r>
      <w:r w:rsidR="005E240C">
        <w:t xml:space="preserve"> the </w:t>
      </w:r>
      <w:r w:rsidR="00052B46">
        <w:t xml:space="preserve">clinical outcomes </w:t>
      </w:r>
      <w:r w:rsidR="005E240C">
        <w:t xml:space="preserve">data </w:t>
      </w:r>
      <w:r w:rsidR="00052B46">
        <w:t>template</w:t>
      </w:r>
      <w:r w:rsidR="005E240C">
        <w:t>.</w:t>
      </w:r>
      <w:r w:rsidR="00C80A53">
        <w:t>)</w:t>
      </w:r>
      <w:r w:rsidR="005E240C">
        <w:t xml:space="preserve"> </w:t>
      </w:r>
      <w:r w:rsidR="00593C0B">
        <w:t xml:space="preserve">If a hospital does not confer NHSN data rights, </w:t>
      </w:r>
      <w:r w:rsidR="006A0C09">
        <w:t>the program team</w:t>
      </w:r>
      <w:r w:rsidR="00593C0B">
        <w:t xml:space="preserve"> estimate</w:t>
      </w:r>
      <w:r w:rsidR="006A0C09">
        <w:t>s</w:t>
      </w:r>
      <w:r w:rsidR="00593C0B">
        <w:t xml:space="preserve"> the </w:t>
      </w:r>
      <w:r w:rsidR="00A865B1">
        <w:t>EHR data extraction</w:t>
      </w:r>
      <w:r w:rsidR="00D13C94">
        <w:t xml:space="preserve"> </w:t>
      </w:r>
      <w:r w:rsidR="00B44AE2">
        <w:t>will</w:t>
      </w:r>
      <w:r w:rsidR="00593C0B">
        <w:t xml:space="preserve"> take 3.5 hours</w:t>
      </w:r>
      <w:r w:rsidR="00160FA6">
        <w:t xml:space="preserve"> for the pre-implementation data</w:t>
      </w:r>
      <w:r w:rsidR="00593C0B">
        <w:t xml:space="preserve">, and </w:t>
      </w:r>
      <w:r w:rsidR="007D00B4">
        <w:t>approximately 30 minutes for quarterly implementation data</w:t>
      </w:r>
      <w:r w:rsidR="00593C0B">
        <w:t>.</w:t>
      </w:r>
      <w:r w:rsidR="008E1365">
        <w:t xml:space="preserve"> (See </w:t>
      </w:r>
      <w:r w:rsidRPr="00627496" w:rsidR="000809D4">
        <w:rPr>
          <w:b/>
          <w:bCs/>
        </w:rPr>
        <w:t>Attachment</w:t>
      </w:r>
      <w:r w:rsidRPr="00A26939" w:rsidR="008E1365">
        <w:rPr>
          <w:b/>
          <w:bCs/>
        </w:rPr>
        <w:t xml:space="preserve"> J</w:t>
      </w:r>
      <w:r w:rsidR="008E1365">
        <w:t xml:space="preserve"> for the </w:t>
      </w:r>
      <w:r w:rsidR="00D42A6F">
        <w:t xml:space="preserve">Submission Guide for </w:t>
      </w:r>
      <w:r w:rsidR="00A26939">
        <w:t xml:space="preserve">Clinical Outcomes Data </w:t>
      </w:r>
      <w:r w:rsidR="00D42A6F">
        <w:t>Collection</w:t>
      </w:r>
      <w:r w:rsidR="00AF739D">
        <w:t>.</w:t>
      </w:r>
      <w:r w:rsidR="00A26939">
        <w:t>)</w:t>
      </w:r>
    </w:p>
    <w:p w:rsidR="00C719B3" w:rsidRPr="00DD57D9" w:rsidP="00DD57D9" w14:paraId="70016A41" w14:textId="389991B7">
      <w:pPr>
        <w:pStyle w:val="Exhibit1"/>
        <w:rPr>
          <w:b w:val="0"/>
          <w:color w:val="8AB3A4"/>
        </w:rPr>
      </w:pPr>
      <w:r w:rsidRPr="00401E9F">
        <w:rPr>
          <w:rStyle w:val="NORCCaption-Color"/>
          <w:rFonts w:ascii="Times New Roman" w:hAnsi="Times New Roman"/>
          <w:b/>
          <w:color w:val="auto"/>
          <w:sz w:val="24"/>
          <w:szCs w:val="24"/>
        </w:rPr>
        <w:t>Exhibit 2:</w:t>
      </w:r>
      <w:r w:rsidRPr="00401E9F">
        <w:rPr>
          <w:color w:val="auto"/>
        </w:rPr>
        <w:t xml:space="preserve"> </w:t>
      </w:r>
      <w:r w:rsidRPr="00401E9F">
        <w:rPr>
          <w:b w:val="0"/>
        </w:rPr>
        <w:t>Clinical Outcomes</w:t>
      </w:r>
      <w:r w:rsidR="00F06CF2">
        <w:rPr>
          <w:b w:val="0"/>
        </w:rPr>
        <w:t xml:space="preserve"> Data</w:t>
      </w:r>
    </w:p>
    <w:tbl>
      <w:tblPr>
        <w:tblpPr w:leftFromText="180" w:rightFromText="180" w:bottomFromText="200" w:vertAnchor="text" w:horzAnchor="margin" w:tblpY="-52"/>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5"/>
        <w:gridCol w:w="6930"/>
      </w:tblGrid>
      <w:tr w14:paraId="057CB140" w14:textId="77777777" w:rsidTr="00DD57D9">
        <w:tblPrEx>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2"/>
        </w:trPr>
        <w:tc>
          <w:tcPr>
            <w:tcW w:w="1795" w:type="dxa"/>
            <w:tcBorders>
              <w:top w:val="single" w:sz="4" w:space="0" w:color="auto"/>
              <w:left w:val="single" w:sz="4" w:space="0" w:color="auto"/>
              <w:bottom w:val="single" w:sz="4" w:space="0" w:color="auto"/>
              <w:right w:val="single" w:sz="4" w:space="0" w:color="auto"/>
            </w:tcBorders>
            <w:shd w:val="clear" w:color="auto" w:fill="auto"/>
            <w:hideMark/>
          </w:tcPr>
          <w:p w:rsidR="00C341A2" w:rsidRPr="009A23E6" w:rsidP="00C341A2" w14:paraId="466CC069" w14:textId="43B896EA">
            <w:pPr>
              <w:spacing w:line="276" w:lineRule="auto"/>
              <w:rPr>
                <w:rFonts w:eastAsia="Calibri"/>
                <w:b/>
                <w:sz w:val="20"/>
                <w:szCs w:val="20"/>
              </w:rPr>
            </w:pPr>
            <w:r w:rsidRPr="009A23E6">
              <w:rPr>
                <w:rFonts w:eastAsia="Calibri"/>
                <w:b/>
                <w:sz w:val="20"/>
                <w:szCs w:val="20"/>
              </w:rPr>
              <w:t xml:space="preserve">Clinical </w:t>
            </w:r>
            <w:r w:rsidR="005C52E1">
              <w:rPr>
                <w:rFonts w:eastAsia="Calibri"/>
                <w:b/>
                <w:sz w:val="20"/>
                <w:szCs w:val="20"/>
              </w:rPr>
              <w:t>O</w:t>
            </w:r>
            <w:r w:rsidR="002A209A">
              <w:rPr>
                <w:rFonts w:eastAsia="Calibri"/>
                <w:b/>
                <w:sz w:val="20"/>
                <w:szCs w:val="20"/>
              </w:rPr>
              <w:t>utcomes</w:t>
            </w:r>
          </w:p>
        </w:tc>
        <w:tc>
          <w:tcPr>
            <w:tcW w:w="6930" w:type="dxa"/>
            <w:tcBorders>
              <w:top w:val="single" w:sz="4" w:space="0" w:color="auto"/>
              <w:left w:val="single" w:sz="4" w:space="0" w:color="auto"/>
              <w:bottom w:val="single" w:sz="4" w:space="0" w:color="auto"/>
              <w:right w:val="single" w:sz="4" w:space="0" w:color="auto"/>
            </w:tcBorders>
            <w:shd w:val="clear" w:color="auto" w:fill="auto"/>
            <w:hideMark/>
          </w:tcPr>
          <w:p w:rsidR="00C341A2" w:rsidRPr="009A23E6" w:rsidP="00C341A2" w14:paraId="551E4653" w14:textId="77777777">
            <w:pPr>
              <w:spacing w:line="276" w:lineRule="auto"/>
              <w:rPr>
                <w:rFonts w:eastAsia="Calibri"/>
                <w:b/>
                <w:sz w:val="20"/>
                <w:szCs w:val="20"/>
              </w:rPr>
            </w:pPr>
            <w:r w:rsidRPr="009A23E6">
              <w:rPr>
                <w:rFonts w:eastAsia="Calibri"/>
                <w:b/>
                <w:sz w:val="20"/>
                <w:szCs w:val="20"/>
              </w:rPr>
              <w:t>Description</w:t>
            </w:r>
          </w:p>
        </w:tc>
      </w:tr>
      <w:tr w14:paraId="46E11150" w14:textId="77777777" w:rsidTr="00DD57D9">
        <w:tblPrEx>
          <w:tblW w:w="8725" w:type="dxa"/>
          <w:tblLook w:val="04A0"/>
        </w:tblPrEx>
        <w:tc>
          <w:tcPr>
            <w:tcW w:w="1795" w:type="dxa"/>
            <w:tcBorders>
              <w:top w:val="single" w:sz="4" w:space="0" w:color="auto"/>
              <w:left w:val="single" w:sz="4" w:space="0" w:color="auto"/>
              <w:bottom w:val="single" w:sz="4" w:space="0" w:color="auto"/>
              <w:right w:val="single" w:sz="4" w:space="0" w:color="auto"/>
            </w:tcBorders>
            <w:shd w:val="clear" w:color="auto" w:fill="auto"/>
            <w:hideMark/>
          </w:tcPr>
          <w:p w:rsidR="00C341A2" w:rsidRPr="009A23E6" w:rsidP="00C341A2" w14:paraId="1BA8A896" w14:textId="5ECFBFBC">
            <w:pPr>
              <w:spacing w:line="276" w:lineRule="auto"/>
              <w:rPr>
                <w:rFonts w:eastAsia="Calibri"/>
                <w:sz w:val="20"/>
                <w:szCs w:val="20"/>
              </w:rPr>
            </w:pPr>
            <w:r>
              <w:rPr>
                <w:rFonts w:eastAsia="Calibri"/>
                <w:sz w:val="20"/>
                <w:szCs w:val="20"/>
              </w:rPr>
              <w:t>Patient days</w:t>
            </w:r>
          </w:p>
        </w:tc>
        <w:tc>
          <w:tcPr>
            <w:tcW w:w="6930" w:type="dxa"/>
            <w:tcBorders>
              <w:top w:val="single" w:sz="4" w:space="0" w:color="auto"/>
              <w:left w:val="single" w:sz="4" w:space="0" w:color="auto"/>
              <w:bottom w:val="single" w:sz="4" w:space="0" w:color="auto"/>
              <w:right w:val="single" w:sz="4" w:space="0" w:color="auto"/>
            </w:tcBorders>
            <w:shd w:val="clear" w:color="auto" w:fill="auto"/>
            <w:hideMark/>
          </w:tcPr>
          <w:p w:rsidR="00C341A2" w:rsidRPr="009A23E6" w:rsidP="00C341A2" w14:paraId="30584F25" w14:textId="57846704">
            <w:pPr>
              <w:spacing w:line="276" w:lineRule="auto"/>
              <w:rPr>
                <w:rFonts w:eastAsia="Calibri"/>
                <w:sz w:val="20"/>
                <w:szCs w:val="20"/>
              </w:rPr>
            </w:pPr>
            <w:r>
              <w:rPr>
                <w:rFonts w:eastAsia="Calibri"/>
                <w:sz w:val="20"/>
                <w:szCs w:val="20"/>
              </w:rPr>
              <w:t>Count of the number of patients in a patient care location during the reporting month.</w:t>
            </w:r>
          </w:p>
        </w:tc>
      </w:tr>
      <w:tr w14:paraId="4429D226" w14:textId="77777777" w:rsidTr="00DD57D9">
        <w:tblPrEx>
          <w:tblW w:w="8725" w:type="dxa"/>
          <w:tblLook w:val="04A0"/>
        </w:tblPrEx>
        <w:tc>
          <w:tcPr>
            <w:tcW w:w="1795" w:type="dxa"/>
            <w:tcBorders>
              <w:top w:val="single" w:sz="4" w:space="0" w:color="auto"/>
              <w:left w:val="single" w:sz="4" w:space="0" w:color="auto"/>
              <w:bottom w:val="single" w:sz="4" w:space="0" w:color="auto"/>
              <w:right w:val="single" w:sz="4" w:space="0" w:color="auto"/>
            </w:tcBorders>
            <w:shd w:val="clear" w:color="auto" w:fill="auto"/>
            <w:hideMark/>
          </w:tcPr>
          <w:p w:rsidR="00C341A2" w:rsidRPr="009A23E6" w:rsidP="00C341A2" w14:paraId="4361FFDB" w14:textId="0D70DA06">
            <w:pPr>
              <w:spacing w:line="276" w:lineRule="auto"/>
              <w:rPr>
                <w:rFonts w:eastAsia="Calibri"/>
                <w:sz w:val="20"/>
                <w:szCs w:val="20"/>
              </w:rPr>
            </w:pPr>
            <w:r>
              <w:rPr>
                <w:rFonts w:eastAsia="Calibri"/>
                <w:sz w:val="20"/>
                <w:szCs w:val="20"/>
              </w:rPr>
              <w:t>Device</w:t>
            </w:r>
            <w:r w:rsidR="00AD5B78">
              <w:rPr>
                <w:rFonts w:eastAsia="Calibri"/>
                <w:sz w:val="20"/>
                <w:szCs w:val="20"/>
              </w:rPr>
              <w:t>-associated infection</w:t>
            </w:r>
          </w:p>
        </w:tc>
        <w:tc>
          <w:tcPr>
            <w:tcW w:w="6930" w:type="dxa"/>
            <w:tcBorders>
              <w:top w:val="single" w:sz="4" w:space="0" w:color="auto"/>
              <w:left w:val="single" w:sz="4" w:space="0" w:color="auto"/>
              <w:bottom w:val="single" w:sz="4" w:space="0" w:color="auto"/>
              <w:right w:val="single" w:sz="4" w:space="0" w:color="auto"/>
            </w:tcBorders>
            <w:shd w:val="clear" w:color="auto" w:fill="auto"/>
            <w:hideMark/>
          </w:tcPr>
          <w:p w:rsidR="00814A6A" w:rsidRPr="00814A6A" w:rsidP="00814A6A" w14:paraId="44261011" w14:textId="77777777">
            <w:pPr>
              <w:spacing w:line="276" w:lineRule="auto"/>
              <w:rPr>
                <w:rFonts w:eastAsia="Calibri"/>
                <w:sz w:val="20"/>
                <w:szCs w:val="20"/>
              </w:rPr>
            </w:pPr>
            <w:r w:rsidRPr="00814A6A">
              <w:rPr>
                <w:rFonts w:eastAsia="Calibri"/>
                <w:sz w:val="20"/>
                <w:szCs w:val="20"/>
              </w:rPr>
              <w:t>An infection meeting the HAI definition is considered a device-associated HAI (for example, associated with the use of a ventilator, central line, or indwelling urinary catheter) if the device was in place for &gt;2 calendar days on the date of event, and was also in place on the date of event or the day before the event (with date of insertion and date of removal counted as a Device Day).</w:t>
            </w:r>
          </w:p>
          <w:p w:rsidR="00814A6A" w:rsidRPr="00814A6A" w:rsidP="001A31BE" w14:paraId="03433053" w14:textId="77777777">
            <w:pPr>
              <w:numPr>
                <w:ilvl w:val="0"/>
                <w:numId w:val="7"/>
              </w:numPr>
              <w:spacing w:line="276" w:lineRule="auto"/>
              <w:rPr>
                <w:rFonts w:eastAsia="Calibri"/>
                <w:sz w:val="20"/>
                <w:szCs w:val="20"/>
              </w:rPr>
            </w:pPr>
            <w:r w:rsidRPr="00814A6A">
              <w:rPr>
                <w:rFonts w:eastAsia="Calibri"/>
                <w:sz w:val="20"/>
                <w:szCs w:val="20"/>
              </w:rPr>
              <w:t>CLABSl: A laboratory confirmed bloodstream infection (LCBI) where an eligible bloodstream infection (BSI) organism is identified, and an eligible central line is present on the date of event or the day before.</w:t>
            </w:r>
          </w:p>
          <w:p w:rsidR="00814A6A" w:rsidRPr="00814A6A" w:rsidP="001A31BE" w14:paraId="43A192F4" w14:textId="77777777">
            <w:pPr>
              <w:numPr>
                <w:ilvl w:val="0"/>
                <w:numId w:val="7"/>
              </w:numPr>
              <w:spacing w:line="276" w:lineRule="auto"/>
              <w:rPr>
                <w:rFonts w:eastAsia="Calibri"/>
                <w:sz w:val="20"/>
                <w:szCs w:val="20"/>
              </w:rPr>
            </w:pPr>
            <w:r w:rsidRPr="00814A6A">
              <w:rPr>
                <w:rFonts w:eastAsia="Calibri"/>
                <w:sz w:val="20"/>
                <w:szCs w:val="20"/>
              </w:rPr>
              <w:t>CAUTI: A urinary tract infection (UTI) where an indwelling urinary catheter (IUC) was in place for more than two consecutive days in an inpatient location on the date of event or the day before, with day of device placement being Day 1.</w:t>
            </w:r>
          </w:p>
          <w:p w:rsidR="00814A6A" w:rsidP="001A31BE" w14:paraId="7B5EC1F4" w14:textId="77777777">
            <w:pPr>
              <w:numPr>
                <w:ilvl w:val="0"/>
                <w:numId w:val="7"/>
              </w:numPr>
              <w:spacing w:line="276" w:lineRule="auto"/>
              <w:rPr>
                <w:rFonts w:eastAsia="Calibri"/>
                <w:sz w:val="20"/>
                <w:szCs w:val="20"/>
              </w:rPr>
            </w:pPr>
            <w:r w:rsidRPr="00814A6A">
              <w:rPr>
                <w:rFonts w:eastAsia="Calibri"/>
                <w:sz w:val="20"/>
                <w:szCs w:val="20"/>
              </w:rPr>
              <w:t>VAP: A pneumonia where the patient is on mechanical ventilation for &gt; 2 consecutive calendar days on the date of event, with day of ventilator placement being Day 1, AND the ventilator was in place on the date of event or the day before.</w:t>
            </w:r>
          </w:p>
          <w:p w:rsidR="00C341A2" w:rsidRPr="009A23E6" w:rsidP="001A31BE" w14:paraId="21A14D93" w14:textId="6F0DB17C">
            <w:pPr>
              <w:numPr>
                <w:ilvl w:val="0"/>
                <w:numId w:val="7"/>
              </w:numPr>
              <w:spacing w:line="276" w:lineRule="auto"/>
              <w:rPr>
                <w:rFonts w:eastAsia="Calibri"/>
                <w:sz w:val="20"/>
                <w:szCs w:val="20"/>
              </w:rPr>
            </w:pPr>
            <w:r w:rsidRPr="00814A6A">
              <w:rPr>
                <w:rFonts w:eastAsia="Calibri"/>
                <w:sz w:val="20"/>
                <w:szCs w:val="20"/>
              </w:rPr>
              <w:t>VAE: Identified by using a combination of objective criteria: deterioration in respiratory status after a period of stability or improvement on the ventilator, evidence of infection or inflammation, and laboratory evidence of respiratory infection. Patients must be mechanically ventilated for at least 4 calendar days (where the day of intubation and initiation of mechanical ventilation is Day 1). The earliest date of event for VAE (the date of onset of worsening oxygenation) is Day 3 of mechanical ventilation.</w:t>
            </w:r>
          </w:p>
        </w:tc>
      </w:tr>
      <w:tr w14:paraId="3EE1FBB7" w14:textId="77777777" w:rsidTr="00DD57D9">
        <w:tblPrEx>
          <w:tblW w:w="8725" w:type="dxa"/>
          <w:tblLook w:val="04A0"/>
        </w:tblPrEx>
        <w:tc>
          <w:tcPr>
            <w:tcW w:w="1795" w:type="dxa"/>
            <w:tcBorders>
              <w:top w:val="single" w:sz="4" w:space="0" w:color="auto"/>
              <w:left w:val="single" w:sz="4" w:space="0" w:color="auto"/>
              <w:bottom w:val="single" w:sz="4" w:space="0" w:color="auto"/>
              <w:right w:val="single" w:sz="4" w:space="0" w:color="auto"/>
            </w:tcBorders>
            <w:shd w:val="clear" w:color="auto" w:fill="auto"/>
          </w:tcPr>
          <w:p w:rsidR="00DE21C8" w:rsidRPr="009A23E6" w:rsidP="00C341A2" w14:paraId="2AC09C38" w14:textId="289A8D0E">
            <w:pPr>
              <w:spacing w:line="276" w:lineRule="auto"/>
              <w:rPr>
                <w:rFonts w:eastAsia="Calibri"/>
                <w:sz w:val="20"/>
                <w:szCs w:val="20"/>
              </w:rPr>
            </w:pPr>
            <w:r>
              <w:rPr>
                <w:rFonts w:eastAsia="Calibri"/>
                <w:sz w:val="20"/>
                <w:szCs w:val="20"/>
              </w:rPr>
              <w:t>Device days</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DE21C8" w:rsidRPr="009A23E6" w:rsidP="00C341A2" w14:paraId="3A35D966" w14:textId="06A82FC5">
            <w:pPr>
              <w:spacing w:line="276" w:lineRule="auto"/>
              <w:rPr>
                <w:rFonts w:eastAsia="Calibri"/>
                <w:sz w:val="20"/>
                <w:szCs w:val="20"/>
              </w:rPr>
            </w:pPr>
            <w:r>
              <w:rPr>
                <w:rFonts w:eastAsia="Calibri"/>
                <w:sz w:val="20"/>
                <w:szCs w:val="20"/>
              </w:rPr>
              <w:t>A count of the number of patients with a specific device in place during the reporting month (central line, catheter, and ventilator days)</w:t>
            </w:r>
          </w:p>
        </w:tc>
      </w:tr>
    </w:tbl>
    <w:p w:rsidR="000C21A5" w:rsidRPr="00FA4402" w:rsidP="000C21A5" w14:paraId="7CF93D8D" w14:textId="61513745">
      <w:pPr>
        <w:rPr>
          <w:b/>
          <w:iCs/>
        </w:rPr>
      </w:pPr>
      <w:r w:rsidRPr="00FA4402">
        <w:rPr>
          <w:b/>
          <w:iCs/>
        </w:rPr>
        <w:t>Evaluation Design</w:t>
      </w:r>
    </w:p>
    <w:p w:rsidR="00A2580F" w:rsidRPr="00A2580F" w:rsidP="00A2580F" w14:paraId="0C857B61" w14:textId="46732920">
      <w:r>
        <w:t>T</w:t>
      </w:r>
      <w:r w:rsidRPr="00A2580F">
        <w:t xml:space="preserve">he HAI Unit Assessment </w:t>
      </w:r>
      <w:r w:rsidRPr="00A2580F">
        <w:t>will address three broad goals</w:t>
      </w:r>
      <w:r>
        <w:t>:</w:t>
      </w:r>
      <w:r w:rsidRPr="00A2580F">
        <w:t xml:space="preserve"> 1) </w:t>
      </w:r>
      <w:bookmarkStart w:id="12" w:name="OLE_LINK122"/>
      <w:bookmarkStart w:id="13" w:name="OLE_LINK120"/>
      <w:r w:rsidRPr="00A2580F">
        <w:t xml:space="preserve">participating units’ experiences related to the </w:t>
      </w:r>
      <w:bookmarkEnd w:id="12"/>
      <w:bookmarkEnd w:id="13"/>
      <w:r w:rsidR="00AB58B1">
        <w:t>AHRQ Safety Program for HAI Prevention</w:t>
      </w:r>
      <w:bookmarkStart w:id="14" w:name="OLE_LINK121"/>
      <w:r w:rsidRPr="00A2580F">
        <w:t xml:space="preserve"> (i.e., use and perceptions of revised AHRQ Toolkits and </w:t>
      </w:r>
      <w:r w:rsidR="00CC446F">
        <w:t>technical assistance</w:t>
      </w:r>
      <w:r w:rsidRPr="00A2580F">
        <w:t xml:space="preserve">, experiences with measurement, </w:t>
      </w:r>
      <w:r w:rsidR="001F556C">
        <w:t xml:space="preserve">and </w:t>
      </w:r>
      <w:r w:rsidRPr="00A2580F">
        <w:t>feedback about the program)</w:t>
      </w:r>
      <w:bookmarkEnd w:id="14"/>
      <w:r w:rsidRPr="00A2580F">
        <w:t xml:space="preserve">; 2) </w:t>
      </w:r>
      <w:bookmarkStart w:id="15" w:name="OLE_LINK123"/>
      <w:r w:rsidRPr="00A2580F">
        <w:t xml:space="preserve">participating units’ self-reported change in HAI </w:t>
      </w:r>
      <w:bookmarkEnd w:id="15"/>
      <w:r w:rsidR="00151230">
        <w:t>processes</w:t>
      </w:r>
      <w:r w:rsidRPr="00A2580F" w:rsidR="00151230">
        <w:t xml:space="preserve"> </w:t>
      </w:r>
      <w:r w:rsidRPr="00A2580F">
        <w:t>(i.e</w:t>
      </w:r>
      <w:bookmarkStart w:id="16" w:name="OLE_LINK130"/>
      <w:r w:rsidRPr="00A2580F">
        <w:t xml:space="preserve">., </w:t>
      </w:r>
      <w:bookmarkStart w:id="17" w:name="OLE_LINK124"/>
      <w:r w:rsidRPr="00A2580F">
        <w:t>self-reported change</w:t>
      </w:r>
      <w:r w:rsidR="00C04149">
        <w:t>s</w:t>
      </w:r>
      <w:r w:rsidRPr="00A2580F">
        <w:t xml:space="preserve"> in CLABSI, CAUTI, or VAP/VAE prevention processes, </w:t>
      </w:r>
      <w:r w:rsidR="004F5082">
        <w:t>interventions</w:t>
      </w:r>
      <w:r w:rsidRPr="00A2580F">
        <w:t xml:space="preserve"> implemented by unit, unit capacity to improve HAI </w:t>
      </w:r>
      <w:r w:rsidRPr="00A2580F">
        <w:t>rates</w:t>
      </w:r>
      <w:bookmarkEnd w:id="16"/>
      <w:bookmarkEnd w:id="17"/>
      <w:r w:rsidR="00FE266B">
        <w:t>, and self-reported improvements in HAI prevention processes</w:t>
      </w:r>
      <w:r w:rsidRPr="00A2580F">
        <w:t xml:space="preserve">); and 3) </w:t>
      </w:r>
      <w:r w:rsidRPr="00151230" w:rsidR="00151230">
        <w:t>participating units’</w:t>
      </w:r>
      <w:r w:rsidRPr="00A2580F">
        <w:t xml:space="preserve"> </w:t>
      </w:r>
      <w:bookmarkStart w:id="18" w:name="OLE_LINK131"/>
      <w:r w:rsidRPr="00A2580F">
        <w:t xml:space="preserve">changes in HAI rates </w:t>
      </w:r>
      <w:bookmarkEnd w:id="18"/>
      <w:r w:rsidRPr="00A2580F">
        <w:t xml:space="preserve">(i.e., </w:t>
      </w:r>
      <w:bookmarkStart w:id="19" w:name="OLE_LINK132"/>
      <w:r w:rsidRPr="00A2580F">
        <w:t xml:space="preserve">units’ CLABSI, CAUTI, or VAP/VAE </w:t>
      </w:r>
      <w:r w:rsidR="00B7598A">
        <w:t xml:space="preserve">reported </w:t>
      </w:r>
      <w:r w:rsidRPr="00A2580F">
        <w:t xml:space="preserve">rates </w:t>
      </w:r>
      <w:bookmarkEnd w:id="19"/>
      <w:r w:rsidR="00B7598A">
        <w:t xml:space="preserve">and </w:t>
      </w:r>
      <w:r w:rsidRPr="008C5B4E" w:rsidR="008C5B4E">
        <w:t xml:space="preserve">self-reported </w:t>
      </w:r>
      <w:r w:rsidR="00675DF0">
        <w:t>improvements</w:t>
      </w:r>
      <w:r w:rsidRPr="008C5B4E" w:rsidR="008C5B4E">
        <w:t xml:space="preserve"> in HAI rates</w:t>
      </w:r>
      <w:r w:rsidRPr="00A2580F">
        <w:t xml:space="preserve">). </w:t>
      </w:r>
    </w:p>
    <w:p w:rsidR="00A2580F" w:rsidRPr="00A2580F" w:rsidP="00A2580F" w14:paraId="77DAFAFF" w14:textId="77777777"/>
    <w:p w:rsidR="00A2580F" w:rsidRPr="00A2580F" w:rsidP="00A2580F" w14:paraId="26DC02C6" w14:textId="6EFC0C9A">
      <w:pPr>
        <w:rPr>
          <w:b/>
          <w:bCs/>
        </w:rPr>
      </w:pPr>
      <w:r>
        <w:rPr>
          <w:bCs/>
          <w:iCs/>
        </w:rPr>
        <w:t>The program team</w:t>
      </w:r>
      <w:r w:rsidRPr="00A2580F">
        <w:rPr>
          <w:bCs/>
          <w:iCs/>
        </w:rPr>
        <w:t xml:space="preserve"> </w:t>
      </w:r>
      <w:r w:rsidRPr="00A2580F">
        <w:t>will use a conceptual framework to guide the design of measurement and outcomes for the HAI Unit Assessment</w:t>
      </w:r>
      <w:r w:rsidR="002D2F84">
        <w:t>, and has organized t</w:t>
      </w:r>
      <w:r w:rsidRPr="00A2580F">
        <w:t>he conceptual framework based on basic elements of widely used program evaluation logic models (i.e., inputs, short-term outcomes, and long-term outcomes) and theories of change (i.e., incorporating contextual factors to understand changes to processes and outcomes).</w:t>
      </w:r>
      <w:r>
        <w:rPr>
          <w:vertAlign w:val="superscript"/>
        </w:rPr>
        <w:endnoteReference w:id="3"/>
      </w:r>
      <w:r w:rsidRPr="00A2580F" w:rsidR="0005708D">
        <w:t xml:space="preserve"> The </w:t>
      </w:r>
      <w:r w:rsidR="0005708D">
        <w:t>program team</w:t>
      </w:r>
      <w:r w:rsidRPr="00A2580F" w:rsidR="0005708D">
        <w:t xml:space="preserve"> will populate the framework using the goals of measurement domains of the assessment. </w:t>
      </w:r>
    </w:p>
    <w:p w:rsidR="00E62ADE" w:rsidP="003950B4" w14:paraId="35E15AA7" w14:textId="77777777"/>
    <w:p w:rsidR="00770AEB" w:rsidP="00770AEB" w14:paraId="09193E1C" w14:textId="47D75D16">
      <w:r w:rsidRPr="001D3230">
        <w:rPr>
          <w:b/>
          <w:bCs/>
          <w:i/>
          <w:iCs/>
        </w:rPr>
        <w:t xml:space="preserve">Quantitative Analysis. </w:t>
      </w:r>
      <w:r w:rsidR="002D2F84">
        <w:t>The program team</w:t>
      </w:r>
      <w:r w:rsidRPr="001D3230">
        <w:t xml:space="preserve"> will conduct a series of quantitative analyses for each cohor</w:t>
      </w:r>
      <w:r w:rsidR="009933DF">
        <w:t>t</w:t>
      </w:r>
      <w:r w:rsidRPr="001D3230">
        <w:t xml:space="preserve">. Descriptive analyses will include descriptive tables, including mean scores and standard deviations, frequency counts, and data visualizations. </w:t>
      </w:r>
      <w:r w:rsidR="00612C3B">
        <w:t>The program team will use descriptive analyses to assess</w:t>
      </w:r>
      <w:r w:rsidR="00E1660C">
        <w:t xml:space="preserve"> units’</w:t>
      </w:r>
      <w:r w:rsidR="00B91FE8">
        <w:t xml:space="preserve"> self-reported</w:t>
      </w:r>
      <w:r w:rsidR="00E1660C">
        <w:t xml:space="preserve"> </w:t>
      </w:r>
      <w:r w:rsidR="0012608B">
        <w:t>improvement</w:t>
      </w:r>
      <w:r w:rsidR="00E1660C">
        <w:t xml:space="preserve"> in </w:t>
      </w:r>
      <w:r w:rsidR="006B5D17">
        <w:t xml:space="preserve">HAI prevention </w:t>
      </w:r>
      <w:r w:rsidR="00B91FE8">
        <w:t>processes and HAI rates</w:t>
      </w:r>
      <w:r w:rsidR="00867990">
        <w:t xml:space="preserve"> and will assess</w:t>
      </w:r>
      <w:r w:rsidR="00912381">
        <w:t xml:space="preserve"> responses to the</w:t>
      </w:r>
      <w:r w:rsidR="00585EE3">
        <w:t xml:space="preserve"> </w:t>
      </w:r>
      <w:bookmarkStart w:id="20" w:name="OLE_LINK305"/>
      <w:r w:rsidRPr="00585EE3" w:rsidR="00585EE3">
        <w:t>CUSP Device Rounds</w:t>
      </w:r>
      <w:bookmarkEnd w:id="20"/>
      <w:r w:rsidRPr="00585EE3" w:rsidR="00585EE3">
        <w:t>, Gap Analysis,</w:t>
      </w:r>
      <w:r w:rsidR="00585EE3">
        <w:t xml:space="preserve"> and </w:t>
      </w:r>
      <w:r w:rsidRPr="00585EE3" w:rsidR="00585EE3">
        <w:t>HSOPS</w:t>
      </w:r>
      <w:r w:rsidR="00912381">
        <w:t xml:space="preserve"> </w:t>
      </w:r>
      <w:r w:rsidR="00585EE3">
        <w:t>cross-sectionally</w:t>
      </w:r>
      <w:r w:rsidR="00B91FE8">
        <w:t xml:space="preserve">. </w:t>
      </w:r>
      <w:r w:rsidR="00585EE3">
        <w:t>In addition, t</w:t>
      </w:r>
      <w:r w:rsidR="00B91FE8">
        <w:t xml:space="preserve">he team will </w:t>
      </w:r>
      <w:r w:rsidR="008C530E">
        <w:t xml:space="preserve">use linear regression to </w:t>
      </w:r>
      <w:r w:rsidRPr="002B1987" w:rsidR="002B1987">
        <w:t>compare responses from baseline to endline</w:t>
      </w:r>
      <w:r w:rsidR="00B91FE8">
        <w:t xml:space="preserve"> </w:t>
      </w:r>
      <w:r w:rsidR="002B1987">
        <w:t xml:space="preserve">for </w:t>
      </w:r>
      <w:r w:rsidR="00142970">
        <w:t>the</w:t>
      </w:r>
      <w:r w:rsidR="00DC45F4">
        <w:t xml:space="preserve"> CUSP Device Rounds</w:t>
      </w:r>
      <w:r w:rsidR="00C5770E">
        <w:t xml:space="preserve">, the Gap Analysis, </w:t>
      </w:r>
      <w:r w:rsidR="003E5CF0">
        <w:t xml:space="preserve">the </w:t>
      </w:r>
      <w:r w:rsidRPr="008C530E" w:rsidR="008C530E">
        <w:t>H</w:t>
      </w:r>
      <w:r w:rsidR="008C530E">
        <w:t xml:space="preserve">SOPS, </w:t>
      </w:r>
      <w:bookmarkStart w:id="21" w:name="OLE_LINK177"/>
      <w:r w:rsidRPr="001D3230">
        <w:t xml:space="preserve">and HAI rates. </w:t>
      </w:r>
      <w:bookmarkEnd w:id="21"/>
    </w:p>
    <w:p w:rsidR="00A3700D" w:rsidP="00770AEB" w14:paraId="4B553A7D" w14:textId="77777777">
      <w:pPr>
        <w:rPr>
          <w:b/>
        </w:rPr>
      </w:pPr>
    </w:p>
    <w:p w:rsidR="00CA22B9" w:rsidP="00CA22B9" w14:paraId="10C836C8" w14:textId="1B758111">
      <w:pPr>
        <w:rPr>
          <w:rStyle w:val="NORCCaption-Color"/>
          <w:rFonts w:ascii="Times New Roman" w:hAnsi="Times New Roman"/>
          <w:color w:val="auto"/>
          <w:sz w:val="24"/>
        </w:rPr>
      </w:pPr>
      <w:r w:rsidRPr="00A3700D">
        <w:t>For the primary</w:t>
      </w:r>
      <w:r w:rsidRPr="00A3700D" w:rsidR="00AA2D0C">
        <w:t xml:space="preserve"> clinical</w:t>
      </w:r>
      <w:r w:rsidRPr="00A3700D">
        <w:t xml:space="preserve"> outcom</w:t>
      </w:r>
      <w:r w:rsidRPr="00A3700D" w:rsidR="00AA2D0C">
        <w:t xml:space="preserve">es, </w:t>
      </w:r>
      <w:r w:rsidRPr="00A3700D" w:rsidR="00EE1B07">
        <w:t xml:space="preserve">the project team will </w:t>
      </w:r>
      <w:r w:rsidRPr="00A3700D" w:rsidR="00C97C33">
        <w:t xml:space="preserve">assess change </w:t>
      </w:r>
      <w:r w:rsidRPr="00A3700D" w:rsidR="00491CC9">
        <w:t xml:space="preserve">from baseline to </w:t>
      </w:r>
      <w:r w:rsidRPr="00A3700D" w:rsidR="002A014F">
        <w:t>endline for</w:t>
      </w:r>
      <w:r w:rsidRPr="00A3700D" w:rsidR="00F86603">
        <w:t xml:space="preserve"> HAI infection rates per 10,000 device days. </w:t>
      </w:r>
      <w:r w:rsidRPr="00A3700D" w:rsidR="00745982">
        <w:t xml:space="preserve">The </w:t>
      </w:r>
      <w:r w:rsidR="00AB58B1">
        <w:t xml:space="preserve">AHRQ </w:t>
      </w:r>
      <w:r w:rsidRPr="00A3700D" w:rsidR="00745982">
        <w:t xml:space="preserve">Safety Program </w:t>
      </w:r>
      <w:r w:rsidR="00EB6B25">
        <w:t xml:space="preserve">for HAI Prevention </w:t>
      </w:r>
      <w:r w:rsidRPr="00A3700D" w:rsidR="00745982">
        <w:t xml:space="preserve">is designed to be powered at 80 percent to detect a change from baseline to endline for </w:t>
      </w:r>
      <w:r w:rsidRPr="00EB6B25" w:rsidR="00EB6B25">
        <w:t>4.57 CLABSI per 10,000 central line days (assuming SD of 17.3)</w:t>
      </w:r>
      <w:r w:rsidR="00EB6B25">
        <w:t xml:space="preserve">, </w:t>
      </w:r>
      <w:r w:rsidRPr="00A3700D" w:rsidR="000B73D1">
        <w:t xml:space="preserve">4.97 </w:t>
      </w:r>
      <w:r w:rsidRPr="00A3700D" w:rsidR="00745982">
        <w:t>CAUTI per 10,000 urinary catheter days (assuming SD of 18.8), and 73</w:t>
      </w:r>
      <w:r w:rsidRPr="00A3700D" w:rsidR="00EE2CCB">
        <w:t>.</w:t>
      </w:r>
      <w:r w:rsidRPr="00A3700D" w:rsidR="00745982">
        <w:t>1 VAP/VAE per 1</w:t>
      </w:r>
      <w:r w:rsidR="00CC066B">
        <w:t>0</w:t>
      </w:r>
      <w:r w:rsidRPr="00A3700D" w:rsidR="00745982">
        <w:t>,000 ventilator days (assuming SD of 206</w:t>
      </w:r>
      <w:r w:rsidRPr="00A3700D" w:rsidR="00572BB0">
        <w:t>.3</w:t>
      </w:r>
      <w:r w:rsidRPr="00A3700D" w:rsidR="00745982">
        <w:t>) (see Exhibit</w:t>
      </w:r>
      <w:r w:rsidR="00151BD6">
        <w:t>s</w:t>
      </w:r>
      <w:r w:rsidRPr="00A3700D" w:rsidR="00745982">
        <w:t xml:space="preserve"> </w:t>
      </w:r>
      <w:r w:rsidR="00151BD6">
        <w:t>3-5</w:t>
      </w:r>
      <w:r w:rsidRPr="00A3700D" w:rsidR="00745982">
        <w:t>). The following assumptions were used in the power calculations: 1) 2-sided significance level of 0.05, 2) within-practice correlation of 0.4, and 3) 150 units with response rate of 90 percent for CAUTI cohort and CLABSI cohort, and 100 units with response rate of 75 percent for VAP/VAE cohort</w:t>
      </w:r>
      <w:r w:rsidRPr="00745982" w:rsidR="00745982">
        <w:t>.</w:t>
      </w:r>
      <w:bookmarkStart w:id="22" w:name="OLE_LINK178"/>
    </w:p>
    <w:p w:rsidR="00CE77DE" w:rsidP="0096314F" w14:paraId="47196CCC" w14:textId="146C10AB">
      <w:pPr>
        <w:pStyle w:val="Exhibit1"/>
      </w:pPr>
      <w:r w:rsidRPr="0096314F">
        <w:rPr>
          <w:rStyle w:val="NORCCaption-Color"/>
          <w:rFonts w:ascii="Times New Roman" w:hAnsi="Times New Roman"/>
          <w:b/>
          <w:bCs/>
          <w:color w:val="auto"/>
          <w:sz w:val="24"/>
        </w:rPr>
        <w:t>Exhibit 3:</w:t>
      </w:r>
      <w:r w:rsidRPr="00CE77DE">
        <w:t xml:space="preserve"> </w:t>
      </w:r>
      <w:r w:rsidRPr="0096314F">
        <w:rPr>
          <w:b w:val="0"/>
          <w:bCs/>
        </w:rPr>
        <w:t xml:space="preserve">Power Analysis </w:t>
      </w:r>
      <w:r w:rsidRPr="0096314F" w:rsidR="001867D9">
        <w:rPr>
          <w:b w:val="0"/>
          <w:bCs/>
        </w:rPr>
        <w:t xml:space="preserve">for the </w:t>
      </w:r>
      <w:r w:rsidRPr="0096314F">
        <w:rPr>
          <w:b w:val="0"/>
          <w:bCs/>
        </w:rPr>
        <w:t>CLABSI</w:t>
      </w:r>
      <w:r w:rsidRPr="0096314F" w:rsidR="001867D9">
        <w:rPr>
          <w:b w:val="0"/>
          <w:bCs/>
        </w:rPr>
        <w:t xml:space="preserve"> </w:t>
      </w:r>
      <w:r w:rsidRPr="0096314F">
        <w:rPr>
          <w:b w:val="0"/>
          <w:bCs/>
        </w:rPr>
        <w:t>Cohort</w:t>
      </w:r>
    </w:p>
    <w:tbl>
      <w:tblPr>
        <w:tblW w:w="8630" w:type="dxa"/>
        <w:tblCellMar>
          <w:left w:w="0" w:type="dxa"/>
          <w:right w:w="0" w:type="dxa"/>
        </w:tblCellMar>
        <w:tblLook w:val="04A0"/>
      </w:tblPr>
      <w:tblGrid>
        <w:gridCol w:w="2157"/>
        <w:gridCol w:w="2158"/>
        <w:gridCol w:w="2157"/>
        <w:gridCol w:w="2158"/>
      </w:tblGrid>
      <w:tr w14:paraId="0E58DD99" w14:textId="77777777" w:rsidTr="0096314F">
        <w:tblPrEx>
          <w:tblW w:w="8630" w:type="dxa"/>
          <w:tblCellMar>
            <w:left w:w="0" w:type="dxa"/>
            <w:right w:w="0" w:type="dxa"/>
          </w:tblCellMar>
          <w:tblLook w:val="04A0"/>
        </w:tblPrEx>
        <w:trPr>
          <w:trHeight w:val="131"/>
        </w:trPr>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E0CEC" w:rsidRPr="000E55DD" w:rsidP="003F5D7A" w14:paraId="20B05361" w14:textId="77777777">
            <w:pPr>
              <w:jc w:val="center"/>
              <w:rPr>
                <w:rFonts w:eastAsia="Aptos"/>
                <w:b/>
                <w:bCs/>
                <w:color w:val="000000"/>
                <w:sz w:val="20"/>
                <w:szCs w:val="20"/>
              </w:rPr>
            </w:pPr>
            <w:r w:rsidRPr="000E55DD">
              <w:rPr>
                <w:rFonts w:eastAsia="Aptos"/>
                <w:b/>
                <w:bCs/>
                <w:color w:val="000000"/>
                <w:sz w:val="20"/>
                <w:szCs w:val="20"/>
              </w:rPr>
              <w:t>Total number of units</w:t>
            </w:r>
          </w:p>
        </w:tc>
        <w:tc>
          <w:tcPr>
            <w:tcW w:w="2158" w:type="dxa"/>
            <w:tcBorders>
              <w:top w:val="single" w:sz="8" w:space="0" w:color="auto"/>
              <w:left w:val="nil"/>
              <w:bottom w:val="single" w:sz="8" w:space="0" w:color="auto"/>
              <w:right w:val="single" w:sz="4" w:space="0" w:color="auto"/>
            </w:tcBorders>
          </w:tcPr>
          <w:p w:rsidR="007E0CEC" w:rsidRPr="000E55DD" w:rsidP="003F5D7A" w14:paraId="58D999A6" w14:textId="149300DA">
            <w:pPr>
              <w:jc w:val="center"/>
              <w:rPr>
                <w:rFonts w:eastAsia="Aptos"/>
                <w:b/>
                <w:bCs/>
                <w:color w:val="000000"/>
                <w:sz w:val="20"/>
                <w:szCs w:val="20"/>
              </w:rPr>
            </w:pPr>
            <w:r>
              <w:rPr>
                <w:rFonts w:eastAsia="Aptos"/>
                <w:b/>
                <w:bCs/>
                <w:color w:val="000000"/>
                <w:sz w:val="20"/>
                <w:szCs w:val="20"/>
              </w:rPr>
              <w:t xml:space="preserve">Effective Sample Size After Non-Response </w:t>
            </w:r>
          </w:p>
        </w:tc>
        <w:tc>
          <w:tcPr>
            <w:tcW w:w="215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E0CEC" w:rsidRPr="000E55DD" w:rsidP="003F5D7A" w14:paraId="277B624B" w14:textId="57BF16C6">
            <w:pPr>
              <w:jc w:val="center"/>
              <w:rPr>
                <w:rFonts w:eastAsia="Aptos"/>
                <w:b/>
                <w:bCs/>
                <w:color w:val="000000"/>
                <w:sz w:val="20"/>
                <w:szCs w:val="20"/>
              </w:rPr>
            </w:pPr>
            <w:r w:rsidRPr="000E55DD">
              <w:rPr>
                <w:rFonts w:eastAsia="Aptos"/>
                <w:b/>
                <w:bCs/>
                <w:color w:val="000000"/>
                <w:sz w:val="20"/>
                <w:szCs w:val="20"/>
              </w:rPr>
              <w:t>Correlation within unit</w:t>
            </w:r>
          </w:p>
        </w:tc>
        <w:tc>
          <w:tcPr>
            <w:tcW w:w="21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E0CEC" w:rsidRPr="000E55DD" w:rsidP="003F5D7A" w14:paraId="4376979C" w14:textId="40A1F7C4">
            <w:pPr>
              <w:jc w:val="center"/>
              <w:rPr>
                <w:rFonts w:eastAsia="Aptos"/>
                <w:b/>
                <w:bCs/>
                <w:color w:val="000000"/>
                <w:sz w:val="20"/>
                <w:szCs w:val="20"/>
              </w:rPr>
            </w:pPr>
            <w:r>
              <w:rPr>
                <w:rFonts w:eastAsia="Aptos"/>
                <w:b/>
                <w:bCs/>
                <w:color w:val="000000"/>
                <w:sz w:val="20"/>
                <w:szCs w:val="20"/>
              </w:rPr>
              <w:t xml:space="preserve">Detectable Change in </w:t>
            </w:r>
            <w:r w:rsidRPr="000E55DD">
              <w:rPr>
                <w:rFonts w:eastAsia="Aptos"/>
                <w:b/>
                <w:bCs/>
                <w:color w:val="000000"/>
                <w:sz w:val="20"/>
                <w:szCs w:val="20"/>
              </w:rPr>
              <w:t>CLABSI per 10,000 central line days</w:t>
            </w:r>
          </w:p>
        </w:tc>
      </w:tr>
      <w:tr w14:paraId="476D3242" w14:textId="77777777" w:rsidTr="0096314F">
        <w:tblPrEx>
          <w:tblW w:w="8630" w:type="dxa"/>
          <w:tblCellMar>
            <w:left w:w="0" w:type="dxa"/>
            <w:right w:w="0" w:type="dxa"/>
          </w:tblCellMar>
          <w:tblLook w:val="04A0"/>
        </w:tblPrEx>
        <w:trPr>
          <w:trHeight w:val="59"/>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E0CEC" w:rsidRPr="000E55DD" w:rsidP="003F5D7A" w14:paraId="06A83253" w14:textId="77777777">
            <w:pPr>
              <w:jc w:val="center"/>
              <w:rPr>
                <w:rFonts w:eastAsia="Aptos"/>
                <w:color w:val="000000"/>
                <w:sz w:val="20"/>
                <w:szCs w:val="20"/>
              </w:rPr>
            </w:pPr>
            <w:r w:rsidRPr="000E55DD">
              <w:rPr>
                <w:rFonts w:eastAsia="Aptos"/>
                <w:color w:val="000000"/>
                <w:sz w:val="20"/>
                <w:szCs w:val="20"/>
              </w:rPr>
              <w:t>150</w:t>
            </w:r>
          </w:p>
        </w:tc>
        <w:tc>
          <w:tcPr>
            <w:tcW w:w="2158" w:type="dxa"/>
            <w:tcBorders>
              <w:top w:val="single" w:sz="8" w:space="0" w:color="auto"/>
              <w:left w:val="nil"/>
              <w:bottom w:val="single" w:sz="8" w:space="0" w:color="auto"/>
              <w:right w:val="single" w:sz="4" w:space="0" w:color="auto"/>
            </w:tcBorders>
          </w:tcPr>
          <w:p w:rsidR="007E0CEC" w:rsidRPr="000E55DD" w:rsidP="003F5D7A" w14:paraId="1082CD48" w14:textId="6C971F49">
            <w:pPr>
              <w:jc w:val="center"/>
              <w:rPr>
                <w:rFonts w:eastAsia="Aptos"/>
                <w:color w:val="000000"/>
                <w:sz w:val="20"/>
                <w:szCs w:val="20"/>
              </w:rPr>
            </w:pPr>
            <w:r>
              <w:rPr>
                <w:rFonts w:eastAsia="Aptos"/>
                <w:color w:val="000000"/>
                <w:sz w:val="20"/>
                <w:szCs w:val="20"/>
              </w:rPr>
              <w:t>135</w:t>
            </w:r>
          </w:p>
        </w:tc>
        <w:tc>
          <w:tcPr>
            <w:tcW w:w="215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hideMark/>
          </w:tcPr>
          <w:p w:rsidR="007E0CEC" w:rsidRPr="000E55DD" w:rsidP="003F5D7A" w14:paraId="7D9F5C16" w14:textId="1BC931A8">
            <w:pPr>
              <w:jc w:val="center"/>
              <w:rPr>
                <w:rFonts w:eastAsia="Aptos"/>
                <w:color w:val="000000"/>
                <w:sz w:val="20"/>
                <w:szCs w:val="20"/>
              </w:rPr>
            </w:pPr>
            <w:r w:rsidRPr="000E55DD">
              <w:rPr>
                <w:rFonts w:eastAsia="Aptos"/>
                <w:color w:val="000000"/>
                <w:sz w:val="20"/>
                <w:szCs w:val="20"/>
              </w:rPr>
              <w:t>0.2</w:t>
            </w:r>
          </w:p>
        </w:tc>
        <w:tc>
          <w:tcPr>
            <w:tcW w:w="21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E0CEC" w:rsidRPr="000E55DD" w:rsidP="003F5D7A" w14:paraId="659CB233" w14:textId="77777777">
            <w:pPr>
              <w:jc w:val="center"/>
              <w:rPr>
                <w:rFonts w:eastAsia="Aptos"/>
                <w:color w:val="000000"/>
                <w:sz w:val="20"/>
                <w:szCs w:val="20"/>
              </w:rPr>
            </w:pPr>
            <w:r w:rsidRPr="000E55DD">
              <w:rPr>
                <w:rFonts w:eastAsia="Aptos"/>
                <w:color w:val="000000"/>
                <w:sz w:val="20"/>
                <w:szCs w:val="20"/>
              </w:rPr>
              <w:t>5.28</w:t>
            </w:r>
          </w:p>
        </w:tc>
      </w:tr>
      <w:tr w14:paraId="515F2226" w14:textId="77777777" w:rsidTr="0096314F">
        <w:tblPrEx>
          <w:tblW w:w="8630" w:type="dxa"/>
          <w:tblCellMar>
            <w:left w:w="0" w:type="dxa"/>
            <w:right w:w="0" w:type="dxa"/>
          </w:tblCellMar>
          <w:tblLook w:val="04A0"/>
        </w:tblPrEx>
        <w:trPr>
          <w:trHeight w:val="140"/>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E0CEC" w:rsidRPr="00EB6B25" w:rsidP="003F5D7A" w14:paraId="432DDEC0" w14:textId="77777777">
            <w:pPr>
              <w:jc w:val="center"/>
              <w:rPr>
                <w:rFonts w:eastAsia="Aptos"/>
                <w:b/>
                <w:bCs/>
                <w:color w:val="000000"/>
                <w:sz w:val="20"/>
                <w:szCs w:val="20"/>
              </w:rPr>
            </w:pPr>
            <w:r w:rsidRPr="00EB6B25">
              <w:rPr>
                <w:rFonts w:eastAsia="Aptos"/>
                <w:b/>
                <w:bCs/>
                <w:color w:val="000000"/>
                <w:sz w:val="20"/>
                <w:szCs w:val="20"/>
              </w:rPr>
              <w:t>150</w:t>
            </w:r>
          </w:p>
        </w:tc>
        <w:tc>
          <w:tcPr>
            <w:tcW w:w="2158" w:type="dxa"/>
            <w:tcBorders>
              <w:top w:val="single" w:sz="8" w:space="0" w:color="auto"/>
              <w:left w:val="nil"/>
              <w:bottom w:val="single" w:sz="8" w:space="0" w:color="auto"/>
              <w:right w:val="single" w:sz="4" w:space="0" w:color="auto"/>
            </w:tcBorders>
          </w:tcPr>
          <w:p w:rsidR="007E0CEC" w:rsidRPr="00CA22B9" w:rsidP="003F5D7A" w14:paraId="4A77F849" w14:textId="38635EE1">
            <w:pPr>
              <w:jc w:val="center"/>
              <w:rPr>
                <w:rFonts w:eastAsia="Aptos"/>
                <w:b/>
                <w:bCs/>
                <w:color w:val="000000"/>
                <w:sz w:val="20"/>
                <w:szCs w:val="20"/>
              </w:rPr>
            </w:pPr>
            <w:r w:rsidRPr="0096314F">
              <w:rPr>
                <w:rFonts w:eastAsia="Aptos"/>
                <w:b/>
                <w:bCs/>
                <w:color w:val="000000"/>
                <w:sz w:val="20"/>
                <w:szCs w:val="20"/>
              </w:rPr>
              <w:t>135</w:t>
            </w:r>
          </w:p>
        </w:tc>
        <w:tc>
          <w:tcPr>
            <w:tcW w:w="215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hideMark/>
          </w:tcPr>
          <w:p w:rsidR="007E0CEC" w:rsidRPr="00EB6B25" w:rsidP="003F5D7A" w14:paraId="51C73E3F" w14:textId="50D3051D">
            <w:pPr>
              <w:jc w:val="center"/>
              <w:rPr>
                <w:rFonts w:eastAsia="Aptos"/>
                <w:b/>
                <w:bCs/>
                <w:color w:val="000000"/>
                <w:sz w:val="20"/>
                <w:szCs w:val="20"/>
              </w:rPr>
            </w:pPr>
            <w:r w:rsidRPr="00EB6B25">
              <w:rPr>
                <w:rFonts w:eastAsia="Aptos"/>
                <w:b/>
                <w:bCs/>
                <w:color w:val="000000"/>
                <w:sz w:val="20"/>
                <w:szCs w:val="20"/>
              </w:rPr>
              <w:t>0.4</w:t>
            </w:r>
          </w:p>
        </w:tc>
        <w:tc>
          <w:tcPr>
            <w:tcW w:w="21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E0CEC" w:rsidRPr="00EB6B25" w:rsidP="003F5D7A" w14:paraId="63ABD033" w14:textId="77777777">
            <w:pPr>
              <w:jc w:val="center"/>
              <w:rPr>
                <w:rFonts w:eastAsia="Aptos"/>
                <w:b/>
                <w:bCs/>
                <w:color w:val="000000"/>
                <w:sz w:val="20"/>
                <w:szCs w:val="20"/>
              </w:rPr>
            </w:pPr>
            <w:r w:rsidRPr="00EB6B25">
              <w:rPr>
                <w:rFonts w:eastAsia="Aptos"/>
                <w:b/>
                <w:bCs/>
                <w:color w:val="000000"/>
                <w:sz w:val="20"/>
                <w:szCs w:val="20"/>
              </w:rPr>
              <w:t>4.57</w:t>
            </w:r>
          </w:p>
        </w:tc>
      </w:tr>
      <w:tr w14:paraId="6E54F4DA" w14:textId="77777777" w:rsidTr="0096314F">
        <w:tblPrEx>
          <w:tblW w:w="8630" w:type="dxa"/>
          <w:tblCellMar>
            <w:left w:w="0" w:type="dxa"/>
            <w:right w:w="0" w:type="dxa"/>
          </w:tblCellMar>
          <w:tblLook w:val="04A0"/>
        </w:tblPrEx>
        <w:trPr>
          <w:trHeight w:val="69"/>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E0CEC" w:rsidRPr="000E55DD" w:rsidP="003F5D7A" w14:paraId="49ADDBAE" w14:textId="77777777">
            <w:pPr>
              <w:jc w:val="center"/>
              <w:rPr>
                <w:rFonts w:eastAsia="Aptos"/>
                <w:color w:val="000000"/>
                <w:sz w:val="20"/>
                <w:szCs w:val="20"/>
              </w:rPr>
            </w:pPr>
            <w:r w:rsidRPr="000E55DD">
              <w:rPr>
                <w:rFonts w:eastAsia="Aptos"/>
                <w:color w:val="000000"/>
                <w:sz w:val="20"/>
                <w:szCs w:val="20"/>
              </w:rPr>
              <w:t>150</w:t>
            </w:r>
          </w:p>
        </w:tc>
        <w:tc>
          <w:tcPr>
            <w:tcW w:w="2158" w:type="dxa"/>
            <w:tcBorders>
              <w:top w:val="single" w:sz="8" w:space="0" w:color="auto"/>
              <w:left w:val="nil"/>
              <w:bottom w:val="single" w:sz="8" w:space="0" w:color="auto"/>
              <w:right w:val="single" w:sz="4" w:space="0" w:color="auto"/>
            </w:tcBorders>
          </w:tcPr>
          <w:p w:rsidR="007E0CEC" w:rsidRPr="000E55DD" w:rsidP="003F5D7A" w14:paraId="7CB10D54" w14:textId="34EB022F">
            <w:pPr>
              <w:jc w:val="center"/>
              <w:rPr>
                <w:rFonts w:eastAsia="Aptos"/>
                <w:color w:val="000000"/>
                <w:sz w:val="20"/>
                <w:szCs w:val="20"/>
              </w:rPr>
            </w:pPr>
            <w:r>
              <w:rPr>
                <w:rFonts w:eastAsia="Aptos"/>
                <w:color w:val="000000"/>
                <w:sz w:val="20"/>
                <w:szCs w:val="20"/>
              </w:rPr>
              <w:t>135</w:t>
            </w:r>
          </w:p>
        </w:tc>
        <w:tc>
          <w:tcPr>
            <w:tcW w:w="215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hideMark/>
          </w:tcPr>
          <w:p w:rsidR="007E0CEC" w:rsidRPr="000E55DD" w:rsidP="003F5D7A" w14:paraId="2DD16DD1" w14:textId="6D29EE8A">
            <w:pPr>
              <w:jc w:val="center"/>
              <w:rPr>
                <w:rFonts w:eastAsia="Aptos"/>
                <w:color w:val="000000"/>
                <w:sz w:val="20"/>
                <w:szCs w:val="20"/>
              </w:rPr>
            </w:pPr>
            <w:r w:rsidRPr="000E55DD">
              <w:rPr>
                <w:rFonts w:eastAsia="Aptos"/>
                <w:color w:val="000000"/>
                <w:sz w:val="20"/>
                <w:szCs w:val="20"/>
              </w:rPr>
              <w:t>0.6</w:t>
            </w:r>
          </w:p>
        </w:tc>
        <w:tc>
          <w:tcPr>
            <w:tcW w:w="21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E0CEC" w:rsidRPr="000E55DD" w:rsidP="003F5D7A" w14:paraId="566EA8F7" w14:textId="77777777">
            <w:pPr>
              <w:jc w:val="center"/>
              <w:rPr>
                <w:rFonts w:eastAsia="Aptos"/>
                <w:color w:val="000000"/>
                <w:sz w:val="20"/>
                <w:szCs w:val="20"/>
              </w:rPr>
            </w:pPr>
            <w:r w:rsidRPr="000E55DD">
              <w:rPr>
                <w:rFonts w:eastAsia="Aptos"/>
                <w:color w:val="000000"/>
                <w:sz w:val="20"/>
                <w:szCs w:val="20"/>
              </w:rPr>
              <w:t>3.73</w:t>
            </w:r>
          </w:p>
        </w:tc>
      </w:tr>
      <w:tr w14:paraId="2BF9EBF3" w14:textId="77777777" w:rsidTr="0096314F">
        <w:tblPrEx>
          <w:tblW w:w="8630" w:type="dxa"/>
          <w:tblCellMar>
            <w:left w:w="0" w:type="dxa"/>
            <w:right w:w="0" w:type="dxa"/>
          </w:tblCellMar>
          <w:tblLook w:val="04A0"/>
        </w:tblPrEx>
        <w:trPr>
          <w:trHeight w:val="69"/>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E0CEC" w:rsidRPr="000E55DD" w:rsidP="003F5D7A" w14:paraId="4C424954" w14:textId="77777777">
            <w:pPr>
              <w:jc w:val="center"/>
              <w:rPr>
                <w:rFonts w:eastAsia="Aptos"/>
                <w:color w:val="000000"/>
                <w:sz w:val="20"/>
                <w:szCs w:val="20"/>
              </w:rPr>
            </w:pPr>
            <w:r w:rsidRPr="000E55DD">
              <w:rPr>
                <w:rFonts w:eastAsia="Aptos"/>
                <w:color w:val="000000"/>
                <w:sz w:val="20"/>
                <w:szCs w:val="20"/>
              </w:rPr>
              <w:t>100</w:t>
            </w:r>
          </w:p>
        </w:tc>
        <w:tc>
          <w:tcPr>
            <w:tcW w:w="2158" w:type="dxa"/>
            <w:tcBorders>
              <w:top w:val="single" w:sz="8" w:space="0" w:color="auto"/>
              <w:left w:val="nil"/>
              <w:bottom w:val="single" w:sz="8" w:space="0" w:color="auto"/>
              <w:right w:val="single" w:sz="4" w:space="0" w:color="auto"/>
            </w:tcBorders>
          </w:tcPr>
          <w:p w:rsidR="007E0CEC" w:rsidRPr="000E55DD" w:rsidP="003F5D7A" w14:paraId="73B5B684" w14:textId="243BD487">
            <w:pPr>
              <w:jc w:val="center"/>
              <w:rPr>
                <w:rFonts w:eastAsia="Aptos"/>
                <w:color w:val="000000"/>
                <w:sz w:val="20"/>
                <w:szCs w:val="20"/>
              </w:rPr>
            </w:pPr>
            <w:r>
              <w:rPr>
                <w:rFonts w:eastAsia="Aptos"/>
                <w:color w:val="000000"/>
                <w:sz w:val="20"/>
                <w:szCs w:val="20"/>
              </w:rPr>
              <w:t>90</w:t>
            </w:r>
          </w:p>
        </w:tc>
        <w:tc>
          <w:tcPr>
            <w:tcW w:w="215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hideMark/>
          </w:tcPr>
          <w:p w:rsidR="007E0CEC" w:rsidRPr="000E55DD" w:rsidP="003F5D7A" w14:paraId="2603F85B" w14:textId="3066D2E7">
            <w:pPr>
              <w:jc w:val="center"/>
              <w:rPr>
                <w:rFonts w:eastAsia="Aptos"/>
                <w:color w:val="000000"/>
                <w:sz w:val="20"/>
                <w:szCs w:val="20"/>
              </w:rPr>
            </w:pPr>
            <w:r w:rsidRPr="000E55DD">
              <w:rPr>
                <w:rFonts w:eastAsia="Aptos"/>
                <w:color w:val="000000"/>
                <w:sz w:val="20"/>
                <w:szCs w:val="20"/>
              </w:rPr>
              <w:t>0.2</w:t>
            </w:r>
          </w:p>
        </w:tc>
        <w:tc>
          <w:tcPr>
            <w:tcW w:w="21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E0CEC" w:rsidRPr="000E55DD" w:rsidP="003F5D7A" w14:paraId="015B7090" w14:textId="77777777">
            <w:pPr>
              <w:jc w:val="center"/>
              <w:rPr>
                <w:rFonts w:eastAsia="Aptos"/>
                <w:color w:val="000000"/>
                <w:sz w:val="20"/>
                <w:szCs w:val="20"/>
              </w:rPr>
            </w:pPr>
            <w:r w:rsidRPr="000E55DD">
              <w:rPr>
                <w:rFonts w:eastAsia="Aptos"/>
                <w:color w:val="000000"/>
                <w:sz w:val="20"/>
                <w:szCs w:val="20"/>
              </w:rPr>
              <w:t>6.46</w:t>
            </w:r>
          </w:p>
        </w:tc>
      </w:tr>
      <w:tr w14:paraId="704D7286" w14:textId="77777777" w:rsidTr="0096314F">
        <w:tblPrEx>
          <w:tblW w:w="8630" w:type="dxa"/>
          <w:tblCellMar>
            <w:left w:w="0" w:type="dxa"/>
            <w:right w:w="0" w:type="dxa"/>
          </w:tblCellMar>
          <w:tblLook w:val="04A0"/>
        </w:tblPrEx>
        <w:trPr>
          <w:trHeight w:val="69"/>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E0CEC" w:rsidRPr="000E55DD" w:rsidP="003F5D7A" w14:paraId="2DDDA67E" w14:textId="77777777">
            <w:pPr>
              <w:jc w:val="center"/>
              <w:rPr>
                <w:rFonts w:eastAsia="Aptos"/>
                <w:color w:val="000000"/>
                <w:sz w:val="20"/>
                <w:szCs w:val="20"/>
              </w:rPr>
            </w:pPr>
            <w:r w:rsidRPr="000E55DD">
              <w:rPr>
                <w:rFonts w:eastAsia="Aptos"/>
                <w:color w:val="000000"/>
                <w:sz w:val="20"/>
                <w:szCs w:val="20"/>
              </w:rPr>
              <w:t>100</w:t>
            </w:r>
          </w:p>
        </w:tc>
        <w:tc>
          <w:tcPr>
            <w:tcW w:w="2158" w:type="dxa"/>
            <w:tcBorders>
              <w:top w:val="single" w:sz="8" w:space="0" w:color="auto"/>
              <w:left w:val="nil"/>
              <w:bottom w:val="single" w:sz="8" w:space="0" w:color="auto"/>
              <w:right w:val="single" w:sz="4" w:space="0" w:color="auto"/>
            </w:tcBorders>
          </w:tcPr>
          <w:p w:rsidR="007E0CEC" w:rsidRPr="000E55DD" w:rsidP="003F5D7A" w14:paraId="1FAE5ABC" w14:textId="35886DCE">
            <w:pPr>
              <w:jc w:val="center"/>
              <w:rPr>
                <w:rFonts w:eastAsia="Aptos"/>
                <w:color w:val="000000"/>
                <w:sz w:val="20"/>
                <w:szCs w:val="20"/>
              </w:rPr>
            </w:pPr>
            <w:r>
              <w:rPr>
                <w:rFonts w:eastAsia="Aptos"/>
                <w:color w:val="000000"/>
                <w:sz w:val="20"/>
                <w:szCs w:val="20"/>
              </w:rPr>
              <w:t>90</w:t>
            </w:r>
          </w:p>
        </w:tc>
        <w:tc>
          <w:tcPr>
            <w:tcW w:w="215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hideMark/>
          </w:tcPr>
          <w:p w:rsidR="007E0CEC" w:rsidRPr="000E55DD" w:rsidP="003F5D7A" w14:paraId="2B48ED41" w14:textId="744895F9">
            <w:pPr>
              <w:jc w:val="center"/>
              <w:rPr>
                <w:rFonts w:eastAsia="Aptos"/>
                <w:color w:val="000000"/>
                <w:sz w:val="20"/>
                <w:szCs w:val="20"/>
              </w:rPr>
            </w:pPr>
            <w:r w:rsidRPr="000E55DD">
              <w:rPr>
                <w:rFonts w:eastAsia="Aptos"/>
                <w:color w:val="000000"/>
                <w:sz w:val="20"/>
                <w:szCs w:val="20"/>
              </w:rPr>
              <w:t>0.4</w:t>
            </w:r>
          </w:p>
        </w:tc>
        <w:tc>
          <w:tcPr>
            <w:tcW w:w="21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E0CEC" w:rsidRPr="000E55DD" w:rsidP="003F5D7A" w14:paraId="27C29EA9" w14:textId="77777777">
            <w:pPr>
              <w:jc w:val="center"/>
              <w:rPr>
                <w:rFonts w:eastAsia="Aptos"/>
                <w:color w:val="000000"/>
                <w:sz w:val="20"/>
                <w:szCs w:val="20"/>
              </w:rPr>
            </w:pPr>
            <w:r w:rsidRPr="000E55DD">
              <w:rPr>
                <w:rFonts w:eastAsia="Aptos"/>
                <w:color w:val="000000"/>
                <w:sz w:val="20"/>
                <w:szCs w:val="20"/>
              </w:rPr>
              <w:t>5.60</w:t>
            </w:r>
          </w:p>
        </w:tc>
      </w:tr>
      <w:tr w14:paraId="154AA310" w14:textId="77777777" w:rsidTr="0096314F">
        <w:tblPrEx>
          <w:tblW w:w="8630" w:type="dxa"/>
          <w:tblCellMar>
            <w:left w:w="0" w:type="dxa"/>
            <w:right w:w="0" w:type="dxa"/>
          </w:tblCellMar>
          <w:tblLook w:val="04A0"/>
        </w:tblPrEx>
        <w:trPr>
          <w:trHeight w:val="59"/>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E0CEC" w:rsidRPr="000E55DD" w:rsidP="003F5D7A" w14:paraId="662F7EEB" w14:textId="77777777">
            <w:pPr>
              <w:jc w:val="center"/>
              <w:rPr>
                <w:rFonts w:eastAsia="Aptos"/>
                <w:color w:val="000000"/>
                <w:sz w:val="20"/>
                <w:szCs w:val="20"/>
              </w:rPr>
            </w:pPr>
            <w:r w:rsidRPr="000E55DD">
              <w:rPr>
                <w:rFonts w:eastAsia="Aptos"/>
                <w:color w:val="000000"/>
                <w:sz w:val="20"/>
                <w:szCs w:val="20"/>
              </w:rPr>
              <w:t>100</w:t>
            </w:r>
          </w:p>
        </w:tc>
        <w:tc>
          <w:tcPr>
            <w:tcW w:w="2158" w:type="dxa"/>
            <w:tcBorders>
              <w:top w:val="single" w:sz="8" w:space="0" w:color="auto"/>
              <w:left w:val="nil"/>
              <w:bottom w:val="single" w:sz="8" w:space="0" w:color="auto"/>
              <w:right w:val="single" w:sz="4" w:space="0" w:color="auto"/>
            </w:tcBorders>
          </w:tcPr>
          <w:p w:rsidR="007E0CEC" w:rsidRPr="000E55DD" w:rsidP="003F5D7A" w14:paraId="2624F9F6" w14:textId="17096B09">
            <w:pPr>
              <w:jc w:val="center"/>
              <w:rPr>
                <w:rFonts w:eastAsia="Aptos"/>
                <w:color w:val="000000"/>
                <w:sz w:val="20"/>
                <w:szCs w:val="20"/>
              </w:rPr>
            </w:pPr>
            <w:r>
              <w:rPr>
                <w:rFonts w:eastAsia="Aptos"/>
                <w:color w:val="000000"/>
                <w:sz w:val="20"/>
                <w:szCs w:val="20"/>
              </w:rPr>
              <w:t>90</w:t>
            </w:r>
          </w:p>
        </w:tc>
        <w:tc>
          <w:tcPr>
            <w:tcW w:w="215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hideMark/>
          </w:tcPr>
          <w:p w:rsidR="007E0CEC" w:rsidRPr="000E55DD" w:rsidP="003F5D7A" w14:paraId="4724E5BF" w14:textId="54BB07BE">
            <w:pPr>
              <w:jc w:val="center"/>
              <w:rPr>
                <w:rFonts w:eastAsia="Aptos"/>
                <w:color w:val="000000"/>
                <w:sz w:val="20"/>
                <w:szCs w:val="20"/>
              </w:rPr>
            </w:pPr>
            <w:r w:rsidRPr="000E55DD">
              <w:rPr>
                <w:rFonts w:eastAsia="Aptos"/>
                <w:color w:val="000000"/>
                <w:sz w:val="20"/>
                <w:szCs w:val="20"/>
              </w:rPr>
              <w:t>0.6</w:t>
            </w:r>
          </w:p>
        </w:tc>
        <w:tc>
          <w:tcPr>
            <w:tcW w:w="21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E0CEC" w:rsidRPr="000E55DD" w:rsidP="003F5D7A" w14:paraId="6D8EAB33" w14:textId="77777777">
            <w:pPr>
              <w:jc w:val="center"/>
              <w:rPr>
                <w:rFonts w:eastAsia="Aptos"/>
                <w:color w:val="000000"/>
                <w:sz w:val="20"/>
                <w:szCs w:val="20"/>
              </w:rPr>
            </w:pPr>
            <w:r w:rsidRPr="000E55DD">
              <w:rPr>
                <w:rFonts w:eastAsia="Aptos"/>
                <w:color w:val="000000"/>
                <w:sz w:val="20"/>
                <w:szCs w:val="20"/>
              </w:rPr>
              <w:t>4.57</w:t>
            </w:r>
          </w:p>
        </w:tc>
      </w:tr>
      <w:tr w14:paraId="2D619A6E" w14:textId="77777777" w:rsidTr="0096314F">
        <w:tblPrEx>
          <w:tblW w:w="8630" w:type="dxa"/>
          <w:tblCellMar>
            <w:left w:w="0" w:type="dxa"/>
            <w:right w:w="0" w:type="dxa"/>
          </w:tblCellMar>
          <w:tblLook w:val="04A0"/>
        </w:tblPrEx>
        <w:trPr>
          <w:trHeight w:val="59"/>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E0CEC" w:rsidRPr="000E55DD" w:rsidP="003F5D7A" w14:paraId="6B5E6710" w14:textId="77777777">
            <w:pPr>
              <w:jc w:val="center"/>
              <w:rPr>
                <w:rFonts w:eastAsia="Aptos"/>
                <w:color w:val="000000"/>
                <w:sz w:val="20"/>
                <w:szCs w:val="20"/>
              </w:rPr>
            </w:pPr>
            <w:r w:rsidRPr="000E55DD">
              <w:rPr>
                <w:rFonts w:eastAsia="Aptos"/>
                <w:color w:val="000000"/>
                <w:sz w:val="20"/>
                <w:szCs w:val="20"/>
              </w:rPr>
              <w:t>50</w:t>
            </w:r>
          </w:p>
        </w:tc>
        <w:tc>
          <w:tcPr>
            <w:tcW w:w="2158" w:type="dxa"/>
            <w:tcBorders>
              <w:top w:val="single" w:sz="8" w:space="0" w:color="auto"/>
              <w:left w:val="nil"/>
              <w:bottom w:val="single" w:sz="8" w:space="0" w:color="auto"/>
              <w:right w:val="single" w:sz="4" w:space="0" w:color="auto"/>
            </w:tcBorders>
          </w:tcPr>
          <w:p w:rsidR="007E0CEC" w:rsidRPr="000E55DD" w:rsidP="003F5D7A" w14:paraId="316CD680" w14:textId="59C42968">
            <w:pPr>
              <w:jc w:val="center"/>
              <w:rPr>
                <w:rFonts w:eastAsia="Aptos"/>
                <w:color w:val="000000"/>
                <w:sz w:val="20"/>
                <w:szCs w:val="20"/>
              </w:rPr>
            </w:pPr>
            <w:r>
              <w:rPr>
                <w:rFonts w:eastAsia="Aptos"/>
                <w:color w:val="000000"/>
                <w:sz w:val="20"/>
                <w:szCs w:val="20"/>
              </w:rPr>
              <w:t>45</w:t>
            </w:r>
          </w:p>
        </w:tc>
        <w:tc>
          <w:tcPr>
            <w:tcW w:w="215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hideMark/>
          </w:tcPr>
          <w:p w:rsidR="007E0CEC" w:rsidRPr="000E55DD" w:rsidP="003F5D7A" w14:paraId="1FA4D13E" w14:textId="702AB4F4">
            <w:pPr>
              <w:jc w:val="center"/>
              <w:rPr>
                <w:rFonts w:eastAsia="Aptos"/>
                <w:color w:val="000000"/>
                <w:sz w:val="20"/>
                <w:szCs w:val="20"/>
              </w:rPr>
            </w:pPr>
            <w:r w:rsidRPr="000E55DD">
              <w:rPr>
                <w:rFonts w:eastAsia="Aptos"/>
                <w:color w:val="000000"/>
                <w:sz w:val="20"/>
                <w:szCs w:val="20"/>
              </w:rPr>
              <w:t>0.2</w:t>
            </w:r>
          </w:p>
        </w:tc>
        <w:tc>
          <w:tcPr>
            <w:tcW w:w="21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E0CEC" w:rsidRPr="000E55DD" w:rsidP="003F5D7A" w14:paraId="10FBF7E4" w14:textId="77777777">
            <w:pPr>
              <w:jc w:val="center"/>
              <w:rPr>
                <w:rFonts w:eastAsia="Aptos"/>
                <w:color w:val="000000"/>
                <w:sz w:val="20"/>
                <w:szCs w:val="20"/>
              </w:rPr>
            </w:pPr>
            <w:r w:rsidRPr="000E55DD">
              <w:rPr>
                <w:rFonts w:eastAsia="Aptos"/>
                <w:color w:val="000000"/>
                <w:sz w:val="20"/>
                <w:szCs w:val="20"/>
              </w:rPr>
              <w:t>9.14</w:t>
            </w:r>
          </w:p>
        </w:tc>
      </w:tr>
      <w:tr w14:paraId="75DD77E9" w14:textId="77777777" w:rsidTr="0096314F">
        <w:tblPrEx>
          <w:tblW w:w="8630" w:type="dxa"/>
          <w:tblCellMar>
            <w:left w:w="0" w:type="dxa"/>
            <w:right w:w="0" w:type="dxa"/>
          </w:tblCellMar>
          <w:tblLook w:val="04A0"/>
        </w:tblPrEx>
        <w:trPr>
          <w:trHeight w:val="59"/>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E0CEC" w:rsidRPr="000E55DD" w:rsidP="003F5D7A" w14:paraId="146E3512" w14:textId="77777777">
            <w:pPr>
              <w:jc w:val="center"/>
              <w:rPr>
                <w:rFonts w:eastAsia="Aptos"/>
                <w:color w:val="000000"/>
                <w:sz w:val="20"/>
                <w:szCs w:val="20"/>
              </w:rPr>
            </w:pPr>
            <w:r w:rsidRPr="000E55DD">
              <w:rPr>
                <w:rFonts w:eastAsia="Aptos"/>
                <w:color w:val="000000"/>
                <w:sz w:val="20"/>
                <w:szCs w:val="20"/>
              </w:rPr>
              <w:t>50</w:t>
            </w:r>
          </w:p>
        </w:tc>
        <w:tc>
          <w:tcPr>
            <w:tcW w:w="2158" w:type="dxa"/>
            <w:tcBorders>
              <w:top w:val="single" w:sz="8" w:space="0" w:color="auto"/>
              <w:left w:val="nil"/>
              <w:bottom w:val="single" w:sz="8" w:space="0" w:color="auto"/>
              <w:right w:val="single" w:sz="4" w:space="0" w:color="auto"/>
            </w:tcBorders>
          </w:tcPr>
          <w:p w:rsidR="007E0CEC" w:rsidRPr="000E55DD" w:rsidP="003F5D7A" w14:paraId="21EF0302" w14:textId="610F0878">
            <w:pPr>
              <w:jc w:val="center"/>
              <w:rPr>
                <w:rFonts w:eastAsia="Aptos"/>
                <w:color w:val="000000"/>
                <w:sz w:val="20"/>
                <w:szCs w:val="20"/>
              </w:rPr>
            </w:pPr>
            <w:r>
              <w:rPr>
                <w:rFonts w:eastAsia="Aptos"/>
                <w:color w:val="000000"/>
                <w:sz w:val="20"/>
                <w:szCs w:val="20"/>
              </w:rPr>
              <w:t>45</w:t>
            </w:r>
          </w:p>
        </w:tc>
        <w:tc>
          <w:tcPr>
            <w:tcW w:w="215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hideMark/>
          </w:tcPr>
          <w:p w:rsidR="007E0CEC" w:rsidRPr="000E55DD" w:rsidP="003F5D7A" w14:paraId="62F6B579" w14:textId="7F70B57A">
            <w:pPr>
              <w:jc w:val="center"/>
              <w:rPr>
                <w:rFonts w:eastAsia="Aptos"/>
                <w:color w:val="000000"/>
                <w:sz w:val="20"/>
                <w:szCs w:val="20"/>
              </w:rPr>
            </w:pPr>
            <w:r w:rsidRPr="000E55DD">
              <w:rPr>
                <w:rFonts w:eastAsia="Aptos"/>
                <w:color w:val="000000"/>
                <w:sz w:val="20"/>
                <w:szCs w:val="20"/>
              </w:rPr>
              <w:t>0.4</w:t>
            </w:r>
          </w:p>
        </w:tc>
        <w:tc>
          <w:tcPr>
            <w:tcW w:w="21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E0CEC" w:rsidRPr="000E55DD" w:rsidP="003F5D7A" w14:paraId="2D9CDD2B" w14:textId="77777777">
            <w:pPr>
              <w:jc w:val="center"/>
              <w:rPr>
                <w:rFonts w:eastAsia="Aptos"/>
                <w:color w:val="000000"/>
                <w:sz w:val="20"/>
                <w:szCs w:val="20"/>
              </w:rPr>
            </w:pPr>
            <w:r w:rsidRPr="000E55DD">
              <w:rPr>
                <w:rFonts w:eastAsia="Aptos"/>
                <w:color w:val="000000"/>
                <w:sz w:val="20"/>
                <w:szCs w:val="20"/>
              </w:rPr>
              <w:t>7.91</w:t>
            </w:r>
          </w:p>
        </w:tc>
      </w:tr>
      <w:tr w14:paraId="6B9BDF56" w14:textId="77777777" w:rsidTr="0096314F">
        <w:tblPrEx>
          <w:tblW w:w="8630" w:type="dxa"/>
          <w:tblCellMar>
            <w:left w:w="0" w:type="dxa"/>
            <w:right w:w="0" w:type="dxa"/>
          </w:tblCellMar>
          <w:tblLook w:val="04A0"/>
        </w:tblPrEx>
        <w:trPr>
          <w:trHeight w:val="59"/>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E0CEC" w:rsidRPr="000E55DD" w:rsidP="003F5D7A" w14:paraId="4C4E15D0" w14:textId="77777777">
            <w:pPr>
              <w:jc w:val="center"/>
              <w:rPr>
                <w:rFonts w:eastAsia="Aptos"/>
                <w:color w:val="000000"/>
                <w:sz w:val="20"/>
                <w:szCs w:val="20"/>
              </w:rPr>
            </w:pPr>
            <w:r w:rsidRPr="000E55DD">
              <w:rPr>
                <w:rFonts w:eastAsia="Aptos"/>
                <w:color w:val="000000"/>
                <w:sz w:val="20"/>
                <w:szCs w:val="20"/>
              </w:rPr>
              <w:t>50</w:t>
            </w:r>
          </w:p>
        </w:tc>
        <w:tc>
          <w:tcPr>
            <w:tcW w:w="2158" w:type="dxa"/>
            <w:tcBorders>
              <w:top w:val="single" w:sz="8" w:space="0" w:color="auto"/>
              <w:left w:val="nil"/>
              <w:bottom w:val="single" w:sz="8" w:space="0" w:color="auto"/>
              <w:right w:val="single" w:sz="4" w:space="0" w:color="auto"/>
            </w:tcBorders>
          </w:tcPr>
          <w:p w:rsidR="007E0CEC" w:rsidRPr="000E55DD" w:rsidP="003F5D7A" w14:paraId="4466CDFE" w14:textId="12C6692D">
            <w:pPr>
              <w:jc w:val="center"/>
              <w:rPr>
                <w:rFonts w:eastAsia="Aptos"/>
                <w:color w:val="000000"/>
                <w:sz w:val="20"/>
                <w:szCs w:val="20"/>
              </w:rPr>
            </w:pPr>
            <w:r>
              <w:rPr>
                <w:rFonts w:eastAsia="Aptos"/>
                <w:color w:val="000000"/>
                <w:sz w:val="20"/>
                <w:szCs w:val="20"/>
              </w:rPr>
              <w:t>45</w:t>
            </w:r>
          </w:p>
        </w:tc>
        <w:tc>
          <w:tcPr>
            <w:tcW w:w="215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hideMark/>
          </w:tcPr>
          <w:p w:rsidR="007E0CEC" w:rsidRPr="000E55DD" w:rsidP="003F5D7A" w14:paraId="6AA7A341" w14:textId="41CBD994">
            <w:pPr>
              <w:jc w:val="center"/>
              <w:rPr>
                <w:rFonts w:eastAsia="Aptos"/>
                <w:color w:val="000000"/>
                <w:sz w:val="20"/>
                <w:szCs w:val="20"/>
              </w:rPr>
            </w:pPr>
            <w:r w:rsidRPr="000E55DD">
              <w:rPr>
                <w:rFonts w:eastAsia="Aptos"/>
                <w:color w:val="000000"/>
                <w:sz w:val="20"/>
                <w:szCs w:val="20"/>
              </w:rPr>
              <w:t>0.6</w:t>
            </w:r>
          </w:p>
        </w:tc>
        <w:tc>
          <w:tcPr>
            <w:tcW w:w="21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E0CEC" w:rsidRPr="000E55DD" w:rsidP="003F5D7A" w14:paraId="3C2ED486" w14:textId="77777777">
            <w:pPr>
              <w:jc w:val="center"/>
              <w:rPr>
                <w:rFonts w:eastAsia="Aptos"/>
                <w:color w:val="000000"/>
                <w:sz w:val="20"/>
                <w:szCs w:val="20"/>
              </w:rPr>
            </w:pPr>
            <w:r w:rsidRPr="000E55DD">
              <w:rPr>
                <w:rFonts w:eastAsia="Aptos"/>
                <w:color w:val="000000"/>
                <w:sz w:val="20"/>
                <w:szCs w:val="20"/>
              </w:rPr>
              <w:t>6.46</w:t>
            </w:r>
          </w:p>
        </w:tc>
      </w:tr>
    </w:tbl>
    <w:p w:rsidR="00F64525" w:rsidP="00F64525" w14:paraId="2F3006C3" w14:textId="4D30AA98">
      <w:pPr>
        <w:pStyle w:val="Exhibit1"/>
        <w:rPr>
          <w:b w:val="0"/>
          <w:szCs w:val="24"/>
        </w:rPr>
      </w:pPr>
      <w:r w:rsidRPr="00B53B98">
        <w:rPr>
          <w:rStyle w:val="NORCCaption-Color"/>
          <w:rFonts w:ascii="Times New Roman" w:hAnsi="Times New Roman"/>
          <w:b/>
          <w:color w:val="auto"/>
          <w:sz w:val="24"/>
          <w:szCs w:val="24"/>
        </w:rPr>
        <w:t xml:space="preserve">Exhibit </w:t>
      </w:r>
      <w:r w:rsidRPr="00B53B98" w:rsidR="0084090D">
        <w:rPr>
          <w:rStyle w:val="NORCCaption-Color"/>
          <w:rFonts w:ascii="Times New Roman" w:hAnsi="Times New Roman"/>
          <w:b/>
          <w:color w:val="auto"/>
          <w:sz w:val="24"/>
          <w:szCs w:val="24"/>
        </w:rPr>
        <w:t>4</w:t>
      </w:r>
      <w:r w:rsidRPr="00B53B98">
        <w:rPr>
          <w:rStyle w:val="NORCCaption-Color"/>
          <w:rFonts w:ascii="Times New Roman" w:hAnsi="Times New Roman"/>
          <w:b/>
          <w:color w:val="auto"/>
          <w:sz w:val="24"/>
          <w:szCs w:val="24"/>
        </w:rPr>
        <w:t>:</w:t>
      </w:r>
      <w:r>
        <w:rPr>
          <w:color w:val="auto"/>
          <w:szCs w:val="24"/>
        </w:rPr>
        <w:t xml:space="preserve"> </w:t>
      </w:r>
      <w:r>
        <w:rPr>
          <w:b w:val="0"/>
          <w:szCs w:val="24"/>
        </w:rPr>
        <w:t>Power Analysis for the CAUTI Cohort</w:t>
      </w:r>
    </w:p>
    <w:tbl>
      <w:tblPr>
        <w:tblW w:w="8630" w:type="dxa"/>
        <w:tblCellMar>
          <w:left w:w="0" w:type="dxa"/>
          <w:right w:w="0" w:type="dxa"/>
        </w:tblCellMar>
        <w:tblLook w:val="04A0"/>
      </w:tblPr>
      <w:tblGrid>
        <w:gridCol w:w="2157"/>
        <w:gridCol w:w="2158"/>
        <w:gridCol w:w="2157"/>
        <w:gridCol w:w="2158"/>
      </w:tblGrid>
      <w:tr w14:paraId="46EF88FC" w14:textId="77777777" w:rsidTr="0096314F">
        <w:tblPrEx>
          <w:tblW w:w="8630" w:type="dxa"/>
          <w:tblCellMar>
            <w:left w:w="0" w:type="dxa"/>
            <w:right w:w="0" w:type="dxa"/>
          </w:tblCellMar>
          <w:tblLook w:val="04A0"/>
        </w:tblPrEx>
        <w:trPr>
          <w:trHeight w:val="457"/>
          <w:tblHeader/>
        </w:trPr>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22B9" w:rsidRPr="000E55DD" w14:paraId="2E4CD0D7" w14:textId="77777777">
            <w:pPr>
              <w:spacing w:line="276" w:lineRule="auto"/>
              <w:jc w:val="center"/>
              <w:rPr>
                <w:rFonts w:eastAsia="Aptos"/>
                <w:b/>
                <w:bCs/>
                <w:color w:val="000000"/>
                <w:sz w:val="20"/>
                <w:szCs w:val="20"/>
              </w:rPr>
            </w:pPr>
            <w:r w:rsidRPr="000E55DD">
              <w:rPr>
                <w:rFonts w:eastAsia="Aptos"/>
                <w:b/>
                <w:bCs/>
                <w:color w:val="000000"/>
                <w:sz w:val="20"/>
                <w:szCs w:val="20"/>
              </w:rPr>
              <w:t>Total number of units</w:t>
            </w:r>
          </w:p>
        </w:tc>
        <w:tc>
          <w:tcPr>
            <w:tcW w:w="2158" w:type="dxa"/>
            <w:tcBorders>
              <w:top w:val="single" w:sz="8" w:space="0" w:color="auto"/>
              <w:left w:val="nil"/>
              <w:bottom w:val="single" w:sz="8" w:space="0" w:color="auto"/>
              <w:right w:val="single" w:sz="4" w:space="0" w:color="auto"/>
            </w:tcBorders>
          </w:tcPr>
          <w:p w:rsidR="00CA22B9" w:rsidRPr="000E55DD" w14:paraId="4200A702" w14:textId="0C614808">
            <w:pPr>
              <w:spacing w:line="276" w:lineRule="auto"/>
              <w:jc w:val="center"/>
              <w:rPr>
                <w:rFonts w:eastAsia="Aptos"/>
                <w:b/>
                <w:bCs/>
                <w:color w:val="000000"/>
                <w:sz w:val="20"/>
                <w:szCs w:val="20"/>
              </w:rPr>
            </w:pPr>
            <w:r w:rsidRPr="00CA22B9">
              <w:rPr>
                <w:rFonts w:eastAsia="Aptos"/>
                <w:b/>
                <w:bCs/>
                <w:color w:val="000000"/>
                <w:sz w:val="20"/>
                <w:szCs w:val="20"/>
              </w:rPr>
              <w:t>Effective Sample Size After Non-Response</w:t>
            </w:r>
          </w:p>
        </w:tc>
        <w:tc>
          <w:tcPr>
            <w:tcW w:w="215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CA22B9" w:rsidRPr="000E55DD" w14:paraId="53F4937C" w14:textId="05DB1D53">
            <w:pPr>
              <w:spacing w:line="276" w:lineRule="auto"/>
              <w:jc w:val="center"/>
              <w:rPr>
                <w:rFonts w:eastAsia="Aptos"/>
                <w:b/>
                <w:bCs/>
                <w:color w:val="000000"/>
                <w:sz w:val="20"/>
                <w:szCs w:val="20"/>
              </w:rPr>
            </w:pPr>
            <w:r w:rsidRPr="000E55DD">
              <w:rPr>
                <w:rFonts w:eastAsia="Aptos"/>
                <w:b/>
                <w:bCs/>
                <w:color w:val="000000"/>
                <w:sz w:val="20"/>
                <w:szCs w:val="20"/>
              </w:rPr>
              <w:t>Correlation within unit</w:t>
            </w:r>
          </w:p>
        </w:tc>
        <w:tc>
          <w:tcPr>
            <w:tcW w:w="21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A22B9" w:rsidRPr="000E55DD" w14:paraId="68CACB8B" w14:textId="5B2A271B">
            <w:pPr>
              <w:spacing w:line="276" w:lineRule="auto"/>
              <w:jc w:val="center"/>
              <w:rPr>
                <w:rFonts w:eastAsia="Aptos"/>
                <w:b/>
                <w:bCs/>
                <w:color w:val="000000"/>
                <w:sz w:val="20"/>
                <w:szCs w:val="20"/>
              </w:rPr>
            </w:pPr>
            <w:r>
              <w:rPr>
                <w:rFonts w:eastAsia="Aptos"/>
                <w:b/>
                <w:bCs/>
                <w:color w:val="000000"/>
                <w:sz w:val="20"/>
                <w:szCs w:val="20"/>
              </w:rPr>
              <w:t>Detectable Change in CAUTI</w:t>
            </w:r>
            <w:r w:rsidRPr="000E55DD">
              <w:rPr>
                <w:rFonts w:eastAsia="Aptos"/>
                <w:b/>
                <w:bCs/>
                <w:color w:val="000000"/>
                <w:sz w:val="20"/>
                <w:szCs w:val="20"/>
              </w:rPr>
              <w:t xml:space="preserve"> per 10,000 central line days</w:t>
            </w:r>
          </w:p>
        </w:tc>
      </w:tr>
      <w:tr w14:paraId="52665ACF" w14:textId="77777777" w:rsidTr="0096314F">
        <w:tblPrEx>
          <w:tblW w:w="8630" w:type="dxa"/>
          <w:tblCellMar>
            <w:left w:w="0" w:type="dxa"/>
            <w:right w:w="0" w:type="dxa"/>
          </w:tblCellMar>
          <w:tblLook w:val="04A0"/>
        </w:tblPrEx>
        <w:trPr>
          <w:trHeight w:val="142"/>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2B9" w:rsidRPr="00A3700D" w:rsidP="00CA22B9" w14:paraId="6E66FE31" w14:textId="386B153A">
            <w:pPr>
              <w:spacing w:line="276" w:lineRule="auto"/>
              <w:jc w:val="center"/>
              <w:rPr>
                <w:rFonts w:eastAsia="Aptos"/>
                <w:color w:val="000000"/>
                <w:sz w:val="20"/>
                <w:szCs w:val="20"/>
              </w:rPr>
            </w:pPr>
            <w:r w:rsidRPr="000E55DD">
              <w:rPr>
                <w:sz w:val="20"/>
                <w:szCs w:val="20"/>
              </w:rPr>
              <w:t>150</w:t>
            </w:r>
          </w:p>
        </w:tc>
        <w:tc>
          <w:tcPr>
            <w:tcW w:w="2158" w:type="dxa"/>
            <w:tcBorders>
              <w:top w:val="single" w:sz="8" w:space="0" w:color="auto"/>
              <w:left w:val="nil"/>
              <w:bottom w:val="single" w:sz="8" w:space="0" w:color="auto"/>
              <w:right w:val="single" w:sz="4" w:space="0" w:color="auto"/>
            </w:tcBorders>
          </w:tcPr>
          <w:p w:rsidR="00CA22B9" w:rsidRPr="000E55DD" w:rsidP="00CA22B9" w14:paraId="53D6EC77" w14:textId="5F5687E9">
            <w:pPr>
              <w:spacing w:line="276" w:lineRule="auto"/>
              <w:jc w:val="center"/>
              <w:rPr>
                <w:rFonts w:eastAsia="Aptos"/>
                <w:sz w:val="20"/>
                <w:szCs w:val="20"/>
              </w:rPr>
            </w:pPr>
            <w:r>
              <w:rPr>
                <w:rFonts w:eastAsia="Aptos"/>
                <w:color w:val="000000"/>
                <w:sz w:val="20"/>
                <w:szCs w:val="20"/>
              </w:rPr>
              <w:t>135</w:t>
            </w:r>
          </w:p>
        </w:tc>
        <w:tc>
          <w:tcPr>
            <w:tcW w:w="215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CA22B9" w:rsidRPr="00A3700D" w:rsidP="00CA22B9" w14:paraId="0032850E" w14:textId="0465E38B">
            <w:pPr>
              <w:spacing w:line="276" w:lineRule="auto"/>
              <w:jc w:val="center"/>
              <w:rPr>
                <w:rFonts w:eastAsia="Aptos"/>
                <w:color w:val="000000"/>
                <w:sz w:val="20"/>
                <w:szCs w:val="20"/>
              </w:rPr>
            </w:pPr>
            <w:r w:rsidRPr="000E55DD">
              <w:rPr>
                <w:sz w:val="20"/>
                <w:szCs w:val="20"/>
              </w:rPr>
              <w:t>0.2</w:t>
            </w: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rsidR="00CA22B9" w:rsidRPr="00A3700D" w:rsidP="00CA22B9" w14:paraId="2D272941" w14:textId="78223070">
            <w:pPr>
              <w:spacing w:line="276" w:lineRule="auto"/>
              <w:jc w:val="center"/>
              <w:rPr>
                <w:rFonts w:eastAsia="Aptos"/>
                <w:color w:val="000000"/>
                <w:sz w:val="20"/>
                <w:szCs w:val="20"/>
              </w:rPr>
            </w:pPr>
            <w:r w:rsidRPr="000E55DD">
              <w:rPr>
                <w:sz w:val="20"/>
                <w:szCs w:val="20"/>
              </w:rPr>
              <w:t>5.73</w:t>
            </w:r>
          </w:p>
        </w:tc>
      </w:tr>
      <w:tr w14:paraId="23B4FFA8" w14:textId="77777777" w:rsidTr="0096314F">
        <w:tblPrEx>
          <w:tblW w:w="8630" w:type="dxa"/>
          <w:tblCellMar>
            <w:left w:w="0" w:type="dxa"/>
            <w:right w:w="0" w:type="dxa"/>
          </w:tblCellMar>
          <w:tblLook w:val="04A0"/>
        </w:tblPrEx>
        <w:trPr>
          <w:trHeight w:val="60"/>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2B9" w:rsidRPr="00EB6B25" w:rsidP="00CA22B9" w14:paraId="3BB6A844" w14:textId="404BDC56">
            <w:pPr>
              <w:spacing w:line="276" w:lineRule="auto"/>
              <w:jc w:val="center"/>
              <w:rPr>
                <w:rFonts w:eastAsia="Aptos"/>
                <w:b/>
                <w:bCs/>
                <w:color w:val="000000"/>
                <w:sz w:val="20"/>
                <w:szCs w:val="20"/>
              </w:rPr>
            </w:pPr>
            <w:r w:rsidRPr="00EB6B25">
              <w:rPr>
                <w:b/>
                <w:bCs/>
                <w:sz w:val="20"/>
                <w:szCs w:val="20"/>
              </w:rPr>
              <w:t>150</w:t>
            </w:r>
          </w:p>
        </w:tc>
        <w:tc>
          <w:tcPr>
            <w:tcW w:w="2158" w:type="dxa"/>
            <w:tcBorders>
              <w:top w:val="single" w:sz="8" w:space="0" w:color="auto"/>
              <w:left w:val="nil"/>
              <w:bottom w:val="single" w:sz="8" w:space="0" w:color="auto"/>
              <w:right w:val="single" w:sz="4" w:space="0" w:color="auto"/>
            </w:tcBorders>
          </w:tcPr>
          <w:p w:rsidR="00CA22B9" w:rsidRPr="00CA22B9" w:rsidP="00CA22B9" w14:paraId="61E69A95" w14:textId="15A8DC13">
            <w:pPr>
              <w:spacing w:line="276" w:lineRule="auto"/>
              <w:jc w:val="center"/>
              <w:rPr>
                <w:rFonts w:eastAsia="Aptos"/>
                <w:b/>
                <w:sz w:val="20"/>
                <w:szCs w:val="20"/>
              </w:rPr>
            </w:pPr>
            <w:r w:rsidRPr="0096314F">
              <w:rPr>
                <w:rFonts w:eastAsia="Aptos"/>
                <w:b/>
                <w:bCs/>
                <w:color w:val="000000"/>
                <w:sz w:val="20"/>
                <w:szCs w:val="20"/>
              </w:rPr>
              <w:t>135</w:t>
            </w:r>
          </w:p>
        </w:tc>
        <w:tc>
          <w:tcPr>
            <w:tcW w:w="215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CA22B9" w:rsidRPr="00EB6B25" w:rsidP="00CA22B9" w14:paraId="69621636" w14:textId="152C5C88">
            <w:pPr>
              <w:spacing w:line="276" w:lineRule="auto"/>
              <w:jc w:val="center"/>
              <w:rPr>
                <w:rFonts w:eastAsia="Aptos"/>
                <w:b/>
                <w:bCs/>
                <w:color w:val="000000"/>
                <w:sz w:val="20"/>
                <w:szCs w:val="20"/>
              </w:rPr>
            </w:pPr>
            <w:r w:rsidRPr="00EB6B25">
              <w:rPr>
                <w:b/>
                <w:bCs/>
                <w:sz w:val="20"/>
                <w:szCs w:val="20"/>
              </w:rPr>
              <w:t>0.4</w:t>
            </w: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rsidR="00CA22B9" w:rsidRPr="00EB6B25" w:rsidP="00CA22B9" w14:paraId="72FB09D4" w14:textId="476E3911">
            <w:pPr>
              <w:spacing w:line="276" w:lineRule="auto"/>
              <w:jc w:val="center"/>
              <w:rPr>
                <w:rFonts w:eastAsia="Aptos"/>
                <w:b/>
                <w:bCs/>
                <w:color w:val="000000"/>
                <w:sz w:val="20"/>
                <w:szCs w:val="20"/>
              </w:rPr>
            </w:pPr>
            <w:r w:rsidRPr="00EB6B25">
              <w:rPr>
                <w:b/>
                <w:bCs/>
                <w:sz w:val="20"/>
                <w:szCs w:val="20"/>
              </w:rPr>
              <w:t>4.97</w:t>
            </w:r>
          </w:p>
        </w:tc>
      </w:tr>
      <w:tr w14:paraId="2145EF8A" w14:textId="77777777" w:rsidTr="0096314F">
        <w:tblPrEx>
          <w:tblW w:w="8630" w:type="dxa"/>
          <w:tblCellMar>
            <w:left w:w="0" w:type="dxa"/>
            <w:right w:w="0" w:type="dxa"/>
          </w:tblCellMar>
          <w:tblLook w:val="04A0"/>
        </w:tblPrEx>
        <w:trPr>
          <w:trHeight w:val="60"/>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2B9" w:rsidRPr="00A3700D" w:rsidP="00CA22B9" w14:paraId="71C08A66" w14:textId="33C86CE1">
            <w:pPr>
              <w:spacing w:line="276" w:lineRule="auto"/>
              <w:jc w:val="center"/>
              <w:rPr>
                <w:rFonts w:eastAsia="Aptos"/>
                <w:color w:val="000000"/>
                <w:sz w:val="20"/>
                <w:szCs w:val="20"/>
              </w:rPr>
            </w:pPr>
            <w:r w:rsidRPr="000E55DD">
              <w:rPr>
                <w:sz w:val="20"/>
                <w:szCs w:val="20"/>
              </w:rPr>
              <w:t>150</w:t>
            </w:r>
          </w:p>
        </w:tc>
        <w:tc>
          <w:tcPr>
            <w:tcW w:w="2158" w:type="dxa"/>
            <w:tcBorders>
              <w:top w:val="single" w:sz="8" w:space="0" w:color="auto"/>
              <w:left w:val="nil"/>
              <w:bottom w:val="single" w:sz="8" w:space="0" w:color="auto"/>
              <w:right w:val="single" w:sz="4" w:space="0" w:color="auto"/>
            </w:tcBorders>
          </w:tcPr>
          <w:p w:rsidR="00CA22B9" w:rsidRPr="000E55DD" w:rsidP="00CA22B9" w14:paraId="6A1F04C5" w14:textId="0A0F83FF">
            <w:pPr>
              <w:spacing w:line="276" w:lineRule="auto"/>
              <w:jc w:val="center"/>
              <w:rPr>
                <w:rFonts w:eastAsia="Aptos"/>
                <w:sz w:val="20"/>
                <w:szCs w:val="20"/>
              </w:rPr>
            </w:pPr>
            <w:r>
              <w:rPr>
                <w:rFonts w:eastAsia="Aptos"/>
                <w:color w:val="000000"/>
                <w:sz w:val="20"/>
                <w:szCs w:val="20"/>
              </w:rPr>
              <w:t>135</w:t>
            </w:r>
          </w:p>
        </w:tc>
        <w:tc>
          <w:tcPr>
            <w:tcW w:w="215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CA22B9" w:rsidRPr="00A3700D" w:rsidP="00CA22B9" w14:paraId="028A5801" w14:textId="11E3C591">
            <w:pPr>
              <w:spacing w:line="276" w:lineRule="auto"/>
              <w:jc w:val="center"/>
              <w:rPr>
                <w:rFonts w:eastAsia="Aptos"/>
                <w:color w:val="000000"/>
                <w:sz w:val="20"/>
                <w:szCs w:val="20"/>
              </w:rPr>
            </w:pPr>
            <w:r w:rsidRPr="000E55DD">
              <w:rPr>
                <w:sz w:val="20"/>
                <w:szCs w:val="20"/>
              </w:rPr>
              <w:t>0.6</w:t>
            </w: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rsidR="00CA22B9" w:rsidRPr="00A3700D" w:rsidP="00CA22B9" w14:paraId="105ED60A" w14:textId="37680246">
            <w:pPr>
              <w:spacing w:line="276" w:lineRule="auto"/>
              <w:jc w:val="center"/>
              <w:rPr>
                <w:rFonts w:eastAsia="Aptos"/>
                <w:color w:val="000000"/>
                <w:sz w:val="20"/>
                <w:szCs w:val="20"/>
              </w:rPr>
            </w:pPr>
            <w:r w:rsidRPr="000E55DD">
              <w:rPr>
                <w:sz w:val="20"/>
                <w:szCs w:val="20"/>
              </w:rPr>
              <w:t>4.05</w:t>
            </w:r>
          </w:p>
        </w:tc>
      </w:tr>
      <w:tr w14:paraId="2942EE10" w14:textId="77777777" w:rsidTr="0096314F">
        <w:tblPrEx>
          <w:tblW w:w="8630" w:type="dxa"/>
          <w:tblCellMar>
            <w:left w:w="0" w:type="dxa"/>
            <w:right w:w="0" w:type="dxa"/>
          </w:tblCellMar>
          <w:tblLook w:val="04A0"/>
        </w:tblPrEx>
        <w:trPr>
          <w:trHeight w:val="60"/>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2B9" w:rsidRPr="00A3700D" w:rsidP="00CA22B9" w14:paraId="13034A91" w14:textId="3237AEE3">
            <w:pPr>
              <w:spacing w:line="276" w:lineRule="auto"/>
              <w:jc w:val="center"/>
              <w:rPr>
                <w:rFonts w:eastAsia="Aptos"/>
                <w:color w:val="000000"/>
                <w:sz w:val="20"/>
                <w:szCs w:val="20"/>
              </w:rPr>
            </w:pPr>
            <w:r w:rsidRPr="000E55DD">
              <w:rPr>
                <w:sz w:val="20"/>
                <w:szCs w:val="20"/>
              </w:rPr>
              <w:t>100</w:t>
            </w:r>
          </w:p>
        </w:tc>
        <w:tc>
          <w:tcPr>
            <w:tcW w:w="2158" w:type="dxa"/>
            <w:tcBorders>
              <w:top w:val="single" w:sz="8" w:space="0" w:color="auto"/>
              <w:left w:val="nil"/>
              <w:bottom w:val="single" w:sz="8" w:space="0" w:color="auto"/>
              <w:right w:val="single" w:sz="4" w:space="0" w:color="auto"/>
            </w:tcBorders>
          </w:tcPr>
          <w:p w:rsidR="00CA22B9" w:rsidRPr="000E55DD" w:rsidP="00CA22B9" w14:paraId="4DCA6749" w14:textId="10477EDE">
            <w:pPr>
              <w:spacing w:line="276" w:lineRule="auto"/>
              <w:jc w:val="center"/>
              <w:rPr>
                <w:rFonts w:eastAsia="Aptos"/>
                <w:sz w:val="20"/>
                <w:szCs w:val="20"/>
              </w:rPr>
            </w:pPr>
            <w:r>
              <w:rPr>
                <w:rFonts w:eastAsia="Aptos"/>
                <w:color w:val="000000"/>
                <w:sz w:val="20"/>
                <w:szCs w:val="20"/>
              </w:rPr>
              <w:t>90</w:t>
            </w:r>
          </w:p>
        </w:tc>
        <w:tc>
          <w:tcPr>
            <w:tcW w:w="215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CA22B9" w:rsidRPr="00A3700D" w:rsidP="00CA22B9" w14:paraId="00505075" w14:textId="389F2E92">
            <w:pPr>
              <w:spacing w:line="276" w:lineRule="auto"/>
              <w:jc w:val="center"/>
              <w:rPr>
                <w:rFonts w:eastAsia="Aptos"/>
                <w:color w:val="000000"/>
                <w:sz w:val="20"/>
                <w:szCs w:val="20"/>
              </w:rPr>
            </w:pPr>
            <w:r w:rsidRPr="000E55DD">
              <w:rPr>
                <w:sz w:val="20"/>
                <w:szCs w:val="20"/>
              </w:rPr>
              <w:t>0.2</w:t>
            </w: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rsidR="00CA22B9" w:rsidRPr="00A3700D" w:rsidP="00CA22B9" w14:paraId="242B3953" w14:textId="5DE877EC">
            <w:pPr>
              <w:spacing w:line="276" w:lineRule="auto"/>
              <w:jc w:val="center"/>
              <w:rPr>
                <w:rFonts w:eastAsia="Aptos"/>
                <w:color w:val="000000"/>
                <w:sz w:val="20"/>
                <w:szCs w:val="20"/>
              </w:rPr>
            </w:pPr>
            <w:r w:rsidRPr="000E55DD">
              <w:rPr>
                <w:sz w:val="20"/>
                <w:szCs w:val="20"/>
              </w:rPr>
              <w:t>7.02</w:t>
            </w:r>
          </w:p>
        </w:tc>
      </w:tr>
      <w:tr w14:paraId="129CB39B" w14:textId="77777777" w:rsidTr="0096314F">
        <w:tblPrEx>
          <w:tblW w:w="8630" w:type="dxa"/>
          <w:tblCellMar>
            <w:left w:w="0" w:type="dxa"/>
            <w:right w:w="0" w:type="dxa"/>
          </w:tblCellMar>
          <w:tblLook w:val="04A0"/>
        </w:tblPrEx>
        <w:trPr>
          <w:trHeight w:val="60"/>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2B9" w:rsidRPr="00A3700D" w:rsidP="00CA22B9" w14:paraId="07B39390" w14:textId="4CA0AFFD">
            <w:pPr>
              <w:spacing w:line="276" w:lineRule="auto"/>
              <w:jc w:val="center"/>
              <w:rPr>
                <w:rFonts w:eastAsia="Aptos"/>
                <w:color w:val="000000"/>
                <w:sz w:val="20"/>
                <w:szCs w:val="20"/>
              </w:rPr>
            </w:pPr>
            <w:r w:rsidRPr="000E55DD">
              <w:rPr>
                <w:sz w:val="20"/>
                <w:szCs w:val="20"/>
              </w:rPr>
              <w:t>100</w:t>
            </w:r>
          </w:p>
        </w:tc>
        <w:tc>
          <w:tcPr>
            <w:tcW w:w="2158" w:type="dxa"/>
            <w:tcBorders>
              <w:top w:val="single" w:sz="8" w:space="0" w:color="auto"/>
              <w:left w:val="nil"/>
              <w:bottom w:val="single" w:sz="8" w:space="0" w:color="auto"/>
              <w:right w:val="single" w:sz="4" w:space="0" w:color="auto"/>
            </w:tcBorders>
          </w:tcPr>
          <w:p w:rsidR="00CA22B9" w:rsidRPr="000E55DD" w:rsidP="00CA22B9" w14:paraId="6A394E28" w14:textId="21DACB17">
            <w:pPr>
              <w:spacing w:line="276" w:lineRule="auto"/>
              <w:jc w:val="center"/>
              <w:rPr>
                <w:rFonts w:eastAsia="Aptos"/>
                <w:sz w:val="20"/>
                <w:szCs w:val="20"/>
              </w:rPr>
            </w:pPr>
            <w:r>
              <w:rPr>
                <w:rFonts w:eastAsia="Aptos"/>
                <w:color w:val="000000"/>
                <w:sz w:val="20"/>
                <w:szCs w:val="20"/>
              </w:rPr>
              <w:t>90</w:t>
            </w:r>
          </w:p>
        </w:tc>
        <w:tc>
          <w:tcPr>
            <w:tcW w:w="215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CA22B9" w:rsidRPr="00A3700D" w:rsidP="00CA22B9" w14:paraId="0F30B430" w14:textId="729C1E0A">
            <w:pPr>
              <w:spacing w:line="276" w:lineRule="auto"/>
              <w:jc w:val="center"/>
              <w:rPr>
                <w:rFonts w:eastAsia="Aptos"/>
                <w:color w:val="000000"/>
                <w:sz w:val="20"/>
                <w:szCs w:val="20"/>
              </w:rPr>
            </w:pPr>
            <w:r w:rsidRPr="000E55DD">
              <w:rPr>
                <w:sz w:val="20"/>
                <w:szCs w:val="20"/>
              </w:rPr>
              <w:t>0.4</w:t>
            </w: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rsidR="00CA22B9" w:rsidRPr="00A3700D" w:rsidP="00CA22B9" w14:paraId="5A7D43BE" w14:textId="1FE63724">
            <w:pPr>
              <w:spacing w:line="276" w:lineRule="auto"/>
              <w:jc w:val="center"/>
              <w:rPr>
                <w:rFonts w:eastAsia="Aptos"/>
                <w:color w:val="000000"/>
                <w:sz w:val="20"/>
                <w:szCs w:val="20"/>
              </w:rPr>
            </w:pPr>
            <w:r w:rsidRPr="000E55DD">
              <w:rPr>
                <w:sz w:val="20"/>
                <w:szCs w:val="20"/>
              </w:rPr>
              <w:t>6.08</w:t>
            </w:r>
          </w:p>
        </w:tc>
      </w:tr>
      <w:tr w14:paraId="1A604518" w14:textId="77777777" w:rsidTr="0096314F">
        <w:tblPrEx>
          <w:tblW w:w="8630" w:type="dxa"/>
          <w:tblCellMar>
            <w:left w:w="0" w:type="dxa"/>
            <w:right w:w="0" w:type="dxa"/>
          </w:tblCellMar>
          <w:tblLook w:val="04A0"/>
        </w:tblPrEx>
        <w:trPr>
          <w:trHeight w:val="60"/>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2B9" w:rsidRPr="00A3700D" w:rsidP="00CA22B9" w14:paraId="20A30426" w14:textId="2E55CC98">
            <w:pPr>
              <w:spacing w:line="276" w:lineRule="auto"/>
              <w:jc w:val="center"/>
              <w:rPr>
                <w:rFonts w:eastAsia="Aptos"/>
                <w:color w:val="000000"/>
                <w:sz w:val="20"/>
                <w:szCs w:val="20"/>
              </w:rPr>
            </w:pPr>
            <w:r w:rsidRPr="000E55DD">
              <w:rPr>
                <w:sz w:val="20"/>
                <w:szCs w:val="20"/>
              </w:rPr>
              <w:t>100</w:t>
            </w:r>
          </w:p>
        </w:tc>
        <w:tc>
          <w:tcPr>
            <w:tcW w:w="2158" w:type="dxa"/>
            <w:tcBorders>
              <w:top w:val="single" w:sz="8" w:space="0" w:color="auto"/>
              <w:left w:val="nil"/>
              <w:bottom w:val="single" w:sz="8" w:space="0" w:color="auto"/>
              <w:right w:val="single" w:sz="4" w:space="0" w:color="auto"/>
            </w:tcBorders>
          </w:tcPr>
          <w:p w:rsidR="00CA22B9" w:rsidRPr="000E55DD" w:rsidP="00CA22B9" w14:paraId="7BAC0401" w14:textId="61ADECEC">
            <w:pPr>
              <w:spacing w:line="276" w:lineRule="auto"/>
              <w:jc w:val="center"/>
              <w:rPr>
                <w:rFonts w:eastAsia="Aptos"/>
                <w:sz w:val="20"/>
                <w:szCs w:val="20"/>
              </w:rPr>
            </w:pPr>
            <w:r>
              <w:rPr>
                <w:rFonts w:eastAsia="Aptos"/>
                <w:color w:val="000000"/>
                <w:sz w:val="20"/>
                <w:szCs w:val="20"/>
              </w:rPr>
              <w:t>90</w:t>
            </w:r>
          </w:p>
        </w:tc>
        <w:tc>
          <w:tcPr>
            <w:tcW w:w="215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CA22B9" w:rsidRPr="00A3700D" w:rsidP="00CA22B9" w14:paraId="28E2DA2E" w14:textId="1450D299">
            <w:pPr>
              <w:spacing w:line="276" w:lineRule="auto"/>
              <w:jc w:val="center"/>
              <w:rPr>
                <w:rFonts w:eastAsia="Aptos"/>
                <w:color w:val="000000"/>
                <w:sz w:val="20"/>
                <w:szCs w:val="20"/>
              </w:rPr>
            </w:pPr>
            <w:r w:rsidRPr="000E55DD">
              <w:rPr>
                <w:sz w:val="20"/>
                <w:szCs w:val="20"/>
              </w:rPr>
              <w:t>0.6</w:t>
            </w: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rsidR="00CA22B9" w:rsidRPr="00A3700D" w:rsidP="00CA22B9" w14:paraId="21D8EF47" w14:textId="16309F2A">
            <w:pPr>
              <w:spacing w:line="276" w:lineRule="auto"/>
              <w:jc w:val="center"/>
              <w:rPr>
                <w:rFonts w:eastAsia="Aptos"/>
                <w:color w:val="000000"/>
                <w:sz w:val="20"/>
                <w:szCs w:val="20"/>
              </w:rPr>
            </w:pPr>
            <w:r w:rsidRPr="000E55DD">
              <w:rPr>
                <w:sz w:val="20"/>
                <w:szCs w:val="20"/>
              </w:rPr>
              <w:t>4.97</w:t>
            </w:r>
          </w:p>
        </w:tc>
      </w:tr>
      <w:tr w14:paraId="01E8A201" w14:textId="77777777" w:rsidTr="0096314F">
        <w:tblPrEx>
          <w:tblW w:w="8630" w:type="dxa"/>
          <w:tblCellMar>
            <w:left w:w="0" w:type="dxa"/>
            <w:right w:w="0" w:type="dxa"/>
          </w:tblCellMar>
          <w:tblLook w:val="04A0"/>
        </w:tblPrEx>
        <w:trPr>
          <w:trHeight w:val="60"/>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2B9" w:rsidRPr="00A3700D" w:rsidP="00CA22B9" w14:paraId="7A477C70" w14:textId="3516BDB0">
            <w:pPr>
              <w:spacing w:line="276" w:lineRule="auto"/>
              <w:jc w:val="center"/>
              <w:rPr>
                <w:rFonts w:eastAsia="Aptos"/>
                <w:color w:val="000000"/>
                <w:sz w:val="20"/>
                <w:szCs w:val="20"/>
              </w:rPr>
            </w:pPr>
            <w:r w:rsidRPr="000E55DD">
              <w:rPr>
                <w:sz w:val="20"/>
                <w:szCs w:val="20"/>
              </w:rPr>
              <w:t>50</w:t>
            </w:r>
          </w:p>
        </w:tc>
        <w:tc>
          <w:tcPr>
            <w:tcW w:w="2158" w:type="dxa"/>
            <w:tcBorders>
              <w:top w:val="single" w:sz="8" w:space="0" w:color="auto"/>
              <w:left w:val="nil"/>
              <w:bottom w:val="single" w:sz="8" w:space="0" w:color="auto"/>
              <w:right w:val="single" w:sz="4" w:space="0" w:color="auto"/>
            </w:tcBorders>
          </w:tcPr>
          <w:p w:rsidR="00CA22B9" w:rsidRPr="000E55DD" w:rsidP="00CA22B9" w14:paraId="2220CEDD" w14:textId="68670315">
            <w:pPr>
              <w:spacing w:line="276" w:lineRule="auto"/>
              <w:jc w:val="center"/>
              <w:rPr>
                <w:rFonts w:eastAsia="Aptos"/>
                <w:sz w:val="20"/>
                <w:szCs w:val="20"/>
              </w:rPr>
            </w:pPr>
            <w:r>
              <w:rPr>
                <w:rFonts w:eastAsia="Aptos"/>
                <w:color w:val="000000"/>
                <w:sz w:val="20"/>
                <w:szCs w:val="20"/>
              </w:rPr>
              <w:t>45</w:t>
            </w:r>
          </w:p>
        </w:tc>
        <w:tc>
          <w:tcPr>
            <w:tcW w:w="215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CA22B9" w:rsidRPr="00A3700D" w:rsidP="00CA22B9" w14:paraId="237DC2E9" w14:textId="4BD0BE49">
            <w:pPr>
              <w:spacing w:line="276" w:lineRule="auto"/>
              <w:jc w:val="center"/>
              <w:rPr>
                <w:rFonts w:eastAsia="Aptos"/>
                <w:color w:val="000000"/>
                <w:sz w:val="20"/>
                <w:szCs w:val="20"/>
              </w:rPr>
            </w:pPr>
            <w:r w:rsidRPr="000E55DD">
              <w:rPr>
                <w:sz w:val="20"/>
                <w:szCs w:val="20"/>
              </w:rPr>
              <w:t>0.2</w:t>
            </w: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rsidR="00CA22B9" w:rsidRPr="00A3700D" w:rsidP="00CA22B9" w14:paraId="2AAB1F9D" w14:textId="1757E305">
            <w:pPr>
              <w:spacing w:line="276" w:lineRule="auto"/>
              <w:jc w:val="center"/>
              <w:rPr>
                <w:rFonts w:eastAsia="Aptos"/>
                <w:color w:val="000000"/>
                <w:sz w:val="20"/>
                <w:szCs w:val="20"/>
              </w:rPr>
            </w:pPr>
            <w:r w:rsidRPr="000E55DD">
              <w:rPr>
                <w:sz w:val="20"/>
                <w:szCs w:val="20"/>
              </w:rPr>
              <w:t>9.93</w:t>
            </w:r>
          </w:p>
        </w:tc>
      </w:tr>
      <w:tr w14:paraId="12EEA8CC" w14:textId="77777777" w:rsidTr="0096314F">
        <w:tblPrEx>
          <w:tblW w:w="8630" w:type="dxa"/>
          <w:tblCellMar>
            <w:left w:w="0" w:type="dxa"/>
            <w:right w:w="0" w:type="dxa"/>
          </w:tblCellMar>
          <w:tblLook w:val="04A0"/>
        </w:tblPrEx>
        <w:trPr>
          <w:trHeight w:val="60"/>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2B9" w:rsidRPr="00A3700D" w:rsidP="00CA22B9" w14:paraId="549BBD47" w14:textId="0290C651">
            <w:pPr>
              <w:spacing w:line="276" w:lineRule="auto"/>
              <w:jc w:val="center"/>
              <w:rPr>
                <w:rFonts w:eastAsia="Aptos"/>
                <w:color w:val="000000"/>
                <w:sz w:val="20"/>
                <w:szCs w:val="20"/>
              </w:rPr>
            </w:pPr>
            <w:r w:rsidRPr="000E55DD">
              <w:rPr>
                <w:sz w:val="20"/>
                <w:szCs w:val="20"/>
              </w:rPr>
              <w:t>50</w:t>
            </w:r>
          </w:p>
        </w:tc>
        <w:tc>
          <w:tcPr>
            <w:tcW w:w="2158" w:type="dxa"/>
            <w:tcBorders>
              <w:top w:val="single" w:sz="8" w:space="0" w:color="auto"/>
              <w:left w:val="nil"/>
              <w:bottom w:val="single" w:sz="8" w:space="0" w:color="auto"/>
              <w:right w:val="single" w:sz="4" w:space="0" w:color="auto"/>
            </w:tcBorders>
          </w:tcPr>
          <w:p w:rsidR="00CA22B9" w:rsidRPr="000E55DD" w:rsidP="00CA22B9" w14:paraId="05E29A6E" w14:textId="52EE254E">
            <w:pPr>
              <w:spacing w:line="276" w:lineRule="auto"/>
              <w:jc w:val="center"/>
              <w:rPr>
                <w:rFonts w:eastAsia="Aptos"/>
                <w:sz w:val="20"/>
                <w:szCs w:val="20"/>
              </w:rPr>
            </w:pPr>
            <w:r>
              <w:rPr>
                <w:rFonts w:eastAsia="Aptos"/>
                <w:color w:val="000000"/>
                <w:sz w:val="20"/>
                <w:szCs w:val="20"/>
              </w:rPr>
              <w:t>45</w:t>
            </w:r>
          </w:p>
        </w:tc>
        <w:tc>
          <w:tcPr>
            <w:tcW w:w="215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CA22B9" w:rsidRPr="00A3700D" w:rsidP="00CA22B9" w14:paraId="75B9407B" w14:textId="6D76E957">
            <w:pPr>
              <w:spacing w:line="276" w:lineRule="auto"/>
              <w:jc w:val="center"/>
              <w:rPr>
                <w:rFonts w:eastAsia="Aptos"/>
                <w:color w:val="000000"/>
                <w:sz w:val="20"/>
                <w:szCs w:val="20"/>
              </w:rPr>
            </w:pPr>
            <w:r w:rsidRPr="000E55DD">
              <w:rPr>
                <w:sz w:val="20"/>
                <w:szCs w:val="20"/>
              </w:rPr>
              <w:t>0.4</w:t>
            </w: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rsidR="00CA22B9" w:rsidRPr="00A3700D" w:rsidP="00CA22B9" w14:paraId="5EEBB0E8" w14:textId="04AD7B0E">
            <w:pPr>
              <w:spacing w:line="276" w:lineRule="auto"/>
              <w:jc w:val="center"/>
              <w:rPr>
                <w:rFonts w:eastAsia="Aptos"/>
                <w:color w:val="000000"/>
                <w:sz w:val="20"/>
                <w:szCs w:val="20"/>
              </w:rPr>
            </w:pPr>
            <w:r w:rsidRPr="000E55DD">
              <w:rPr>
                <w:sz w:val="20"/>
                <w:szCs w:val="20"/>
              </w:rPr>
              <w:t>8.60</w:t>
            </w:r>
          </w:p>
        </w:tc>
      </w:tr>
      <w:tr w14:paraId="03504E5F" w14:textId="77777777" w:rsidTr="0096314F">
        <w:tblPrEx>
          <w:tblW w:w="8630" w:type="dxa"/>
          <w:tblCellMar>
            <w:left w:w="0" w:type="dxa"/>
            <w:right w:w="0" w:type="dxa"/>
          </w:tblCellMar>
          <w:tblLook w:val="04A0"/>
        </w:tblPrEx>
        <w:trPr>
          <w:trHeight w:val="60"/>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2B9" w:rsidRPr="00A3700D" w:rsidP="00CA22B9" w14:paraId="68CE5EE4" w14:textId="27B22AC5">
            <w:pPr>
              <w:spacing w:line="276" w:lineRule="auto"/>
              <w:jc w:val="center"/>
              <w:rPr>
                <w:rFonts w:eastAsia="Aptos"/>
                <w:color w:val="000000"/>
                <w:sz w:val="20"/>
                <w:szCs w:val="20"/>
              </w:rPr>
            </w:pPr>
            <w:r w:rsidRPr="000E55DD">
              <w:rPr>
                <w:sz w:val="20"/>
                <w:szCs w:val="20"/>
              </w:rPr>
              <w:t>50</w:t>
            </w:r>
          </w:p>
        </w:tc>
        <w:tc>
          <w:tcPr>
            <w:tcW w:w="2158" w:type="dxa"/>
            <w:tcBorders>
              <w:top w:val="single" w:sz="8" w:space="0" w:color="auto"/>
              <w:left w:val="nil"/>
              <w:bottom w:val="single" w:sz="8" w:space="0" w:color="auto"/>
              <w:right w:val="single" w:sz="4" w:space="0" w:color="auto"/>
            </w:tcBorders>
          </w:tcPr>
          <w:p w:rsidR="00CA22B9" w:rsidRPr="000E55DD" w:rsidP="00CA22B9" w14:paraId="4481CA88" w14:textId="1519F1A9">
            <w:pPr>
              <w:spacing w:line="276" w:lineRule="auto"/>
              <w:jc w:val="center"/>
              <w:rPr>
                <w:rFonts w:eastAsia="Aptos"/>
                <w:sz w:val="20"/>
                <w:szCs w:val="20"/>
              </w:rPr>
            </w:pPr>
            <w:r>
              <w:rPr>
                <w:rFonts w:eastAsia="Aptos"/>
                <w:color w:val="000000"/>
                <w:sz w:val="20"/>
                <w:szCs w:val="20"/>
              </w:rPr>
              <w:t>45</w:t>
            </w:r>
          </w:p>
        </w:tc>
        <w:tc>
          <w:tcPr>
            <w:tcW w:w="215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CA22B9" w:rsidRPr="00A3700D" w:rsidP="00CA22B9" w14:paraId="501B474A" w14:textId="41FA9062">
            <w:pPr>
              <w:spacing w:line="276" w:lineRule="auto"/>
              <w:jc w:val="center"/>
              <w:rPr>
                <w:rFonts w:eastAsia="Aptos"/>
                <w:color w:val="000000"/>
                <w:sz w:val="20"/>
                <w:szCs w:val="20"/>
              </w:rPr>
            </w:pPr>
            <w:r w:rsidRPr="000E55DD">
              <w:rPr>
                <w:sz w:val="20"/>
                <w:szCs w:val="20"/>
              </w:rPr>
              <w:t>0.6</w:t>
            </w: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rsidR="00CA22B9" w:rsidRPr="00A3700D" w:rsidP="00CA22B9" w14:paraId="418AC264" w14:textId="099B9ECD">
            <w:pPr>
              <w:spacing w:line="276" w:lineRule="auto"/>
              <w:jc w:val="center"/>
              <w:rPr>
                <w:rFonts w:eastAsia="Aptos"/>
                <w:color w:val="000000"/>
                <w:sz w:val="20"/>
                <w:szCs w:val="20"/>
              </w:rPr>
            </w:pPr>
            <w:r w:rsidRPr="000E55DD">
              <w:rPr>
                <w:sz w:val="20"/>
                <w:szCs w:val="20"/>
              </w:rPr>
              <w:t>7.02</w:t>
            </w:r>
          </w:p>
        </w:tc>
      </w:tr>
    </w:tbl>
    <w:p w:rsidR="00A3700D" w:rsidP="000E55DD" w14:paraId="7E8A3769" w14:textId="4E8BC050">
      <w:pPr>
        <w:pStyle w:val="Exhibit1"/>
        <w:rPr>
          <w:rStyle w:val="NORCCaption-Color"/>
          <w:rFonts w:ascii="Times New Roman" w:hAnsi="Times New Roman"/>
          <w:color w:val="auto"/>
          <w:sz w:val="24"/>
        </w:rPr>
      </w:pPr>
      <w:r w:rsidRPr="005230C1">
        <w:rPr>
          <w:rStyle w:val="NORCCaption-Color"/>
          <w:rFonts w:ascii="Times New Roman" w:hAnsi="Times New Roman"/>
          <w:b/>
          <w:bCs/>
          <w:color w:val="auto"/>
          <w:sz w:val="24"/>
        </w:rPr>
        <w:t>Exhibit 5</w:t>
      </w:r>
      <w:r>
        <w:rPr>
          <w:rStyle w:val="NORCCaption-Color"/>
          <w:rFonts w:ascii="Times New Roman" w:hAnsi="Times New Roman"/>
          <w:color w:val="auto"/>
          <w:sz w:val="24"/>
        </w:rPr>
        <w:t xml:space="preserve">: </w:t>
      </w:r>
      <w:r w:rsidRPr="005230C1">
        <w:rPr>
          <w:rStyle w:val="NORCCaption-Color"/>
          <w:rFonts w:ascii="Times New Roman" w:hAnsi="Times New Roman"/>
          <w:bCs/>
          <w:color w:val="auto"/>
          <w:sz w:val="24"/>
          <w:szCs w:val="24"/>
        </w:rPr>
        <w:t>Power</w:t>
      </w:r>
      <w:r w:rsidRPr="005230C1">
        <w:rPr>
          <w:rStyle w:val="NORCCaption-Color"/>
          <w:rFonts w:ascii="Times New Roman" w:hAnsi="Times New Roman"/>
          <w:bCs/>
          <w:color w:val="auto"/>
          <w:sz w:val="24"/>
        </w:rPr>
        <w:t xml:space="preserve"> </w:t>
      </w:r>
      <w:r>
        <w:rPr>
          <w:rStyle w:val="NORCCaption-Color"/>
          <w:rFonts w:ascii="Times New Roman" w:hAnsi="Times New Roman"/>
          <w:color w:val="auto"/>
          <w:sz w:val="24"/>
        </w:rPr>
        <w:t>Analysis VAP/VAE Cohort</w:t>
      </w:r>
    </w:p>
    <w:tbl>
      <w:tblPr>
        <w:tblW w:w="8630" w:type="dxa"/>
        <w:tblCellMar>
          <w:left w:w="0" w:type="dxa"/>
          <w:right w:w="0" w:type="dxa"/>
        </w:tblCellMar>
        <w:tblLook w:val="04A0"/>
      </w:tblPr>
      <w:tblGrid>
        <w:gridCol w:w="2157"/>
        <w:gridCol w:w="2158"/>
        <w:gridCol w:w="2157"/>
        <w:gridCol w:w="2158"/>
      </w:tblGrid>
      <w:tr w14:paraId="7021016D" w14:textId="77777777" w:rsidTr="0096314F">
        <w:tblPrEx>
          <w:tblW w:w="8630" w:type="dxa"/>
          <w:tblCellMar>
            <w:left w:w="0" w:type="dxa"/>
            <w:right w:w="0" w:type="dxa"/>
          </w:tblCellMar>
          <w:tblLook w:val="04A0"/>
        </w:tblPrEx>
        <w:trPr>
          <w:trHeight w:val="95"/>
        </w:trPr>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22B9" w:rsidRPr="000E55DD" w:rsidP="000E55DD" w14:paraId="021655A7" w14:textId="0DF20B0C">
            <w:pPr>
              <w:rPr>
                <w:rFonts w:eastAsia="Aptos"/>
                <w:b/>
                <w:bCs/>
                <w:color w:val="000000"/>
                <w:sz w:val="20"/>
                <w:szCs w:val="20"/>
              </w:rPr>
            </w:pPr>
            <w:r w:rsidRPr="000E55DD">
              <w:rPr>
                <w:rFonts w:eastAsia="Aptos"/>
                <w:b/>
                <w:bCs/>
                <w:color w:val="000000"/>
                <w:sz w:val="20"/>
                <w:szCs w:val="20"/>
              </w:rPr>
              <w:t>Total number of units</w:t>
            </w:r>
          </w:p>
        </w:tc>
        <w:tc>
          <w:tcPr>
            <w:tcW w:w="2158" w:type="dxa"/>
            <w:tcBorders>
              <w:top w:val="single" w:sz="8" w:space="0" w:color="auto"/>
              <w:left w:val="nil"/>
              <w:bottom w:val="single" w:sz="8" w:space="0" w:color="auto"/>
              <w:right w:val="single" w:sz="4" w:space="0" w:color="auto"/>
            </w:tcBorders>
          </w:tcPr>
          <w:p w:rsidR="00CA22B9" w:rsidRPr="000E55DD" w:rsidP="00A3700D" w14:paraId="0A4A2BCF" w14:textId="32D5A5D6">
            <w:pPr>
              <w:jc w:val="center"/>
              <w:rPr>
                <w:rFonts w:eastAsia="Aptos"/>
                <w:b/>
                <w:bCs/>
                <w:color w:val="000000"/>
                <w:sz w:val="20"/>
                <w:szCs w:val="20"/>
              </w:rPr>
            </w:pPr>
            <w:r w:rsidRPr="00CA22B9">
              <w:rPr>
                <w:rFonts w:eastAsia="Aptos"/>
                <w:b/>
                <w:bCs/>
                <w:color w:val="000000"/>
                <w:sz w:val="20"/>
                <w:szCs w:val="20"/>
              </w:rPr>
              <w:t>Effective Sample Size After Non-Response</w:t>
            </w:r>
          </w:p>
        </w:tc>
        <w:tc>
          <w:tcPr>
            <w:tcW w:w="215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CA22B9" w:rsidRPr="000E55DD" w:rsidP="00A3700D" w14:paraId="2DE09D8B" w14:textId="642C15B8">
            <w:pPr>
              <w:jc w:val="center"/>
              <w:rPr>
                <w:rFonts w:eastAsia="Aptos"/>
                <w:b/>
                <w:bCs/>
                <w:color w:val="000000"/>
                <w:sz w:val="20"/>
                <w:szCs w:val="20"/>
              </w:rPr>
            </w:pPr>
            <w:r w:rsidRPr="000E55DD">
              <w:rPr>
                <w:rFonts w:eastAsia="Aptos"/>
                <w:b/>
                <w:bCs/>
                <w:color w:val="000000"/>
                <w:sz w:val="20"/>
                <w:szCs w:val="20"/>
              </w:rPr>
              <w:t>Correlation within unit</w:t>
            </w:r>
          </w:p>
        </w:tc>
        <w:tc>
          <w:tcPr>
            <w:tcW w:w="21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A22B9" w:rsidRPr="000E55DD" w:rsidP="00A3700D" w14:paraId="1D08A7FB" w14:textId="29DA0E20">
            <w:pPr>
              <w:jc w:val="center"/>
              <w:rPr>
                <w:rFonts w:eastAsia="Aptos"/>
                <w:b/>
                <w:bCs/>
                <w:color w:val="000000"/>
                <w:sz w:val="20"/>
                <w:szCs w:val="20"/>
              </w:rPr>
            </w:pPr>
            <w:r>
              <w:rPr>
                <w:rFonts w:eastAsia="Aptos"/>
                <w:b/>
                <w:bCs/>
                <w:color w:val="000000"/>
                <w:sz w:val="20"/>
                <w:szCs w:val="20"/>
              </w:rPr>
              <w:t xml:space="preserve">Detectable Change in </w:t>
            </w:r>
            <w:r w:rsidRPr="000E55DD">
              <w:rPr>
                <w:rFonts w:eastAsia="Aptos"/>
                <w:b/>
                <w:bCs/>
                <w:color w:val="000000"/>
                <w:sz w:val="20"/>
                <w:szCs w:val="20"/>
              </w:rPr>
              <w:t>VAE</w:t>
            </w:r>
            <w:r w:rsidR="0095737E">
              <w:rPr>
                <w:rFonts w:eastAsia="Aptos"/>
                <w:b/>
                <w:bCs/>
                <w:color w:val="000000"/>
                <w:sz w:val="20"/>
                <w:szCs w:val="20"/>
              </w:rPr>
              <w:t>/VAP</w:t>
            </w:r>
            <w:r w:rsidRPr="000E55DD">
              <w:rPr>
                <w:rFonts w:eastAsia="Aptos"/>
                <w:b/>
                <w:bCs/>
                <w:color w:val="000000"/>
                <w:sz w:val="20"/>
                <w:szCs w:val="20"/>
              </w:rPr>
              <w:t xml:space="preserve"> per 10,000 ventilator days</w:t>
            </w:r>
          </w:p>
        </w:tc>
      </w:tr>
      <w:tr w14:paraId="7EC9F41F" w14:textId="77777777" w:rsidTr="0096314F">
        <w:tblPrEx>
          <w:tblW w:w="8630" w:type="dxa"/>
          <w:tblCellMar>
            <w:left w:w="0" w:type="dxa"/>
            <w:right w:w="0" w:type="dxa"/>
          </w:tblCellMar>
          <w:tblLook w:val="04A0"/>
        </w:tblPrEx>
        <w:trPr>
          <w:trHeight w:val="59"/>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A22B9" w:rsidRPr="000E55DD" w:rsidP="00A3700D" w14:paraId="3D40AA1C" w14:textId="77777777">
            <w:pPr>
              <w:jc w:val="center"/>
              <w:rPr>
                <w:rFonts w:eastAsia="Aptos"/>
                <w:color w:val="000000"/>
                <w:sz w:val="20"/>
                <w:szCs w:val="20"/>
              </w:rPr>
            </w:pPr>
            <w:r w:rsidRPr="000E55DD">
              <w:rPr>
                <w:rFonts w:eastAsia="Aptos"/>
                <w:color w:val="000000"/>
                <w:sz w:val="20"/>
                <w:szCs w:val="20"/>
              </w:rPr>
              <w:t>100</w:t>
            </w:r>
          </w:p>
        </w:tc>
        <w:tc>
          <w:tcPr>
            <w:tcW w:w="2158" w:type="dxa"/>
            <w:tcBorders>
              <w:top w:val="single" w:sz="8" w:space="0" w:color="auto"/>
              <w:left w:val="nil"/>
              <w:bottom w:val="single" w:sz="8" w:space="0" w:color="auto"/>
              <w:right w:val="single" w:sz="4" w:space="0" w:color="auto"/>
            </w:tcBorders>
          </w:tcPr>
          <w:p w:rsidR="00CA22B9" w:rsidRPr="000E55DD" w:rsidP="00A3700D" w14:paraId="303D15E8" w14:textId="59F6A6CF">
            <w:pPr>
              <w:jc w:val="center"/>
              <w:rPr>
                <w:rFonts w:eastAsia="Aptos"/>
                <w:color w:val="000000"/>
                <w:sz w:val="20"/>
                <w:szCs w:val="20"/>
              </w:rPr>
            </w:pPr>
            <w:r>
              <w:rPr>
                <w:rFonts w:eastAsia="Aptos"/>
                <w:color w:val="000000"/>
                <w:sz w:val="20"/>
                <w:szCs w:val="20"/>
              </w:rPr>
              <w:t>75</w:t>
            </w:r>
          </w:p>
        </w:tc>
        <w:tc>
          <w:tcPr>
            <w:tcW w:w="215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hideMark/>
          </w:tcPr>
          <w:p w:rsidR="00CA22B9" w:rsidRPr="000E55DD" w:rsidP="00A3700D" w14:paraId="74CAC338" w14:textId="0D632989">
            <w:pPr>
              <w:jc w:val="center"/>
              <w:rPr>
                <w:rFonts w:eastAsia="Aptos"/>
                <w:color w:val="000000"/>
                <w:sz w:val="20"/>
                <w:szCs w:val="20"/>
              </w:rPr>
            </w:pPr>
            <w:r w:rsidRPr="000E55DD">
              <w:rPr>
                <w:rFonts w:eastAsia="Aptos"/>
                <w:color w:val="000000"/>
                <w:sz w:val="20"/>
                <w:szCs w:val="20"/>
              </w:rPr>
              <w:t>0.2</w:t>
            </w:r>
          </w:p>
        </w:tc>
        <w:tc>
          <w:tcPr>
            <w:tcW w:w="21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A22B9" w:rsidRPr="000E55DD" w:rsidP="00A3700D" w14:paraId="21B02D63" w14:textId="77777777">
            <w:pPr>
              <w:jc w:val="center"/>
              <w:rPr>
                <w:rFonts w:eastAsia="Aptos"/>
                <w:color w:val="000000"/>
                <w:sz w:val="20"/>
                <w:szCs w:val="20"/>
              </w:rPr>
            </w:pPr>
            <w:r w:rsidRPr="000E55DD">
              <w:rPr>
                <w:rFonts w:eastAsia="Aptos"/>
                <w:color w:val="000000"/>
                <w:sz w:val="20"/>
                <w:szCs w:val="20"/>
              </w:rPr>
              <w:t>84.4</w:t>
            </w:r>
          </w:p>
        </w:tc>
      </w:tr>
      <w:tr w14:paraId="74B502D0" w14:textId="77777777" w:rsidTr="0096314F">
        <w:tblPrEx>
          <w:tblW w:w="8630" w:type="dxa"/>
          <w:tblCellMar>
            <w:left w:w="0" w:type="dxa"/>
            <w:right w:w="0" w:type="dxa"/>
          </w:tblCellMar>
          <w:tblLook w:val="04A0"/>
        </w:tblPrEx>
        <w:trPr>
          <w:trHeight w:val="59"/>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A22B9" w:rsidRPr="00EB6B25" w:rsidP="00A3700D" w14:paraId="24A73C34" w14:textId="77777777">
            <w:pPr>
              <w:jc w:val="center"/>
              <w:rPr>
                <w:rFonts w:eastAsia="Aptos"/>
                <w:b/>
                <w:bCs/>
                <w:color w:val="000000"/>
                <w:sz w:val="20"/>
                <w:szCs w:val="20"/>
              </w:rPr>
            </w:pPr>
            <w:r w:rsidRPr="00EB6B25">
              <w:rPr>
                <w:rFonts w:eastAsia="Aptos"/>
                <w:b/>
                <w:bCs/>
                <w:color w:val="000000"/>
                <w:sz w:val="20"/>
                <w:szCs w:val="20"/>
              </w:rPr>
              <w:t>100</w:t>
            </w:r>
          </w:p>
        </w:tc>
        <w:tc>
          <w:tcPr>
            <w:tcW w:w="2158" w:type="dxa"/>
            <w:tcBorders>
              <w:top w:val="single" w:sz="8" w:space="0" w:color="auto"/>
              <w:left w:val="nil"/>
              <w:bottom w:val="single" w:sz="8" w:space="0" w:color="auto"/>
              <w:right w:val="single" w:sz="4" w:space="0" w:color="auto"/>
            </w:tcBorders>
          </w:tcPr>
          <w:p w:rsidR="00CA22B9" w:rsidRPr="00EB6B25" w:rsidP="00A3700D" w14:paraId="16E0E236" w14:textId="283A270F">
            <w:pPr>
              <w:jc w:val="center"/>
              <w:rPr>
                <w:rFonts w:eastAsia="Aptos"/>
                <w:b/>
                <w:bCs/>
                <w:color w:val="000000"/>
                <w:sz w:val="20"/>
                <w:szCs w:val="20"/>
              </w:rPr>
            </w:pPr>
            <w:r>
              <w:rPr>
                <w:rFonts w:eastAsia="Aptos"/>
                <w:b/>
                <w:bCs/>
                <w:color w:val="000000"/>
                <w:sz w:val="20"/>
                <w:szCs w:val="20"/>
              </w:rPr>
              <w:t>75</w:t>
            </w:r>
          </w:p>
        </w:tc>
        <w:tc>
          <w:tcPr>
            <w:tcW w:w="215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hideMark/>
          </w:tcPr>
          <w:p w:rsidR="00CA22B9" w:rsidRPr="00EB6B25" w:rsidP="00A3700D" w14:paraId="3EBD62F1" w14:textId="4959D8D9">
            <w:pPr>
              <w:jc w:val="center"/>
              <w:rPr>
                <w:rFonts w:eastAsia="Aptos"/>
                <w:b/>
                <w:bCs/>
                <w:color w:val="000000"/>
                <w:sz w:val="20"/>
                <w:szCs w:val="20"/>
              </w:rPr>
            </w:pPr>
            <w:r w:rsidRPr="00EB6B25">
              <w:rPr>
                <w:rFonts w:eastAsia="Aptos"/>
                <w:b/>
                <w:bCs/>
                <w:color w:val="000000"/>
                <w:sz w:val="20"/>
                <w:szCs w:val="20"/>
              </w:rPr>
              <w:t>0.4</w:t>
            </w:r>
          </w:p>
        </w:tc>
        <w:tc>
          <w:tcPr>
            <w:tcW w:w="21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A22B9" w:rsidRPr="00EB6B25" w:rsidP="00A3700D" w14:paraId="02899F68" w14:textId="77777777">
            <w:pPr>
              <w:jc w:val="center"/>
              <w:rPr>
                <w:rFonts w:eastAsia="Aptos"/>
                <w:b/>
                <w:bCs/>
                <w:color w:val="000000"/>
                <w:sz w:val="20"/>
                <w:szCs w:val="20"/>
              </w:rPr>
            </w:pPr>
            <w:r w:rsidRPr="00EB6B25">
              <w:rPr>
                <w:rFonts w:eastAsia="Aptos"/>
                <w:b/>
                <w:bCs/>
                <w:color w:val="000000"/>
                <w:sz w:val="20"/>
                <w:szCs w:val="20"/>
              </w:rPr>
              <w:t>73.1</w:t>
            </w:r>
          </w:p>
        </w:tc>
      </w:tr>
      <w:tr w14:paraId="02DF446A" w14:textId="77777777" w:rsidTr="0096314F">
        <w:tblPrEx>
          <w:tblW w:w="8630" w:type="dxa"/>
          <w:tblCellMar>
            <w:left w:w="0" w:type="dxa"/>
            <w:right w:w="0" w:type="dxa"/>
          </w:tblCellMar>
          <w:tblLook w:val="04A0"/>
        </w:tblPrEx>
        <w:trPr>
          <w:trHeight w:val="69"/>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A22B9" w:rsidRPr="000E55DD" w:rsidP="00A3700D" w14:paraId="5F39E1F2" w14:textId="77777777">
            <w:pPr>
              <w:jc w:val="center"/>
              <w:rPr>
                <w:rFonts w:eastAsia="Aptos"/>
                <w:color w:val="000000"/>
                <w:sz w:val="20"/>
                <w:szCs w:val="20"/>
              </w:rPr>
            </w:pPr>
            <w:r w:rsidRPr="000E55DD">
              <w:rPr>
                <w:rFonts w:eastAsia="Aptos"/>
                <w:color w:val="000000"/>
                <w:sz w:val="20"/>
                <w:szCs w:val="20"/>
              </w:rPr>
              <w:t>100</w:t>
            </w:r>
          </w:p>
        </w:tc>
        <w:tc>
          <w:tcPr>
            <w:tcW w:w="2158" w:type="dxa"/>
            <w:tcBorders>
              <w:top w:val="single" w:sz="8" w:space="0" w:color="auto"/>
              <w:left w:val="nil"/>
              <w:bottom w:val="single" w:sz="8" w:space="0" w:color="auto"/>
              <w:right w:val="single" w:sz="4" w:space="0" w:color="auto"/>
            </w:tcBorders>
          </w:tcPr>
          <w:p w:rsidR="00CA22B9" w:rsidRPr="000E55DD" w:rsidP="00A3700D" w14:paraId="0C8453F3" w14:textId="407B9396">
            <w:pPr>
              <w:jc w:val="center"/>
              <w:rPr>
                <w:rFonts w:eastAsia="Aptos"/>
                <w:color w:val="000000"/>
                <w:sz w:val="20"/>
                <w:szCs w:val="20"/>
              </w:rPr>
            </w:pPr>
            <w:r>
              <w:rPr>
                <w:rFonts w:eastAsia="Aptos"/>
                <w:color w:val="000000"/>
                <w:sz w:val="20"/>
                <w:szCs w:val="20"/>
              </w:rPr>
              <w:t>75</w:t>
            </w:r>
          </w:p>
        </w:tc>
        <w:tc>
          <w:tcPr>
            <w:tcW w:w="215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hideMark/>
          </w:tcPr>
          <w:p w:rsidR="00CA22B9" w:rsidRPr="000E55DD" w:rsidP="00A3700D" w14:paraId="4A9DDF8C" w14:textId="6BF40C2F">
            <w:pPr>
              <w:jc w:val="center"/>
              <w:rPr>
                <w:rFonts w:eastAsia="Aptos"/>
                <w:color w:val="000000"/>
                <w:sz w:val="20"/>
                <w:szCs w:val="20"/>
              </w:rPr>
            </w:pPr>
            <w:r w:rsidRPr="000E55DD">
              <w:rPr>
                <w:rFonts w:eastAsia="Aptos"/>
                <w:color w:val="000000"/>
                <w:sz w:val="20"/>
                <w:szCs w:val="20"/>
              </w:rPr>
              <w:t>0.6</w:t>
            </w:r>
          </w:p>
        </w:tc>
        <w:tc>
          <w:tcPr>
            <w:tcW w:w="21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A22B9" w:rsidRPr="000E55DD" w:rsidP="00A3700D" w14:paraId="2595E783" w14:textId="77777777">
            <w:pPr>
              <w:jc w:val="center"/>
              <w:rPr>
                <w:rFonts w:eastAsia="Aptos"/>
                <w:color w:val="000000"/>
                <w:sz w:val="20"/>
                <w:szCs w:val="20"/>
              </w:rPr>
            </w:pPr>
            <w:r w:rsidRPr="000E55DD">
              <w:rPr>
                <w:rFonts w:eastAsia="Aptos"/>
                <w:color w:val="000000"/>
                <w:sz w:val="20"/>
                <w:szCs w:val="20"/>
              </w:rPr>
              <w:t>59.7</w:t>
            </w:r>
          </w:p>
        </w:tc>
      </w:tr>
      <w:tr w14:paraId="71E1B746" w14:textId="77777777" w:rsidTr="0096314F">
        <w:tblPrEx>
          <w:tblW w:w="8630" w:type="dxa"/>
          <w:tblCellMar>
            <w:left w:w="0" w:type="dxa"/>
            <w:right w:w="0" w:type="dxa"/>
          </w:tblCellMar>
          <w:tblLook w:val="04A0"/>
        </w:tblPrEx>
        <w:trPr>
          <w:trHeight w:val="59"/>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A22B9" w:rsidRPr="000E55DD" w:rsidP="00A3700D" w14:paraId="4A505659" w14:textId="77777777">
            <w:pPr>
              <w:jc w:val="center"/>
              <w:rPr>
                <w:rFonts w:eastAsia="Aptos"/>
                <w:color w:val="000000"/>
                <w:sz w:val="20"/>
                <w:szCs w:val="20"/>
              </w:rPr>
            </w:pPr>
            <w:r w:rsidRPr="000E55DD">
              <w:rPr>
                <w:rFonts w:eastAsia="Aptos"/>
                <w:color w:val="000000"/>
                <w:sz w:val="20"/>
                <w:szCs w:val="20"/>
              </w:rPr>
              <w:t>75</w:t>
            </w:r>
          </w:p>
        </w:tc>
        <w:tc>
          <w:tcPr>
            <w:tcW w:w="2158" w:type="dxa"/>
            <w:tcBorders>
              <w:top w:val="single" w:sz="8" w:space="0" w:color="auto"/>
              <w:left w:val="nil"/>
              <w:bottom w:val="single" w:sz="8" w:space="0" w:color="auto"/>
              <w:right w:val="single" w:sz="4" w:space="0" w:color="auto"/>
            </w:tcBorders>
          </w:tcPr>
          <w:p w:rsidR="00CA22B9" w:rsidRPr="000E55DD" w:rsidP="00A3700D" w14:paraId="278D73AB" w14:textId="577A766B">
            <w:pPr>
              <w:jc w:val="center"/>
              <w:rPr>
                <w:rFonts w:eastAsia="Aptos"/>
                <w:color w:val="000000"/>
                <w:sz w:val="20"/>
                <w:szCs w:val="20"/>
              </w:rPr>
            </w:pPr>
            <w:r>
              <w:rPr>
                <w:rFonts w:eastAsia="Aptos"/>
                <w:color w:val="000000"/>
                <w:sz w:val="20"/>
                <w:szCs w:val="20"/>
              </w:rPr>
              <w:t>56</w:t>
            </w:r>
          </w:p>
        </w:tc>
        <w:tc>
          <w:tcPr>
            <w:tcW w:w="215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hideMark/>
          </w:tcPr>
          <w:p w:rsidR="00CA22B9" w:rsidRPr="000E55DD" w:rsidP="00A3700D" w14:paraId="070D64E3" w14:textId="14554D91">
            <w:pPr>
              <w:jc w:val="center"/>
              <w:rPr>
                <w:rFonts w:eastAsia="Aptos"/>
                <w:color w:val="000000"/>
                <w:sz w:val="20"/>
                <w:szCs w:val="20"/>
              </w:rPr>
            </w:pPr>
            <w:r w:rsidRPr="000E55DD">
              <w:rPr>
                <w:rFonts w:eastAsia="Aptos"/>
                <w:color w:val="000000"/>
                <w:sz w:val="20"/>
                <w:szCs w:val="20"/>
              </w:rPr>
              <w:t>0.2</w:t>
            </w:r>
          </w:p>
        </w:tc>
        <w:tc>
          <w:tcPr>
            <w:tcW w:w="21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A22B9" w:rsidRPr="000E55DD" w:rsidP="00A3700D" w14:paraId="27E406B3" w14:textId="7B2B0D1F">
            <w:pPr>
              <w:jc w:val="center"/>
              <w:rPr>
                <w:rFonts w:eastAsia="Aptos"/>
                <w:color w:val="000000"/>
                <w:sz w:val="20"/>
                <w:szCs w:val="20"/>
              </w:rPr>
            </w:pPr>
            <w:r w:rsidRPr="000E55DD">
              <w:rPr>
                <w:rFonts w:eastAsia="Aptos"/>
                <w:color w:val="000000"/>
                <w:sz w:val="20"/>
                <w:szCs w:val="20"/>
              </w:rPr>
              <w:t>97.</w:t>
            </w:r>
            <w:r w:rsidR="008152B3">
              <w:rPr>
                <w:rFonts w:eastAsia="Aptos"/>
                <w:color w:val="000000"/>
                <w:sz w:val="20"/>
                <w:szCs w:val="20"/>
              </w:rPr>
              <w:t>7</w:t>
            </w:r>
          </w:p>
        </w:tc>
      </w:tr>
      <w:tr w14:paraId="3560FD6E" w14:textId="77777777" w:rsidTr="0096314F">
        <w:tblPrEx>
          <w:tblW w:w="8630" w:type="dxa"/>
          <w:tblCellMar>
            <w:left w:w="0" w:type="dxa"/>
            <w:right w:w="0" w:type="dxa"/>
          </w:tblCellMar>
          <w:tblLook w:val="04A0"/>
        </w:tblPrEx>
        <w:trPr>
          <w:trHeight w:val="59"/>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A22B9" w:rsidRPr="000E55DD" w:rsidP="00A3700D" w14:paraId="7B40E5BF" w14:textId="77777777">
            <w:pPr>
              <w:jc w:val="center"/>
              <w:rPr>
                <w:rFonts w:eastAsia="Aptos"/>
                <w:color w:val="000000"/>
                <w:sz w:val="20"/>
                <w:szCs w:val="20"/>
              </w:rPr>
            </w:pPr>
            <w:r w:rsidRPr="000E55DD">
              <w:rPr>
                <w:rFonts w:eastAsia="Aptos"/>
                <w:color w:val="000000"/>
                <w:sz w:val="20"/>
                <w:szCs w:val="20"/>
              </w:rPr>
              <w:t>75</w:t>
            </w:r>
          </w:p>
        </w:tc>
        <w:tc>
          <w:tcPr>
            <w:tcW w:w="2158" w:type="dxa"/>
            <w:tcBorders>
              <w:top w:val="single" w:sz="8" w:space="0" w:color="auto"/>
              <w:left w:val="nil"/>
              <w:bottom w:val="single" w:sz="8" w:space="0" w:color="auto"/>
              <w:right w:val="single" w:sz="4" w:space="0" w:color="auto"/>
            </w:tcBorders>
          </w:tcPr>
          <w:p w:rsidR="00CA22B9" w:rsidRPr="000E55DD" w:rsidP="00A3700D" w14:paraId="4292B53C" w14:textId="7332884A">
            <w:pPr>
              <w:jc w:val="center"/>
              <w:rPr>
                <w:rFonts w:eastAsia="Aptos"/>
                <w:color w:val="000000"/>
                <w:sz w:val="20"/>
                <w:szCs w:val="20"/>
              </w:rPr>
            </w:pPr>
            <w:r>
              <w:rPr>
                <w:rFonts w:eastAsia="Aptos"/>
                <w:color w:val="000000"/>
                <w:sz w:val="20"/>
                <w:szCs w:val="20"/>
              </w:rPr>
              <w:t>56</w:t>
            </w:r>
          </w:p>
        </w:tc>
        <w:tc>
          <w:tcPr>
            <w:tcW w:w="215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hideMark/>
          </w:tcPr>
          <w:p w:rsidR="00CA22B9" w:rsidRPr="000E55DD" w:rsidP="00A3700D" w14:paraId="03BAD131" w14:textId="1474093A">
            <w:pPr>
              <w:jc w:val="center"/>
              <w:rPr>
                <w:rFonts w:eastAsia="Aptos"/>
                <w:color w:val="000000"/>
                <w:sz w:val="20"/>
                <w:szCs w:val="20"/>
              </w:rPr>
            </w:pPr>
            <w:r w:rsidRPr="000E55DD">
              <w:rPr>
                <w:rFonts w:eastAsia="Aptos"/>
                <w:color w:val="000000"/>
                <w:sz w:val="20"/>
                <w:szCs w:val="20"/>
              </w:rPr>
              <w:t>0.4</w:t>
            </w:r>
          </w:p>
        </w:tc>
        <w:tc>
          <w:tcPr>
            <w:tcW w:w="21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A22B9" w:rsidRPr="000E55DD" w:rsidP="00A3700D" w14:paraId="30F80192" w14:textId="3DA3680E">
            <w:pPr>
              <w:jc w:val="center"/>
              <w:rPr>
                <w:rFonts w:eastAsia="Aptos"/>
                <w:color w:val="000000"/>
                <w:sz w:val="20"/>
                <w:szCs w:val="20"/>
              </w:rPr>
            </w:pPr>
            <w:r w:rsidRPr="000E55DD">
              <w:rPr>
                <w:rFonts w:eastAsia="Aptos"/>
                <w:color w:val="000000"/>
                <w:sz w:val="20"/>
                <w:szCs w:val="20"/>
              </w:rPr>
              <w:t>84.</w:t>
            </w:r>
            <w:r w:rsidR="008152B3">
              <w:rPr>
                <w:rFonts w:eastAsia="Aptos"/>
                <w:color w:val="000000"/>
                <w:sz w:val="20"/>
                <w:szCs w:val="20"/>
              </w:rPr>
              <w:t>6</w:t>
            </w:r>
          </w:p>
        </w:tc>
      </w:tr>
      <w:tr w14:paraId="260B5B23" w14:textId="77777777" w:rsidTr="0096314F">
        <w:tblPrEx>
          <w:tblW w:w="8630" w:type="dxa"/>
          <w:tblCellMar>
            <w:left w:w="0" w:type="dxa"/>
            <w:right w:w="0" w:type="dxa"/>
          </w:tblCellMar>
          <w:tblLook w:val="04A0"/>
        </w:tblPrEx>
        <w:trPr>
          <w:trHeight w:val="59"/>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A22B9" w:rsidRPr="000E55DD" w:rsidP="00A3700D" w14:paraId="64E7320F" w14:textId="77777777">
            <w:pPr>
              <w:jc w:val="center"/>
              <w:rPr>
                <w:rFonts w:eastAsia="Aptos"/>
                <w:color w:val="000000"/>
                <w:sz w:val="20"/>
                <w:szCs w:val="20"/>
              </w:rPr>
            </w:pPr>
            <w:r w:rsidRPr="000E55DD">
              <w:rPr>
                <w:rFonts w:eastAsia="Aptos"/>
                <w:color w:val="000000"/>
                <w:sz w:val="20"/>
                <w:szCs w:val="20"/>
              </w:rPr>
              <w:t>75</w:t>
            </w:r>
          </w:p>
        </w:tc>
        <w:tc>
          <w:tcPr>
            <w:tcW w:w="2158" w:type="dxa"/>
            <w:tcBorders>
              <w:top w:val="single" w:sz="8" w:space="0" w:color="auto"/>
              <w:left w:val="nil"/>
              <w:bottom w:val="single" w:sz="8" w:space="0" w:color="auto"/>
              <w:right w:val="single" w:sz="4" w:space="0" w:color="auto"/>
            </w:tcBorders>
          </w:tcPr>
          <w:p w:rsidR="00CA22B9" w:rsidRPr="000E55DD" w:rsidP="00A3700D" w14:paraId="1DCB4B8F" w14:textId="291DC5CE">
            <w:pPr>
              <w:jc w:val="center"/>
              <w:rPr>
                <w:rFonts w:eastAsia="Aptos"/>
                <w:color w:val="000000"/>
                <w:sz w:val="20"/>
                <w:szCs w:val="20"/>
              </w:rPr>
            </w:pPr>
            <w:r>
              <w:rPr>
                <w:rFonts w:eastAsia="Aptos"/>
                <w:color w:val="000000"/>
                <w:sz w:val="20"/>
                <w:szCs w:val="20"/>
              </w:rPr>
              <w:t>56</w:t>
            </w:r>
          </w:p>
        </w:tc>
        <w:tc>
          <w:tcPr>
            <w:tcW w:w="215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hideMark/>
          </w:tcPr>
          <w:p w:rsidR="00CA22B9" w:rsidRPr="000E55DD" w:rsidP="00A3700D" w14:paraId="14786622" w14:textId="0864CAF8">
            <w:pPr>
              <w:jc w:val="center"/>
              <w:rPr>
                <w:rFonts w:eastAsia="Aptos"/>
                <w:color w:val="000000"/>
                <w:sz w:val="20"/>
                <w:szCs w:val="20"/>
              </w:rPr>
            </w:pPr>
            <w:r w:rsidRPr="000E55DD">
              <w:rPr>
                <w:rFonts w:eastAsia="Aptos"/>
                <w:color w:val="000000"/>
                <w:sz w:val="20"/>
                <w:szCs w:val="20"/>
              </w:rPr>
              <w:t>0.6</w:t>
            </w:r>
          </w:p>
        </w:tc>
        <w:tc>
          <w:tcPr>
            <w:tcW w:w="21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A22B9" w:rsidRPr="000E55DD" w:rsidP="00A3700D" w14:paraId="69F2E36A" w14:textId="40DBBC6C">
            <w:pPr>
              <w:jc w:val="center"/>
              <w:rPr>
                <w:rFonts w:eastAsia="Aptos"/>
                <w:color w:val="000000"/>
                <w:sz w:val="20"/>
                <w:szCs w:val="20"/>
              </w:rPr>
            </w:pPr>
            <w:r w:rsidRPr="000E55DD">
              <w:rPr>
                <w:rFonts w:eastAsia="Aptos"/>
                <w:color w:val="000000"/>
                <w:sz w:val="20"/>
                <w:szCs w:val="20"/>
              </w:rPr>
              <w:t>69</w:t>
            </w:r>
            <w:r w:rsidR="008152B3">
              <w:rPr>
                <w:rFonts w:eastAsia="Aptos"/>
                <w:color w:val="000000"/>
                <w:sz w:val="20"/>
                <w:szCs w:val="20"/>
              </w:rPr>
              <w:t>.1</w:t>
            </w:r>
          </w:p>
        </w:tc>
      </w:tr>
      <w:tr w14:paraId="6060C24B" w14:textId="77777777" w:rsidTr="0096314F">
        <w:tblPrEx>
          <w:tblW w:w="8630" w:type="dxa"/>
          <w:tblCellMar>
            <w:left w:w="0" w:type="dxa"/>
            <w:right w:w="0" w:type="dxa"/>
          </w:tblCellMar>
          <w:tblLook w:val="04A0"/>
        </w:tblPrEx>
        <w:trPr>
          <w:trHeight w:val="59"/>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A22B9" w:rsidRPr="000E55DD" w:rsidP="00A3700D" w14:paraId="1CB40A56" w14:textId="77777777">
            <w:pPr>
              <w:jc w:val="center"/>
              <w:rPr>
                <w:rFonts w:eastAsia="Aptos"/>
                <w:color w:val="000000"/>
                <w:sz w:val="20"/>
                <w:szCs w:val="20"/>
              </w:rPr>
            </w:pPr>
            <w:r w:rsidRPr="000E55DD">
              <w:rPr>
                <w:rFonts w:eastAsia="Aptos"/>
                <w:color w:val="000000"/>
                <w:sz w:val="20"/>
                <w:szCs w:val="20"/>
              </w:rPr>
              <w:t>50</w:t>
            </w:r>
          </w:p>
        </w:tc>
        <w:tc>
          <w:tcPr>
            <w:tcW w:w="2158" w:type="dxa"/>
            <w:tcBorders>
              <w:top w:val="single" w:sz="8" w:space="0" w:color="auto"/>
              <w:left w:val="nil"/>
              <w:bottom w:val="single" w:sz="8" w:space="0" w:color="auto"/>
              <w:right w:val="single" w:sz="4" w:space="0" w:color="auto"/>
            </w:tcBorders>
          </w:tcPr>
          <w:p w:rsidR="00CA22B9" w:rsidRPr="000E55DD" w:rsidP="00A3700D" w14:paraId="499D8DEF" w14:textId="787604B2">
            <w:pPr>
              <w:jc w:val="center"/>
              <w:rPr>
                <w:rFonts w:eastAsia="Aptos"/>
                <w:color w:val="000000"/>
                <w:sz w:val="20"/>
                <w:szCs w:val="20"/>
              </w:rPr>
            </w:pPr>
            <w:r>
              <w:rPr>
                <w:rFonts w:eastAsia="Aptos"/>
                <w:color w:val="000000"/>
                <w:sz w:val="20"/>
                <w:szCs w:val="20"/>
              </w:rPr>
              <w:t>37</w:t>
            </w:r>
          </w:p>
        </w:tc>
        <w:tc>
          <w:tcPr>
            <w:tcW w:w="215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hideMark/>
          </w:tcPr>
          <w:p w:rsidR="00CA22B9" w:rsidRPr="000E55DD" w:rsidP="00A3700D" w14:paraId="41FD36B2" w14:textId="01D7A9E6">
            <w:pPr>
              <w:jc w:val="center"/>
              <w:rPr>
                <w:rFonts w:eastAsia="Aptos"/>
                <w:color w:val="000000"/>
                <w:sz w:val="20"/>
                <w:szCs w:val="20"/>
              </w:rPr>
            </w:pPr>
            <w:r w:rsidRPr="000E55DD">
              <w:rPr>
                <w:rFonts w:eastAsia="Aptos"/>
                <w:color w:val="000000"/>
                <w:sz w:val="20"/>
                <w:szCs w:val="20"/>
              </w:rPr>
              <w:t>0.2</w:t>
            </w:r>
          </w:p>
        </w:tc>
        <w:tc>
          <w:tcPr>
            <w:tcW w:w="21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A22B9" w:rsidRPr="000E55DD" w:rsidP="00A3700D" w14:paraId="2A282002" w14:textId="30AE8FC5">
            <w:pPr>
              <w:jc w:val="center"/>
              <w:rPr>
                <w:rFonts w:eastAsia="Aptos"/>
                <w:color w:val="000000"/>
                <w:sz w:val="20"/>
                <w:szCs w:val="20"/>
              </w:rPr>
            </w:pPr>
            <w:r w:rsidRPr="000E55DD">
              <w:rPr>
                <w:rFonts w:eastAsia="Aptos"/>
                <w:color w:val="000000"/>
                <w:sz w:val="20"/>
                <w:szCs w:val="20"/>
              </w:rPr>
              <w:t>1</w:t>
            </w:r>
            <w:r w:rsidR="005001D5">
              <w:rPr>
                <w:rFonts w:eastAsia="Aptos"/>
                <w:color w:val="000000"/>
                <w:sz w:val="20"/>
                <w:szCs w:val="20"/>
              </w:rPr>
              <w:t>20</w:t>
            </w:r>
            <w:r w:rsidRPr="000E55DD">
              <w:rPr>
                <w:rFonts w:eastAsia="Aptos"/>
                <w:color w:val="000000"/>
                <w:sz w:val="20"/>
                <w:szCs w:val="20"/>
              </w:rPr>
              <w:t>.</w:t>
            </w:r>
            <w:r w:rsidR="005001D5">
              <w:rPr>
                <w:rFonts w:eastAsia="Aptos"/>
                <w:color w:val="000000"/>
                <w:sz w:val="20"/>
                <w:szCs w:val="20"/>
              </w:rPr>
              <w:t>2</w:t>
            </w:r>
          </w:p>
        </w:tc>
      </w:tr>
      <w:tr w14:paraId="780ACE0A" w14:textId="77777777" w:rsidTr="0096314F">
        <w:tblPrEx>
          <w:tblW w:w="8630" w:type="dxa"/>
          <w:tblCellMar>
            <w:left w:w="0" w:type="dxa"/>
            <w:right w:w="0" w:type="dxa"/>
          </w:tblCellMar>
          <w:tblLook w:val="04A0"/>
        </w:tblPrEx>
        <w:trPr>
          <w:trHeight w:val="59"/>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A22B9" w:rsidRPr="000E55DD" w:rsidP="00A3700D" w14:paraId="7B0AA1B7" w14:textId="77777777">
            <w:pPr>
              <w:jc w:val="center"/>
              <w:rPr>
                <w:rFonts w:eastAsia="Aptos"/>
                <w:color w:val="000000"/>
                <w:sz w:val="20"/>
                <w:szCs w:val="20"/>
              </w:rPr>
            </w:pPr>
            <w:r w:rsidRPr="000E55DD">
              <w:rPr>
                <w:rFonts w:eastAsia="Aptos"/>
                <w:color w:val="000000"/>
                <w:sz w:val="20"/>
                <w:szCs w:val="20"/>
              </w:rPr>
              <w:t>50</w:t>
            </w:r>
          </w:p>
        </w:tc>
        <w:tc>
          <w:tcPr>
            <w:tcW w:w="2158" w:type="dxa"/>
            <w:tcBorders>
              <w:top w:val="single" w:sz="8" w:space="0" w:color="auto"/>
              <w:left w:val="nil"/>
              <w:bottom w:val="single" w:sz="8" w:space="0" w:color="auto"/>
              <w:right w:val="single" w:sz="4" w:space="0" w:color="auto"/>
            </w:tcBorders>
          </w:tcPr>
          <w:p w:rsidR="00CA22B9" w:rsidRPr="000E55DD" w:rsidP="00A3700D" w14:paraId="68C38B54" w14:textId="1B47E08B">
            <w:pPr>
              <w:jc w:val="center"/>
              <w:rPr>
                <w:rFonts w:eastAsia="Aptos"/>
                <w:color w:val="000000"/>
                <w:sz w:val="20"/>
                <w:szCs w:val="20"/>
              </w:rPr>
            </w:pPr>
            <w:r>
              <w:rPr>
                <w:rFonts w:eastAsia="Aptos"/>
                <w:color w:val="000000"/>
                <w:sz w:val="20"/>
                <w:szCs w:val="20"/>
              </w:rPr>
              <w:t>37</w:t>
            </w:r>
          </w:p>
        </w:tc>
        <w:tc>
          <w:tcPr>
            <w:tcW w:w="215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hideMark/>
          </w:tcPr>
          <w:p w:rsidR="00CA22B9" w:rsidRPr="000E55DD" w:rsidP="00A3700D" w14:paraId="61EAEDF4" w14:textId="1C78FE61">
            <w:pPr>
              <w:jc w:val="center"/>
              <w:rPr>
                <w:rFonts w:eastAsia="Aptos"/>
                <w:color w:val="000000"/>
                <w:sz w:val="20"/>
                <w:szCs w:val="20"/>
              </w:rPr>
            </w:pPr>
            <w:r w:rsidRPr="000E55DD">
              <w:rPr>
                <w:rFonts w:eastAsia="Aptos"/>
                <w:color w:val="000000"/>
                <w:sz w:val="20"/>
                <w:szCs w:val="20"/>
              </w:rPr>
              <w:t>0.4</w:t>
            </w:r>
          </w:p>
        </w:tc>
        <w:tc>
          <w:tcPr>
            <w:tcW w:w="21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A22B9" w:rsidRPr="000E55DD" w:rsidP="00A3700D" w14:paraId="0CB788E1" w14:textId="2821488C">
            <w:pPr>
              <w:jc w:val="center"/>
              <w:rPr>
                <w:rFonts w:eastAsia="Aptos"/>
                <w:color w:val="000000"/>
                <w:sz w:val="20"/>
                <w:szCs w:val="20"/>
              </w:rPr>
            </w:pPr>
            <w:r w:rsidRPr="000E55DD">
              <w:rPr>
                <w:rFonts w:eastAsia="Aptos"/>
                <w:color w:val="000000"/>
                <w:sz w:val="20"/>
                <w:szCs w:val="20"/>
              </w:rPr>
              <w:t>10</w:t>
            </w:r>
            <w:r w:rsidR="005001D5">
              <w:rPr>
                <w:rFonts w:eastAsia="Aptos"/>
                <w:color w:val="000000"/>
                <w:sz w:val="20"/>
                <w:szCs w:val="20"/>
              </w:rPr>
              <w:t>4.1</w:t>
            </w:r>
          </w:p>
        </w:tc>
      </w:tr>
      <w:tr w14:paraId="4B723D08" w14:textId="77777777" w:rsidTr="0096314F">
        <w:tblPrEx>
          <w:tblW w:w="8630" w:type="dxa"/>
          <w:tblCellMar>
            <w:left w:w="0" w:type="dxa"/>
            <w:right w:w="0" w:type="dxa"/>
          </w:tblCellMar>
          <w:tblLook w:val="04A0"/>
        </w:tblPrEx>
        <w:trPr>
          <w:trHeight w:val="59"/>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A22B9" w:rsidRPr="000E55DD" w:rsidP="00A3700D" w14:paraId="518F5F93" w14:textId="77777777">
            <w:pPr>
              <w:jc w:val="center"/>
              <w:rPr>
                <w:rFonts w:eastAsia="Aptos"/>
                <w:color w:val="000000"/>
                <w:sz w:val="20"/>
                <w:szCs w:val="20"/>
              </w:rPr>
            </w:pPr>
            <w:r w:rsidRPr="000E55DD">
              <w:rPr>
                <w:rFonts w:eastAsia="Aptos"/>
                <w:color w:val="000000"/>
                <w:sz w:val="20"/>
                <w:szCs w:val="20"/>
              </w:rPr>
              <w:t>50</w:t>
            </w:r>
          </w:p>
        </w:tc>
        <w:tc>
          <w:tcPr>
            <w:tcW w:w="2158" w:type="dxa"/>
            <w:tcBorders>
              <w:top w:val="single" w:sz="8" w:space="0" w:color="auto"/>
              <w:left w:val="nil"/>
              <w:bottom w:val="single" w:sz="8" w:space="0" w:color="auto"/>
              <w:right w:val="single" w:sz="4" w:space="0" w:color="auto"/>
            </w:tcBorders>
          </w:tcPr>
          <w:p w:rsidR="00CA22B9" w:rsidRPr="000E55DD" w:rsidP="00A3700D" w14:paraId="262A6689" w14:textId="58C2F59B">
            <w:pPr>
              <w:jc w:val="center"/>
              <w:rPr>
                <w:rFonts w:eastAsia="Aptos"/>
                <w:color w:val="000000"/>
                <w:sz w:val="20"/>
                <w:szCs w:val="20"/>
              </w:rPr>
            </w:pPr>
            <w:r>
              <w:rPr>
                <w:rFonts w:eastAsia="Aptos"/>
                <w:color w:val="000000"/>
                <w:sz w:val="20"/>
                <w:szCs w:val="20"/>
              </w:rPr>
              <w:t>37</w:t>
            </w:r>
          </w:p>
        </w:tc>
        <w:tc>
          <w:tcPr>
            <w:tcW w:w="215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hideMark/>
          </w:tcPr>
          <w:p w:rsidR="00CA22B9" w:rsidRPr="000E55DD" w:rsidP="00A3700D" w14:paraId="045273AE" w14:textId="6C3AC87D">
            <w:pPr>
              <w:jc w:val="center"/>
              <w:rPr>
                <w:rFonts w:eastAsia="Aptos"/>
                <w:color w:val="000000"/>
                <w:sz w:val="20"/>
                <w:szCs w:val="20"/>
              </w:rPr>
            </w:pPr>
            <w:r w:rsidRPr="000E55DD">
              <w:rPr>
                <w:rFonts w:eastAsia="Aptos"/>
                <w:color w:val="000000"/>
                <w:sz w:val="20"/>
                <w:szCs w:val="20"/>
              </w:rPr>
              <w:t>0.6</w:t>
            </w:r>
          </w:p>
        </w:tc>
        <w:tc>
          <w:tcPr>
            <w:tcW w:w="21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A22B9" w:rsidRPr="000E55DD" w:rsidP="00A3700D" w14:paraId="6A2C958D" w14:textId="435F284F">
            <w:pPr>
              <w:jc w:val="center"/>
              <w:rPr>
                <w:rFonts w:eastAsia="Aptos"/>
                <w:color w:val="000000"/>
                <w:sz w:val="20"/>
                <w:szCs w:val="20"/>
              </w:rPr>
            </w:pPr>
            <w:r w:rsidRPr="000E55DD">
              <w:rPr>
                <w:rFonts w:eastAsia="Aptos"/>
                <w:color w:val="000000"/>
                <w:sz w:val="20"/>
                <w:szCs w:val="20"/>
              </w:rPr>
              <w:t>8</w:t>
            </w:r>
            <w:r w:rsidR="005001D5">
              <w:rPr>
                <w:rFonts w:eastAsia="Aptos"/>
                <w:color w:val="000000"/>
                <w:sz w:val="20"/>
                <w:szCs w:val="20"/>
              </w:rPr>
              <w:t>5</w:t>
            </w:r>
            <w:r w:rsidRPr="000E55DD">
              <w:rPr>
                <w:rFonts w:eastAsia="Aptos"/>
                <w:color w:val="000000"/>
                <w:sz w:val="20"/>
                <w:szCs w:val="20"/>
              </w:rPr>
              <w:t>.</w:t>
            </w:r>
            <w:r w:rsidR="005001D5">
              <w:rPr>
                <w:rFonts w:eastAsia="Aptos"/>
                <w:color w:val="000000"/>
                <w:sz w:val="20"/>
                <w:szCs w:val="20"/>
              </w:rPr>
              <w:t>0</w:t>
            </w:r>
          </w:p>
        </w:tc>
      </w:tr>
    </w:tbl>
    <w:bookmarkEnd w:id="22"/>
    <w:p w:rsidR="000C21A5" w:rsidRPr="009A23E6" w:rsidP="00DD57D9" w14:paraId="4243C55C" w14:textId="3F2F9634">
      <w:pPr>
        <w:spacing w:before="240" w:after="240"/>
      </w:pPr>
      <w:r w:rsidRPr="009A23E6">
        <w:rPr>
          <w:b/>
          <w:i/>
        </w:rPr>
        <w:t xml:space="preserve">Qualitative </w:t>
      </w:r>
      <w:r w:rsidRPr="009A23E6" w:rsidR="00A92B95">
        <w:rPr>
          <w:b/>
          <w:i/>
        </w:rPr>
        <w:t>Analysis</w:t>
      </w:r>
      <w:r w:rsidRPr="009A23E6">
        <w:rPr>
          <w:b/>
          <w:i/>
        </w:rPr>
        <w:t>.</w:t>
      </w:r>
      <w:r w:rsidRPr="009A23E6">
        <w:t xml:space="preserve"> </w:t>
      </w:r>
      <w:r w:rsidR="008472C8">
        <w:t>The program team plans</w:t>
      </w:r>
      <w:r w:rsidRPr="0008228E" w:rsidR="0008228E">
        <w:t xml:space="preserve"> to collect and analyze endline data from a total of 24</w:t>
      </w:r>
      <w:r w:rsidR="00451607">
        <w:t xml:space="preserve"> semi-structured</w:t>
      </w:r>
      <w:r w:rsidRPr="0008228E" w:rsidR="0008228E">
        <w:t xml:space="preserve"> interviews (i.e., 8 interviews per cohort). </w:t>
      </w:r>
      <w:r w:rsidRPr="0008228E" w:rsidR="006E32E6">
        <w:t xml:space="preserve">The </w:t>
      </w:r>
      <w:r w:rsidR="006E32E6">
        <w:t>team</w:t>
      </w:r>
      <w:r w:rsidRPr="0008228E" w:rsidR="006E32E6">
        <w:t xml:space="preserve"> will code</w:t>
      </w:r>
      <w:r w:rsidR="006E32E6">
        <w:t xml:space="preserve"> q</w:t>
      </w:r>
      <w:r w:rsidRPr="0008228E" w:rsidR="006E32E6">
        <w:t xml:space="preserve">ualitative data using NVivo10 software </w:t>
      </w:r>
      <w:r w:rsidR="006E32E6">
        <w:t xml:space="preserve">and </w:t>
      </w:r>
      <w:r w:rsidRPr="0008228E" w:rsidR="006E32E6">
        <w:t xml:space="preserve">develop a set of </w:t>
      </w:r>
      <w:r w:rsidRPr="0008228E" w:rsidR="006E32E6">
        <w:rPr>
          <w:i/>
          <w:iCs/>
        </w:rPr>
        <w:t>a priori</w:t>
      </w:r>
      <w:r w:rsidRPr="0008228E" w:rsidR="006E32E6">
        <w:t xml:space="preserve"> codes that reflect hypotheses, topics of interest, and subgroup characteristics (e.g., site, years of experience</w:t>
      </w:r>
      <w:r w:rsidR="001A31BE">
        <w:t>, etc.</w:t>
      </w:r>
      <w:r w:rsidRPr="0008228E" w:rsidR="006E32E6">
        <w:t>)</w:t>
      </w:r>
      <w:r w:rsidRPr="0008228E" w:rsidR="0008228E">
        <w:t xml:space="preserve">. The </w:t>
      </w:r>
      <w:r w:rsidR="001A31BE">
        <w:t xml:space="preserve">program </w:t>
      </w:r>
      <w:r w:rsidRPr="0008228E" w:rsidR="0008228E">
        <w:t>team will develop and refine the analytic categories based on research questions and salient analytic dimensions and operationalize the research questions by developing and then refining the codebook.</w:t>
      </w:r>
    </w:p>
    <w:p w:rsidR="000C21A5" w:rsidRPr="006A5596" w:rsidP="000C21A5" w14:paraId="3CF73FBA" w14:textId="77777777">
      <w:pPr>
        <w:pStyle w:val="Heading2"/>
        <w:rPr>
          <w:sz w:val="24"/>
          <w:szCs w:val="24"/>
        </w:rPr>
      </w:pPr>
      <w:bookmarkStart w:id="23" w:name="_Toc151782201"/>
      <w:bookmarkStart w:id="24" w:name="_Toc158526237"/>
      <w:bookmarkStart w:id="25" w:name="_Toc176411971"/>
      <w:r w:rsidRPr="006A5596">
        <w:rPr>
          <w:sz w:val="24"/>
          <w:szCs w:val="24"/>
        </w:rPr>
        <w:t>3. Methods to Maximize Response Rates</w:t>
      </w:r>
      <w:bookmarkEnd w:id="23"/>
      <w:bookmarkEnd w:id="24"/>
      <w:bookmarkEnd w:id="25"/>
    </w:p>
    <w:p w:rsidR="000C21A5" w:rsidRPr="009A23E6" w:rsidP="000C21A5" w14:paraId="74548C39" w14:textId="5BE710A2">
      <w:r w:rsidRPr="009A23E6">
        <w:t xml:space="preserve">The data collection planned under this </w:t>
      </w:r>
      <w:r w:rsidR="0018583E">
        <w:t>program</w:t>
      </w:r>
      <w:r w:rsidRPr="009A23E6" w:rsidR="0018583E">
        <w:t xml:space="preserve"> </w:t>
      </w:r>
      <w:r w:rsidRPr="009A23E6">
        <w:t xml:space="preserve">is part of an evaluation to </w:t>
      </w:r>
      <w:r w:rsidR="00F47BC8">
        <w:t>assess</w:t>
      </w:r>
      <w:r w:rsidRPr="00F47BC8" w:rsidR="00F47BC8">
        <w:t xml:space="preserve"> participating units’ experiences with the </w:t>
      </w:r>
      <w:r w:rsidR="00AB58B1">
        <w:t xml:space="preserve">AHRQ </w:t>
      </w:r>
      <w:r w:rsidR="00E764CC">
        <w:t>Safety Program for HAI Prevention</w:t>
      </w:r>
      <w:r w:rsidRPr="00F47BC8" w:rsidR="00F47BC8">
        <w:t xml:space="preserve"> and changes in HAI processes and rates</w:t>
      </w:r>
      <w:r w:rsidR="000F797A">
        <w:t xml:space="preserve">. </w:t>
      </w:r>
      <w:r w:rsidRPr="009A23E6">
        <w:t xml:space="preserve">The results of the evaluation will be used to inform the </w:t>
      </w:r>
      <w:r w:rsidR="00AB58B1">
        <w:t xml:space="preserve">AHRQ </w:t>
      </w:r>
      <w:r w:rsidR="00E764CC">
        <w:t>Safety Program for HAI Prevention</w:t>
      </w:r>
      <w:r w:rsidRPr="009A23E6">
        <w:t xml:space="preserve">; they will not yield generalizable results or be used for statistical estimation purposes. The </w:t>
      </w:r>
      <w:r w:rsidR="00AB58B1">
        <w:t xml:space="preserve">AHRQ </w:t>
      </w:r>
      <w:r w:rsidR="00E764CC">
        <w:t>Safety Program for HAI Prevention</w:t>
      </w:r>
      <w:r w:rsidRPr="009A23E6" w:rsidR="00FF58E1">
        <w:t xml:space="preserve"> </w:t>
      </w:r>
      <w:r w:rsidRPr="009A23E6">
        <w:t xml:space="preserve">will recruit </w:t>
      </w:r>
      <w:r w:rsidR="007679EF">
        <w:t>hospitals</w:t>
      </w:r>
      <w:r w:rsidRPr="009A23E6" w:rsidR="00DF7C63">
        <w:t xml:space="preserve"> </w:t>
      </w:r>
      <w:r w:rsidRPr="009A23E6">
        <w:t xml:space="preserve">that have indicated a willingness to participate and meet the inclusion criteria, and who will </w:t>
      </w:r>
      <w:r w:rsidRPr="009A23E6" w:rsidR="0097691F">
        <w:t xml:space="preserve">be </w:t>
      </w:r>
      <w:r w:rsidRPr="009A23E6">
        <w:t xml:space="preserve">supportive of and likely to spread the </w:t>
      </w:r>
      <w:r w:rsidR="00AB58B1">
        <w:t xml:space="preserve">AHRQ </w:t>
      </w:r>
      <w:r w:rsidR="00E764CC">
        <w:t>Safety Program for HAI Prevention</w:t>
      </w:r>
      <w:r w:rsidRPr="009A23E6">
        <w:t xml:space="preserve"> model. </w:t>
      </w:r>
    </w:p>
    <w:p w:rsidR="000C21A5" w:rsidRPr="009A23E6" w:rsidP="000C21A5" w14:paraId="6A9455C0" w14:textId="77777777"/>
    <w:p w:rsidR="000C21A5" w:rsidRPr="009A23E6" w:rsidP="000C21A5" w14:paraId="57AA8815" w14:textId="76D98785">
      <w:r w:rsidRPr="009A23E6">
        <w:t xml:space="preserve">To encourage the participating </w:t>
      </w:r>
      <w:r w:rsidR="00BA1B3B">
        <w:t>hospitals</w:t>
      </w:r>
      <w:r w:rsidRPr="009A23E6">
        <w:t xml:space="preserve"> to complete and submit the </w:t>
      </w:r>
      <w:r w:rsidR="00884962">
        <w:t xml:space="preserve">HSOPS, </w:t>
      </w:r>
      <w:r w:rsidR="00F2235F">
        <w:t xml:space="preserve">CUSP Device Rounds, </w:t>
      </w:r>
      <w:r w:rsidR="002504D8">
        <w:t xml:space="preserve">Gap Analysis, </w:t>
      </w:r>
      <w:r w:rsidR="00A03F8D">
        <w:t xml:space="preserve">clinical outcomes </w:t>
      </w:r>
      <w:r w:rsidR="000F797A">
        <w:t>NHSN/</w:t>
      </w:r>
      <w:r w:rsidRPr="009A23E6">
        <w:t xml:space="preserve">EHR data, </w:t>
      </w:r>
      <w:r w:rsidR="00FB406A">
        <w:t xml:space="preserve">and semi-structured interviews, </w:t>
      </w:r>
      <w:r w:rsidRPr="009A23E6">
        <w:t xml:space="preserve">the </w:t>
      </w:r>
      <w:r w:rsidR="00AB58B1">
        <w:t xml:space="preserve">AHRQ </w:t>
      </w:r>
      <w:r w:rsidR="00E764CC">
        <w:t>Safety Program for HAI Prevention</w:t>
      </w:r>
      <w:r w:rsidRPr="009A23E6" w:rsidR="00FF58E1">
        <w:t xml:space="preserve"> </w:t>
      </w:r>
      <w:r w:rsidRPr="009A23E6">
        <w:t xml:space="preserve">will implement the following strategies: </w:t>
      </w:r>
    </w:p>
    <w:p w:rsidR="0005708D" w:rsidRPr="009A23E6" w:rsidP="001A31BE" w14:paraId="02CD5B81" w14:textId="5C111B15">
      <w:pPr>
        <w:numPr>
          <w:ilvl w:val="0"/>
          <w:numId w:val="3"/>
        </w:numPr>
        <w:spacing w:line="252" w:lineRule="auto"/>
        <w:contextualSpacing/>
      </w:pPr>
      <w:r w:rsidRPr="009A23E6">
        <w:t xml:space="preserve">Offer onboarding calls and technical assistance webinars (including information related to submitting data) to participating </w:t>
      </w:r>
      <w:r>
        <w:t>units</w:t>
      </w:r>
      <w:r w:rsidRPr="009A23E6">
        <w:t>.</w:t>
      </w:r>
    </w:p>
    <w:p w:rsidR="0005708D" w:rsidRPr="009A23E6" w:rsidP="001A31BE" w14:paraId="6B68E3DB" w14:textId="77777777">
      <w:pPr>
        <w:numPr>
          <w:ilvl w:val="0"/>
          <w:numId w:val="3"/>
        </w:numPr>
      </w:pPr>
      <w:r w:rsidRPr="009A23E6">
        <w:t xml:space="preserve">Prompt the on-site </w:t>
      </w:r>
      <w:r>
        <w:t xml:space="preserve">hospital </w:t>
      </w:r>
      <w:r w:rsidRPr="009A23E6">
        <w:t xml:space="preserve">data coordinator and </w:t>
      </w:r>
      <w:r>
        <w:t>unit lead</w:t>
      </w:r>
      <w:r w:rsidRPr="009A23E6">
        <w:t xml:space="preserve"> for feedback from each participating </w:t>
      </w:r>
      <w:r>
        <w:t>unit</w:t>
      </w:r>
      <w:r w:rsidRPr="009A23E6">
        <w:t xml:space="preserve"> regarding the data collection activities </w:t>
      </w:r>
      <w:r>
        <w:t>and HAI</w:t>
      </w:r>
      <w:r w:rsidRPr="009A23E6">
        <w:t>-related performance.</w:t>
      </w:r>
    </w:p>
    <w:p w:rsidR="0005708D" w:rsidRPr="009A23E6" w:rsidP="001A31BE" w14:paraId="1D05BC20" w14:textId="70A495EB">
      <w:pPr>
        <w:numPr>
          <w:ilvl w:val="0"/>
          <w:numId w:val="3"/>
        </w:numPr>
      </w:pPr>
      <w:r w:rsidRPr="009A23E6">
        <w:t xml:space="preserve">Work closely with the </w:t>
      </w:r>
      <w:r>
        <w:t>program’s</w:t>
      </w:r>
      <w:r w:rsidRPr="009A23E6">
        <w:t xml:space="preserve"> </w:t>
      </w:r>
      <w:r w:rsidR="00960119">
        <w:t xml:space="preserve">implementation advisors (IAs) </w:t>
      </w:r>
      <w:r w:rsidRPr="009A23E6">
        <w:t xml:space="preserve">to encourage timely completion of each assessment. </w:t>
      </w:r>
    </w:p>
    <w:p w:rsidR="0005708D" w:rsidRPr="009A23E6" w:rsidP="001A31BE" w14:paraId="20DE4DBB" w14:textId="70C70C8E">
      <w:pPr>
        <w:numPr>
          <w:ilvl w:val="0"/>
          <w:numId w:val="3"/>
        </w:numPr>
        <w:spacing w:line="252" w:lineRule="auto"/>
        <w:contextualSpacing/>
      </w:pPr>
      <w:r w:rsidRPr="009A23E6">
        <w:t xml:space="preserve">Work closely with each on-site data coordinator to address any data collection issues and develop </w:t>
      </w:r>
      <w:r>
        <w:t>unit</w:t>
      </w:r>
      <w:r w:rsidRPr="009A23E6">
        <w:t xml:space="preserve">-specific data collection </w:t>
      </w:r>
      <w:r w:rsidRPr="009A23E6" w:rsidR="001D2315">
        <w:t>strategies,</w:t>
      </w:r>
      <w:r w:rsidRPr="009A23E6">
        <w:t xml:space="preserve"> </w:t>
      </w:r>
      <w:r>
        <w:t>as</w:t>
      </w:r>
      <w:r w:rsidRPr="009A23E6">
        <w:t xml:space="preserve"> necessary.</w:t>
      </w:r>
    </w:p>
    <w:p w:rsidR="0005708D" w:rsidRPr="009A23E6" w:rsidP="001A31BE" w14:paraId="536B89BB" w14:textId="77777777">
      <w:pPr>
        <w:numPr>
          <w:ilvl w:val="0"/>
          <w:numId w:val="3"/>
        </w:numPr>
        <w:spacing w:line="252" w:lineRule="auto"/>
        <w:contextualSpacing/>
      </w:pPr>
      <w:r w:rsidRPr="009A23E6">
        <w:t xml:space="preserve">Discuss data management and submission methods with the participating </w:t>
      </w:r>
      <w:r>
        <w:t>units</w:t>
      </w:r>
      <w:r w:rsidRPr="009A23E6">
        <w:t xml:space="preserve"> early in the </w:t>
      </w:r>
      <w:r>
        <w:t>program period</w:t>
      </w:r>
      <w:r w:rsidRPr="009A23E6">
        <w:t xml:space="preserve">. </w:t>
      </w:r>
    </w:p>
    <w:p w:rsidR="0005708D" w:rsidP="001A31BE" w14:paraId="75681222" w14:textId="77777777">
      <w:pPr>
        <w:numPr>
          <w:ilvl w:val="0"/>
          <w:numId w:val="3"/>
        </w:numPr>
        <w:spacing w:line="252" w:lineRule="auto"/>
      </w:pPr>
      <w:r>
        <w:t xml:space="preserve">Provide units with a secure website program portal to submit data. Users will receive a login and password to access the site. </w:t>
      </w:r>
    </w:p>
    <w:p w:rsidR="0005708D" w:rsidRPr="009A23E6" w:rsidP="001A31BE" w14:paraId="33873DE1" w14:textId="77777777">
      <w:pPr>
        <w:numPr>
          <w:ilvl w:val="0"/>
          <w:numId w:val="3"/>
        </w:numPr>
      </w:pPr>
      <w:r w:rsidRPr="009A23E6">
        <w:t>Provide step-by-step instructions on data sharing via the central data collection platform</w:t>
      </w:r>
      <w:r>
        <w:t>.</w:t>
      </w:r>
    </w:p>
    <w:p w:rsidR="0005708D" w:rsidRPr="009A23E6" w:rsidP="001A31BE" w14:paraId="385C50B4" w14:textId="77777777">
      <w:pPr>
        <w:numPr>
          <w:ilvl w:val="0"/>
          <w:numId w:val="3"/>
        </w:numPr>
        <w:rPr>
          <w:rFonts w:eastAsia="Calibri"/>
        </w:rPr>
      </w:pPr>
      <w:r w:rsidRPr="009A23E6">
        <w:rPr>
          <w:rFonts w:eastAsia="Calibri"/>
        </w:rPr>
        <w:t>Ensure that data collection tools are simple, easy to use, and succinct</w:t>
      </w:r>
      <w:r>
        <w:rPr>
          <w:rFonts w:eastAsia="Calibri"/>
        </w:rPr>
        <w:t>.</w:t>
      </w:r>
    </w:p>
    <w:p w:rsidR="0005708D" w:rsidRPr="009A23E6" w:rsidP="001A31BE" w14:paraId="4AD50591" w14:textId="56577DC9">
      <w:pPr>
        <w:numPr>
          <w:ilvl w:val="0"/>
          <w:numId w:val="3"/>
        </w:numPr>
        <w:rPr>
          <w:rFonts w:eastAsia="Calibri"/>
        </w:rPr>
      </w:pPr>
      <w:r w:rsidRPr="009A23E6">
        <w:rPr>
          <w:rFonts w:eastAsia="Calibri"/>
        </w:rPr>
        <w:t xml:space="preserve">Ensure missing or inaccurate data </w:t>
      </w:r>
      <w:r>
        <w:rPr>
          <w:rFonts w:eastAsia="Calibri"/>
        </w:rPr>
        <w:t>are</w:t>
      </w:r>
      <w:r w:rsidRPr="009A23E6">
        <w:rPr>
          <w:rFonts w:eastAsia="Calibri"/>
        </w:rPr>
        <w:t xml:space="preserve"> identified early and that issues are resolved in a systematic, </w:t>
      </w:r>
      <w:r w:rsidRPr="009A23E6" w:rsidR="004D7A79">
        <w:rPr>
          <w:rFonts w:eastAsia="Calibri"/>
        </w:rPr>
        <w:t>reliable</w:t>
      </w:r>
      <w:r w:rsidRPr="009A23E6">
        <w:rPr>
          <w:rFonts w:eastAsia="Calibri"/>
        </w:rPr>
        <w:t xml:space="preserve"> way</w:t>
      </w:r>
      <w:r>
        <w:rPr>
          <w:rFonts w:eastAsia="Calibri"/>
        </w:rPr>
        <w:t>.</w:t>
      </w:r>
    </w:p>
    <w:p w:rsidR="0005708D" w:rsidRPr="00823585" w:rsidP="006A5596" w14:paraId="7D1A0B94" w14:textId="77777777">
      <w:pPr>
        <w:numPr>
          <w:ilvl w:val="0"/>
          <w:numId w:val="3"/>
        </w:numPr>
        <w:rPr>
          <w:rFonts w:eastAsia="Calibri"/>
        </w:rPr>
      </w:pPr>
      <w:r w:rsidRPr="009A23E6">
        <w:rPr>
          <w:rFonts w:eastAsia="Calibri"/>
        </w:rPr>
        <w:t>Share data collection strategies/best practices to simplify processes through coaching calls</w:t>
      </w:r>
      <w:r>
        <w:rPr>
          <w:rFonts w:eastAsia="Calibri"/>
        </w:rPr>
        <w:t>.</w:t>
      </w:r>
    </w:p>
    <w:p w:rsidR="00FB406A" w:rsidRPr="00823585" w:rsidP="006A5596" w14:paraId="55AA9E45" w14:textId="6A9317BF">
      <w:pPr>
        <w:numPr>
          <w:ilvl w:val="0"/>
          <w:numId w:val="3"/>
        </w:numPr>
        <w:rPr>
          <w:rFonts w:eastAsia="Calibri"/>
        </w:rPr>
      </w:pPr>
      <w:r>
        <w:rPr>
          <w:rFonts w:eastAsia="Calibri"/>
        </w:rPr>
        <w:t>Provide</w:t>
      </w:r>
      <w:r w:rsidRPr="00FB406A">
        <w:rPr>
          <w:rFonts w:eastAsia="Calibri"/>
        </w:rPr>
        <w:t xml:space="preserve"> </w:t>
      </w:r>
      <w:r>
        <w:rPr>
          <w:rFonts w:eastAsia="Calibri"/>
        </w:rPr>
        <w:t xml:space="preserve">a </w:t>
      </w:r>
      <w:r w:rsidRPr="00FB406A">
        <w:rPr>
          <w:rFonts w:eastAsia="Calibri"/>
        </w:rPr>
        <w:t>$40 incentive</w:t>
      </w:r>
      <w:r>
        <w:rPr>
          <w:rFonts w:eastAsia="Calibri"/>
        </w:rPr>
        <w:t xml:space="preserve"> for the semi-structured interview.</w:t>
      </w:r>
    </w:p>
    <w:p w:rsidR="0005708D" w:rsidRPr="006A5596" w:rsidP="000C21A5" w14:paraId="2E23AB0E" w14:textId="77777777">
      <w:pPr>
        <w:pStyle w:val="Heading2"/>
        <w:rPr>
          <w:sz w:val="24"/>
          <w:szCs w:val="24"/>
        </w:rPr>
      </w:pPr>
      <w:bookmarkStart w:id="26" w:name="_Toc176411972"/>
      <w:r w:rsidRPr="006A5596">
        <w:rPr>
          <w:sz w:val="24"/>
          <w:szCs w:val="24"/>
        </w:rPr>
        <w:t>4. Tests of Procedures</w:t>
      </w:r>
      <w:bookmarkEnd w:id="26"/>
    </w:p>
    <w:p w:rsidR="0005708D" w:rsidP="00272CC6" w14:paraId="2966032A" w14:textId="7AC2AF58">
      <w:r w:rsidRPr="009A23E6">
        <w:t xml:space="preserve">The </w:t>
      </w:r>
      <w:r w:rsidR="00AB58B1">
        <w:t xml:space="preserve">AHRQ </w:t>
      </w:r>
      <w:r w:rsidR="00E764CC">
        <w:t>Safety Program for HAI Prevention</w:t>
      </w:r>
      <w:r w:rsidRPr="009A23E6">
        <w:t xml:space="preserve"> data collection procedures and instruments </w:t>
      </w:r>
      <w:r>
        <w:t xml:space="preserve">include semi-structured interview guides, surveys, assessments, and collection of clinical outcomes. </w:t>
      </w:r>
    </w:p>
    <w:p w:rsidR="0005708D" w:rsidP="00B671A8" w14:paraId="49943C3F" w14:textId="77777777">
      <w:pPr>
        <w:pStyle w:val="ListParagraph"/>
        <w:numPr>
          <w:ilvl w:val="0"/>
          <w:numId w:val="10"/>
        </w:numPr>
        <w:rPr>
          <w:rFonts w:ascii="Times New Roman" w:hAnsi="Times New Roman"/>
          <w:sz w:val="24"/>
          <w:szCs w:val="24"/>
        </w:rPr>
      </w:pPr>
      <w:r>
        <w:rPr>
          <w:rFonts w:ascii="Times New Roman" w:hAnsi="Times New Roman"/>
          <w:b/>
          <w:bCs/>
          <w:sz w:val="24"/>
          <w:szCs w:val="24"/>
        </w:rPr>
        <w:t xml:space="preserve">Semi-structured interview. </w:t>
      </w:r>
      <w:r w:rsidRPr="006A5596">
        <w:rPr>
          <w:rFonts w:ascii="Times New Roman" w:hAnsi="Times New Roman"/>
          <w:sz w:val="24"/>
          <w:szCs w:val="24"/>
        </w:rPr>
        <w:t>Consistent with well-established, qualitative methodology</w:t>
      </w:r>
      <w:r>
        <w:rPr>
          <w:rStyle w:val="EndnoteReference"/>
          <w:rFonts w:ascii="Times New Roman" w:hAnsi="Times New Roman"/>
          <w:sz w:val="24"/>
          <w:szCs w:val="24"/>
        </w:rPr>
        <w:endnoteReference w:id="4"/>
      </w:r>
      <w:r w:rsidRPr="006A5596">
        <w:rPr>
          <w:rFonts w:ascii="Times New Roman" w:hAnsi="Times New Roman"/>
          <w:sz w:val="24"/>
          <w:szCs w:val="24"/>
          <w:vertAlign w:val="superscript"/>
        </w:rPr>
        <w:t>,</w:t>
      </w:r>
      <w:r>
        <w:rPr>
          <w:rStyle w:val="EndnoteReference"/>
          <w:rFonts w:ascii="Times New Roman" w:hAnsi="Times New Roman"/>
          <w:sz w:val="24"/>
          <w:szCs w:val="24"/>
        </w:rPr>
        <w:endnoteReference w:id="5"/>
      </w:r>
      <w:r w:rsidRPr="006A5596">
        <w:rPr>
          <w:rFonts w:ascii="Times New Roman" w:hAnsi="Times New Roman"/>
          <w:sz w:val="24"/>
          <w:szCs w:val="24"/>
        </w:rPr>
        <w:t xml:space="preserve">, the semi-structured interview guides include open-ended questions that address the key elements of the assessment, while allowing respondents to elaborate on their answers and provide rich details in their responses. </w:t>
      </w:r>
    </w:p>
    <w:p w:rsidR="0005708D" w:rsidP="00B671A8" w14:paraId="1D550BD3" w14:textId="58063008">
      <w:pPr>
        <w:pStyle w:val="ListParagraph"/>
        <w:numPr>
          <w:ilvl w:val="0"/>
          <w:numId w:val="10"/>
        </w:numPr>
        <w:rPr>
          <w:rFonts w:ascii="Times New Roman" w:hAnsi="Times New Roman"/>
          <w:sz w:val="24"/>
          <w:szCs w:val="24"/>
        </w:rPr>
      </w:pPr>
      <w:r>
        <w:rPr>
          <w:rFonts w:ascii="Times New Roman" w:hAnsi="Times New Roman"/>
          <w:b/>
          <w:bCs/>
          <w:sz w:val="24"/>
          <w:szCs w:val="24"/>
        </w:rPr>
        <w:t xml:space="preserve">Survey. </w:t>
      </w:r>
      <w:r w:rsidRPr="006A5596">
        <w:rPr>
          <w:rFonts w:ascii="Times New Roman" w:hAnsi="Times New Roman"/>
          <w:sz w:val="24"/>
          <w:szCs w:val="24"/>
        </w:rPr>
        <w:t>The HSOPS is a validated instrument and the most frequently used survey to assess safety culture in hospitals.</w:t>
      </w:r>
      <w:r>
        <w:rPr>
          <w:rFonts w:ascii="Times New Roman" w:hAnsi="Times New Roman"/>
          <w:sz w:val="24"/>
          <w:szCs w:val="24"/>
          <w:vertAlign w:val="superscript"/>
        </w:rPr>
        <w:endnoteReference w:id="6"/>
      </w:r>
      <w:r w:rsidRPr="006A5596">
        <w:rPr>
          <w:rFonts w:ascii="Times New Roman" w:hAnsi="Times New Roman"/>
          <w:sz w:val="24"/>
          <w:szCs w:val="24"/>
        </w:rPr>
        <w:t xml:space="preserve">  </w:t>
      </w:r>
    </w:p>
    <w:p w:rsidR="0005708D" w:rsidP="00B671A8" w14:paraId="6392BE28" w14:textId="05B601C6">
      <w:pPr>
        <w:pStyle w:val="ListParagraph"/>
        <w:numPr>
          <w:ilvl w:val="0"/>
          <w:numId w:val="10"/>
        </w:numPr>
        <w:rPr>
          <w:rFonts w:ascii="Times New Roman" w:hAnsi="Times New Roman"/>
          <w:i/>
          <w:iCs/>
          <w:sz w:val="24"/>
          <w:szCs w:val="24"/>
        </w:rPr>
      </w:pPr>
      <w:r>
        <w:rPr>
          <w:rFonts w:ascii="Times New Roman" w:hAnsi="Times New Roman"/>
          <w:b/>
          <w:bCs/>
          <w:sz w:val="24"/>
          <w:szCs w:val="24"/>
        </w:rPr>
        <w:t xml:space="preserve">Assessments. </w:t>
      </w:r>
      <w:r w:rsidRPr="006A5596">
        <w:rPr>
          <w:rFonts w:ascii="Times New Roman" w:hAnsi="Times New Roman"/>
          <w:sz w:val="24"/>
          <w:szCs w:val="24"/>
        </w:rPr>
        <w:t xml:space="preserve">The CUSP Device Rounds </w:t>
      </w:r>
      <w:r>
        <w:rPr>
          <w:rFonts w:ascii="Times New Roman" w:hAnsi="Times New Roman"/>
          <w:sz w:val="24"/>
          <w:szCs w:val="24"/>
        </w:rPr>
        <w:t xml:space="preserve">will measure the </w:t>
      </w:r>
      <w:r w:rsidRPr="006A5596">
        <w:rPr>
          <w:rFonts w:ascii="Times New Roman" w:hAnsi="Times New Roman"/>
          <w:sz w:val="24"/>
          <w:szCs w:val="24"/>
        </w:rPr>
        <w:t xml:space="preserve">use of best practices in device-associated HAI prevention. The CUSP Device Rounds draw upon the Four Moments for Prevention of Device-Associated Infections, </w:t>
      </w:r>
      <w:r>
        <w:rPr>
          <w:rFonts w:ascii="Times New Roman" w:hAnsi="Times New Roman"/>
          <w:sz w:val="24"/>
          <w:szCs w:val="24"/>
        </w:rPr>
        <w:t>which was adapted from</w:t>
      </w:r>
      <w:r w:rsidRPr="006A5596">
        <w:rPr>
          <w:rFonts w:ascii="Times New Roman" w:hAnsi="Times New Roman"/>
          <w:sz w:val="24"/>
          <w:szCs w:val="24"/>
        </w:rPr>
        <w:t xml:space="preserve"> </w:t>
      </w:r>
      <w:r>
        <w:rPr>
          <w:rFonts w:ascii="Times New Roman" w:hAnsi="Times New Roman"/>
          <w:sz w:val="24"/>
          <w:szCs w:val="24"/>
        </w:rPr>
        <w:t>a successful approach used in the</w:t>
      </w:r>
      <w:r w:rsidRPr="00EF74EB">
        <w:rPr>
          <w:rFonts w:ascii="Times New Roman" w:hAnsi="Times New Roman"/>
          <w:sz w:val="24"/>
          <w:szCs w:val="24"/>
        </w:rPr>
        <w:t xml:space="preserve"> </w:t>
      </w:r>
      <w:r w:rsidRPr="006A5596">
        <w:rPr>
          <w:rFonts w:ascii="Times New Roman" w:hAnsi="Times New Roman"/>
          <w:i/>
          <w:iCs/>
          <w:sz w:val="24"/>
          <w:szCs w:val="24"/>
        </w:rPr>
        <w:t>AHRQ Safety Program for Improving Antibiotic Use</w:t>
      </w:r>
      <w:r w:rsidR="00BD0459">
        <w:rPr>
          <w:rFonts w:ascii="Times New Roman" w:hAnsi="Times New Roman"/>
          <w:i/>
          <w:iCs/>
          <w:sz w:val="24"/>
          <w:szCs w:val="24"/>
        </w:rPr>
        <w:t xml:space="preserve"> </w:t>
      </w:r>
      <w:r w:rsidR="00BD0459">
        <w:rPr>
          <w:rFonts w:ascii="Times New Roman" w:hAnsi="Times New Roman"/>
          <w:sz w:val="24"/>
          <w:szCs w:val="24"/>
        </w:rPr>
        <w:t>and previously created tools for this program, i.e., the Daily Goals Checklists</w:t>
      </w:r>
      <w:r>
        <w:rPr>
          <w:rFonts w:ascii="Times New Roman" w:hAnsi="Times New Roman"/>
          <w:sz w:val="24"/>
          <w:szCs w:val="24"/>
        </w:rPr>
        <w:t xml:space="preserve">. These will serve </w:t>
      </w:r>
      <w:r w:rsidRPr="00273755">
        <w:rPr>
          <w:rFonts w:ascii="Times New Roman" w:hAnsi="Times New Roman"/>
          <w:sz w:val="24"/>
          <w:szCs w:val="24"/>
        </w:rPr>
        <w:t>as a method of collecting data on participating units’ use of best practices in device-associated HAI prevention</w:t>
      </w:r>
      <w:r w:rsidR="0007670E">
        <w:rPr>
          <w:rFonts w:ascii="Times New Roman" w:hAnsi="Times New Roman"/>
          <w:sz w:val="24"/>
          <w:szCs w:val="24"/>
        </w:rPr>
        <w:t>.</w:t>
      </w:r>
      <w:r w:rsidRPr="00273755">
        <w:rPr>
          <w:rFonts w:ascii="Times New Roman" w:hAnsi="Times New Roman"/>
          <w:sz w:val="24"/>
          <w:szCs w:val="24"/>
        </w:rPr>
        <w:t xml:space="preserve"> </w:t>
      </w:r>
      <w:r w:rsidRPr="006A5596">
        <w:rPr>
          <w:rFonts w:ascii="Times New Roman" w:hAnsi="Times New Roman"/>
          <w:sz w:val="24"/>
          <w:szCs w:val="24"/>
        </w:rPr>
        <w:t>The Gap Analysis</w:t>
      </w:r>
      <w:r>
        <w:rPr>
          <w:rFonts w:ascii="Times New Roman" w:hAnsi="Times New Roman"/>
          <w:sz w:val="24"/>
          <w:szCs w:val="24"/>
        </w:rPr>
        <w:t xml:space="preserve"> </w:t>
      </w:r>
      <w:r>
        <w:rPr>
          <w:rFonts w:ascii="Times New Roman" w:hAnsi="Times New Roman"/>
          <w:sz w:val="24"/>
          <w:szCs w:val="24"/>
        </w:rPr>
        <w:t>assessments are adapted from previous</w:t>
      </w:r>
      <w:r w:rsidR="00F13521">
        <w:rPr>
          <w:rFonts w:ascii="Times New Roman" w:hAnsi="Times New Roman"/>
          <w:sz w:val="24"/>
          <w:szCs w:val="24"/>
        </w:rPr>
        <w:t>ly created AHRQ Toolkits</w:t>
      </w:r>
      <w:r>
        <w:rPr>
          <w:rFonts w:ascii="Times New Roman" w:hAnsi="Times New Roman"/>
          <w:sz w:val="24"/>
          <w:szCs w:val="24"/>
        </w:rPr>
        <w:t xml:space="preserve"> used in intensive care unit assessments in the </w:t>
      </w:r>
      <w:r w:rsidRPr="006A5596">
        <w:rPr>
          <w:rFonts w:ascii="Times New Roman" w:hAnsi="Times New Roman"/>
          <w:i/>
          <w:iCs/>
          <w:sz w:val="24"/>
          <w:szCs w:val="24"/>
        </w:rPr>
        <w:t>AHRQ Safety Program for Preventing CLABSI and CAUTI</w:t>
      </w:r>
      <w:r>
        <w:rPr>
          <w:rFonts w:ascii="Times New Roman" w:hAnsi="Times New Roman"/>
          <w:sz w:val="24"/>
          <w:szCs w:val="24"/>
        </w:rPr>
        <w:t>.</w:t>
      </w:r>
      <w:r w:rsidRPr="006A5596">
        <w:rPr>
          <w:rFonts w:ascii="Times New Roman" w:hAnsi="Times New Roman"/>
          <w:i/>
          <w:iCs/>
          <w:sz w:val="24"/>
          <w:szCs w:val="24"/>
        </w:rPr>
        <w:t xml:space="preserve"> </w:t>
      </w:r>
    </w:p>
    <w:p w:rsidR="0074784E" w:rsidRPr="006A5596" w:rsidP="006A5596" w14:paraId="1FE94CFB" w14:textId="326EC8C5">
      <w:pPr>
        <w:pStyle w:val="ListParagraph"/>
        <w:numPr>
          <w:ilvl w:val="0"/>
          <w:numId w:val="10"/>
        </w:numPr>
        <w:rPr>
          <w:i/>
          <w:iCs/>
        </w:rPr>
      </w:pPr>
      <w:r>
        <w:rPr>
          <w:rFonts w:ascii="Times New Roman" w:hAnsi="Times New Roman"/>
          <w:b/>
          <w:bCs/>
          <w:sz w:val="24"/>
          <w:szCs w:val="24"/>
        </w:rPr>
        <w:t xml:space="preserve">Clinical outcomes. </w:t>
      </w:r>
      <w:r>
        <w:rPr>
          <w:rFonts w:ascii="Times New Roman" w:hAnsi="Times New Roman"/>
          <w:sz w:val="24"/>
          <w:szCs w:val="24"/>
        </w:rPr>
        <w:t xml:space="preserve">The NHSN </w:t>
      </w:r>
      <w:r w:rsidRPr="006A5596">
        <w:rPr>
          <w:rFonts w:ascii="Times New Roman" w:hAnsi="Times New Roman"/>
          <w:sz w:val="24"/>
          <w:szCs w:val="24"/>
        </w:rPr>
        <w:t xml:space="preserve">is the nation’s most widely used </w:t>
      </w:r>
      <w:r w:rsidR="00E57CF0">
        <w:rPr>
          <w:rFonts w:ascii="Times New Roman" w:hAnsi="Times New Roman"/>
          <w:sz w:val="24"/>
          <w:szCs w:val="24"/>
        </w:rPr>
        <w:t>HAI</w:t>
      </w:r>
      <w:r w:rsidRPr="006A5596">
        <w:rPr>
          <w:rFonts w:ascii="Times New Roman" w:hAnsi="Times New Roman"/>
          <w:sz w:val="24"/>
          <w:szCs w:val="24"/>
        </w:rPr>
        <w:t xml:space="preserve"> tracking system.</w:t>
      </w:r>
      <w:r>
        <w:rPr>
          <w:rStyle w:val="EndnoteReference"/>
          <w:rFonts w:ascii="Times New Roman" w:hAnsi="Times New Roman"/>
          <w:sz w:val="24"/>
          <w:szCs w:val="24"/>
        </w:rPr>
        <w:endnoteReference w:id="7"/>
      </w:r>
      <w:r>
        <w:rPr>
          <w:rFonts w:ascii="Times New Roman" w:hAnsi="Times New Roman"/>
          <w:sz w:val="24"/>
          <w:szCs w:val="24"/>
        </w:rPr>
        <w:t xml:space="preserve"> </w:t>
      </w:r>
    </w:p>
    <w:p w:rsidR="000C21A5" w:rsidRPr="006A5596" w:rsidP="000C21A5" w14:paraId="6D5FF192" w14:textId="77777777">
      <w:pPr>
        <w:pStyle w:val="Heading2"/>
        <w:rPr>
          <w:sz w:val="24"/>
          <w:szCs w:val="24"/>
        </w:rPr>
      </w:pPr>
      <w:bookmarkStart w:id="27" w:name="_Toc176411973"/>
      <w:r w:rsidRPr="006A5596">
        <w:rPr>
          <w:sz w:val="24"/>
          <w:szCs w:val="24"/>
        </w:rPr>
        <w:t>5. Statistical Consultants</w:t>
      </w:r>
      <w:bookmarkEnd w:id="27"/>
    </w:p>
    <w:p w:rsidR="008B45E3" w:rsidRPr="009A23E6" w:rsidP="00627496" w14:paraId="14C35E6F" w14:textId="3D98845D">
      <w:r w:rsidRPr="009A23E6">
        <w:t>NORC at the University of Chicago will serve as the primary consultant</w:t>
      </w:r>
      <w:r w:rsidR="002D57DD">
        <w:t>s</w:t>
      </w:r>
      <w:r w:rsidRPr="009A23E6">
        <w:t xml:space="preserve"> for statistical aspects of the design and analysis of the evaluation data.</w:t>
      </w:r>
      <w:r w:rsidR="00B37890">
        <w:t xml:space="preserve"> </w:t>
      </w:r>
      <w:r w:rsidRPr="00AF1669" w:rsidR="00B37890">
        <w:rPr>
          <w:bCs/>
        </w:rPr>
        <w:t xml:space="preserve">Exhibit </w:t>
      </w:r>
      <w:r w:rsidRPr="00AF1669" w:rsidR="00E969C5">
        <w:rPr>
          <w:bCs/>
        </w:rPr>
        <w:t>6</w:t>
      </w:r>
      <w:r w:rsidR="003F52FB">
        <w:t xml:space="preserve"> </w:t>
      </w:r>
      <w:r w:rsidR="00B37890">
        <w:t xml:space="preserve">provides the names, titles, affiliations, and contact details for the </w:t>
      </w:r>
      <w:r w:rsidR="00F8641E">
        <w:t xml:space="preserve">program’s </w:t>
      </w:r>
      <w:r w:rsidR="00B37890">
        <w:t xml:space="preserve">three main statistical consultants. </w:t>
      </w:r>
    </w:p>
    <w:p w:rsidR="008B45E3" w:rsidRPr="00BF690E" w:rsidP="00BF690E" w14:paraId="0B75E71D" w14:textId="1F1AB28A">
      <w:pPr>
        <w:pStyle w:val="Exhibit1"/>
        <w:rPr>
          <w:b w:val="0"/>
          <w:color w:val="auto"/>
        </w:rPr>
      </w:pPr>
      <w:bookmarkStart w:id="28" w:name="_Toc175258886"/>
      <w:r w:rsidRPr="00BF690E">
        <w:rPr>
          <w:rStyle w:val="NORCCaption-Color"/>
          <w:rFonts w:ascii="Times New Roman" w:hAnsi="Times New Roman"/>
          <w:b/>
          <w:color w:val="auto"/>
          <w:sz w:val="24"/>
        </w:rPr>
        <w:t xml:space="preserve">Exhibit </w:t>
      </w:r>
      <w:r w:rsidR="00E969C5">
        <w:rPr>
          <w:rStyle w:val="NORCCaption-Color"/>
          <w:rFonts w:ascii="Times New Roman" w:hAnsi="Times New Roman"/>
          <w:b/>
          <w:color w:val="auto"/>
          <w:sz w:val="24"/>
        </w:rPr>
        <w:t>6</w:t>
      </w:r>
      <w:r w:rsidRPr="00BF690E">
        <w:rPr>
          <w:rStyle w:val="NORCCaption-Color"/>
          <w:rFonts w:ascii="Times New Roman" w:hAnsi="Times New Roman"/>
          <w:b/>
          <w:color w:val="auto"/>
          <w:sz w:val="24"/>
        </w:rPr>
        <w:t>:</w:t>
      </w:r>
      <w:r w:rsidRPr="00BF690E">
        <w:rPr>
          <w:b w:val="0"/>
          <w:color w:val="auto"/>
        </w:rPr>
        <w:t xml:space="preserve"> List of Statistical Consultants</w:t>
      </w:r>
      <w:bookmarkEnd w:id="28"/>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05"/>
        <w:gridCol w:w="4921"/>
        <w:gridCol w:w="1614"/>
      </w:tblGrid>
      <w:tr w14:paraId="6FB5C715" w14:textId="77777777" w:rsidTr="006A5596">
        <w:tblPrEx>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val="503"/>
          <w:tblHeader/>
          <w:jc w:val="center"/>
        </w:trPr>
        <w:tc>
          <w:tcPr>
            <w:tcW w:w="18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B45E3" w:rsidRPr="009A23E6" w:rsidP="006A5596" w14:paraId="452FFD15" w14:textId="77777777">
            <w:pPr>
              <w:pStyle w:val="NORCTableHeaderArial"/>
              <w:rPr>
                <w:rFonts w:ascii="Times New Roman" w:hAnsi="Times New Roman"/>
                <w:sz w:val="20"/>
                <w:szCs w:val="20"/>
              </w:rPr>
            </w:pPr>
            <w:r w:rsidRPr="009A23E6">
              <w:rPr>
                <w:rFonts w:ascii="Times New Roman" w:hAnsi="Times New Roman"/>
                <w:sz w:val="20"/>
                <w:szCs w:val="20"/>
              </w:rPr>
              <w:t>Name</w:t>
            </w:r>
          </w:p>
        </w:tc>
        <w:tc>
          <w:tcPr>
            <w:tcW w:w="4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B45E3" w:rsidRPr="009A23E6" w:rsidP="006A5596" w14:paraId="5D0CD549" w14:textId="77777777">
            <w:pPr>
              <w:pStyle w:val="NORCTableHeaderArial"/>
              <w:rPr>
                <w:rFonts w:ascii="Times New Roman" w:hAnsi="Times New Roman"/>
                <w:sz w:val="20"/>
                <w:szCs w:val="20"/>
              </w:rPr>
            </w:pPr>
            <w:r w:rsidRPr="009A23E6">
              <w:rPr>
                <w:rFonts w:ascii="Times New Roman" w:hAnsi="Times New Roman"/>
                <w:sz w:val="20"/>
                <w:szCs w:val="20"/>
              </w:rPr>
              <w:t>Title and Institution</w:t>
            </w:r>
          </w:p>
        </w:tc>
        <w:tc>
          <w:tcPr>
            <w:tcW w:w="1614" w:type="dxa"/>
            <w:tcBorders>
              <w:top w:val="single" w:sz="4" w:space="0" w:color="auto"/>
              <w:left w:val="single" w:sz="4" w:space="0" w:color="auto"/>
              <w:bottom w:val="single" w:sz="4" w:space="0" w:color="auto"/>
              <w:right w:val="single" w:sz="4" w:space="0" w:color="auto"/>
            </w:tcBorders>
            <w:shd w:val="clear" w:color="auto" w:fill="auto"/>
            <w:hideMark/>
          </w:tcPr>
          <w:p w:rsidR="008B45E3" w:rsidRPr="009A23E6" w:rsidP="006A5596" w14:paraId="505F365F" w14:textId="77777777">
            <w:pPr>
              <w:pStyle w:val="NORCTableHeaderArial"/>
              <w:rPr>
                <w:rFonts w:ascii="Times New Roman" w:hAnsi="Times New Roman"/>
                <w:sz w:val="20"/>
                <w:szCs w:val="20"/>
              </w:rPr>
            </w:pPr>
            <w:r w:rsidRPr="009A23E6">
              <w:rPr>
                <w:rFonts w:ascii="Times New Roman" w:hAnsi="Times New Roman"/>
                <w:sz w:val="20"/>
                <w:szCs w:val="20"/>
              </w:rPr>
              <w:t>Telephone Number</w:t>
            </w:r>
          </w:p>
        </w:tc>
      </w:tr>
      <w:tr w14:paraId="108F146D" w14:textId="77777777" w:rsidTr="006A5596">
        <w:tblPrEx>
          <w:tblW w:w="8340" w:type="dxa"/>
          <w:jc w:val="center"/>
          <w:tblLayout w:type="fixed"/>
          <w:tblCellMar>
            <w:left w:w="0" w:type="dxa"/>
            <w:right w:w="0" w:type="dxa"/>
          </w:tblCellMar>
          <w:tblLook w:val="04A0"/>
        </w:tblPrEx>
        <w:trPr>
          <w:cantSplit/>
          <w:trHeight w:val="125"/>
          <w:jc w:val="center"/>
        </w:trPr>
        <w:tc>
          <w:tcPr>
            <w:tcW w:w="18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B45E3" w:rsidRPr="009A23E6" w:rsidP="006A5596" w14:paraId="2BA3520A" w14:textId="77777777">
            <w:pPr>
              <w:rPr>
                <w:sz w:val="20"/>
                <w:szCs w:val="20"/>
              </w:rPr>
            </w:pPr>
            <w:r w:rsidRPr="009A23E6">
              <w:rPr>
                <w:sz w:val="20"/>
                <w:szCs w:val="20"/>
              </w:rPr>
              <w:t>Roy Ahn, ScD, MPH</w:t>
            </w:r>
          </w:p>
        </w:tc>
        <w:tc>
          <w:tcPr>
            <w:tcW w:w="4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B45E3" w:rsidRPr="009A23E6" w:rsidP="006A5596" w14:paraId="338F0234" w14:textId="11D56A50">
            <w:pPr>
              <w:rPr>
                <w:sz w:val="20"/>
                <w:szCs w:val="20"/>
              </w:rPr>
            </w:pPr>
            <w:r w:rsidRPr="009A23E6">
              <w:rPr>
                <w:sz w:val="20"/>
                <w:szCs w:val="20"/>
              </w:rPr>
              <w:t>Vice President, Public Health Department, NORC</w:t>
            </w:r>
          </w:p>
        </w:tc>
        <w:tc>
          <w:tcPr>
            <w:tcW w:w="1614" w:type="dxa"/>
            <w:tcBorders>
              <w:top w:val="single" w:sz="4" w:space="0" w:color="auto"/>
              <w:left w:val="single" w:sz="4" w:space="0" w:color="auto"/>
              <w:bottom w:val="single" w:sz="4" w:space="0" w:color="auto"/>
              <w:right w:val="single" w:sz="4" w:space="0" w:color="auto"/>
            </w:tcBorders>
            <w:shd w:val="clear" w:color="auto" w:fill="auto"/>
            <w:hideMark/>
          </w:tcPr>
          <w:p w:rsidR="008B45E3" w:rsidRPr="009A23E6" w:rsidP="006A5596" w14:paraId="1054640E" w14:textId="4B471517">
            <w:pPr>
              <w:rPr>
                <w:sz w:val="20"/>
                <w:szCs w:val="20"/>
              </w:rPr>
            </w:pPr>
            <w:r w:rsidRPr="009A23E6">
              <w:rPr>
                <w:sz w:val="20"/>
                <w:szCs w:val="20"/>
              </w:rPr>
              <w:t>312</w:t>
            </w:r>
            <w:r w:rsidRPr="009A23E6" w:rsidR="00B83FC0">
              <w:rPr>
                <w:sz w:val="20"/>
                <w:szCs w:val="20"/>
              </w:rPr>
              <w:t>-</w:t>
            </w:r>
            <w:r w:rsidRPr="009A23E6">
              <w:rPr>
                <w:sz w:val="20"/>
                <w:szCs w:val="20"/>
              </w:rPr>
              <w:t>759-4068</w:t>
            </w:r>
          </w:p>
        </w:tc>
      </w:tr>
      <w:tr w14:paraId="41EFF1C2" w14:textId="77777777" w:rsidTr="006A5596">
        <w:tblPrEx>
          <w:tblW w:w="8340" w:type="dxa"/>
          <w:jc w:val="center"/>
          <w:tblLayout w:type="fixed"/>
          <w:tblCellMar>
            <w:left w:w="0" w:type="dxa"/>
            <w:right w:w="0" w:type="dxa"/>
          </w:tblCellMar>
          <w:tblLook w:val="04A0"/>
        </w:tblPrEx>
        <w:trPr>
          <w:cantSplit/>
          <w:trHeight w:val="70"/>
          <w:jc w:val="center"/>
        </w:trPr>
        <w:tc>
          <w:tcPr>
            <w:tcW w:w="18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90185" w:rsidRPr="009A23E6" w:rsidP="006A5596" w14:paraId="1471D78E" w14:textId="77777777">
            <w:pPr>
              <w:rPr>
                <w:sz w:val="20"/>
                <w:szCs w:val="20"/>
              </w:rPr>
            </w:pPr>
            <w:r>
              <w:rPr>
                <w:sz w:val="20"/>
                <w:szCs w:val="20"/>
              </w:rPr>
              <w:t>Jessica Fernandez</w:t>
            </w:r>
            <w:r w:rsidRPr="009A23E6">
              <w:rPr>
                <w:sz w:val="20"/>
                <w:szCs w:val="20"/>
              </w:rPr>
              <w:t>, PhD</w:t>
            </w:r>
          </w:p>
        </w:tc>
        <w:tc>
          <w:tcPr>
            <w:tcW w:w="4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90185" w:rsidRPr="009A23E6" w:rsidP="006A5596" w14:paraId="6E672E90" w14:textId="77777777">
            <w:pPr>
              <w:rPr>
                <w:sz w:val="20"/>
                <w:szCs w:val="20"/>
              </w:rPr>
            </w:pPr>
            <w:r>
              <w:rPr>
                <w:sz w:val="20"/>
                <w:szCs w:val="20"/>
              </w:rPr>
              <w:t>Senior Research Scientist, Health Sciences Department, NORC</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390185" w:rsidRPr="009A23E6" w:rsidP="006A5596" w14:paraId="07722B33" w14:textId="1EA0FBC0">
            <w:pPr>
              <w:rPr>
                <w:sz w:val="20"/>
                <w:szCs w:val="20"/>
              </w:rPr>
            </w:pPr>
            <w:r w:rsidRPr="00663F9C">
              <w:rPr>
                <w:sz w:val="20"/>
                <w:szCs w:val="20"/>
              </w:rPr>
              <w:t>518</w:t>
            </w:r>
            <w:r>
              <w:rPr>
                <w:sz w:val="20"/>
                <w:szCs w:val="20"/>
              </w:rPr>
              <w:t>-</w:t>
            </w:r>
            <w:r w:rsidRPr="00663F9C">
              <w:rPr>
                <w:sz w:val="20"/>
                <w:szCs w:val="20"/>
              </w:rPr>
              <w:t>321-4471</w:t>
            </w:r>
          </w:p>
        </w:tc>
      </w:tr>
      <w:tr w14:paraId="27823D2B" w14:textId="77777777" w:rsidTr="006A5596">
        <w:tblPrEx>
          <w:tblW w:w="8340" w:type="dxa"/>
          <w:jc w:val="center"/>
          <w:tblLayout w:type="fixed"/>
          <w:tblCellMar>
            <w:left w:w="0" w:type="dxa"/>
            <w:right w:w="0" w:type="dxa"/>
          </w:tblCellMar>
          <w:tblLook w:val="04A0"/>
        </w:tblPrEx>
        <w:trPr>
          <w:cantSplit/>
          <w:trHeight w:val="70"/>
          <w:jc w:val="center"/>
        </w:trPr>
        <w:tc>
          <w:tcPr>
            <w:tcW w:w="18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B45E3" w:rsidRPr="009A23E6" w:rsidP="006A5596" w14:paraId="79B5D689" w14:textId="2545A9DB">
            <w:pPr>
              <w:rPr>
                <w:sz w:val="20"/>
                <w:szCs w:val="20"/>
              </w:rPr>
            </w:pPr>
            <w:r w:rsidRPr="009A23E6">
              <w:rPr>
                <w:sz w:val="20"/>
                <w:szCs w:val="20"/>
              </w:rPr>
              <w:t>Yue Gao, MPH</w:t>
            </w:r>
          </w:p>
        </w:tc>
        <w:tc>
          <w:tcPr>
            <w:tcW w:w="4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B45E3" w:rsidRPr="009A23E6" w:rsidP="006A5596" w14:paraId="4FF447FF" w14:textId="4F141461">
            <w:pPr>
              <w:rPr>
                <w:sz w:val="20"/>
                <w:szCs w:val="20"/>
              </w:rPr>
            </w:pPr>
            <w:r w:rsidRPr="009A23E6">
              <w:rPr>
                <w:sz w:val="20"/>
                <w:szCs w:val="20"/>
              </w:rPr>
              <w:t>Senior Research Scientist, Health Care Evaluation Research Department, NORC</w:t>
            </w:r>
          </w:p>
        </w:tc>
        <w:tc>
          <w:tcPr>
            <w:tcW w:w="1614" w:type="dxa"/>
            <w:tcBorders>
              <w:top w:val="single" w:sz="4" w:space="0" w:color="auto"/>
              <w:left w:val="single" w:sz="4" w:space="0" w:color="auto"/>
              <w:bottom w:val="single" w:sz="4" w:space="0" w:color="auto"/>
              <w:right w:val="single" w:sz="4" w:space="0" w:color="auto"/>
            </w:tcBorders>
            <w:shd w:val="clear" w:color="auto" w:fill="auto"/>
            <w:hideMark/>
          </w:tcPr>
          <w:p w:rsidR="008B45E3" w:rsidRPr="009A23E6" w:rsidP="006A5596" w14:paraId="697ACFC9" w14:textId="220E47F1">
            <w:pPr>
              <w:rPr>
                <w:sz w:val="20"/>
                <w:szCs w:val="20"/>
              </w:rPr>
            </w:pPr>
            <w:r w:rsidRPr="009A23E6">
              <w:rPr>
                <w:sz w:val="20"/>
                <w:szCs w:val="20"/>
              </w:rPr>
              <w:t>301</w:t>
            </w:r>
            <w:r w:rsidRPr="009A23E6" w:rsidR="00B83FC0">
              <w:rPr>
                <w:sz w:val="20"/>
                <w:szCs w:val="20"/>
              </w:rPr>
              <w:t>-</w:t>
            </w:r>
            <w:r w:rsidRPr="009A23E6">
              <w:rPr>
                <w:sz w:val="20"/>
                <w:szCs w:val="20"/>
              </w:rPr>
              <w:t>634-9440</w:t>
            </w:r>
          </w:p>
        </w:tc>
      </w:tr>
    </w:tbl>
    <w:p w:rsidR="008B45E3" w:rsidRPr="009A23E6" w:rsidP="00444EFC" w14:paraId="08E55EF0" w14:textId="77777777">
      <w:pPr>
        <w:ind w:left="360"/>
      </w:pPr>
    </w:p>
    <w:p w:rsidR="00BA0FDF" w:rsidP="00E73AB5" w14:paraId="7E0D2002" w14:textId="7619904D">
      <w:r w:rsidRPr="009A23E6">
        <w:t xml:space="preserve">The data will be collected by NORC at the University of Chicago. </w:t>
      </w:r>
    </w:p>
    <w:p w:rsidR="00E73AB5" w:rsidRPr="009A23E6" w:rsidP="00E73AB5" w14:paraId="21AAB8C9" w14:textId="77777777"/>
    <w:sectPr w:rsidSect="00A17234">
      <w:footerReference w:type="default" r:id="rId13"/>
      <w:footerReference w:type="first" r:id="rId14"/>
      <w:endnotePr>
        <w:numFmt w:val="decimal"/>
      </w:endnotePr>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65F9B" w:rsidP="000C21A5" w14:paraId="7A666390" w14:textId="77777777">
      <w:r>
        <w:separator/>
      </w:r>
    </w:p>
  </w:endnote>
  <w:endnote w:type="continuationSeparator" w:id="1">
    <w:p w:rsidR="00465F9B" w:rsidP="000C21A5" w14:paraId="275116A2" w14:textId="77777777">
      <w:r>
        <w:continuationSeparator/>
      </w:r>
    </w:p>
  </w:endnote>
  <w:endnote w:type="continuationNotice" w:id="2">
    <w:p w:rsidR="00465F9B" w14:paraId="1D248251" w14:textId="77777777"/>
  </w:endnote>
  <w:endnote w:id="3">
    <w:p w:rsidR="0005708D" w:rsidRPr="00D478B1" w:rsidP="00A2580F" w14:paraId="2DFDD328" w14:textId="393CCCAC">
      <w:pPr>
        <w:pStyle w:val="EndnoteText"/>
      </w:pPr>
      <w:r w:rsidRPr="00D478B1">
        <w:rPr>
          <w:rStyle w:val="EndnoteReference"/>
        </w:rPr>
        <w:endnoteRef/>
      </w:r>
      <w:r w:rsidRPr="00D478B1">
        <w:t xml:space="preserve"> Kohut MR, Keller SC, Linder JA, et al. The inconvincible patient: how clinicians perceive demand for antibiotics in the outpatient setting. Fam Pract. 2020;37(2):276-282. doi:10.1093/fampra/cmz066</w:t>
      </w:r>
    </w:p>
  </w:endnote>
  <w:endnote w:id="4">
    <w:p w:rsidR="0005708D" w:rsidRPr="00D478B1" w14:paraId="56D81C7F" w14:textId="77777777">
      <w:pPr>
        <w:pStyle w:val="EndnoteText"/>
      </w:pPr>
      <w:r w:rsidRPr="00D478B1">
        <w:rPr>
          <w:rStyle w:val="EndnoteReference"/>
        </w:rPr>
        <w:endnoteRef/>
      </w:r>
      <w:r w:rsidRPr="00D478B1">
        <w:t xml:space="preserve"> Corbin, J., &amp; Strauss, A. Basics of Qualitative Research: Techniques and Procedures for Developing Grounded Theory (3rd ed.). Thousand Oaks, CA: Sage. 2008.</w:t>
      </w:r>
    </w:p>
  </w:endnote>
  <w:endnote w:id="5">
    <w:p w:rsidR="0005708D" w:rsidRPr="00D478B1" w14:paraId="3BCA0549" w14:textId="77777777">
      <w:pPr>
        <w:pStyle w:val="EndnoteText"/>
      </w:pPr>
      <w:r w:rsidRPr="00D478B1">
        <w:rPr>
          <w:rStyle w:val="EndnoteReference"/>
        </w:rPr>
        <w:endnoteRef/>
      </w:r>
      <w:r w:rsidRPr="00D478B1">
        <w:t xml:space="preserve"> Dicicco-Bloom B, Crabtree BF. The qualitative research interview. Med Educ. 2006 Apr;40(4):314-21. </w:t>
      </w:r>
    </w:p>
  </w:endnote>
  <w:endnote w:id="6">
    <w:p w:rsidR="0005708D" w:rsidRPr="00D478B1" w:rsidP="0023469D" w14:paraId="62B36BA7" w14:textId="77777777">
      <w:pPr>
        <w:pStyle w:val="EndnoteText"/>
      </w:pPr>
      <w:r w:rsidRPr="00D478B1">
        <w:rPr>
          <w:rStyle w:val="EndnoteReference"/>
        </w:rPr>
        <w:endnoteRef/>
      </w:r>
      <w:r w:rsidRPr="00D478B1">
        <w:t xml:space="preserve"> Churruca K, Ellis LA, Pomare C, et al. Dimensions of safety culture: a systematic review of quantitative, qualitative and mixed methods for assessing safety culture in hospitals. </w:t>
      </w:r>
      <w:r w:rsidRPr="00D478B1">
        <w:rPr>
          <w:i/>
        </w:rPr>
        <w:t>BMJ Open</w:t>
      </w:r>
      <w:r w:rsidRPr="00D478B1">
        <w:t xml:space="preserve">. 2021;11(7):e043982. Published 2021 Jul 27. </w:t>
      </w:r>
    </w:p>
  </w:endnote>
  <w:endnote w:id="7">
    <w:p w:rsidR="0005708D" w:rsidP="00EA0BC3" w14:paraId="543B0AB4" w14:textId="77777777">
      <w:pPr>
        <w:pStyle w:val="EndnoteText"/>
      </w:pPr>
      <w:r w:rsidRPr="00D478B1">
        <w:rPr>
          <w:rStyle w:val="EndnoteReference"/>
        </w:rPr>
        <w:endnoteRef/>
      </w:r>
      <w:r w:rsidRPr="00D478B1">
        <w:t xml:space="preserve"> Centers for Disease Control and Prevention. National Healthcare Safety Network (NHSN). 2024. Retrieved from: https://www.cdc.gov/nhsn/index.html.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Garamond-Regular">
    <w:altName w:val="Cambria"/>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21A5" w:rsidP="00334992" w14:paraId="6E6CC2CB" w14:textId="1C6251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4A9E">
      <w:rPr>
        <w:rStyle w:val="PageNumber"/>
        <w:noProof/>
      </w:rPr>
      <w:t>2</w:t>
    </w:r>
    <w:r>
      <w:rPr>
        <w:rStyle w:val="PageNumber"/>
      </w:rPr>
      <w:fldChar w:fldCharType="end"/>
    </w:r>
  </w:p>
  <w:p w:rsidR="000C21A5" w14:paraId="5D79DD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0264" w:rsidRPr="00BF0264" w:rsidP="00BF0264" w14:paraId="03462ED9" w14:textId="77777777">
    <w:pPr>
      <w:pStyle w:val="Footer"/>
      <w:jc w:val="right"/>
    </w:pPr>
    <w:r w:rsidRPr="00BF0264">
      <w:t xml:space="preserve">Supporting Statement B | Page </w:t>
    </w:r>
    <w:r w:rsidRPr="00BF0264">
      <w:fldChar w:fldCharType="begin"/>
    </w:r>
    <w:r w:rsidRPr="00BF0264">
      <w:instrText xml:space="preserve"> PAGE   \* MERGEFORMAT </w:instrText>
    </w:r>
    <w:r w:rsidRPr="00BF0264">
      <w:fldChar w:fldCharType="separate"/>
    </w:r>
    <w:r w:rsidRPr="00BF0264">
      <w:t>ii</w:t>
    </w:r>
    <w:r w:rsidRPr="00BF0264">
      <w:fldChar w:fldCharType="end"/>
    </w:r>
  </w:p>
  <w:p w:rsidR="000C21A5" w14:paraId="3997035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474B" w:rsidRPr="005D474B" w:rsidP="005D474B" w14:paraId="4CD0199B" w14:textId="77777777">
    <w:pPr>
      <w:pStyle w:val="Footer"/>
      <w:jc w:val="right"/>
    </w:pPr>
    <w:r w:rsidRPr="005D474B">
      <w:t xml:space="preserve">Supporting Statement B | Page </w:t>
    </w:r>
    <w:r w:rsidRPr="005D474B">
      <w:fldChar w:fldCharType="begin"/>
    </w:r>
    <w:r w:rsidRPr="005D474B">
      <w:instrText xml:space="preserve"> PAGE   \* MERGEFORMAT </w:instrText>
    </w:r>
    <w:r w:rsidRPr="005D474B">
      <w:fldChar w:fldCharType="separate"/>
    </w:r>
    <w:r w:rsidRPr="005D474B">
      <w:t>ii</w:t>
    </w:r>
    <w:r w:rsidRPr="005D474B">
      <w:fldChar w:fldCharType="end"/>
    </w:r>
  </w:p>
  <w:p w:rsidR="00334992" w14:paraId="7FA49DBA"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0264" w:rsidRPr="00BF0264" w:rsidP="00BF0264" w14:paraId="39568515" w14:textId="77777777">
    <w:pPr>
      <w:pStyle w:val="Footer"/>
      <w:jc w:val="right"/>
    </w:pPr>
    <w:r w:rsidRPr="00BF0264">
      <w:t xml:space="preserve">Supporting Statement B | Page </w:t>
    </w:r>
    <w:r w:rsidRPr="00BF0264">
      <w:fldChar w:fldCharType="begin"/>
    </w:r>
    <w:r w:rsidRPr="00BF0264">
      <w:instrText xml:space="preserve"> PAGE   \* MERGEFORMAT </w:instrText>
    </w:r>
    <w:r w:rsidRPr="00BF0264">
      <w:fldChar w:fldCharType="separate"/>
    </w:r>
    <w:r w:rsidRPr="00BF0264">
      <w:t>ii</w:t>
    </w:r>
    <w:r w:rsidRPr="00BF0264">
      <w:fldChar w:fldCharType="end"/>
    </w:r>
  </w:p>
  <w:p w:rsidR="00334992" w14:paraId="3A35DA3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5748" w14:paraId="6D7DF24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FFA4F048"/>
    <w:lvl w:ilvl="0">
      <w:start w:val="1"/>
      <w:numFmt w:val="decimal"/>
      <w:pStyle w:val="ListNumber"/>
      <w:lvlText w:val="%1."/>
      <w:lvlJc w:val="left"/>
      <w:pPr>
        <w:tabs>
          <w:tab w:val="num" w:pos="360"/>
        </w:tabs>
        <w:ind w:left="360" w:hanging="360"/>
      </w:pPr>
    </w:lvl>
  </w:abstractNum>
  <w:abstractNum w:abstractNumId="1">
    <w:nsid w:val="025F1F76"/>
    <w:multiLevelType w:val="hybridMultilevel"/>
    <w:tmpl w:val="77882B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6E60AD"/>
    <w:multiLevelType w:val="hybridMultilevel"/>
    <w:tmpl w:val="98321C22"/>
    <w:lvl w:ilvl="0">
      <w:start w:val="1"/>
      <w:numFmt w:val="bullet"/>
      <w:pStyle w:val="TableBullet1"/>
      <w:lvlText w:val="●"/>
      <w:lvlJc w:val="left"/>
      <w:pPr>
        <w:ind w:left="720" w:hanging="360"/>
      </w:pPr>
      <w:rPr>
        <w:rFonts w:ascii="Calibri" w:hAnsi="Calibri" w:cs="Times New Roman" w:hint="default"/>
        <w:color w:val="6E6259"/>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C66228F"/>
    <w:multiLevelType w:val="hybridMultilevel"/>
    <w:tmpl w:val="316AF5EE"/>
    <w:lvl w:ilvl="0">
      <w:start w:val="1"/>
      <w:numFmt w:val="bullet"/>
      <w:pStyle w:val="TableBullet2"/>
      <w:lvlText w:val="o"/>
      <w:lvlJc w:val="left"/>
      <w:pPr>
        <w:ind w:left="925" w:hanging="360"/>
      </w:pPr>
      <w:rPr>
        <w:rFonts w:ascii="Courier New" w:hAnsi="Courier New" w:cs="Courier New" w:hint="default"/>
      </w:rPr>
    </w:lvl>
    <w:lvl w:ilvl="1">
      <w:start w:val="1"/>
      <w:numFmt w:val="bullet"/>
      <w:lvlText w:val="o"/>
      <w:lvlJc w:val="left"/>
      <w:pPr>
        <w:ind w:left="1645" w:hanging="360"/>
      </w:pPr>
      <w:rPr>
        <w:rFonts w:ascii="Courier New" w:hAnsi="Courier New" w:cs="Courier New" w:hint="default"/>
      </w:rPr>
    </w:lvl>
    <w:lvl w:ilvl="2">
      <w:start w:val="1"/>
      <w:numFmt w:val="bullet"/>
      <w:lvlText w:val=""/>
      <w:lvlJc w:val="left"/>
      <w:pPr>
        <w:ind w:left="2365" w:hanging="360"/>
      </w:pPr>
      <w:rPr>
        <w:rFonts w:ascii="Wingdings" w:hAnsi="Wingdings" w:hint="default"/>
      </w:rPr>
    </w:lvl>
    <w:lvl w:ilvl="3">
      <w:start w:val="1"/>
      <w:numFmt w:val="bullet"/>
      <w:lvlText w:val=""/>
      <w:lvlJc w:val="left"/>
      <w:pPr>
        <w:ind w:left="3085" w:hanging="360"/>
      </w:pPr>
      <w:rPr>
        <w:rFonts w:ascii="Symbol" w:hAnsi="Symbol" w:hint="default"/>
      </w:rPr>
    </w:lvl>
    <w:lvl w:ilvl="4">
      <w:start w:val="1"/>
      <w:numFmt w:val="bullet"/>
      <w:lvlText w:val="o"/>
      <w:lvlJc w:val="left"/>
      <w:pPr>
        <w:ind w:left="3805" w:hanging="360"/>
      </w:pPr>
      <w:rPr>
        <w:rFonts w:ascii="Courier New" w:hAnsi="Courier New" w:cs="Courier New" w:hint="default"/>
      </w:rPr>
    </w:lvl>
    <w:lvl w:ilvl="5">
      <w:start w:val="1"/>
      <w:numFmt w:val="bullet"/>
      <w:lvlText w:val=""/>
      <w:lvlJc w:val="left"/>
      <w:pPr>
        <w:ind w:left="4525" w:hanging="360"/>
      </w:pPr>
      <w:rPr>
        <w:rFonts w:ascii="Wingdings" w:hAnsi="Wingdings" w:hint="default"/>
      </w:rPr>
    </w:lvl>
    <w:lvl w:ilvl="6">
      <w:start w:val="1"/>
      <w:numFmt w:val="bullet"/>
      <w:lvlText w:val=""/>
      <w:lvlJc w:val="left"/>
      <w:pPr>
        <w:ind w:left="5245" w:hanging="360"/>
      </w:pPr>
      <w:rPr>
        <w:rFonts w:ascii="Symbol" w:hAnsi="Symbol" w:hint="default"/>
      </w:rPr>
    </w:lvl>
    <w:lvl w:ilvl="7">
      <w:start w:val="1"/>
      <w:numFmt w:val="bullet"/>
      <w:lvlText w:val="o"/>
      <w:lvlJc w:val="left"/>
      <w:pPr>
        <w:ind w:left="5965" w:hanging="360"/>
      </w:pPr>
      <w:rPr>
        <w:rFonts w:ascii="Courier New" w:hAnsi="Courier New" w:cs="Courier New" w:hint="default"/>
      </w:rPr>
    </w:lvl>
    <w:lvl w:ilvl="8">
      <w:start w:val="1"/>
      <w:numFmt w:val="bullet"/>
      <w:lvlText w:val=""/>
      <w:lvlJc w:val="left"/>
      <w:pPr>
        <w:ind w:left="6685" w:hanging="360"/>
      </w:pPr>
      <w:rPr>
        <w:rFonts w:ascii="Wingdings" w:hAnsi="Wingdings" w:hint="default"/>
      </w:rPr>
    </w:lvl>
  </w:abstractNum>
  <w:abstractNum w:abstractNumId="4">
    <w:nsid w:val="22DF7A1F"/>
    <w:multiLevelType w:val="hybridMultilevel"/>
    <w:tmpl w:val="334418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7756A0B"/>
    <w:multiLevelType w:val="hybridMultilevel"/>
    <w:tmpl w:val="12328B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64F3277"/>
    <w:multiLevelType w:val="hybridMultilevel"/>
    <w:tmpl w:val="9BBAD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6373F53"/>
    <w:multiLevelType w:val="hybridMultilevel"/>
    <w:tmpl w:val="425C1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8132377"/>
    <w:multiLevelType w:val="hybridMultilevel"/>
    <w:tmpl w:val="70A24FDC"/>
    <w:lvl w:ilvl="0">
      <w:start w:val="1"/>
      <w:numFmt w:val="bullet"/>
      <w:pStyle w:val="NORCTableBullet110ptNarrow"/>
      <w:lvlText w:val="■"/>
      <w:lvlJc w:val="left"/>
      <w:pPr>
        <w:ind w:left="360" w:hanging="360"/>
      </w:p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9">
    <w:nsid w:val="5B993753"/>
    <w:multiLevelType w:val="hybridMultilevel"/>
    <w:tmpl w:val="0A107AF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794C240B"/>
    <w:multiLevelType w:val="hybridMultilevel"/>
    <w:tmpl w:val="E5CA26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69159385">
    <w:abstractNumId w:val="8"/>
  </w:num>
  <w:num w:numId="2" w16cid:durableId="1694108280">
    <w:abstractNumId w:val="0"/>
  </w:num>
  <w:num w:numId="3" w16cid:durableId="2087678358">
    <w:abstractNumId w:val="10"/>
  </w:num>
  <w:num w:numId="4" w16cid:durableId="1786383353">
    <w:abstractNumId w:val="1"/>
  </w:num>
  <w:num w:numId="5" w16cid:durableId="322314556">
    <w:abstractNumId w:val="2"/>
  </w:num>
  <w:num w:numId="6" w16cid:durableId="585844404">
    <w:abstractNumId w:val="3"/>
  </w:num>
  <w:num w:numId="7" w16cid:durableId="2095007860">
    <w:abstractNumId w:val="9"/>
  </w:num>
  <w:num w:numId="8" w16cid:durableId="1174145765">
    <w:abstractNumId w:val="4"/>
  </w:num>
  <w:num w:numId="9" w16cid:durableId="139271063">
    <w:abstractNumId w:val="5"/>
  </w:num>
  <w:num w:numId="10" w16cid:durableId="1922324290">
    <w:abstractNumId w:val="6"/>
  </w:num>
  <w:num w:numId="11" w16cid:durableId="168102887">
    <w:abstractNumId w:val="7"/>
  </w:num>
  <w:num w:numId="12" w16cid:durableId="128970213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1A5"/>
    <w:rsid w:val="00001214"/>
    <w:rsid w:val="00003A20"/>
    <w:rsid w:val="0000696B"/>
    <w:rsid w:val="00010507"/>
    <w:rsid w:val="000112E8"/>
    <w:rsid w:val="00011E25"/>
    <w:rsid w:val="000151AA"/>
    <w:rsid w:val="00020197"/>
    <w:rsid w:val="000208BE"/>
    <w:rsid w:val="0002124D"/>
    <w:rsid w:val="00022B2A"/>
    <w:rsid w:val="00023ADB"/>
    <w:rsid w:val="00024BF9"/>
    <w:rsid w:val="00024FA5"/>
    <w:rsid w:val="00025440"/>
    <w:rsid w:val="000274E1"/>
    <w:rsid w:val="00027F8F"/>
    <w:rsid w:val="000323F8"/>
    <w:rsid w:val="00032B70"/>
    <w:rsid w:val="00033D2C"/>
    <w:rsid w:val="00035047"/>
    <w:rsid w:val="0003673A"/>
    <w:rsid w:val="000369C6"/>
    <w:rsid w:val="00037D62"/>
    <w:rsid w:val="00042562"/>
    <w:rsid w:val="000439EB"/>
    <w:rsid w:val="00044EF6"/>
    <w:rsid w:val="000468C7"/>
    <w:rsid w:val="000476F3"/>
    <w:rsid w:val="00047DFA"/>
    <w:rsid w:val="0005205F"/>
    <w:rsid w:val="00052332"/>
    <w:rsid w:val="00052B46"/>
    <w:rsid w:val="00052DC9"/>
    <w:rsid w:val="00053A2C"/>
    <w:rsid w:val="00055A7D"/>
    <w:rsid w:val="00055DD4"/>
    <w:rsid w:val="0005708D"/>
    <w:rsid w:val="0006032E"/>
    <w:rsid w:val="0006273B"/>
    <w:rsid w:val="00062F9E"/>
    <w:rsid w:val="0006560E"/>
    <w:rsid w:val="0007130F"/>
    <w:rsid w:val="00071EC6"/>
    <w:rsid w:val="0007670E"/>
    <w:rsid w:val="00077441"/>
    <w:rsid w:val="000809D4"/>
    <w:rsid w:val="0008228E"/>
    <w:rsid w:val="0008445F"/>
    <w:rsid w:val="00086FA8"/>
    <w:rsid w:val="00090160"/>
    <w:rsid w:val="00090A1B"/>
    <w:rsid w:val="00090E2A"/>
    <w:rsid w:val="00094284"/>
    <w:rsid w:val="00094A8D"/>
    <w:rsid w:val="00094B93"/>
    <w:rsid w:val="00095AEB"/>
    <w:rsid w:val="00095D8E"/>
    <w:rsid w:val="00096F91"/>
    <w:rsid w:val="00097F35"/>
    <w:rsid w:val="000A0FAB"/>
    <w:rsid w:val="000A14F6"/>
    <w:rsid w:val="000A1709"/>
    <w:rsid w:val="000A5FE3"/>
    <w:rsid w:val="000B0BC9"/>
    <w:rsid w:val="000B3B06"/>
    <w:rsid w:val="000B73D1"/>
    <w:rsid w:val="000C1021"/>
    <w:rsid w:val="000C1198"/>
    <w:rsid w:val="000C13BB"/>
    <w:rsid w:val="000C1E2D"/>
    <w:rsid w:val="000C21A5"/>
    <w:rsid w:val="000C27FC"/>
    <w:rsid w:val="000C38BA"/>
    <w:rsid w:val="000C4172"/>
    <w:rsid w:val="000C480E"/>
    <w:rsid w:val="000C5595"/>
    <w:rsid w:val="000C5B13"/>
    <w:rsid w:val="000C75A7"/>
    <w:rsid w:val="000D1A3E"/>
    <w:rsid w:val="000E18BC"/>
    <w:rsid w:val="000E3DC1"/>
    <w:rsid w:val="000E447D"/>
    <w:rsid w:val="000E5165"/>
    <w:rsid w:val="000E5316"/>
    <w:rsid w:val="000E55DD"/>
    <w:rsid w:val="000E6592"/>
    <w:rsid w:val="000E6DD3"/>
    <w:rsid w:val="000E79EA"/>
    <w:rsid w:val="000F0140"/>
    <w:rsid w:val="000F1652"/>
    <w:rsid w:val="000F17B3"/>
    <w:rsid w:val="000F188B"/>
    <w:rsid w:val="000F2AC7"/>
    <w:rsid w:val="000F2EDF"/>
    <w:rsid w:val="000F3289"/>
    <w:rsid w:val="000F3762"/>
    <w:rsid w:val="000F3C9F"/>
    <w:rsid w:val="000F5821"/>
    <w:rsid w:val="000F5AE9"/>
    <w:rsid w:val="000F67CB"/>
    <w:rsid w:val="000F71FB"/>
    <w:rsid w:val="000F797A"/>
    <w:rsid w:val="001029CC"/>
    <w:rsid w:val="00104437"/>
    <w:rsid w:val="00105C59"/>
    <w:rsid w:val="001077E2"/>
    <w:rsid w:val="0011158E"/>
    <w:rsid w:val="001148F4"/>
    <w:rsid w:val="00114F6E"/>
    <w:rsid w:val="00115BEC"/>
    <w:rsid w:val="0011660A"/>
    <w:rsid w:val="00117038"/>
    <w:rsid w:val="00120107"/>
    <w:rsid w:val="00124262"/>
    <w:rsid w:val="0012608B"/>
    <w:rsid w:val="001278F4"/>
    <w:rsid w:val="0013109A"/>
    <w:rsid w:val="00132213"/>
    <w:rsid w:val="001333D4"/>
    <w:rsid w:val="00142970"/>
    <w:rsid w:val="001445D3"/>
    <w:rsid w:val="00144617"/>
    <w:rsid w:val="00144C34"/>
    <w:rsid w:val="00147129"/>
    <w:rsid w:val="00151230"/>
    <w:rsid w:val="001516CE"/>
    <w:rsid w:val="00151BA1"/>
    <w:rsid w:val="00151BD6"/>
    <w:rsid w:val="001546CC"/>
    <w:rsid w:val="00155863"/>
    <w:rsid w:val="001561B6"/>
    <w:rsid w:val="0015662E"/>
    <w:rsid w:val="001568ED"/>
    <w:rsid w:val="00156A62"/>
    <w:rsid w:val="00160FA6"/>
    <w:rsid w:val="001618BE"/>
    <w:rsid w:val="001623BB"/>
    <w:rsid w:val="00162FB2"/>
    <w:rsid w:val="00163847"/>
    <w:rsid w:val="001645FE"/>
    <w:rsid w:val="00166016"/>
    <w:rsid w:val="001673C9"/>
    <w:rsid w:val="00170152"/>
    <w:rsid w:val="001716A2"/>
    <w:rsid w:val="00173D43"/>
    <w:rsid w:val="00174C4F"/>
    <w:rsid w:val="00174CCF"/>
    <w:rsid w:val="0017624A"/>
    <w:rsid w:val="001763C5"/>
    <w:rsid w:val="00177CC9"/>
    <w:rsid w:val="00180501"/>
    <w:rsid w:val="0018258F"/>
    <w:rsid w:val="00182B43"/>
    <w:rsid w:val="00183820"/>
    <w:rsid w:val="00184148"/>
    <w:rsid w:val="0018583E"/>
    <w:rsid w:val="001866CB"/>
    <w:rsid w:val="001867D9"/>
    <w:rsid w:val="00190944"/>
    <w:rsid w:val="001918D9"/>
    <w:rsid w:val="00193A78"/>
    <w:rsid w:val="00194EFC"/>
    <w:rsid w:val="0019533C"/>
    <w:rsid w:val="001979EC"/>
    <w:rsid w:val="00197EF7"/>
    <w:rsid w:val="001A31BE"/>
    <w:rsid w:val="001B0BEE"/>
    <w:rsid w:val="001B125B"/>
    <w:rsid w:val="001B1EE5"/>
    <w:rsid w:val="001B6F3C"/>
    <w:rsid w:val="001C06F5"/>
    <w:rsid w:val="001C3039"/>
    <w:rsid w:val="001C41CF"/>
    <w:rsid w:val="001C53FE"/>
    <w:rsid w:val="001C6A04"/>
    <w:rsid w:val="001D2315"/>
    <w:rsid w:val="001D3230"/>
    <w:rsid w:val="001D4272"/>
    <w:rsid w:val="001D4FD6"/>
    <w:rsid w:val="001D5995"/>
    <w:rsid w:val="001D5E34"/>
    <w:rsid w:val="001D5F49"/>
    <w:rsid w:val="001D66B7"/>
    <w:rsid w:val="001D76FC"/>
    <w:rsid w:val="001D7DB7"/>
    <w:rsid w:val="001E3249"/>
    <w:rsid w:val="001E5BA4"/>
    <w:rsid w:val="001E64FC"/>
    <w:rsid w:val="001F4617"/>
    <w:rsid w:val="001F556C"/>
    <w:rsid w:val="001F604A"/>
    <w:rsid w:val="001F6310"/>
    <w:rsid w:val="0020004E"/>
    <w:rsid w:val="00202245"/>
    <w:rsid w:val="00202323"/>
    <w:rsid w:val="00202D15"/>
    <w:rsid w:val="00203920"/>
    <w:rsid w:val="002046B4"/>
    <w:rsid w:val="00204B36"/>
    <w:rsid w:val="00207E12"/>
    <w:rsid w:val="002128DA"/>
    <w:rsid w:val="00212ABB"/>
    <w:rsid w:val="0021602D"/>
    <w:rsid w:val="002174D4"/>
    <w:rsid w:val="0022095B"/>
    <w:rsid w:val="002213A9"/>
    <w:rsid w:val="0022248E"/>
    <w:rsid w:val="002229F1"/>
    <w:rsid w:val="00222E43"/>
    <w:rsid w:val="00222FE6"/>
    <w:rsid w:val="00223BCA"/>
    <w:rsid w:val="002242EF"/>
    <w:rsid w:val="00224525"/>
    <w:rsid w:val="00230C2D"/>
    <w:rsid w:val="0023275A"/>
    <w:rsid w:val="00232D14"/>
    <w:rsid w:val="002342FE"/>
    <w:rsid w:val="0023469D"/>
    <w:rsid w:val="00234BF3"/>
    <w:rsid w:val="00234C0A"/>
    <w:rsid w:val="002358FC"/>
    <w:rsid w:val="00240575"/>
    <w:rsid w:val="002405C7"/>
    <w:rsid w:val="00240B9D"/>
    <w:rsid w:val="00240D5E"/>
    <w:rsid w:val="00241421"/>
    <w:rsid w:val="00242643"/>
    <w:rsid w:val="00242A6A"/>
    <w:rsid w:val="00245EBD"/>
    <w:rsid w:val="00246DA7"/>
    <w:rsid w:val="00247307"/>
    <w:rsid w:val="002504D8"/>
    <w:rsid w:val="00251BDD"/>
    <w:rsid w:val="00251D7B"/>
    <w:rsid w:val="00252B6C"/>
    <w:rsid w:val="0025320A"/>
    <w:rsid w:val="002536C3"/>
    <w:rsid w:val="00255C71"/>
    <w:rsid w:val="002560B7"/>
    <w:rsid w:val="00256240"/>
    <w:rsid w:val="0025625B"/>
    <w:rsid w:val="00260947"/>
    <w:rsid w:val="00260C7D"/>
    <w:rsid w:val="00261C5D"/>
    <w:rsid w:val="00262A61"/>
    <w:rsid w:val="00263262"/>
    <w:rsid w:val="00264616"/>
    <w:rsid w:val="00267512"/>
    <w:rsid w:val="0027011C"/>
    <w:rsid w:val="002724E3"/>
    <w:rsid w:val="00272CC6"/>
    <w:rsid w:val="00273755"/>
    <w:rsid w:val="00274E90"/>
    <w:rsid w:val="002759A1"/>
    <w:rsid w:val="00275EA5"/>
    <w:rsid w:val="002776E3"/>
    <w:rsid w:val="00280288"/>
    <w:rsid w:val="00280F1C"/>
    <w:rsid w:val="00282369"/>
    <w:rsid w:val="0028330C"/>
    <w:rsid w:val="0028377A"/>
    <w:rsid w:val="00283DF6"/>
    <w:rsid w:val="00284832"/>
    <w:rsid w:val="00284939"/>
    <w:rsid w:val="00290E53"/>
    <w:rsid w:val="00292655"/>
    <w:rsid w:val="00292E93"/>
    <w:rsid w:val="00293891"/>
    <w:rsid w:val="00295D92"/>
    <w:rsid w:val="00296EAC"/>
    <w:rsid w:val="0029780B"/>
    <w:rsid w:val="002A014F"/>
    <w:rsid w:val="002A0ED0"/>
    <w:rsid w:val="002A16C7"/>
    <w:rsid w:val="002A209A"/>
    <w:rsid w:val="002A29F7"/>
    <w:rsid w:val="002A39A1"/>
    <w:rsid w:val="002A4446"/>
    <w:rsid w:val="002A4667"/>
    <w:rsid w:val="002A6A7E"/>
    <w:rsid w:val="002A6F3E"/>
    <w:rsid w:val="002A7B18"/>
    <w:rsid w:val="002B1987"/>
    <w:rsid w:val="002B2344"/>
    <w:rsid w:val="002B2B4E"/>
    <w:rsid w:val="002B2F6F"/>
    <w:rsid w:val="002B4BD2"/>
    <w:rsid w:val="002B53E6"/>
    <w:rsid w:val="002B6A8D"/>
    <w:rsid w:val="002B7593"/>
    <w:rsid w:val="002C070A"/>
    <w:rsid w:val="002C0C05"/>
    <w:rsid w:val="002C0F6A"/>
    <w:rsid w:val="002C25F3"/>
    <w:rsid w:val="002C2888"/>
    <w:rsid w:val="002C3240"/>
    <w:rsid w:val="002D213C"/>
    <w:rsid w:val="002D231C"/>
    <w:rsid w:val="002D2F84"/>
    <w:rsid w:val="002D315F"/>
    <w:rsid w:val="002D388E"/>
    <w:rsid w:val="002D38BC"/>
    <w:rsid w:val="002D4DB1"/>
    <w:rsid w:val="002D57DD"/>
    <w:rsid w:val="002D5AC9"/>
    <w:rsid w:val="002E182E"/>
    <w:rsid w:val="002E2710"/>
    <w:rsid w:val="002E66A7"/>
    <w:rsid w:val="002F0C23"/>
    <w:rsid w:val="002F14AD"/>
    <w:rsid w:val="002F20DF"/>
    <w:rsid w:val="002F272A"/>
    <w:rsid w:val="002F27E1"/>
    <w:rsid w:val="002F3E89"/>
    <w:rsid w:val="002F7528"/>
    <w:rsid w:val="002F7B6B"/>
    <w:rsid w:val="00300109"/>
    <w:rsid w:val="00301069"/>
    <w:rsid w:val="0030201B"/>
    <w:rsid w:val="003023F1"/>
    <w:rsid w:val="003025DE"/>
    <w:rsid w:val="00302D86"/>
    <w:rsid w:val="00302E0A"/>
    <w:rsid w:val="00304496"/>
    <w:rsid w:val="00305053"/>
    <w:rsid w:val="00307CB1"/>
    <w:rsid w:val="0031296D"/>
    <w:rsid w:val="00313A00"/>
    <w:rsid w:val="003163E2"/>
    <w:rsid w:val="00316914"/>
    <w:rsid w:val="0031699B"/>
    <w:rsid w:val="003207A1"/>
    <w:rsid w:val="00320FC9"/>
    <w:rsid w:val="00321122"/>
    <w:rsid w:val="003221B2"/>
    <w:rsid w:val="00325360"/>
    <w:rsid w:val="00326F42"/>
    <w:rsid w:val="00330010"/>
    <w:rsid w:val="00331100"/>
    <w:rsid w:val="0033377A"/>
    <w:rsid w:val="00334198"/>
    <w:rsid w:val="003348A6"/>
    <w:rsid w:val="00334992"/>
    <w:rsid w:val="0033568C"/>
    <w:rsid w:val="0033618C"/>
    <w:rsid w:val="003371C8"/>
    <w:rsid w:val="003425BB"/>
    <w:rsid w:val="00342E9F"/>
    <w:rsid w:val="003430D3"/>
    <w:rsid w:val="00343201"/>
    <w:rsid w:val="00344712"/>
    <w:rsid w:val="00344821"/>
    <w:rsid w:val="00345B10"/>
    <w:rsid w:val="00346A83"/>
    <w:rsid w:val="0035094C"/>
    <w:rsid w:val="00350E1E"/>
    <w:rsid w:val="00350F67"/>
    <w:rsid w:val="00352316"/>
    <w:rsid w:val="00353D95"/>
    <w:rsid w:val="003559CA"/>
    <w:rsid w:val="0036073F"/>
    <w:rsid w:val="003622FA"/>
    <w:rsid w:val="00363690"/>
    <w:rsid w:val="003644F5"/>
    <w:rsid w:val="0036612F"/>
    <w:rsid w:val="003675BE"/>
    <w:rsid w:val="0037020A"/>
    <w:rsid w:val="00372574"/>
    <w:rsid w:val="003734E5"/>
    <w:rsid w:val="00373EC3"/>
    <w:rsid w:val="00374F1D"/>
    <w:rsid w:val="003753E0"/>
    <w:rsid w:val="00377125"/>
    <w:rsid w:val="00377233"/>
    <w:rsid w:val="0038129F"/>
    <w:rsid w:val="003831FA"/>
    <w:rsid w:val="00385EB2"/>
    <w:rsid w:val="00386498"/>
    <w:rsid w:val="00386770"/>
    <w:rsid w:val="003868F5"/>
    <w:rsid w:val="00386DD6"/>
    <w:rsid w:val="00390185"/>
    <w:rsid w:val="003903EF"/>
    <w:rsid w:val="0039317A"/>
    <w:rsid w:val="00393DA8"/>
    <w:rsid w:val="003940C8"/>
    <w:rsid w:val="00394C78"/>
    <w:rsid w:val="003950B4"/>
    <w:rsid w:val="003A1B39"/>
    <w:rsid w:val="003A2E36"/>
    <w:rsid w:val="003A308B"/>
    <w:rsid w:val="003A4DB3"/>
    <w:rsid w:val="003A6199"/>
    <w:rsid w:val="003A7285"/>
    <w:rsid w:val="003B042A"/>
    <w:rsid w:val="003B0DAA"/>
    <w:rsid w:val="003B1651"/>
    <w:rsid w:val="003B690D"/>
    <w:rsid w:val="003C03B2"/>
    <w:rsid w:val="003D0316"/>
    <w:rsid w:val="003D0F84"/>
    <w:rsid w:val="003D2178"/>
    <w:rsid w:val="003D520F"/>
    <w:rsid w:val="003E0607"/>
    <w:rsid w:val="003E0711"/>
    <w:rsid w:val="003E0D88"/>
    <w:rsid w:val="003E20A7"/>
    <w:rsid w:val="003E20C6"/>
    <w:rsid w:val="003E33C4"/>
    <w:rsid w:val="003E35EA"/>
    <w:rsid w:val="003E3646"/>
    <w:rsid w:val="003E5640"/>
    <w:rsid w:val="003E5CF0"/>
    <w:rsid w:val="003E6453"/>
    <w:rsid w:val="003E6D90"/>
    <w:rsid w:val="003E7EB7"/>
    <w:rsid w:val="003F0AEA"/>
    <w:rsid w:val="003F2059"/>
    <w:rsid w:val="003F4785"/>
    <w:rsid w:val="003F4905"/>
    <w:rsid w:val="003F4EDE"/>
    <w:rsid w:val="003F52FB"/>
    <w:rsid w:val="003F5D7A"/>
    <w:rsid w:val="003F6259"/>
    <w:rsid w:val="003F7FDA"/>
    <w:rsid w:val="0040192E"/>
    <w:rsid w:val="00401E9F"/>
    <w:rsid w:val="00403AF0"/>
    <w:rsid w:val="00403AF5"/>
    <w:rsid w:val="00410AD0"/>
    <w:rsid w:val="00411829"/>
    <w:rsid w:val="00412D01"/>
    <w:rsid w:val="00414149"/>
    <w:rsid w:val="00415050"/>
    <w:rsid w:val="004150B1"/>
    <w:rsid w:val="004156C3"/>
    <w:rsid w:val="00415849"/>
    <w:rsid w:val="004207A9"/>
    <w:rsid w:val="00422551"/>
    <w:rsid w:val="00423C28"/>
    <w:rsid w:val="004242E2"/>
    <w:rsid w:val="0042539D"/>
    <w:rsid w:val="00425625"/>
    <w:rsid w:val="00425CDF"/>
    <w:rsid w:val="00426B61"/>
    <w:rsid w:val="004270C8"/>
    <w:rsid w:val="004301A7"/>
    <w:rsid w:val="0043098B"/>
    <w:rsid w:val="0043191B"/>
    <w:rsid w:val="00432B15"/>
    <w:rsid w:val="00433300"/>
    <w:rsid w:val="00435405"/>
    <w:rsid w:val="00435657"/>
    <w:rsid w:val="004361F0"/>
    <w:rsid w:val="004361FB"/>
    <w:rsid w:val="00440AD4"/>
    <w:rsid w:val="00441B8C"/>
    <w:rsid w:val="004422CF"/>
    <w:rsid w:val="004423C1"/>
    <w:rsid w:val="00444D4D"/>
    <w:rsid w:val="00444EFC"/>
    <w:rsid w:val="004450FD"/>
    <w:rsid w:val="0044564C"/>
    <w:rsid w:val="00446783"/>
    <w:rsid w:val="004503F1"/>
    <w:rsid w:val="00451607"/>
    <w:rsid w:val="0045221E"/>
    <w:rsid w:val="00454A1E"/>
    <w:rsid w:val="00457083"/>
    <w:rsid w:val="004577F7"/>
    <w:rsid w:val="00457DE7"/>
    <w:rsid w:val="004607B7"/>
    <w:rsid w:val="00461788"/>
    <w:rsid w:val="00462A28"/>
    <w:rsid w:val="004641FB"/>
    <w:rsid w:val="00465F9B"/>
    <w:rsid w:val="0046626A"/>
    <w:rsid w:val="00467349"/>
    <w:rsid w:val="00467FE9"/>
    <w:rsid w:val="00470FD9"/>
    <w:rsid w:val="004713EB"/>
    <w:rsid w:val="004717A2"/>
    <w:rsid w:val="004726C4"/>
    <w:rsid w:val="00473C77"/>
    <w:rsid w:val="004757A4"/>
    <w:rsid w:val="00476903"/>
    <w:rsid w:val="00481C07"/>
    <w:rsid w:val="00482864"/>
    <w:rsid w:val="004838E5"/>
    <w:rsid w:val="00483933"/>
    <w:rsid w:val="00487521"/>
    <w:rsid w:val="00490A57"/>
    <w:rsid w:val="00490A8C"/>
    <w:rsid w:val="00491017"/>
    <w:rsid w:val="00491332"/>
    <w:rsid w:val="004913D6"/>
    <w:rsid w:val="00491973"/>
    <w:rsid w:val="00491CC9"/>
    <w:rsid w:val="00492AF2"/>
    <w:rsid w:val="0049309F"/>
    <w:rsid w:val="0049477E"/>
    <w:rsid w:val="00495DB9"/>
    <w:rsid w:val="00495DEC"/>
    <w:rsid w:val="004A0F97"/>
    <w:rsid w:val="004A1734"/>
    <w:rsid w:val="004A3036"/>
    <w:rsid w:val="004A5282"/>
    <w:rsid w:val="004A7027"/>
    <w:rsid w:val="004B5E18"/>
    <w:rsid w:val="004B607B"/>
    <w:rsid w:val="004B6C91"/>
    <w:rsid w:val="004B75B5"/>
    <w:rsid w:val="004C066E"/>
    <w:rsid w:val="004C2068"/>
    <w:rsid w:val="004C2304"/>
    <w:rsid w:val="004C2DC5"/>
    <w:rsid w:val="004C3F45"/>
    <w:rsid w:val="004C4C21"/>
    <w:rsid w:val="004C6F50"/>
    <w:rsid w:val="004D022D"/>
    <w:rsid w:val="004D1AD9"/>
    <w:rsid w:val="004D20D6"/>
    <w:rsid w:val="004D3025"/>
    <w:rsid w:val="004D32CE"/>
    <w:rsid w:val="004D4B7F"/>
    <w:rsid w:val="004D4C4F"/>
    <w:rsid w:val="004D4D20"/>
    <w:rsid w:val="004D704F"/>
    <w:rsid w:val="004D7A79"/>
    <w:rsid w:val="004E2BAE"/>
    <w:rsid w:val="004E2BC9"/>
    <w:rsid w:val="004E4437"/>
    <w:rsid w:val="004E557C"/>
    <w:rsid w:val="004E620F"/>
    <w:rsid w:val="004E62B1"/>
    <w:rsid w:val="004F0810"/>
    <w:rsid w:val="004F2FD0"/>
    <w:rsid w:val="004F3085"/>
    <w:rsid w:val="004F41D1"/>
    <w:rsid w:val="004F4A72"/>
    <w:rsid w:val="004F5082"/>
    <w:rsid w:val="004F537A"/>
    <w:rsid w:val="004F5FDF"/>
    <w:rsid w:val="005001D5"/>
    <w:rsid w:val="00500308"/>
    <w:rsid w:val="0050086D"/>
    <w:rsid w:val="0050110D"/>
    <w:rsid w:val="0050256A"/>
    <w:rsid w:val="0050585C"/>
    <w:rsid w:val="00505A0D"/>
    <w:rsid w:val="005062DA"/>
    <w:rsid w:val="005064D2"/>
    <w:rsid w:val="0051302F"/>
    <w:rsid w:val="005150A4"/>
    <w:rsid w:val="00517657"/>
    <w:rsid w:val="005179D1"/>
    <w:rsid w:val="00520B32"/>
    <w:rsid w:val="00521C31"/>
    <w:rsid w:val="005230C1"/>
    <w:rsid w:val="00523317"/>
    <w:rsid w:val="00524A57"/>
    <w:rsid w:val="00525797"/>
    <w:rsid w:val="00525AFF"/>
    <w:rsid w:val="0052738A"/>
    <w:rsid w:val="00527DFC"/>
    <w:rsid w:val="00532F37"/>
    <w:rsid w:val="00533FCF"/>
    <w:rsid w:val="00540B55"/>
    <w:rsid w:val="00541271"/>
    <w:rsid w:val="005438F2"/>
    <w:rsid w:val="00545147"/>
    <w:rsid w:val="00546115"/>
    <w:rsid w:val="00546D50"/>
    <w:rsid w:val="00550E41"/>
    <w:rsid w:val="0055177C"/>
    <w:rsid w:val="0055457E"/>
    <w:rsid w:val="0055506E"/>
    <w:rsid w:val="00560A38"/>
    <w:rsid w:val="005614BF"/>
    <w:rsid w:val="0056387B"/>
    <w:rsid w:val="00563A07"/>
    <w:rsid w:val="00563BE6"/>
    <w:rsid w:val="00564AF8"/>
    <w:rsid w:val="00564D96"/>
    <w:rsid w:val="0057099D"/>
    <w:rsid w:val="00570B29"/>
    <w:rsid w:val="00571077"/>
    <w:rsid w:val="00571DE0"/>
    <w:rsid w:val="00572BB0"/>
    <w:rsid w:val="00573AEC"/>
    <w:rsid w:val="00582B84"/>
    <w:rsid w:val="00583384"/>
    <w:rsid w:val="0058428C"/>
    <w:rsid w:val="00585984"/>
    <w:rsid w:val="00585EE3"/>
    <w:rsid w:val="005871C6"/>
    <w:rsid w:val="005902B8"/>
    <w:rsid w:val="00591048"/>
    <w:rsid w:val="00591E97"/>
    <w:rsid w:val="00592148"/>
    <w:rsid w:val="0059252A"/>
    <w:rsid w:val="00593491"/>
    <w:rsid w:val="00593C0B"/>
    <w:rsid w:val="00595990"/>
    <w:rsid w:val="005A0683"/>
    <w:rsid w:val="005A0D70"/>
    <w:rsid w:val="005A1BEA"/>
    <w:rsid w:val="005A26BF"/>
    <w:rsid w:val="005A299C"/>
    <w:rsid w:val="005A3282"/>
    <w:rsid w:val="005A3B07"/>
    <w:rsid w:val="005A3B56"/>
    <w:rsid w:val="005A5419"/>
    <w:rsid w:val="005A6870"/>
    <w:rsid w:val="005A72B5"/>
    <w:rsid w:val="005A7790"/>
    <w:rsid w:val="005A783A"/>
    <w:rsid w:val="005A7E1E"/>
    <w:rsid w:val="005B4563"/>
    <w:rsid w:val="005B4575"/>
    <w:rsid w:val="005B589A"/>
    <w:rsid w:val="005B5A6B"/>
    <w:rsid w:val="005B7132"/>
    <w:rsid w:val="005B7FAE"/>
    <w:rsid w:val="005C011A"/>
    <w:rsid w:val="005C03BE"/>
    <w:rsid w:val="005C0AEA"/>
    <w:rsid w:val="005C12C0"/>
    <w:rsid w:val="005C400B"/>
    <w:rsid w:val="005C52E1"/>
    <w:rsid w:val="005C6520"/>
    <w:rsid w:val="005C6730"/>
    <w:rsid w:val="005D01D6"/>
    <w:rsid w:val="005D1806"/>
    <w:rsid w:val="005D2FBB"/>
    <w:rsid w:val="005D3098"/>
    <w:rsid w:val="005D3A4C"/>
    <w:rsid w:val="005D3E0C"/>
    <w:rsid w:val="005D474B"/>
    <w:rsid w:val="005D491E"/>
    <w:rsid w:val="005D5B82"/>
    <w:rsid w:val="005D6229"/>
    <w:rsid w:val="005D62FD"/>
    <w:rsid w:val="005D63DA"/>
    <w:rsid w:val="005E06ED"/>
    <w:rsid w:val="005E12F5"/>
    <w:rsid w:val="005E240C"/>
    <w:rsid w:val="005E373C"/>
    <w:rsid w:val="005E3C68"/>
    <w:rsid w:val="005E4857"/>
    <w:rsid w:val="005E712C"/>
    <w:rsid w:val="005F131C"/>
    <w:rsid w:val="005F199A"/>
    <w:rsid w:val="005F2029"/>
    <w:rsid w:val="005F3DAA"/>
    <w:rsid w:val="005F504E"/>
    <w:rsid w:val="005F6669"/>
    <w:rsid w:val="005F71C8"/>
    <w:rsid w:val="005F7C3B"/>
    <w:rsid w:val="005F7F0A"/>
    <w:rsid w:val="00602A6C"/>
    <w:rsid w:val="00602AF9"/>
    <w:rsid w:val="0060421E"/>
    <w:rsid w:val="006046B7"/>
    <w:rsid w:val="006053FF"/>
    <w:rsid w:val="00605DE4"/>
    <w:rsid w:val="006063FC"/>
    <w:rsid w:val="006064F3"/>
    <w:rsid w:val="006069BC"/>
    <w:rsid w:val="00606E7F"/>
    <w:rsid w:val="00606EAF"/>
    <w:rsid w:val="00610CA9"/>
    <w:rsid w:val="006127B5"/>
    <w:rsid w:val="00612C3B"/>
    <w:rsid w:val="006149FD"/>
    <w:rsid w:val="00615B67"/>
    <w:rsid w:val="0061682E"/>
    <w:rsid w:val="006179C5"/>
    <w:rsid w:val="00617E69"/>
    <w:rsid w:val="00621DE7"/>
    <w:rsid w:val="00623A1E"/>
    <w:rsid w:val="00626270"/>
    <w:rsid w:val="00627496"/>
    <w:rsid w:val="00632E3A"/>
    <w:rsid w:val="00634F36"/>
    <w:rsid w:val="006360F8"/>
    <w:rsid w:val="00636BF1"/>
    <w:rsid w:val="00637ECF"/>
    <w:rsid w:val="006421F9"/>
    <w:rsid w:val="00642461"/>
    <w:rsid w:val="006452FB"/>
    <w:rsid w:val="00645BDE"/>
    <w:rsid w:val="00646A87"/>
    <w:rsid w:val="00650DCF"/>
    <w:rsid w:val="00652187"/>
    <w:rsid w:val="0065358A"/>
    <w:rsid w:val="00654567"/>
    <w:rsid w:val="00654FEF"/>
    <w:rsid w:val="006561EE"/>
    <w:rsid w:val="00660D86"/>
    <w:rsid w:val="00661625"/>
    <w:rsid w:val="00661B58"/>
    <w:rsid w:val="006624F8"/>
    <w:rsid w:val="00663F9C"/>
    <w:rsid w:val="006644AE"/>
    <w:rsid w:val="00664630"/>
    <w:rsid w:val="00664A8A"/>
    <w:rsid w:val="00664DD7"/>
    <w:rsid w:val="0066593E"/>
    <w:rsid w:val="00670C48"/>
    <w:rsid w:val="0067372D"/>
    <w:rsid w:val="00674102"/>
    <w:rsid w:val="00675DF0"/>
    <w:rsid w:val="00675EBA"/>
    <w:rsid w:val="0068120D"/>
    <w:rsid w:val="00681652"/>
    <w:rsid w:val="00681D36"/>
    <w:rsid w:val="0068288A"/>
    <w:rsid w:val="006840DB"/>
    <w:rsid w:val="00684B26"/>
    <w:rsid w:val="006939F0"/>
    <w:rsid w:val="0069454D"/>
    <w:rsid w:val="00695BB3"/>
    <w:rsid w:val="006972E9"/>
    <w:rsid w:val="00697860"/>
    <w:rsid w:val="006A0BAF"/>
    <w:rsid w:val="006A0C09"/>
    <w:rsid w:val="006A3128"/>
    <w:rsid w:val="006A34E1"/>
    <w:rsid w:val="006A39EC"/>
    <w:rsid w:val="006A5596"/>
    <w:rsid w:val="006A5712"/>
    <w:rsid w:val="006A594F"/>
    <w:rsid w:val="006A62D0"/>
    <w:rsid w:val="006A6342"/>
    <w:rsid w:val="006A6E43"/>
    <w:rsid w:val="006A6ECA"/>
    <w:rsid w:val="006A77E0"/>
    <w:rsid w:val="006B2770"/>
    <w:rsid w:val="006B32E8"/>
    <w:rsid w:val="006B3C69"/>
    <w:rsid w:val="006B5D17"/>
    <w:rsid w:val="006B6F01"/>
    <w:rsid w:val="006B7D71"/>
    <w:rsid w:val="006C1C0C"/>
    <w:rsid w:val="006C1CFD"/>
    <w:rsid w:val="006C2330"/>
    <w:rsid w:val="006C3B63"/>
    <w:rsid w:val="006C43B1"/>
    <w:rsid w:val="006C4528"/>
    <w:rsid w:val="006C7DDB"/>
    <w:rsid w:val="006D0E1C"/>
    <w:rsid w:val="006D2328"/>
    <w:rsid w:val="006D31A3"/>
    <w:rsid w:val="006D33C6"/>
    <w:rsid w:val="006D3AEF"/>
    <w:rsid w:val="006D5D29"/>
    <w:rsid w:val="006D609A"/>
    <w:rsid w:val="006E08B5"/>
    <w:rsid w:val="006E229F"/>
    <w:rsid w:val="006E265C"/>
    <w:rsid w:val="006E30A2"/>
    <w:rsid w:val="006E32E6"/>
    <w:rsid w:val="006E363F"/>
    <w:rsid w:val="006E4FA1"/>
    <w:rsid w:val="006E5B2F"/>
    <w:rsid w:val="006E6112"/>
    <w:rsid w:val="006E6895"/>
    <w:rsid w:val="006E777F"/>
    <w:rsid w:val="006E78C5"/>
    <w:rsid w:val="006E7A7E"/>
    <w:rsid w:val="006F069A"/>
    <w:rsid w:val="006F43D8"/>
    <w:rsid w:val="006F4CCA"/>
    <w:rsid w:val="006F5AF5"/>
    <w:rsid w:val="006F635A"/>
    <w:rsid w:val="00701855"/>
    <w:rsid w:val="00704675"/>
    <w:rsid w:val="007058FB"/>
    <w:rsid w:val="00705D04"/>
    <w:rsid w:val="0070612A"/>
    <w:rsid w:val="00710C3B"/>
    <w:rsid w:val="007113D8"/>
    <w:rsid w:val="007137D2"/>
    <w:rsid w:val="007140F1"/>
    <w:rsid w:val="00714816"/>
    <w:rsid w:val="00715904"/>
    <w:rsid w:val="00717136"/>
    <w:rsid w:val="00720AD5"/>
    <w:rsid w:val="007211F5"/>
    <w:rsid w:val="007236E3"/>
    <w:rsid w:val="0072408F"/>
    <w:rsid w:val="00725C7D"/>
    <w:rsid w:val="007315DA"/>
    <w:rsid w:val="00732FE1"/>
    <w:rsid w:val="007378CE"/>
    <w:rsid w:val="00737CDD"/>
    <w:rsid w:val="00740E82"/>
    <w:rsid w:val="007429E0"/>
    <w:rsid w:val="007432C4"/>
    <w:rsid w:val="00745982"/>
    <w:rsid w:val="0074784E"/>
    <w:rsid w:val="007478F3"/>
    <w:rsid w:val="00752681"/>
    <w:rsid w:val="00752745"/>
    <w:rsid w:val="0075307C"/>
    <w:rsid w:val="0075368E"/>
    <w:rsid w:val="0075527B"/>
    <w:rsid w:val="00755ABF"/>
    <w:rsid w:val="007600F5"/>
    <w:rsid w:val="0076236A"/>
    <w:rsid w:val="00764DA4"/>
    <w:rsid w:val="007679EF"/>
    <w:rsid w:val="00767D66"/>
    <w:rsid w:val="007702E3"/>
    <w:rsid w:val="00770AEB"/>
    <w:rsid w:val="00777F4D"/>
    <w:rsid w:val="0078253D"/>
    <w:rsid w:val="00782888"/>
    <w:rsid w:val="00783EEA"/>
    <w:rsid w:val="0078518A"/>
    <w:rsid w:val="0078669A"/>
    <w:rsid w:val="007866B0"/>
    <w:rsid w:val="00786D03"/>
    <w:rsid w:val="00787FE2"/>
    <w:rsid w:val="00790C9F"/>
    <w:rsid w:val="00793B9B"/>
    <w:rsid w:val="00795012"/>
    <w:rsid w:val="007975A5"/>
    <w:rsid w:val="007A1F4D"/>
    <w:rsid w:val="007A383C"/>
    <w:rsid w:val="007A553A"/>
    <w:rsid w:val="007A6CCD"/>
    <w:rsid w:val="007A6EC1"/>
    <w:rsid w:val="007B119B"/>
    <w:rsid w:val="007B26FE"/>
    <w:rsid w:val="007B31C7"/>
    <w:rsid w:val="007B3C15"/>
    <w:rsid w:val="007B50C6"/>
    <w:rsid w:val="007B5849"/>
    <w:rsid w:val="007B7BEB"/>
    <w:rsid w:val="007C09D7"/>
    <w:rsid w:val="007C46A8"/>
    <w:rsid w:val="007C46EF"/>
    <w:rsid w:val="007C4BB8"/>
    <w:rsid w:val="007C554C"/>
    <w:rsid w:val="007C57B9"/>
    <w:rsid w:val="007C691D"/>
    <w:rsid w:val="007C6F89"/>
    <w:rsid w:val="007C730E"/>
    <w:rsid w:val="007D00B4"/>
    <w:rsid w:val="007D1B33"/>
    <w:rsid w:val="007D32F6"/>
    <w:rsid w:val="007D4A96"/>
    <w:rsid w:val="007D55CF"/>
    <w:rsid w:val="007D5829"/>
    <w:rsid w:val="007E0CEC"/>
    <w:rsid w:val="007E3B12"/>
    <w:rsid w:val="007E53E2"/>
    <w:rsid w:val="007E5E60"/>
    <w:rsid w:val="007E6658"/>
    <w:rsid w:val="007E785B"/>
    <w:rsid w:val="007F1EBE"/>
    <w:rsid w:val="007F3032"/>
    <w:rsid w:val="007F39CE"/>
    <w:rsid w:val="007F79D3"/>
    <w:rsid w:val="00800360"/>
    <w:rsid w:val="00804A57"/>
    <w:rsid w:val="00806C38"/>
    <w:rsid w:val="00806F28"/>
    <w:rsid w:val="00810A2A"/>
    <w:rsid w:val="00814A6A"/>
    <w:rsid w:val="008152B3"/>
    <w:rsid w:val="0081621D"/>
    <w:rsid w:val="00816A63"/>
    <w:rsid w:val="008233BD"/>
    <w:rsid w:val="00823585"/>
    <w:rsid w:val="00823D07"/>
    <w:rsid w:val="00826001"/>
    <w:rsid w:val="0082693B"/>
    <w:rsid w:val="008279F8"/>
    <w:rsid w:val="00827A5E"/>
    <w:rsid w:val="00831410"/>
    <w:rsid w:val="00831C76"/>
    <w:rsid w:val="0083639D"/>
    <w:rsid w:val="00836BF3"/>
    <w:rsid w:val="00836E2E"/>
    <w:rsid w:val="0083791E"/>
    <w:rsid w:val="0084090D"/>
    <w:rsid w:val="0084091E"/>
    <w:rsid w:val="00844643"/>
    <w:rsid w:val="0084481C"/>
    <w:rsid w:val="00845104"/>
    <w:rsid w:val="00845928"/>
    <w:rsid w:val="00846D40"/>
    <w:rsid w:val="008472C8"/>
    <w:rsid w:val="00847385"/>
    <w:rsid w:val="0084792B"/>
    <w:rsid w:val="00847E83"/>
    <w:rsid w:val="00850486"/>
    <w:rsid w:val="00851615"/>
    <w:rsid w:val="00851A0E"/>
    <w:rsid w:val="00851AC2"/>
    <w:rsid w:val="008542FB"/>
    <w:rsid w:val="00854F03"/>
    <w:rsid w:val="008552F6"/>
    <w:rsid w:val="008553A3"/>
    <w:rsid w:val="00855982"/>
    <w:rsid w:val="0085609D"/>
    <w:rsid w:val="008603EC"/>
    <w:rsid w:val="008608B3"/>
    <w:rsid w:val="00861323"/>
    <w:rsid w:val="00867990"/>
    <w:rsid w:val="00867A45"/>
    <w:rsid w:val="008717B8"/>
    <w:rsid w:val="008718BD"/>
    <w:rsid w:val="008721B6"/>
    <w:rsid w:val="0087280A"/>
    <w:rsid w:val="008728CC"/>
    <w:rsid w:val="008729E3"/>
    <w:rsid w:val="00873705"/>
    <w:rsid w:val="00875705"/>
    <w:rsid w:val="00876F0C"/>
    <w:rsid w:val="0087700E"/>
    <w:rsid w:val="008828D7"/>
    <w:rsid w:val="00882CDD"/>
    <w:rsid w:val="00883F7D"/>
    <w:rsid w:val="00884962"/>
    <w:rsid w:val="00884AAD"/>
    <w:rsid w:val="00885932"/>
    <w:rsid w:val="00887ADB"/>
    <w:rsid w:val="00887F36"/>
    <w:rsid w:val="008928DE"/>
    <w:rsid w:val="00892F86"/>
    <w:rsid w:val="00892FC9"/>
    <w:rsid w:val="00893CA8"/>
    <w:rsid w:val="00895321"/>
    <w:rsid w:val="008956B2"/>
    <w:rsid w:val="008A1F83"/>
    <w:rsid w:val="008A2C5F"/>
    <w:rsid w:val="008A692E"/>
    <w:rsid w:val="008B0B2B"/>
    <w:rsid w:val="008B413C"/>
    <w:rsid w:val="008B45E3"/>
    <w:rsid w:val="008B473D"/>
    <w:rsid w:val="008B53D3"/>
    <w:rsid w:val="008B597A"/>
    <w:rsid w:val="008B5CAF"/>
    <w:rsid w:val="008B6567"/>
    <w:rsid w:val="008B777E"/>
    <w:rsid w:val="008C003D"/>
    <w:rsid w:val="008C0611"/>
    <w:rsid w:val="008C0A7A"/>
    <w:rsid w:val="008C23E8"/>
    <w:rsid w:val="008C2702"/>
    <w:rsid w:val="008C310C"/>
    <w:rsid w:val="008C31B7"/>
    <w:rsid w:val="008C48D4"/>
    <w:rsid w:val="008C4DBA"/>
    <w:rsid w:val="008C530E"/>
    <w:rsid w:val="008C5758"/>
    <w:rsid w:val="008C5B4E"/>
    <w:rsid w:val="008C5D6B"/>
    <w:rsid w:val="008C77A4"/>
    <w:rsid w:val="008D064F"/>
    <w:rsid w:val="008D4EAA"/>
    <w:rsid w:val="008D7D38"/>
    <w:rsid w:val="008E102F"/>
    <w:rsid w:val="008E1045"/>
    <w:rsid w:val="008E1365"/>
    <w:rsid w:val="008E1928"/>
    <w:rsid w:val="008E3CCB"/>
    <w:rsid w:val="008E42C2"/>
    <w:rsid w:val="008E4B3D"/>
    <w:rsid w:val="008E5859"/>
    <w:rsid w:val="008E58E2"/>
    <w:rsid w:val="008E66E0"/>
    <w:rsid w:val="008F315B"/>
    <w:rsid w:val="008F5797"/>
    <w:rsid w:val="008F6598"/>
    <w:rsid w:val="009036F6"/>
    <w:rsid w:val="00904AB0"/>
    <w:rsid w:val="009057B0"/>
    <w:rsid w:val="009066A4"/>
    <w:rsid w:val="00912381"/>
    <w:rsid w:val="0091289C"/>
    <w:rsid w:val="009174A3"/>
    <w:rsid w:val="00921953"/>
    <w:rsid w:val="00921A66"/>
    <w:rsid w:val="00922078"/>
    <w:rsid w:val="009224C3"/>
    <w:rsid w:val="00922595"/>
    <w:rsid w:val="00923CB0"/>
    <w:rsid w:val="00924050"/>
    <w:rsid w:val="00927A1D"/>
    <w:rsid w:val="00930901"/>
    <w:rsid w:val="009351A8"/>
    <w:rsid w:val="0093626E"/>
    <w:rsid w:val="009375A8"/>
    <w:rsid w:val="00937782"/>
    <w:rsid w:val="00942C94"/>
    <w:rsid w:val="0095308B"/>
    <w:rsid w:val="00953119"/>
    <w:rsid w:val="0095403E"/>
    <w:rsid w:val="009540FA"/>
    <w:rsid w:val="009552CE"/>
    <w:rsid w:val="0095737E"/>
    <w:rsid w:val="00957653"/>
    <w:rsid w:val="00960119"/>
    <w:rsid w:val="00960C40"/>
    <w:rsid w:val="009617E9"/>
    <w:rsid w:val="00961CA3"/>
    <w:rsid w:val="00962943"/>
    <w:rsid w:val="0096314F"/>
    <w:rsid w:val="009642C1"/>
    <w:rsid w:val="0096562E"/>
    <w:rsid w:val="0096613A"/>
    <w:rsid w:val="009679CB"/>
    <w:rsid w:val="00967D15"/>
    <w:rsid w:val="00967F24"/>
    <w:rsid w:val="009718AB"/>
    <w:rsid w:val="00972D1F"/>
    <w:rsid w:val="0097691F"/>
    <w:rsid w:val="00981CC6"/>
    <w:rsid w:val="00982E1A"/>
    <w:rsid w:val="00984FCD"/>
    <w:rsid w:val="009856EF"/>
    <w:rsid w:val="00987B91"/>
    <w:rsid w:val="0099061D"/>
    <w:rsid w:val="00991DD1"/>
    <w:rsid w:val="0099211A"/>
    <w:rsid w:val="009933DF"/>
    <w:rsid w:val="00994673"/>
    <w:rsid w:val="00996099"/>
    <w:rsid w:val="009974FE"/>
    <w:rsid w:val="00997712"/>
    <w:rsid w:val="00997E6F"/>
    <w:rsid w:val="009A23E6"/>
    <w:rsid w:val="009A5FE4"/>
    <w:rsid w:val="009A6F2C"/>
    <w:rsid w:val="009B14BF"/>
    <w:rsid w:val="009B2574"/>
    <w:rsid w:val="009B364B"/>
    <w:rsid w:val="009B5A7F"/>
    <w:rsid w:val="009B69BC"/>
    <w:rsid w:val="009B71B8"/>
    <w:rsid w:val="009C09D1"/>
    <w:rsid w:val="009C130B"/>
    <w:rsid w:val="009C181F"/>
    <w:rsid w:val="009C1AD0"/>
    <w:rsid w:val="009C4A9E"/>
    <w:rsid w:val="009C5476"/>
    <w:rsid w:val="009D00A2"/>
    <w:rsid w:val="009D0359"/>
    <w:rsid w:val="009D05A8"/>
    <w:rsid w:val="009D2E8A"/>
    <w:rsid w:val="009D3959"/>
    <w:rsid w:val="009D4532"/>
    <w:rsid w:val="009D51B9"/>
    <w:rsid w:val="009D714B"/>
    <w:rsid w:val="009D7917"/>
    <w:rsid w:val="009E3830"/>
    <w:rsid w:val="009E41F8"/>
    <w:rsid w:val="009E4A0E"/>
    <w:rsid w:val="009E57C5"/>
    <w:rsid w:val="009E6702"/>
    <w:rsid w:val="009E7EAB"/>
    <w:rsid w:val="009F1000"/>
    <w:rsid w:val="009F148B"/>
    <w:rsid w:val="009F2F2A"/>
    <w:rsid w:val="009F3997"/>
    <w:rsid w:val="009F5406"/>
    <w:rsid w:val="009F5A03"/>
    <w:rsid w:val="009F7E05"/>
    <w:rsid w:val="00A00AFC"/>
    <w:rsid w:val="00A02A18"/>
    <w:rsid w:val="00A02DED"/>
    <w:rsid w:val="00A03F8D"/>
    <w:rsid w:val="00A06763"/>
    <w:rsid w:val="00A067A9"/>
    <w:rsid w:val="00A06E8A"/>
    <w:rsid w:val="00A11278"/>
    <w:rsid w:val="00A11D1A"/>
    <w:rsid w:val="00A13E0C"/>
    <w:rsid w:val="00A14AD3"/>
    <w:rsid w:val="00A15061"/>
    <w:rsid w:val="00A1541F"/>
    <w:rsid w:val="00A15C4F"/>
    <w:rsid w:val="00A15ECE"/>
    <w:rsid w:val="00A162F3"/>
    <w:rsid w:val="00A1654D"/>
    <w:rsid w:val="00A17234"/>
    <w:rsid w:val="00A17904"/>
    <w:rsid w:val="00A20A12"/>
    <w:rsid w:val="00A21BFE"/>
    <w:rsid w:val="00A21D32"/>
    <w:rsid w:val="00A226EF"/>
    <w:rsid w:val="00A2294C"/>
    <w:rsid w:val="00A24314"/>
    <w:rsid w:val="00A2432C"/>
    <w:rsid w:val="00A2580F"/>
    <w:rsid w:val="00A258EF"/>
    <w:rsid w:val="00A26939"/>
    <w:rsid w:val="00A3059E"/>
    <w:rsid w:val="00A309A3"/>
    <w:rsid w:val="00A33955"/>
    <w:rsid w:val="00A3700D"/>
    <w:rsid w:val="00A4032C"/>
    <w:rsid w:val="00A40944"/>
    <w:rsid w:val="00A411B5"/>
    <w:rsid w:val="00A42BD1"/>
    <w:rsid w:val="00A4388F"/>
    <w:rsid w:val="00A4394E"/>
    <w:rsid w:val="00A43994"/>
    <w:rsid w:val="00A448D8"/>
    <w:rsid w:val="00A46A79"/>
    <w:rsid w:val="00A46CB6"/>
    <w:rsid w:val="00A523F5"/>
    <w:rsid w:val="00A55C27"/>
    <w:rsid w:val="00A60AD1"/>
    <w:rsid w:val="00A60AF4"/>
    <w:rsid w:val="00A63B14"/>
    <w:rsid w:val="00A6531D"/>
    <w:rsid w:val="00A655F8"/>
    <w:rsid w:val="00A66699"/>
    <w:rsid w:val="00A66981"/>
    <w:rsid w:val="00A66EDD"/>
    <w:rsid w:val="00A67574"/>
    <w:rsid w:val="00A7067B"/>
    <w:rsid w:val="00A7067D"/>
    <w:rsid w:val="00A72F7D"/>
    <w:rsid w:val="00A74748"/>
    <w:rsid w:val="00A8114A"/>
    <w:rsid w:val="00A81CE6"/>
    <w:rsid w:val="00A81DC7"/>
    <w:rsid w:val="00A840FB"/>
    <w:rsid w:val="00A85B27"/>
    <w:rsid w:val="00A865B1"/>
    <w:rsid w:val="00A873CE"/>
    <w:rsid w:val="00A911F2"/>
    <w:rsid w:val="00A9125C"/>
    <w:rsid w:val="00A91AA4"/>
    <w:rsid w:val="00A92703"/>
    <w:rsid w:val="00A92B95"/>
    <w:rsid w:val="00A943BD"/>
    <w:rsid w:val="00A9453B"/>
    <w:rsid w:val="00A96531"/>
    <w:rsid w:val="00A96629"/>
    <w:rsid w:val="00AA2D0C"/>
    <w:rsid w:val="00AA437F"/>
    <w:rsid w:val="00AA49B5"/>
    <w:rsid w:val="00AA5EC1"/>
    <w:rsid w:val="00AA74B0"/>
    <w:rsid w:val="00AB107D"/>
    <w:rsid w:val="00AB1A43"/>
    <w:rsid w:val="00AB307F"/>
    <w:rsid w:val="00AB4656"/>
    <w:rsid w:val="00AB58B1"/>
    <w:rsid w:val="00AB65EC"/>
    <w:rsid w:val="00AC0960"/>
    <w:rsid w:val="00AC0DED"/>
    <w:rsid w:val="00AC1738"/>
    <w:rsid w:val="00AC1AAE"/>
    <w:rsid w:val="00AC3BF9"/>
    <w:rsid w:val="00AC41A4"/>
    <w:rsid w:val="00AC4958"/>
    <w:rsid w:val="00AC4A7E"/>
    <w:rsid w:val="00AC5C57"/>
    <w:rsid w:val="00AC5D25"/>
    <w:rsid w:val="00AC6ACC"/>
    <w:rsid w:val="00AC796A"/>
    <w:rsid w:val="00AD07D4"/>
    <w:rsid w:val="00AD503B"/>
    <w:rsid w:val="00AD5B78"/>
    <w:rsid w:val="00AD6B57"/>
    <w:rsid w:val="00AD7DBE"/>
    <w:rsid w:val="00AE0093"/>
    <w:rsid w:val="00AE17BE"/>
    <w:rsid w:val="00AE1D9B"/>
    <w:rsid w:val="00AE1FE7"/>
    <w:rsid w:val="00AE21A2"/>
    <w:rsid w:val="00AE2A1C"/>
    <w:rsid w:val="00AE2EE6"/>
    <w:rsid w:val="00AE3023"/>
    <w:rsid w:val="00AE47B2"/>
    <w:rsid w:val="00AE71AA"/>
    <w:rsid w:val="00AF03F7"/>
    <w:rsid w:val="00AF1669"/>
    <w:rsid w:val="00AF278F"/>
    <w:rsid w:val="00AF5DA1"/>
    <w:rsid w:val="00AF739D"/>
    <w:rsid w:val="00AF7650"/>
    <w:rsid w:val="00AF7F7D"/>
    <w:rsid w:val="00B02C7E"/>
    <w:rsid w:val="00B12B5E"/>
    <w:rsid w:val="00B13C85"/>
    <w:rsid w:val="00B14802"/>
    <w:rsid w:val="00B1623E"/>
    <w:rsid w:val="00B22351"/>
    <w:rsid w:val="00B229C9"/>
    <w:rsid w:val="00B25AE9"/>
    <w:rsid w:val="00B27AE6"/>
    <w:rsid w:val="00B309AF"/>
    <w:rsid w:val="00B31638"/>
    <w:rsid w:val="00B360F4"/>
    <w:rsid w:val="00B37890"/>
    <w:rsid w:val="00B44AE2"/>
    <w:rsid w:val="00B4503C"/>
    <w:rsid w:val="00B5106F"/>
    <w:rsid w:val="00B51099"/>
    <w:rsid w:val="00B53B98"/>
    <w:rsid w:val="00B549E2"/>
    <w:rsid w:val="00B557A8"/>
    <w:rsid w:val="00B55C2D"/>
    <w:rsid w:val="00B5674E"/>
    <w:rsid w:val="00B5787F"/>
    <w:rsid w:val="00B6026C"/>
    <w:rsid w:val="00B619AA"/>
    <w:rsid w:val="00B62320"/>
    <w:rsid w:val="00B646C6"/>
    <w:rsid w:val="00B64763"/>
    <w:rsid w:val="00B6484C"/>
    <w:rsid w:val="00B64FCA"/>
    <w:rsid w:val="00B65855"/>
    <w:rsid w:val="00B671A8"/>
    <w:rsid w:val="00B73FC2"/>
    <w:rsid w:val="00B7413F"/>
    <w:rsid w:val="00B7598A"/>
    <w:rsid w:val="00B7623C"/>
    <w:rsid w:val="00B76AC1"/>
    <w:rsid w:val="00B8053B"/>
    <w:rsid w:val="00B80981"/>
    <w:rsid w:val="00B81961"/>
    <w:rsid w:val="00B81EB5"/>
    <w:rsid w:val="00B81EB9"/>
    <w:rsid w:val="00B8288D"/>
    <w:rsid w:val="00B8339A"/>
    <w:rsid w:val="00B83FC0"/>
    <w:rsid w:val="00B86D7D"/>
    <w:rsid w:val="00B86DE2"/>
    <w:rsid w:val="00B87814"/>
    <w:rsid w:val="00B9019C"/>
    <w:rsid w:val="00B905FF"/>
    <w:rsid w:val="00B90907"/>
    <w:rsid w:val="00B91FE8"/>
    <w:rsid w:val="00B92546"/>
    <w:rsid w:val="00B93DC2"/>
    <w:rsid w:val="00B9522A"/>
    <w:rsid w:val="00B96646"/>
    <w:rsid w:val="00B974CA"/>
    <w:rsid w:val="00B97ABC"/>
    <w:rsid w:val="00B97C4C"/>
    <w:rsid w:val="00BA0FDF"/>
    <w:rsid w:val="00BA10DA"/>
    <w:rsid w:val="00BA1163"/>
    <w:rsid w:val="00BA1783"/>
    <w:rsid w:val="00BA1B3B"/>
    <w:rsid w:val="00BA24E2"/>
    <w:rsid w:val="00BA27A7"/>
    <w:rsid w:val="00BA504E"/>
    <w:rsid w:val="00BA51D3"/>
    <w:rsid w:val="00BA5652"/>
    <w:rsid w:val="00BB03DF"/>
    <w:rsid w:val="00BB1565"/>
    <w:rsid w:val="00BB1E69"/>
    <w:rsid w:val="00BB46C3"/>
    <w:rsid w:val="00BB7A08"/>
    <w:rsid w:val="00BC1002"/>
    <w:rsid w:val="00BC2C22"/>
    <w:rsid w:val="00BC2C4C"/>
    <w:rsid w:val="00BC36BE"/>
    <w:rsid w:val="00BC4213"/>
    <w:rsid w:val="00BD0459"/>
    <w:rsid w:val="00BD056E"/>
    <w:rsid w:val="00BD4CA9"/>
    <w:rsid w:val="00BD5BF9"/>
    <w:rsid w:val="00BD7362"/>
    <w:rsid w:val="00BE0D1A"/>
    <w:rsid w:val="00BE325C"/>
    <w:rsid w:val="00BE34EA"/>
    <w:rsid w:val="00BE37C3"/>
    <w:rsid w:val="00BE4D37"/>
    <w:rsid w:val="00BE5020"/>
    <w:rsid w:val="00BF0264"/>
    <w:rsid w:val="00BF24F4"/>
    <w:rsid w:val="00BF4497"/>
    <w:rsid w:val="00BF690E"/>
    <w:rsid w:val="00BF7C2A"/>
    <w:rsid w:val="00BF7F81"/>
    <w:rsid w:val="00C0084C"/>
    <w:rsid w:val="00C0098D"/>
    <w:rsid w:val="00C01A22"/>
    <w:rsid w:val="00C04149"/>
    <w:rsid w:val="00C046D7"/>
    <w:rsid w:val="00C04C93"/>
    <w:rsid w:val="00C0693D"/>
    <w:rsid w:val="00C0766E"/>
    <w:rsid w:val="00C10132"/>
    <w:rsid w:val="00C14B96"/>
    <w:rsid w:val="00C14BC9"/>
    <w:rsid w:val="00C16B91"/>
    <w:rsid w:val="00C21855"/>
    <w:rsid w:val="00C2396F"/>
    <w:rsid w:val="00C23ACE"/>
    <w:rsid w:val="00C26C8E"/>
    <w:rsid w:val="00C3119D"/>
    <w:rsid w:val="00C32A14"/>
    <w:rsid w:val="00C341A2"/>
    <w:rsid w:val="00C3462B"/>
    <w:rsid w:val="00C3713B"/>
    <w:rsid w:val="00C40419"/>
    <w:rsid w:val="00C40D1B"/>
    <w:rsid w:val="00C4224F"/>
    <w:rsid w:val="00C42C1E"/>
    <w:rsid w:val="00C4367B"/>
    <w:rsid w:val="00C44371"/>
    <w:rsid w:val="00C464AB"/>
    <w:rsid w:val="00C507CC"/>
    <w:rsid w:val="00C512DA"/>
    <w:rsid w:val="00C516D3"/>
    <w:rsid w:val="00C553B3"/>
    <w:rsid w:val="00C55BED"/>
    <w:rsid w:val="00C55D24"/>
    <w:rsid w:val="00C5684C"/>
    <w:rsid w:val="00C5770E"/>
    <w:rsid w:val="00C5785D"/>
    <w:rsid w:val="00C57A5C"/>
    <w:rsid w:val="00C60895"/>
    <w:rsid w:val="00C61767"/>
    <w:rsid w:val="00C640C5"/>
    <w:rsid w:val="00C641EF"/>
    <w:rsid w:val="00C65748"/>
    <w:rsid w:val="00C66A10"/>
    <w:rsid w:val="00C706F7"/>
    <w:rsid w:val="00C70903"/>
    <w:rsid w:val="00C709FB"/>
    <w:rsid w:val="00C70D1E"/>
    <w:rsid w:val="00C70EB9"/>
    <w:rsid w:val="00C719B3"/>
    <w:rsid w:val="00C71C27"/>
    <w:rsid w:val="00C71EF0"/>
    <w:rsid w:val="00C72252"/>
    <w:rsid w:val="00C73237"/>
    <w:rsid w:val="00C733A7"/>
    <w:rsid w:val="00C742A6"/>
    <w:rsid w:val="00C75F96"/>
    <w:rsid w:val="00C803E0"/>
    <w:rsid w:val="00C807DF"/>
    <w:rsid w:val="00C80A53"/>
    <w:rsid w:val="00C81A61"/>
    <w:rsid w:val="00C827EC"/>
    <w:rsid w:val="00C84575"/>
    <w:rsid w:val="00C8558A"/>
    <w:rsid w:val="00C865AE"/>
    <w:rsid w:val="00C86662"/>
    <w:rsid w:val="00C86D5A"/>
    <w:rsid w:val="00C90696"/>
    <w:rsid w:val="00C91E42"/>
    <w:rsid w:val="00C9548F"/>
    <w:rsid w:val="00C9552F"/>
    <w:rsid w:val="00C96052"/>
    <w:rsid w:val="00C96945"/>
    <w:rsid w:val="00C979D9"/>
    <w:rsid w:val="00C97C33"/>
    <w:rsid w:val="00CA1B8B"/>
    <w:rsid w:val="00CA22B9"/>
    <w:rsid w:val="00CA4156"/>
    <w:rsid w:val="00CA4469"/>
    <w:rsid w:val="00CA44A1"/>
    <w:rsid w:val="00CA44F5"/>
    <w:rsid w:val="00CA4CBB"/>
    <w:rsid w:val="00CA4DA5"/>
    <w:rsid w:val="00CA65A8"/>
    <w:rsid w:val="00CB16FE"/>
    <w:rsid w:val="00CB1715"/>
    <w:rsid w:val="00CB36B3"/>
    <w:rsid w:val="00CB5CD4"/>
    <w:rsid w:val="00CB6210"/>
    <w:rsid w:val="00CC066B"/>
    <w:rsid w:val="00CC123C"/>
    <w:rsid w:val="00CC3FFD"/>
    <w:rsid w:val="00CC446F"/>
    <w:rsid w:val="00CC5537"/>
    <w:rsid w:val="00CC6C70"/>
    <w:rsid w:val="00CD083D"/>
    <w:rsid w:val="00CD0DE1"/>
    <w:rsid w:val="00CD1B7F"/>
    <w:rsid w:val="00CD2450"/>
    <w:rsid w:val="00CD2F39"/>
    <w:rsid w:val="00CD311B"/>
    <w:rsid w:val="00CD3881"/>
    <w:rsid w:val="00CD3B66"/>
    <w:rsid w:val="00CD70FB"/>
    <w:rsid w:val="00CD72DB"/>
    <w:rsid w:val="00CD7591"/>
    <w:rsid w:val="00CE00B0"/>
    <w:rsid w:val="00CE22DC"/>
    <w:rsid w:val="00CE262F"/>
    <w:rsid w:val="00CE2636"/>
    <w:rsid w:val="00CE2D5C"/>
    <w:rsid w:val="00CE3717"/>
    <w:rsid w:val="00CE3E05"/>
    <w:rsid w:val="00CE4055"/>
    <w:rsid w:val="00CE4795"/>
    <w:rsid w:val="00CE4F5B"/>
    <w:rsid w:val="00CE77DE"/>
    <w:rsid w:val="00CE780F"/>
    <w:rsid w:val="00CF3009"/>
    <w:rsid w:val="00CF3D2C"/>
    <w:rsid w:val="00CF466A"/>
    <w:rsid w:val="00CF70DB"/>
    <w:rsid w:val="00D01930"/>
    <w:rsid w:val="00D020CF"/>
    <w:rsid w:val="00D0271C"/>
    <w:rsid w:val="00D0336C"/>
    <w:rsid w:val="00D05A60"/>
    <w:rsid w:val="00D12976"/>
    <w:rsid w:val="00D13B84"/>
    <w:rsid w:val="00D13C94"/>
    <w:rsid w:val="00D150E3"/>
    <w:rsid w:val="00D179AE"/>
    <w:rsid w:val="00D204CF"/>
    <w:rsid w:val="00D21FF2"/>
    <w:rsid w:val="00D2249D"/>
    <w:rsid w:val="00D2447A"/>
    <w:rsid w:val="00D24770"/>
    <w:rsid w:val="00D24F62"/>
    <w:rsid w:val="00D26D2B"/>
    <w:rsid w:val="00D27F1A"/>
    <w:rsid w:val="00D30E74"/>
    <w:rsid w:val="00D33503"/>
    <w:rsid w:val="00D34A35"/>
    <w:rsid w:val="00D37B3B"/>
    <w:rsid w:val="00D37C8A"/>
    <w:rsid w:val="00D40097"/>
    <w:rsid w:val="00D41CCA"/>
    <w:rsid w:val="00D42A6F"/>
    <w:rsid w:val="00D42E82"/>
    <w:rsid w:val="00D43D2E"/>
    <w:rsid w:val="00D45040"/>
    <w:rsid w:val="00D45176"/>
    <w:rsid w:val="00D45979"/>
    <w:rsid w:val="00D46D2D"/>
    <w:rsid w:val="00D478B1"/>
    <w:rsid w:val="00D47F31"/>
    <w:rsid w:val="00D50301"/>
    <w:rsid w:val="00D52DDC"/>
    <w:rsid w:val="00D539D7"/>
    <w:rsid w:val="00D55A54"/>
    <w:rsid w:val="00D575D3"/>
    <w:rsid w:val="00D6006A"/>
    <w:rsid w:val="00D6096E"/>
    <w:rsid w:val="00D61FDD"/>
    <w:rsid w:val="00D63405"/>
    <w:rsid w:val="00D66F4C"/>
    <w:rsid w:val="00D673C2"/>
    <w:rsid w:val="00D71C1D"/>
    <w:rsid w:val="00D71CB5"/>
    <w:rsid w:val="00D73144"/>
    <w:rsid w:val="00D73322"/>
    <w:rsid w:val="00D73584"/>
    <w:rsid w:val="00D73FAE"/>
    <w:rsid w:val="00D74628"/>
    <w:rsid w:val="00D74678"/>
    <w:rsid w:val="00D74981"/>
    <w:rsid w:val="00D74BE5"/>
    <w:rsid w:val="00D76799"/>
    <w:rsid w:val="00D77358"/>
    <w:rsid w:val="00D776F0"/>
    <w:rsid w:val="00D77CC0"/>
    <w:rsid w:val="00D838DB"/>
    <w:rsid w:val="00D83EC4"/>
    <w:rsid w:val="00D85E53"/>
    <w:rsid w:val="00D85F47"/>
    <w:rsid w:val="00D86156"/>
    <w:rsid w:val="00D8623A"/>
    <w:rsid w:val="00D86297"/>
    <w:rsid w:val="00D863BA"/>
    <w:rsid w:val="00D866AD"/>
    <w:rsid w:val="00D86802"/>
    <w:rsid w:val="00D87F48"/>
    <w:rsid w:val="00D90FB6"/>
    <w:rsid w:val="00D921D7"/>
    <w:rsid w:val="00D9240E"/>
    <w:rsid w:val="00D931DA"/>
    <w:rsid w:val="00D948CC"/>
    <w:rsid w:val="00D95458"/>
    <w:rsid w:val="00D95610"/>
    <w:rsid w:val="00D97A42"/>
    <w:rsid w:val="00D97B1B"/>
    <w:rsid w:val="00D97CB7"/>
    <w:rsid w:val="00DA1922"/>
    <w:rsid w:val="00DA2102"/>
    <w:rsid w:val="00DA4C8F"/>
    <w:rsid w:val="00DA5EA8"/>
    <w:rsid w:val="00DB09DA"/>
    <w:rsid w:val="00DB14C0"/>
    <w:rsid w:val="00DB49AC"/>
    <w:rsid w:val="00DB7409"/>
    <w:rsid w:val="00DB7BF8"/>
    <w:rsid w:val="00DC0405"/>
    <w:rsid w:val="00DC1DCC"/>
    <w:rsid w:val="00DC247E"/>
    <w:rsid w:val="00DC2A27"/>
    <w:rsid w:val="00DC3971"/>
    <w:rsid w:val="00DC4300"/>
    <w:rsid w:val="00DC45F4"/>
    <w:rsid w:val="00DC62AD"/>
    <w:rsid w:val="00DC7A19"/>
    <w:rsid w:val="00DD04A4"/>
    <w:rsid w:val="00DD2936"/>
    <w:rsid w:val="00DD30E4"/>
    <w:rsid w:val="00DD40F4"/>
    <w:rsid w:val="00DD46F2"/>
    <w:rsid w:val="00DD4C2C"/>
    <w:rsid w:val="00DD57D9"/>
    <w:rsid w:val="00DD6C54"/>
    <w:rsid w:val="00DD6DA8"/>
    <w:rsid w:val="00DD762A"/>
    <w:rsid w:val="00DD76B0"/>
    <w:rsid w:val="00DE0546"/>
    <w:rsid w:val="00DE0EF2"/>
    <w:rsid w:val="00DE1880"/>
    <w:rsid w:val="00DE21C8"/>
    <w:rsid w:val="00DE28E3"/>
    <w:rsid w:val="00DE57C2"/>
    <w:rsid w:val="00DE586D"/>
    <w:rsid w:val="00DE61F3"/>
    <w:rsid w:val="00DE65B2"/>
    <w:rsid w:val="00DE797F"/>
    <w:rsid w:val="00DF7C63"/>
    <w:rsid w:val="00DF7DAA"/>
    <w:rsid w:val="00E00D6F"/>
    <w:rsid w:val="00E00E75"/>
    <w:rsid w:val="00E032A6"/>
    <w:rsid w:val="00E047DD"/>
    <w:rsid w:val="00E05D5A"/>
    <w:rsid w:val="00E063A9"/>
    <w:rsid w:val="00E066ED"/>
    <w:rsid w:val="00E0739E"/>
    <w:rsid w:val="00E0770F"/>
    <w:rsid w:val="00E11AB2"/>
    <w:rsid w:val="00E12554"/>
    <w:rsid w:val="00E1497E"/>
    <w:rsid w:val="00E16146"/>
    <w:rsid w:val="00E1660C"/>
    <w:rsid w:val="00E16B8C"/>
    <w:rsid w:val="00E22C27"/>
    <w:rsid w:val="00E22EE0"/>
    <w:rsid w:val="00E23C50"/>
    <w:rsid w:val="00E23DC9"/>
    <w:rsid w:val="00E260EA"/>
    <w:rsid w:val="00E26A14"/>
    <w:rsid w:val="00E27F5C"/>
    <w:rsid w:val="00E30264"/>
    <w:rsid w:val="00E30F2C"/>
    <w:rsid w:val="00E31678"/>
    <w:rsid w:val="00E319B2"/>
    <w:rsid w:val="00E320CC"/>
    <w:rsid w:val="00E325B1"/>
    <w:rsid w:val="00E353AD"/>
    <w:rsid w:val="00E36CD2"/>
    <w:rsid w:val="00E401E4"/>
    <w:rsid w:val="00E40F6D"/>
    <w:rsid w:val="00E40FB5"/>
    <w:rsid w:val="00E42C91"/>
    <w:rsid w:val="00E43A0C"/>
    <w:rsid w:val="00E4426E"/>
    <w:rsid w:val="00E45D1E"/>
    <w:rsid w:val="00E5089B"/>
    <w:rsid w:val="00E52399"/>
    <w:rsid w:val="00E523D0"/>
    <w:rsid w:val="00E52DAC"/>
    <w:rsid w:val="00E54F56"/>
    <w:rsid w:val="00E5579C"/>
    <w:rsid w:val="00E55C2C"/>
    <w:rsid w:val="00E56106"/>
    <w:rsid w:val="00E56BC5"/>
    <w:rsid w:val="00E57CF0"/>
    <w:rsid w:val="00E6166B"/>
    <w:rsid w:val="00E62ADE"/>
    <w:rsid w:val="00E64A08"/>
    <w:rsid w:val="00E657BB"/>
    <w:rsid w:val="00E66400"/>
    <w:rsid w:val="00E7053D"/>
    <w:rsid w:val="00E71816"/>
    <w:rsid w:val="00E72B07"/>
    <w:rsid w:val="00E73AB5"/>
    <w:rsid w:val="00E764CC"/>
    <w:rsid w:val="00E7666F"/>
    <w:rsid w:val="00E766D8"/>
    <w:rsid w:val="00E766F8"/>
    <w:rsid w:val="00E76F6B"/>
    <w:rsid w:val="00E8130D"/>
    <w:rsid w:val="00E83C38"/>
    <w:rsid w:val="00E856E6"/>
    <w:rsid w:val="00E85AF4"/>
    <w:rsid w:val="00E8666B"/>
    <w:rsid w:val="00E86DD4"/>
    <w:rsid w:val="00E8723E"/>
    <w:rsid w:val="00E87632"/>
    <w:rsid w:val="00E90FDF"/>
    <w:rsid w:val="00E9179F"/>
    <w:rsid w:val="00E936AA"/>
    <w:rsid w:val="00E94D86"/>
    <w:rsid w:val="00E94E84"/>
    <w:rsid w:val="00E969C5"/>
    <w:rsid w:val="00E9783D"/>
    <w:rsid w:val="00EA09EA"/>
    <w:rsid w:val="00EA0BC3"/>
    <w:rsid w:val="00EA319B"/>
    <w:rsid w:val="00EA3306"/>
    <w:rsid w:val="00EA3CD2"/>
    <w:rsid w:val="00EA4442"/>
    <w:rsid w:val="00EB133D"/>
    <w:rsid w:val="00EB65F2"/>
    <w:rsid w:val="00EB6B25"/>
    <w:rsid w:val="00EC1341"/>
    <w:rsid w:val="00EC1D76"/>
    <w:rsid w:val="00EC1F5A"/>
    <w:rsid w:val="00EC3156"/>
    <w:rsid w:val="00EC5298"/>
    <w:rsid w:val="00EC601A"/>
    <w:rsid w:val="00EC60D2"/>
    <w:rsid w:val="00EC611E"/>
    <w:rsid w:val="00EC6296"/>
    <w:rsid w:val="00EC77EF"/>
    <w:rsid w:val="00ED0443"/>
    <w:rsid w:val="00ED0FD7"/>
    <w:rsid w:val="00ED2BE3"/>
    <w:rsid w:val="00ED40E4"/>
    <w:rsid w:val="00ED4560"/>
    <w:rsid w:val="00ED498F"/>
    <w:rsid w:val="00ED5AF4"/>
    <w:rsid w:val="00ED61EB"/>
    <w:rsid w:val="00ED772F"/>
    <w:rsid w:val="00EE10B5"/>
    <w:rsid w:val="00EE1B07"/>
    <w:rsid w:val="00EE2CCB"/>
    <w:rsid w:val="00EE2CD4"/>
    <w:rsid w:val="00EE48B8"/>
    <w:rsid w:val="00EE5C7F"/>
    <w:rsid w:val="00EE635B"/>
    <w:rsid w:val="00EE6B2D"/>
    <w:rsid w:val="00EE710F"/>
    <w:rsid w:val="00EF0601"/>
    <w:rsid w:val="00EF1C1F"/>
    <w:rsid w:val="00EF3139"/>
    <w:rsid w:val="00EF3150"/>
    <w:rsid w:val="00EF36B7"/>
    <w:rsid w:val="00EF5D0F"/>
    <w:rsid w:val="00EF626F"/>
    <w:rsid w:val="00EF70F6"/>
    <w:rsid w:val="00EF74EB"/>
    <w:rsid w:val="00F00A3C"/>
    <w:rsid w:val="00F00FBF"/>
    <w:rsid w:val="00F014AF"/>
    <w:rsid w:val="00F016A1"/>
    <w:rsid w:val="00F04A43"/>
    <w:rsid w:val="00F05332"/>
    <w:rsid w:val="00F05A66"/>
    <w:rsid w:val="00F06CF2"/>
    <w:rsid w:val="00F109D9"/>
    <w:rsid w:val="00F11F03"/>
    <w:rsid w:val="00F13521"/>
    <w:rsid w:val="00F13EAC"/>
    <w:rsid w:val="00F14936"/>
    <w:rsid w:val="00F2011F"/>
    <w:rsid w:val="00F20295"/>
    <w:rsid w:val="00F20B64"/>
    <w:rsid w:val="00F21EA9"/>
    <w:rsid w:val="00F2235F"/>
    <w:rsid w:val="00F2386D"/>
    <w:rsid w:val="00F24214"/>
    <w:rsid w:val="00F244A7"/>
    <w:rsid w:val="00F2499A"/>
    <w:rsid w:val="00F24A01"/>
    <w:rsid w:val="00F2506C"/>
    <w:rsid w:val="00F26D26"/>
    <w:rsid w:val="00F2720A"/>
    <w:rsid w:val="00F3011C"/>
    <w:rsid w:val="00F30B22"/>
    <w:rsid w:val="00F31A49"/>
    <w:rsid w:val="00F3211F"/>
    <w:rsid w:val="00F33AB4"/>
    <w:rsid w:val="00F3408A"/>
    <w:rsid w:val="00F3481C"/>
    <w:rsid w:val="00F366A0"/>
    <w:rsid w:val="00F36F45"/>
    <w:rsid w:val="00F40494"/>
    <w:rsid w:val="00F40E31"/>
    <w:rsid w:val="00F46133"/>
    <w:rsid w:val="00F4638D"/>
    <w:rsid w:val="00F46569"/>
    <w:rsid w:val="00F471FB"/>
    <w:rsid w:val="00F47BC8"/>
    <w:rsid w:val="00F522DA"/>
    <w:rsid w:val="00F54230"/>
    <w:rsid w:val="00F54CD2"/>
    <w:rsid w:val="00F5644D"/>
    <w:rsid w:val="00F60FE9"/>
    <w:rsid w:val="00F61640"/>
    <w:rsid w:val="00F63C88"/>
    <w:rsid w:val="00F64143"/>
    <w:rsid w:val="00F64525"/>
    <w:rsid w:val="00F65F96"/>
    <w:rsid w:val="00F6651F"/>
    <w:rsid w:val="00F66832"/>
    <w:rsid w:val="00F66E7E"/>
    <w:rsid w:val="00F70200"/>
    <w:rsid w:val="00F705B6"/>
    <w:rsid w:val="00F711D3"/>
    <w:rsid w:val="00F72EE0"/>
    <w:rsid w:val="00F7321E"/>
    <w:rsid w:val="00F74E22"/>
    <w:rsid w:val="00F75145"/>
    <w:rsid w:val="00F76C1C"/>
    <w:rsid w:val="00F76D0E"/>
    <w:rsid w:val="00F829E0"/>
    <w:rsid w:val="00F83841"/>
    <w:rsid w:val="00F8437A"/>
    <w:rsid w:val="00F84A90"/>
    <w:rsid w:val="00F8641E"/>
    <w:rsid w:val="00F86603"/>
    <w:rsid w:val="00F86832"/>
    <w:rsid w:val="00F92BCC"/>
    <w:rsid w:val="00F932F6"/>
    <w:rsid w:val="00F94728"/>
    <w:rsid w:val="00F947F1"/>
    <w:rsid w:val="00F96923"/>
    <w:rsid w:val="00F97D99"/>
    <w:rsid w:val="00FA1C3D"/>
    <w:rsid w:val="00FA4402"/>
    <w:rsid w:val="00FB115A"/>
    <w:rsid w:val="00FB129C"/>
    <w:rsid w:val="00FB2B95"/>
    <w:rsid w:val="00FB30D5"/>
    <w:rsid w:val="00FB354C"/>
    <w:rsid w:val="00FB406A"/>
    <w:rsid w:val="00FB40DB"/>
    <w:rsid w:val="00FB718A"/>
    <w:rsid w:val="00FB78F2"/>
    <w:rsid w:val="00FC1971"/>
    <w:rsid w:val="00FC1FDB"/>
    <w:rsid w:val="00FC3D7C"/>
    <w:rsid w:val="00FC747D"/>
    <w:rsid w:val="00FC7833"/>
    <w:rsid w:val="00FD0EBD"/>
    <w:rsid w:val="00FD3110"/>
    <w:rsid w:val="00FD3815"/>
    <w:rsid w:val="00FD6AB2"/>
    <w:rsid w:val="00FE0022"/>
    <w:rsid w:val="00FE19CD"/>
    <w:rsid w:val="00FE266B"/>
    <w:rsid w:val="00FE2C6A"/>
    <w:rsid w:val="00FE39B7"/>
    <w:rsid w:val="00FE7045"/>
    <w:rsid w:val="00FE7E28"/>
    <w:rsid w:val="00FF0CB5"/>
    <w:rsid w:val="00FF0D2D"/>
    <w:rsid w:val="00FF1C71"/>
    <w:rsid w:val="00FF4F82"/>
    <w:rsid w:val="00FF58E1"/>
    <w:rsid w:val="037C1C4A"/>
    <w:rsid w:val="0414E055"/>
    <w:rsid w:val="05185520"/>
    <w:rsid w:val="06292237"/>
    <w:rsid w:val="07AEC152"/>
    <w:rsid w:val="07EDD0EA"/>
    <w:rsid w:val="09379D6A"/>
    <w:rsid w:val="099DDC12"/>
    <w:rsid w:val="09D4FFDA"/>
    <w:rsid w:val="11FF2A55"/>
    <w:rsid w:val="122BB898"/>
    <w:rsid w:val="13E40D58"/>
    <w:rsid w:val="152A4B05"/>
    <w:rsid w:val="16593F5D"/>
    <w:rsid w:val="1B0DA66D"/>
    <w:rsid w:val="1BA5A7F4"/>
    <w:rsid w:val="1C17371C"/>
    <w:rsid w:val="2228B405"/>
    <w:rsid w:val="226C7C04"/>
    <w:rsid w:val="23C48466"/>
    <w:rsid w:val="2812FA6A"/>
    <w:rsid w:val="2BD9FD80"/>
    <w:rsid w:val="3072A457"/>
    <w:rsid w:val="31A862DB"/>
    <w:rsid w:val="38C0C083"/>
    <w:rsid w:val="3DB513BD"/>
    <w:rsid w:val="3F16432D"/>
    <w:rsid w:val="45BF2983"/>
    <w:rsid w:val="466F2477"/>
    <w:rsid w:val="4CA557A6"/>
    <w:rsid w:val="4DADB2E8"/>
    <w:rsid w:val="4E84F006"/>
    <w:rsid w:val="4FE913D3"/>
    <w:rsid w:val="5184E434"/>
    <w:rsid w:val="540267D0"/>
    <w:rsid w:val="551513A1"/>
    <w:rsid w:val="552D3FDF"/>
    <w:rsid w:val="5A14B8F8"/>
    <w:rsid w:val="5A6C19AE"/>
    <w:rsid w:val="5A953079"/>
    <w:rsid w:val="6D998DB8"/>
    <w:rsid w:val="6E50B0D1"/>
    <w:rsid w:val="6ED90B18"/>
    <w:rsid w:val="790B2CAE"/>
    <w:rsid w:val="7B86E0B4"/>
    <w:rsid w:val="7C2C08C6"/>
    <w:rsid w:val="7DAB2E76"/>
    <w:rsid w:val="7F66161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B6D5A52"/>
  <w15:docId w15:val="{D217BD5F-2AAA-43A3-BEC1-AE52EB63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39E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C21A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C21A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21A5"/>
    <w:rPr>
      <w:rFonts w:ascii="Arial" w:eastAsia="Times New Roman" w:hAnsi="Arial" w:cs="Arial"/>
      <w:b/>
      <w:bCs/>
      <w:kern w:val="32"/>
      <w:sz w:val="32"/>
      <w:szCs w:val="32"/>
    </w:rPr>
  </w:style>
  <w:style w:type="character" w:customStyle="1" w:styleId="Heading2Char">
    <w:name w:val="Heading 2 Char"/>
    <w:basedOn w:val="DefaultParagraphFont"/>
    <w:link w:val="Heading2"/>
    <w:rsid w:val="000C21A5"/>
    <w:rPr>
      <w:rFonts w:ascii="Arial" w:eastAsia="Times New Roman" w:hAnsi="Arial" w:cs="Arial"/>
      <w:b/>
      <w:bCs/>
      <w:i/>
      <w:iCs/>
      <w:sz w:val="28"/>
      <w:szCs w:val="28"/>
    </w:rPr>
  </w:style>
  <w:style w:type="character" w:styleId="Emphasis">
    <w:name w:val="Emphasis"/>
    <w:qFormat/>
    <w:rsid w:val="000C21A5"/>
    <w:rPr>
      <w:i/>
      <w:iCs/>
    </w:rPr>
  </w:style>
  <w:style w:type="paragraph" w:styleId="EndnoteText">
    <w:name w:val="endnote text"/>
    <w:basedOn w:val="Normal"/>
    <w:link w:val="EndnoteTextChar"/>
    <w:semiHidden/>
    <w:rsid w:val="000C21A5"/>
    <w:rPr>
      <w:sz w:val="20"/>
      <w:szCs w:val="20"/>
    </w:rPr>
  </w:style>
  <w:style w:type="character" w:customStyle="1" w:styleId="EndnoteTextChar">
    <w:name w:val="Endnote Text Char"/>
    <w:basedOn w:val="DefaultParagraphFont"/>
    <w:link w:val="EndnoteText"/>
    <w:semiHidden/>
    <w:rsid w:val="000C21A5"/>
    <w:rPr>
      <w:rFonts w:ascii="Times New Roman" w:eastAsia="Times New Roman" w:hAnsi="Times New Roman" w:cs="Times New Roman"/>
      <w:sz w:val="20"/>
      <w:szCs w:val="20"/>
    </w:rPr>
  </w:style>
  <w:style w:type="paragraph" w:styleId="TOC1">
    <w:name w:val="toc 1"/>
    <w:basedOn w:val="Normal"/>
    <w:next w:val="Normal"/>
    <w:autoRedefine/>
    <w:uiPriority w:val="39"/>
    <w:rsid w:val="00D77CC0"/>
    <w:pPr>
      <w:tabs>
        <w:tab w:val="right" w:leader="dot" w:pos="8630"/>
      </w:tabs>
    </w:pPr>
  </w:style>
  <w:style w:type="paragraph" w:styleId="TOC2">
    <w:name w:val="toc 2"/>
    <w:basedOn w:val="Normal"/>
    <w:next w:val="Normal"/>
    <w:autoRedefine/>
    <w:uiPriority w:val="39"/>
    <w:rsid w:val="003D0F84"/>
    <w:pPr>
      <w:tabs>
        <w:tab w:val="left" w:pos="660"/>
        <w:tab w:val="right" w:leader="dot" w:pos="8630"/>
      </w:tabs>
      <w:ind w:left="240"/>
    </w:pPr>
  </w:style>
  <w:style w:type="character" w:styleId="Hyperlink">
    <w:name w:val="Hyperlink"/>
    <w:uiPriority w:val="99"/>
    <w:rsid w:val="000C21A5"/>
    <w:rPr>
      <w:color w:val="0000FF"/>
      <w:u w:val="single"/>
    </w:rPr>
  </w:style>
  <w:style w:type="paragraph" w:styleId="Footer">
    <w:name w:val="footer"/>
    <w:basedOn w:val="Normal"/>
    <w:link w:val="FooterChar"/>
    <w:uiPriority w:val="99"/>
    <w:rsid w:val="000C21A5"/>
    <w:pPr>
      <w:tabs>
        <w:tab w:val="center" w:pos="4320"/>
        <w:tab w:val="right" w:pos="8640"/>
      </w:tabs>
    </w:pPr>
  </w:style>
  <w:style w:type="character" w:customStyle="1" w:styleId="FooterChar">
    <w:name w:val="Footer Char"/>
    <w:basedOn w:val="DefaultParagraphFont"/>
    <w:link w:val="Footer"/>
    <w:uiPriority w:val="99"/>
    <w:rsid w:val="000C21A5"/>
    <w:rPr>
      <w:rFonts w:ascii="Times New Roman" w:eastAsia="Times New Roman" w:hAnsi="Times New Roman" w:cs="Times New Roman"/>
      <w:sz w:val="24"/>
      <w:szCs w:val="24"/>
    </w:rPr>
  </w:style>
  <w:style w:type="character" w:styleId="PageNumber">
    <w:name w:val="page number"/>
    <w:basedOn w:val="DefaultParagraphFont"/>
    <w:rsid w:val="000C21A5"/>
  </w:style>
  <w:style w:type="character" w:styleId="Strong">
    <w:name w:val="Strong"/>
    <w:qFormat/>
    <w:rsid w:val="000C21A5"/>
    <w:rPr>
      <w:b/>
      <w:bCs/>
    </w:rPr>
  </w:style>
  <w:style w:type="paragraph" w:styleId="BodyText">
    <w:name w:val="Body Text"/>
    <w:basedOn w:val="Normal"/>
    <w:link w:val="BodyTextChar"/>
    <w:uiPriority w:val="99"/>
    <w:rsid w:val="000C21A5"/>
    <w:pPr>
      <w:spacing w:after="240" w:line="360" w:lineRule="auto"/>
    </w:pPr>
    <w:rPr>
      <w:rFonts w:eastAsia="Calibri"/>
      <w:sz w:val="22"/>
      <w:szCs w:val="22"/>
    </w:rPr>
  </w:style>
  <w:style w:type="character" w:customStyle="1" w:styleId="BodyTextChar">
    <w:name w:val="Body Text Char"/>
    <w:basedOn w:val="DefaultParagraphFont"/>
    <w:link w:val="BodyText"/>
    <w:uiPriority w:val="99"/>
    <w:rsid w:val="000C21A5"/>
    <w:rPr>
      <w:rFonts w:ascii="Times New Roman" w:eastAsia="Calibri" w:hAnsi="Times New Roman" w:cs="Times New Roman"/>
    </w:rPr>
  </w:style>
  <w:style w:type="paragraph" w:customStyle="1" w:styleId="NORCTableSubheadingCenter10ptNarrow">
    <w:name w:val="NORC Table Subheading Center 10ptNarrow"/>
    <w:qFormat/>
    <w:rsid w:val="000C21A5"/>
    <w:pPr>
      <w:keepNext/>
      <w:spacing w:after="0" w:line="240" w:lineRule="auto"/>
      <w:jc w:val="center"/>
    </w:pPr>
    <w:rPr>
      <w:rFonts w:ascii="Arial Narrow" w:eastAsia="Times New Roman" w:hAnsi="Arial Narrow" w:cs="Times New Roman"/>
      <w:b/>
      <w:bCs/>
      <w:color w:val="000000"/>
      <w:sz w:val="20"/>
    </w:rPr>
  </w:style>
  <w:style w:type="paragraph" w:customStyle="1" w:styleId="NORCTableBodyLeft10ptNarrow">
    <w:name w:val="NORC Table Body Left (10ptNarrow)"/>
    <w:basedOn w:val="Normal"/>
    <w:qFormat/>
    <w:rsid w:val="000C21A5"/>
    <w:pPr>
      <w:tabs>
        <w:tab w:val="left" w:pos="144"/>
      </w:tabs>
    </w:pPr>
    <w:rPr>
      <w:rFonts w:ascii="Arial Narrow" w:hAnsi="Arial Narrow"/>
      <w:color w:val="000000"/>
      <w:sz w:val="20"/>
      <w:szCs w:val="20"/>
    </w:rPr>
  </w:style>
  <w:style w:type="character" w:customStyle="1" w:styleId="NORCCaption-Color">
    <w:name w:val="NORC Caption - Color"/>
    <w:qFormat/>
    <w:rsid w:val="000C21A5"/>
    <w:rPr>
      <w:rFonts w:ascii="Arial Narrow" w:hAnsi="Arial Narrow"/>
      <w:b/>
      <w:color w:val="8AB3A4"/>
      <w:sz w:val="22"/>
    </w:rPr>
  </w:style>
  <w:style w:type="paragraph" w:customStyle="1" w:styleId="NORCTableBullet110ptNarrow">
    <w:name w:val="NORC Table Bullet 1 (10ptNarrow)"/>
    <w:basedOn w:val="Normal"/>
    <w:qFormat/>
    <w:rsid w:val="000C21A5"/>
    <w:pPr>
      <w:framePr w:hSpace="180" w:wrap="around" w:vAnchor="text" w:hAnchor="margin" w:y="2375"/>
      <w:numPr>
        <w:numId w:val="1"/>
      </w:numPr>
      <w:tabs>
        <w:tab w:val="left" w:pos="144"/>
      </w:tabs>
      <w:suppressOverlap/>
    </w:pPr>
    <w:rPr>
      <w:rFonts w:ascii="Arial Narrow" w:hAnsi="Arial Narrow"/>
      <w:color w:val="000000"/>
      <w:sz w:val="20"/>
      <w:szCs w:val="20"/>
    </w:rPr>
  </w:style>
  <w:style w:type="paragraph" w:styleId="FootnoteText">
    <w:name w:val="footnote text"/>
    <w:basedOn w:val="Normal"/>
    <w:link w:val="FootnoteTextChar"/>
    <w:uiPriority w:val="99"/>
    <w:unhideWhenUsed/>
    <w:rsid w:val="000C21A5"/>
    <w:rPr>
      <w:rFonts w:ascii="Calibri" w:eastAsia="Calibri" w:hAnsi="Calibri"/>
      <w:sz w:val="20"/>
      <w:szCs w:val="20"/>
    </w:rPr>
  </w:style>
  <w:style w:type="character" w:customStyle="1" w:styleId="FootnoteTextChar">
    <w:name w:val="Footnote Text Char"/>
    <w:basedOn w:val="DefaultParagraphFont"/>
    <w:link w:val="FootnoteText"/>
    <w:uiPriority w:val="99"/>
    <w:rsid w:val="000C21A5"/>
    <w:rPr>
      <w:rFonts w:ascii="Calibri" w:eastAsia="Calibri" w:hAnsi="Calibri" w:cs="Times New Roman"/>
      <w:sz w:val="20"/>
      <w:szCs w:val="20"/>
    </w:rPr>
  </w:style>
  <w:style w:type="character" w:styleId="FootnoteReference">
    <w:name w:val="footnote reference"/>
    <w:uiPriority w:val="99"/>
    <w:unhideWhenUsed/>
    <w:rsid w:val="000C21A5"/>
    <w:rPr>
      <w:vertAlign w:val="superscript"/>
    </w:rPr>
  </w:style>
  <w:style w:type="paragraph" w:customStyle="1" w:styleId="NORCTableHeaderArial">
    <w:name w:val="NORC Table Header (Arial)"/>
    <w:basedOn w:val="Normal"/>
    <w:rsid w:val="000C21A5"/>
    <w:pPr>
      <w:keepNext/>
      <w:spacing w:before="40" w:after="40"/>
      <w:jc w:val="center"/>
    </w:pPr>
    <w:rPr>
      <w:rFonts w:ascii="Arial" w:eastAsia="Calibri" w:hAnsi="Arial"/>
      <w:b/>
      <w:color w:val="000000"/>
      <w:sz w:val="18"/>
      <w:szCs w:val="22"/>
    </w:rPr>
  </w:style>
  <w:style w:type="paragraph" w:customStyle="1" w:styleId="NORCTableBodyLeft">
    <w:name w:val="NORC Table Body Left"/>
    <w:basedOn w:val="Normal"/>
    <w:qFormat/>
    <w:rsid w:val="000C21A5"/>
    <w:pPr>
      <w:spacing w:before="40" w:after="40"/>
    </w:pPr>
    <w:rPr>
      <w:rFonts w:ascii="Arial" w:eastAsia="SimSun" w:hAnsi="Arial"/>
      <w:sz w:val="17"/>
      <w:szCs w:val="22"/>
    </w:rPr>
  </w:style>
  <w:style w:type="table" w:styleId="TableGrid">
    <w:name w:val="Table Grid"/>
    <w:aliases w:val="NASHP Table Grid"/>
    <w:basedOn w:val="TableNormal"/>
    <w:uiPriority w:val="59"/>
    <w:rsid w:val="000C21A5"/>
    <w:pPr>
      <w:spacing w:after="0" w:line="240" w:lineRule="auto"/>
    </w:pPr>
    <w:rPr>
      <w:rFonts w:ascii="Garamond" w:eastAsia="Calibri" w:hAnsi="Garamond"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0C21A5"/>
    <w:pPr>
      <w:keepLines/>
      <w:numPr>
        <w:numId w:val="2"/>
      </w:numPr>
      <w:tabs>
        <w:tab w:val="clear" w:pos="360"/>
      </w:tabs>
      <w:contextualSpacing/>
    </w:pPr>
    <w:rPr>
      <w:rFonts w:eastAsia="Calibri"/>
      <w:sz w:val="22"/>
      <w:szCs w:val="22"/>
    </w:rPr>
  </w:style>
  <w:style w:type="character" w:styleId="CommentReference">
    <w:name w:val="annotation reference"/>
    <w:uiPriority w:val="99"/>
    <w:unhideWhenUsed/>
    <w:rsid w:val="000C21A5"/>
    <w:rPr>
      <w:sz w:val="16"/>
      <w:szCs w:val="16"/>
    </w:rPr>
  </w:style>
  <w:style w:type="paragraph" w:styleId="CommentText">
    <w:name w:val="annotation text"/>
    <w:basedOn w:val="Normal"/>
    <w:link w:val="CommentTextChar"/>
    <w:uiPriority w:val="99"/>
    <w:qFormat/>
    <w:rsid w:val="000C21A5"/>
    <w:rPr>
      <w:rFonts w:ascii="Calibri" w:hAnsi="Calibri"/>
      <w:sz w:val="22"/>
      <w:szCs w:val="20"/>
    </w:rPr>
  </w:style>
  <w:style w:type="character" w:customStyle="1" w:styleId="CommentTextChar">
    <w:name w:val="Comment Text Char"/>
    <w:basedOn w:val="DefaultParagraphFont"/>
    <w:link w:val="CommentText"/>
    <w:uiPriority w:val="99"/>
    <w:rsid w:val="000C21A5"/>
    <w:rPr>
      <w:rFonts w:ascii="Calibri" w:eastAsia="Times New Roman" w:hAnsi="Calibri" w:cs="Times New Roman"/>
      <w:szCs w:val="20"/>
    </w:rPr>
  </w:style>
  <w:style w:type="paragraph" w:styleId="BalloonText">
    <w:name w:val="Balloon Text"/>
    <w:basedOn w:val="Normal"/>
    <w:link w:val="BalloonTextChar"/>
    <w:rsid w:val="000C21A5"/>
    <w:rPr>
      <w:rFonts w:ascii="Segoe UI" w:hAnsi="Segoe UI" w:cs="Segoe UI"/>
      <w:sz w:val="18"/>
      <w:szCs w:val="18"/>
    </w:rPr>
  </w:style>
  <w:style w:type="character" w:customStyle="1" w:styleId="BalloonTextChar">
    <w:name w:val="Balloon Text Char"/>
    <w:basedOn w:val="DefaultParagraphFont"/>
    <w:link w:val="BalloonText"/>
    <w:rsid w:val="000C21A5"/>
    <w:rPr>
      <w:rFonts w:ascii="Segoe UI" w:eastAsia="Times New Roman" w:hAnsi="Segoe UI" w:cs="Segoe UI"/>
      <w:sz w:val="18"/>
      <w:szCs w:val="18"/>
    </w:rPr>
  </w:style>
  <w:style w:type="paragraph" w:styleId="Header">
    <w:name w:val="header"/>
    <w:basedOn w:val="Normal"/>
    <w:link w:val="HeaderChar"/>
    <w:rsid w:val="000C21A5"/>
    <w:pPr>
      <w:tabs>
        <w:tab w:val="center" w:pos="4680"/>
        <w:tab w:val="right" w:pos="9360"/>
      </w:tabs>
    </w:pPr>
  </w:style>
  <w:style w:type="character" w:customStyle="1" w:styleId="HeaderChar">
    <w:name w:val="Header Char"/>
    <w:basedOn w:val="DefaultParagraphFont"/>
    <w:link w:val="Header"/>
    <w:rsid w:val="000C21A5"/>
    <w:rPr>
      <w:rFonts w:ascii="Times New Roman" w:eastAsia="Times New Roman" w:hAnsi="Times New Roman" w:cs="Times New Roman"/>
      <w:sz w:val="24"/>
      <w:szCs w:val="24"/>
    </w:rPr>
  </w:style>
  <w:style w:type="paragraph" w:customStyle="1" w:styleId="GridTable31">
    <w:name w:val="Grid Table 31"/>
    <w:basedOn w:val="Heading1"/>
    <w:next w:val="Normal"/>
    <w:uiPriority w:val="39"/>
    <w:unhideWhenUsed/>
    <w:qFormat/>
    <w:rsid w:val="000C21A5"/>
    <w:pPr>
      <w:keepLines/>
      <w:spacing w:after="0" w:line="259" w:lineRule="auto"/>
      <w:outlineLvl w:val="9"/>
    </w:pPr>
    <w:rPr>
      <w:rFonts w:ascii="Calibri Light" w:hAnsi="Calibri Light" w:cs="Times New Roman"/>
      <w:b w:val="0"/>
      <w:bCs w:val="0"/>
      <w:color w:val="2E74B5"/>
      <w:kern w:val="0"/>
    </w:rPr>
  </w:style>
  <w:style w:type="paragraph" w:styleId="CommentSubject">
    <w:name w:val="annotation subject"/>
    <w:basedOn w:val="CommentText"/>
    <w:next w:val="CommentText"/>
    <w:link w:val="CommentSubjectChar"/>
    <w:rsid w:val="000C21A5"/>
    <w:rPr>
      <w:rFonts w:ascii="Times New Roman" w:hAnsi="Times New Roman"/>
      <w:b/>
      <w:bCs/>
      <w:sz w:val="20"/>
    </w:rPr>
  </w:style>
  <w:style w:type="character" w:customStyle="1" w:styleId="CommentSubjectChar">
    <w:name w:val="Comment Subject Char"/>
    <w:basedOn w:val="CommentTextChar"/>
    <w:link w:val="CommentSubject"/>
    <w:rsid w:val="000C21A5"/>
    <w:rPr>
      <w:rFonts w:ascii="Times New Roman" w:eastAsia="Times New Roman" w:hAnsi="Times New Roman" w:cs="Times New Roman"/>
      <w:b/>
      <w:bCs/>
      <w:sz w:val="20"/>
      <w:szCs w:val="20"/>
    </w:rPr>
  </w:style>
  <w:style w:type="paragraph" w:customStyle="1" w:styleId="Default">
    <w:name w:val="Default"/>
    <w:rsid w:val="000C21A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CCaption-Exhibit">
    <w:name w:val="NORC Caption - Exhibit"/>
    <w:qFormat/>
    <w:rsid w:val="000C21A5"/>
    <w:pPr>
      <w:keepNext/>
      <w:keepLines/>
      <w:tabs>
        <w:tab w:val="left" w:pos="1296"/>
        <w:tab w:val="left" w:pos="1800"/>
      </w:tabs>
      <w:spacing w:before="320" w:after="120" w:line="240" w:lineRule="auto"/>
      <w:ind w:left="1296" w:hanging="1296"/>
    </w:pPr>
    <w:rPr>
      <w:rFonts w:ascii="Garamond" w:eastAsia="Times New Roman" w:hAnsi="Garamond" w:cs="AGaramond-Regular"/>
    </w:rPr>
  </w:style>
  <w:style w:type="paragraph" w:customStyle="1" w:styleId="NORCTableBodyCenterArial">
    <w:name w:val="NORC Table Body Center (Arial)"/>
    <w:basedOn w:val="Normal"/>
    <w:qFormat/>
    <w:rsid w:val="000C21A5"/>
    <w:pPr>
      <w:tabs>
        <w:tab w:val="left" w:pos="144"/>
      </w:tabs>
      <w:spacing w:before="20" w:after="20"/>
      <w:jc w:val="center"/>
    </w:pPr>
    <w:rPr>
      <w:rFonts w:ascii="Arial Narrow" w:hAnsi="Arial Narrow"/>
      <w:color w:val="000000"/>
      <w:sz w:val="20"/>
      <w:szCs w:val="20"/>
    </w:rPr>
  </w:style>
  <w:style w:type="paragraph" w:customStyle="1" w:styleId="NORCProposalBodyDoubleSpacing-Garamond">
    <w:name w:val="NORC Proposal Body Double Spacing - Garamond"/>
    <w:qFormat/>
    <w:rsid w:val="000C21A5"/>
    <w:pPr>
      <w:textboxTightWrap w:val="allLines"/>
      <w:tabs>
        <w:tab w:val="right" w:pos="9360"/>
      </w:tabs>
      <w:spacing w:after="0" w:line="480" w:lineRule="auto"/>
      <w:ind w:firstLine="360"/>
    </w:pPr>
    <w:rPr>
      <w:rFonts w:ascii="Garamond" w:eastAsia="Times New Roman" w:hAnsi="Garamond" w:cs="AGaramond-Regular"/>
      <w:szCs w:val="20"/>
    </w:rPr>
  </w:style>
  <w:style w:type="paragraph" w:styleId="ListParagraph">
    <w:name w:val="List Paragraph"/>
    <w:basedOn w:val="Normal"/>
    <w:uiPriority w:val="34"/>
    <w:qFormat/>
    <w:rsid w:val="000C21A5"/>
    <w:pPr>
      <w:ind w:left="720"/>
      <w:contextualSpacing/>
    </w:pPr>
    <w:rPr>
      <w:rFonts w:ascii="Garamond" w:eastAsia="Calibri" w:hAnsi="Garamond"/>
      <w:sz w:val="22"/>
      <w:szCs w:val="22"/>
    </w:rPr>
  </w:style>
  <w:style w:type="paragraph" w:styleId="Revision">
    <w:name w:val="Revision"/>
    <w:hidden/>
    <w:uiPriority w:val="99"/>
    <w:semiHidden/>
    <w:rsid w:val="000C21A5"/>
    <w:pPr>
      <w:spacing w:after="0" w:line="240" w:lineRule="auto"/>
    </w:pPr>
    <w:rPr>
      <w:rFonts w:ascii="Times New Roman" w:eastAsia="Times New Roman" w:hAnsi="Times New Roman" w:cs="Times New Roman"/>
      <w:sz w:val="24"/>
      <w:szCs w:val="24"/>
    </w:rPr>
  </w:style>
  <w:style w:type="paragraph" w:customStyle="1" w:styleId="Normal15Spaced">
    <w:name w:val="Normal 1.5 Spaced"/>
    <w:basedOn w:val="Normal"/>
    <w:uiPriority w:val="99"/>
    <w:qFormat/>
    <w:rsid w:val="00457083"/>
    <w:pPr>
      <w:spacing w:line="360" w:lineRule="auto"/>
      <w:ind w:firstLine="288"/>
    </w:pPr>
    <w:rPr>
      <w:rFonts w:ascii="Arial Narrow" w:hAnsi="Arial Narrow"/>
      <w:sz w:val="22"/>
      <w:szCs w:val="20"/>
    </w:rPr>
  </w:style>
  <w:style w:type="paragraph" w:customStyle="1" w:styleId="TableNormalL">
    <w:name w:val="Table Normal L"/>
    <w:basedOn w:val="Normal"/>
    <w:qFormat/>
    <w:rsid w:val="00C71C27"/>
    <w:rPr>
      <w:rFonts w:ascii="Arial Narrow" w:hAnsi="Arial Narrow"/>
      <w:color w:val="000000"/>
      <w:sz w:val="20"/>
      <w:szCs w:val="20"/>
    </w:rPr>
  </w:style>
  <w:style w:type="character" w:customStyle="1" w:styleId="Caption-ExhibitChar">
    <w:name w:val="Caption - Exhibit Char"/>
    <w:basedOn w:val="DefaultParagraphFont"/>
    <w:link w:val="Caption-Exhibit"/>
    <w:locked/>
    <w:rsid w:val="00C71C27"/>
    <w:rPr>
      <w:rFonts w:ascii="Arial Narrow" w:eastAsia="Arial Narrow" w:hAnsi="Arial Narrow" w:cs="Times New Roman"/>
      <w:b/>
      <w:iCs/>
      <w:color w:val="000000"/>
      <w:szCs w:val="18"/>
    </w:rPr>
  </w:style>
  <w:style w:type="paragraph" w:customStyle="1" w:styleId="Caption-Exhibit">
    <w:name w:val="Caption - Exhibit"/>
    <w:basedOn w:val="Normal"/>
    <w:link w:val="Caption-ExhibitChar"/>
    <w:qFormat/>
    <w:rsid w:val="00C71C27"/>
    <w:pPr>
      <w:keepNext/>
      <w:keepLines/>
      <w:tabs>
        <w:tab w:val="left" w:pos="990"/>
      </w:tabs>
    </w:pPr>
    <w:rPr>
      <w:rFonts w:ascii="Arial Narrow" w:eastAsia="Arial Narrow" w:hAnsi="Arial Narrow"/>
      <w:b/>
      <w:iCs/>
      <w:color w:val="000000"/>
      <w:sz w:val="22"/>
      <w:szCs w:val="18"/>
    </w:rPr>
  </w:style>
  <w:style w:type="paragraph" w:customStyle="1" w:styleId="TableHeadLeft">
    <w:name w:val="Table Head Left"/>
    <w:basedOn w:val="Normal"/>
    <w:qFormat/>
    <w:rsid w:val="00C71C27"/>
    <w:rPr>
      <w:rFonts w:ascii="Arial Narrow" w:hAnsi="Arial Narrow"/>
      <w:b/>
      <w:color w:val="000000"/>
      <w:sz w:val="20"/>
      <w:szCs w:val="20"/>
    </w:rPr>
  </w:style>
  <w:style w:type="paragraph" w:customStyle="1" w:styleId="TableBullet1">
    <w:name w:val="Table Bullet 1"/>
    <w:basedOn w:val="TableNormalL"/>
    <w:qFormat/>
    <w:rsid w:val="00C71C27"/>
    <w:pPr>
      <w:numPr>
        <w:numId w:val="5"/>
      </w:numPr>
    </w:pPr>
    <w:rPr>
      <w:rFonts w:eastAsiaTheme="minorHAnsi"/>
    </w:rPr>
  </w:style>
  <w:style w:type="paragraph" w:customStyle="1" w:styleId="TableBullet2">
    <w:name w:val="Table Bullet 2"/>
    <w:basedOn w:val="TableBullet1"/>
    <w:qFormat/>
    <w:rsid w:val="00C71C27"/>
    <w:pPr>
      <w:numPr>
        <w:numId w:val="6"/>
      </w:numPr>
    </w:pPr>
  </w:style>
  <w:style w:type="character" w:styleId="UnresolvedMention">
    <w:name w:val="Unresolved Mention"/>
    <w:basedOn w:val="DefaultParagraphFont"/>
    <w:uiPriority w:val="99"/>
    <w:unhideWhenUsed/>
    <w:rsid w:val="000E6592"/>
    <w:rPr>
      <w:color w:val="605E5C"/>
      <w:shd w:val="clear" w:color="auto" w:fill="E1DFDD"/>
    </w:rPr>
  </w:style>
  <w:style w:type="character" w:styleId="Mention">
    <w:name w:val="Mention"/>
    <w:basedOn w:val="DefaultParagraphFont"/>
    <w:uiPriority w:val="99"/>
    <w:unhideWhenUsed/>
    <w:rsid w:val="00E90FDF"/>
    <w:rPr>
      <w:color w:val="2B579A"/>
      <w:shd w:val="clear" w:color="auto" w:fill="E6E6E6"/>
    </w:rPr>
  </w:style>
  <w:style w:type="character" w:customStyle="1" w:styleId="normaltextrun">
    <w:name w:val="normaltextrun"/>
    <w:basedOn w:val="DefaultParagraphFont"/>
    <w:rsid w:val="002046B4"/>
  </w:style>
  <w:style w:type="character" w:customStyle="1" w:styleId="findhit">
    <w:name w:val="findhit"/>
    <w:basedOn w:val="DefaultParagraphFont"/>
    <w:rsid w:val="002046B4"/>
  </w:style>
  <w:style w:type="paragraph" w:customStyle="1" w:styleId="paragraph">
    <w:name w:val="paragraph"/>
    <w:basedOn w:val="Normal"/>
    <w:rsid w:val="00E047DD"/>
    <w:pPr>
      <w:spacing w:before="100" w:beforeAutospacing="1" w:after="100" w:afterAutospacing="1"/>
    </w:pPr>
  </w:style>
  <w:style w:type="character" w:customStyle="1" w:styleId="eop">
    <w:name w:val="eop"/>
    <w:basedOn w:val="DefaultParagraphFont"/>
    <w:rsid w:val="00E047DD"/>
  </w:style>
  <w:style w:type="paragraph" w:styleId="Caption">
    <w:name w:val="caption"/>
    <w:basedOn w:val="Normal"/>
    <w:next w:val="Normal"/>
    <w:uiPriority w:val="35"/>
    <w:unhideWhenUsed/>
    <w:qFormat/>
    <w:rsid w:val="00E657BB"/>
    <w:pPr>
      <w:spacing w:after="200"/>
    </w:pPr>
    <w:rPr>
      <w:i/>
      <w:iCs/>
      <w:color w:val="1F497D" w:themeColor="text2"/>
      <w:sz w:val="18"/>
      <w:szCs w:val="18"/>
    </w:rPr>
  </w:style>
  <w:style w:type="paragraph" w:customStyle="1" w:styleId="Exhibit">
    <w:name w:val="Exhibit"/>
    <w:basedOn w:val="Normal"/>
    <w:link w:val="ExhibitChar"/>
    <w:qFormat/>
    <w:rsid w:val="00E657BB"/>
    <w:rPr>
      <w:rFonts w:eastAsia="Calibri"/>
    </w:rPr>
  </w:style>
  <w:style w:type="character" w:customStyle="1" w:styleId="ExhibitChar">
    <w:name w:val="Exhibit Char"/>
    <w:basedOn w:val="DefaultParagraphFont"/>
    <w:link w:val="Exhibit"/>
    <w:rsid w:val="00E657BB"/>
    <w:rPr>
      <w:rFonts w:ascii="Times New Roman" w:eastAsia="Calibri" w:hAnsi="Times New Roman" w:cs="Times New Roman"/>
      <w:sz w:val="24"/>
      <w:szCs w:val="24"/>
    </w:rPr>
  </w:style>
  <w:style w:type="table" w:customStyle="1" w:styleId="TableGrid1">
    <w:name w:val="Table Grid1"/>
    <w:basedOn w:val="TableNormal"/>
    <w:uiPriority w:val="39"/>
    <w:rsid w:val="000151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2C0F6A"/>
    <w:rPr>
      <w:vertAlign w:val="superscript"/>
    </w:rPr>
  </w:style>
  <w:style w:type="paragraph" w:customStyle="1" w:styleId="Exhibit1">
    <w:name w:val="Exhibit1"/>
    <w:basedOn w:val="Normal"/>
    <w:link w:val="Exhibit1Char"/>
    <w:qFormat/>
    <w:rsid w:val="007975A5"/>
    <w:pPr>
      <w:keepNext/>
      <w:keepLines/>
      <w:pBdr>
        <w:top w:val="single" w:sz="4" w:space="5" w:color="BFB6AC"/>
        <w:bottom w:val="single" w:sz="4" w:space="3" w:color="BFB6AC"/>
      </w:pBdr>
      <w:tabs>
        <w:tab w:val="left" w:pos="1224"/>
      </w:tabs>
      <w:spacing w:before="320" w:after="120"/>
      <w:ind w:left="1224" w:hanging="1224"/>
    </w:pPr>
    <w:rPr>
      <w:rFonts w:eastAsia="Calibri"/>
      <w:b/>
      <w:color w:val="000000"/>
      <w:szCs w:val="28"/>
    </w:rPr>
  </w:style>
  <w:style w:type="character" w:customStyle="1" w:styleId="Exhibit1Char">
    <w:name w:val="Exhibit1 Char"/>
    <w:basedOn w:val="DefaultParagraphFont"/>
    <w:link w:val="Exhibit1"/>
    <w:rsid w:val="007975A5"/>
    <w:rPr>
      <w:rFonts w:ascii="Times New Roman" w:eastAsia="Calibri" w:hAnsi="Times New Roman" w:cs="Times New Roman"/>
      <w:b/>
      <w:color w:val="000000"/>
      <w:sz w:val="24"/>
      <w:szCs w:val="28"/>
    </w:rPr>
  </w:style>
  <w:style w:type="table" w:customStyle="1" w:styleId="TableGrid2">
    <w:name w:val="Table Grid2"/>
    <w:basedOn w:val="TableNormal"/>
    <w:next w:val="TableGrid"/>
    <w:rsid w:val="007975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070A"/>
    <w:pPr>
      <w:spacing w:after="0" w:line="240" w:lineRule="auto"/>
    </w:pPr>
    <w:rPr>
      <w:rFonts w:ascii="Aptos" w:eastAsia="Aptos" w:hAnsi="Aptos" w:cs="Times New Roman"/>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 xsi:nil="true"/>
    <TaxCatchAll xmlns="1d89ae44-e5f9-4139-9079-f77b33501cb3" xsi:nil="true"/>
    <lcf76f155ced4ddcb4097134ff3c332f xmlns="5a6fba3f-dae4-4685-b932-cbd93f045e3e">
      <Terms xmlns="http://schemas.microsoft.com/office/infopath/2007/PartnerControls"/>
    </lcf76f155ced4ddcb4097134ff3c332f>
  </documentManagement>
</p:properties>
</file>

<file path=customXml/item3.xml><?xml version="1.0" encoding="utf-8"?>
<?mso-contentType ?>
<SharedContentType xmlns="Microsoft.SharePoint.Taxonomy.ContentTypeSync" SourceId="744a5fc2-e1de-4226-a417-e5990e3526f4"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4CAF7F2336A9049BA80DEBC391EF397" ma:contentTypeVersion="19" ma:contentTypeDescription="Create a new document." ma:contentTypeScope="" ma:versionID="7db19eb4baef70a4312dce36c494ee60">
  <xsd:schema xmlns:xsd="http://www.w3.org/2001/XMLSchema" xmlns:xs="http://www.w3.org/2001/XMLSchema" xmlns:p="http://schemas.microsoft.com/office/2006/metadata/properties" xmlns:ns1="http://schemas.microsoft.com/sharepoint/v3" xmlns:ns2="1d89ae44-e5f9-4139-9079-f77b33501cb3" xmlns:ns3="5a6fba3f-dae4-4685-b932-cbd93f045e3e" targetNamespace="http://schemas.microsoft.com/office/2006/metadata/properties" ma:root="true" ma:fieldsID="4b7aaa85b880b52cdc7aafb461f49591" ns1:_="" ns2:_="" ns3:_="">
    <xsd:import namespace="http://schemas.microsoft.com/sharepoint/v3"/>
    <xsd:import namespace="1d89ae44-e5f9-4139-9079-f77b33501cb3"/>
    <xsd:import namespace="5a6fba3f-dae4-4685-b932-cbd93f045e3e"/>
    <xsd:element name="properties">
      <xsd:complexType>
        <xsd:sequence>
          <xsd:element name="documentManagement">
            <xsd:complexType>
              <xsd:all>
                <xsd:element ref="ns2:TaxCatchAll" minOccurs="0"/>
                <xsd:element ref="ns2:TaxCatchAllLabel" minOccurs="0"/>
                <xsd:element ref="ns1:DocumentSetDescription"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89ae44-e5f9-4139-9079-f77b33501cb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85b7914-0fa7-4f85-b528-62fb616b5ae7}" ma:internalName="TaxCatchAll" ma:showField="CatchAllData" ma:web="1d89ae44-e5f9-4139-9079-f77b33501cb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85b7914-0fa7-4f85-b528-62fb616b5ae7}" ma:internalName="TaxCatchAllLabel" ma:readOnly="true" ma:showField="CatchAllDataLabel" ma:web="1d89ae44-e5f9-4139-9079-f77b33501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6fba3f-dae4-4685-b932-cbd93f045e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034CE1-90EC-4F45-93A0-E04F98338A72}">
  <ds:schemaRefs>
    <ds:schemaRef ds:uri="http://schemas.microsoft.com/sharepoint/v3/contenttype/forms"/>
  </ds:schemaRefs>
</ds:datastoreItem>
</file>

<file path=customXml/itemProps2.xml><?xml version="1.0" encoding="utf-8"?>
<ds:datastoreItem xmlns:ds="http://schemas.openxmlformats.org/officeDocument/2006/customXml" ds:itemID="{4B18D472-DA46-4131-818F-FAA59F446F58}">
  <ds:schemaRefs>
    <ds:schemaRef ds:uri="1d89ae44-e5f9-4139-9079-f77b33501cb3"/>
    <ds:schemaRef ds:uri="http://schemas.microsoft.com/sharepoint/v3"/>
    <ds:schemaRef ds:uri="http://purl.org/dc/dcmitype/"/>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5a6fba3f-dae4-4685-b932-cbd93f045e3e"/>
    <ds:schemaRef ds:uri="http://purl.org/dc/terms/"/>
  </ds:schemaRefs>
</ds:datastoreItem>
</file>

<file path=customXml/itemProps3.xml><?xml version="1.0" encoding="utf-8"?>
<ds:datastoreItem xmlns:ds="http://schemas.openxmlformats.org/officeDocument/2006/customXml" ds:itemID="{33964118-46D7-4722-A45F-A17AB4BEE7AB}">
  <ds:schemaRefs>
    <ds:schemaRef ds:uri="Microsoft.SharePoint.Taxonomy.ContentTypeSync"/>
  </ds:schemaRefs>
</ds:datastoreItem>
</file>

<file path=customXml/itemProps4.xml><?xml version="1.0" encoding="utf-8"?>
<ds:datastoreItem xmlns:ds="http://schemas.openxmlformats.org/officeDocument/2006/customXml" ds:itemID="{87379F33-1C64-4AF4-A001-B3444F04D642}">
  <ds:schemaRefs>
    <ds:schemaRef ds:uri="http://schemas.openxmlformats.org/officeDocument/2006/bibliography"/>
  </ds:schemaRefs>
</ds:datastoreItem>
</file>

<file path=customXml/itemProps5.xml><?xml version="1.0" encoding="utf-8"?>
<ds:datastoreItem xmlns:ds="http://schemas.openxmlformats.org/officeDocument/2006/customXml" ds:itemID="{997C3AD6-7498-4587-A44F-9A7F030E9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89ae44-e5f9-4139-9079-f77b33501cb3"/>
    <ds:schemaRef ds:uri="5a6fba3f-dae4-4685-b932-cbd93f045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4695</Words>
  <Characters>26762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SChowdhury</dc:creator>
  <cp:lastModifiedBy>Park, Amie (AHRQ/CFACT)</cp:lastModifiedBy>
  <cp:revision>2</cp:revision>
  <dcterms:created xsi:type="dcterms:W3CDTF">2025-06-17T19:55:00Z</dcterms:created>
  <dcterms:modified xsi:type="dcterms:W3CDTF">2025-06-17T19:55:00Z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0x01010018E334453B01764AB9D170C5E0A81A3F</vt:lpwstr>
  </property>
  <property fmtid="{D5CDD505-2E9C-101B-9397-08002B2CF9AE}" pid="3" name="MediaServiceImageTags">
    <vt:lpwstr/>
  </property>
</Properties>
</file>