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2982" w:rsidRPr="00080473" w:rsidP="37DFE50A" w14:paraId="213DF70E" w14:textId="43C0584D">
      <w:pPr>
        <w:pStyle w:val="Heading1"/>
        <w:numPr>
          <w:ilvl w:val="0"/>
          <w:numId w:val="0"/>
        </w:numPr>
        <w:ind w:left="1170" w:hanging="360"/>
        <w:jc w:val="center"/>
        <w:rPr>
          <w:rFonts w:ascii="Calibri" w:hAnsi="Calibri" w:cs="Calibri"/>
          <w:b/>
          <w:bCs/>
          <w:color w:val="007DA3"/>
          <w:sz w:val="44"/>
          <w:szCs w:val="44"/>
        </w:rPr>
      </w:pPr>
      <w:bookmarkStart w:id="0" w:name="_Toc176410407"/>
      <w:r>
        <w:rPr>
          <w:rFonts w:ascii="Calibri" w:hAnsi="Calibri" w:cs="Calibri"/>
          <w:b/>
          <w:bCs/>
          <w:color w:val="007DA3"/>
          <w:sz w:val="44"/>
          <w:szCs w:val="44"/>
        </w:rPr>
        <w:t>SUBMISSION</w:t>
      </w:r>
      <w:r w:rsidRPr="00080473">
        <w:rPr>
          <w:rFonts w:ascii="Calibri" w:hAnsi="Calibri" w:cs="Calibri"/>
          <w:b/>
          <w:bCs/>
          <w:color w:val="007DA3"/>
          <w:sz w:val="44"/>
          <w:szCs w:val="44"/>
        </w:rPr>
        <w:t xml:space="preserve"> </w:t>
      </w:r>
      <w:r w:rsidRPr="00080473" w:rsidR="006B0A65">
        <w:rPr>
          <w:rFonts w:ascii="Calibri" w:hAnsi="Calibri" w:cs="Calibri"/>
          <w:b/>
          <w:bCs/>
          <w:color w:val="007DA3"/>
          <w:sz w:val="44"/>
          <w:szCs w:val="44"/>
        </w:rPr>
        <w:t xml:space="preserve">GUIDE FOR </w:t>
      </w:r>
      <w:r w:rsidRPr="00080473" w:rsidR="7CF8B2FC">
        <w:rPr>
          <w:rFonts w:ascii="Calibri" w:hAnsi="Calibri" w:cs="Calibri"/>
          <w:b/>
          <w:bCs/>
          <w:color w:val="007DA3"/>
          <w:sz w:val="44"/>
          <w:szCs w:val="44"/>
        </w:rPr>
        <w:t xml:space="preserve">CLINICAL </w:t>
      </w:r>
      <w:r w:rsidRPr="00080473" w:rsidR="003F26A6">
        <w:rPr>
          <w:rFonts w:ascii="Calibri" w:hAnsi="Calibri" w:cs="Calibri"/>
          <w:b/>
          <w:bCs/>
          <w:color w:val="007DA3"/>
          <w:sz w:val="44"/>
          <w:szCs w:val="44"/>
        </w:rPr>
        <w:t>OUTCOMES DATA COLLECTION</w:t>
      </w:r>
      <w:bookmarkEnd w:id="0"/>
      <w:r w:rsidRPr="00080473" w:rsidR="006C7F68">
        <w:rPr>
          <w:rFonts w:ascii="Calibri" w:hAnsi="Calibri" w:cs="Calibri"/>
          <w:b/>
          <w:bCs/>
          <w:color w:val="007DA3"/>
          <w:sz w:val="44"/>
          <w:szCs w:val="44"/>
        </w:rPr>
        <w:t xml:space="preserve"> </w:t>
      </w:r>
    </w:p>
    <w:p w:rsidR="00F13607" w:rsidP="37DFE50A" w14:paraId="12F78EBB" w14:textId="77777777">
      <w:pPr>
        <w:pStyle w:val="Heading1"/>
        <w:numPr>
          <w:ilvl w:val="0"/>
          <w:numId w:val="0"/>
        </w:numPr>
        <w:ind w:left="1170" w:hanging="360"/>
        <w:jc w:val="center"/>
        <w:rPr>
          <w:rFonts w:ascii="Calibri" w:hAnsi="Calibri" w:cs="Calibri"/>
          <w:b/>
          <w:bCs/>
          <w:color w:val="007DA3"/>
          <w:sz w:val="40"/>
          <w:szCs w:val="40"/>
        </w:rPr>
      </w:pPr>
    </w:p>
    <w:sdt>
      <w:sdtPr>
        <w:rPr>
          <w:rFonts w:ascii="Calibri" w:hAnsi="Calibri" w:cs="Calibri"/>
          <w:b/>
          <w:bCs/>
          <w:color w:val="007DA3"/>
          <w:sz w:val="40"/>
          <w:szCs w:val="40"/>
        </w:rPr>
        <w:id w:val="110178352"/>
        <w:docPartObj>
          <w:docPartGallery w:val="Table of Contents"/>
          <w:docPartUnique/>
        </w:docPartObj>
      </w:sdtPr>
      <w:sdtContent>
        <w:p w:rsidR="00F13607" w:rsidRPr="00F13607" w:rsidP="00F13607" w14:paraId="32BE1D07" w14:textId="77777777">
          <w:pPr>
            <w:rPr>
              <w:rFonts w:ascii="Calibri" w:hAnsi="Calibri" w:cs="Calibri"/>
              <w:b/>
              <w:bCs/>
              <w:color w:val="007DA3"/>
              <w:sz w:val="40"/>
              <w:szCs w:val="40"/>
            </w:rPr>
          </w:pPr>
          <w:r w:rsidRPr="00F13607">
            <w:rPr>
              <w:rFonts w:ascii="Calibri" w:hAnsi="Calibri" w:cs="Calibri"/>
              <w:b/>
              <w:bCs/>
              <w:color w:val="007DA3"/>
              <w:sz w:val="40"/>
              <w:szCs w:val="40"/>
            </w:rPr>
            <w:t>Table of Contents</w:t>
          </w:r>
        </w:p>
        <w:p w:rsidR="005D6B76" w14:paraId="08BF503C" w14:textId="1C0897F2">
          <w:pPr>
            <w:pStyle w:val="TOC1"/>
            <w:tabs>
              <w:tab w:val="right" w:leader="dot" w:pos="10070"/>
            </w:tabs>
            <w:rPr>
              <w:rFonts w:asciiTheme="minorHAnsi" w:eastAsiaTheme="minorEastAsia" w:hAnsiTheme="minorHAnsi" w:cstheme="minorBidi"/>
              <w:noProof/>
              <w:kern w:val="2"/>
              <w:sz w:val="24"/>
              <w:szCs w:val="24"/>
              <w14:ligatures w14:val="standardContextual"/>
            </w:rPr>
          </w:pPr>
          <w:r w:rsidRPr="00F13607">
            <w:rPr>
              <w:rFonts w:ascii="Calibri" w:hAnsi="Calibri" w:cs="Calibri"/>
              <w:b/>
              <w:bCs/>
              <w:color w:val="007DA3"/>
              <w:sz w:val="40"/>
              <w:szCs w:val="40"/>
            </w:rPr>
            <w:fldChar w:fldCharType="begin"/>
          </w:r>
          <w:r w:rsidRPr="00F13607">
            <w:rPr>
              <w:rFonts w:ascii="Calibri" w:hAnsi="Calibri" w:cs="Calibri"/>
              <w:b/>
              <w:bCs/>
              <w:color w:val="007DA3"/>
              <w:sz w:val="40"/>
              <w:szCs w:val="40"/>
            </w:rPr>
            <w:instrText xml:space="preserve"> TOC \o "1-3" \h \z \u </w:instrText>
          </w:r>
          <w:r w:rsidRPr="00F13607">
            <w:rPr>
              <w:rFonts w:ascii="Calibri" w:hAnsi="Calibri" w:cs="Calibri"/>
              <w:b/>
              <w:bCs/>
              <w:color w:val="007DA3"/>
              <w:sz w:val="40"/>
              <w:szCs w:val="40"/>
            </w:rPr>
            <w:fldChar w:fldCharType="separate"/>
          </w:r>
          <w:hyperlink w:anchor="_Toc176410407" w:history="1">
            <w:r w:rsidRPr="0043782A">
              <w:rPr>
                <w:rStyle w:val="Hyperlink"/>
                <w:rFonts w:ascii="Calibri" w:hAnsi="Calibri" w:cs="Calibri"/>
                <w:b/>
                <w:bCs/>
                <w:noProof/>
              </w:rPr>
              <w:t>SUBMISSION GUIDE FOR CLINICAL OUTCOMES DATA COLLECTION</w:t>
            </w:r>
            <w:r>
              <w:rPr>
                <w:noProof/>
                <w:webHidden/>
              </w:rPr>
              <w:tab/>
            </w:r>
            <w:r>
              <w:rPr>
                <w:noProof/>
                <w:webHidden/>
              </w:rPr>
              <w:fldChar w:fldCharType="begin"/>
            </w:r>
            <w:r>
              <w:rPr>
                <w:noProof/>
                <w:webHidden/>
              </w:rPr>
              <w:instrText xml:space="preserve"> PAGEREF _Toc176410407 \h </w:instrText>
            </w:r>
            <w:r>
              <w:rPr>
                <w:noProof/>
                <w:webHidden/>
              </w:rPr>
              <w:fldChar w:fldCharType="separate"/>
            </w:r>
            <w:r>
              <w:rPr>
                <w:noProof/>
                <w:webHidden/>
              </w:rPr>
              <w:t>1</w:t>
            </w:r>
            <w:r>
              <w:rPr>
                <w:noProof/>
                <w:webHidden/>
              </w:rPr>
              <w:fldChar w:fldCharType="end"/>
            </w:r>
          </w:hyperlink>
        </w:p>
        <w:p w:rsidR="005D6B76" w14:paraId="2E75B150" w14:textId="205223FD">
          <w:pPr>
            <w:pStyle w:val="TOC1"/>
            <w:tabs>
              <w:tab w:val="left" w:pos="440"/>
              <w:tab w:val="right" w:leader="dot" w:pos="10070"/>
            </w:tabs>
            <w:rPr>
              <w:rFonts w:asciiTheme="minorHAnsi" w:eastAsiaTheme="minorEastAsia" w:hAnsiTheme="minorHAnsi" w:cstheme="minorBidi"/>
              <w:noProof/>
              <w:kern w:val="2"/>
              <w:sz w:val="24"/>
              <w:szCs w:val="24"/>
              <w14:ligatures w14:val="standardContextual"/>
            </w:rPr>
          </w:pPr>
          <w:hyperlink w:anchor="_Toc176410408" w:history="1">
            <w:r w:rsidRPr="0043782A">
              <w:rPr>
                <w:rStyle w:val="Hyperlink"/>
                <w:rFonts w:cstheme="minorHAnsi"/>
                <w:b/>
                <w:bCs/>
                <w:noProof/>
              </w:rPr>
              <w:t>1.</w:t>
            </w:r>
            <w:r>
              <w:rPr>
                <w:rFonts w:asciiTheme="minorHAnsi" w:eastAsiaTheme="minorEastAsia" w:hAnsiTheme="minorHAnsi" w:cstheme="minorBidi"/>
                <w:noProof/>
                <w:kern w:val="2"/>
                <w:sz w:val="24"/>
                <w:szCs w:val="24"/>
                <w14:ligatures w14:val="standardContextual"/>
              </w:rPr>
              <w:tab/>
            </w:r>
            <w:r w:rsidRPr="0043782A">
              <w:rPr>
                <w:rStyle w:val="Hyperlink"/>
                <w:rFonts w:cstheme="minorHAnsi"/>
                <w:b/>
                <w:bCs/>
                <w:noProof/>
              </w:rPr>
              <w:t>About the Clinical Outcomes Data Collection</w:t>
            </w:r>
            <w:r>
              <w:rPr>
                <w:noProof/>
                <w:webHidden/>
              </w:rPr>
              <w:tab/>
            </w:r>
            <w:r>
              <w:rPr>
                <w:noProof/>
                <w:webHidden/>
              </w:rPr>
              <w:fldChar w:fldCharType="begin"/>
            </w:r>
            <w:r>
              <w:rPr>
                <w:noProof/>
                <w:webHidden/>
              </w:rPr>
              <w:instrText xml:space="preserve"> PAGEREF _Toc176410408 \h </w:instrText>
            </w:r>
            <w:r>
              <w:rPr>
                <w:noProof/>
                <w:webHidden/>
              </w:rPr>
              <w:fldChar w:fldCharType="separate"/>
            </w:r>
            <w:r>
              <w:rPr>
                <w:noProof/>
                <w:webHidden/>
              </w:rPr>
              <w:t>2</w:t>
            </w:r>
            <w:r>
              <w:rPr>
                <w:noProof/>
                <w:webHidden/>
              </w:rPr>
              <w:fldChar w:fldCharType="end"/>
            </w:r>
          </w:hyperlink>
        </w:p>
        <w:p w:rsidR="005D6B76" w14:paraId="742027A5" w14:textId="0637A58A">
          <w:pPr>
            <w:pStyle w:val="TOC1"/>
            <w:tabs>
              <w:tab w:val="left" w:pos="440"/>
              <w:tab w:val="right" w:leader="dot" w:pos="10070"/>
            </w:tabs>
            <w:rPr>
              <w:rFonts w:asciiTheme="minorHAnsi" w:eastAsiaTheme="minorEastAsia" w:hAnsiTheme="minorHAnsi" w:cstheme="minorBidi"/>
              <w:noProof/>
              <w:kern w:val="2"/>
              <w:sz w:val="24"/>
              <w:szCs w:val="24"/>
              <w14:ligatures w14:val="standardContextual"/>
            </w:rPr>
          </w:pPr>
          <w:hyperlink w:anchor="_Toc176410409" w:history="1">
            <w:r w:rsidRPr="0043782A">
              <w:rPr>
                <w:rStyle w:val="Hyperlink"/>
                <w:rFonts w:cstheme="minorHAnsi"/>
                <w:b/>
                <w:bCs/>
                <w:noProof/>
              </w:rPr>
              <w:t>2.</w:t>
            </w:r>
            <w:r>
              <w:rPr>
                <w:rFonts w:asciiTheme="minorHAnsi" w:eastAsiaTheme="minorEastAsia" w:hAnsiTheme="minorHAnsi" w:cstheme="minorBidi"/>
                <w:noProof/>
                <w:kern w:val="2"/>
                <w:sz w:val="24"/>
                <w:szCs w:val="24"/>
                <w14:ligatures w14:val="standardContextual"/>
              </w:rPr>
              <w:tab/>
            </w:r>
            <w:r w:rsidRPr="0043782A">
              <w:rPr>
                <w:rStyle w:val="Hyperlink"/>
                <w:rFonts w:cstheme="minorHAnsi"/>
                <w:b/>
                <w:bCs/>
                <w:noProof/>
              </w:rPr>
              <w:t>Clinical Outcomes Data Collection and Submission (Retrospective and Quarterly)</w:t>
            </w:r>
            <w:r>
              <w:rPr>
                <w:noProof/>
                <w:webHidden/>
              </w:rPr>
              <w:tab/>
            </w:r>
            <w:r>
              <w:rPr>
                <w:noProof/>
                <w:webHidden/>
              </w:rPr>
              <w:fldChar w:fldCharType="begin"/>
            </w:r>
            <w:r>
              <w:rPr>
                <w:noProof/>
                <w:webHidden/>
              </w:rPr>
              <w:instrText xml:space="preserve"> PAGEREF _Toc176410409 \h </w:instrText>
            </w:r>
            <w:r>
              <w:rPr>
                <w:noProof/>
                <w:webHidden/>
              </w:rPr>
              <w:fldChar w:fldCharType="separate"/>
            </w:r>
            <w:r>
              <w:rPr>
                <w:noProof/>
                <w:webHidden/>
              </w:rPr>
              <w:t>2</w:t>
            </w:r>
            <w:r>
              <w:rPr>
                <w:noProof/>
                <w:webHidden/>
              </w:rPr>
              <w:fldChar w:fldCharType="end"/>
            </w:r>
          </w:hyperlink>
        </w:p>
        <w:p w:rsidR="005D6B76" w14:paraId="109DE020" w14:textId="2C65A7EE">
          <w:pPr>
            <w:pStyle w:val="TOC1"/>
            <w:tabs>
              <w:tab w:val="left" w:pos="440"/>
              <w:tab w:val="right" w:leader="dot" w:pos="10070"/>
            </w:tabs>
            <w:rPr>
              <w:rFonts w:asciiTheme="minorHAnsi" w:eastAsiaTheme="minorEastAsia" w:hAnsiTheme="minorHAnsi" w:cstheme="minorBidi"/>
              <w:noProof/>
              <w:kern w:val="2"/>
              <w:sz w:val="24"/>
              <w:szCs w:val="24"/>
              <w14:ligatures w14:val="standardContextual"/>
            </w:rPr>
          </w:pPr>
          <w:hyperlink w:anchor="_Toc176410410" w:history="1">
            <w:r w:rsidRPr="0043782A">
              <w:rPr>
                <w:rStyle w:val="Hyperlink"/>
                <w:rFonts w:cstheme="minorHAnsi"/>
                <w:b/>
                <w:bCs/>
                <w:noProof/>
              </w:rPr>
              <w:t>3.</w:t>
            </w:r>
            <w:r>
              <w:rPr>
                <w:rFonts w:asciiTheme="minorHAnsi" w:eastAsiaTheme="minorEastAsia" w:hAnsiTheme="minorHAnsi" w:cstheme="minorBidi"/>
                <w:noProof/>
                <w:kern w:val="2"/>
                <w:sz w:val="24"/>
                <w:szCs w:val="24"/>
                <w14:ligatures w14:val="standardContextual"/>
              </w:rPr>
              <w:tab/>
            </w:r>
            <w:r w:rsidRPr="0043782A">
              <w:rPr>
                <w:rStyle w:val="Hyperlink"/>
                <w:rFonts w:cstheme="minorHAnsi"/>
                <w:b/>
                <w:bCs/>
                <w:noProof/>
              </w:rPr>
              <w:t>Clinical Outcomes Definitions and Reporting Instructions</w:t>
            </w:r>
            <w:r>
              <w:rPr>
                <w:noProof/>
                <w:webHidden/>
              </w:rPr>
              <w:tab/>
            </w:r>
            <w:r>
              <w:rPr>
                <w:noProof/>
                <w:webHidden/>
              </w:rPr>
              <w:fldChar w:fldCharType="begin"/>
            </w:r>
            <w:r>
              <w:rPr>
                <w:noProof/>
                <w:webHidden/>
              </w:rPr>
              <w:instrText xml:space="preserve"> PAGEREF _Toc176410410 \h </w:instrText>
            </w:r>
            <w:r>
              <w:rPr>
                <w:noProof/>
                <w:webHidden/>
              </w:rPr>
              <w:fldChar w:fldCharType="separate"/>
            </w:r>
            <w:r>
              <w:rPr>
                <w:noProof/>
                <w:webHidden/>
              </w:rPr>
              <w:t>2</w:t>
            </w:r>
            <w:r>
              <w:rPr>
                <w:noProof/>
                <w:webHidden/>
              </w:rPr>
              <w:fldChar w:fldCharType="end"/>
            </w:r>
          </w:hyperlink>
        </w:p>
        <w:p w:rsidR="005D6B76" w:rsidRPr="00182FDF" w14:paraId="13ABF6C8" w14:textId="5A0AA2FA">
          <w:pPr>
            <w:pStyle w:val="TOC2"/>
            <w:rPr>
              <w:rFonts w:asciiTheme="minorHAnsi" w:eastAsiaTheme="minorEastAsia" w:hAnsiTheme="minorHAnsi" w:cstheme="minorBidi"/>
              <w:kern w:val="2"/>
              <w:sz w:val="24"/>
              <w:szCs w:val="24"/>
              <w14:ligatures w14:val="standardContextual"/>
            </w:rPr>
          </w:pPr>
          <w:hyperlink w:anchor="_Toc176410411" w:history="1">
            <w:r w:rsidRPr="00182FDF">
              <w:rPr>
                <w:rStyle w:val="Hyperlink"/>
              </w:rPr>
              <w:t>3.1 Patient days - monthly</w:t>
            </w:r>
            <w:r w:rsidRPr="00182FDF">
              <w:rPr>
                <w:webHidden/>
              </w:rPr>
              <w:tab/>
            </w:r>
            <w:r w:rsidRPr="00182FDF">
              <w:rPr>
                <w:webHidden/>
              </w:rPr>
              <w:fldChar w:fldCharType="begin"/>
            </w:r>
            <w:r w:rsidRPr="00182FDF">
              <w:rPr>
                <w:webHidden/>
              </w:rPr>
              <w:instrText xml:space="preserve"> PAGEREF _Toc176410411 \h </w:instrText>
            </w:r>
            <w:r w:rsidRPr="00182FDF">
              <w:rPr>
                <w:webHidden/>
              </w:rPr>
              <w:fldChar w:fldCharType="separate"/>
            </w:r>
            <w:r w:rsidRPr="00182FDF">
              <w:rPr>
                <w:webHidden/>
              </w:rPr>
              <w:t>2</w:t>
            </w:r>
            <w:r w:rsidRPr="00182FDF">
              <w:rPr>
                <w:webHidden/>
              </w:rPr>
              <w:fldChar w:fldCharType="end"/>
            </w:r>
          </w:hyperlink>
        </w:p>
        <w:p w:rsidR="005D6B76" w:rsidRPr="004269ED" w14:paraId="47271140" w14:textId="554A8BD0">
          <w:pPr>
            <w:pStyle w:val="TOC2"/>
            <w:rPr>
              <w:rFonts w:asciiTheme="minorHAnsi" w:eastAsiaTheme="minorEastAsia" w:hAnsiTheme="minorHAnsi" w:cstheme="minorBidi"/>
              <w:kern w:val="2"/>
              <w:sz w:val="24"/>
              <w:szCs w:val="24"/>
              <w14:ligatures w14:val="standardContextual"/>
            </w:rPr>
          </w:pPr>
          <w:hyperlink w:anchor="_Toc176410412" w:history="1">
            <w:r w:rsidRPr="00296FA6">
              <w:rPr>
                <w:rStyle w:val="Hyperlink"/>
                <w:rFonts w:cstheme="minorHAnsi"/>
              </w:rPr>
              <w:t>3.2 Device days – monthly</w:t>
            </w:r>
            <w:r w:rsidRPr="004269ED">
              <w:rPr>
                <w:webHidden/>
              </w:rPr>
              <w:tab/>
            </w:r>
            <w:r w:rsidRPr="004269ED">
              <w:rPr>
                <w:webHidden/>
              </w:rPr>
              <w:fldChar w:fldCharType="begin"/>
            </w:r>
            <w:r w:rsidRPr="004269ED">
              <w:rPr>
                <w:webHidden/>
              </w:rPr>
              <w:instrText xml:space="preserve"> PAGEREF _Toc176410412 \h </w:instrText>
            </w:r>
            <w:r w:rsidRPr="004269ED">
              <w:rPr>
                <w:webHidden/>
              </w:rPr>
              <w:fldChar w:fldCharType="separate"/>
            </w:r>
            <w:r w:rsidRPr="004269ED">
              <w:rPr>
                <w:webHidden/>
              </w:rPr>
              <w:t>2</w:t>
            </w:r>
            <w:r w:rsidRPr="004269ED">
              <w:rPr>
                <w:webHidden/>
              </w:rPr>
              <w:fldChar w:fldCharType="end"/>
            </w:r>
          </w:hyperlink>
        </w:p>
        <w:p w:rsidR="005D6B76" w:rsidRPr="004269ED" w14:paraId="40CD9FBD" w14:textId="66E4BFE1">
          <w:pPr>
            <w:pStyle w:val="TOC2"/>
            <w:rPr>
              <w:rFonts w:asciiTheme="minorHAnsi" w:eastAsiaTheme="minorEastAsia" w:hAnsiTheme="minorHAnsi" w:cstheme="minorBidi"/>
              <w:kern w:val="2"/>
              <w:sz w:val="24"/>
              <w:szCs w:val="24"/>
              <w14:ligatures w14:val="standardContextual"/>
            </w:rPr>
          </w:pPr>
          <w:hyperlink w:anchor="_Toc176410413" w:history="1">
            <w:r w:rsidRPr="00296FA6">
              <w:rPr>
                <w:rStyle w:val="Hyperlink"/>
                <w:rFonts w:cstheme="minorHAnsi"/>
              </w:rPr>
              <w:t>3.3 Device-Associated Infections – monthly</w:t>
            </w:r>
            <w:r w:rsidRPr="004269ED">
              <w:rPr>
                <w:webHidden/>
              </w:rPr>
              <w:tab/>
            </w:r>
            <w:r w:rsidRPr="004269ED">
              <w:rPr>
                <w:webHidden/>
              </w:rPr>
              <w:fldChar w:fldCharType="begin"/>
            </w:r>
            <w:r w:rsidRPr="004269ED">
              <w:rPr>
                <w:webHidden/>
              </w:rPr>
              <w:instrText xml:space="preserve"> PAGEREF _Toc176410413 \h </w:instrText>
            </w:r>
            <w:r w:rsidRPr="004269ED">
              <w:rPr>
                <w:webHidden/>
              </w:rPr>
              <w:fldChar w:fldCharType="separate"/>
            </w:r>
            <w:r w:rsidRPr="004269ED">
              <w:rPr>
                <w:webHidden/>
              </w:rPr>
              <w:t>3</w:t>
            </w:r>
            <w:r w:rsidRPr="004269ED">
              <w:rPr>
                <w:webHidden/>
              </w:rPr>
              <w:fldChar w:fldCharType="end"/>
            </w:r>
          </w:hyperlink>
        </w:p>
        <w:p w:rsidR="005D6B76" w14:paraId="2B75E72F" w14:textId="71C32BBC">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176410414" w:history="1">
            <w:r w:rsidRPr="0043782A">
              <w:rPr>
                <w:rStyle w:val="Hyperlink"/>
                <w:rFonts w:ascii="Calibri" w:hAnsi="Calibri" w:cs="Calibri"/>
                <w:noProof/>
              </w:rPr>
              <w:t>Central line-associated bloodstream infection (CLABSI) – monthly (CLABSI cohort only)</w:t>
            </w:r>
            <w:r>
              <w:rPr>
                <w:noProof/>
                <w:webHidden/>
              </w:rPr>
              <w:tab/>
            </w:r>
            <w:r>
              <w:rPr>
                <w:noProof/>
                <w:webHidden/>
              </w:rPr>
              <w:fldChar w:fldCharType="begin"/>
            </w:r>
            <w:r>
              <w:rPr>
                <w:noProof/>
                <w:webHidden/>
              </w:rPr>
              <w:instrText xml:space="preserve"> PAGEREF _Toc176410414 \h </w:instrText>
            </w:r>
            <w:r>
              <w:rPr>
                <w:noProof/>
                <w:webHidden/>
              </w:rPr>
              <w:fldChar w:fldCharType="separate"/>
            </w:r>
            <w:r>
              <w:rPr>
                <w:noProof/>
                <w:webHidden/>
              </w:rPr>
              <w:t>3</w:t>
            </w:r>
            <w:r>
              <w:rPr>
                <w:noProof/>
                <w:webHidden/>
              </w:rPr>
              <w:fldChar w:fldCharType="end"/>
            </w:r>
          </w:hyperlink>
        </w:p>
        <w:p w:rsidR="005D6B76" w14:paraId="6532C186" w14:textId="4724FBC6">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176410415" w:history="1">
            <w:r w:rsidRPr="0043782A">
              <w:rPr>
                <w:rStyle w:val="Hyperlink"/>
                <w:rFonts w:ascii="Calibri" w:hAnsi="Calibri" w:cs="Calibri"/>
                <w:noProof/>
              </w:rPr>
              <w:t>Catheter-associated urinary tract infection (CAUTI) – monthly (CAUTI cohort only)</w:t>
            </w:r>
            <w:r>
              <w:rPr>
                <w:noProof/>
                <w:webHidden/>
              </w:rPr>
              <w:tab/>
            </w:r>
            <w:r>
              <w:rPr>
                <w:noProof/>
                <w:webHidden/>
              </w:rPr>
              <w:fldChar w:fldCharType="begin"/>
            </w:r>
            <w:r>
              <w:rPr>
                <w:noProof/>
                <w:webHidden/>
              </w:rPr>
              <w:instrText xml:space="preserve"> PAGEREF _Toc176410415 \h </w:instrText>
            </w:r>
            <w:r>
              <w:rPr>
                <w:noProof/>
                <w:webHidden/>
              </w:rPr>
              <w:fldChar w:fldCharType="separate"/>
            </w:r>
            <w:r>
              <w:rPr>
                <w:noProof/>
                <w:webHidden/>
              </w:rPr>
              <w:t>3</w:t>
            </w:r>
            <w:r>
              <w:rPr>
                <w:noProof/>
                <w:webHidden/>
              </w:rPr>
              <w:fldChar w:fldCharType="end"/>
            </w:r>
          </w:hyperlink>
        </w:p>
        <w:p w:rsidR="005D6B76" w14:paraId="67372E82" w14:textId="513775E3">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176410416" w:history="1">
            <w:r w:rsidRPr="0043782A">
              <w:rPr>
                <w:rStyle w:val="Hyperlink"/>
                <w:rFonts w:ascii="Calibri" w:hAnsi="Calibri" w:cs="Calibri"/>
                <w:noProof/>
              </w:rPr>
              <w:t>Ventilator-Associated Pneumonia (VAP)– monthly (VAP/VAE cohort only)</w:t>
            </w:r>
            <w:r>
              <w:rPr>
                <w:noProof/>
                <w:webHidden/>
              </w:rPr>
              <w:tab/>
            </w:r>
            <w:r>
              <w:rPr>
                <w:noProof/>
                <w:webHidden/>
              </w:rPr>
              <w:fldChar w:fldCharType="begin"/>
            </w:r>
            <w:r>
              <w:rPr>
                <w:noProof/>
                <w:webHidden/>
              </w:rPr>
              <w:instrText xml:space="preserve"> PAGEREF _Toc176410416 \h </w:instrText>
            </w:r>
            <w:r>
              <w:rPr>
                <w:noProof/>
                <w:webHidden/>
              </w:rPr>
              <w:fldChar w:fldCharType="separate"/>
            </w:r>
            <w:r>
              <w:rPr>
                <w:noProof/>
                <w:webHidden/>
              </w:rPr>
              <w:t>4</w:t>
            </w:r>
            <w:r>
              <w:rPr>
                <w:noProof/>
                <w:webHidden/>
              </w:rPr>
              <w:fldChar w:fldCharType="end"/>
            </w:r>
          </w:hyperlink>
        </w:p>
        <w:p w:rsidR="005D6B76" w14:paraId="4B002298" w14:textId="13AD18CD">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176410417" w:history="1">
            <w:r w:rsidRPr="0043782A">
              <w:rPr>
                <w:rStyle w:val="Hyperlink"/>
                <w:rFonts w:ascii="Calibri" w:hAnsi="Calibri" w:cs="Calibri"/>
                <w:noProof/>
              </w:rPr>
              <w:t>Ventilator-Associated Event – monthly (VAP/VAE cohort only)</w:t>
            </w:r>
            <w:r>
              <w:rPr>
                <w:noProof/>
                <w:webHidden/>
              </w:rPr>
              <w:tab/>
            </w:r>
            <w:r>
              <w:rPr>
                <w:noProof/>
                <w:webHidden/>
              </w:rPr>
              <w:fldChar w:fldCharType="begin"/>
            </w:r>
            <w:r>
              <w:rPr>
                <w:noProof/>
                <w:webHidden/>
              </w:rPr>
              <w:instrText xml:space="preserve"> PAGEREF _Toc176410417 \h </w:instrText>
            </w:r>
            <w:r>
              <w:rPr>
                <w:noProof/>
                <w:webHidden/>
              </w:rPr>
              <w:fldChar w:fldCharType="separate"/>
            </w:r>
            <w:r>
              <w:rPr>
                <w:noProof/>
                <w:webHidden/>
              </w:rPr>
              <w:t>4</w:t>
            </w:r>
            <w:r>
              <w:rPr>
                <w:noProof/>
                <w:webHidden/>
              </w:rPr>
              <w:fldChar w:fldCharType="end"/>
            </w:r>
          </w:hyperlink>
        </w:p>
        <w:p w:rsidR="00F13607" w:rsidRPr="00F13607" w:rsidP="00F13607" w14:paraId="1762D8BD" w14:textId="5F3BF43D">
          <w:pPr>
            <w:rPr>
              <w:rFonts w:ascii="Calibri" w:hAnsi="Calibri" w:cs="Calibri"/>
              <w:b/>
              <w:bCs/>
              <w:color w:val="007DA3"/>
              <w:sz w:val="40"/>
              <w:szCs w:val="40"/>
            </w:rPr>
          </w:pPr>
          <w:r w:rsidRPr="00F13607">
            <w:rPr>
              <w:rFonts w:ascii="Calibri" w:hAnsi="Calibri" w:cs="Calibri"/>
              <w:b/>
              <w:bCs/>
              <w:color w:val="007DA3"/>
              <w:sz w:val="40"/>
              <w:szCs w:val="40"/>
            </w:rPr>
            <w:fldChar w:fldCharType="end"/>
          </w:r>
        </w:p>
      </w:sdtContent>
    </w:sdt>
    <w:p w:rsidR="00613431" w:rsidRPr="00080473" w:rsidP="00080473" w14:paraId="5CFFF0AB" w14:textId="79312E02">
      <w:pPr>
        <w:pStyle w:val="Heading1"/>
        <w:rPr>
          <w:rFonts w:asciiTheme="minorHAnsi" w:hAnsiTheme="minorHAnsi" w:cstheme="minorHAnsi"/>
          <w:b/>
          <w:bCs/>
        </w:rPr>
      </w:pPr>
      <w:r w:rsidRPr="00F13607">
        <w:rPr>
          <w:rFonts w:ascii="Calibri" w:hAnsi="Calibri" w:cs="Calibri"/>
          <w:b/>
          <w:bCs/>
          <w:color w:val="007DA3"/>
          <w:sz w:val="40"/>
          <w:szCs w:val="40"/>
        </w:rPr>
        <w:br w:type="page"/>
      </w:r>
      <w:bookmarkStart w:id="1" w:name="_Toc175630397"/>
      <w:bookmarkStart w:id="2" w:name="_Toc175635072"/>
      <w:bookmarkStart w:id="3" w:name="_Toc175630398"/>
      <w:bookmarkStart w:id="4" w:name="_Toc175635073"/>
      <w:bookmarkStart w:id="5" w:name="_Toc176410408"/>
      <w:bookmarkEnd w:id="1"/>
      <w:bookmarkEnd w:id="2"/>
      <w:bookmarkEnd w:id="3"/>
      <w:bookmarkEnd w:id="4"/>
      <w:r w:rsidRPr="00080473" w:rsidR="00E254F7">
        <w:rPr>
          <w:rFonts w:asciiTheme="minorHAnsi" w:hAnsiTheme="minorHAnsi" w:cstheme="minorHAnsi"/>
          <w:b/>
          <w:bCs/>
        </w:rPr>
        <w:t>About the C</w:t>
      </w:r>
      <w:r w:rsidRPr="00080473">
        <w:rPr>
          <w:rFonts w:asciiTheme="minorHAnsi" w:hAnsiTheme="minorHAnsi" w:cstheme="minorHAnsi"/>
          <w:b/>
          <w:bCs/>
        </w:rPr>
        <w:t xml:space="preserve">linical Outcomes </w:t>
      </w:r>
      <w:r w:rsidRPr="00080473" w:rsidR="00E81FC1">
        <w:rPr>
          <w:rFonts w:asciiTheme="minorHAnsi" w:hAnsiTheme="minorHAnsi" w:cstheme="minorHAnsi"/>
          <w:b/>
          <w:bCs/>
        </w:rPr>
        <w:t>Data Co</w:t>
      </w:r>
      <w:r w:rsidRPr="00080473" w:rsidR="00E254F7">
        <w:rPr>
          <w:rFonts w:asciiTheme="minorHAnsi" w:hAnsiTheme="minorHAnsi" w:cstheme="minorHAnsi"/>
          <w:b/>
          <w:bCs/>
        </w:rPr>
        <w:t>llection</w:t>
      </w:r>
      <w:bookmarkEnd w:id="5"/>
    </w:p>
    <w:p w:rsidR="00A24C53" w:rsidRPr="00080473" w:rsidP="00080473" w14:paraId="5F3990B9" w14:textId="72AF8446">
      <w:pPr>
        <w:pStyle w:val="BodyText"/>
        <w:rPr>
          <w:rFonts w:ascii="Calibri" w:hAnsi="Calibri" w:cs="Calibri"/>
          <w:sz w:val="22"/>
          <w:szCs w:val="22"/>
        </w:rPr>
      </w:pPr>
      <w:r w:rsidRPr="00080473">
        <w:rPr>
          <w:rFonts w:ascii="Calibri" w:hAnsi="Calibri" w:cs="Calibri"/>
          <w:spacing w:val="-1"/>
          <w:sz w:val="22"/>
          <w:szCs w:val="22"/>
        </w:rPr>
        <w:t>The</w:t>
      </w:r>
      <w:r w:rsidRPr="00080473">
        <w:rPr>
          <w:rFonts w:ascii="Calibri" w:hAnsi="Calibri" w:cs="Calibri"/>
          <w:i/>
          <w:iCs/>
          <w:spacing w:val="-1"/>
          <w:sz w:val="22"/>
          <w:szCs w:val="22"/>
        </w:rPr>
        <w:t xml:space="preserve"> AHRQ Safety Program for H</w:t>
      </w:r>
      <w:r w:rsidR="008D5990">
        <w:rPr>
          <w:rFonts w:ascii="Calibri" w:hAnsi="Calibri" w:cs="Calibri"/>
          <w:i/>
          <w:iCs/>
          <w:spacing w:val="-1"/>
          <w:sz w:val="22"/>
          <w:szCs w:val="22"/>
        </w:rPr>
        <w:t>ealthcare</w:t>
      </w:r>
      <w:r w:rsidRPr="00080473">
        <w:rPr>
          <w:rFonts w:ascii="Calibri" w:hAnsi="Calibri" w:cs="Calibri"/>
          <w:i/>
          <w:iCs/>
          <w:spacing w:val="-1"/>
          <w:sz w:val="22"/>
          <w:szCs w:val="22"/>
        </w:rPr>
        <w:t xml:space="preserve"> Associated Infection (HAI) Prevention</w:t>
      </w:r>
      <w:r w:rsidRPr="00080473">
        <w:rPr>
          <w:rFonts w:ascii="Calibri" w:hAnsi="Calibri" w:cs="Calibri"/>
          <w:spacing w:val="-1"/>
          <w:sz w:val="22"/>
          <w:szCs w:val="22"/>
        </w:rPr>
        <w:t xml:space="preserve"> is collecting unit-level </w:t>
      </w:r>
      <w:r w:rsidRPr="00080473">
        <w:rPr>
          <w:rFonts w:ascii="Calibri" w:hAnsi="Calibri" w:cs="Calibri"/>
          <w:sz w:val="22"/>
          <w:szCs w:val="22"/>
        </w:rPr>
        <w:t xml:space="preserve">clinical outcomes data to assess hospital-associated infection </w:t>
      </w:r>
      <w:r w:rsidRPr="00080473" w:rsidR="00EC0516">
        <w:rPr>
          <w:rFonts w:ascii="Calibri" w:hAnsi="Calibri" w:cs="Calibri"/>
          <w:sz w:val="22"/>
          <w:szCs w:val="22"/>
        </w:rPr>
        <w:t xml:space="preserve">(HAI) </w:t>
      </w:r>
      <w:r w:rsidRPr="00080473">
        <w:rPr>
          <w:rFonts w:ascii="Calibri" w:hAnsi="Calibri" w:cs="Calibri"/>
          <w:sz w:val="22"/>
          <w:szCs w:val="22"/>
        </w:rPr>
        <w:t xml:space="preserve">rates across the program. </w:t>
      </w:r>
      <w:r w:rsidRPr="00080473" w:rsidR="00613431">
        <w:rPr>
          <w:rFonts w:ascii="Calibri" w:hAnsi="Calibri" w:cs="Calibri"/>
          <w:sz w:val="22"/>
          <w:szCs w:val="22"/>
        </w:rPr>
        <w:t xml:space="preserve">Participating units will </w:t>
      </w:r>
      <w:r w:rsidRPr="00080473">
        <w:rPr>
          <w:rFonts w:ascii="Calibri" w:hAnsi="Calibri" w:cs="Calibri"/>
          <w:sz w:val="22"/>
          <w:szCs w:val="22"/>
        </w:rPr>
        <w:t xml:space="preserve">either extract </w:t>
      </w:r>
      <w:r w:rsidRPr="00080473" w:rsidR="00613431">
        <w:rPr>
          <w:rFonts w:ascii="Calibri" w:hAnsi="Calibri" w:cs="Calibri"/>
          <w:sz w:val="22"/>
          <w:szCs w:val="22"/>
        </w:rPr>
        <w:t xml:space="preserve">clinical outcomes data </w:t>
      </w:r>
      <w:r w:rsidRPr="00080473">
        <w:rPr>
          <w:rFonts w:ascii="Calibri" w:hAnsi="Calibri" w:cs="Calibri"/>
          <w:sz w:val="22"/>
          <w:szCs w:val="22"/>
        </w:rPr>
        <w:t xml:space="preserve">from their Electronic Health Records (EHRs) and submit </w:t>
      </w:r>
      <w:r w:rsidRPr="00080473" w:rsidR="00613431">
        <w:rPr>
          <w:rFonts w:ascii="Calibri" w:hAnsi="Calibri" w:cs="Calibri"/>
          <w:spacing w:val="-1"/>
          <w:sz w:val="22"/>
          <w:szCs w:val="22"/>
        </w:rPr>
        <w:t>via the</w:t>
      </w:r>
      <w:r w:rsidRPr="00080473">
        <w:rPr>
          <w:rFonts w:ascii="Calibri" w:hAnsi="Calibri" w:cs="Calibri"/>
          <w:i/>
          <w:iCs/>
          <w:spacing w:val="-1"/>
          <w:sz w:val="22"/>
          <w:szCs w:val="22"/>
        </w:rPr>
        <w:t xml:space="preserve"> </w:t>
      </w:r>
      <w:r w:rsidRPr="00080473" w:rsidR="00613431">
        <w:rPr>
          <w:rFonts w:ascii="Calibri" w:hAnsi="Calibri" w:cs="Calibri"/>
          <w:spacing w:val="-1"/>
          <w:sz w:val="22"/>
          <w:szCs w:val="22"/>
        </w:rPr>
        <w:t>secure program website</w:t>
      </w:r>
      <w:r w:rsidRPr="00080473">
        <w:rPr>
          <w:rFonts w:ascii="Calibri" w:hAnsi="Calibri" w:cs="Calibri"/>
          <w:spacing w:val="-1"/>
          <w:sz w:val="22"/>
          <w:szCs w:val="22"/>
        </w:rPr>
        <w:t xml:space="preserve"> OR confer National Healthcare Safety Network (NHSN) data rights to the program group to eliminate data collection burden.</w:t>
      </w:r>
      <w:r w:rsidRPr="00080473" w:rsidR="00613431">
        <w:rPr>
          <w:rFonts w:ascii="Calibri" w:hAnsi="Calibri" w:cs="Calibri"/>
          <w:spacing w:val="-1"/>
          <w:sz w:val="22"/>
          <w:szCs w:val="22"/>
        </w:rPr>
        <w:t xml:space="preserve"> </w:t>
      </w:r>
      <w:r w:rsidRPr="00080473" w:rsidR="00613431">
        <w:rPr>
          <w:rFonts w:ascii="Calibri" w:hAnsi="Calibri" w:cs="Calibri"/>
          <w:sz w:val="22"/>
          <w:szCs w:val="22"/>
        </w:rPr>
        <w:t xml:space="preserve">See the table below to review the outcomes collected for the </w:t>
      </w:r>
      <w:r w:rsidRPr="00080473">
        <w:rPr>
          <w:rFonts w:ascii="Calibri" w:hAnsi="Calibri" w:cs="Calibri"/>
          <w:sz w:val="22"/>
          <w:szCs w:val="22"/>
        </w:rPr>
        <w:t>program</w:t>
      </w:r>
      <w:r w:rsidRPr="00080473" w:rsidR="00613431">
        <w:rPr>
          <w:rFonts w:ascii="Calibri" w:hAnsi="Calibri" w:cs="Calibri"/>
          <w:sz w:val="22"/>
          <w:szCs w:val="22"/>
        </w:rPr>
        <w:t>.</w:t>
      </w:r>
    </w:p>
    <w:p w:rsidR="0035612A" w:rsidRPr="00080473" w:rsidP="00080473" w14:paraId="0EF7B650" w14:textId="77777777">
      <w:pPr>
        <w:pStyle w:val="BodyText"/>
        <w:rPr>
          <w:rFonts w:ascii="Calibri" w:hAnsi="Calibri" w:cs="Calibri"/>
          <w:sz w:val="22"/>
          <w:szCs w:val="22"/>
        </w:rPr>
      </w:pPr>
    </w:p>
    <w:tbl>
      <w:tblPr>
        <w:tblStyle w:val="TableGrid1"/>
        <w:tblW w:w="9085" w:type="dxa"/>
        <w:tblInd w:w="720" w:type="dxa"/>
        <w:tblLook w:val="0420"/>
      </w:tblPr>
      <w:tblGrid>
        <w:gridCol w:w="9085"/>
      </w:tblGrid>
      <w:tr w14:paraId="038E4DA9" w14:textId="77777777" w:rsidTr="00613431">
        <w:tblPrEx>
          <w:tblW w:w="9085" w:type="dxa"/>
          <w:tblInd w:w="720" w:type="dxa"/>
          <w:tblLook w:val="0420"/>
        </w:tblPrEx>
        <w:trPr>
          <w:trHeight w:val="305"/>
        </w:trPr>
        <w:tc>
          <w:tcPr>
            <w:tcW w:w="9085" w:type="dxa"/>
            <w:tcBorders>
              <w:top w:val="single" w:sz="4" w:space="0" w:color="auto"/>
              <w:left w:val="single" w:sz="4" w:space="0" w:color="auto"/>
              <w:bottom w:val="single" w:sz="4" w:space="0" w:color="auto"/>
              <w:right w:val="single" w:sz="4" w:space="0" w:color="auto"/>
            </w:tcBorders>
            <w:shd w:val="clear" w:color="auto" w:fill="A5A5A5"/>
            <w:hideMark/>
          </w:tcPr>
          <w:p w:rsidR="00613431" w:rsidRPr="00E12247" w:rsidP="00E12247" w14:paraId="36989BCD" w14:textId="77777777">
            <w:pPr>
              <w:jc w:val="center"/>
              <w:rPr>
                <w:rFonts w:ascii="Calibri" w:eastAsia="Calibri" w:hAnsi="Calibri" w:cs="Calibri"/>
                <w:b/>
                <w:bCs/>
              </w:rPr>
            </w:pPr>
            <w:r w:rsidRPr="00E12247">
              <w:rPr>
                <w:rFonts w:ascii="Calibri" w:eastAsia="Calibri" w:hAnsi="Calibri" w:cs="Calibri"/>
                <w:b/>
                <w:bCs/>
              </w:rPr>
              <w:t>Clinical Outcomes Collected</w:t>
            </w:r>
          </w:p>
        </w:tc>
      </w:tr>
      <w:tr w14:paraId="5CC6475C" w14:textId="77777777" w:rsidTr="00613431">
        <w:tblPrEx>
          <w:tblW w:w="9085" w:type="dxa"/>
          <w:tblInd w:w="720" w:type="dxa"/>
          <w:tblLook w:val="0420"/>
        </w:tblPrEx>
        <w:trPr>
          <w:trHeight w:val="520"/>
        </w:trPr>
        <w:tc>
          <w:tcPr>
            <w:tcW w:w="9085" w:type="dxa"/>
            <w:tcBorders>
              <w:top w:val="single" w:sz="4" w:space="0" w:color="auto"/>
              <w:left w:val="single" w:sz="4" w:space="0" w:color="auto"/>
              <w:bottom w:val="single" w:sz="4" w:space="0" w:color="auto"/>
              <w:right w:val="single" w:sz="4" w:space="0" w:color="auto"/>
            </w:tcBorders>
            <w:hideMark/>
          </w:tcPr>
          <w:p w:rsidR="00231484" w:rsidRPr="00080473" w:rsidP="00080473" w14:paraId="60ED9C10" w14:textId="27D34816">
            <w:pPr>
              <w:numPr>
                <w:ilvl w:val="0"/>
                <w:numId w:val="18"/>
              </w:numPr>
              <w:rPr>
                <w:rFonts w:ascii="Calibri" w:eastAsia="Calibri" w:hAnsi="Calibri" w:cs="Calibri"/>
              </w:rPr>
            </w:pPr>
            <w:r w:rsidRPr="00B235B7">
              <w:rPr>
                <w:rFonts w:ascii="Calibri" w:eastAsia="Calibri" w:hAnsi="Calibri" w:cs="Calibri"/>
              </w:rPr>
              <w:t>Patient Days</w:t>
            </w:r>
            <w:r w:rsidRPr="00231484">
              <w:rPr>
                <w:rFonts w:ascii="Calibri" w:eastAsia="Calibri" w:hAnsi="Calibri" w:cs="Calibri"/>
                <w:b/>
                <w:bCs/>
              </w:rPr>
              <w:t xml:space="preserve"> </w:t>
            </w:r>
          </w:p>
          <w:p w:rsidR="0074020C" w:rsidRPr="00080473" w:rsidP="00080473" w14:paraId="52C0F512" w14:textId="18CF8335">
            <w:pPr>
              <w:numPr>
                <w:ilvl w:val="0"/>
                <w:numId w:val="18"/>
              </w:numPr>
              <w:rPr>
                <w:rFonts w:ascii="Calibri" w:eastAsia="Calibri" w:hAnsi="Calibri" w:cs="Calibri"/>
              </w:rPr>
            </w:pPr>
            <w:r w:rsidRPr="00080473">
              <w:rPr>
                <w:rFonts w:ascii="Calibri" w:eastAsia="Calibri" w:hAnsi="Calibri" w:cs="Calibri"/>
              </w:rPr>
              <w:t xml:space="preserve">Device </w:t>
            </w:r>
            <w:r w:rsidRPr="00080473" w:rsidR="00377E45">
              <w:rPr>
                <w:rFonts w:ascii="Calibri" w:eastAsia="Calibri" w:hAnsi="Calibri" w:cs="Calibri"/>
              </w:rPr>
              <w:t>Days</w:t>
            </w:r>
          </w:p>
          <w:p w:rsidR="007E1A7E" w:rsidRPr="00080473" w:rsidP="00080473" w14:paraId="2F0E9065" w14:textId="76776BDE">
            <w:pPr>
              <w:numPr>
                <w:ilvl w:val="0"/>
                <w:numId w:val="18"/>
              </w:numPr>
              <w:rPr>
                <w:rFonts w:ascii="Calibri" w:eastAsia="Calibri" w:hAnsi="Calibri" w:cs="Calibri"/>
              </w:rPr>
            </w:pPr>
            <w:r w:rsidRPr="000942CF">
              <w:rPr>
                <w:rFonts w:ascii="Calibri" w:eastAsia="Calibri" w:hAnsi="Calibri" w:cs="Calibri"/>
              </w:rPr>
              <w:t>Device-Associated Infections</w:t>
            </w:r>
            <w:r>
              <w:rPr>
                <w:rFonts w:ascii="Calibri" w:eastAsia="Calibri" w:hAnsi="Calibri" w:cs="Calibri"/>
              </w:rPr>
              <w:t xml:space="preserve"> – central line-associated bloodstream infections (C</w:t>
            </w:r>
            <w:r w:rsidRPr="000942CF">
              <w:rPr>
                <w:rFonts w:ascii="Calibri" w:eastAsia="Calibri" w:hAnsi="Calibri" w:cs="Calibri"/>
              </w:rPr>
              <w:t>LABSI</w:t>
            </w:r>
            <w:r>
              <w:rPr>
                <w:rFonts w:ascii="Calibri" w:eastAsia="Calibri" w:hAnsi="Calibri" w:cs="Calibri"/>
              </w:rPr>
              <w:t>)</w:t>
            </w:r>
            <w:r w:rsidRPr="000942CF">
              <w:rPr>
                <w:rFonts w:ascii="Calibri" w:eastAsia="Calibri" w:hAnsi="Calibri" w:cs="Calibri"/>
              </w:rPr>
              <w:t xml:space="preserve">, </w:t>
            </w:r>
            <w:r>
              <w:rPr>
                <w:rFonts w:ascii="Calibri" w:eastAsia="Calibri" w:hAnsi="Calibri" w:cs="Calibri"/>
              </w:rPr>
              <w:t>catheter-associated urinary tract infections (</w:t>
            </w:r>
            <w:r w:rsidRPr="000942CF">
              <w:rPr>
                <w:rFonts w:ascii="Calibri" w:eastAsia="Calibri" w:hAnsi="Calibri" w:cs="Calibri"/>
              </w:rPr>
              <w:t>CAUTI</w:t>
            </w:r>
            <w:r>
              <w:rPr>
                <w:rFonts w:ascii="Calibri" w:eastAsia="Calibri" w:hAnsi="Calibri" w:cs="Calibri"/>
              </w:rPr>
              <w:t>)</w:t>
            </w:r>
            <w:r w:rsidRPr="000942CF">
              <w:rPr>
                <w:rFonts w:ascii="Calibri" w:eastAsia="Calibri" w:hAnsi="Calibri" w:cs="Calibri"/>
              </w:rPr>
              <w:t xml:space="preserve">, or </w:t>
            </w:r>
            <w:r>
              <w:rPr>
                <w:rFonts w:ascii="Calibri" w:eastAsia="Calibri" w:hAnsi="Calibri" w:cs="Calibri"/>
              </w:rPr>
              <w:t>ventilator-associated pneumonia/ventilator-associated event (</w:t>
            </w:r>
            <w:r w:rsidRPr="000942CF">
              <w:rPr>
                <w:rFonts w:ascii="Calibri" w:eastAsia="Calibri" w:hAnsi="Calibri" w:cs="Calibri"/>
              </w:rPr>
              <w:t>VAP/VAE)</w:t>
            </w:r>
          </w:p>
        </w:tc>
      </w:tr>
    </w:tbl>
    <w:p w:rsidR="00E254F7" w:rsidRPr="00613431" w:rsidP="00080473" w14:paraId="219A24DC" w14:textId="77777777">
      <w:pPr>
        <w:widowControl/>
        <w:autoSpaceDE/>
        <w:autoSpaceDN/>
        <w:spacing w:line="276" w:lineRule="auto"/>
        <w:rPr>
          <w:rFonts w:ascii="Calibri" w:eastAsia="Calibri" w:hAnsi="Calibri" w:cs="Times New Roman"/>
        </w:rPr>
      </w:pPr>
    </w:p>
    <w:p w:rsidR="00E254F7" w:rsidRPr="00080473" w:rsidP="00E254F7" w14:paraId="7B375DFB" w14:textId="1CEA649F">
      <w:pPr>
        <w:pStyle w:val="Heading1"/>
        <w:rPr>
          <w:rFonts w:asciiTheme="minorHAnsi" w:hAnsiTheme="minorHAnsi" w:cstheme="minorHAnsi"/>
          <w:b/>
          <w:bCs/>
        </w:rPr>
      </w:pPr>
      <w:bookmarkStart w:id="6" w:name="_Toc176410409"/>
      <w:r w:rsidRPr="00080473">
        <w:rPr>
          <w:rFonts w:asciiTheme="minorHAnsi" w:hAnsiTheme="minorHAnsi" w:cstheme="minorHAnsi"/>
          <w:b/>
          <w:bCs/>
        </w:rPr>
        <w:t>Clinical Outcomes Data Collection and Submission (Retrospective and Quarterly)</w:t>
      </w:r>
      <w:bookmarkEnd w:id="6"/>
    </w:p>
    <w:p w:rsidR="00E254F7" w:rsidP="00A24C53" w14:paraId="03B826D5" w14:textId="1BCD6F1E">
      <w:pPr>
        <w:pStyle w:val="BodyText"/>
        <w:rPr>
          <w:rFonts w:ascii="Calibri" w:hAnsi="Calibri" w:cs="Calibri"/>
          <w:sz w:val="22"/>
          <w:szCs w:val="22"/>
        </w:rPr>
      </w:pPr>
      <w:r w:rsidRPr="00080473">
        <w:rPr>
          <w:rFonts w:ascii="Calibri" w:hAnsi="Calibri" w:cs="Calibri"/>
          <w:bCs/>
          <w:sz w:val="22"/>
          <w:szCs w:val="22"/>
        </w:rPr>
        <w:t xml:space="preserve">Clinical outcomes data will be </w:t>
      </w:r>
      <w:r w:rsidRPr="00080473">
        <w:rPr>
          <w:rFonts w:ascii="Calibri" w:hAnsi="Calibri" w:cs="Calibri"/>
          <w:sz w:val="22"/>
          <w:szCs w:val="22"/>
        </w:rPr>
        <w:t xml:space="preserve">collected at multiple points during the program. These data are to be collected and submitted for each month of the program on a quarterly basis, as well as submitted for twelve retrospective months. Each month’s data will be entered into a separate form. We strongly recommend designating a specific Data Provider or Coordinator to be responsible for collecting and submitting these data to ensure consistent data collection, along with identifying a backup for these submissions. </w:t>
      </w:r>
    </w:p>
    <w:p w:rsidR="00A24C53" w:rsidRPr="00080473" w:rsidP="00080473" w14:paraId="708789A8" w14:textId="77777777">
      <w:pPr>
        <w:pStyle w:val="BodyText"/>
        <w:rPr>
          <w:rFonts w:ascii="Calibri" w:hAnsi="Calibri" w:cs="Calibri"/>
          <w:sz w:val="22"/>
          <w:szCs w:val="22"/>
        </w:rPr>
      </w:pPr>
    </w:p>
    <w:p w:rsidR="002C167B" w:rsidP="00A24C53" w14:paraId="038F3B4F" w14:textId="675707A0">
      <w:pPr>
        <w:pStyle w:val="BodyText"/>
        <w:rPr>
          <w:rFonts w:ascii="Calibri" w:hAnsi="Calibri" w:cs="Calibri"/>
          <w:sz w:val="22"/>
          <w:szCs w:val="22"/>
        </w:rPr>
      </w:pPr>
      <w:r w:rsidRPr="00080473">
        <w:rPr>
          <w:rFonts w:ascii="Calibri" w:hAnsi="Calibri" w:cs="Calibri"/>
          <w:sz w:val="22"/>
          <w:szCs w:val="22"/>
        </w:rPr>
        <w:t xml:space="preserve">We anticipate data collection will take longer for the initial retrospective data pull estimating to take 3.5 hours, and subsequent quarterly data pulls will take 30 minutes per quarter. If your hospital confers NHSN data rights to the program, </w:t>
      </w:r>
      <w:r w:rsidRPr="00080473" w:rsidR="009A7163">
        <w:rPr>
          <w:rFonts w:ascii="Calibri" w:hAnsi="Calibri" w:cs="Calibri"/>
          <w:sz w:val="22"/>
          <w:szCs w:val="22"/>
        </w:rPr>
        <w:t>no submission time is needed as data will automatically be shared.</w:t>
      </w:r>
    </w:p>
    <w:p w:rsidR="00A24C53" w:rsidRPr="00080473" w:rsidP="00080473" w14:paraId="267029C1" w14:textId="77777777">
      <w:pPr>
        <w:pStyle w:val="BodyText"/>
        <w:rPr>
          <w:rFonts w:ascii="Calibri" w:hAnsi="Calibri" w:cs="Calibri"/>
          <w:sz w:val="20"/>
          <w:szCs w:val="20"/>
        </w:rPr>
      </w:pPr>
    </w:p>
    <w:p w:rsidR="0035612A" w:rsidRPr="00080473" w:rsidP="00080473" w14:paraId="166A29ED" w14:textId="2E801745">
      <w:pPr>
        <w:pStyle w:val="Heading1"/>
        <w:rPr>
          <w:rFonts w:asciiTheme="minorHAnsi" w:hAnsiTheme="minorHAnsi" w:cstheme="minorHAnsi"/>
          <w:b/>
          <w:bCs/>
        </w:rPr>
      </w:pPr>
      <w:bookmarkStart w:id="7" w:name="_Toc176410410"/>
      <w:r w:rsidRPr="00080473">
        <w:rPr>
          <w:rFonts w:asciiTheme="minorHAnsi" w:hAnsiTheme="minorHAnsi" w:cstheme="minorHAnsi"/>
          <w:b/>
          <w:bCs/>
        </w:rPr>
        <w:t>Clinical Outcomes Definitions</w:t>
      </w:r>
      <w:r w:rsidRPr="00080473" w:rsidR="007E1A7E">
        <w:rPr>
          <w:rFonts w:asciiTheme="minorHAnsi" w:hAnsiTheme="minorHAnsi" w:cstheme="minorHAnsi"/>
          <w:b/>
          <w:bCs/>
        </w:rPr>
        <w:t xml:space="preserve"> and </w:t>
      </w:r>
      <w:r w:rsidRPr="00080473" w:rsidR="00F13607">
        <w:rPr>
          <w:rFonts w:asciiTheme="minorHAnsi" w:hAnsiTheme="minorHAnsi" w:cstheme="minorHAnsi"/>
          <w:b/>
          <w:bCs/>
        </w:rPr>
        <w:t xml:space="preserve">Reporting </w:t>
      </w:r>
      <w:r w:rsidRPr="00080473" w:rsidR="007E1A7E">
        <w:rPr>
          <w:rFonts w:asciiTheme="minorHAnsi" w:hAnsiTheme="minorHAnsi" w:cstheme="minorHAnsi"/>
          <w:b/>
          <w:bCs/>
        </w:rPr>
        <w:t>Instructions</w:t>
      </w:r>
      <w:bookmarkEnd w:id="7"/>
    </w:p>
    <w:p w:rsidR="009A7163" w:rsidRPr="00080473" w:rsidP="00080473" w14:paraId="5A431AA6" w14:textId="6B9C4491">
      <w:pPr>
        <w:pStyle w:val="Heading2"/>
        <w:ind w:left="0" w:firstLine="0"/>
        <w:rPr>
          <w:rFonts w:ascii="Calibri" w:hAnsi="Calibri" w:cs="Calibri"/>
          <w:b/>
          <w:bCs/>
          <w:i/>
          <w:iCs/>
          <w:color w:val="auto"/>
        </w:rPr>
      </w:pPr>
      <w:bookmarkStart w:id="8" w:name="_Toc176410411"/>
      <w:r>
        <w:rPr>
          <w:rFonts w:ascii="Calibri" w:hAnsi="Calibri" w:cs="Calibri"/>
          <w:b/>
          <w:bCs/>
          <w:i/>
          <w:iCs/>
          <w:color w:val="auto"/>
        </w:rPr>
        <w:t xml:space="preserve">3.1 </w:t>
      </w:r>
      <w:r w:rsidRPr="00080473">
        <w:rPr>
          <w:rFonts w:ascii="Calibri" w:hAnsi="Calibri" w:cs="Calibri"/>
          <w:b/>
          <w:bCs/>
          <w:i/>
          <w:iCs/>
          <w:color w:val="auto"/>
        </w:rPr>
        <w:t>Patient days - monthly</w:t>
      </w:r>
      <w:bookmarkEnd w:id="8"/>
    </w:p>
    <w:p w:rsidR="009A7163" w:rsidRPr="00080473" w:rsidP="00080473" w14:paraId="7B61F24F" w14:textId="77777777">
      <w:pPr>
        <w:pStyle w:val="NoSpacing"/>
        <w:numPr>
          <w:ilvl w:val="0"/>
          <w:numId w:val="34"/>
        </w:numPr>
        <w:rPr>
          <w:rFonts w:ascii="Calibri" w:hAnsi="Calibri" w:cs="Calibri"/>
        </w:rPr>
      </w:pPr>
      <w:r w:rsidRPr="00080473">
        <w:rPr>
          <w:rFonts w:ascii="Calibri" w:hAnsi="Calibri" w:cs="Calibri"/>
        </w:rPr>
        <w:t xml:space="preserve">Patient days are defined as a count of the number of patients in a patient care location during a defined time period. This count can be determined electronically or manually by a daily count or, depending on the location type, weekly sampling. </w:t>
      </w:r>
    </w:p>
    <w:p w:rsidR="009A7163" w:rsidRPr="00080473" w:rsidP="00080473" w14:paraId="64DC0438" w14:textId="2DF43A34">
      <w:pPr>
        <w:pStyle w:val="NoSpacing"/>
        <w:numPr>
          <w:ilvl w:val="0"/>
          <w:numId w:val="34"/>
        </w:numPr>
        <w:rPr>
          <w:rFonts w:asciiTheme="minorHAnsi" w:hAnsiTheme="minorHAnsi" w:cstheme="minorHAnsi"/>
        </w:rPr>
      </w:pPr>
      <w:r w:rsidRPr="00080473">
        <w:rPr>
          <w:rFonts w:asciiTheme="minorHAnsi" w:hAnsiTheme="minorHAnsi" w:cstheme="minorHAnsi"/>
        </w:rPr>
        <w:t>As defined using existing Centers for Disease Control and Prevention (CDC), National Healthcare Safety Network (NHSN) definitions (updated January 202</w:t>
      </w:r>
      <w:r w:rsidR="00E126CE">
        <w:rPr>
          <w:rFonts w:asciiTheme="minorHAnsi" w:hAnsiTheme="minorHAnsi" w:cstheme="minorHAnsi"/>
        </w:rPr>
        <w:t>5</w:t>
      </w:r>
      <w:r w:rsidRPr="00080473">
        <w:rPr>
          <w:rFonts w:asciiTheme="minorHAnsi" w:hAnsiTheme="minorHAnsi" w:cstheme="minorHAnsi"/>
        </w:rPr>
        <w:t>). Available at:</w:t>
      </w:r>
      <w:r w:rsidRPr="00080473">
        <w:rPr>
          <w:rFonts w:eastAsia="Calibri" w:asciiTheme="minorHAnsi" w:hAnsiTheme="minorHAnsi" w:cstheme="minorHAnsi"/>
        </w:rPr>
        <w:t xml:space="preserve"> </w:t>
      </w:r>
      <w:hyperlink r:id="rId7" w:history="1">
        <w:r w:rsidRPr="00080473">
          <w:rPr>
            <w:rStyle w:val="Hyperlink"/>
            <w:rFonts w:eastAsia="Calibri" w:asciiTheme="minorHAnsi" w:hAnsiTheme="minorHAnsi" w:cstheme="minorHAnsi"/>
          </w:rPr>
          <w:t>https://www.cdc.gov/nhsn/pdfs/pscmanual/pcsmanual_current.pdf</w:t>
        </w:r>
      </w:hyperlink>
      <w:r w:rsidRPr="00080473">
        <w:rPr>
          <w:rFonts w:eastAsia="Calibri" w:asciiTheme="minorHAnsi" w:hAnsiTheme="minorHAnsi" w:cstheme="minorHAnsi"/>
          <w:color w:val="D13438"/>
        </w:rPr>
        <w:t xml:space="preserve"> </w:t>
      </w:r>
    </w:p>
    <w:p w:rsidR="0046337B" w:rsidRPr="00080473" w:rsidP="00080473" w14:paraId="33AE443A" w14:textId="77777777">
      <w:pPr>
        <w:pStyle w:val="NoSpacing"/>
        <w:numPr>
          <w:ilvl w:val="1"/>
          <w:numId w:val="34"/>
        </w:numPr>
        <w:rPr>
          <w:rFonts w:asciiTheme="minorHAnsi" w:hAnsiTheme="minorHAnsi" w:cstheme="minorHAnsi"/>
        </w:rPr>
      </w:pPr>
      <w:r w:rsidRPr="00080473">
        <w:rPr>
          <w:rFonts w:asciiTheme="minorHAnsi" w:hAnsiTheme="minorHAnsi" w:cstheme="minorHAnsi"/>
        </w:rPr>
        <w:t>Reporting Instructions:</w:t>
      </w:r>
    </w:p>
    <w:p w:rsidR="009A7163" w:rsidRPr="00080473" w:rsidP="00080473" w14:paraId="679AB434" w14:textId="7ADF39B2">
      <w:pPr>
        <w:pStyle w:val="NoSpacing"/>
        <w:numPr>
          <w:ilvl w:val="2"/>
          <w:numId w:val="36"/>
        </w:numPr>
        <w:rPr>
          <w:rFonts w:asciiTheme="minorHAnsi" w:hAnsiTheme="minorHAnsi" w:cstheme="minorHAnsi"/>
        </w:rPr>
      </w:pPr>
      <w:r w:rsidRPr="00080473">
        <w:rPr>
          <w:rFonts w:asciiTheme="minorHAnsi" w:hAnsiTheme="minorHAnsi" w:cstheme="minorHAnsi"/>
        </w:rPr>
        <w:t>Count the</w:t>
      </w:r>
      <w:r w:rsidRPr="00080473">
        <w:rPr>
          <w:rFonts w:asciiTheme="minorHAnsi" w:hAnsiTheme="minorHAnsi" w:cstheme="minorHAnsi"/>
        </w:rPr>
        <w:t xml:space="preserve"> number of days that each patient spent in the participating unit during </w:t>
      </w:r>
      <w:r w:rsidRPr="00080473" w:rsidR="00EC0516">
        <w:rPr>
          <w:rFonts w:asciiTheme="minorHAnsi" w:hAnsiTheme="minorHAnsi" w:cstheme="minorHAnsi"/>
        </w:rPr>
        <w:t>the</w:t>
      </w:r>
      <w:r w:rsidRPr="00080473">
        <w:rPr>
          <w:rFonts w:asciiTheme="minorHAnsi" w:hAnsiTheme="minorHAnsi" w:cstheme="minorHAnsi"/>
        </w:rPr>
        <w:t xml:space="preserve"> month for which you are reporting data.</w:t>
      </w:r>
    </w:p>
    <w:p w:rsidR="009A7163" w:rsidRPr="00080473" w:rsidP="00080473" w14:paraId="7B5FB79D" w14:textId="7D9B1081">
      <w:pPr>
        <w:pStyle w:val="NoSpacing"/>
        <w:numPr>
          <w:ilvl w:val="2"/>
          <w:numId w:val="36"/>
        </w:numPr>
        <w:rPr>
          <w:rFonts w:asciiTheme="minorHAnsi" w:hAnsiTheme="minorHAnsi" w:cstheme="minorHAnsi"/>
        </w:rPr>
      </w:pPr>
      <w:r w:rsidRPr="00080473">
        <w:rPr>
          <w:rFonts w:asciiTheme="minorHAnsi" w:hAnsiTheme="minorHAnsi" w:cstheme="minorHAnsi"/>
        </w:rPr>
        <w:t xml:space="preserve">For NHSN reporting purposes, the date the patient is admitted to and physically locates to the participating unit is counted as day 1. All days spent in an inpatient unit, regardless of local admission status and/or billing status are included in the counts of inpatient days for the participating location. </w:t>
      </w:r>
    </w:p>
    <w:p w:rsidR="009A7163" w:rsidP="00080473" w14:paraId="43DF16A5" w14:textId="77777777">
      <w:pPr>
        <w:pStyle w:val="NoSpacing"/>
        <w:ind w:left="720"/>
      </w:pPr>
    </w:p>
    <w:p w:rsidR="0046337B" w:rsidRPr="00080473" w:rsidP="00080473" w14:paraId="4066CC96" w14:textId="0AFD235D">
      <w:pPr>
        <w:pStyle w:val="Heading2"/>
        <w:ind w:left="0" w:firstLine="0"/>
        <w:rPr>
          <w:rFonts w:asciiTheme="minorHAnsi" w:hAnsiTheme="minorHAnsi" w:cstheme="minorHAnsi"/>
          <w:b/>
          <w:bCs/>
          <w:i/>
          <w:iCs/>
          <w:color w:val="auto"/>
        </w:rPr>
      </w:pPr>
      <w:bookmarkStart w:id="9" w:name="_Toc176410412"/>
      <w:r>
        <w:rPr>
          <w:rFonts w:asciiTheme="minorHAnsi" w:hAnsiTheme="minorHAnsi" w:cstheme="minorHAnsi"/>
          <w:b/>
          <w:bCs/>
          <w:i/>
          <w:iCs/>
          <w:color w:val="auto"/>
        </w:rPr>
        <w:t xml:space="preserve">3.2 </w:t>
      </w:r>
      <w:r w:rsidRPr="00080473">
        <w:rPr>
          <w:rFonts w:asciiTheme="minorHAnsi" w:hAnsiTheme="minorHAnsi" w:cstheme="minorHAnsi"/>
          <w:b/>
          <w:bCs/>
          <w:i/>
          <w:iCs/>
          <w:color w:val="auto"/>
        </w:rPr>
        <w:t>Device days – monthly</w:t>
      </w:r>
      <w:bookmarkEnd w:id="9"/>
    </w:p>
    <w:p w:rsidR="0046337B" w:rsidRPr="00080473" w:rsidP="00080473" w14:paraId="42C35E0D" w14:textId="77777777">
      <w:pPr>
        <w:pStyle w:val="ListParagraph"/>
        <w:numPr>
          <w:ilvl w:val="0"/>
          <w:numId w:val="37"/>
        </w:numPr>
        <w:rPr>
          <w:rFonts w:ascii="Calibri" w:hAnsi="Calibri" w:cs="Calibri"/>
          <w:color w:val="auto"/>
          <w:sz w:val="22"/>
          <w:szCs w:val="22"/>
          <w:u w:val="single"/>
        </w:rPr>
      </w:pPr>
      <w:r w:rsidRPr="00080473">
        <w:rPr>
          <w:rFonts w:ascii="Calibri" w:hAnsi="Calibri" w:cs="Calibri"/>
          <w:color w:val="auto"/>
          <w:sz w:val="22"/>
          <w:szCs w:val="22"/>
        </w:rPr>
        <w:t xml:space="preserve">Device days are defined as a count of the number of patients with a specific device in place in a patient care location during a time period. This count can be determined electronically or </w:t>
      </w:r>
      <w:r w:rsidRPr="00080473">
        <w:rPr>
          <w:rFonts w:ascii="Calibri" w:hAnsi="Calibri" w:cs="Calibri"/>
          <w:color w:val="auto"/>
          <w:sz w:val="22"/>
          <w:szCs w:val="22"/>
        </w:rPr>
        <w:t>manually by a daily count, or weekly sampling.</w:t>
      </w:r>
    </w:p>
    <w:p w:rsidR="0046337B" w:rsidRPr="00080473" w:rsidP="00080473" w14:paraId="5BFBDE1B" w14:textId="0D69B9BB">
      <w:pPr>
        <w:pStyle w:val="ListParagraph"/>
        <w:numPr>
          <w:ilvl w:val="0"/>
          <w:numId w:val="37"/>
        </w:numPr>
        <w:rPr>
          <w:rFonts w:ascii="Calibri" w:hAnsi="Calibri" w:cs="Calibri"/>
          <w:b/>
          <w:bCs/>
          <w:color w:val="auto"/>
          <w:sz w:val="22"/>
          <w:szCs w:val="22"/>
        </w:rPr>
      </w:pPr>
      <w:r w:rsidRPr="00080473">
        <w:rPr>
          <w:rFonts w:ascii="Calibri" w:hAnsi="Calibri" w:cs="Calibri"/>
          <w:color w:val="auto"/>
          <w:sz w:val="22"/>
          <w:szCs w:val="22"/>
        </w:rPr>
        <w:t>As defined using existing Centers for Disease Control and Prevention (CDC), National Healthcare Safety Network (NHSN) definitions (updated January 202</w:t>
      </w:r>
      <w:r w:rsidR="00E126CE">
        <w:rPr>
          <w:rFonts w:ascii="Calibri" w:hAnsi="Calibri" w:cs="Calibri"/>
          <w:color w:val="auto"/>
          <w:sz w:val="22"/>
          <w:szCs w:val="22"/>
        </w:rPr>
        <w:t>5</w:t>
      </w:r>
      <w:r w:rsidRPr="00080473">
        <w:rPr>
          <w:rFonts w:ascii="Calibri" w:hAnsi="Calibri" w:cs="Calibri"/>
          <w:color w:val="auto"/>
          <w:sz w:val="22"/>
          <w:szCs w:val="22"/>
        </w:rPr>
        <w:t>). Available at:</w:t>
      </w:r>
      <w:r w:rsidRPr="00080473">
        <w:rPr>
          <w:rFonts w:ascii="Calibri" w:eastAsia="Calibri" w:hAnsi="Calibri" w:cs="Calibri"/>
          <w:color w:val="auto"/>
          <w:sz w:val="22"/>
          <w:szCs w:val="22"/>
        </w:rPr>
        <w:t xml:space="preserve"> </w:t>
      </w:r>
      <w:hyperlink r:id="rId7" w:history="1">
        <w:r w:rsidRPr="00080473">
          <w:rPr>
            <w:rStyle w:val="Hyperlink"/>
            <w:rFonts w:ascii="Calibri" w:eastAsia="Calibri" w:hAnsi="Calibri" w:cs="Calibri"/>
            <w:color w:val="auto"/>
            <w:sz w:val="22"/>
            <w:szCs w:val="22"/>
          </w:rPr>
          <w:t>https://www.cdc.gov/nhsn/pdfs/pscmanual/pcsmanual_current.pdf</w:t>
        </w:r>
      </w:hyperlink>
      <w:r w:rsidR="00A24C53">
        <w:rPr>
          <w:rFonts w:ascii="Calibri" w:eastAsia="Calibri" w:hAnsi="Calibri" w:cs="Calibri"/>
          <w:color w:val="auto"/>
          <w:sz w:val="22"/>
          <w:szCs w:val="22"/>
        </w:rPr>
        <w:t xml:space="preserve"> </w:t>
      </w:r>
    </w:p>
    <w:p w:rsidR="0046337B" w:rsidRPr="00080473" w:rsidP="00080473" w14:paraId="1E5C10D8" w14:textId="30EAA256">
      <w:pPr>
        <w:pStyle w:val="ListParagraph"/>
        <w:numPr>
          <w:ilvl w:val="1"/>
          <w:numId w:val="37"/>
        </w:numPr>
        <w:rPr>
          <w:rFonts w:ascii="Calibri" w:hAnsi="Calibri" w:cs="Calibri"/>
          <w:color w:val="auto"/>
          <w:sz w:val="22"/>
          <w:szCs w:val="22"/>
        </w:rPr>
      </w:pPr>
      <w:r w:rsidRPr="00080473">
        <w:rPr>
          <w:rFonts w:ascii="Calibri" w:hAnsi="Calibri" w:cs="Calibri"/>
          <w:color w:val="auto"/>
          <w:sz w:val="22"/>
          <w:szCs w:val="22"/>
        </w:rPr>
        <w:t>Reporting Instructions:</w:t>
      </w:r>
    </w:p>
    <w:p w:rsidR="009A7163" w:rsidRPr="00080473" w:rsidP="00080473" w14:paraId="0FB30CF8" w14:textId="5AEC6DF6">
      <w:pPr>
        <w:pStyle w:val="ListParagraph"/>
        <w:numPr>
          <w:ilvl w:val="2"/>
          <w:numId w:val="37"/>
        </w:numPr>
        <w:rPr>
          <w:rFonts w:ascii="Calibri" w:hAnsi="Calibri" w:cs="Calibri"/>
          <w:color w:val="auto"/>
          <w:sz w:val="22"/>
          <w:szCs w:val="22"/>
        </w:rPr>
      </w:pPr>
      <w:r w:rsidRPr="00080473">
        <w:rPr>
          <w:rFonts w:ascii="Calibri" w:hAnsi="Calibri" w:cs="Calibri"/>
          <w:color w:val="auto"/>
          <w:sz w:val="22"/>
          <w:szCs w:val="22"/>
        </w:rPr>
        <w:t xml:space="preserve">Count how many device days occurred in the participating unit </w:t>
      </w:r>
      <w:r w:rsidRPr="00080473" w:rsidR="00EC0516">
        <w:rPr>
          <w:rFonts w:ascii="Calibri" w:hAnsi="Calibri" w:cs="Calibri"/>
          <w:color w:val="auto"/>
          <w:sz w:val="22"/>
          <w:szCs w:val="22"/>
        </w:rPr>
        <w:t>during the</w:t>
      </w:r>
      <w:r w:rsidRPr="00080473">
        <w:rPr>
          <w:rFonts w:ascii="Calibri" w:hAnsi="Calibri" w:cs="Calibri"/>
          <w:color w:val="auto"/>
          <w:sz w:val="22"/>
          <w:szCs w:val="22"/>
        </w:rPr>
        <w:t xml:space="preserve"> month for which you are reporting data.</w:t>
      </w:r>
    </w:p>
    <w:p w:rsidR="009A7163" w:rsidRPr="00080473" w:rsidP="00080473" w14:paraId="3909F022" w14:textId="77777777">
      <w:pPr>
        <w:pStyle w:val="Heading1"/>
        <w:numPr>
          <w:ilvl w:val="0"/>
          <w:numId w:val="0"/>
        </w:numPr>
        <w:ind w:left="360" w:hanging="360"/>
      </w:pPr>
    </w:p>
    <w:p w:rsidR="007E1A7E" w:rsidRPr="00080473" w:rsidP="00080473" w14:paraId="5DB0DB01" w14:textId="5F3CC43C">
      <w:pPr>
        <w:pStyle w:val="Heading2"/>
        <w:ind w:left="0" w:firstLine="0"/>
        <w:rPr>
          <w:rFonts w:asciiTheme="minorHAnsi" w:hAnsiTheme="minorHAnsi" w:cstheme="minorHAnsi"/>
          <w:b/>
          <w:bCs/>
          <w:i/>
          <w:iCs/>
          <w:color w:val="auto"/>
        </w:rPr>
      </w:pPr>
      <w:bookmarkStart w:id="10" w:name="_Toc176410413"/>
      <w:r>
        <w:rPr>
          <w:rFonts w:asciiTheme="minorHAnsi" w:hAnsiTheme="minorHAnsi" w:cstheme="minorHAnsi"/>
          <w:b/>
          <w:bCs/>
          <w:i/>
          <w:iCs/>
          <w:color w:val="auto"/>
        </w:rPr>
        <w:t xml:space="preserve">3.3 </w:t>
      </w:r>
      <w:r w:rsidRPr="00080473">
        <w:rPr>
          <w:rFonts w:asciiTheme="minorHAnsi" w:hAnsiTheme="minorHAnsi" w:cstheme="minorHAnsi"/>
          <w:b/>
          <w:bCs/>
          <w:i/>
          <w:iCs/>
          <w:color w:val="auto"/>
        </w:rPr>
        <w:t>Device-Associated Infections</w:t>
      </w:r>
      <w:r w:rsidRPr="00080473" w:rsidR="00705A2E">
        <w:rPr>
          <w:rFonts w:asciiTheme="minorHAnsi" w:hAnsiTheme="minorHAnsi" w:cstheme="minorHAnsi"/>
          <w:b/>
          <w:bCs/>
          <w:i/>
          <w:iCs/>
          <w:color w:val="auto"/>
        </w:rPr>
        <w:t xml:space="preserve"> </w:t>
      </w:r>
      <w:r w:rsidRPr="00080473" w:rsidR="00377E45">
        <w:rPr>
          <w:rFonts w:asciiTheme="minorHAnsi" w:hAnsiTheme="minorHAnsi" w:cstheme="minorHAnsi"/>
          <w:b/>
          <w:bCs/>
          <w:i/>
          <w:iCs/>
          <w:color w:val="auto"/>
        </w:rPr>
        <w:t>–</w:t>
      </w:r>
      <w:r w:rsidRPr="00080473" w:rsidR="00705A2E">
        <w:rPr>
          <w:rFonts w:asciiTheme="minorHAnsi" w:hAnsiTheme="minorHAnsi" w:cstheme="minorHAnsi"/>
          <w:b/>
          <w:bCs/>
          <w:i/>
          <w:iCs/>
          <w:color w:val="auto"/>
        </w:rPr>
        <w:t xml:space="preserve"> </w:t>
      </w:r>
      <w:r w:rsidRPr="00080473" w:rsidR="00377E45">
        <w:rPr>
          <w:rFonts w:asciiTheme="minorHAnsi" w:hAnsiTheme="minorHAnsi" w:cstheme="minorHAnsi"/>
          <w:b/>
          <w:bCs/>
          <w:i/>
          <w:iCs/>
          <w:color w:val="auto"/>
        </w:rPr>
        <w:t>monthly</w:t>
      </w:r>
      <w:bookmarkEnd w:id="10"/>
      <w:r w:rsidRPr="00080473" w:rsidR="00377E45">
        <w:rPr>
          <w:rFonts w:asciiTheme="minorHAnsi" w:hAnsiTheme="minorHAnsi" w:cstheme="minorHAnsi"/>
          <w:b/>
          <w:bCs/>
          <w:i/>
          <w:iCs/>
          <w:color w:val="auto"/>
        </w:rPr>
        <w:t xml:space="preserve"> </w:t>
      </w:r>
    </w:p>
    <w:p w:rsidR="00377E45" w:rsidRPr="00080473" w:rsidP="00080473" w14:paraId="06A84179" w14:textId="77777777">
      <w:pPr>
        <w:pStyle w:val="ListParagraph"/>
        <w:numPr>
          <w:ilvl w:val="0"/>
          <w:numId w:val="32"/>
        </w:numPr>
        <w:rPr>
          <w:rFonts w:ascii="Calibri" w:hAnsi="Calibri" w:cs="Calibri"/>
          <w:b/>
          <w:bCs/>
          <w:color w:val="auto"/>
          <w:sz w:val="22"/>
          <w:szCs w:val="22"/>
        </w:rPr>
      </w:pPr>
      <w:r w:rsidRPr="00080473">
        <w:rPr>
          <w:rFonts w:ascii="Calibri" w:hAnsi="Calibri" w:cs="Calibri"/>
          <w:color w:val="auto"/>
          <w:sz w:val="22"/>
          <w:szCs w:val="22"/>
        </w:rPr>
        <w:t>An infection meeting the HAI definition is considered a device-associated HAI (for example, associated with the use of a ventilator, central line, or indwelling urinary catheter) if the device was in place for &gt;2 calendar days on the date of event, and was also in place on the date of event or the day before the event (with date of insertion and date of removal counted as a Device Day). If the device was in place for &gt;2 calendar days and then removed, the date of event must be the day of device discontinuation or the next day to be device associated. For a patient who has a central line in place on hospital admission, day of first inpatient access is considered Device Day 1. For a patient who has a ventilator or indwelling urinary catheter in place prior to inpatient admission, the device day count that determines device–association begins with the admission date to the first inpatient location</w:t>
      </w:r>
      <w:r w:rsidRPr="00080473">
        <w:rPr>
          <w:rFonts w:ascii="Calibri" w:hAnsi="Calibri" w:cs="Calibri"/>
          <w:b/>
          <w:bCs/>
          <w:color w:val="auto"/>
          <w:sz w:val="22"/>
          <w:szCs w:val="22"/>
        </w:rPr>
        <w:t>.</w:t>
      </w:r>
    </w:p>
    <w:p w:rsidR="00AB47AA" w:rsidRPr="00080473" w:rsidP="00EC0516" w14:paraId="5C14688D" w14:textId="2C06F06F">
      <w:pPr>
        <w:pStyle w:val="ListParagraph"/>
        <w:numPr>
          <w:ilvl w:val="0"/>
          <w:numId w:val="32"/>
        </w:numPr>
        <w:rPr>
          <w:rFonts w:ascii="Calibri" w:hAnsi="Calibri" w:cs="Calibri"/>
          <w:b/>
          <w:bCs/>
          <w:sz w:val="22"/>
          <w:szCs w:val="22"/>
        </w:rPr>
      </w:pPr>
      <w:r w:rsidRPr="00080473">
        <w:rPr>
          <w:rFonts w:ascii="Calibri" w:hAnsi="Calibri" w:cs="Calibri"/>
          <w:color w:val="auto"/>
          <w:sz w:val="22"/>
          <w:szCs w:val="22"/>
        </w:rPr>
        <w:t xml:space="preserve">As defined using existing </w:t>
      </w:r>
      <w:r w:rsidRPr="00080473" w:rsidR="00A10BA1">
        <w:rPr>
          <w:rFonts w:ascii="Calibri" w:hAnsi="Calibri" w:cs="Calibri"/>
          <w:color w:val="auto"/>
          <w:sz w:val="22"/>
          <w:szCs w:val="22"/>
        </w:rPr>
        <w:t>Centers for Disease Control and Prevention (CDC), National Healthcare Safety Network (NHSN) definitions</w:t>
      </w:r>
      <w:r w:rsidRPr="00080473" w:rsidR="00437038">
        <w:rPr>
          <w:rFonts w:ascii="Calibri" w:hAnsi="Calibri" w:cs="Calibri"/>
          <w:color w:val="auto"/>
          <w:sz w:val="22"/>
          <w:szCs w:val="22"/>
        </w:rPr>
        <w:t xml:space="preserve"> (updated </w:t>
      </w:r>
      <w:r w:rsidRPr="00080473" w:rsidR="00EE537C">
        <w:rPr>
          <w:rFonts w:ascii="Calibri" w:hAnsi="Calibri" w:cs="Calibri"/>
          <w:color w:val="auto"/>
          <w:sz w:val="22"/>
          <w:szCs w:val="22"/>
        </w:rPr>
        <w:t>January 202</w:t>
      </w:r>
      <w:r w:rsidR="00E126CE">
        <w:rPr>
          <w:rFonts w:ascii="Calibri" w:hAnsi="Calibri" w:cs="Calibri"/>
          <w:color w:val="auto"/>
          <w:sz w:val="22"/>
          <w:szCs w:val="22"/>
        </w:rPr>
        <w:t>5</w:t>
      </w:r>
      <w:r w:rsidRPr="00080473" w:rsidR="00437038">
        <w:rPr>
          <w:rFonts w:ascii="Calibri" w:hAnsi="Calibri" w:cs="Calibri"/>
          <w:color w:val="auto"/>
          <w:sz w:val="22"/>
          <w:szCs w:val="22"/>
        </w:rPr>
        <w:t>). Available at:</w:t>
      </w:r>
      <w:r w:rsidRPr="00080473" w:rsidR="00EE537C">
        <w:rPr>
          <w:rFonts w:ascii="Calibri" w:eastAsia="Calibri" w:hAnsi="Calibri" w:cs="Calibri"/>
          <w:color w:val="auto"/>
          <w:sz w:val="22"/>
          <w:szCs w:val="22"/>
        </w:rPr>
        <w:t xml:space="preserve"> </w:t>
      </w:r>
      <w:hyperlink r:id="rId7" w:history="1">
        <w:r w:rsidRPr="00080473" w:rsidR="00377E45">
          <w:rPr>
            <w:rStyle w:val="Hyperlink"/>
            <w:rFonts w:ascii="Calibri" w:eastAsia="Calibri" w:hAnsi="Calibri" w:cs="Calibri"/>
            <w:sz w:val="22"/>
            <w:szCs w:val="22"/>
          </w:rPr>
          <w:t>https://www.cdc.gov/nhsn/pdfs/pscmanual/pcsmanual_current.pdf</w:t>
        </w:r>
      </w:hyperlink>
      <w:r w:rsidRPr="00080473" w:rsidR="00377E45">
        <w:rPr>
          <w:rFonts w:ascii="Calibri" w:eastAsia="Calibri" w:hAnsi="Calibri" w:cs="Calibri"/>
          <w:color w:val="D13438"/>
          <w:sz w:val="22"/>
          <w:szCs w:val="22"/>
        </w:rPr>
        <w:t xml:space="preserve"> </w:t>
      </w:r>
    </w:p>
    <w:p w:rsidR="00924242" w:rsidRPr="00080473" w:rsidP="00924242" w14:paraId="48B92D41" w14:textId="3093FAB1">
      <w:pPr>
        <w:pStyle w:val="ListParagraph"/>
        <w:numPr>
          <w:ilvl w:val="1"/>
          <w:numId w:val="32"/>
        </w:numPr>
        <w:rPr>
          <w:rFonts w:ascii="Calibri" w:hAnsi="Calibri" w:cs="Calibri"/>
          <w:b/>
          <w:bCs/>
          <w:color w:val="auto"/>
          <w:sz w:val="22"/>
          <w:szCs w:val="22"/>
        </w:rPr>
      </w:pPr>
      <w:r w:rsidRPr="00080473">
        <w:rPr>
          <w:rFonts w:ascii="Calibri" w:eastAsia="Calibri" w:hAnsi="Calibri" w:cs="Calibri"/>
          <w:color w:val="auto"/>
          <w:sz w:val="22"/>
          <w:szCs w:val="22"/>
        </w:rPr>
        <w:t>Reporting Instructions:</w:t>
      </w:r>
    </w:p>
    <w:p w:rsidR="00924242" w:rsidRPr="00080473" w:rsidP="00080473" w14:paraId="30B5BC77" w14:textId="413FABB5">
      <w:pPr>
        <w:pStyle w:val="ListParagraph"/>
        <w:numPr>
          <w:ilvl w:val="2"/>
          <w:numId w:val="32"/>
        </w:numPr>
        <w:rPr>
          <w:rFonts w:ascii="Calibri" w:hAnsi="Calibri" w:cs="Calibri"/>
          <w:b/>
          <w:bCs/>
          <w:color w:val="auto"/>
          <w:sz w:val="22"/>
          <w:szCs w:val="22"/>
        </w:rPr>
      </w:pPr>
      <w:r w:rsidRPr="00080473">
        <w:rPr>
          <w:rFonts w:ascii="Calibri" w:eastAsia="Calibri" w:hAnsi="Calibri" w:cs="Calibri"/>
          <w:color w:val="auto"/>
          <w:sz w:val="22"/>
          <w:szCs w:val="22"/>
        </w:rPr>
        <w:t>Count how many device-associated infections occurred in the participating unit during the month for which you are reporting data.</w:t>
      </w:r>
    </w:p>
    <w:p w:rsidR="00EC0516" w:rsidRPr="00EC0516" w:rsidP="00080473" w14:paraId="19D76E06" w14:textId="77777777">
      <w:pPr>
        <w:pStyle w:val="ListParagraph"/>
        <w:numPr>
          <w:ilvl w:val="0"/>
          <w:numId w:val="0"/>
        </w:numPr>
        <w:ind w:left="720"/>
        <w:rPr>
          <w:b/>
          <w:bCs/>
        </w:rPr>
      </w:pPr>
    </w:p>
    <w:p w:rsidR="00EC0516" w:rsidRPr="00080473" w:rsidP="00080473" w14:paraId="7CE83E22" w14:textId="66CF5811">
      <w:pPr>
        <w:pStyle w:val="Heading3"/>
        <w:ind w:left="720"/>
        <w:rPr>
          <w:rFonts w:ascii="Calibri" w:hAnsi="Calibri" w:cs="Calibri"/>
        </w:rPr>
      </w:pPr>
      <w:bookmarkStart w:id="11" w:name="_Toc176410414"/>
      <w:r w:rsidRPr="00080473">
        <w:rPr>
          <w:rFonts w:ascii="Calibri" w:hAnsi="Calibri" w:cs="Calibri"/>
        </w:rPr>
        <w:t>Central line-associated bloodstream infection (CLABSI) – monthly</w:t>
      </w:r>
      <w:r w:rsidRPr="00080473" w:rsidR="00924242">
        <w:rPr>
          <w:rFonts w:ascii="Calibri" w:hAnsi="Calibri" w:cs="Calibri"/>
        </w:rPr>
        <w:t xml:space="preserve"> (CLABSI cohort only)</w:t>
      </w:r>
      <w:bookmarkEnd w:id="11"/>
    </w:p>
    <w:p w:rsidR="00EC0516" w:rsidRPr="00080473" w:rsidP="00080473" w14:paraId="74A4A4C5" w14:textId="2142A054">
      <w:pPr>
        <w:pStyle w:val="BodyText"/>
        <w:numPr>
          <w:ilvl w:val="0"/>
          <w:numId w:val="39"/>
        </w:numPr>
        <w:rPr>
          <w:rFonts w:ascii="Calibri" w:hAnsi="Calibri" w:cs="Calibri"/>
          <w:sz w:val="22"/>
          <w:szCs w:val="22"/>
        </w:rPr>
      </w:pPr>
      <w:r w:rsidRPr="00080473">
        <w:rPr>
          <w:rFonts w:ascii="Calibri" w:hAnsi="Calibri" w:cs="Calibri"/>
          <w:sz w:val="22"/>
          <w:szCs w:val="22"/>
        </w:rPr>
        <w:t>CLABSI is defined as a laboratory confirmed bloodstream infection (LCBI) where an eligible bloodstream infection organism is identified, and an eligible central line is present on the LCBI day of event or the day before. As defined using existing CDC NHSN definitions, Chapter 4 of NHSN Patient Safety Component Manual (updated January 202</w:t>
      </w:r>
      <w:r w:rsidR="00E126CE">
        <w:rPr>
          <w:rFonts w:ascii="Calibri" w:hAnsi="Calibri" w:cs="Calibri"/>
          <w:sz w:val="22"/>
          <w:szCs w:val="22"/>
        </w:rPr>
        <w:t>5</w:t>
      </w:r>
      <w:r w:rsidRPr="00080473">
        <w:rPr>
          <w:rFonts w:ascii="Calibri" w:hAnsi="Calibri" w:cs="Calibri"/>
          <w:sz w:val="22"/>
          <w:szCs w:val="22"/>
        </w:rPr>
        <w:t xml:space="preserve">). Available at: </w:t>
      </w:r>
      <w:hyperlink r:id="rId7" w:history="1">
        <w:r w:rsidRPr="00080473">
          <w:rPr>
            <w:rStyle w:val="Hyperlink"/>
            <w:rFonts w:ascii="Calibri" w:hAnsi="Calibri" w:cs="Calibri"/>
            <w:sz w:val="22"/>
            <w:szCs w:val="22"/>
          </w:rPr>
          <w:t>https://www.cdc.gov/nhsn/pdfs/pscmanual/pcsmanual_current.pdf</w:t>
        </w:r>
      </w:hyperlink>
    </w:p>
    <w:p w:rsidR="2523DE9D" w:rsidRPr="00080473" w:rsidP="00080473" w14:paraId="5BCD021A" w14:textId="0AD2DE55">
      <w:pPr>
        <w:pStyle w:val="Heading1"/>
        <w:numPr>
          <w:ilvl w:val="0"/>
          <w:numId w:val="0"/>
        </w:numPr>
        <w:rPr>
          <w:color w:val="auto"/>
        </w:rPr>
      </w:pPr>
    </w:p>
    <w:p w:rsidR="003F26A6" w:rsidRPr="00080473" w:rsidP="00080473" w14:paraId="2496C424" w14:textId="4273CAD5">
      <w:pPr>
        <w:pStyle w:val="Heading3"/>
        <w:ind w:firstLine="720"/>
        <w:rPr>
          <w:rFonts w:ascii="Calibri" w:hAnsi="Calibri" w:cs="Calibri"/>
        </w:rPr>
      </w:pPr>
      <w:bookmarkStart w:id="12" w:name="_Toc176410415"/>
      <w:r w:rsidRPr="00080473">
        <w:rPr>
          <w:rFonts w:ascii="Calibri" w:hAnsi="Calibri" w:cs="Calibri"/>
        </w:rPr>
        <w:t xml:space="preserve">Catheter-associated urinary tract infection (CAUTI) – monthly </w:t>
      </w:r>
      <w:r w:rsidRPr="00080473" w:rsidR="00924242">
        <w:rPr>
          <w:rFonts w:ascii="Calibri" w:hAnsi="Calibri" w:cs="Calibri"/>
        </w:rPr>
        <w:t>(CAUTI cohort only)</w:t>
      </w:r>
      <w:bookmarkEnd w:id="12"/>
    </w:p>
    <w:p w:rsidR="00A24C53" w:rsidRPr="00080473" w:rsidP="00080473" w14:paraId="096A678A" w14:textId="6F6B3A5F">
      <w:pPr>
        <w:pStyle w:val="BodyText"/>
        <w:numPr>
          <w:ilvl w:val="0"/>
          <w:numId w:val="40"/>
        </w:numPr>
        <w:rPr>
          <w:rFonts w:ascii="Calibri" w:hAnsi="Calibri" w:cs="Calibri"/>
          <w:sz w:val="22"/>
          <w:szCs w:val="22"/>
        </w:rPr>
      </w:pPr>
      <w:r w:rsidRPr="00080473">
        <w:rPr>
          <w:rFonts w:ascii="Calibri" w:hAnsi="Calibri" w:cs="Calibri"/>
          <w:sz w:val="22"/>
          <w:szCs w:val="22"/>
          <w:shd w:val="clear" w:color="auto" w:fill="FFFFFF"/>
        </w:rPr>
        <w:t>CAUTI </w:t>
      </w:r>
      <w:r w:rsidRPr="00080473" w:rsidR="00AE0F20">
        <w:rPr>
          <w:rFonts w:ascii="Calibri" w:hAnsi="Calibri" w:cs="Calibri"/>
          <w:sz w:val="22"/>
          <w:szCs w:val="22"/>
          <w:shd w:val="clear" w:color="auto" w:fill="FFFFFF"/>
        </w:rPr>
        <w:t xml:space="preserve">is defined as </w:t>
      </w:r>
      <w:r w:rsidRPr="00080473">
        <w:rPr>
          <w:rFonts w:ascii="Calibri" w:hAnsi="Calibri" w:cs="Calibri"/>
          <w:sz w:val="22"/>
          <w:szCs w:val="22"/>
          <w:shd w:val="clear" w:color="auto" w:fill="FFFFFF"/>
        </w:rPr>
        <w:t xml:space="preserve">a urinary tract infection where an indwelling urinary catheter (IUC) was in place for more than two consecutive days in an inpatient location on the date of event or the day before, with day of device placement being Day 1. If an IUC was in place for more than two consecutive days in an inpatient location then removed, the date of event for the UTI must be the day of device discontinuation or the next day for the UTI to be catheter-associated. </w:t>
      </w:r>
    </w:p>
    <w:p w:rsidR="00D62E41" w:rsidRPr="00080473" w:rsidP="00080473" w14:paraId="6DB382B3" w14:textId="140D6D5E">
      <w:pPr>
        <w:pStyle w:val="BodyText"/>
        <w:numPr>
          <w:ilvl w:val="0"/>
          <w:numId w:val="40"/>
        </w:numPr>
        <w:rPr>
          <w:rFonts w:ascii="Calibri" w:hAnsi="Calibri" w:cs="Calibri"/>
          <w:b/>
          <w:bCs/>
          <w:color w:val="009FC2"/>
          <w:sz w:val="22"/>
          <w:szCs w:val="22"/>
        </w:rPr>
      </w:pPr>
      <w:r w:rsidRPr="00080473">
        <w:rPr>
          <w:rFonts w:ascii="Calibri" w:hAnsi="Calibri" w:cs="Calibri"/>
          <w:sz w:val="22"/>
          <w:szCs w:val="22"/>
        </w:rPr>
        <w:t>As defined by Chapter 7 of NHSN Patient Safety Component Manual (updated January 202</w:t>
      </w:r>
      <w:r w:rsidR="00E126CE">
        <w:rPr>
          <w:rFonts w:ascii="Calibri" w:hAnsi="Calibri" w:cs="Calibri"/>
          <w:sz w:val="22"/>
          <w:szCs w:val="22"/>
        </w:rPr>
        <w:t>5</w:t>
      </w:r>
      <w:r w:rsidRPr="00080473">
        <w:rPr>
          <w:rFonts w:ascii="Calibri" w:hAnsi="Calibri" w:cs="Calibri"/>
          <w:sz w:val="22"/>
          <w:szCs w:val="22"/>
        </w:rPr>
        <w:t>). Available at:</w:t>
      </w:r>
      <w:r w:rsidRPr="00080473">
        <w:rPr>
          <w:rFonts w:ascii="Calibri" w:eastAsia="Calibri" w:hAnsi="Calibri" w:cs="Calibri"/>
          <w:sz w:val="22"/>
          <w:szCs w:val="22"/>
        </w:rPr>
        <w:t xml:space="preserve"> </w:t>
      </w:r>
      <w:hyperlink r:id="rId7" w:history="1">
        <w:r w:rsidRPr="00080473">
          <w:rPr>
            <w:rStyle w:val="Hyperlink"/>
            <w:rFonts w:ascii="Calibri" w:eastAsia="Calibri" w:hAnsi="Calibri" w:cs="Calibri"/>
            <w:sz w:val="22"/>
            <w:szCs w:val="22"/>
          </w:rPr>
          <w:t>https://www.cdc.gov/nhsn/pdfs/pscmanual/pcsmanual_current.pdf</w:t>
        </w:r>
      </w:hyperlink>
      <w:r w:rsidRPr="00080473">
        <w:rPr>
          <w:rFonts w:ascii="Calibri" w:eastAsia="Calibri" w:hAnsi="Calibri" w:cs="Calibri"/>
          <w:color w:val="D13438"/>
          <w:sz w:val="22"/>
          <w:szCs w:val="22"/>
        </w:rPr>
        <w:t xml:space="preserve"> </w:t>
      </w:r>
    </w:p>
    <w:p w:rsidR="00367E80" w:rsidRPr="00613431" w:rsidP="00080473" w14:paraId="0C806160" w14:textId="77777777">
      <w:pPr>
        <w:rPr>
          <w:color w:val="007DA3"/>
        </w:rPr>
      </w:pPr>
    </w:p>
    <w:p w:rsidR="001905B3" w:rsidRPr="00080473" w:rsidP="00080473" w14:paraId="10D4A983" w14:textId="77777777">
      <w:pPr>
        <w:pStyle w:val="BodyText"/>
        <w:ind w:left="0"/>
        <w:rPr>
          <w:b/>
          <w:bCs/>
        </w:rPr>
      </w:pPr>
    </w:p>
    <w:p w:rsidR="004A725D" w:rsidRPr="00080473" w:rsidP="00080473" w14:paraId="339FD1BB" w14:textId="77777777">
      <w:pPr>
        <w:pStyle w:val="BodyText"/>
        <w:ind w:left="0"/>
      </w:pPr>
    </w:p>
    <w:p w:rsidR="00D62E41" w:rsidRPr="00080473" w:rsidP="00080473" w14:paraId="3680590A" w14:textId="2C6B3E06">
      <w:pPr>
        <w:pStyle w:val="Heading3"/>
        <w:ind w:firstLine="720"/>
        <w:rPr>
          <w:rFonts w:ascii="Calibri" w:hAnsi="Calibri" w:cs="Calibri"/>
        </w:rPr>
      </w:pPr>
      <w:bookmarkStart w:id="13" w:name="_Toc176410416"/>
      <w:r w:rsidRPr="00080473">
        <w:rPr>
          <w:rFonts w:ascii="Calibri" w:hAnsi="Calibri" w:cs="Calibri"/>
        </w:rPr>
        <w:t>Ventilator-Associated Pneumonia (VAP</w:t>
      </w:r>
      <w:r w:rsidRPr="00080473" w:rsidR="004A725D">
        <w:rPr>
          <w:rFonts w:ascii="Calibri" w:hAnsi="Calibri" w:cs="Calibri"/>
        </w:rPr>
        <w:t>)</w:t>
      </w:r>
      <w:r w:rsidRPr="00080473">
        <w:rPr>
          <w:rFonts w:ascii="Calibri" w:hAnsi="Calibri" w:cs="Calibri"/>
        </w:rPr>
        <w:t xml:space="preserve">– monthly </w:t>
      </w:r>
      <w:r w:rsidRPr="00080473" w:rsidR="00924242">
        <w:rPr>
          <w:rFonts w:ascii="Calibri" w:hAnsi="Calibri" w:cs="Calibri"/>
        </w:rPr>
        <w:t>(VAP/VAE cohort only)</w:t>
      </w:r>
      <w:bookmarkEnd w:id="13"/>
    </w:p>
    <w:p w:rsidR="004A725D" w:rsidRPr="00080473" w:rsidP="00080473" w14:paraId="63B2EBE1" w14:textId="77777777">
      <w:pPr>
        <w:pStyle w:val="BodyText"/>
        <w:numPr>
          <w:ilvl w:val="1"/>
          <w:numId w:val="42"/>
        </w:numPr>
        <w:rPr>
          <w:rFonts w:ascii="Calibri" w:hAnsi="Calibri" w:cs="Calibri"/>
          <w:sz w:val="22"/>
          <w:szCs w:val="22"/>
        </w:rPr>
      </w:pPr>
      <w:r w:rsidRPr="00080473">
        <w:rPr>
          <w:rFonts w:ascii="Calibri" w:hAnsi="Calibri" w:cs="Calibri"/>
          <w:sz w:val="22"/>
          <w:szCs w:val="22"/>
        </w:rPr>
        <w:t>Ventilator-associated pneumonia (VAP) is defined as a pneumonia where the patient is on mechanical ventilation for &gt;2 consecutive calendar days on the date of the event, with the day of the ventilator placement being Day 1 AND the ventilator was in place on the day of the event or the day before. If the ventilator was in place prior to inpatient admission, the ventilator day count begins with the admission date to the first inpatient location. If a break in mechanical ventilation occurs for at least on full calendar day, the ventilator day count for ventilator association starts anew upon reintubation and/or re-initiation of mechanical ventilation.</w:t>
      </w:r>
    </w:p>
    <w:p w:rsidR="004A725D" w:rsidRPr="00080473" w:rsidP="00080473" w14:paraId="29D8D200" w14:textId="62296120">
      <w:pPr>
        <w:pStyle w:val="BodyText"/>
        <w:numPr>
          <w:ilvl w:val="1"/>
          <w:numId w:val="42"/>
        </w:numPr>
        <w:rPr>
          <w:rFonts w:ascii="Calibri" w:hAnsi="Calibri" w:cs="Calibri"/>
          <w:b/>
          <w:bCs/>
          <w:sz w:val="22"/>
          <w:szCs w:val="22"/>
        </w:rPr>
      </w:pPr>
      <w:r w:rsidRPr="00080473">
        <w:rPr>
          <w:rFonts w:ascii="Calibri" w:hAnsi="Calibri" w:cs="Calibri"/>
          <w:sz w:val="22"/>
          <w:szCs w:val="22"/>
        </w:rPr>
        <w:t>As defined by Chapter 6 of NHSN Patient Safety Component Manual (updated January 202</w:t>
      </w:r>
      <w:r w:rsidR="00E126CE">
        <w:rPr>
          <w:rFonts w:ascii="Calibri" w:hAnsi="Calibri" w:cs="Calibri"/>
          <w:sz w:val="22"/>
          <w:szCs w:val="22"/>
        </w:rPr>
        <w:t>5</w:t>
      </w:r>
      <w:r w:rsidRPr="00080473">
        <w:rPr>
          <w:rFonts w:ascii="Calibri" w:hAnsi="Calibri" w:cs="Calibri"/>
          <w:sz w:val="22"/>
          <w:szCs w:val="22"/>
        </w:rPr>
        <w:t>). Available at:</w:t>
      </w:r>
      <w:r w:rsidRPr="00080473">
        <w:rPr>
          <w:rFonts w:ascii="Calibri" w:eastAsia="Calibri" w:hAnsi="Calibri" w:cs="Calibri"/>
          <w:sz w:val="22"/>
          <w:szCs w:val="22"/>
        </w:rPr>
        <w:t xml:space="preserve"> </w:t>
      </w:r>
      <w:hyperlink r:id="rId7" w:history="1">
        <w:r w:rsidRPr="00080473">
          <w:rPr>
            <w:rStyle w:val="Hyperlink"/>
            <w:rFonts w:ascii="Calibri" w:eastAsia="Calibri" w:hAnsi="Calibri" w:cs="Calibri"/>
            <w:sz w:val="22"/>
            <w:szCs w:val="22"/>
          </w:rPr>
          <w:t>https://www.cdc.gov/nhsn/pdfs/pscmanual/pcsmanual_current.pdf</w:t>
        </w:r>
      </w:hyperlink>
      <w:r w:rsidRPr="00080473">
        <w:rPr>
          <w:rFonts w:ascii="Calibri" w:eastAsia="Calibri" w:hAnsi="Calibri" w:cs="Calibri"/>
          <w:color w:val="D13438"/>
          <w:sz w:val="22"/>
          <w:szCs w:val="22"/>
        </w:rPr>
        <w:t xml:space="preserve"> </w:t>
      </w:r>
    </w:p>
    <w:p w:rsidR="004A725D" w:rsidP="004A725D" w14:paraId="7DFD209D" w14:textId="77777777">
      <w:pPr>
        <w:pStyle w:val="BodyText"/>
        <w:spacing w:line="230" w:lineRule="auto"/>
        <w:rPr>
          <w:b/>
          <w:bCs/>
        </w:rPr>
      </w:pPr>
    </w:p>
    <w:p w:rsidR="00924242" w:rsidRPr="00080473" w:rsidP="00924242" w14:paraId="6227DB14" w14:textId="77777777">
      <w:pPr>
        <w:pStyle w:val="Heading3"/>
        <w:ind w:firstLine="720"/>
        <w:rPr>
          <w:rFonts w:ascii="Calibri" w:hAnsi="Calibri" w:cs="Calibri"/>
        </w:rPr>
      </w:pPr>
      <w:r w:rsidRPr="00080473">
        <w:rPr>
          <w:rFonts w:ascii="Calibri" w:hAnsi="Calibri" w:cs="Calibri"/>
        </w:rPr>
        <w:t xml:space="preserve"> </w:t>
      </w:r>
      <w:bookmarkStart w:id="14" w:name="_Toc176410417"/>
      <w:r w:rsidRPr="00080473">
        <w:rPr>
          <w:rFonts w:ascii="Calibri" w:hAnsi="Calibri" w:cs="Calibri"/>
        </w:rPr>
        <w:t>Ventilator-Associated Event – monthly (VAP/VAE cohort only)</w:t>
      </w:r>
      <w:bookmarkEnd w:id="14"/>
    </w:p>
    <w:p w:rsidR="00924242" w:rsidRPr="00080473" w:rsidP="00080473" w14:paraId="2E0C68DB" w14:textId="77777777">
      <w:pPr>
        <w:pStyle w:val="BodyText"/>
        <w:numPr>
          <w:ilvl w:val="1"/>
          <w:numId w:val="43"/>
        </w:numPr>
        <w:rPr>
          <w:rFonts w:ascii="Calibri" w:hAnsi="Calibri" w:cs="Calibri"/>
          <w:b/>
          <w:bCs/>
          <w:sz w:val="22"/>
          <w:szCs w:val="22"/>
        </w:rPr>
      </w:pPr>
      <w:r w:rsidRPr="00080473">
        <w:rPr>
          <w:rFonts w:ascii="Calibri" w:hAnsi="Calibri" w:cs="Calibri"/>
          <w:sz w:val="22"/>
          <w:szCs w:val="22"/>
        </w:rPr>
        <w:t xml:space="preserve">A ventilator-associated event (VAE) is identified by using a combination of objective criteria: deterioration in respiratory status after a period of stability or improvement on the ventilator, evidence of infection or inflammation, and laboratory evidence of respiratory infection. Patients must be mechanically ventilated for at least 4 calendar days to fulfill VAE criteria (where the day of intubation and initiation of mechanical ventilation is day 1). The earliest date of event for VAE (the date of onset of worsening oxygenation) is day 3 of mechanical ventilation. </w:t>
      </w:r>
    </w:p>
    <w:p w:rsidR="004A725D" w:rsidRPr="00080473" w:rsidP="00080473" w14:paraId="3ACE8609" w14:textId="687FE862">
      <w:pPr>
        <w:pStyle w:val="BodyText"/>
        <w:numPr>
          <w:ilvl w:val="1"/>
          <w:numId w:val="43"/>
        </w:numPr>
        <w:rPr>
          <w:rFonts w:ascii="Calibri" w:hAnsi="Calibri" w:cs="Calibri"/>
          <w:b/>
          <w:bCs/>
          <w:color w:val="009FC2"/>
          <w:sz w:val="22"/>
          <w:szCs w:val="22"/>
        </w:rPr>
      </w:pPr>
      <w:r w:rsidRPr="00080473">
        <w:rPr>
          <w:rFonts w:ascii="Calibri" w:hAnsi="Calibri" w:cs="Calibri"/>
          <w:sz w:val="22"/>
          <w:szCs w:val="22"/>
        </w:rPr>
        <w:t>As defined by Chapter 10 of NHSN Patient Safety Component Manual (updated January 202</w:t>
      </w:r>
      <w:r w:rsidR="00E126CE">
        <w:rPr>
          <w:rFonts w:ascii="Calibri" w:hAnsi="Calibri" w:cs="Calibri"/>
          <w:sz w:val="22"/>
          <w:szCs w:val="22"/>
        </w:rPr>
        <w:t>5</w:t>
      </w:r>
      <w:r w:rsidRPr="00080473">
        <w:rPr>
          <w:rFonts w:ascii="Calibri" w:hAnsi="Calibri" w:cs="Calibri"/>
          <w:sz w:val="22"/>
          <w:szCs w:val="22"/>
        </w:rPr>
        <w:t>). Available at:</w:t>
      </w:r>
      <w:r w:rsidRPr="00080473">
        <w:rPr>
          <w:rFonts w:ascii="Calibri" w:eastAsia="Calibri" w:hAnsi="Calibri" w:cs="Calibri"/>
          <w:sz w:val="22"/>
          <w:szCs w:val="22"/>
        </w:rPr>
        <w:t xml:space="preserve"> </w:t>
      </w:r>
      <w:hyperlink r:id="rId7" w:history="1">
        <w:r w:rsidRPr="00080473">
          <w:rPr>
            <w:rStyle w:val="Hyperlink"/>
            <w:rFonts w:ascii="Calibri" w:eastAsia="Calibri" w:hAnsi="Calibri" w:cs="Calibri"/>
            <w:sz w:val="22"/>
            <w:szCs w:val="22"/>
          </w:rPr>
          <w:t>https://www.cdc.gov/nhsn/pdfs/pscmanual/pcsmanual_current.pdf</w:t>
        </w:r>
      </w:hyperlink>
      <w:r w:rsidRPr="00080473">
        <w:rPr>
          <w:rFonts w:ascii="Calibri" w:eastAsia="Calibri" w:hAnsi="Calibri" w:cs="Calibri"/>
          <w:color w:val="D13438"/>
          <w:sz w:val="22"/>
          <w:szCs w:val="22"/>
        </w:rPr>
        <w:t xml:space="preserve"> </w:t>
      </w:r>
    </w:p>
    <w:p w:rsidR="001905B3" w:rsidP="00080473" w14:paraId="67DAC996" w14:textId="1D28D5A4">
      <w:pPr>
        <w:pStyle w:val="BodyText"/>
        <w:ind w:left="0"/>
      </w:pPr>
    </w:p>
    <w:p w:rsidR="00E02533" w:rsidRPr="00E02533" w:rsidP="00E02533" w14:paraId="782865B5" w14:textId="1F43935B">
      <w:bookmarkStart w:id="15" w:name="_Toc175581869"/>
      <w:bookmarkStart w:id="16" w:name="_Toc175630401"/>
      <w:bookmarkStart w:id="17" w:name="_Toc175581870"/>
      <w:bookmarkStart w:id="18" w:name="_Toc175630402"/>
      <w:bookmarkStart w:id="19" w:name="_Toc175581871"/>
      <w:bookmarkStart w:id="20" w:name="_Toc175630403"/>
      <w:bookmarkStart w:id="21" w:name="_Toc175581872"/>
      <w:bookmarkStart w:id="22" w:name="_Toc175630404"/>
      <w:bookmarkStart w:id="23" w:name="_Toc175581873"/>
      <w:bookmarkStart w:id="24" w:name="_Toc175630405"/>
      <w:bookmarkStart w:id="25" w:name="_Toc175581874"/>
      <w:bookmarkStart w:id="26" w:name="_Toc175630406"/>
      <w:bookmarkStart w:id="27" w:name="_Toc175581875"/>
      <w:bookmarkStart w:id="28" w:name="_Toc175630407"/>
      <w:bookmarkStart w:id="29" w:name="_Toc175581876"/>
      <w:bookmarkStart w:id="30" w:name="_Toc175630408"/>
      <w:bookmarkStart w:id="31" w:name="_Toc175581877"/>
      <w:bookmarkStart w:id="32" w:name="_Toc175630409"/>
      <w:bookmarkStart w:id="33" w:name="_Toc175581878"/>
      <w:bookmarkStart w:id="34" w:name="_Toc175630410"/>
      <w:bookmarkStart w:id="35" w:name="_Toc175581879"/>
      <w:bookmarkStart w:id="36" w:name="_Toc175630411"/>
      <w:bookmarkStart w:id="37" w:name="_Toc175581880"/>
      <w:bookmarkStart w:id="38" w:name="_Toc175630412"/>
      <w:bookmarkStart w:id="39" w:name="_Toc175581881"/>
      <w:bookmarkStart w:id="40" w:name="_Toc175630413"/>
      <w:bookmarkStart w:id="41" w:name="_Toc175581882"/>
      <w:bookmarkStart w:id="42" w:name="_Toc175630414"/>
      <w:bookmarkStart w:id="43" w:name="_Toc175581883"/>
      <w:bookmarkStart w:id="44" w:name="_Toc175630415"/>
      <w:bookmarkStart w:id="45" w:name="_Toc175581884"/>
      <w:bookmarkStart w:id="46" w:name="_Toc175630416"/>
      <w:bookmarkStart w:id="47" w:name="_Toc175581885"/>
      <w:bookmarkStart w:id="48" w:name="_Toc175630417"/>
      <w:bookmarkStart w:id="49" w:name="_Toc175581886"/>
      <w:bookmarkStart w:id="50" w:name="_Toc175630418"/>
      <w:bookmarkStart w:id="51" w:name="_Toc175581887"/>
      <w:bookmarkStart w:id="52" w:name="_Toc175630419"/>
      <w:bookmarkStart w:id="53" w:name="_Toc175581888"/>
      <w:bookmarkStart w:id="54" w:name="_Toc175630420"/>
      <w:bookmarkStart w:id="55" w:name="_Toc175581889"/>
      <w:bookmarkStart w:id="56" w:name="_Toc175630421"/>
      <w:bookmarkStart w:id="57" w:name="_Submission_Schedule_for"/>
      <w:bookmarkStart w:id="58" w:name="_Section_4:"/>
      <w:bookmarkStart w:id="59" w:name="_Section_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E02533" w:rsidRPr="00E02533" w:rsidP="00E02533" w14:paraId="717C2633" w14:textId="042CD537"/>
    <w:p w:rsidR="00E02533" w:rsidRPr="00E02533" w:rsidP="00E02533" w14:paraId="1ABF8D57" w14:textId="00B831F3"/>
    <w:p w:rsidR="00E02533" w:rsidRPr="00E02533" w:rsidP="00E02533" w14:paraId="6723D0B3" w14:textId="77777777"/>
    <w:p w:rsidR="00E02533" w:rsidRPr="00E02533" w:rsidP="00E02533" w14:paraId="7B2F1B64" w14:textId="74240975"/>
    <w:p w:rsidR="00E02533" w:rsidP="00E02533" w14:paraId="3DA2291E" w14:textId="236E3E59"/>
    <w:p w:rsidR="00E02533" w:rsidRPr="00E02533" w:rsidP="00080473" w14:paraId="3936D526" w14:textId="58CC5073">
      <w:pPr>
        <w:tabs>
          <w:tab w:val="left" w:pos="3802"/>
        </w:tabs>
      </w:pPr>
      <w:r>
        <w:tab/>
      </w:r>
    </w:p>
    <w:sectPr w:rsidSect="00613431">
      <w:headerReference w:type="default" r:id="rId8"/>
      <w:footerReference w:type="default" r:id="rId9"/>
      <w:type w:val="continuous"/>
      <w:pgSz w:w="12240" w:h="15840"/>
      <w:pgMar w:top="1440" w:right="1080" w:bottom="1440" w:left="1080" w:header="720" w:footer="69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2982" w:rsidP="001905B3" w14:paraId="213DF755" w14:textId="097EF6D3">
    <w:pPr>
      <w:pStyle w:val="BodyText"/>
      <w:rPr>
        <w:sz w:val="2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22860</wp:posOffset>
          </wp:positionV>
          <wp:extent cx="7772400" cy="562610"/>
          <wp:effectExtent l="0" t="0" r="0" b="8890"/>
          <wp:wrapNone/>
          <wp:docPr id="5748695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69515" name="Picture 5"/>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562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45D" w:rsidRPr="00125D4F" w14:paraId="213DF754" w14:textId="63957E58">
    <w:pPr>
      <w:pStyle w:val="Header"/>
      <w:rPr>
        <w:rFonts w:ascii="Calibri" w:hAnsi="Calibri" w:cs="Calibri"/>
        <w:sz w:val="24"/>
        <w:szCs w:val="24"/>
      </w:rPr>
    </w:pPr>
    <w:r>
      <w:rPr>
        <w:rFonts w:ascii="Times New Roman" w:hAnsi="Times New Roman" w:eastAsiaTheme="minorHAnsi"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4761865</wp:posOffset>
              </wp:positionH>
              <wp:positionV relativeFrom="paragraph">
                <wp:posOffset>-323850</wp:posOffset>
              </wp:positionV>
              <wp:extent cx="1600200" cy="571500"/>
              <wp:effectExtent l="0" t="0" r="19050" b="1905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F856BA" w:rsidP="00F856BA" w14:textId="7777777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49" type="#_x0000_t202" style="width:126pt;height:45pt;margin-top:-25.5pt;margin-left:374.9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F856BA" w:rsidP="00F856BA" w14:paraId="213DF75A" w14:textId="7777777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w10:wrap anchorx="margin"/>
            </v:shape>
          </w:pict>
        </mc:Fallback>
      </mc:AlternateContent>
    </w:r>
    <w:r w:rsidRPr="00125D4F" w:rsidR="00144A31">
      <w:rPr>
        <w:rFonts w:ascii="Calibri" w:hAnsi="Calibri" w:cs="Calibri"/>
        <w:sz w:val="24"/>
        <w:szCs w:val="24"/>
      </w:rPr>
      <w:t>Att</w:t>
    </w:r>
    <w:r w:rsidRPr="00125D4F" w:rsidR="002315E5">
      <w:rPr>
        <w:rFonts w:ascii="Calibri" w:hAnsi="Calibri" w:cs="Calibri"/>
        <w:sz w:val="24"/>
        <w:szCs w:val="24"/>
      </w:rPr>
      <w:t xml:space="preserve">achment </w:t>
    </w:r>
    <w:r w:rsidR="005A4E7C">
      <w:rPr>
        <w:rFonts w:ascii="Calibri" w:hAnsi="Calibri" w:cs="Calibri"/>
        <w:sz w:val="24"/>
        <w:szCs w:val="24"/>
      </w:rPr>
      <w:t>J</w:t>
    </w:r>
    <w:r w:rsidRPr="00125D4F" w:rsidR="002077C4">
      <w:rPr>
        <w:rFonts w:ascii="Calibri" w:hAnsi="Calibri" w:cs="Calibri"/>
        <w:sz w:val="24"/>
        <w:szCs w:val="24"/>
      </w:rPr>
      <w:t xml:space="preserve">: </w:t>
    </w:r>
    <w:r w:rsidR="007044CC">
      <w:rPr>
        <w:rFonts w:ascii="Calibri" w:hAnsi="Calibri" w:cs="Calibri"/>
        <w:sz w:val="24"/>
        <w:szCs w:val="24"/>
      </w:rPr>
      <w:t xml:space="preserve">Submission Guide for </w:t>
    </w:r>
    <w:r w:rsidRPr="00125D4F" w:rsidR="002077C4">
      <w:rPr>
        <w:rFonts w:ascii="Calibri" w:hAnsi="Calibri" w:cs="Calibri"/>
        <w:sz w:val="24"/>
        <w:szCs w:val="24"/>
      </w:rPr>
      <w:t>Clinical Outcomes Data</w:t>
    </w:r>
    <w:r w:rsidR="007044CC">
      <w:rPr>
        <w:rFonts w:ascii="Calibri" w:hAnsi="Calibri" w:cs="Calibri"/>
        <w:sz w:val="24"/>
        <w:szCs w:val="24"/>
      </w:rPr>
      <w:t xml:space="preserve">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74566"/>
    <w:multiLevelType w:val="hybridMultilevel"/>
    <w:tmpl w:val="6BE6B33A"/>
    <w:lvl w:ilvl="0">
      <w:start w:val="1"/>
      <w:numFmt w:val="bullet"/>
      <w:lvlText w:val=""/>
      <w:lvlJc w:val="left"/>
      <w:pPr>
        <w:ind w:left="720" w:hanging="360"/>
      </w:pPr>
      <w:rPr>
        <w:rFonts w:ascii="Symbol" w:hAnsi="Symbol" w:hint="default"/>
        <w:b w:val="0"/>
        <w:bCs/>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6A3B6D"/>
    <w:multiLevelType w:val="hybridMultilevel"/>
    <w:tmpl w:val="3CE821A8"/>
    <w:lvl w:ilvl="0">
      <w:start w:val="1"/>
      <w:numFmt w:val="lowerLetter"/>
      <w:lvlText w:val="%1."/>
      <w:lvlJc w:val="left"/>
      <w:pPr>
        <w:ind w:left="13230" w:hanging="360"/>
      </w:pPr>
      <w:rPr>
        <w:rFonts w:hint="default"/>
      </w:rPr>
    </w:lvl>
    <w:lvl w:ilvl="1" w:tentative="1">
      <w:start w:val="1"/>
      <w:numFmt w:val="lowerLetter"/>
      <w:lvlText w:val="%2."/>
      <w:lvlJc w:val="left"/>
      <w:pPr>
        <w:ind w:left="13950" w:hanging="360"/>
      </w:pPr>
    </w:lvl>
    <w:lvl w:ilvl="2" w:tentative="1">
      <w:start w:val="1"/>
      <w:numFmt w:val="lowerRoman"/>
      <w:lvlText w:val="%3."/>
      <w:lvlJc w:val="right"/>
      <w:pPr>
        <w:ind w:left="14670" w:hanging="180"/>
      </w:pPr>
    </w:lvl>
    <w:lvl w:ilvl="3" w:tentative="1">
      <w:start w:val="1"/>
      <w:numFmt w:val="decimal"/>
      <w:lvlText w:val="%4."/>
      <w:lvlJc w:val="left"/>
      <w:pPr>
        <w:ind w:left="15390" w:hanging="360"/>
      </w:pPr>
    </w:lvl>
    <w:lvl w:ilvl="4" w:tentative="1">
      <w:start w:val="1"/>
      <w:numFmt w:val="lowerLetter"/>
      <w:lvlText w:val="%5."/>
      <w:lvlJc w:val="left"/>
      <w:pPr>
        <w:ind w:left="16110" w:hanging="360"/>
      </w:pPr>
    </w:lvl>
    <w:lvl w:ilvl="5" w:tentative="1">
      <w:start w:val="1"/>
      <w:numFmt w:val="lowerRoman"/>
      <w:lvlText w:val="%6."/>
      <w:lvlJc w:val="right"/>
      <w:pPr>
        <w:ind w:left="16830" w:hanging="180"/>
      </w:pPr>
    </w:lvl>
    <w:lvl w:ilvl="6" w:tentative="1">
      <w:start w:val="1"/>
      <w:numFmt w:val="decimal"/>
      <w:lvlText w:val="%7."/>
      <w:lvlJc w:val="left"/>
      <w:pPr>
        <w:ind w:left="17550" w:hanging="360"/>
      </w:pPr>
    </w:lvl>
    <w:lvl w:ilvl="7" w:tentative="1">
      <w:start w:val="1"/>
      <w:numFmt w:val="lowerLetter"/>
      <w:lvlText w:val="%8."/>
      <w:lvlJc w:val="left"/>
      <w:pPr>
        <w:ind w:left="18270" w:hanging="360"/>
      </w:pPr>
    </w:lvl>
    <w:lvl w:ilvl="8" w:tentative="1">
      <w:start w:val="1"/>
      <w:numFmt w:val="lowerRoman"/>
      <w:lvlText w:val="%9."/>
      <w:lvlJc w:val="right"/>
      <w:pPr>
        <w:ind w:left="18990" w:hanging="180"/>
      </w:pPr>
    </w:lvl>
  </w:abstractNum>
  <w:abstractNum w:abstractNumId="2">
    <w:nsid w:val="0E796A09"/>
    <w:multiLevelType w:val="hybridMultilevel"/>
    <w:tmpl w:val="9A6CBCF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0802F91"/>
    <w:multiLevelType w:val="hybridMultilevel"/>
    <w:tmpl w:val="271A74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2591648"/>
    <w:multiLevelType w:val="hybridMultilevel"/>
    <w:tmpl w:val="E01C2E62"/>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
    <w:nsid w:val="142F0850"/>
    <w:multiLevelType w:val="hybridMultilevel"/>
    <w:tmpl w:val="2BC21D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55140C"/>
    <w:multiLevelType w:val="hybridMultilevel"/>
    <w:tmpl w:val="BBEA7D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D074AEB"/>
    <w:multiLevelType w:val="hybridMultilevel"/>
    <w:tmpl w:val="B1BAC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2229FF"/>
    <w:multiLevelType w:val="hybridMultilevel"/>
    <w:tmpl w:val="8EA4C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1A72A5"/>
    <w:multiLevelType w:val="hybridMultilevel"/>
    <w:tmpl w:val="52D8A66C"/>
    <w:lvl w:ilvl="0">
      <w:start w:val="1"/>
      <w:numFmt w:val="bullet"/>
      <w:lvlText w:val="o"/>
      <w:lvlJc w:val="left"/>
      <w:pPr>
        <w:ind w:left="1530" w:hanging="360"/>
      </w:pPr>
      <w:rPr>
        <w:rFonts w:ascii="Courier New" w:hAnsi="Courier New" w:cs="Courier New"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0">
    <w:nsid w:val="2C3F1D33"/>
    <w:multiLevelType w:val="hybridMultilevel"/>
    <w:tmpl w:val="8C28583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EE24F8A"/>
    <w:multiLevelType w:val="hybridMultilevel"/>
    <w:tmpl w:val="C610EA5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31D449E4"/>
    <w:multiLevelType w:val="hybridMultilevel"/>
    <w:tmpl w:val="6720A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9676BE"/>
    <w:multiLevelType w:val="hybridMultilevel"/>
    <w:tmpl w:val="CA1E5EF8"/>
    <w:lvl w:ilvl="0">
      <w:start w:val="1"/>
      <w:numFmt w:val="decimal"/>
      <w:pStyle w:val="Heading1"/>
      <w:lvlText w:val="%1."/>
      <w:lvlJc w:val="left"/>
      <w:pPr>
        <w:ind w:left="360" w:hanging="360"/>
      </w:pPr>
      <w:rPr>
        <w:b/>
        <w:bCs/>
      </w:rPr>
    </w:lvl>
    <w:lvl w:ilvl="1">
      <w:start w:val="1"/>
      <w:numFmt w:val="lowerLetter"/>
      <w:pStyle w:val="ListParagraph"/>
      <w:lvlText w:val="%2."/>
      <w:lvlJc w:val="left"/>
      <w:pPr>
        <w:ind w:left="1080" w:hanging="360"/>
      </w:pPr>
      <w:rPr>
        <w:rFonts w:hint="default"/>
        <w:b/>
        <w:bCs/>
        <w:i w:val="0"/>
        <w:iCs w:val="0"/>
      </w:rPr>
    </w:lvl>
    <w:lvl w:ilvl="2">
      <w:start w:val="1"/>
      <w:numFmt w:val="lowerRoman"/>
      <w:lvlText w:val="%3."/>
      <w:lvlJc w:val="right"/>
      <w:pPr>
        <w:ind w:left="1800" w:hanging="180"/>
      </w:pPr>
      <w:rPr>
        <w:b w:val="0"/>
        <w:bCs w:val="0"/>
        <w:color w:val="auto"/>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5E5543A"/>
    <w:multiLevelType w:val="hybridMultilevel"/>
    <w:tmpl w:val="1892D6A2"/>
    <w:lvl w:ilvl="0">
      <w:start w:val="1"/>
      <w:numFmt w:val="bullet"/>
      <w:lvlText w:val="o"/>
      <w:lvlJc w:val="left"/>
      <w:pPr>
        <w:ind w:left="2340" w:hanging="360"/>
      </w:pPr>
      <w:rPr>
        <w:rFonts w:ascii="Courier New" w:hAnsi="Courier New" w:cs="Courier New" w:hint="default"/>
        <w:color w:val="auto"/>
      </w:rPr>
    </w:lvl>
    <w:lvl w:ilvl="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5">
    <w:nsid w:val="3F485DC9"/>
    <w:multiLevelType w:val="hybridMultilevel"/>
    <w:tmpl w:val="586CB2C6"/>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6">
    <w:nsid w:val="43B41865"/>
    <w:multiLevelType w:val="hybridMultilevel"/>
    <w:tmpl w:val="002E5F5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7">
    <w:nsid w:val="49313424"/>
    <w:multiLevelType w:val="hybridMultilevel"/>
    <w:tmpl w:val="FA4C0342"/>
    <w:lvl w:ilvl="0">
      <w:start w:val="1"/>
      <w:numFmt w:val="lowerRoman"/>
      <w:lvlText w:val="%1."/>
      <w:lvlJc w:val="right"/>
      <w:pPr>
        <w:ind w:left="1800" w:hanging="18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2F0494"/>
    <w:multiLevelType w:val="hybridMultilevel"/>
    <w:tmpl w:val="CE32DFE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4E8E5918"/>
    <w:multiLevelType w:val="hybridMultilevel"/>
    <w:tmpl w:val="6CDA57E0"/>
    <w:lvl w:ilvl="0">
      <w:start w:val="0"/>
      <w:numFmt w:val="bullet"/>
      <w:lvlText w:val="•"/>
      <w:lvlJc w:val="left"/>
      <w:pPr>
        <w:ind w:left="980" w:hanging="174"/>
      </w:pPr>
      <w:rPr>
        <w:rFonts w:ascii="Calibri Light" w:eastAsia="Calibri Light" w:hAnsi="Calibri Light" w:cs="Calibri Light" w:hint="default"/>
        <w:color w:val="231F20"/>
        <w:spacing w:val="-9"/>
        <w:w w:val="99"/>
        <w:sz w:val="24"/>
        <w:szCs w:val="24"/>
      </w:rPr>
    </w:lvl>
    <w:lvl w:ilvl="1">
      <w:start w:val="0"/>
      <w:numFmt w:val="bullet"/>
      <w:lvlText w:val="•"/>
      <w:lvlJc w:val="left"/>
      <w:pPr>
        <w:ind w:left="2106" w:hanging="174"/>
      </w:pPr>
      <w:rPr>
        <w:rFonts w:hint="default"/>
      </w:rPr>
    </w:lvl>
    <w:lvl w:ilvl="2">
      <w:start w:val="0"/>
      <w:numFmt w:val="bullet"/>
      <w:lvlText w:val="•"/>
      <w:lvlJc w:val="left"/>
      <w:pPr>
        <w:ind w:left="3232" w:hanging="174"/>
      </w:pPr>
      <w:rPr>
        <w:rFonts w:hint="default"/>
      </w:rPr>
    </w:lvl>
    <w:lvl w:ilvl="3">
      <w:start w:val="0"/>
      <w:numFmt w:val="bullet"/>
      <w:lvlText w:val="•"/>
      <w:lvlJc w:val="left"/>
      <w:pPr>
        <w:ind w:left="4358" w:hanging="174"/>
      </w:pPr>
      <w:rPr>
        <w:rFonts w:hint="default"/>
      </w:rPr>
    </w:lvl>
    <w:lvl w:ilvl="4">
      <w:start w:val="0"/>
      <w:numFmt w:val="bullet"/>
      <w:lvlText w:val="•"/>
      <w:lvlJc w:val="left"/>
      <w:pPr>
        <w:ind w:left="5484" w:hanging="174"/>
      </w:pPr>
      <w:rPr>
        <w:rFonts w:hint="default"/>
      </w:rPr>
    </w:lvl>
    <w:lvl w:ilvl="5">
      <w:start w:val="0"/>
      <w:numFmt w:val="bullet"/>
      <w:lvlText w:val="•"/>
      <w:lvlJc w:val="left"/>
      <w:pPr>
        <w:ind w:left="6610" w:hanging="174"/>
      </w:pPr>
      <w:rPr>
        <w:rFonts w:hint="default"/>
      </w:rPr>
    </w:lvl>
    <w:lvl w:ilvl="6">
      <w:start w:val="0"/>
      <w:numFmt w:val="bullet"/>
      <w:lvlText w:val="•"/>
      <w:lvlJc w:val="left"/>
      <w:pPr>
        <w:ind w:left="7736" w:hanging="174"/>
      </w:pPr>
      <w:rPr>
        <w:rFonts w:hint="default"/>
      </w:rPr>
    </w:lvl>
    <w:lvl w:ilvl="7">
      <w:start w:val="0"/>
      <w:numFmt w:val="bullet"/>
      <w:lvlText w:val="•"/>
      <w:lvlJc w:val="left"/>
      <w:pPr>
        <w:ind w:left="8862" w:hanging="174"/>
      </w:pPr>
      <w:rPr>
        <w:rFonts w:hint="default"/>
      </w:rPr>
    </w:lvl>
    <w:lvl w:ilvl="8">
      <w:start w:val="0"/>
      <w:numFmt w:val="bullet"/>
      <w:lvlText w:val="•"/>
      <w:lvlJc w:val="left"/>
      <w:pPr>
        <w:ind w:left="9988" w:hanging="174"/>
      </w:pPr>
      <w:rPr>
        <w:rFonts w:hint="default"/>
      </w:rPr>
    </w:lvl>
  </w:abstractNum>
  <w:abstractNum w:abstractNumId="20">
    <w:nsid w:val="563904A7"/>
    <w:multiLevelType w:val="hybridMultilevel"/>
    <w:tmpl w:val="3E7A4D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04471B"/>
    <w:multiLevelType w:val="hybridMultilevel"/>
    <w:tmpl w:val="BDCA9FBC"/>
    <w:lvl w:ilvl="0">
      <w:start w:val="1"/>
      <w:numFmt w:val="decimal"/>
      <w:lvlText w:val="%1."/>
      <w:lvlJc w:val="left"/>
      <w:pPr>
        <w:ind w:left="360" w:hanging="360"/>
      </w:pPr>
      <w:rPr>
        <w:b/>
        <w:bCs/>
      </w:rPr>
    </w:lvl>
    <w:lvl w:ilvl="1">
      <w:start w:val="1"/>
      <w:numFmt w:val="lowerLetter"/>
      <w:lvlText w:val="%2."/>
      <w:lvlJc w:val="left"/>
      <w:pPr>
        <w:ind w:left="1080" w:hanging="360"/>
      </w:pPr>
      <w:rPr>
        <w:rFonts w:hint="default"/>
        <w:b/>
        <w:bCs/>
        <w:i w:val="0"/>
        <w:iCs w:val="0"/>
      </w:rPr>
    </w:lvl>
    <w:lvl w:ilvl="2">
      <w:start w:val="1"/>
      <w:numFmt w:val="bullet"/>
      <w:lvlText w:val="o"/>
      <w:lvlJc w:val="left"/>
      <w:pPr>
        <w:ind w:left="1530" w:hanging="360"/>
      </w:pPr>
      <w:rPr>
        <w:rFonts w:ascii="Courier New" w:hAnsi="Courier New" w:cs="Courier New" w:hint="default"/>
        <w:color w:val="auto"/>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99F35F9"/>
    <w:multiLevelType w:val="hybridMultilevel"/>
    <w:tmpl w:val="7F0A0982"/>
    <w:lvl w:ilvl="0">
      <w:start w:val="1"/>
      <w:numFmt w:val="decimal"/>
      <w:lvlText w:val="%1."/>
      <w:lvlJc w:val="left"/>
      <w:pPr>
        <w:ind w:left="1440" w:hanging="63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3">
    <w:nsid w:val="6D941F38"/>
    <w:multiLevelType w:val="hybridMultilevel"/>
    <w:tmpl w:val="EF16E4AE"/>
    <w:lvl w:ilvl="0">
      <w:start w:val="1"/>
      <w:numFmt w:val="bullet"/>
      <w:lvlText w:val="o"/>
      <w:lvlJc w:val="left"/>
      <w:pPr>
        <w:ind w:left="2340" w:hanging="360"/>
      </w:pPr>
      <w:rPr>
        <w:rFonts w:ascii="Courier New" w:hAnsi="Courier New" w:cs="Courier New" w:hint="default"/>
        <w:color w:val="auto"/>
      </w:rPr>
    </w:lvl>
    <w:lvl w:ilvl="1">
      <w:start w:val="1"/>
      <w:numFmt w:val="bullet"/>
      <w:lvlText w:val="o"/>
      <w:lvlJc w:val="left"/>
      <w:pPr>
        <w:ind w:left="2250" w:hanging="360"/>
      </w:pPr>
      <w:rPr>
        <w:rFonts w:ascii="Courier New" w:hAnsi="Courier New" w:cs="Courier New" w:hint="default"/>
        <w:color w:val="auto"/>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4">
    <w:nsid w:val="6EE3524B"/>
    <w:multiLevelType w:val="hybridMultilevel"/>
    <w:tmpl w:val="96C6C02C"/>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5">
    <w:nsid w:val="707C0BF2"/>
    <w:multiLevelType w:val="hybridMultilevel"/>
    <w:tmpl w:val="D16238F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6">
    <w:nsid w:val="71EB27B8"/>
    <w:multiLevelType w:val="hybridMultilevel"/>
    <w:tmpl w:val="C25E13AE"/>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7">
    <w:nsid w:val="7DA02B74"/>
    <w:multiLevelType w:val="hybridMultilevel"/>
    <w:tmpl w:val="2BC23444"/>
    <w:lvl w:ilvl="0">
      <w:start w:val="1"/>
      <w:numFmt w:val="bullet"/>
      <w:lvlText w:val=""/>
      <w:lvlJc w:val="left"/>
      <w:pPr>
        <w:ind w:left="720" w:hanging="360"/>
      </w:pPr>
      <w:rPr>
        <w:rFonts w:ascii="Symbol" w:hAnsi="Symbol" w:hint="default"/>
        <w:b w:val="0"/>
        <w:bCs/>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5953321">
    <w:abstractNumId w:val="19"/>
  </w:num>
  <w:num w:numId="2" w16cid:durableId="977951060">
    <w:abstractNumId w:val="18"/>
  </w:num>
  <w:num w:numId="3" w16cid:durableId="256449700">
    <w:abstractNumId w:val="1"/>
  </w:num>
  <w:num w:numId="4" w16cid:durableId="300381763">
    <w:abstractNumId w:val="2"/>
  </w:num>
  <w:num w:numId="5" w16cid:durableId="144518191">
    <w:abstractNumId w:val="10"/>
  </w:num>
  <w:num w:numId="6" w16cid:durableId="214977132">
    <w:abstractNumId w:val="22"/>
  </w:num>
  <w:num w:numId="7" w16cid:durableId="2035107123">
    <w:abstractNumId w:val="13"/>
  </w:num>
  <w:num w:numId="8" w16cid:durableId="1730566860">
    <w:abstractNumId w:val="13"/>
    <w:lvlOverride w:ilvl="0">
      <w:startOverride w:val="1"/>
    </w:lvlOverride>
  </w:num>
  <w:num w:numId="9" w16cid:durableId="652835521">
    <w:abstractNumId w:val="13"/>
    <w:lvlOverride w:ilvl="0">
      <w:startOverride w:val="1"/>
    </w:lvlOverride>
  </w:num>
  <w:num w:numId="10" w16cid:durableId="1037119096">
    <w:abstractNumId w:val="13"/>
    <w:lvlOverride w:ilvl="0">
      <w:startOverride w:val="1"/>
    </w:lvlOverride>
  </w:num>
  <w:num w:numId="11" w16cid:durableId="1480995066">
    <w:abstractNumId w:val="13"/>
    <w:lvlOverride w:ilvl="0">
      <w:startOverride w:val="1"/>
    </w:lvlOverride>
  </w:num>
  <w:num w:numId="12" w16cid:durableId="1352415315">
    <w:abstractNumId w:val="13"/>
    <w:lvlOverride w:ilvl="0">
      <w:startOverride w:val="1"/>
    </w:lvlOverride>
  </w:num>
  <w:num w:numId="13" w16cid:durableId="840240171">
    <w:abstractNumId w:val="4"/>
  </w:num>
  <w:num w:numId="14" w16cid:durableId="1094588350">
    <w:abstractNumId w:val="3"/>
  </w:num>
  <w:num w:numId="15" w16cid:durableId="772214541">
    <w:abstractNumId w:val="13"/>
  </w:num>
  <w:num w:numId="16" w16cid:durableId="1981225635">
    <w:abstractNumId w:val="13"/>
  </w:num>
  <w:num w:numId="17" w16cid:durableId="325668762">
    <w:abstractNumId w:val="13"/>
  </w:num>
  <w:num w:numId="18" w16cid:durableId="340742945">
    <w:abstractNumId w:val="15"/>
  </w:num>
  <w:num w:numId="19" w16cid:durableId="1638871368">
    <w:abstractNumId w:val="16"/>
  </w:num>
  <w:num w:numId="20" w16cid:durableId="1632900571">
    <w:abstractNumId w:val="13"/>
    <w:lvlOverride w:ilvl="0">
      <w:startOverride w:val="1"/>
    </w:lvlOverride>
  </w:num>
  <w:num w:numId="21" w16cid:durableId="1339116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2058683">
    <w:abstractNumId w:val="4"/>
  </w:num>
  <w:num w:numId="23" w16cid:durableId="1110197073">
    <w:abstractNumId w:val="3"/>
  </w:num>
  <w:num w:numId="24" w16cid:durableId="1458647990">
    <w:abstractNumId w:val="6"/>
  </w:num>
  <w:num w:numId="25" w16cid:durableId="2059697606">
    <w:abstractNumId w:val="25"/>
  </w:num>
  <w:num w:numId="26" w16cid:durableId="705523533">
    <w:abstractNumId w:val="11"/>
  </w:num>
  <w:num w:numId="27" w16cid:durableId="1165509234">
    <w:abstractNumId w:val="6"/>
  </w:num>
  <w:num w:numId="28" w16cid:durableId="1434476394">
    <w:abstractNumId w:val="12"/>
  </w:num>
  <w:num w:numId="29" w16cid:durableId="933980643">
    <w:abstractNumId w:val="3"/>
  </w:num>
  <w:num w:numId="30" w16cid:durableId="400106240">
    <w:abstractNumId w:val="27"/>
  </w:num>
  <w:num w:numId="31" w16cid:durableId="1156150184">
    <w:abstractNumId w:val="4"/>
  </w:num>
  <w:num w:numId="32" w16cid:durableId="1591157315">
    <w:abstractNumId w:val="0"/>
  </w:num>
  <w:num w:numId="33" w16cid:durableId="1233352550">
    <w:abstractNumId w:val="17"/>
  </w:num>
  <w:num w:numId="34" w16cid:durableId="230234144">
    <w:abstractNumId w:val="8"/>
  </w:num>
  <w:num w:numId="35" w16cid:durableId="21178504">
    <w:abstractNumId w:val="5"/>
  </w:num>
  <w:num w:numId="36" w16cid:durableId="1925256371">
    <w:abstractNumId w:val="20"/>
  </w:num>
  <w:num w:numId="37" w16cid:durableId="673721931">
    <w:abstractNumId w:val="7"/>
  </w:num>
  <w:num w:numId="38" w16cid:durableId="1068303445">
    <w:abstractNumId w:val="24"/>
  </w:num>
  <w:num w:numId="39" w16cid:durableId="1936938325">
    <w:abstractNumId w:val="26"/>
  </w:num>
  <w:num w:numId="40" w16cid:durableId="806163514">
    <w:abstractNumId w:val="9"/>
  </w:num>
  <w:num w:numId="41" w16cid:durableId="457338078">
    <w:abstractNumId w:val="21"/>
  </w:num>
  <w:num w:numId="42" w16cid:durableId="1959794760">
    <w:abstractNumId w:val="14"/>
  </w:num>
  <w:num w:numId="43" w16cid:durableId="5798773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82"/>
    <w:rsid w:val="00002594"/>
    <w:rsid w:val="00005E1E"/>
    <w:rsid w:val="00011695"/>
    <w:rsid w:val="00016E6B"/>
    <w:rsid w:val="000204BB"/>
    <w:rsid w:val="00032EEB"/>
    <w:rsid w:val="000341DB"/>
    <w:rsid w:val="00035DFE"/>
    <w:rsid w:val="00040C45"/>
    <w:rsid w:val="000415B1"/>
    <w:rsid w:val="00041EC0"/>
    <w:rsid w:val="00041F57"/>
    <w:rsid w:val="00044CD8"/>
    <w:rsid w:val="000471AA"/>
    <w:rsid w:val="0005346D"/>
    <w:rsid w:val="00053DF0"/>
    <w:rsid w:val="00055529"/>
    <w:rsid w:val="0005649A"/>
    <w:rsid w:val="00056E2C"/>
    <w:rsid w:val="00062236"/>
    <w:rsid w:val="000664EE"/>
    <w:rsid w:val="00080473"/>
    <w:rsid w:val="00084AE1"/>
    <w:rsid w:val="000942CF"/>
    <w:rsid w:val="000A4611"/>
    <w:rsid w:val="000B2D2B"/>
    <w:rsid w:val="000B3194"/>
    <w:rsid w:val="000B6DF7"/>
    <w:rsid w:val="000D1878"/>
    <w:rsid w:val="000E4FDE"/>
    <w:rsid w:val="000E6D15"/>
    <w:rsid w:val="000F2BB3"/>
    <w:rsid w:val="000F67D4"/>
    <w:rsid w:val="000F7DBC"/>
    <w:rsid w:val="0012097E"/>
    <w:rsid w:val="00125D4F"/>
    <w:rsid w:val="00136B15"/>
    <w:rsid w:val="00144A31"/>
    <w:rsid w:val="00145DB4"/>
    <w:rsid w:val="0014686C"/>
    <w:rsid w:val="001729F5"/>
    <w:rsid w:val="00182FDF"/>
    <w:rsid w:val="0018573D"/>
    <w:rsid w:val="001905B3"/>
    <w:rsid w:val="00194890"/>
    <w:rsid w:val="001B0996"/>
    <w:rsid w:val="001B0ECD"/>
    <w:rsid w:val="001C1B4F"/>
    <w:rsid w:val="001C660E"/>
    <w:rsid w:val="001C6A04"/>
    <w:rsid w:val="001E04D3"/>
    <w:rsid w:val="001E0634"/>
    <w:rsid w:val="001E7E90"/>
    <w:rsid w:val="001E7F04"/>
    <w:rsid w:val="001F3D94"/>
    <w:rsid w:val="002052C3"/>
    <w:rsid w:val="002077C4"/>
    <w:rsid w:val="00221086"/>
    <w:rsid w:val="00231484"/>
    <w:rsid w:val="002315E5"/>
    <w:rsid w:val="00247DCF"/>
    <w:rsid w:val="00252D1A"/>
    <w:rsid w:val="00270BEB"/>
    <w:rsid w:val="0027197F"/>
    <w:rsid w:val="00273CC4"/>
    <w:rsid w:val="002800B7"/>
    <w:rsid w:val="002846E3"/>
    <w:rsid w:val="002849FB"/>
    <w:rsid w:val="00291F7D"/>
    <w:rsid w:val="00296FA6"/>
    <w:rsid w:val="002A5427"/>
    <w:rsid w:val="002B0190"/>
    <w:rsid w:val="002B7180"/>
    <w:rsid w:val="002C167B"/>
    <w:rsid w:val="002C16F8"/>
    <w:rsid w:val="002C1C06"/>
    <w:rsid w:val="002C3AB7"/>
    <w:rsid w:val="002D24AC"/>
    <w:rsid w:val="002D7D49"/>
    <w:rsid w:val="002E0BB2"/>
    <w:rsid w:val="002F1877"/>
    <w:rsid w:val="002F7D4C"/>
    <w:rsid w:val="00300A8D"/>
    <w:rsid w:val="003175AB"/>
    <w:rsid w:val="0032496A"/>
    <w:rsid w:val="00325722"/>
    <w:rsid w:val="00326FFD"/>
    <w:rsid w:val="00330559"/>
    <w:rsid w:val="0034141A"/>
    <w:rsid w:val="00344F9E"/>
    <w:rsid w:val="00353FDB"/>
    <w:rsid w:val="0035612A"/>
    <w:rsid w:val="00357136"/>
    <w:rsid w:val="00360983"/>
    <w:rsid w:val="00367A10"/>
    <w:rsid w:val="00367E80"/>
    <w:rsid w:val="003764B2"/>
    <w:rsid w:val="00377E45"/>
    <w:rsid w:val="00382F2A"/>
    <w:rsid w:val="003C0163"/>
    <w:rsid w:val="003D13FA"/>
    <w:rsid w:val="003D36A7"/>
    <w:rsid w:val="003E34E6"/>
    <w:rsid w:val="003E3A8C"/>
    <w:rsid w:val="003E7684"/>
    <w:rsid w:val="003F1B52"/>
    <w:rsid w:val="003F26A6"/>
    <w:rsid w:val="003F2FA2"/>
    <w:rsid w:val="004006EC"/>
    <w:rsid w:val="00400B5E"/>
    <w:rsid w:val="00420BA4"/>
    <w:rsid w:val="00422865"/>
    <w:rsid w:val="00424F83"/>
    <w:rsid w:val="004258A1"/>
    <w:rsid w:val="004269ED"/>
    <w:rsid w:val="00433D4C"/>
    <w:rsid w:val="00437038"/>
    <w:rsid w:val="0043782A"/>
    <w:rsid w:val="00437964"/>
    <w:rsid w:val="00437BA6"/>
    <w:rsid w:val="00440D2F"/>
    <w:rsid w:val="00441C3E"/>
    <w:rsid w:val="0044704A"/>
    <w:rsid w:val="00460B61"/>
    <w:rsid w:val="0046337B"/>
    <w:rsid w:val="004652AC"/>
    <w:rsid w:val="00470F8C"/>
    <w:rsid w:val="00471811"/>
    <w:rsid w:val="0049145C"/>
    <w:rsid w:val="004A725D"/>
    <w:rsid w:val="004B771E"/>
    <w:rsid w:val="004D7E36"/>
    <w:rsid w:val="004E2D9F"/>
    <w:rsid w:val="004E7241"/>
    <w:rsid w:val="004F41D1"/>
    <w:rsid w:val="00500C76"/>
    <w:rsid w:val="005033AF"/>
    <w:rsid w:val="00507C34"/>
    <w:rsid w:val="00512223"/>
    <w:rsid w:val="005139BB"/>
    <w:rsid w:val="00532CAD"/>
    <w:rsid w:val="00536684"/>
    <w:rsid w:val="00540185"/>
    <w:rsid w:val="00551A19"/>
    <w:rsid w:val="00562AB3"/>
    <w:rsid w:val="005630EB"/>
    <w:rsid w:val="00563753"/>
    <w:rsid w:val="00564B48"/>
    <w:rsid w:val="00565DBF"/>
    <w:rsid w:val="00572DDD"/>
    <w:rsid w:val="005831AA"/>
    <w:rsid w:val="005A2203"/>
    <w:rsid w:val="005A4E7C"/>
    <w:rsid w:val="005A708B"/>
    <w:rsid w:val="005B0D5E"/>
    <w:rsid w:val="005B207D"/>
    <w:rsid w:val="005B4448"/>
    <w:rsid w:val="005C2337"/>
    <w:rsid w:val="005C3833"/>
    <w:rsid w:val="005D0136"/>
    <w:rsid w:val="005D277C"/>
    <w:rsid w:val="005D33C7"/>
    <w:rsid w:val="005D3773"/>
    <w:rsid w:val="005D4EDB"/>
    <w:rsid w:val="005D6B76"/>
    <w:rsid w:val="005E7C54"/>
    <w:rsid w:val="005F33F6"/>
    <w:rsid w:val="005F5A4E"/>
    <w:rsid w:val="005F5C05"/>
    <w:rsid w:val="005F7E6A"/>
    <w:rsid w:val="0060456A"/>
    <w:rsid w:val="0060513E"/>
    <w:rsid w:val="00613431"/>
    <w:rsid w:val="0064228E"/>
    <w:rsid w:val="00646EFE"/>
    <w:rsid w:val="00655F1D"/>
    <w:rsid w:val="00671097"/>
    <w:rsid w:val="0067167A"/>
    <w:rsid w:val="006772A0"/>
    <w:rsid w:val="00680F0E"/>
    <w:rsid w:val="00687C65"/>
    <w:rsid w:val="00692EA7"/>
    <w:rsid w:val="00697136"/>
    <w:rsid w:val="006A65CA"/>
    <w:rsid w:val="006B0A65"/>
    <w:rsid w:val="006B0EE4"/>
    <w:rsid w:val="006B3922"/>
    <w:rsid w:val="006C626F"/>
    <w:rsid w:val="006C7F68"/>
    <w:rsid w:val="006D2F19"/>
    <w:rsid w:val="006D6C4C"/>
    <w:rsid w:val="006E351F"/>
    <w:rsid w:val="006E7166"/>
    <w:rsid w:val="006F3C50"/>
    <w:rsid w:val="006F6E1D"/>
    <w:rsid w:val="006F7DA8"/>
    <w:rsid w:val="00700DAA"/>
    <w:rsid w:val="00701648"/>
    <w:rsid w:val="00703503"/>
    <w:rsid w:val="007039CB"/>
    <w:rsid w:val="007044CC"/>
    <w:rsid w:val="00705A2E"/>
    <w:rsid w:val="007065F5"/>
    <w:rsid w:val="00710AC7"/>
    <w:rsid w:val="00711BFD"/>
    <w:rsid w:val="00717E5E"/>
    <w:rsid w:val="007216A8"/>
    <w:rsid w:val="00722AB0"/>
    <w:rsid w:val="0072344D"/>
    <w:rsid w:val="00726862"/>
    <w:rsid w:val="0074020C"/>
    <w:rsid w:val="00741FE4"/>
    <w:rsid w:val="0074345D"/>
    <w:rsid w:val="00750D1D"/>
    <w:rsid w:val="00760448"/>
    <w:rsid w:val="007616C8"/>
    <w:rsid w:val="00761BD4"/>
    <w:rsid w:val="00767945"/>
    <w:rsid w:val="0077443A"/>
    <w:rsid w:val="007767AE"/>
    <w:rsid w:val="00782135"/>
    <w:rsid w:val="00782DAE"/>
    <w:rsid w:val="00787C90"/>
    <w:rsid w:val="00791356"/>
    <w:rsid w:val="007969E5"/>
    <w:rsid w:val="007A750E"/>
    <w:rsid w:val="007A79EF"/>
    <w:rsid w:val="007B28F5"/>
    <w:rsid w:val="007B69B9"/>
    <w:rsid w:val="007D3544"/>
    <w:rsid w:val="007E1A7E"/>
    <w:rsid w:val="007E524A"/>
    <w:rsid w:val="007F7CC9"/>
    <w:rsid w:val="00805655"/>
    <w:rsid w:val="00814E88"/>
    <w:rsid w:val="008208E6"/>
    <w:rsid w:val="008269A4"/>
    <w:rsid w:val="00826ED0"/>
    <w:rsid w:val="00832B13"/>
    <w:rsid w:val="00835C0F"/>
    <w:rsid w:val="00840239"/>
    <w:rsid w:val="008464D8"/>
    <w:rsid w:val="00846651"/>
    <w:rsid w:val="00862E40"/>
    <w:rsid w:val="00863B45"/>
    <w:rsid w:val="0088184F"/>
    <w:rsid w:val="0089038A"/>
    <w:rsid w:val="008A67EB"/>
    <w:rsid w:val="008B785E"/>
    <w:rsid w:val="008C0E7B"/>
    <w:rsid w:val="008C5827"/>
    <w:rsid w:val="008D17DB"/>
    <w:rsid w:val="008D5990"/>
    <w:rsid w:val="008D669B"/>
    <w:rsid w:val="008D6E55"/>
    <w:rsid w:val="008E3C18"/>
    <w:rsid w:val="008E7674"/>
    <w:rsid w:val="008E7E8A"/>
    <w:rsid w:val="008F1AF9"/>
    <w:rsid w:val="008F7BE0"/>
    <w:rsid w:val="00900681"/>
    <w:rsid w:val="00904239"/>
    <w:rsid w:val="00905C29"/>
    <w:rsid w:val="009127CD"/>
    <w:rsid w:val="00924242"/>
    <w:rsid w:val="009271DE"/>
    <w:rsid w:val="009321DD"/>
    <w:rsid w:val="00935E53"/>
    <w:rsid w:val="00951670"/>
    <w:rsid w:val="00956A22"/>
    <w:rsid w:val="009629B1"/>
    <w:rsid w:val="00964469"/>
    <w:rsid w:val="009671B7"/>
    <w:rsid w:val="00967A01"/>
    <w:rsid w:val="00985AA2"/>
    <w:rsid w:val="009A7163"/>
    <w:rsid w:val="009B47EA"/>
    <w:rsid w:val="009B7230"/>
    <w:rsid w:val="009B7588"/>
    <w:rsid w:val="009C4FC9"/>
    <w:rsid w:val="009C6F1A"/>
    <w:rsid w:val="009D0850"/>
    <w:rsid w:val="009E2E7A"/>
    <w:rsid w:val="009E3F1F"/>
    <w:rsid w:val="009E5963"/>
    <w:rsid w:val="00A10BA1"/>
    <w:rsid w:val="00A10F31"/>
    <w:rsid w:val="00A1138F"/>
    <w:rsid w:val="00A20D8B"/>
    <w:rsid w:val="00A222BF"/>
    <w:rsid w:val="00A24C53"/>
    <w:rsid w:val="00A24CA1"/>
    <w:rsid w:val="00A25043"/>
    <w:rsid w:val="00A2512E"/>
    <w:rsid w:val="00A2738A"/>
    <w:rsid w:val="00A34D9A"/>
    <w:rsid w:val="00A37B72"/>
    <w:rsid w:val="00A4394E"/>
    <w:rsid w:val="00A44639"/>
    <w:rsid w:val="00A56A79"/>
    <w:rsid w:val="00A605D4"/>
    <w:rsid w:val="00A72BC0"/>
    <w:rsid w:val="00A72C9A"/>
    <w:rsid w:val="00A75686"/>
    <w:rsid w:val="00A76401"/>
    <w:rsid w:val="00A825F1"/>
    <w:rsid w:val="00A86AE8"/>
    <w:rsid w:val="00A90CB3"/>
    <w:rsid w:val="00AA28B5"/>
    <w:rsid w:val="00AA6B8B"/>
    <w:rsid w:val="00AA75F3"/>
    <w:rsid w:val="00AB10F1"/>
    <w:rsid w:val="00AB47AA"/>
    <w:rsid w:val="00AC1F75"/>
    <w:rsid w:val="00AC40D5"/>
    <w:rsid w:val="00AC7615"/>
    <w:rsid w:val="00AD743B"/>
    <w:rsid w:val="00AE0F20"/>
    <w:rsid w:val="00AF007C"/>
    <w:rsid w:val="00AF2432"/>
    <w:rsid w:val="00AF258E"/>
    <w:rsid w:val="00AF6157"/>
    <w:rsid w:val="00B05AA8"/>
    <w:rsid w:val="00B15EB7"/>
    <w:rsid w:val="00B17438"/>
    <w:rsid w:val="00B22388"/>
    <w:rsid w:val="00B235B7"/>
    <w:rsid w:val="00B23821"/>
    <w:rsid w:val="00B335E2"/>
    <w:rsid w:val="00B50381"/>
    <w:rsid w:val="00B51E51"/>
    <w:rsid w:val="00B57A47"/>
    <w:rsid w:val="00B57EE2"/>
    <w:rsid w:val="00B605AC"/>
    <w:rsid w:val="00B75CFE"/>
    <w:rsid w:val="00B76C2C"/>
    <w:rsid w:val="00B83F25"/>
    <w:rsid w:val="00B91238"/>
    <w:rsid w:val="00B94EF4"/>
    <w:rsid w:val="00B95053"/>
    <w:rsid w:val="00B961B4"/>
    <w:rsid w:val="00BA2DB2"/>
    <w:rsid w:val="00BA318F"/>
    <w:rsid w:val="00BB393D"/>
    <w:rsid w:val="00BB55F3"/>
    <w:rsid w:val="00BC08A2"/>
    <w:rsid w:val="00BC2E6B"/>
    <w:rsid w:val="00BD024C"/>
    <w:rsid w:val="00BD13FC"/>
    <w:rsid w:val="00BD27BA"/>
    <w:rsid w:val="00BD6726"/>
    <w:rsid w:val="00BD688D"/>
    <w:rsid w:val="00BD6E71"/>
    <w:rsid w:val="00BE185A"/>
    <w:rsid w:val="00BE3CF7"/>
    <w:rsid w:val="00BF0595"/>
    <w:rsid w:val="00BF3A41"/>
    <w:rsid w:val="00BF7F7D"/>
    <w:rsid w:val="00C01CE7"/>
    <w:rsid w:val="00C02C14"/>
    <w:rsid w:val="00C034D8"/>
    <w:rsid w:val="00C22958"/>
    <w:rsid w:val="00C2352D"/>
    <w:rsid w:val="00C248B3"/>
    <w:rsid w:val="00C33BA3"/>
    <w:rsid w:val="00C4410B"/>
    <w:rsid w:val="00C47521"/>
    <w:rsid w:val="00C611D3"/>
    <w:rsid w:val="00C61AE9"/>
    <w:rsid w:val="00C77155"/>
    <w:rsid w:val="00C77C1A"/>
    <w:rsid w:val="00C812EF"/>
    <w:rsid w:val="00CB4317"/>
    <w:rsid w:val="00CB6704"/>
    <w:rsid w:val="00CC5612"/>
    <w:rsid w:val="00CC572A"/>
    <w:rsid w:val="00CC69BB"/>
    <w:rsid w:val="00CE21E1"/>
    <w:rsid w:val="00CE34D7"/>
    <w:rsid w:val="00CE3A55"/>
    <w:rsid w:val="00CE5D4B"/>
    <w:rsid w:val="00CF162F"/>
    <w:rsid w:val="00CF206E"/>
    <w:rsid w:val="00CF248F"/>
    <w:rsid w:val="00D10D6E"/>
    <w:rsid w:val="00D20657"/>
    <w:rsid w:val="00D2443E"/>
    <w:rsid w:val="00D26391"/>
    <w:rsid w:val="00D32F26"/>
    <w:rsid w:val="00D468E1"/>
    <w:rsid w:val="00D51765"/>
    <w:rsid w:val="00D5313F"/>
    <w:rsid w:val="00D62E41"/>
    <w:rsid w:val="00D72E0D"/>
    <w:rsid w:val="00D87202"/>
    <w:rsid w:val="00D90865"/>
    <w:rsid w:val="00D97440"/>
    <w:rsid w:val="00D97B20"/>
    <w:rsid w:val="00DA36A1"/>
    <w:rsid w:val="00DA4C70"/>
    <w:rsid w:val="00DA73E3"/>
    <w:rsid w:val="00DB3F09"/>
    <w:rsid w:val="00DB6EBC"/>
    <w:rsid w:val="00DB7FE1"/>
    <w:rsid w:val="00DC16D4"/>
    <w:rsid w:val="00DC56E9"/>
    <w:rsid w:val="00DC6D51"/>
    <w:rsid w:val="00DD123E"/>
    <w:rsid w:val="00DD2C79"/>
    <w:rsid w:val="00DD2DDF"/>
    <w:rsid w:val="00DE0534"/>
    <w:rsid w:val="00DE2982"/>
    <w:rsid w:val="00DE7928"/>
    <w:rsid w:val="00DF2916"/>
    <w:rsid w:val="00E0105F"/>
    <w:rsid w:val="00E02533"/>
    <w:rsid w:val="00E03F11"/>
    <w:rsid w:val="00E12247"/>
    <w:rsid w:val="00E126CE"/>
    <w:rsid w:val="00E12896"/>
    <w:rsid w:val="00E23D22"/>
    <w:rsid w:val="00E24449"/>
    <w:rsid w:val="00E254F7"/>
    <w:rsid w:val="00E2576A"/>
    <w:rsid w:val="00E330A2"/>
    <w:rsid w:val="00E356D4"/>
    <w:rsid w:val="00E36422"/>
    <w:rsid w:val="00E4428D"/>
    <w:rsid w:val="00E4512C"/>
    <w:rsid w:val="00E52382"/>
    <w:rsid w:val="00E52B0C"/>
    <w:rsid w:val="00E54DE5"/>
    <w:rsid w:val="00E57C53"/>
    <w:rsid w:val="00E70A2B"/>
    <w:rsid w:val="00E70F92"/>
    <w:rsid w:val="00E7162C"/>
    <w:rsid w:val="00E75796"/>
    <w:rsid w:val="00E769DA"/>
    <w:rsid w:val="00E77855"/>
    <w:rsid w:val="00E81FC1"/>
    <w:rsid w:val="00E827CC"/>
    <w:rsid w:val="00E82A43"/>
    <w:rsid w:val="00E97221"/>
    <w:rsid w:val="00EA43BF"/>
    <w:rsid w:val="00EA7577"/>
    <w:rsid w:val="00EB2217"/>
    <w:rsid w:val="00EC0516"/>
    <w:rsid w:val="00EC19A0"/>
    <w:rsid w:val="00EE3322"/>
    <w:rsid w:val="00EE537C"/>
    <w:rsid w:val="00F02411"/>
    <w:rsid w:val="00F04169"/>
    <w:rsid w:val="00F05023"/>
    <w:rsid w:val="00F065D7"/>
    <w:rsid w:val="00F13607"/>
    <w:rsid w:val="00F2502D"/>
    <w:rsid w:val="00F340E1"/>
    <w:rsid w:val="00F358ED"/>
    <w:rsid w:val="00F45398"/>
    <w:rsid w:val="00F54AC9"/>
    <w:rsid w:val="00F617B7"/>
    <w:rsid w:val="00F67D7D"/>
    <w:rsid w:val="00F75897"/>
    <w:rsid w:val="00F775B2"/>
    <w:rsid w:val="00F8427C"/>
    <w:rsid w:val="00F856BA"/>
    <w:rsid w:val="00F97B4B"/>
    <w:rsid w:val="00FA601C"/>
    <w:rsid w:val="00FB006D"/>
    <w:rsid w:val="00FC349E"/>
    <w:rsid w:val="00FC4E06"/>
    <w:rsid w:val="00FC6C7B"/>
    <w:rsid w:val="00FC765E"/>
    <w:rsid w:val="00FD5AB2"/>
    <w:rsid w:val="00FE4426"/>
    <w:rsid w:val="00FE5B2A"/>
    <w:rsid w:val="00FE6CC0"/>
    <w:rsid w:val="00FF082B"/>
    <w:rsid w:val="07C8905F"/>
    <w:rsid w:val="0820BC1B"/>
    <w:rsid w:val="0D501B4A"/>
    <w:rsid w:val="1C3B06FD"/>
    <w:rsid w:val="1C4E96D7"/>
    <w:rsid w:val="1D83B1BC"/>
    <w:rsid w:val="24FF331D"/>
    <w:rsid w:val="2523DE9D"/>
    <w:rsid w:val="2C6DE4F2"/>
    <w:rsid w:val="2E4ABB25"/>
    <w:rsid w:val="34F40F59"/>
    <w:rsid w:val="353D903E"/>
    <w:rsid w:val="37DFE50A"/>
    <w:rsid w:val="3CFA68A3"/>
    <w:rsid w:val="3D635121"/>
    <w:rsid w:val="3DABEB73"/>
    <w:rsid w:val="3DB3CFC4"/>
    <w:rsid w:val="3DD58506"/>
    <w:rsid w:val="403924EC"/>
    <w:rsid w:val="40938606"/>
    <w:rsid w:val="446904B2"/>
    <w:rsid w:val="459B1574"/>
    <w:rsid w:val="49DFA186"/>
    <w:rsid w:val="51407C67"/>
    <w:rsid w:val="53734BB5"/>
    <w:rsid w:val="6477422C"/>
    <w:rsid w:val="68878044"/>
    <w:rsid w:val="6C7DF156"/>
    <w:rsid w:val="6F677FAE"/>
    <w:rsid w:val="713AAE78"/>
    <w:rsid w:val="771507B9"/>
    <w:rsid w:val="7BCE15B3"/>
    <w:rsid w:val="7CF8B2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13DF70E"/>
  <w15:docId w15:val="{6F27AA47-420C-4300-9B71-BA4478E6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BodyText"/>
    <w:link w:val="Heading1Char"/>
    <w:uiPriority w:val="1"/>
    <w:qFormat/>
    <w:rsid w:val="003F26A6"/>
    <w:pPr>
      <w:numPr>
        <w:numId w:val="7"/>
      </w:numPr>
      <w:outlineLvl w:val="0"/>
    </w:pPr>
    <w:rPr>
      <w:color w:val="009FC2"/>
    </w:rPr>
  </w:style>
  <w:style w:type="paragraph" w:styleId="Heading2">
    <w:name w:val="heading 2"/>
    <w:basedOn w:val="Heading1"/>
    <w:next w:val="Normal"/>
    <w:link w:val="Heading2Char"/>
    <w:uiPriority w:val="9"/>
    <w:unhideWhenUsed/>
    <w:qFormat/>
    <w:rsid w:val="006D2F19"/>
    <w:pPr>
      <w:numPr>
        <w:numId w:val="0"/>
      </w:numPr>
      <w:ind w:left="1890" w:hanging="360"/>
      <w:outlineLvl w:val="1"/>
    </w:pPr>
  </w:style>
  <w:style w:type="paragraph" w:styleId="Heading3">
    <w:name w:val="heading 3"/>
    <w:basedOn w:val="Normal"/>
    <w:next w:val="Normal"/>
    <w:link w:val="Heading3Char"/>
    <w:uiPriority w:val="9"/>
    <w:unhideWhenUsed/>
    <w:qFormat/>
    <w:rsid w:val="00EC05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26A6"/>
    <w:pPr>
      <w:spacing w:before="2" w:line="235" w:lineRule="auto"/>
      <w:ind w:left="810" w:right="900"/>
    </w:pPr>
    <w:rPr>
      <w:sz w:val="24"/>
      <w:szCs w:val="24"/>
    </w:rPr>
  </w:style>
  <w:style w:type="paragraph" w:styleId="ListParagraph">
    <w:name w:val="List Paragraph"/>
    <w:basedOn w:val="Normal"/>
    <w:uiPriority w:val="1"/>
    <w:qFormat/>
    <w:rsid w:val="009B7230"/>
    <w:pPr>
      <w:numPr>
        <w:ilvl w:val="1"/>
        <w:numId w:val="7"/>
      </w:numPr>
      <w:ind w:right="720"/>
    </w:pPr>
    <w:rPr>
      <w:color w:val="009FC2"/>
      <w:sz w:val="24"/>
      <w:szCs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345D"/>
    <w:pPr>
      <w:tabs>
        <w:tab w:val="center" w:pos="4680"/>
        <w:tab w:val="right" w:pos="9360"/>
      </w:tabs>
    </w:pPr>
  </w:style>
  <w:style w:type="character" w:customStyle="1" w:styleId="HeaderChar">
    <w:name w:val="Header Char"/>
    <w:basedOn w:val="DefaultParagraphFont"/>
    <w:link w:val="Header"/>
    <w:uiPriority w:val="99"/>
    <w:rsid w:val="0074345D"/>
    <w:rPr>
      <w:rFonts w:ascii="Calibri Light" w:eastAsia="Calibri Light" w:hAnsi="Calibri Light" w:cs="Calibri Light"/>
    </w:rPr>
  </w:style>
  <w:style w:type="paragraph" w:styleId="Footer">
    <w:name w:val="footer"/>
    <w:basedOn w:val="Normal"/>
    <w:link w:val="FooterChar"/>
    <w:uiPriority w:val="99"/>
    <w:unhideWhenUsed/>
    <w:rsid w:val="0074345D"/>
    <w:pPr>
      <w:tabs>
        <w:tab w:val="center" w:pos="4680"/>
        <w:tab w:val="right" w:pos="9360"/>
      </w:tabs>
    </w:pPr>
  </w:style>
  <w:style w:type="character" w:customStyle="1" w:styleId="FooterChar">
    <w:name w:val="Footer Char"/>
    <w:basedOn w:val="DefaultParagraphFont"/>
    <w:link w:val="Footer"/>
    <w:uiPriority w:val="99"/>
    <w:rsid w:val="0074345D"/>
    <w:rPr>
      <w:rFonts w:ascii="Calibri Light" w:eastAsia="Calibri Light" w:hAnsi="Calibri Light" w:cs="Calibri Light"/>
    </w:rPr>
  </w:style>
  <w:style w:type="character" w:styleId="CommentReference">
    <w:name w:val="annotation reference"/>
    <w:basedOn w:val="DefaultParagraphFont"/>
    <w:uiPriority w:val="99"/>
    <w:semiHidden/>
    <w:unhideWhenUsed/>
    <w:rsid w:val="00F775B2"/>
    <w:rPr>
      <w:sz w:val="16"/>
      <w:szCs w:val="16"/>
    </w:rPr>
  </w:style>
  <w:style w:type="paragraph" w:styleId="CommentText">
    <w:name w:val="annotation text"/>
    <w:basedOn w:val="Normal"/>
    <w:link w:val="CommentTextChar"/>
    <w:uiPriority w:val="99"/>
    <w:unhideWhenUsed/>
    <w:rsid w:val="00F775B2"/>
    <w:rPr>
      <w:sz w:val="20"/>
      <w:szCs w:val="20"/>
    </w:rPr>
  </w:style>
  <w:style w:type="character" w:customStyle="1" w:styleId="CommentTextChar">
    <w:name w:val="Comment Text Char"/>
    <w:basedOn w:val="DefaultParagraphFont"/>
    <w:link w:val="CommentText"/>
    <w:uiPriority w:val="99"/>
    <w:rsid w:val="00F775B2"/>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F775B2"/>
    <w:rPr>
      <w:b/>
      <w:bCs/>
    </w:rPr>
  </w:style>
  <w:style w:type="character" w:customStyle="1" w:styleId="CommentSubjectChar">
    <w:name w:val="Comment Subject Char"/>
    <w:basedOn w:val="CommentTextChar"/>
    <w:link w:val="CommentSubject"/>
    <w:uiPriority w:val="99"/>
    <w:semiHidden/>
    <w:rsid w:val="00F775B2"/>
    <w:rPr>
      <w:rFonts w:ascii="Calibri Light" w:eastAsia="Calibri Light" w:hAnsi="Calibri Light" w:cs="Calibri Light"/>
      <w:b/>
      <w:bCs/>
      <w:sz w:val="20"/>
      <w:szCs w:val="20"/>
    </w:rPr>
  </w:style>
  <w:style w:type="paragraph" w:styleId="BalloonText">
    <w:name w:val="Balloon Text"/>
    <w:basedOn w:val="Normal"/>
    <w:link w:val="BalloonTextChar"/>
    <w:uiPriority w:val="99"/>
    <w:semiHidden/>
    <w:unhideWhenUsed/>
    <w:rsid w:val="00F775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5B2"/>
    <w:rPr>
      <w:rFonts w:ascii="Segoe UI" w:eastAsia="Calibri Light" w:hAnsi="Segoe UI" w:cs="Segoe UI"/>
      <w:sz w:val="18"/>
      <w:szCs w:val="18"/>
    </w:rPr>
  </w:style>
  <w:style w:type="character" w:customStyle="1" w:styleId="Heading2Char">
    <w:name w:val="Heading 2 Char"/>
    <w:basedOn w:val="DefaultParagraphFont"/>
    <w:link w:val="Heading2"/>
    <w:uiPriority w:val="9"/>
    <w:rsid w:val="006D2F19"/>
    <w:rPr>
      <w:rFonts w:ascii="Calibri Light" w:eastAsia="Calibri Light" w:hAnsi="Calibri Light" w:cs="Calibri Light"/>
      <w:color w:val="009FC2"/>
      <w:sz w:val="24"/>
      <w:szCs w:val="24"/>
    </w:rPr>
  </w:style>
  <w:style w:type="character" w:styleId="Hyperlink">
    <w:name w:val="Hyperlink"/>
    <w:basedOn w:val="DefaultParagraphFont"/>
    <w:uiPriority w:val="99"/>
    <w:unhideWhenUsed/>
    <w:rsid w:val="006D2F19"/>
    <w:rPr>
      <w:color w:val="0000FF" w:themeColor="hyperlink"/>
      <w:u w:val="single"/>
    </w:rPr>
  </w:style>
  <w:style w:type="paragraph" w:styleId="Revision">
    <w:name w:val="Revision"/>
    <w:hidden/>
    <w:uiPriority w:val="99"/>
    <w:semiHidden/>
    <w:rsid w:val="001905B3"/>
    <w:pPr>
      <w:widowControl/>
      <w:autoSpaceDE/>
      <w:autoSpaceDN/>
    </w:pPr>
    <w:rPr>
      <w:rFonts w:ascii="Calibri Light" w:eastAsia="Calibri Light" w:hAnsi="Calibri Light" w:cs="Calibri Light"/>
    </w:rPr>
  </w:style>
  <w:style w:type="character" w:styleId="FollowedHyperlink">
    <w:name w:val="FollowedHyperlink"/>
    <w:basedOn w:val="DefaultParagraphFont"/>
    <w:uiPriority w:val="99"/>
    <w:semiHidden/>
    <w:unhideWhenUsed/>
    <w:rsid w:val="00C77155"/>
    <w:rPr>
      <w:color w:val="800080" w:themeColor="followedHyperlink"/>
      <w:u w:val="single"/>
    </w:rPr>
  </w:style>
  <w:style w:type="character" w:customStyle="1" w:styleId="UnresolvedMention1">
    <w:name w:val="Unresolved Mention1"/>
    <w:basedOn w:val="DefaultParagraphFont"/>
    <w:uiPriority w:val="99"/>
    <w:semiHidden/>
    <w:unhideWhenUsed/>
    <w:rsid w:val="00CE3A55"/>
    <w:rPr>
      <w:color w:val="605E5C"/>
      <w:shd w:val="clear" w:color="auto" w:fill="E1DFDD"/>
    </w:rPr>
  </w:style>
  <w:style w:type="character" w:customStyle="1" w:styleId="Heading1Char">
    <w:name w:val="Heading 1 Char"/>
    <w:basedOn w:val="DefaultParagraphFont"/>
    <w:link w:val="Heading1"/>
    <w:uiPriority w:val="1"/>
    <w:rsid w:val="00CF248F"/>
    <w:rPr>
      <w:rFonts w:ascii="Calibri Light" w:eastAsia="Calibri Light" w:hAnsi="Calibri Light" w:cs="Calibri Light"/>
      <w:color w:val="009FC2"/>
      <w:sz w:val="24"/>
      <w:szCs w:val="24"/>
    </w:rPr>
  </w:style>
  <w:style w:type="character" w:customStyle="1" w:styleId="BodyTextChar">
    <w:name w:val="Body Text Char"/>
    <w:basedOn w:val="DefaultParagraphFont"/>
    <w:link w:val="BodyText"/>
    <w:uiPriority w:val="1"/>
    <w:rsid w:val="00CF248F"/>
    <w:rPr>
      <w:rFonts w:ascii="Calibri Light" w:eastAsia="Calibri Light" w:hAnsi="Calibri Light" w:cs="Calibri Light"/>
      <w:sz w:val="24"/>
      <w:szCs w:val="24"/>
    </w:rPr>
  </w:style>
  <w:style w:type="character" w:customStyle="1" w:styleId="normaltextrun">
    <w:name w:val="normaltextrun"/>
    <w:basedOn w:val="DefaultParagraphFont"/>
    <w:rsid w:val="008208E6"/>
  </w:style>
  <w:style w:type="character" w:customStyle="1" w:styleId="eop">
    <w:name w:val="eop"/>
    <w:basedOn w:val="DefaultParagraphFont"/>
    <w:rsid w:val="008208E6"/>
  </w:style>
  <w:style w:type="character" w:styleId="Strong">
    <w:name w:val="Strong"/>
    <w:basedOn w:val="DefaultParagraphFont"/>
    <w:uiPriority w:val="22"/>
    <w:qFormat/>
    <w:rsid w:val="00AE0F20"/>
    <w:rPr>
      <w:b/>
      <w:bCs/>
    </w:rPr>
  </w:style>
  <w:style w:type="character" w:customStyle="1" w:styleId="UnresolvedMention2">
    <w:name w:val="Unresolved Mention2"/>
    <w:basedOn w:val="DefaultParagraphFont"/>
    <w:uiPriority w:val="99"/>
    <w:semiHidden/>
    <w:unhideWhenUsed/>
    <w:rsid w:val="005F5C05"/>
    <w:rPr>
      <w:color w:val="605E5C"/>
      <w:shd w:val="clear" w:color="auto" w:fill="E1DFDD"/>
    </w:rPr>
  </w:style>
  <w:style w:type="table" w:customStyle="1" w:styleId="TableGrid1">
    <w:name w:val="Table Grid1"/>
    <w:basedOn w:val="TableNormal"/>
    <w:uiPriority w:val="39"/>
    <w:rsid w:val="00613431"/>
    <w:pPr>
      <w:widowControl/>
      <w:autoSpaceDE/>
      <w:autoSpaceDN/>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7E45"/>
    <w:rPr>
      <w:color w:val="605E5C"/>
      <w:shd w:val="clear" w:color="auto" w:fill="E1DFDD"/>
    </w:rPr>
  </w:style>
  <w:style w:type="paragraph" w:styleId="TOC1">
    <w:name w:val="toc 1"/>
    <w:basedOn w:val="Normal"/>
    <w:next w:val="Normal"/>
    <w:autoRedefine/>
    <w:uiPriority w:val="39"/>
    <w:unhideWhenUsed/>
    <w:rsid w:val="00F13607"/>
    <w:pPr>
      <w:spacing w:after="100"/>
    </w:pPr>
  </w:style>
  <w:style w:type="table" w:styleId="TableGrid">
    <w:name w:val="Table Grid"/>
    <w:basedOn w:val="TableNormal"/>
    <w:uiPriority w:val="39"/>
    <w:rsid w:val="00D62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C0516"/>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4269ED"/>
    <w:pPr>
      <w:tabs>
        <w:tab w:val="right" w:leader="dot" w:pos="10070"/>
      </w:tabs>
      <w:spacing w:after="100"/>
      <w:ind w:left="220"/>
    </w:pPr>
    <w:rPr>
      <w:rFonts w:ascii="Calibri" w:hAnsi="Calibri" w:cs="Calibri"/>
      <w:i/>
      <w:iCs/>
      <w:noProof/>
    </w:rPr>
  </w:style>
  <w:style w:type="paragraph" w:styleId="TOC3">
    <w:name w:val="toc 3"/>
    <w:basedOn w:val="Normal"/>
    <w:next w:val="Normal"/>
    <w:autoRedefine/>
    <w:uiPriority w:val="39"/>
    <w:unhideWhenUsed/>
    <w:rsid w:val="00924242"/>
    <w:pPr>
      <w:spacing w:after="100"/>
      <w:ind w:left="440"/>
    </w:pPr>
  </w:style>
  <w:style w:type="paragraph" w:styleId="NoSpacing">
    <w:name w:val="No Spacing"/>
    <w:uiPriority w:val="1"/>
    <w:qFormat/>
    <w:rsid w:val="00A24C53"/>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hsn/pdfs/pscmanual/pcsmanual_current.pdf"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14f105-b512-4c58-b648-3bdda2cf581d" xsi:nil="true"/>
    <lcf76f155ced4ddcb4097134ff3c332f xmlns="931aec66-2863-455c-9bb0-8c99df0ac3f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15" ma:contentTypeDescription="Create a new document." ma:contentTypeScope="" ma:versionID="55b68333573daf448f17457a03634415">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f80b10a2391ad13ce6f6009bdd5393f4"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233f0f-6bd0-4026-a550-8b5d019f9378}" ma:internalName="TaxCatchAll"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F06E9-2D3A-4466-8F17-B0CDEF25B3FB}">
  <ds:schemaRefs>
    <ds:schemaRef ds:uri="http://schemas.microsoft.com/office/2006/metadata/properties"/>
    <ds:schemaRef ds:uri="http://schemas.microsoft.com/office/infopath/2007/PartnerControls"/>
    <ds:schemaRef ds:uri="5d14f105-b512-4c58-b648-3bdda2cf581d"/>
    <ds:schemaRef ds:uri="931aec66-2863-455c-9bb0-8c99df0ac3fd"/>
  </ds:schemaRefs>
</ds:datastoreItem>
</file>

<file path=customXml/itemProps2.xml><?xml version="1.0" encoding="utf-8"?>
<ds:datastoreItem xmlns:ds="http://schemas.openxmlformats.org/officeDocument/2006/customXml" ds:itemID="{C17F975A-71AC-447C-8A90-1126DF48B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E3F46-A816-4DEB-ACC0-3DC7A7B25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Gao</dc:creator>
  <cp:lastModifiedBy>Henderson, Susan (AHRQ/CQuIPS)</cp:lastModifiedBy>
  <cp:revision>3</cp:revision>
  <dcterms:created xsi:type="dcterms:W3CDTF">2025-04-22T12:53:00Z</dcterms:created>
  <dcterms:modified xsi:type="dcterms:W3CDTF">2025-04-22T19:30:00Z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y fmtid="{D5CDD505-2E9C-101B-9397-08002B2CF9AE}" pid="3" name="Created">
    <vt:filetime>2017-03-24T00:00:00Z</vt:filetime>
  </property>
  <property fmtid="{D5CDD505-2E9C-101B-9397-08002B2CF9AE}" pid="4" name="Creator">
    <vt:lpwstr>Adobe InDesign CC 2017 (Windows)</vt:lpwstr>
  </property>
  <property fmtid="{D5CDD505-2E9C-101B-9397-08002B2CF9AE}" pid="5" name="LastSaved">
    <vt:filetime>2017-03-24T00:00:00Z</vt:filetime>
  </property>
</Properties>
</file>