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4E72" w14:paraId="55DCC0E7" w14:textId="77777777">
      <w:pPr>
        <w:spacing w:before="79"/>
        <w:ind w:right="1"/>
        <w:jc w:val="center"/>
        <w:rPr>
          <w:b/>
          <w:sz w:val="24"/>
        </w:rPr>
      </w:pPr>
      <w:bookmarkStart w:id="0" w:name="Supporting_Statement_-_Part_A__"/>
      <w:bookmarkEnd w:id="0"/>
      <w:r>
        <w:rPr>
          <w:b/>
          <w:sz w:val="24"/>
          <w:u w:val="single"/>
        </w:rPr>
        <w:t>Supporting</w:t>
      </w:r>
      <w:r>
        <w:rPr>
          <w:b/>
          <w:spacing w:val="-4"/>
          <w:sz w:val="24"/>
          <w:u w:val="single"/>
        </w:rPr>
        <w:t xml:space="preserve"> </w:t>
      </w:r>
      <w:r>
        <w:rPr>
          <w:b/>
          <w:sz w:val="24"/>
          <w:u w:val="single"/>
        </w:rPr>
        <w:t>Statement</w:t>
      </w:r>
      <w:r>
        <w:rPr>
          <w:b/>
          <w:spacing w:val="-2"/>
          <w:sz w:val="24"/>
          <w:u w:val="single"/>
        </w:rPr>
        <w:t xml:space="preserve"> </w:t>
      </w:r>
      <w:r>
        <w:rPr>
          <w:b/>
          <w:sz w:val="24"/>
          <w:u w:val="single"/>
        </w:rPr>
        <w:t>-</w:t>
      </w:r>
      <w:r>
        <w:rPr>
          <w:b/>
          <w:spacing w:val="-2"/>
          <w:sz w:val="24"/>
          <w:u w:val="single"/>
        </w:rPr>
        <w:t xml:space="preserve"> </w:t>
      </w:r>
      <w:r>
        <w:rPr>
          <w:b/>
          <w:sz w:val="24"/>
          <w:u w:val="single"/>
        </w:rPr>
        <w:t>Part</w:t>
      </w:r>
      <w:r>
        <w:rPr>
          <w:b/>
          <w:spacing w:val="-2"/>
          <w:sz w:val="24"/>
          <w:u w:val="single"/>
        </w:rPr>
        <w:t xml:space="preserve"> </w:t>
      </w:r>
      <w:r>
        <w:rPr>
          <w:b/>
          <w:spacing w:val="-10"/>
          <w:sz w:val="24"/>
          <w:u w:val="single"/>
        </w:rPr>
        <w:t>A</w:t>
      </w:r>
    </w:p>
    <w:p w:rsidR="00B64E72" w14:paraId="10E14206" w14:textId="77777777">
      <w:pPr>
        <w:pStyle w:val="Heading1"/>
        <w:spacing w:before="22" w:line="259" w:lineRule="auto"/>
        <w:ind w:left="1188" w:right="1172" w:hanging="17"/>
        <w:jc w:val="center"/>
      </w:pPr>
      <w:bookmarkStart w:id="1" w:name="Requirements_Related_to_Surprise_Billing"/>
      <w:bookmarkEnd w:id="1"/>
      <w:r>
        <w:t>Requirements Related to Surprise Billing: Qualifying Payment Amount, Notice and Consent,</w:t>
      </w:r>
      <w:r>
        <w:rPr>
          <w:spacing w:val="-3"/>
        </w:rPr>
        <w:t xml:space="preserve"> </w:t>
      </w:r>
      <w:r>
        <w:t>Disclosure</w:t>
      </w:r>
      <w:r>
        <w:rPr>
          <w:spacing w:val="-4"/>
        </w:rPr>
        <w:t xml:space="preserve"> </w:t>
      </w:r>
      <w:r>
        <w:t>on</w:t>
      </w:r>
      <w:r>
        <w:rPr>
          <w:spacing w:val="-3"/>
        </w:rPr>
        <w:t xml:space="preserve"> </w:t>
      </w:r>
      <w:r>
        <w:t>Patient</w:t>
      </w:r>
      <w:r>
        <w:rPr>
          <w:spacing w:val="-3"/>
        </w:rPr>
        <w:t xml:space="preserve"> </w:t>
      </w:r>
      <w:r>
        <w:t>Protections</w:t>
      </w:r>
      <w:r>
        <w:rPr>
          <w:spacing w:val="-3"/>
        </w:rPr>
        <w:t xml:space="preserve"> </w:t>
      </w:r>
      <w:r>
        <w:t>Against</w:t>
      </w:r>
      <w:r>
        <w:rPr>
          <w:spacing w:val="-3"/>
        </w:rPr>
        <w:t xml:space="preserve"> </w:t>
      </w:r>
      <w:r>
        <w:t>Balance</w:t>
      </w:r>
      <w:r>
        <w:rPr>
          <w:spacing w:val="-4"/>
        </w:rPr>
        <w:t xml:space="preserve"> </w:t>
      </w:r>
      <w:r>
        <w:t>Billing,</w:t>
      </w:r>
      <w:r>
        <w:rPr>
          <w:spacing w:val="-3"/>
        </w:rPr>
        <w:t xml:space="preserve"> </w:t>
      </w:r>
      <w:r>
        <w:t>and</w:t>
      </w:r>
      <w:r>
        <w:rPr>
          <w:spacing w:val="-3"/>
        </w:rPr>
        <w:t xml:space="preserve"> </w:t>
      </w:r>
      <w:r>
        <w:t>State</w:t>
      </w:r>
      <w:r>
        <w:rPr>
          <w:spacing w:val="-4"/>
        </w:rPr>
        <w:t xml:space="preserve"> </w:t>
      </w:r>
      <w:r>
        <w:t>Law</w:t>
      </w:r>
      <w:r>
        <w:rPr>
          <w:spacing w:val="-3"/>
        </w:rPr>
        <w:t xml:space="preserve"> </w:t>
      </w:r>
      <w:r>
        <w:t xml:space="preserve">Opt-in </w:t>
      </w:r>
      <w:bookmarkStart w:id="2" w:name="(CMS-10780/OMB_control_number:_0938-1401"/>
      <w:bookmarkEnd w:id="2"/>
      <w:r>
        <w:t>(</w:t>
      </w:r>
      <w:r>
        <w:t>CMS-10780/OMB control number: 0938-1401)</w:t>
      </w:r>
    </w:p>
    <w:p w:rsidR="00B64E72" w14:paraId="2CAEAD6F" w14:textId="77777777">
      <w:pPr>
        <w:pStyle w:val="BodyText"/>
        <w:spacing w:before="68"/>
        <w:rPr>
          <w:b/>
        </w:rPr>
      </w:pPr>
    </w:p>
    <w:p w:rsidR="00B64E72" w14:paraId="44403937" w14:textId="77777777">
      <w:pPr>
        <w:pStyle w:val="ListParagraph"/>
        <w:numPr>
          <w:ilvl w:val="0"/>
          <w:numId w:val="3"/>
        </w:numPr>
        <w:tabs>
          <w:tab w:val="left" w:pos="1307"/>
        </w:tabs>
        <w:ind w:left="1307" w:hanging="232"/>
        <w:rPr>
          <w:b/>
          <w:sz w:val="24"/>
          <w:u w:val="none"/>
        </w:rPr>
      </w:pPr>
      <w:bookmarkStart w:id="3" w:name="A._Background_"/>
      <w:bookmarkEnd w:id="3"/>
      <w:r>
        <w:rPr>
          <w:b/>
          <w:spacing w:val="-1"/>
          <w:sz w:val="24"/>
        </w:rPr>
        <w:t xml:space="preserve"> </w:t>
      </w:r>
      <w:r>
        <w:rPr>
          <w:b/>
          <w:spacing w:val="-2"/>
          <w:sz w:val="24"/>
        </w:rPr>
        <w:t>Background</w:t>
      </w:r>
    </w:p>
    <w:p w:rsidR="00B64E72" w14:paraId="6EDFCE2A" w14:textId="77777777">
      <w:pPr>
        <w:pStyle w:val="BodyText"/>
        <w:spacing w:before="22"/>
        <w:rPr>
          <w:b/>
        </w:rPr>
      </w:pPr>
    </w:p>
    <w:p w:rsidR="00B64E72" w14:paraId="1AF523A3" w14:textId="77777777">
      <w:pPr>
        <w:pStyle w:val="BodyText"/>
        <w:ind w:left="1526" w:right="1095"/>
      </w:pPr>
      <w:bookmarkStart w:id="4" w:name="On_December_27,_2020,_the_Consolidated_A"/>
      <w:bookmarkEnd w:id="4"/>
      <w:r>
        <w:t>On</w:t>
      </w:r>
      <w:r>
        <w:rPr>
          <w:spacing w:val="-3"/>
        </w:rPr>
        <w:t xml:space="preserve"> </w:t>
      </w:r>
      <w:r>
        <w:t>December</w:t>
      </w:r>
      <w:r>
        <w:rPr>
          <w:spacing w:val="-5"/>
        </w:rPr>
        <w:t xml:space="preserve"> </w:t>
      </w:r>
      <w:r>
        <w:t>27,</w:t>
      </w:r>
      <w:r>
        <w:rPr>
          <w:spacing w:val="-3"/>
        </w:rPr>
        <w:t xml:space="preserve"> </w:t>
      </w:r>
      <w:r>
        <w:t>2020,</w:t>
      </w:r>
      <w:r>
        <w:rPr>
          <w:spacing w:val="-3"/>
        </w:rPr>
        <w:t xml:space="preserve"> </w:t>
      </w:r>
      <w:r>
        <w:t>the</w:t>
      </w:r>
      <w:r>
        <w:rPr>
          <w:spacing w:val="-4"/>
        </w:rPr>
        <w:t xml:space="preserve"> </w:t>
      </w:r>
      <w:r>
        <w:t>Consolidated</w:t>
      </w:r>
      <w:r>
        <w:rPr>
          <w:spacing w:val="-3"/>
        </w:rPr>
        <w:t xml:space="preserve"> </w:t>
      </w:r>
      <w:r>
        <w:t>Appropriations</w:t>
      </w:r>
      <w:r>
        <w:rPr>
          <w:spacing w:val="-3"/>
        </w:rPr>
        <w:t xml:space="preserve"> </w:t>
      </w:r>
      <w:r>
        <w:t>Act,</w:t>
      </w:r>
      <w:r>
        <w:rPr>
          <w:spacing w:val="-3"/>
        </w:rPr>
        <w:t xml:space="preserve"> </w:t>
      </w:r>
      <w:r>
        <w:t>2021</w:t>
      </w:r>
      <w:r>
        <w:rPr>
          <w:spacing w:val="-3"/>
        </w:rPr>
        <w:t xml:space="preserve"> </w:t>
      </w:r>
      <w:r>
        <w:t>(CAA),</w:t>
      </w:r>
      <w:bookmarkStart w:id="5" w:name="1"/>
      <w:bookmarkEnd w:id="5"/>
      <w:hyperlink w:anchor="_bookmark0" w:history="1">
        <w:r>
          <w:rPr>
            <w:vertAlign w:val="superscript"/>
          </w:rPr>
          <w:t>1</w:t>
        </w:r>
      </w:hyperlink>
      <w:r>
        <w:rPr>
          <w:spacing w:val="-2"/>
        </w:rPr>
        <w:t xml:space="preserve"> </w:t>
      </w:r>
      <w:r>
        <w:t>which</w:t>
      </w:r>
      <w:r>
        <w:rPr>
          <w:spacing w:val="-3"/>
        </w:rPr>
        <w:t xml:space="preserve"> </w:t>
      </w:r>
      <w:r>
        <w:t>included the No Surprises Act, was signed into law. The No Surprises Act provides federal protections against surprise billing and limits out-of-network cost sharing and balance</w:t>
      </w:r>
      <w:r>
        <w:rPr>
          <w:spacing w:val="40"/>
        </w:rPr>
        <w:t xml:space="preserve"> </w:t>
      </w:r>
      <w:r>
        <w:t>billing under many of the circumstances in which surprise bills arise most frequently.</w:t>
      </w:r>
    </w:p>
    <w:p w:rsidR="00B64E72" w14:paraId="4964D9CA" w14:textId="77777777">
      <w:pPr>
        <w:pStyle w:val="BodyText"/>
      </w:pPr>
    </w:p>
    <w:p w:rsidR="00B64E72" w14:paraId="3D03EF5A" w14:textId="77777777">
      <w:pPr>
        <w:pStyle w:val="BodyText"/>
        <w:ind w:left="1526" w:right="1126"/>
      </w:pPr>
      <w:bookmarkStart w:id="6" w:name="A_surprise_medical_bill_is_an_unexpected"/>
      <w:bookmarkEnd w:id="6"/>
      <w:r>
        <w:t>A surprise medical bill is an unexpected bill from a health care provider or facility that occurs</w:t>
      </w:r>
      <w:r>
        <w:rPr>
          <w:spacing w:val="-4"/>
        </w:rPr>
        <w:t xml:space="preserve"> </w:t>
      </w:r>
      <w:r>
        <w:t>when</w:t>
      </w:r>
      <w:r>
        <w:rPr>
          <w:spacing w:val="-4"/>
        </w:rPr>
        <w:t xml:space="preserve"> </w:t>
      </w:r>
      <w:r>
        <w:t>a</w:t>
      </w:r>
      <w:r>
        <w:rPr>
          <w:spacing w:val="-5"/>
        </w:rPr>
        <w:t xml:space="preserve"> </w:t>
      </w:r>
      <w:r>
        <w:t>participant,</w:t>
      </w:r>
      <w:r>
        <w:rPr>
          <w:spacing w:val="-4"/>
        </w:rPr>
        <w:t xml:space="preserve"> </w:t>
      </w:r>
      <w:r>
        <w:t>beneficiary,</w:t>
      </w:r>
      <w:r>
        <w:rPr>
          <w:spacing w:val="-4"/>
        </w:rPr>
        <w:t xml:space="preserve"> </w:t>
      </w:r>
      <w:r>
        <w:t>or</w:t>
      </w:r>
      <w:r>
        <w:rPr>
          <w:spacing w:val="-6"/>
        </w:rPr>
        <w:t xml:space="preserve"> </w:t>
      </w:r>
      <w:r>
        <w:t>enrollee</w:t>
      </w:r>
      <w:r>
        <w:rPr>
          <w:spacing w:val="-3"/>
        </w:rPr>
        <w:t xml:space="preserve"> </w:t>
      </w:r>
      <w:r>
        <w:t>receives</w:t>
      </w:r>
      <w:r>
        <w:rPr>
          <w:spacing w:val="-4"/>
        </w:rPr>
        <w:t xml:space="preserve"> </w:t>
      </w:r>
      <w:r>
        <w:t>medical</w:t>
      </w:r>
      <w:r>
        <w:rPr>
          <w:spacing w:val="-4"/>
        </w:rPr>
        <w:t xml:space="preserve"> </w:t>
      </w:r>
      <w:r>
        <w:t>services</w:t>
      </w:r>
      <w:r>
        <w:rPr>
          <w:spacing w:val="-4"/>
        </w:rPr>
        <w:t xml:space="preserve"> </w:t>
      </w:r>
      <w:r>
        <w:t>from</w:t>
      </w:r>
      <w:r>
        <w:rPr>
          <w:spacing w:val="-4"/>
        </w:rPr>
        <w:t xml:space="preserve"> </w:t>
      </w:r>
      <w:r>
        <w:t>a</w:t>
      </w:r>
      <w:r>
        <w:rPr>
          <w:spacing w:val="-4"/>
        </w:rPr>
        <w:t xml:space="preserve"> </w:t>
      </w:r>
      <w:r>
        <w:t>provider (including a provider of air ambulance services) or facility that, generally unbeknownst to the participant, beneficiary, or enrollee, is a nonparticipating provider or facility with</w:t>
      </w:r>
      <w:r>
        <w:rPr>
          <w:spacing w:val="40"/>
        </w:rPr>
        <w:t xml:space="preserve"> </w:t>
      </w:r>
      <w:r>
        <w:t>respect to the individual’s coverage. Surprise billing occurs both for emergency and non- emergency care. In an emergency, a person usually goes (or is taken by emergency transport) to a nearby emergency department. Even if they go to a part</w:t>
      </w:r>
      <w:r>
        <w:t>icipating hospital or facility for emergency care, they may receive care from nonparticipating providers working at that facility. For non-emergency care, a person may choose a participating facility (and possibly even a participating provider), and not know that at least one provider involved in their</w:t>
      </w:r>
      <w:r>
        <w:rPr>
          <w:spacing w:val="-2"/>
        </w:rPr>
        <w:t xml:space="preserve"> </w:t>
      </w:r>
      <w:r>
        <w:t>care</w:t>
      </w:r>
      <w:r>
        <w:rPr>
          <w:spacing w:val="-2"/>
        </w:rPr>
        <w:t xml:space="preserve"> </w:t>
      </w:r>
      <w:r>
        <w:t>is</w:t>
      </w:r>
      <w:r>
        <w:rPr>
          <w:spacing w:val="-1"/>
        </w:rPr>
        <w:t xml:space="preserve"> </w:t>
      </w:r>
      <w:r>
        <w:t>a</w:t>
      </w:r>
      <w:r>
        <w:rPr>
          <w:spacing w:val="-1"/>
        </w:rPr>
        <w:t xml:space="preserve"> </w:t>
      </w:r>
      <w:r>
        <w:t>nonparticipating</w:t>
      </w:r>
      <w:r>
        <w:rPr>
          <w:spacing w:val="-1"/>
        </w:rPr>
        <w:t xml:space="preserve"> </w:t>
      </w:r>
      <w:r>
        <w:t>provider. In</w:t>
      </w:r>
      <w:r>
        <w:rPr>
          <w:spacing w:val="-1"/>
        </w:rPr>
        <w:t xml:space="preserve"> </w:t>
      </w:r>
      <w:r>
        <w:t>either</w:t>
      </w:r>
      <w:r>
        <w:rPr>
          <w:spacing w:val="-1"/>
        </w:rPr>
        <w:t xml:space="preserve"> </w:t>
      </w:r>
      <w:r>
        <w:t>circumstance,</w:t>
      </w:r>
      <w:r>
        <w:rPr>
          <w:spacing w:val="-1"/>
        </w:rPr>
        <w:t xml:space="preserve"> </w:t>
      </w:r>
      <w:r>
        <w:t>the</w:t>
      </w:r>
      <w:r>
        <w:rPr>
          <w:spacing w:val="-1"/>
        </w:rPr>
        <w:t xml:space="preserve"> </w:t>
      </w:r>
      <w:r>
        <w:t>person might</w:t>
      </w:r>
      <w:r>
        <w:rPr>
          <w:spacing w:val="-1"/>
        </w:rPr>
        <w:t xml:space="preserve"> </w:t>
      </w:r>
      <w:r>
        <w:t>not</w:t>
      </w:r>
      <w:r>
        <w:rPr>
          <w:spacing w:val="-1"/>
        </w:rPr>
        <w:t xml:space="preserve"> </w:t>
      </w:r>
      <w:r>
        <w:t>be</w:t>
      </w:r>
      <w:r>
        <w:rPr>
          <w:spacing w:val="-2"/>
        </w:rPr>
        <w:t xml:space="preserve"> </w:t>
      </w:r>
      <w:r>
        <w:t>in</w:t>
      </w:r>
      <w:r>
        <w:rPr>
          <w:spacing w:val="-1"/>
        </w:rPr>
        <w:t xml:space="preserve"> </w:t>
      </w:r>
      <w:r>
        <w:t>a position to choose the provider, or to ensure that the provider is a participating provider.</w:t>
      </w:r>
    </w:p>
    <w:p w:rsidR="00B64E72" w14:paraId="5B0228C9" w14:textId="77777777">
      <w:pPr>
        <w:pStyle w:val="BodyText"/>
        <w:spacing w:before="1"/>
        <w:ind w:left="1526" w:right="1369"/>
      </w:pPr>
      <w:r>
        <w:t>Therefore, in addition to a bill for their cost-sharing amount, which tends to be higher</w:t>
      </w:r>
      <w:r>
        <w:rPr>
          <w:spacing w:val="-1"/>
        </w:rPr>
        <w:t xml:space="preserve"> </w:t>
      </w:r>
      <w:r>
        <w:t>for out-of-network</w:t>
      </w:r>
      <w:r>
        <w:rPr>
          <w:spacing w:val="-5"/>
        </w:rPr>
        <w:t xml:space="preserve"> </w:t>
      </w:r>
      <w:r>
        <w:t>services,</w:t>
      </w:r>
      <w:r>
        <w:rPr>
          <w:spacing w:val="-2"/>
        </w:rPr>
        <w:t xml:space="preserve"> </w:t>
      </w:r>
      <w:r>
        <w:t>the</w:t>
      </w:r>
      <w:r>
        <w:rPr>
          <w:spacing w:val="-4"/>
        </w:rPr>
        <w:t xml:space="preserve"> </w:t>
      </w:r>
      <w:r>
        <w:t>person</w:t>
      </w:r>
      <w:r>
        <w:rPr>
          <w:spacing w:val="-4"/>
        </w:rPr>
        <w:t xml:space="preserve"> </w:t>
      </w:r>
      <w:r>
        <w:t>might</w:t>
      </w:r>
      <w:r>
        <w:rPr>
          <w:spacing w:val="-4"/>
        </w:rPr>
        <w:t xml:space="preserve"> </w:t>
      </w:r>
      <w:r>
        <w:t>receive</w:t>
      </w:r>
      <w:r>
        <w:rPr>
          <w:spacing w:val="-3"/>
        </w:rPr>
        <w:t xml:space="preserve"> </w:t>
      </w:r>
      <w:r>
        <w:t>a</w:t>
      </w:r>
      <w:r>
        <w:rPr>
          <w:spacing w:val="-5"/>
        </w:rPr>
        <w:t xml:space="preserve"> </w:t>
      </w:r>
      <w:r>
        <w:t>balance</w:t>
      </w:r>
      <w:r>
        <w:rPr>
          <w:spacing w:val="-5"/>
        </w:rPr>
        <w:t xml:space="preserve"> </w:t>
      </w:r>
      <w:r>
        <w:t>bill</w:t>
      </w:r>
      <w:r>
        <w:rPr>
          <w:spacing w:val="-4"/>
        </w:rPr>
        <w:t xml:space="preserve"> </w:t>
      </w:r>
      <w:r>
        <w:t>from</w:t>
      </w:r>
      <w:r>
        <w:rPr>
          <w:spacing w:val="-4"/>
        </w:rPr>
        <w:t xml:space="preserve"> </w:t>
      </w:r>
      <w:r>
        <w:t>the</w:t>
      </w:r>
      <w:r>
        <w:rPr>
          <w:spacing w:val="-5"/>
        </w:rPr>
        <w:t xml:space="preserve"> </w:t>
      </w:r>
      <w:r>
        <w:t>nonparticipating provider or facility. This scenario also plays out frequently for air ambulance services, where individuals generally do not have the ability to select a provider of air ambulance services, and, therefore, have little or no control over whether the provider is in-network with respect to their plan or coverage.</w:t>
      </w:r>
    </w:p>
    <w:p w:rsidR="00B64E72" w14:paraId="7CE37FBB" w14:textId="77777777">
      <w:pPr>
        <w:pStyle w:val="BodyText"/>
      </w:pPr>
    </w:p>
    <w:p w:rsidR="00B64E72" w14:paraId="3EA82B89" w14:textId="77777777">
      <w:pPr>
        <w:pStyle w:val="BodyText"/>
        <w:ind w:left="1526" w:right="1099"/>
      </w:pPr>
      <w:bookmarkStart w:id="7" w:name="The_July_13,_2021_interim_final_rules_“R"/>
      <w:bookmarkEnd w:id="7"/>
      <w:r>
        <w:t>The July 13, 2021 interim final rules “Requirements Related to Surprise Billing; Part I” (86 FR 36872, henceforth the July 2021 interim final rules) issued by the Department of Health and Human Services (HHS), Department of Labor (DOL), the Department of the Treasury (collectively,</w:t>
      </w:r>
      <w:r>
        <w:rPr>
          <w:spacing w:val="-4"/>
        </w:rPr>
        <w:t xml:space="preserve"> </w:t>
      </w:r>
      <w:r>
        <w:t>the</w:t>
      </w:r>
      <w:r>
        <w:rPr>
          <w:spacing w:val="-5"/>
        </w:rPr>
        <w:t xml:space="preserve"> </w:t>
      </w:r>
      <w:r>
        <w:t>Departments),</w:t>
      </w:r>
      <w:r>
        <w:rPr>
          <w:spacing w:val="-3"/>
        </w:rPr>
        <w:t xml:space="preserve"> </w:t>
      </w:r>
      <w:r>
        <w:t>and</w:t>
      </w:r>
      <w:r>
        <w:rPr>
          <w:spacing w:val="-4"/>
        </w:rPr>
        <w:t xml:space="preserve"> </w:t>
      </w:r>
      <w:r>
        <w:t>the</w:t>
      </w:r>
      <w:r>
        <w:rPr>
          <w:spacing w:val="-4"/>
        </w:rPr>
        <w:t xml:space="preserve"> </w:t>
      </w:r>
      <w:r>
        <w:t>Office</w:t>
      </w:r>
      <w:r>
        <w:rPr>
          <w:spacing w:val="-5"/>
        </w:rPr>
        <w:t xml:space="preserve"> </w:t>
      </w:r>
      <w:r>
        <w:t>of</w:t>
      </w:r>
      <w:r>
        <w:rPr>
          <w:spacing w:val="-3"/>
        </w:rPr>
        <w:t xml:space="preserve"> </w:t>
      </w:r>
      <w:r>
        <w:t>Personnel</w:t>
      </w:r>
      <w:r>
        <w:rPr>
          <w:spacing w:val="-4"/>
        </w:rPr>
        <w:t xml:space="preserve"> </w:t>
      </w:r>
      <w:r>
        <w:t>Management</w:t>
      </w:r>
      <w:r>
        <w:rPr>
          <w:spacing w:val="-3"/>
        </w:rPr>
        <w:t xml:space="preserve"> </w:t>
      </w:r>
      <w:r>
        <w:t>(OPM)</w:t>
      </w:r>
      <w:r>
        <w:rPr>
          <w:spacing w:val="-5"/>
        </w:rPr>
        <w:t xml:space="preserve"> </w:t>
      </w:r>
      <w:r>
        <w:t>implement provisions of the</w:t>
      </w:r>
      <w:r>
        <w:rPr>
          <w:spacing w:val="-1"/>
        </w:rPr>
        <w:t xml:space="preserve"> </w:t>
      </w:r>
      <w:r>
        <w:t>No Surprises Act that apply to group health plans, health insurance issuers offering group or individual health insurance coverage, and carriers in the Federal Employees Health Benefits Program that provide protections against balance billing and</w:t>
      </w:r>
    </w:p>
    <w:p w:rsidR="00B64E72" w14:paraId="549AF152" w14:textId="77777777">
      <w:pPr>
        <w:pStyle w:val="BodyText"/>
        <w:spacing w:before="1"/>
        <w:ind w:left="1526" w:right="1369"/>
      </w:pPr>
      <w:r>
        <w:t>out-of-network cost sharing with respect to emergency services, non-emergency services furnished by nonparticipating providers related to patient visits to certain types of participating</w:t>
      </w:r>
      <w:r>
        <w:rPr>
          <w:spacing w:val="-5"/>
        </w:rPr>
        <w:t xml:space="preserve"> </w:t>
      </w:r>
      <w:r>
        <w:t>health</w:t>
      </w:r>
      <w:r>
        <w:rPr>
          <w:spacing w:val="-5"/>
        </w:rPr>
        <w:t xml:space="preserve"> </w:t>
      </w:r>
      <w:r>
        <w:t>care</w:t>
      </w:r>
      <w:r>
        <w:rPr>
          <w:spacing w:val="-5"/>
        </w:rPr>
        <w:t xml:space="preserve"> </w:t>
      </w:r>
      <w:r>
        <w:t>facilities,</w:t>
      </w:r>
      <w:r>
        <w:rPr>
          <w:spacing w:val="-5"/>
        </w:rPr>
        <w:t xml:space="preserve"> </w:t>
      </w:r>
      <w:r>
        <w:t>and</w:t>
      </w:r>
      <w:r>
        <w:rPr>
          <w:spacing w:val="-5"/>
        </w:rPr>
        <w:t xml:space="preserve"> </w:t>
      </w:r>
      <w:r>
        <w:t>services</w:t>
      </w:r>
      <w:r>
        <w:rPr>
          <w:spacing w:val="-5"/>
        </w:rPr>
        <w:t xml:space="preserve"> </w:t>
      </w:r>
      <w:r>
        <w:t>furnished</w:t>
      </w:r>
      <w:r>
        <w:rPr>
          <w:spacing w:val="-5"/>
        </w:rPr>
        <w:t xml:space="preserve"> </w:t>
      </w:r>
      <w:r>
        <w:t>by</w:t>
      </w:r>
      <w:r>
        <w:rPr>
          <w:spacing w:val="-2"/>
        </w:rPr>
        <w:t xml:space="preserve"> </w:t>
      </w:r>
      <w:r>
        <w:t>nonparticipating</w:t>
      </w:r>
      <w:r>
        <w:rPr>
          <w:spacing w:val="-5"/>
        </w:rPr>
        <w:t xml:space="preserve"> </w:t>
      </w:r>
      <w:r>
        <w:t>providers</w:t>
      </w:r>
      <w:r>
        <w:rPr>
          <w:spacing w:val="-5"/>
        </w:rPr>
        <w:t xml:space="preserve"> </w:t>
      </w:r>
      <w:r>
        <w:t>of air ambulance services. The July 2021 interim final rules prohibit nonparticipating providers, emergency facilities, and providers of air ambulance services from balance billing participants, beneficiaries, and enrollees in certain situations unless they satisfy</w:t>
      </w:r>
    </w:p>
    <w:p w:rsidR="00B64E72" w14:paraId="5728CCBA" w14:textId="77777777">
      <w:pPr>
        <w:pStyle w:val="BodyText"/>
        <w:spacing w:before="8"/>
        <w:rPr>
          <w:sz w:val="19"/>
        </w:rPr>
      </w:pPr>
      <w:r>
        <w:rPr>
          <w:noProof/>
          <w:sz w:val="19"/>
        </w:rPr>
        <mc:AlternateContent>
          <mc:Choice Requires="wps">
            <w:drawing>
              <wp:anchor distT="0" distB="0" distL="0" distR="0" simplePos="0" relativeHeight="251664384" behindDoc="1" locked="0" layoutInCell="1" allowOverlap="1">
                <wp:simplePos x="0" y="0"/>
                <wp:positionH relativeFrom="page">
                  <wp:posOffset>914704</wp:posOffset>
                </wp:positionH>
                <wp:positionV relativeFrom="paragraph">
                  <wp:posOffset>159332</wp:posOffset>
                </wp:positionV>
                <wp:extent cx="1829435" cy="762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7620"/>
                        </a:xfrm>
                        <a:custGeom>
                          <a:avLst/>
                          <a:gdLst/>
                          <a:rect l="l" t="t" r="r" b="b"/>
                          <a:pathLst>
                            <a:path fill="norm" h="7620" w="1829435" stroke="1">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144.05pt;height:0.6pt;margin-top:12.55pt;margin-left:1in;mso-position-horizontal-relative:page;mso-wrap-distance-bottom:0;mso-wrap-distance-left:0;mso-wrap-distance-right:0;mso-wrap-distance-top:0;mso-wrap-style:square;position:absolute;visibility:visible;v-text-anchor:top;z-index:-251651072" coordsize="1829435,7620" path="m1829054,l,,,7619l1829054,7619l1829054,xe" fillcolor="black" stroked="f">
                <v:path arrowok="t"/>
                <w10:wrap type="topAndBottom"/>
              </v:shape>
            </w:pict>
          </mc:Fallback>
        </mc:AlternateContent>
      </w:r>
    </w:p>
    <w:p w:rsidR="00B64E72" w14:paraId="5342D1A9" w14:textId="77777777">
      <w:pPr>
        <w:spacing w:before="147"/>
        <w:ind w:left="1080"/>
        <w:rPr>
          <w:sz w:val="20"/>
        </w:rPr>
      </w:pPr>
      <w:bookmarkStart w:id="8" w:name="1_Pub._L._116-260._"/>
      <w:bookmarkStart w:id="9" w:name="_bookmark0"/>
      <w:bookmarkEnd w:id="8"/>
      <w:bookmarkEnd w:id="9"/>
      <w:r>
        <w:rPr>
          <w:sz w:val="20"/>
          <w:vertAlign w:val="superscript"/>
        </w:rPr>
        <w:t>1</w:t>
      </w:r>
      <w:r>
        <w:rPr>
          <w:spacing w:val="-3"/>
          <w:sz w:val="20"/>
        </w:rPr>
        <w:t xml:space="preserve"> </w:t>
      </w:r>
      <w:r>
        <w:rPr>
          <w:sz w:val="20"/>
        </w:rPr>
        <w:t>Pub.</w:t>
      </w:r>
      <w:r>
        <w:rPr>
          <w:spacing w:val="-2"/>
          <w:sz w:val="20"/>
        </w:rPr>
        <w:t xml:space="preserve"> </w:t>
      </w:r>
      <w:r>
        <w:rPr>
          <w:sz w:val="20"/>
        </w:rPr>
        <w:t>L.</w:t>
      </w:r>
      <w:r>
        <w:rPr>
          <w:spacing w:val="-4"/>
          <w:sz w:val="20"/>
        </w:rPr>
        <w:t xml:space="preserve"> </w:t>
      </w:r>
      <w:r>
        <w:rPr>
          <w:sz w:val="20"/>
        </w:rPr>
        <w:t>116-</w:t>
      </w:r>
      <w:r>
        <w:rPr>
          <w:spacing w:val="-4"/>
          <w:sz w:val="20"/>
        </w:rPr>
        <w:t>260.</w:t>
      </w:r>
    </w:p>
    <w:p w:rsidR="00B64E72" w14:paraId="45723548" w14:textId="77777777">
      <w:pPr>
        <w:rPr>
          <w:sz w:val="20"/>
        </w:rPr>
        <w:sectPr>
          <w:footerReference w:type="default" r:id="rId4"/>
          <w:type w:val="continuous"/>
          <w:pgSz w:w="12240" w:h="15840"/>
          <w:pgMar w:top="1360" w:right="360" w:bottom="1280" w:left="360" w:header="0" w:footer="1094" w:gutter="0"/>
          <w:pgNumType w:start="1"/>
          <w:cols w:space="720"/>
        </w:sectPr>
      </w:pPr>
    </w:p>
    <w:p w:rsidR="00B64E72" w14:paraId="4972F2C8" w14:textId="77777777">
      <w:pPr>
        <w:pStyle w:val="BodyText"/>
        <w:spacing w:before="79"/>
        <w:ind w:left="1526" w:right="1099"/>
      </w:pPr>
      <w:bookmarkStart w:id="10" w:name="certain_notice_and_consent_requirements;"/>
      <w:bookmarkEnd w:id="10"/>
      <w:r>
        <w:t>certain</w:t>
      </w:r>
      <w:r>
        <w:rPr>
          <w:spacing w:val="-4"/>
        </w:rPr>
        <w:t xml:space="preserve"> </w:t>
      </w:r>
      <w:r>
        <w:t>notice</w:t>
      </w:r>
      <w:r>
        <w:rPr>
          <w:spacing w:val="-4"/>
        </w:rPr>
        <w:t xml:space="preserve"> </w:t>
      </w:r>
      <w:r>
        <w:t>and</w:t>
      </w:r>
      <w:r>
        <w:rPr>
          <w:spacing w:val="-4"/>
        </w:rPr>
        <w:t xml:space="preserve"> </w:t>
      </w:r>
      <w:r>
        <w:t>consent</w:t>
      </w:r>
      <w:r>
        <w:rPr>
          <w:spacing w:val="-4"/>
        </w:rPr>
        <w:t xml:space="preserve"> </w:t>
      </w:r>
      <w:r>
        <w:t>requirements;</w:t>
      </w:r>
      <w:r>
        <w:rPr>
          <w:spacing w:val="-4"/>
        </w:rPr>
        <w:t xml:space="preserve"> </w:t>
      </w:r>
      <w:r>
        <w:t>and</w:t>
      </w:r>
      <w:r>
        <w:rPr>
          <w:spacing w:val="-4"/>
        </w:rPr>
        <w:t xml:space="preserve"> </w:t>
      </w:r>
      <w:r>
        <w:t>require</w:t>
      </w:r>
      <w:r>
        <w:rPr>
          <w:spacing w:val="-6"/>
        </w:rPr>
        <w:t xml:space="preserve"> </w:t>
      </w:r>
      <w:r>
        <w:t>health</w:t>
      </w:r>
      <w:r>
        <w:rPr>
          <w:spacing w:val="-4"/>
        </w:rPr>
        <w:t xml:space="preserve"> </w:t>
      </w:r>
      <w:r>
        <w:t>care</w:t>
      </w:r>
      <w:r>
        <w:rPr>
          <w:spacing w:val="-5"/>
        </w:rPr>
        <w:t xml:space="preserve"> </w:t>
      </w:r>
      <w:r>
        <w:t>facilities</w:t>
      </w:r>
      <w:r>
        <w:rPr>
          <w:spacing w:val="-4"/>
        </w:rPr>
        <w:t xml:space="preserve"> </w:t>
      </w:r>
      <w:r>
        <w:t>and</w:t>
      </w:r>
      <w:r>
        <w:rPr>
          <w:spacing w:val="-4"/>
        </w:rPr>
        <w:t xml:space="preserve"> </w:t>
      </w:r>
      <w:r>
        <w:t>providers</w:t>
      </w:r>
      <w:r>
        <w:rPr>
          <w:spacing w:val="-4"/>
        </w:rPr>
        <w:t xml:space="preserve"> </w:t>
      </w:r>
      <w:r>
        <w:t>to provide disclosures of federal and state patient protections against balance billing.</w:t>
      </w:r>
    </w:p>
    <w:p w:rsidR="00B64E72" w14:paraId="59D8C483" w14:textId="77777777">
      <w:pPr>
        <w:pStyle w:val="BodyText"/>
      </w:pPr>
    </w:p>
    <w:p w:rsidR="00B64E72" w14:paraId="6BF7B7F8" w14:textId="77777777">
      <w:pPr>
        <w:pStyle w:val="BodyText"/>
        <w:ind w:left="1526" w:right="1144"/>
      </w:pPr>
      <w:bookmarkStart w:id="11" w:name="Section_9816(a)(1)(C)(iii)_of_Internal_R"/>
      <w:bookmarkEnd w:id="11"/>
      <w:r>
        <w:t>Section 9816(a)(1)(C)(iii) of Internal Revenue</w:t>
      </w:r>
      <w:r>
        <w:rPr>
          <w:spacing w:val="-1"/>
        </w:rPr>
        <w:t xml:space="preserve"> </w:t>
      </w:r>
      <w:r>
        <w:t>Code</w:t>
      </w:r>
      <w:r>
        <w:rPr>
          <w:spacing w:val="-1"/>
        </w:rPr>
        <w:t xml:space="preserve"> </w:t>
      </w:r>
      <w:r>
        <w:t>(the Code), section 716(a)(1)(C)(iii) of the Employee Retirement Income Security Act (ERISA), section 2799A-1(a)(1)(C)(iii) of the Public Health Service Act (PHS Act), and the July 2021 interim final rules specify that for emergency services furnished by a nonparticipating emergency facility or provider, and for</w:t>
      </w:r>
      <w:r>
        <w:rPr>
          <w:spacing w:val="-6"/>
        </w:rPr>
        <w:t xml:space="preserve"> </w:t>
      </w:r>
      <w:r>
        <w:t>non-emergency</w:t>
      </w:r>
      <w:r>
        <w:rPr>
          <w:spacing w:val="-4"/>
        </w:rPr>
        <w:t xml:space="preserve"> </w:t>
      </w:r>
      <w:r>
        <w:t>services</w:t>
      </w:r>
      <w:r>
        <w:rPr>
          <w:spacing w:val="-4"/>
        </w:rPr>
        <w:t xml:space="preserve"> </w:t>
      </w:r>
      <w:r>
        <w:t>furnished</w:t>
      </w:r>
      <w:r>
        <w:rPr>
          <w:spacing w:val="-4"/>
        </w:rPr>
        <w:t xml:space="preserve"> </w:t>
      </w:r>
      <w:r>
        <w:t>by</w:t>
      </w:r>
      <w:r>
        <w:rPr>
          <w:spacing w:val="-4"/>
        </w:rPr>
        <w:t xml:space="preserve"> </w:t>
      </w:r>
      <w:r>
        <w:t>nonparticipating</w:t>
      </w:r>
      <w:r>
        <w:rPr>
          <w:spacing w:val="-4"/>
        </w:rPr>
        <w:t xml:space="preserve"> </w:t>
      </w:r>
      <w:r>
        <w:t>providers</w:t>
      </w:r>
      <w:r>
        <w:rPr>
          <w:spacing w:val="-2"/>
        </w:rPr>
        <w:t xml:space="preserve"> </w:t>
      </w:r>
      <w:r>
        <w:t>related</w:t>
      </w:r>
      <w:r>
        <w:rPr>
          <w:spacing w:val="-2"/>
        </w:rPr>
        <w:t xml:space="preserve"> </w:t>
      </w:r>
      <w:r>
        <w:t>to</w:t>
      </w:r>
      <w:r>
        <w:rPr>
          <w:spacing w:val="-4"/>
        </w:rPr>
        <w:t xml:space="preserve"> </w:t>
      </w:r>
      <w:r>
        <w:t>a</w:t>
      </w:r>
      <w:r>
        <w:rPr>
          <w:spacing w:val="-4"/>
        </w:rPr>
        <w:t xml:space="preserve"> </w:t>
      </w:r>
      <w:r>
        <w:t>patient</w:t>
      </w:r>
      <w:r>
        <w:rPr>
          <w:spacing w:val="-4"/>
        </w:rPr>
        <w:t xml:space="preserve"> </w:t>
      </w:r>
      <w:r>
        <w:t>visit to certain types of participating health care facilities, an individual’s cost sharing is generally ca</w:t>
      </w:r>
      <w:r>
        <w:t>lculated as if the total amount that would have been charged for the services by a participating emergency facility or participating provider were equal to the recognized amount for such services, as defined by the statute and in the July 2021 interim final rules.</w:t>
      </w:r>
    </w:p>
    <w:p w:rsidR="00B64E72" w14:paraId="195991E4" w14:textId="77777777">
      <w:pPr>
        <w:pStyle w:val="BodyText"/>
        <w:spacing w:before="1"/>
      </w:pPr>
    </w:p>
    <w:p w:rsidR="00B64E72" w14:paraId="1C3EA7C7" w14:textId="77777777">
      <w:pPr>
        <w:pStyle w:val="BodyText"/>
        <w:ind w:left="1526" w:right="1143"/>
      </w:pPr>
      <w:bookmarkStart w:id="12" w:name="The_“recognized_amount”_is:_(1)_an_amoun"/>
      <w:bookmarkEnd w:id="12"/>
      <w:r>
        <w:t>The “recognized amount” is: (1) an amount determined by an applicable All-Payer Model Agreement</w:t>
      </w:r>
      <w:r>
        <w:rPr>
          <w:spacing w:val="-1"/>
        </w:rPr>
        <w:t xml:space="preserve"> </w:t>
      </w:r>
      <w:r>
        <w:t>under</w:t>
      </w:r>
      <w:r>
        <w:rPr>
          <w:spacing w:val="-1"/>
        </w:rPr>
        <w:t xml:space="preserve"> </w:t>
      </w:r>
      <w:r>
        <w:t>section</w:t>
      </w:r>
      <w:r>
        <w:rPr>
          <w:spacing w:val="-1"/>
        </w:rPr>
        <w:t xml:space="preserve"> </w:t>
      </w:r>
      <w:r>
        <w:t>1115A</w:t>
      </w:r>
      <w:r>
        <w:rPr>
          <w:spacing w:val="-1"/>
        </w:rPr>
        <w:t xml:space="preserve"> </w:t>
      </w:r>
      <w:r>
        <w:t>of</w:t>
      </w:r>
      <w:r>
        <w:rPr>
          <w:spacing w:val="-3"/>
        </w:rPr>
        <w:t xml:space="preserve"> </w:t>
      </w:r>
      <w:r>
        <w:t>the</w:t>
      </w:r>
      <w:r>
        <w:rPr>
          <w:spacing w:val="-1"/>
        </w:rPr>
        <w:t xml:space="preserve"> </w:t>
      </w:r>
      <w:r>
        <w:t>Social</w:t>
      </w:r>
      <w:r>
        <w:rPr>
          <w:spacing w:val="-1"/>
        </w:rPr>
        <w:t xml:space="preserve"> </w:t>
      </w:r>
      <w:r>
        <w:t>Security</w:t>
      </w:r>
      <w:r>
        <w:rPr>
          <w:spacing w:val="-1"/>
        </w:rPr>
        <w:t xml:space="preserve"> </w:t>
      </w:r>
      <w:r>
        <w:t>Act;</w:t>
      </w:r>
      <w:r>
        <w:rPr>
          <w:spacing w:val="-1"/>
        </w:rPr>
        <w:t xml:space="preserve"> </w:t>
      </w:r>
      <w:r>
        <w:t>(2)</w:t>
      </w:r>
      <w:r>
        <w:rPr>
          <w:spacing w:val="-3"/>
        </w:rPr>
        <w:t xml:space="preserve"> </w:t>
      </w:r>
      <w:r>
        <w:t>if</w:t>
      </w:r>
      <w:r>
        <w:rPr>
          <w:spacing w:val="-1"/>
        </w:rPr>
        <w:t xml:space="preserve"> </w:t>
      </w:r>
      <w:r>
        <w:t>there</w:t>
      </w:r>
      <w:r>
        <w:rPr>
          <w:spacing w:val="-2"/>
        </w:rPr>
        <w:t xml:space="preserve"> </w:t>
      </w:r>
      <w:r>
        <w:t>is</w:t>
      </w:r>
      <w:r>
        <w:rPr>
          <w:spacing w:val="-1"/>
        </w:rPr>
        <w:t xml:space="preserve"> </w:t>
      </w:r>
      <w:r>
        <w:t>no</w:t>
      </w:r>
      <w:r>
        <w:rPr>
          <w:spacing w:val="-1"/>
        </w:rPr>
        <w:t xml:space="preserve"> </w:t>
      </w:r>
      <w:r>
        <w:t>applicable</w:t>
      </w:r>
      <w:r>
        <w:rPr>
          <w:spacing w:val="-1"/>
        </w:rPr>
        <w:t xml:space="preserve"> </w:t>
      </w:r>
      <w:r>
        <w:t>All- Payer</w:t>
      </w:r>
      <w:r>
        <w:rPr>
          <w:spacing w:val="-3"/>
        </w:rPr>
        <w:t xml:space="preserve"> </w:t>
      </w:r>
      <w:r>
        <w:t>Model</w:t>
      </w:r>
      <w:r>
        <w:rPr>
          <w:spacing w:val="-3"/>
        </w:rPr>
        <w:t xml:space="preserve"> </w:t>
      </w:r>
      <w:r>
        <w:t>Agreement,</w:t>
      </w:r>
      <w:r>
        <w:rPr>
          <w:spacing w:val="-1"/>
        </w:rPr>
        <w:t xml:space="preserve"> </w:t>
      </w:r>
      <w:r>
        <w:t>an</w:t>
      </w:r>
      <w:r>
        <w:rPr>
          <w:spacing w:val="-3"/>
        </w:rPr>
        <w:t xml:space="preserve"> </w:t>
      </w:r>
      <w:r>
        <w:t>amount</w:t>
      </w:r>
      <w:r>
        <w:rPr>
          <w:spacing w:val="-3"/>
        </w:rPr>
        <w:t xml:space="preserve"> </w:t>
      </w:r>
      <w:r>
        <w:t>determined</w:t>
      </w:r>
      <w:r>
        <w:rPr>
          <w:spacing w:val="-3"/>
        </w:rPr>
        <w:t xml:space="preserve"> </w:t>
      </w:r>
      <w:r>
        <w:t>by</w:t>
      </w:r>
      <w:r>
        <w:rPr>
          <w:spacing w:val="-3"/>
        </w:rPr>
        <w:t xml:space="preserve"> </w:t>
      </w:r>
      <w:r>
        <w:t>a</w:t>
      </w:r>
      <w:r>
        <w:rPr>
          <w:spacing w:val="-4"/>
        </w:rPr>
        <w:t xml:space="preserve"> </w:t>
      </w:r>
      <w:r>
        <w:t>specified</w:t>
      </w:r>
      <w:r>
        <w:rPr>
          <w:spacing w:val="-3"/>
        </w:rPr>
        <w:t xml:space="preserve"> </w:t>
      </w:r>
      <w:r>
        <w:t>state</w:t>
      </w:r>
      <w:r>
        <w:rPr>
          <w:spacing w:val="-4"/>
        </w:rPr>
        <w:t xml:space="preserve"> </w:t>
      </w:r>
      <w:r>
        <w:t>law;</w:t>
      </w:r>
      <w:r>
        <w:rPr>
          <w:spacing w:val="-3"/>
        </w:rPr>
        <w:t xml:space="preserve"> </w:t>
      </w:r>
      <w:r>
        <w:t>or</w:t>
      </w:r>
      <w:r>
        <w:rPr>
          <w:spacing w:val="-2"/>
        </w:rPr>
        <w:t xml:space="preserve"> </w:t>
      </w:r>
      <w:r>
        <w:t>(3)</w:t>
      </w:r>
      <w:r>
        <w:rPr>
          <w:spacing w:val="-5"/>
        </w:rPr>
        <w:t xml:space="preserve"> </w:t>
      </w:r>
      <w:r>
        <w:t>if</w:t>
      </w:r>
      <w:r>
        <w:rPr>
          <w:spacing w:val="-3"/>
        </w:rPr>
        <w:t xml:space="preserve"> </w:t>
      </w:r>
      <w:r>
        <w:t>there</w:t>
      </w:r>
      <w:r>
        <w:rPr>
          <w:spacing w:val="-4"/>
        </w:rPr>
        <w:t xml:space="preserve"> </w:t>
      </w:r>
      <w:r>
        <w:t>is</w:t>
      </w:r>
      <w:r>
        <w:rPr>
          <w:spacing w:val="-3"/>
        </w:rPr>
        <w:t xml:space="preserve"> </w:t>
      </w:r>
      <w:r>
        <w:t>no applicable All-Payer Model Agreement or specified state law, the lesser of the amount billed by the provider or facility or the qualifying payment amount (QPA), which is generally the median of the contracted rates of the plan or issuer for the item or service in the geographic region. For air ambulance</w:t>
      </w:r>
      <w:r>
        <w:rPr>
          <w:spacing w:val="-1"/>
        </w:rPr>
        <w:t xml:space="preserve"> </w:t>
      </w:r>
      <w:r>
        <w:t>services, an individual’s</w:t>
      </w:r>
      <w:r>
        <w:rPr>
          <w:spacing w:val="-1"/>
        </w:rPr>
        <w:t xml:space="preserve"> </w:t>
      </w:r>
      <w:r>
        <w:t>cost sharing is</w:t>
      </w:r>
      <w:r>
        <w:rPr>
          <w:spacing w:val="-1"/>
        </w:rPr>
        <w:t xml:space="preserve"> </w:t>
      </w:r>
      <w:r>
        <w:t>calculated using the lesser of the amount billed by the provider of air ambulance services or the QPA.</w:t>
      </w:r>
    </w:p>
    <w:p w:rsidR="00B64E72" w14:paraId="2AB74FDE" w14:textId="77777777">
      <w:pPr>
        <w:pStyle w:val="BodyText"/>
      </w:pPr>
    </w:p>
    <w:p w:rsidR="00B64E72" w14:paraId="557FB191" w14:textId="77777777">
      <w:pPr>
        <w:pStyle w:val="BodyText"/>
        <w:ind w:left="1526" w:right="1099"/>
      </w:pPr>
      <w:bookmarkStart w:id="13" w:name="On_August_26,_2022,_the_Departments_publ"/>
      <w:bookmarkEnd w:id="13"/>
      <w:r>
        <w:t>On August 26, 2022, the Departments published the final rules “Requirements Related to Surprise Billing” (87 FR 52618, henceforth the August 2022 final rules) adding a definition for</w:t>
      </w:r>
      <w:r>
        <w:rPr>
          <w:spacing w:val="-5"/>
        </w:rPr>
        <w:t xml:space="preserve"> </w:t>
      </w:r>
      <w:r>
        <w:t>the</w:t>
      </w:r>
      <w:r>
        <w:rPr>
          <w:spacing w:val="-4"/>
        </w:rPr>
        <w:t xml:space="preserve"> </w:t>
      </w:r>
      <w:r>
        <w:t>term</w:t>
      </w:r>
      <w:r>
        <w:rPr>
          <w:spacing w:val="-3"/>
        </w:rPr>
        <w:t xml:space="preserve"> </w:t>
      </w:r>
      <w:r>
        <w:t>‘‘</w:t>
      </w:r>
      <w:r>
        <w:t>downcode</w:t>
      </w:r>
      <w:r>
        <w:t>’’.</w:t>
      </w:r>
      <w:r>
        <w:rPr>
          <w:spacing w:val="-3"/>
        </w:rPr>
        <w:t xml:space="preserve"> </w:t>
      </w:r>
      <w:r>
        <w:t>The</w:t>
      </w:r>
      <w:r>
        <w:rPr>
          <w:spacing w:val="-5"/>
        </w:rPr>
        <w:t xml:space="preserve"> </w:t>
      </w:r>
      <w:r>
        <w:t>August</w:t>
      </w:r>
      <w:r>
        <w:rPr>
          <w:spacing w:val="-3"/>
        </w:rPr>
        <w:t xml:space="preserve"> </w:t>
      </w:r>
      <w:r>
        <w:t>2022</w:t>
      </w:r>
      <w:r>
        <w:rPr>
          <w:spacing w:val="-3"/>
        </w:rPr>
        <w:t xml:space="preserve"> </w:t>
      </w:r>
      <w:r>
        <w:t>final</w:t>
      </w:r>
      <w:r>
        <w:rPr>
          <w:spacing w:val="-2"/>
        </w:rPr>
        <w:t xml:space="preserve"> </w:t>
      </w:r>
      <w:r>
        <w:t>rules</w:t>
      </w:r>
      <w:r>
        <w:rPr>
          <w:spacing w:val="-3"/>
        </w:rPr>
        <w:t xml:space="preserve"> </w:t>
      </w:r>
      <w:r>
        <w:t>require</w:t>
      </w:r>
      <w:r>
        <w:rPr>
          <w:spacing w:val="-4"/>
        </w:rPr>
        <w:t xml:space="preserve"> </w:t>
      </w:r>
      <w:r>
        <w:t>additional</w:t>
      </w:r>
      <w:r>
        <w:rPr>
          <w:spacing w:val="-3"/>
        </w:rPr>
        <w:t xml:space="preserve"> </w:t>
      </w:r>
      <w:r>
        <w:t>information</w:t>
      </w:r>
      <w:r>
        <w:rPr>
          <w:spacing w:val="-3"/>
        </w:rPr>
        <w:t xml:space="preserve"> </w:t>
      </w:r>
      <w:r>
        <w:t xml:space="preserve">about the QPA that must be provided with an initial payment or notice of denial of payment, without a provider, facility, or provider of air ambulance services having to make a request for this information, in cases in which the plan or issuer has </w:t>
      </w:r>
      <w:r>
        <w:t>downcoded</w:t>
      </w:r>
      <w:r>
        <w:t xml:space="preserve"> the billed claim.</w:t>
      </w:r>
    </w:p>
    <w:p w:rsidR="00B64E72" w14:paraId="1ECBF12D" w14:textId="77777777">
      <w:pPr>
        <w:pStyle w:val="BodyText"/>
        <w:spacing w:before="1"/>
        <w:ind w:left="1526" w:right="1189"/>
      </w:pPr>
      <w:r>
        <w:t>The</w:t>
      </w:r>
      <w:r>
        <w:rPr>
          <w:spacing w:val="-4"/>
        </w:rPr>
        <w:t xml:space="preserve"> </w:t>
      </w:r>
      <w:r>
        <w:t>August</w:t>
      </w:r>
      <w:r>
        <w:rPr>
          <w:spacing w:val="-2"/>
        </w:rPr>
        <w:t xml:space="preserve"> </w:t>
      </w:r>
      <w:r>
        <w:t>2022</w:t>
      </w:r>
      <w:r>
        <w:rPr>
          <w:spacing w:val="-2"/>
        </w:rPr>
        <w:t xml:space="preserve"> </w:t>
      </w:r>
      <w:r>
        <w:t>final</w:t>
      </w:r>
      <w:r>
        <w:rPr>
          <w:spacing w:val="-2"/>
        </w:rPr>
        <w:t xml:space="preserve"> </w:t>
      </w:r>
      <w:r>
        <w:t>rules</w:t>
      </w:r>
      <w:r>
        <w:rPr>
          <w:spacing w:val="-2"/>
        </w:rPr>
        <w:t xml:space="preserve"> </w:t>
      </w:r>
      <w:r>
        <w:t>defined</w:t>
      </w:r>
      <w:r>
        <w:rPr>
          <w:spacing w:val="-2"/>
        </w:rPr>
        <w:t xml:space="preserve"> </w:t>
      </w:r>
      <w:r>
        <w:t>the</w:t>
      </w:r>
      <w:r>
        <w:rPr>
          <w:spacing w:val="-2"/>
        </w:rPr>
        <w:t xml:space="preserve"> </w:t>
      </w:r>
      <w:r>
        <w:t>term</w:t>
      </w:r>
      <w:r>
        <w:rPr>
          <w:spacing w:val="-2"/>
        </w:rPr>
        <w:t xml:space="preserve"> </w:t>
      </w:r>
      <w:r>
        <w:t>‘‘</w:t>
      </w:r>
      <w:r>
        <w:t>downcode</w:t>
      </w:r>
      <w:r>
        <w:t>’’</w:t>
      </w:r>
      <w:r>
        <w:rPr>
          <w:spacing w:val="-2"/>
        </w:rPr>
        <w:t xml:space="preserve"> </w:t>
      </w:r>
      <w:r>
        <w:t>to</w:t>
      </w:r>
      <w:r>
        <w:rPr>
          <w:spacing w:val="-2"/>
        </w:rPr>
        <w:t xml:space="preserve"> </w:t>
      </w:r>
      <w:r>
        <w:t>mean</w:t>
      </w:r>
      <w:r>
        <w:rPr>
          <w:spacing w:val="-2"/>
        </w:rPr>
        <w:t xml:space="preserve"> </w:t>
      </w:r>
      <w:r>
        <w:t>the</w:t>
      </w:r>
      <w:r>
        <w:rPr>
          <w:spacing w:val="-1"/>
        </w:rPr>
        <w:t xml:space="preserve"> </w:t>
      </w:r>
      <w:r>
        <w:t>alteration</w:t>
      </w:r>
      <w:r>
        <w:rPr>
          <w:spacing w:val="-2"/>
        </w:rPr>
        <w:t xml:space="preserve"> </w:t>
      </w:r>
      <w:r>
        <w:t>by</w:t>
      </w:r>
      <w:r>
        <w:rPr>
          <w:spacing w:val="-2"/>
        </w:rPr>
        <w:t xml:space="preserve"> </w:t>
      </w:r>
      <w:r>
        <w:t>a</w:t>
      </w:r>
      <w:r>
        <w:rPr>
          <w:spacing w:val="-1"/>
        </w:rPr>
        <w:t xml:space="preserve"> </w:t>
      </w:r>
      <w:r>
        <w:t>plan or</w:t>
      </w:r>
      <w:r>
        <w:rPr>
          <w:spacing w:val="-3"/>
        </w:rPr>
        <w:t xml:space="preserve"> </w:t>
      </w:r>
      <w:r>
        <w:t>issuer</w:t>
      </w:r>
      <w:r>
        <w:rPr>
          <w:spacing w:val="-3"/>
        </w:rPr>
        <w:t xml:space="preserve"> </w:t>
      </w:r>
      <w:r>
        <w:t>of</w:t>
      </w:r>
      <w:r>
        <w:rPr>
          <w:spacing w:val="-5"/>
        </w:rPr>
        <w:t xml:space="preserve"> </w:t>
      </w:r>
      <w:r>
        <w:t>a</w:t>
      </w:r>
      <w:r>
        <w:rPr>
          <w:spacing w:val="-4"/>
        </w:rPr>
        <w:t xml:space="preserve"> </w:t>
      </w:r>
      <w:r>
        <w:t>service</w:t>
      </w:r>
      <w:r>
        <w:rPr>
          <w:spacing w:val="-4"/>
        </w:rPr>
        <w:t xml:space="preserve"> </w:t>
      </w:r>
      <w:r>
        <w:t>code</w:t>
      </w:r>
      <w:r>
        <w:rPr>
          <w:spacing w:val="-4"/>
        </w:rPr>
        <w:t xml:space="preserve"> </w:t>
      </w:r>
      <w:r>
        <w:t>to</w:t>
      </w:r>
      <w:r>
        <w:rPr>
          <w:spacing w:val="-2"/>
        </w:rPr>
        <w:t xml:space="preserve"> </w:t>
      </w:r>
      <w:r>
        <w:t>another</w:t>
      </w:r>
      <w:r>
        <w:rPr>
          <w:spacing w:val="-5"/>
        </w:rPr>
        <w:t xml:space="preserve"> </w:t>
      </w:r>
      <w:r>
        <w:t>service</w:t>
      </w:r>
      <w:r>
        <w:rPr>
          <w:spacing w:val="-2"/>
        </w:rPr>
        <w:t xml:space="preserve"> </w:t>
      </w:r>
      <w:r>
        <w:t>code,</w:t>
      </w:r>
      <w:r>
        <w:rPr>
          <w:spacing w:val="-1"/>
        </w:rPr>
        <w:t xml:space="preserve"> </w:t>
      </w:r>
      <w:r>
        <w:t>or</w:t>
      </w:r>
      <w:r>
        <w:rPr>
          <w:spacing w:val="-3"/>
        </w:rPr>
        <w:t xml:space="preserve"> </w:t>
      </w:r>
      <w:r>
        <w:t>the</w:t>
      </w:r>
      <w:r>
        <w:rPr>
          <w:spacing w:val="-5"/>
        </w:rPr>
        <w:t xml:space="preserve"> </w:t>
      </w:r>
      <w:r>
        <w:t>alteration,</w:t>
      </w:r>
      <w:r>
        <w:rPr>
          <w:spacing w:val="-1"/>
        </w:rPr>
        <w:t xml:space="preserve"> </w:t>
      </w:r>
      <w:r>
        <w:t>addition,</w:t>
      </w:r>
      <w:r>
        <w:rPr>
          <w:spacing w:val="-3"/>
        </w:rPr>
        <w:t xml:space="preserve"> </w:t>
      </w:r>
      <w:r>
        <w:t>or</w:t>
      </w:r>
      <w:r>
        <w:rPr>
          <w:spacing w:val="-3"/>
        </w:rPr>
        <w:t xml:space="preserve"> </w:t>
      </w:r>
      <w:r>
        <w:t>removal</w:t>
      </w:r>
      <w:r>
        <w:rPr>
          <w:spacing w:val="-3"/>
        </w:rPr>
        <w:t xml:space="preserve"> </w:t>
      </w:r>
      <w:r>
        <w:t>by a plan or issuer of a modifier, if the changed code or modifier is associated with a lower QPA than the service code or modifier billed by the provider, facility, or provider of air ambulance services.</w:t>
      </w:r>
    </w:p>
    <w:p w:rsidR="00B64E72" w14:paraId="10F01B99" w14:textId="77777777">
      <w:pPr>
        <w:pStyle w:val="BodyText"/>
      </w:pPr>
    </w:p>
    <w:p w:rsidR="00B64E72" w14:paraId="665F84A9" w14:textId="77777777">
      <w:pPr>
        <w:pStyle w:val="BodyText"/>
        <w:ind w:left="1526" w:right="1099"/>
      </w:pPr>
      <w:bookmarkStart w:id="14" w:name="The_Centers_for_Medicare_&amp;_Medicaid_Serv"/>
      <w:bookmarkEnd w:id="14"/>
      <w:r>
        <w:t>The Centers for Medicare &amp; Medicaid Services (CMS) is requesting Office of Management and Budget (OMB) approval for revisions to the information collections included in this information</w:t>
      </w:r>
      <w:r>
        <w:rPr>
          <w:spacing w:val="-3"/>
        </w:rPr>
        <w:t xml:space="preserve"> </w:t>
      </w:r>
      <w:r>
        <w:t>collection</w:t>
      </w:r>
      <w:r>
        <w:rPr>
          <w:spacing w:val="-3"/>
        </w:rPr>
        <w:t xml:space="preserve"> </w:t>
      </w:r>
      <w:r>
        <w:t>request</w:t>
      </w:r>
      <w:r>
        <w:rPr>
          <w:spacing w:val="-3"/>
        </w:rPr>
        <w:t xml:space="preserve"> </w:t>
      </w:r>
      <w:r>
        <w:t>(ICR).</w:t>
      </w:r>
      <w:r>
        <w:rPr>
          <w:spacing w:val="-3"/>
        </w:rPr>
        <w:t xml:space="preserve"> </w:t>
      </w:r>
      <w:r>
        <w:t>CMS</w:t>
      </w:r>
      <w:r>
        <w:rPr>
          <w:spacing w:val="-3"/>
        </w:rPr>
        <w:t xml:space="preserve"> </w:t>
      </w:r>
      <w:r>
        <w:t>is</w:t>
      </w:r>
      <w:r>
        <w:rPr>
          <w:spacing w:val="-3"/>
        </w:rPr>
        <w:t xml:space="preserve"> </w:t>
      </w:r>
      <w:r>
        <w:t>revising</w:t>
      </w:r>
      <w:r>
        <w:rPr>
          <w:spacing w:val="-3"/>
        </w:rPr>
        <w:t xml:space="preserve"> </w:t>
      </w:r>
      <w:r>
        <w:t>this</w:t>
      </w:r>
      <w:r>
        <w:rPr>
          <w:spacing w:val="-3"/>
        </w:rPr>
        <w:t xml:space="preserve"> </w:t>
      </w:r>
      <w:r>
        <w:t>ICR</w:t>
      </w:r>
      <w:r>
        <w:rPr>
          <w:spacing w:val="-3"/>
        </w:rPr>
        <w:t xml:space="preserve"> </w:t>
      </w:r>
      <w:r>
        <w:t>to (1)</w:t>
      </w:r>
      <w:r>
        <w:rPr>
          <w:spacing w:val="-4"/>
        </w:rPr>
        <w:t xml:space="preserve"> </w:t>
      </w:r>
      <w:r>
        <w:t>include</w:t>
      </w:r>
      <w:r>
        <w:rPr>
          <w:spacing w:val="-4"/>
        </w:rPr>
        <w:t xml:space="preserve"> </w:t>
      </w:r>
      <w:r>
        <w:t>an</w:t>
      </w:r>
      <w:r>
        <w:rPr>
          <w:spacing w:val="-3"/>
        </w:rPr>
        <w:t xml:space="preserve"> </w:t>
      </w:r>
      <w:r>
        <w:t>information collection</w:t>
      </w:r>
      <w:r>
        <w:rPr>
          <w:spacing w:val="-4"/>
        </w:rPr>
        <w:t xml:space="preserve"> </w:t>
      </w:r>
      <w:r>
        <w:t>related</w:t>
      </w:r>
      <w:r>
        <w:rPr>
          <w:spacing w:val="-4"/>
        </w:rPr>
        <w:t xml:space="preserve"> </w:t>
      </w:r>
      <w:r>
        <w:t>to</w:t>
      </w:r>
      <w:r>
        <w:rPr>
          <w:spacing w:val="-4"/>
        </w:rPr>
        <w:t xml:space="preserve"> </w:t>
      </w:r>
      <w:r>
        <w:t>downcoding</w:t>
      </w:r>
      <w:r>
        <w:t>,</w:t>
      </w:r>
      <w:r>
        <w:rPr>
          <w:spacing w:val="-4"/>
        </w:rPr>
        <w:t xml:space="preserve"> </w:t>
      </w:r>
      <w:r>
        <w:t>which</w:t>
      </w:r>
      <w:r>
        <w:rPr>
          <w:spacing w:val="-3"/>
        </w:rPr>
        <w:t xml:space="preserve"> </w:t>
      </w:r>
      <w:r>
        <w:t>was</w:t>
      </w:r>
      <w:r>
        <w:rPr>
          <w:spacing w:val="-4"/>
        </w:rPr>
        <w:t xml:space="preserve"> </w:t>
      </w:r>
      <w:r>
        <w:t>previously</w:t>
      </w:r>
      <w:r>
        <w:rPr>
          <w:spacing w:val="-4"/>
        </w:rPr>
        <w:t xml:space="preserve"> </w:t>
      </w:r>
      <w:r>
        <w:t>included</w:t>
      </w:r>
      <w:r>
        <w:rPr>
          <w:spacing w:val="-4"/>
        </w:rPr>
        <w:t xml:space="preserve"> </w:t>
      </w:r>
      <w:r>
        <w:t>in</w:t>
      </w:r>
      <w:r>
        <w:rPr>
          <w:spacing w:val="-4"/>
        </w:rPr>
        <w:t xml:space="preserve"> </w:t>
      </w:r>
      <w:r>
        <w:t>a</w:t>
      </w:r>
      <w:r>
        <w:rPr>
          <w:spacing w:val="-4"/>
        </w:rPr>
        <w:t xml:space="preserve"> </w:t>
      </w:r>
      <w:r>
        <w:t>separate</w:t>
      </w:r>
      <w:r>
        <w:rPr>
          <w:spacing w:val="-3"/>
        </w:rPr>
        <w:t xml:space="preserve"> </w:t>
      </w:r>
      <w:r>
        <w:t>ICR</w:t>
      </w:r>
      <w:r>
        <w:rPr>
          <w:spacing w:val="-4"/>
        </w:rPr>
        <w:t xml:space="preserve"> </w:t>
      </w:r>
      <w:r>
        <w:t>currently approved under OMB Control Number [1210-0169], and (2) update the burden related to QPA audits.</w:t>
      </w:r>
    </w:p>
    <w:p w:rsidR="00B64E72" w14:paraId="79713D8E" w14:textId="77777777">
      <w:pPr>
        <w:pStyle w:val="BodyText"/>
        <w:sectPr>
          <w:pgSz w:w="12240" w:h="15840"/>
          <w:pgMar w:top="1360" w:right="360" w:bottom="1280" w:left="360" w:header="0" w:footer="1094" w:gutter="0"/>
          <w:cols w:space="720"/>
        </w:sectPr>
      </w:pPr>
    </w:p>
    <w:p w:rsidR="00B64E72" w14:paraId="08535B96" w14:textId="77777777">
      <w:pPr>
        <w:pStyle w:val="ListParagraph"/>
        <w:numPr>
          <w:ilvl w:val="0"/>
          <w:numId w:val="3"/>
        </w:numPr>
        <w:tabs>
          <w:tab w:val="left" w:pos="1295"/>
        </w:tabs>
        <w:spacing w:before="79"/>
        <w:ind w:left="1295" w:hanging="220"/>
        <w:rPr>
          <w:b/>
          <w:sz w:val="24"/>
          <w:u w:val="none"/>
        </w:rPr>
      </w:pPr>
      <w:bookmarkStart w:id="15" w:name="B._Justification__"/>
      <w:bookmarkEnd w:id="15"/>
      <w:r>
        <w:rPr>
          <w:b/>
          <w:sz w:val="24"/>
        </w:rPr>
        <w:t xml:space="preserve"> ​</w:t>
      </w:r>
      <w:r>
        <w:rPr>
          <w:b/>
          <w:spacing w:val="-2"/>
          <w:sz w:val="24"/>
        </w:rPr>
        <w:t>Justification</w:t>
      </w:r>
    </w:p>
    <w:p w:rsidR="00B64E72" w14:paraId="00ED4BA8" w14:textId="77777777">
      <w:pPr>
        <w:pStyle w:val="BodyText"/>
        <w:spacing w:before="43"/>
        <w:rPr>
          <w:b/>
        </w:rPr>
      </w:pPr>
    </w:p>
    <w:p w:rsidR="00B64E72" w14:paraId="2A7C2E6B" w14:textId="77777777">
      <w:pPr>
        <w:pStyle w:val="ListParagraph"/>
        <w:numPr>
          <w:ilvl w:val="1"/>
          <w:numId w:val="3"/>
        </w:numPr>
        <w:tabs>
          <w:tab w:val="left" w:pos="1488"/>
        </w:tabs>
        <w:rPr>
          <w:sz w:val="24"/>
          <w:u w:val="none"/>
        </w:rPr>
      </w:pPr>
      <w:bookmarkStart w:id="16" w:name="1._Need_and_Legal_Basis__"/>
      <w:bookmarkEnd w:id="16"/>
      <w:r>
        <w:rPr>
          <w:sz w:val="24"/>
        </w:rPr>
        <w:t>Need</w:t>
      </w:r>
      <w:r>
        <w:rPr>
          <w:spacing w:val="-2"/>
          <w:sz w:val="24"/>
        </w:rPr>
        <w:t xml:space="preserve"> </w:t>
      </w:r>
      <w:r>
        <w:rPr>
          <w:sz w:val="24"/>
        </w:rPr>
        <w:t>and</w:t>
      </w:r>
      <w:r>
        <w:rPr>
          <w:spacing w:val="-2"/>
          <w:sz w:val="24"/>
        </w:rPr>
        <w:t xml:space="preserve"> </w:t>
      </w:r>
      <w:r>
        <w:rPr>
          <w:sz w:val="24"/>
        </w:rPr>
        <w:t>Legal</w:t>
      </w:r>
      <w:r>
        <w:rPr>
          <w:spacing w:val="-1"/>
          <w:sz w:val="24"/>
        </w:rPr>
        <w:t xml:space="preserve"> </w:t>
      </w:r>
      <w:r>
        <w:rPr>
          <w:spacing w:val="-4"/>
          <w:sz w:val="24"/>
        </w:rPr>
        <w:t>Basis</w:t>
      </w:r>
    </w:p>
    <w:p w:rsidR="00B64E72" w14:paraId="790D9629" w14:textId="77777777">
      <w:pPr>
        <w:pStyle w:val="BodyText"/>
        <w:spacing w:before="44"/>
      </w:pPr>
    </w:p>
    <w:p w:rsidR="00B64E72" w14:paraId="19469FB1" w14:textId="77777777">
      <w:pPr>
        <w:pStyle w:val="BodyText"/>
        <w:spacing w:line="247" w:lineRule="auto"/>
        <w:ind w:left="1522" w:right="1135" w:hanging="10"/>
      </w:pPr>
      <w:bookmarkStart w:id="17" w:name="The_July_2021_interim_final_rules_at_45_"/>
      <w:bookmarkEnd w:id="17"/>
      <w:r>
        <w:t>The July 2021 interim final rules at 45 CFR 149.140(d) require group health plans and group and individual health insurance issuers to provide certain information regarding the QPA to nonparticipating providers, or nonparticipating emergency facilities in cases in which</w:t>
      </w:r>
      <w:r>
        <w:rPr>
          <w:spacing w:val="-1"/>
        </w:rPr>
        <w:t xml:space="preserve"> </w:t>
      </w:r>
      <w:r>
        <w:t>the</w:t>
      </w:r>
      <w:r>
        <w:rPr>
          <w:spacing w:val="-1"/>
        </w:rPr>
        <w:t xml:space="preserve"> </w:t>
      </w:r>
      <w:r>
        <w:t>recognized amount</w:t>
      </w:r>
      <w:r>
        <w:rPr>
          <w:spacing w:val="-1"/>
        </w:rPr>
        <w:t xml:space="preserve"> </w:t>
      </w:r>
      <w:r>
        <w:t>with</w:t>
      </w:r>
      <w:r>
        <w:rPr>
          <w:spacing w:val="-1"/>
        </w:rPr>
        <w:t xml:space="preserve"> </w:t>
      </w:r>
      <w:r>
        <w:t>respect</w:t>
      </w:r>
      <w:r>
        <w:rPr>
          <w:spacing w:val="-1"/>
        </w:rPr>
        <w:t xml:space="preserve"> </w:t>
      </w:r>
      <w:r>
        <w:t>to</w:t>
      </w:r>
      <w:r>
        <w:rPr>
          <w:spacing w:val="-1"/>
        </w:rPr>
        <w:t xml:space="preserve"> </w:t>
      </w:r>
      <w:r>
        <w:t>an</w:t>
      </w:r>
      <w:r>
        <w:rPr>
          <w:spacing w:val="-1"/>
        </w:rPr>
        <w:t xml:space="preserve"> </w:t>
      </w:r>
      <w:r>
        <w:t>item</w:t>
      </w:r>
      <w:r>
        <w:rPr>
          <w:spacing w:val="-1"/>
        </w:rPr>
        <w:t xml:space="preserve"> </w:t>
      </w:r>
      <w:r>
        <w:t>or</w:t>
      </w:r>
      <w:r>
        <w:rPr>
          <w:spacing w:val="-1"/>
        </w:rPr>
        <w:t xml:space="preserve"> </w:t>
      </w:r>
      <w:r>
        <w:t>service</w:t>
      </w:r>
      <w:r>
        <w:rPr>
          <w:spacing w:val="-2"/>
        </w:rPr>
        <w:t xml:space="preserve"> </w:t>
      </w:r>
      <w:r>
        <w:t>furnished</w:t>
      </w:r>
      <w:r>
        <w:rPr>
          <w:spacing w:val="-1"/>
        </w:rPr>
        <w:t xml:space="preserve"> </w:t>
      </w:r>
      <w:r>
        <w:t>by</w:t>
      </w:r>
      <w:r>
        <w:rPr>
          <w:spacing w:val="-1"/>
        </w:rPr>
        <w:t xml:space="preserve"> </w:t>
      </w:r>
      <w:r>
        <w:t>the</w:t>
      </w:r>
      <w:r>
        <w:rPr>
          <w:spacing w:val="-1"/>
        </w:rPr>
        <w:t xml:space="preserve"> </w:t>
      </w:r>
      <w:r>
        <w:t>provider</w:t>
      </w:r>
      <w:r>
        <w:rPr>
          <w:spacing w:val="-3"/>
        </w:rPr>
        <w:t xml:space="preserve"> </w:t>
      </w:r>
      <w:r>
        <w:t>or facility is the QPA (and in all cases subject to those rules for nonparticipating providers of air ambulance services). Specifically, plans and issuers must provide the following information</w:t>
      </w:r>
      <w:r>
        <w:rPr>
          <w:spacing w:val="-3"/>
        </w:rPr>
        <w:t xml:space="preserve"> </w:t>
      </w:r>
      <w:r>
        <w:t>to</w:t>
      </w:r>
      <w:r>
        <w:rPr>
          <w:spacing w:val="-3"/>
        </w:rPr>
        <w:t xml:space="preserve"> </w:t>
      </w:r>
      <w:r>
        <w:t>providers</w:t>
      </w:r>
      <w:r>
        <w:rPr>
          <w:spacing w:val="-1"/>
        </w:rPr>
        <w:t xml:space="preserve"> </w:t>
      </w:r>
      <w:r>
        <w:t>(including</w:t>
      </w:r>
      <w:r>
        <w:rPr>
          <w:spacing w:val="-3"/>
        </w:rPr>
        <w:t xml:space="preserve"> </w:t>
      </w:r>
      <w:r>
        <w:t>air</w:t>
      </w:r>
      <w:r>
        <w:rPr>
          <w:spacing w:val="-3"/>
        </w:rPr>
        <w:t xml:space="preserve"> </w:t>
      </w:r>
      <w:r>
        <w:t>ambulance</w:t>
      </w:r>
      <w:r>
        <w:rPr>
          <w:spacing w:val="-2"/>
        </w:rPr>
        <w:t xml:space="preserve"> </w:t>
      </w:r>
      <w:r>
        <w:t>providers)</w:t>
      </w:r>
      <w:r>
        <w:rPr>
          <w:spacing w:val="-3"/>
        </w:rPr>
        <w:t xml:space="preserve"> </w:t>
      </w:r>
      <w:r>
        <w:t>and</w:t>
      </w:r>
      <w:r>
        <w:rPr>
          <w:spacing w:val="-1"/>
        </w:rPr>
        <w:t xml:space="preserve"> </w:t>
      </w:r>
      <w:r>
        <w:t>facilities,</w:t>
      </w:r>
      <w:r>
        <w:rPr>
          <w:spacing w:val="-3"/>
        </w:rPr>
        <w:t xml:space="preserve"> </w:t>
      </w:r>
      <w:r>
        <w:t>when</w:t>
      </w:r>
      <w:r>
        <w:rPr>
          <w:spacing w:val="-3"/>
        </w:rPr>
        <w:t xml:space="preserve"> </w:t>
      </w:r>
      <w:r>
        <w:t>making</w:t>
      </w:r>
      <w:r>
        <w:rPr>
          <w:spacing w:val="-3"/>
        </w:rPr>
        <w:t xml:space="preserve"> </w:t>
      </w:r>
      <w:r>
        <w:t>an initial payment or notice of denial of payment: (1) the QPA for each item or service involved; (2) a statement certifying that the plan or issuer has dete</w:t>
      </w:r>
      <w:r>
        <w:t>rmined that the QPA applies</w:t>
      </w:r>
      <w:r>
        <w:rPr>
          <w:spacing w:val="-1"/>
        </w:rPr>
        <w:t xml:space="preserve"> </w:t>
      </w:r>
      <w:r>
        <w:t>for</w:t>
      </w:r>
      <w:r>
        <w:rPr>
          <w:spacing w:val="-3"/>
        </w:rPr>
        <w:t xml:space="preserve"> </w:t>
      </w:r>
      <w:r>
        <w:t>the</w:t>
      </w:r>
      <w:r>
        <w:rPr>
          <w:spacing w:val="-1"/>
        </w:rPr>
        <w:t xml:space="preserve"> </w:t>
      </w:r>
      <w:r>
        <w:t>purposes of</w:t>
      </w:r>
      <w:r>
        <w:rPr>
          <w:spacing w:val="-1"/>
        </w:rPr>
        <w:t xml:space="preserve"> </w:t>
      </w:r>
      <w:r>
        <w:t>the</w:t>
      </w:r>
      <w:r>
        <w:rPr>
          <w:spacing w:val="-3"/>
        </w:rPr>
        <w:t xml:space="preserve"> </w:t>
      </w:r>
      <w:r>
        <w:t>recognized amount</w:t>
      </w:r>
      <w:r>
        <w:rPr>
          <w:spacing w:val="-1"/>
        </w:rPr>
        <w:t xml:space="preserve"> </w:t>
      </w:r>
      <w:r>
        <w:t>(or,</w:t>
      </w:r>
      <w:r>
        <w:rPr>
          <w:spacing w:val="-1"/>
        </w:rPr>
        <w:t xml:space="preserve"> </w:t>
      </w:r>
      <w:r>
        <w:t>in</w:t>
      </w:r>
      <w:r>
        <w:rPr>
          <w:spacing w:val="-1"/>
        </w:rPr>
        <w:t xml:space="preserve"> </w:t>
      </w:r>
      <w:r>
        <w:t>the</w:t>
      </w:r>
      <w:r>
        <w:rPr>
          <w:spacing w:val="-2"/>
        </w:rPr>
        <w:t xml:space="preserve"> </w:t>
      </w:r>
      <w:r>
        <w:t>case</w:t>
      </w:r>
      <w:r>
        <w:rPr>
          <w:spacing w:val="-2"/>
        </w:rPr>
        <w:t xml:space="preserve"> </w:t>
      </w:r>
      <w:r>
        <w:t>of</w:t>
      </w:r>
      <w:r>
        <w:rPr>
          <w:spacing w:val="-1"/>
        </w:rPr>
        <w:t xml:space="preserve"> </w:t>
      </w:r>
      <w:r>
        <w:t>air ambulance</w:t>
      </w:r>
      <w:r>
        <w:rPr>
          <w:spacing w:val="-2"/>
        </w:rPr>
        <w:t xml:space="preserve"> </w:t>
      </w:r>
      <w:r>
        <w:t>services, for calculating the participant’s, beneficiary’s, or enrollee’s cost sharing), and that each QPA was determined in compliance with the methodology established in the July 2021 interim final rules; (3) a statement that if the provider or facility, as applicable, wishes to initiate a 30-day open negotiation period for purposes of determining the amount of total payment, the provider or facility may contact the appropriate person or office to initiate open negotiation, and that if the 30-day negotiat</w:t>
      </w:r>
      <w:r>
        <w:t>ion period does not result in a determination, generally, the provider or facility may initiate the independent dispute resolution</w:t>
      </w:r>
      <w:r>
        <w:rPr>
          <w:spacing w:val="-3"/>
        </w:rPr>
        <w:t xml:space="preserve"> </w:t>
      </w:r>
      <w:r>
        <w:t>process</w:t>
      </w:r>
      <w:r>
        <w:rPr>
          <w:spacing w:val="-3"/>
        </w:rPr>
        <w:t xml:space="preserve"> </w:t>
      </w:r>
      <w:r>
        <w:t>within</w:t>
      </w:r>
      <w:r>
        <w:rPr>
          <w:spacing w:val="-3"/>
        </w:rPr>
        <w:t xml:space="preserve"> </w:t>
      </w:r>
      <w:r>
        <w:t>4</w:t>
      </w:r>
      <w:r>
        <w:rPr>
          <w:spacing w:val="-3"/>
        </w:rPr>
        <w:t xml:space="preserve"> </w:t>
      </w:r>
      <w:r>
        <w:t>days</w:t>
      </w:r>
      <w:r>
        <w:rPr>
          <w:spacing w:val="-3"/>
        </w:rPr>
        <w:t xml:space="preserve"> </w:t>
      </w:r>
      <w:r>
        <w:t>after</w:t>
      </w:r>
      <w:r>
        <w:rPr>
          <w:spacing w:val="-3"/>
        </w:rPr>
        <w:t xml:space="preserve"> </w:t>
      </w:r>
      <w:r>
        <w:t>the</w:t>
      </w:r>
      <w:r>
        <w:rPr>
          <w:spacing w:val="-4"/>
        </w:rPr>
        <w:t xml:space="preserve"> </w:t>
      </w:r>
      <w:r>
        <w:t>end</w:t>
      </w:r>
      <w:r>
        <w:rPr>
          <w:spacing w:val="-3"/>
        </w:rPr>
        <w:t xml:space="preserve"> </w:t>
      </w:r>
      <w:r>
        <w:t>of</w:t>
      </w:r>
      <w:r>
        <w:rPr>
          <w:spacing w:val="-4"/>
        </w:rPr>
        <w:t xml:space="preserve"> </w:t>
      </w:r>
      <w:r>
        <w:t>the</w:t>
      </w:r>
      <w:r>
        <w:rPr>
          <w:spacing w:val="-4"/>
        </w:rPr>
        <w:t xml:space="preserve"> </w:t>
      </w:r>
      <w:r>
        <w:t>open</w:t>
      </w:r>
      <w:r>
        <w:rPr>
          <w:spacing w:val="-3"/>
        </w:rPr>
        <w:t xml:space="preserve"> </w:t>
      </w:r>
      <w:r>
        <w:t>negotiation</w:t>
      </w:r>
      <w:r>
        <w:rPr>
          <w:spacing w:val="-3"/>
        </w:rPr>
        <w:t xml:space="preserve"> </w:t>
      </w:r>
      <w:r>
        <w:t>period;</w:t>
      </w:r>
      <w:r>
        <w:rPr>
          <w:spacing w:val="-3"/>
        </w:rPr>
        <w:t xml:space="preserve"> </w:t>
      </w:r>
      <w:r>
        <w:t>and</w:t>
      </w:r>
      <w:r>
        <w:rPr>
          <w:spacing w:val="-3"/>
        </w:rPr>
        <w:t xml:space="preserve"> </w:t>
      </w:r>
      <w:r>
        <w:t>(4)</w:t>
      </w:r>
      <w:r>
        <w:rPr>
          <w:spacing w:val="-3"/>
        </w:rPr>
        <w:t xml:space="preserve"> </w:t>
      </w:r>
      <w:r>
        <w:t>contact information, including a telephone number and email address, for the appropriate person or office to initiate open negotiations for purposes of determining an amount of payment (including cost sharing) for such item or service. Additionally, upon request of the provider or facility, the plan or i</w:t>
      </w:r>
      <w:r>
        <w:t>ssuer must provide, in a timely manner, the following information:</w:t>
      </w:r>
    </w:p>
    <w:p w:rsidR="00B64E72" w14:paraId="4568FDAD" w14:textId="77777777">
      <w:pPr>
        <w:pStyle w:val="BodyText"/>
        <w:spacing w:before="21" w:line="247" w:lineRule="auto"/>
        <w:ind w:left="1522" w:right="1144"/>
      </w:pPr>
      <w:r>
        <w:t>(1)</w:t>
      </w:r>
      <w:r>
        <w:rPr>
          <w:spacing w:val="-5"/>
        </w:rPr>
        <w:t xml:space="preserve"> </w:t>
      </w:r>
      <w:r>
        <w:t>whether</w:t>
      </w:r>
      <w:r>
        <w:rPr>
          <w:spacing w:val="-3"/>
        </w:rPr>
        <w:t xml:space="preserve"> </w:t>
      </w:r>
      <w:r>
        <w:t>the</w:t>
      </w:r>
      <w:r>
        <w:rPr>
          <w:spacing w:val="-5"/>
        </w:rPr>
        <w:t xml:space="preserve"> </w:t>
      </w:r>
      <w:r>
        <w:t>QPA</w:t>
      </w:r>
      <w:r>
        <w:rPr>
          <w:spacing w:val="-3"/>
        </w:rPr>
        <w:t xml:space="preserve"> </w:t>
      </w:r>
      <w:r>
        <w:t>for</w:t>
      </w:r>
      <w:r>
        <w:rPr>
          <w:spacing w:val="-2"/>
        </w:rPr>
        <w:t xml:space="preserve"> </w:t>
      </w:r>
      <w:r>
        <w:t>items</w:t>
      </w:r>
      <w:r>
        <w:rPr>
          <w:spacing w:val="-3"/>
        </w:rPr>
        <w:t xml:space="preserve"> </w:t>
      </w:r>
      <w:r>
        <w:t>and</w:t>
      </w:r>
      <w:r>
        <w:rPr>
          <w:spacing w:val="-3"/>
        </w:rPr>
        <w:t xml:space="preserve"> </w:t>
      </w:r>
      <w:r>
        <w:t>services</w:t>
      </w:r>
      <w:r>
        <w:rPr>
          <w:spacing w:val="-3"/>
        </w:rPr>
        <w:t xml:space="preserve"> </w:t>
      </w:r>
      <w:r>
        <w:t>involved</w:t>
      </w:r>
      <w:r>
        <w:rPr>
          <w:spacing w:val="-3"/>
        </w:rPr>
        <w:t xml:space="preserve"> </w:t>
      </w:r>
      <w:r>
        <w:t>included</w:t>
      </w:r>
      <w:r>
        <w:rPr>
          <w:spacing w:val="-3"/>
        </w:rPr>
        <w:t xml:space="preserve"> </w:t>
      </w:r>
      <w:r>
        <w:t>contracted</w:t>
      </w:r>
      <w:r>
        <w:rPr>
          <w:spacing w:val="-2"/>
        </w:rPr>
        <w:t xml:space="preserve"> </w:t>
      </w:r>
      <w:r>
        <w:t>rates</w:t>
      </w:r>
      <w:r>
        <w:rPr>
          <w:spacing w:val="-3"/>
        </w:rPr>
        <w:t xml:space="preserve"> </w:t>
      </w:r>
      <w:r>
        <w:t>that</w:t>
      </w:r>
      <w:r>
        <w:rPr>
          <w:spacing w:val="-3"/>
        </w:rPr>
        <w:t xml:space="preserve"> </w:t>
      </w:r>
      <w:r>
        <w:t>were</w:t>
      </w:r>
      <w:r>
        <w:rPr>
          <w:spacing w:val="-5"/>
        </w:rPr>
        <w:t xml:space="preserve"> </w:t>
      </w:r>
      <w:r>
        <w:t>not on a fee-for-service basis for those specific items and services, and whether the QPA for those items and services was determined using underlying fee schedule rates or a derived amount;</w:t>
      </w:r>
      <w:r>
        <w:rPr>
          <w:spacing w:val="-3"/>
        </w:rPr>
        <w:t xml:space="preserve"> </w:t>
      </w:r>
      <w:r>
        <w:t>(2)</w:t>
      </w:r>
      <w:r>
        <w:rPr>
          <w:spacing w:val="-4"/>
        </w:rPr>
        <w:t xml:space="preserve"> </w:t>
      </w:r>
      <w:r>
        <w:t>if</w:t>
      </w:r>
      <w:r>
        <w:rPr>
          <w:spacing w:val="-3"/>
        </w:rPr>
        <w:t xml:space="preserve"> </w:t>
      </w:r>
      <w:r>
        <w:t>a</w:t>
      </w:r>
      <w:r>
        <w:rPr>
          <w:spacing w:val="-5"/>
        </w:rPr>
        <w:t xml:space="preserve"> </w:t>
      </w:r>
      <w:r>
        <w:t>related</w:t>
      </w:r>
      <w:r>
        <w:rPr>
          <w:spacing w:val="-3"/>
        </w:rPr>
        <w:t xml:space="preserve"> </w:t>
      </w:r>
      <w:r>
        <w:t>service</w:t>
      </w:r>
      <w:r>
        <w:rPr>
          <w:spacing w:val="-2"/>
        </w:rPr>
        <w:t xml:space="preserve"> </w:t>
      </w:r>
      <w:r>
        <w:t>code</w:t>
      </w:r>
      <w:r>
        <w:rPr>
          <w:spacing w:val="-4"/>
        </w:rPr>
        <w:t xml:space="preserve"> </w:t>
      </w:r>
      <w:r>
        <w:t>was</w:t>
      </w:r>
      <w:r>
        <w:rPr>
          <w:spacing w:val="-3"/>
        </w:rPr>
        <w:t xml:space="preserve"> </w:t>
      </w:r>
      <w:r>
        <w:t>used</w:t>
      </w:r>
      <w:r>
        <w:rPr>
          <w:spacing w:val="-2"/>
        </w:rPr>
        <w:t xml:space="preserve"> </w:t>
      </w:r>
      <w:r>
        <w:t>to</w:t>
      </w:r>
      <w:r>
        <w:rPr>
          <w:spacing w:val="-1"/>
        </w:rPr>
        <w:t xml:space="preserve"> </w:t>
      </w:r>
      <w:r>
        <w:t>determine</w:t>
      </w:r>
      <w:r>
        <w:rPr>
          <w:spacing w:val="-4"/>
        </w:rPr>
        <w:t xml:space="preserve"> </w:t>
      </w:r>
      <w:r>
        <w:t>the</w:t>
      </w:r>
      <w:r>
        <w:rPr>
          <w:spacing w:val="-3"/>
        </w:rPr>
        <w:t xml:space="preserve"> </w:t>
      </w:r>
      <w:r>
        <w:t>QPA</w:t>
      </w:r>
      <w:r>
        <w:rPr>
          <w:spacing w:val="-3"/>
        </w:rPr>
        <w:t xml:space="preserve"> </w:t>
      </w:r>
      <w:r>
        <w:t>for</w:t>
      </w:r>
      <w:r>
        <w:rPr>
          <w:spacing w:val="-3"/>
        </w:rPr>
        <w:t xml:space="preserve"> </w:t>
      </w:r>
      <w:r>
        <w:t>a</w:t>
      </w:r>
      <w:r>
        <w:rPr>
          <w:spacing w:val="-3"/>
        </w:rPr>
        <w:t xml:space="preserve"> </w:t>
      </w:r>
      <w:r>
        <w:t>new</w:t>
      </w:r>
      <w:r>
        <w:rPr>
          <w:spacing w:val="-3"/>
        </w:rPr>
        <w:t xml:space="preserve"> </w:t>
      </w:r>
      <w:r>
        <w:t>service</w:t>
      </w:r>
      <w:r>
        <w:rPr>
          <w:spacing w:val="-4"/>
        </w:rPr>
        <w:t xml:space="preserve"> </w:t>
      </w:r>
      <w:r>
        <w:t>code, information to identify the related service code; (3) if the plan or issuer used an eligible database to determine the QPA, information to identify which database was used; and (4) if applicable, a statement that the plan’s or issuer’s contracted rates include risk-sharing, bonus, or other incentive-based or retrospective payments or payment adjustments for covered items and services that were excluded for purposes of calculating the QPA.</w:t>
      </w:r>
    </w:p>
    <w:p w:rsidR="00B64E72" w14:paraId="67D8AE69" w14:textId="77777777">
      <w:pPr>
        <w:pStyle w:val="BodyText"/>
        <w:spacing w:before="24"/>
      </w:pPr>
    </w:p>
    <w:p w:rsidR="00B64E72" w14:paraId="7EA7E6CE" w14:textId="77777777">
      <w:pPr>
        <w:pStyle w:val="BodyText"/>
        <w:ind w:left="1531" w:right="1099"/>
      </w:pPr>
      <w:bookmarkStart w:id="18" w:name="The_August_2022_final_rules_specify_that"/>
      <w:bookmarkEnd w:id="18"/>
      <w:r>
        <w:t>The</w:t>
      </w:r>
      <w:r>
        <w:rPr>
          <w:spacing w:val="-5"/>
        </w:rPr>
        <w:t xml:space="preserve"> </w:t>
      </w:r>
      <w:r>
        <w:t>August</w:t>
      </w:r>
      <w:r>
        <w:rPr>
          <w:spacing w:val="-3"/>
        </w:rPr>
        <w:t xml:space="preserve"> </w:t>
      </w:r>
      <w:r>
        <w:t>2022</w:t>
      </w:r>
      <w:r>
        <w:rPr>
          <w:spacing w:val="-3"/>
        </w:rPr>
        <w:t xml:space="preserve"> </w:t>
      </w:r>
      <w:r>
        <w:t>final</w:t>
      </w:r>
      <w:r>
        <w:rPr>
          <w:spacing w:val="-3"/>
        </w:rPr>
        <w:t xml:space="preserve"> </w:t>
      </w:r>
      <w:r>
        <w:t>rules</w:t>
      </w:r>
      <w:r>
        <w:rPr>
          <w:spacing w:val="-3"/>
        </w:rPr>
        <w:t xml:space="preserve"> </w:t>
      </w:r>
      <w:r>
        <w:t>specify</w:t>
      </w:r>
      <w:r>
        <w:rPr>
          <w:spacing w:val="-3"/>
        </w:rPr>
        <w:t xml:space="preserve"> </w:t>
      </w:r>
      <w:r>
        <w:t>that</w:t>
      </w:r>
      <w:r>
        <w:rPr>
          <w:spacing w:val="-3"/>
        </w:rPr>
        <w:t xml:space="preserve"> </w:t>
      </w:r>
      <w:r>
        <w:t>where</w:t>
      </w:r>
      <w:r>
        <w:rPr>
          <w:spacing w:val="-3"/>
        </w:rPr>
        <w:t xml:space="preserve"> </w:t>
      </w:r>
      <w:r>
        <w:t>a</w:t>
      </w:r>
      <w:r>
        <w:rPr>
          <w:spacing w:val="-2"/>
        </w:rPr>
        <w:t xml:space="preserve"> </w:t>
      </w:r>
      <w:r>
        <w:t>QPA</w:t>
      </w:r>
      <w:r>
        <w:rPr>
          <w:spacing w:val="-3"/>
        </w:rPr>
        <w:t xml:space="preserve"> </w:t>
      </w:r>
      <w:r>
        <w:t>is</w:t>
      </w:r>
      <w:r>
        <w:rPr>
          <w:spacing w:val="-3"/>
        </w:rPr>
        <w:t xml:space="preserve"> </w:t>
      </w:r>
      <w:r>
        <w:t>calculated</w:t>
      </w:r>
      <w:r>
        <w:rPr>
          <w:spacing w:val="-3"/>
        </w:rPr>
        <w:t xml:space="preserve"> </w:t>
      </w:r>
      <w:r>
        <w:t>based</w:t>
      </w:r>
      <w:r>
        <w:rPr>
          <w:spacing w:val="-1"/>
        </w:rPr>
        <w:t xml:space="preserve"> </w:t>
      </w:r>
      <w:r>
        <w:t>on</w:t>
      </w:r>
      <w:r>
        <w:rPr>
          <w:spacing w:val="-3"/>
        </w:rPr>
        <w:t xml:space="preserve"> </w:t>
      </w:r>
      <w:r>
        <w:t>a</w:t>
      </w:r>
      <w:r>
        <w:rPr>
          <w:spacing w:val="-4"/>
        </w:rPr>
        <w:t xml:space="preserve"> </w:t>
      </w:r>
      <w:r>
        <w:t>downcoded</w:t>
      </w:r>
      <w:r>
        <w:t xml:space="preserve"> service code, in addition to the information already required to be provided with an initial payment or notice of denial of payment under the July 2021 interim final rules at 45 CFR 149.140(d), a plan or issuer must provide, if applicable, a statement that all or a portion of the claim was </w:t>
      </w:r>
      <w:r>
        <w:t>downcoded</w:t>
      </w:r>
      <w:r>
        <w:t xml:space="preserve">; an explanation of why the claim was </w:t>
      </w:r>
      <w:r>
        <w:t>downcoded</w:t>
      </w:r>
      <w:r>
        <w:t>, including a description of which service codes were altered, if any, and a des</w:t>
      </w:r>
      <w:r>
        <w:t>cription of any modifiers</w:t>
      </w:r>
    </w:p>
    <w:p w:rsidR="00B64E72" w14:paraId="0A4E65EC" w14:textId="77777777">
      <w:pPr>
        <w:pStyle w:val="BodyText"/>
        <w:sectPr>
          <w:pgSz w:w="12240" w:h="15840"/>
          <w:pgMar w:top="1360" w:right="360" w:bottom="1280" w:left="360" w:header="0" w:footer="1094" w:gutter="0"/>
          <w:cols w:space="720"/>
        </w:sectPr>
      </w:pPr>
    </w:p>
    <w:p w:rsidR="00B64E72" w14:paraId="7CA8D696" w14:textId="77777777">
      <w:pPr>
        <w:pStyle w:val="BodyText"/>
        <w:spacing w:before="79"/>
        <w:ind w:left="1531" w:right="1369"/>
      </w:pPr>
      <w:bookmarkStart w:id="19" w:name="that_were_altered_or_added;_and_the_amou"/>
      <w:bookmarkEnd w:id="19"/>
      <w:r>
        <w:t>that</w:t>
      </w:r>
      <w:r>
        <w:rPr>
          <w:spacing w:val="-3"/>
        </w:rPr>
        <w:t xml:space="preserve"> </w:t>
      </w:r>
      <w:r>
        <w:t>were</w:t>
      </w:r>
      <w:r>
        <w:rPr>
          <w:spacing w:val="-3"/>
        </w:rPr>
        <w:t xml:space="preserve"> </w:t>
      </w:r>
      <w:r>
        <w:t>altered</w:t>
      </w:r>
      <w:r>
        <w:rPr>
          <w:spacing w:val="-3"/>
        </w:rPr>
        <w:t xml:space="preserve"> </w:t>
      </w:r>
      <w:r>
        <w:t>or</w:t>
      </w:r>
      <w:r>
        <w:rPr>
          <w:spacing w:val="-3"/>
        </w:rPr>
        <w:t xml:space="preserve"> </w:t>
      </w:r>
      <w:r>
        <w:t>added;</w:t>
      </w:r>
      <w:r>
        <w:rPr>
          <w:spacing w:val="-3"/>
        </w:rPr>
        <w:t xml:space="preserve"> </w:t>
      </w:r>
      <w:r>
        <w:t>and</w:t>
      </w:r>
      <w:r>
        <w:rPr>
          <w:spacing w:val="-3"/>
        </w:rPr>
        <w:t xml:space="preserve"> </w:t>
      </w:r>
      <w:r>
        <w:t>the</w:t>
      </w:r>
      <w:r>
        <w:rPr>
          <w:spacing w:val="-4"/>
        </w:rPr>
        <w:t xml:space="preserve"> </w:t>
      </w:r>
      <w:r>
        <w:t>amount</w:t>
      </w:r>
      <w:r>
        <w:rPr>
          <w:spacing w:val="-3"/>
        </w:rPr>
        <w:t xml:space="preserve"> </w:t>
      </w:r>
      <w:r>
        <w:t>that</w:t>
      </w:r>
      <w:r>
        <w:rPr>
          <w:spacing w:val="-3"/>
        </w:rPr>
        <w:t xml:space="preserve"> </w:t>
      </w:r>
      <w:r>
        <w:t>would</w:t>
      </w:r>
      <w:r>
        <w:rPr>
          <w:spacing w:val="-3"/>
        </w:rPr>
        <w:t xml:space="preserve"> </w:t>
      </w:r>
      <w:r>
        <w:t>have</w:t>
      </w:r>
      <w:r>
        <w:rPr>
          <w:spacing w:val="-5"/>
        </w:rPr>
        <w:t xml:space="preserve"> </w:t>
      </w:r>
      <w:r>
        <w:t>been</w:t>
      </w:r>
      <w:r>
        <w:rPr>
          <w:spacing w:val="-3"/>
        </w:rPr>
        <w:t xml:space="preserve"> </w:t>
      </w:r>
      <w:r>
        <w:t>the</w:t>
      </w:r>
      <w:r>
        <w:rPr>
          <w:spacing w:val="-4"/>
        </w:rPr>
        <w:t xml:space="preserve"> </w:t>
      </w:r>
      <w:r>
        <w:t>QPA</w:t>
      </w:r>
      <w:r>
        <w:rPr>
          <w:spacing w:val="-1"/>
        </w:rPr>
        <w:t xml:space="preserve"> </w:t>
      </w:r>
      <w:r>
        <w:t>had</w:t>
      </w:r>
      <w:r>
        <w:rPr>
          <w:spacing w:val="-3"/>
        </w:rPr>
        <w:t xml:space="preserve"> </w:t>
      </w:r>
      <w:r>
        <w:t>the</w:t>
      </w:r>
      <w:r>
        <w:rPr>
          <w:spacing w:val="-3"/>
        </w:rPr>
        <w:t xml:space="preserve"> </w:t>
      </w:r>
      <w:r>
        <w:t xml:space="preserve">service code or modifier not been </w:t>
      </w:r>
      <w:r>
        <w:t>downcoded</w:t>
      </w:r>
      <w:r>
        <w:t>.</w:t>
      </w:r>
    </w:p>
    <w:p w:rsidR="00B64E72" w14:paraId="743D401C" w14:textId="77777777">
      <w:pPr>
        <w:pStyle w:val="BodyText"/>
        <w:spacing w:before="3"/>
      </w:pPr>
    </w:p>
    <w:p w:rsidR="00B64E72" w14:paraId="6CD169AE" w14:textId="77777777">
      <w:pPr>
        <w:pStyle w:val="BodyText"/>
        <w:spacing w:line="259" w:lineRule="auto"/>
        <w:ind w:left="1512" w:right="1094"/>
      </w:pPr>
      <w:bookmarkStart w:id="20" w:name="The_No_Surprises_Act_requires_the_Secret"/>
      <w:bookmarkEnd w:id="20"/>
      <w:r>
        <w:t>The No Surprises Act requires the Secretary of HHS to audit no more than 25 group health plans and health insurance issuers offering group or individual health insurance coverage annually, and permits additional audits based on complaints, to ensure that such plans and coverage are in compliance with the requirement of applying a QPA and that the QPA applied satisfies the definition under the No Surprises Act with respect to the year involved. The Secretary of HHS may audit any nonfederal governmental healt</w:t>
      </w:r>
      <w:r>
        <w:t>h plan in any State, or any</w:t>
      </w:r>
      <w:r>
        <w:rPr>
          <w:spacing w:val="-1"/>
        </w:rPr>
        <w:t xml:space="preserve"> </w:t>
      </w:r>
      <w:r>
        <w:t>issuer</w:t>
      </w:r>
      <w:r>
        <w:rPr>
          <w:spacing w:val="-1"/>
        </w:rPr>
        <w:t xml:space="preserve"> </w:t>
      </w:r>
      <w:r>
        <w:t>in a</w:t>
      </w:r>
      <w:r>
        <w:rPr>
          <w:spacing w:val="-1"/>
        </w:rPr>
        <w:t xml:space="preserve"> </w:t>
      </w:r>
      <w:r>
        <w:t>State</w:t>
      </w:r>
      <w:r>
        <w:rPr>
          <w:spacing w:val="-1"/>
        </w:rPr>
        <w:t xml:space="preserve"> </w:t>
      </w:r>
      <w:r>
        <w:t>where</w:t>
      </w:r>
      <w:r>
        <w:rPr>
          <w:spacing w:val="-2"/>
        </w:rPr>
        <w:t xml:space="preserve"> </w:t>
      </w:r>
      <w:r>
        <w:t>HHS has jurisdiction, for</w:t>
      </w:r>
      <w:r>
        <w:rPr>
          <w:spacing w:val="-2"/>
        </w:rPr>
        <w:t xml:space="preserve"> </w:t>
      </w:r>
      <w:r>
        <w:t>which a complaint or other</w:t>
      </w:r>
      <w:r>
        <w:rPr>
          <w:spacing w:val="-2"/>
        </w:rPr>
        <w:t xml:space="preserve"> </w:t>
      </w:r>
      <w:r>
        <w:t>information about such health plan or issuer involves compliance with the QPA requirements. In addition, the statute provides that rulemaking must establish a process under which group health plans and health insurance issuers offering group or individual health insurance coverage are audited by the applicable Secretary or applicable state authority to ensure that such plans and coverage are</w:t>
      </w:r>
      <w:r>
        <w:rPr>
          <w:spacing w:val="-1"/>
        </w:rPr>
        <w:t xml:space="preserve"> </w:t>
      </w:r>
      <w:r>
        <w:t>in compliance with the requirement of applying a QPA and that the QPA applied satisfies the definition under the No S</w:t>
      </w:r>
      <w:r>
        <w:t>urprises Act with respect to the year involved. The enforcement responsibilities of HHS and the States with respect to oversight of</w:t>
      </w:r>
      <w:r>
        <w:rPr>
          <w:spacing w:val="-2"/>
        </w:rPr>
        <w:t xml:space="preserve"> </w:t>
      </w:r>
      <w:r>
        <w:t>health</w:t>
      </w:r>
      <w:r>
        <w:rPr>
          <w:spacing w:val="-2"/>
        </w:rPr>
        <w:t xml:space="preserve"> </w:t>
      </w:r>
      <w:r>
        <w:t>insurance</w:t>
      </w:r>
      <w:r>
        <w:rPr>
          <w:spacing w:val="-3"/>
        </w:rPr>
        <w:t xml:space="preserve"> </w:t>
      </w:r>
      <w:r>
        <w:t>issuer</w:t>
      </w:r>
      <w:r>
        <w:rPr>
          <w:spacing w:val="-1"/>
        </w:rPr>
        <w:t xml:space="preserve"> </w:t>
      </w:r>
      <w:r>
        <w:t>compliance</w:t>
      </w:r>
      <w:r>
        <w:rPr>
          <w:spacing w:val="-3"/>
        </w:rPr>
        <w:t xml:space="preserve"> </w:t>
      </w:r>
      <w:r>
        <w:t>with</w:t>
      </w:r>
      <w:r>
        <w:rPr>
          <w:spacing w:val="-2"/>
        </w:rPr>
        <w:t xml:space="preserve"> </w:t>
      </w:r>
      <w:r>
        <w:t>the</w:t>
      </w:r>
      <w:r>
        <w:rPr>
          <w:spacing w:val="-3"/>
        </w:rPr>
        <w:t xml:space="preserve"> </w:t>
      </w:r>
      <w:r>
        <w:t>federal</w:t>
      </w:r>
      <w:r>
        <w:rPr>
          <w:spacing w:val="-2"/>
        </w:rPr>
        <w:t xml:space="preserve"> </w:t>
      </w:r>
      <w:r>
        <w:t>insurance</w:t>
      </w:r>
      <w:r>
        <w:rPr>
          <w:spacing w:val="-3"/>
        </w:rPr>
        <w:t xml:space="preserve"> </w:t>
      </w:r>
      <w:r>
        <w:t>market</w:t>
      </w:r>
      <w:r>
        <w:rPr>
          <w:spacing w:val="-2"/>
        </w:rPr>
        <w:t xml:space="preserve"> </w:t>
      </w:r>
      <w:r>
        <w:t>reforms</w:t>
      </w:r>
      <w:r>
        <w:rPr>
          <w:spacing w:val="-2"/>
        </w:rPr>
        <w:t xml:space="preserve"> </w:t>
      </w:r>
      <w:r>
        <w:t>are</w:t>
      </w:r>
      <w:r>
        <w:rPr>
          <w:spacing w:val="-3"/>
        </w:rPr>
        <w:t xml:space="preserve"> </w:t>
      </w:r>
      <w:r>
        <w:t>set</w:t>
      </w:r>
      <w:r>
        <w:rPr>
          <w:spacing w:val="-2"/>
        </w:rPr>
        <w:t xml:space="preserve"> </w:t>
      </w:r>
      <w:r>
        <w:t>forth in the PHS Act. The July 2021 interim final rules at 45 CFR 149.140(f) include an audit provision establishing that the Departments’ existing enforcement procedures will apply</w:t>
      </w:r>
      <w:r>
        <w:rPr>
          <w:spacing w:val="40"/>
        </w:rPr>
        <w:t xml:space="preserve"> </w:t>
      </w:r>
      <w:r>
        <w:t>with respect to ensuring that a plan or coverage is in compliance with the requirement of properly</w:t>
      </w:r>
      <w:r>
        <w:rPr>
          <w:spacing w:val="-4"/>
        </w:rPr>
        <w:t xml:space="preserve"> </w:t>
      </w:r>
      <w:r>
        <w:t>determining</w:t>
      </w:r>
      <w:r>
        <w:rPr>
          <w:spacing w:val="-3"/>
        </w:rPr>
        <w:t xml:space="preserve"> </w:t>
      </w:r>
      <w:r>
        <w:t>an</w:t>
      </w:r>
      <w:r>
        <w:t>d</w:t>
      </w:r>
      <w:r>
        <w:rPr>
          <w:spacing w:val="-3"/>
        </w:rPr>
        <w:t xml:space="preserve"> </w:t>
      </w:r>
      <w:r>
        <w:t>applying</w:t>
      </w:r>
      <w:r>
        <w:rPr>
          <w:spacing w:val="-3"/>
        </w:rPr>
        <w:t xml:space="preserve"> </w:t>
      </w:r>
      <w:r>
        <w:t>a</w:t>
      </w:r>
      <w:r>
        <w:rPr>
          <w:spacing w:val="-4"/>
        </w:rPr>
        <w:t xml:space="preserve"> </w:t>
      </w:r>
      <w:r>
        <w:t>QPA.</w:t>
      </w:r>
      <w:r>
        <w:rPr>
          <w:spacing w:val="-2"/>
        </w:rPr>
        <w:t xml:space="preserve"> </w:t>
      </w:r>
      <w:r>
        <w:t>Pursuant</w:t>
      </w:r>
      <w:r>
        <w:rPr>
          <w:spacing w:val="-3"/>
        </w:rPr>
        <w:t xml:space="preserve"> </w:t>
      </w:r>
      <w:r>
        <w:t>to</w:t>
      </w:r>
      <w:r>
        <w:rPr>
          <w:spacing w:val="-3"/>
        </w:rPr>
        <w:t xml:space="preserve"> </w:t>
      </w:r>
      <w:r>
        <w:t>section</w:t>
      </w:r>
      <w:r>
        <w:rPr>
          <w:spacing w:val="-3"/>
        </w:rPr>
        <w:t xml:space="preserve"> </w:t>
      </w:r>
      <w:r>
        <w:t>2723(a)(1)</w:t>
      </w:r>
      <w:r>
        <w:rPr>
          <w:spacing w:val="-3"/>
        </w:rPr>
        <w:t xml:space="preserve"> </w:t>
      </w:r>
      <w:r>
        <w:t>of</w:t>
      </w:r>
      <w:r>
        <w:rPr>
          <w:spacing w:val="-3"/>
        </w:rPr>
        <w:t xml:space="preserve"> </w:t>
      </w:r>
      <w:r>
        <w:t>the</w:t>
      </w:r>
      <w:r>
        <w:rPr>
          <w:spacing w:val="-5"/>
        </w:rPr>
        <w:t xml:space="preserve"> </w:t>
      </w:r>
      <w:r>
        <w:t>PHS</w:t>
      </w:r>
      <w:r>
        <w:rPr>
          <w:spacing w:val="-3"/>
        </w:rPr>
        <w:t xml:space="preserve"> </w:t>
      </w:r>
      <w:r>
        <w:t>Act,</w:t>
      </w:r>
      <w:r>
        <w:rPr>
          <w:spacing w:val="-3"/>
        </w:rPr>
        <w:t xml:space="preserve"> </w:t>
      </w:r>
      <w:r>
        <w:t>as amended by the No Surprises Act, States have primary enforcement authority over health insurance issuers regarding the provisions of Parts A and D of title XXVII of the PHS Act.</w:t>
      </w:r>
    </w:p>
    <w:p w:rsidR="00B64E72" w14:paraId="38D02DA0" w14:textId="77777777">
      <w:pPr>
        <w:pStyle w:val="BodyText"/>
        <w:spacing w:line="259" w:lineRule="auto"/>
        <w:ind w:left="1512" w:right="1144"/>
      </w:pPr>
      <w:r>
        <w:t>Under this framework, HHS has enforcement authority over issuers in a State if the Secretary</w:t>
      </w:r>
      <w:r>
        <w:rPr>
          <w:spacing w:val="-1"/>
        </w:rPr>
        <w:t xml:space="preserve"> </w:t>
      </w:r>
      <w:r>
        <w:t>of HHS makes a</w:t>
      </w:r>
      <w:r>
        <w:rPr>
          <w:spacing w:val="-1"/>
        </w:rPr>
        <w:t xml:space="preserve"> </w:t>
      </w:r>
      <w:r>
        <w:t>determination that the State</w:t>
      </w:r>
      <w:r>
        <w:rPr>
          <w:spacing w:val="-1"/>
        </w:rPr>
        <w:t xml:space="preserve"> </w:t>
      </w:r>
      <w:r>
        <w:t>is failing to substantially enforce a provision</w:t>
      </w:r>
      <w:r>
        <w:rPr>
          <w:spacing w:val="-2"/>
        </w:rPr>
        <w:t xml:space="preserve"> </w:t>
      </w:r>
      <w:r>
        <w:t>(or</w:t>
      </w:r>
      <w:r>
        <w:rPr>
          <w:spacing w:val="-3"/>
        </w:rPr>
        <w:t xml:space="preserve"> </w:t>
      </w:r>
      <w:r>
        <w:t>provisions)</w:t>
      </w:r>
      <w:r>
        <w:rPr>
          <w:spacing w:val="-2"/>
        </w:rPr>
        <w:t xml:space="preserve"> </w:t>
      </w:r>
      <w:r>
        <w:t>of</w:t>
      </w:r>
      <w:r>
        <w:rPr>
          <w:spacing w:val="-4"/>
        </w:rPr>
        <w:t xml:space="preserve"> </w:t>
      </w:r>
      <w:r>
        <w:t>Part</w:t>
      </w:r>
      <w:r>
        <w:rPr>
          <w:spacing w:val="-2"/>
        </w:rPr>
        <w:t xml:space="preserve"> </w:t>
      </w:r>
      <w:r>
        <w:t>A</w:t>
      </w:r>
      <w:r>
        <w:rPr>
          <w:spacing w:val="-3"/>
        </w:rPr>
        <w:t xml:space="preserve"> </w:t>
      </w:r>
      <w:r>
        <w:t>or</w:t>
      </w:r>
      <w:r>
        <w:rPr>
          <w:spacing w:val="-2"/>
        </w:rPr>
        <w:t xml:space="preserve"> </w:t>
      </w:r>
      <w:r>
        <w:t>D</w:t>
      </w:r>
      <w:r>
        <w:rPr>
          <w:spacing w:val="-4"/>
        </w:rPr>
        <w:t xml:space="preserve"> </w:t>
      </w:r>
      <w:r>
        <w:t>of</w:t>
      </w:r>
      <w:r>
        <w:rPr>
          <w:spacing w:val="-2"/>
        </w:rPr>
        <w:t xml:space="preserve"> </w:t>
      </w:r>
      <w:r>
        <w:t>title</w:t>
      </w:r>
      <w:r>
        <w:rPr>
          <w:spacing w:val="-2"/>
        </w:rPr>
        <w:t xml:space="preserve"> </w:t>
      </w:r>
      <w:r>
        <w:t>XXVII</w:t>
      </w:r>
      <w:r>
        <w:rPr>
          <w:spacing w:val="-6"/>
        </w:rPr>
        <w:t xml:space="preserve"> </w:t>
      </w:r>
      <w:r>
        <w:t>of</w:t>
      </w:r>
      <w:r>
        <w:rPr>
          <w:spacing w:val="-2"/>
        </w:rPr>
        <w:t xml:space="preserve"> </w:t>
      </w:r>
      <w:r>
        <w:t>the</w:t>
      </w:r>
      <w:r>
        <w:rPr>
          <w:spacing w:val="-3"/>
        </w:rPr>
        <w:t xml:space="preserve"> </w:t>
      </w:r>
      <w:r>
        <w:t>PHS</w:t>
      </w:r>
      <w:r>
        <w:rPr>
          <w:spacing w:val="-2"/>
        </w:rPr>
        <w:t xml:space="preserve"> </w:t>
      </w:r>
      <w:r>
        <w:t>Ac</w:t>
      </w:r>
      <w:bookmarkStart w:id="21" w:name="2"/>
      <w:bookmarkEnd w:id="21"/>
      <w:r>
        <w:t>t.</w:t>
      </w:r>
      <w:hyperlink w:anchor="_bookmark1" w:history="1">
        <w:r>
          <w:rPr>
            <w:vertAlign w:val="superscript"/>
          </w:rPr>
          <w:t>2</w:t>
        </w:r>
      </w:hyperlink>
      <w:r>
        <w:rPr>
          <w:spacing w:val="-1"/>
        </w:rPr>
        <w:t xml:space="preserve"> </w:t>
      </w:r>
      <w:r>
        <w:t>The</w:t>
      </w:r>
      <w:r>
        <w:rPr>
          <w:spacing w:val="-4"/>
        </w:rPr>
        <w:t xml:space="preserve"> </w:t>
      </w:r>
      <w:r>
        <w:t>Consolidated Appropriations Act enforcement letters</w:t>
      </w:r>
      <w:bookmarkStart w:id="22" w:name="3"/>
      <w:bookmarkEnd w:id="22"/>
      <w:hyperlink w:anchor="_bookmark2" w:history="1">
        <w:r>
          <w:rPr>
            <w:vertAlign w:val="superscript"/>
          </w:rPr>
          <w:t>3</w:t>
        </w:r>
      </w:hyperlink>
      <w:r>
        <w:t xml:space="preserve"> outline which provisions each state is enforcing directly or through a collaborative</w:t>
      </w:r>
      <w:r>
        <w:rPr>
          <w:spacing w:val="-1"/>
        </w:rPr>
        <w:t xml:space="preserve"> </w:t>
      </w:r>
      <w:r>
        <w:t>enforcement agreement and the</w:t>
      </w:r>
      <w:r>
        <w:rPr>
          <w:spacing w:val="-1"/>
        </w:rPr>
        <w:t xml:space="preserve"> </w:t>
      </w:r>
      <w:r>
        <w:t xml:space="preserve">provisions that CMS is </w:t>
      </w:r>
      <w:r>
        <w:rPr>
          <w:spacing w:val="-2"/>
        </w:rPr>
        <w:t>enforcing.</w:t>
      </w:r>
    </w:p>
    <w:p w:rsidR="00B64E72" w14:paraId="25731EE1" w14:textId="77777777">
      <w:pPr>
        <w:pStyle w:val="BodyText"/>
        <w:spacing w:before="17"/>
      </w:pPr>
    </w:p>
    <w:p w:rsidR="00B64E72" w14:paraId="4C7469B7" w14:textId="77777777">
      <w:pPr>
        <w:pStyle w:val="BodyText"/>
        <w:spacing w:line="259" w:lineRule="auto"/>
        <w:ind w:left="1488" w:right="1099"/>
      </w:pPr>
      <w:bookmarkStart w:id="23" w:name="The_July_2021_interim_final_rules_allow_"/>
      <w:bookmarkEnd w:id="23"/>
      <w:r>
        <w:t>The July 2021 interim final rules allow self-insured group health plans, including self- insured</w:t>
      </w:r>
      <w:r>
        <w:rPr>
          <w:spacing w:val="-3"/>
        </w:rPr>
        <w:t xml:space="preserve"> </w:t>
      </w:r>
      <w:r>
        <w:t>non-federal</w:t>
      </w:r>
      <w:r>
        <w:rPr>
          <w:spacing w:val="-3"/>
        </w:rPr>
        <w:t xml:space="preserve"> </w:t>
      </w:r>
      <w:r>
        <w:t>governmental</w:t>
      </w:r>
      <w:r>
        <w:rPr>
          <w:spacing w:val="-3"/>
        </w:rPr>
        <w:t xml:space="preserve"> </w:t>
      </w:r>
      <w:r>
        <w:t>plans,</w:t>
      </w:r>
      <w:r>
        <w:rPr>
          <w:spacing w:val="-3"/>
        </w:rPr>
        <w:t xml:space="preserve"> </w:t>
      </w:r>
      <w:r>
        <w:t>to</w:t>
      </w:r>
      <w:r>
        <w:rPr>
          <w:spacing w:val="-3"/>
        </w:rPr>
        <w:t xml:space="preserve"> </w:t>
      </w:r>
      <w:r>
        <w:t>voluntarily</w:t>
      </w:r>
      <w:r>
        <w:rPr>
          <w:spacing w:val="-3"/>
        </w:rPr>
        <w:t xml:space="preserve"> </w:t>
      </w:r>
      <w:r>
        <w:t>opt</w:t>
      </w:r>
      <w:r>
        <w:rPr>
          <w:spacing w:val="-3"/>
        </w:rPr>
        <w:t xml:space="preserve"> </w:t>
      </w:r>
      <w:r>
        <w:t>in</w:t>
      </w:r>
      <w:r>
        <w:rPr>
          <w:spacing w:val="-3"/>
        </w:rPr>
        <w:t xml:space="preserve"> </w:t>
      </w:r>
      <w:r>
        <w:t>to State</w:t>
      </w:r>
      <w:r>
        <w:rPr>
          <w:spacing w:val="-4"/>
        </w:rPr>
        <w:t xml:space="preserve"> </w:t>
      </w:r>
      <w:r>
        <w:t>law</w:t>
      </w:r>
      <w:r>
        <w:rPr>
          <w:spacing w:val="-4"/>
        </w:rPr>
        <w:t xml:space="preserve"> </w:t>
      </w:r>
      <w:r>
        <w:t>that</w:t>
      </w:r>
      <w:r>
        <w:rPr>
          <w:spacing w:val="-3"/>
        </w:rPr>
        <w:t xml:space="preserve"> </w:t>
      </w:r>
      <w:r>
        <w:t>provides</w:t>
      </w:r>
      <w:r>
        <w:rPr>
          <w:spacing w:val="-3"/>
        </w:rPr>
        <w:t xml:space="preserve"> </w:t>
      </w:r>
      <w:r>
        <w:t>for</w:t>
      </w:r>
      <w:r>
        <w:rPr>
          <w:spacing w:val="-2"/>
        </w:rPr>
        <w:t xml:space="preserve"> </w:t>
      </w:r>
      <w:r>
        <w:t>a method for determining the cost-sharing amount or total amount payable under such a plan, where a State has chosen to expand access to such plans, to satisfy their obligations under</w:t>
      </w:r>
    </w:p>
    <w:p w:rsidR="00B64E72" w14:paraId="2908725D" w14:textId="77777777">
      <w:pPr>
        <w:pStyle w:val="BodyText"/>
        <w:spacing w:before="87"/>
        <w:rPr>
          <w:sz w:val="20"/>
        </w:rPr>
      </w:pPr>
      <w:r>
        <w:rPr>
          <w:noProof/>
          <w:sz w:val="20"/>
        </w:rPr>
        <mc:AlternateContent>
          <mc:Choice Requires="wps">
            <w:drawing>
              <wp:anchor distT="0" distB="0" distL="0" distR="0" simplePos="0" relativeHeight="251666432" behindDoc="1" locked="0" layoutInCell="1" allowOverlap="1">
                <wp:simplePos x="0" y="0"/>
                <wp:positionH relativeFrom="page">
                  <wp:posOffset>914704</wp:posOffset>
                </wp:positionH>
                <wp:positionV relativeFrom="paragraph">
                  <wp:posOffset>216534</wp:posOffset>
                </wp:positionV>
                <wp:extent cx="1829435" cy="762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7620"/>
                        </a:xfrm>
                        <a:custGeom>
                          <a:avLst/>
                          <a:gdLst/>
                          <a:rect l="l" t="t" r="r" b="b"/>
                          <a:pathLst>
                            <a:path fill="norm" h="7620" w="1829435" stroke="1">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6" style="width:144.05pt;height:0.6pt;margin-top:17.05pt;margin-left:1in;mso-position-horizontal-relative:page;mso-wrap-distance-bottom:0;mso-wrap-distance-left:0;mso-wrap-distance-right:0;mso-wrap-distance-top:0;mso-wrap-style:square;position:absolute;visibility:visible;v-text-anchor:top;z-index:-251649024" coordsize="1829435,7620" path="m1829054,l,,,7619l1829054,7619l1829054,xe" fillcolor="black" stroked="f">
                <v:path arrowok="t"/>
                <w10:wrap type="topAndBottom"/>
              </v:shape>
            </w:pict>
          </mc:Fallback>
        </mc:AlternateContent>
      </w:r>
    </w:p>
    <w:p w:rsidR="00B64E72" w14:paraId="44182E4E" w14:textId="77777777">
      <w:pPr>
        <w:spacing w:before="144"/>
        <w:ind w:left="1080"/>
        <w:rPr>
          <w:sz w:val="20"/>
        </w:rPr>
      </w:pPr>
      <w:bookmarkStart w:id="24" w:name="2_Section_2723(a)(2)_and_(b)(1)(A)_of_th"/>
      <w:bookmarkStart w:id="25" w:name="_bookmark1"/>
      <w:bookmarkEnd w:id="24"/>
      <w:bookmarkEnd w:id="25"/>
      <w:r>
        <w:rPr>
          <w:sz w:val="20"/>
          <w:vertAlign w:val="superscript"/>
        </w:rPr>
        <w:t>2</w:t>
      </w:r>
      <w:r>
        <w:rPr>
          <w:spacing w:val="-5"/>
          <w:sz w:val="20"/>
        </w:rPr>
        <w:t xml:space="preserve"> </w:t>
      </w:r>
      <w:r>
        <w:rPr>
          <w:sz w:val="20"/>
        </w:rPr>
        <w:t>Section</w:t>
      </w:r>
      <w:r>
        <w:rPr>
          <w:spacing w:val="-3"/>
          <w:sz w:val="20"/>
        </w:rPr>
        <w:t xml:space="preserve"> </w:t>
      </w:r>
      <w:r>
        <w:rPr>
          <w:sz w:val="20"/>
        </w:rPr>
        <w:t>2723(a)(2)</w:t>
      </w:r>
      <w:r>
        <w:rPr>
          <w:spacing w:val="-4"/>
          <w:sz w:val="20"/>
        </w:rPr>
        <w:t xml:space="preserve"> </w:t>
      </w:r>
      <w:r>
        <w:rPr>
          <w:sz w:val="20"/>
        </w:rPr>
        <w:t>and</w:t>
      </w:r>
      <w:r>
        <w:rPr>
          <w:spacing w:val="-3"/>
          <w:sz w:val="20"/>
        </w:rPr>
        <w:t xml:space="preserve"> </w:t>
      </w:r>
      <w:r>
        <w:rPr>
          <w:sz w:val="20"/>
        </w:rPr>
        <w:t>(b)(1)(A)</w:t>
      </w:r>
      <w:r>
        <w:rPr>
          <w:spacing w:val="-3"/>
          <w:sz w:val="20"/>
        </w:rPr>
        <w:t xml:space="preserve"> </w:t>
      </w:r>
      <w:r>
        <w:rPr>
          <w:sz w:val="20"/>
        </w:rPr>
        <w:t>of</w:t>
      </w:r>
      <w:r>
        <w:rPr>
          <w:spacing w:val="-5"/>
          <w:sz w:val="20"/>
        </w:rPr>
        <w:t xml:space="preserve"> </w:t>
      </w:r>
      <w:r>
        <w:rPr>
          <w:sz w:val="20"/>
        </w:rPr>
        <w:t>the</w:t>
      </w:r>
      <w:r>
        <w:rPr>
          <w:spacing w:val="-6"/>
          <w:sz w:val="20"/>
        </w:rPr>
        <w:t xml:space="preserve"> </w:t>
      </w:r>
      <w:r>
        <w:rPr>
          <w:sz w:val="20"/>
        </w:rPr>
        <w:t>PHS</w:t>
      </w:r>
      <w:r>
        <w:rPr>
          <w:spacing w:val="-5"/>
          <w:sz w:val="20"/>
        </w:rPr>
        <w:t xml:space="preserve"> </w:t>
      </w:r>
      <w:r>
        <w:rPr>
          <w:sz w:val="20"/>
        </w:rPr>
        <w:t>Act.</w:t>
      </w:r>
      <w:r>
        <w:rPr>
          <w:spacing w:val="3"/>
          <w:sz w:val="20"/>
        </w:rPr>
        <w:t xml:space="preserve"> </w:t>
      </w:r>
      <w:r>
        <w:rPr>
          <w:i/>
          <w:sz w:val="20"/>
        </w:rPr>
        <w:t>See</w:t>
      </w:r>
      <w:r>
        <w:rPr>
          <w:i/>
          <w:spacing w:val="-4"/>
          <w:sz w:val="20"/>
        </w:rPr>
        <w:t xml:space="preserve"> </w:t>
      </w:r>
      <w:r>
        <w:rPr>
          <w:i/>
          <w:sz w:val="20"/>
        </w:rPr>
        <w:t>also</w:t>
      </w:r>
      <w:r>
        <w:rPr>
          <w:i/>
          <w:spacing w:val="-3"/>
          <w:sz w:val="20"/>
        </w:rPr>
        <w:t xml:space="preserve"> </w:t>
      </w:r>
      <w:r>
        <w:rPr>
          <w:sz w:val="20"/>
        </w:rPr>
        <w:t>45</w:t>
      </w:r>
      <w:r>
        <w:rPr>
          <w:spacing w:val="-3"/>
          <w:sz w:val="20"/>
        </w:rPr>
        <w:t xml:space="preserve"> </w:t>
      </w:r>
      <w:r>
        <w:rPr>
          <w:sz w:val="20"/>
        </w:rPr>
        <w:t>CFR</w:t>
      </w:r>
      <w:r>
        <w:rPr>
          <w:spacing w:val="-5"/>
          <w:sz w:val="20"/>
        </w:rPr>
        <w:t xml:space="preserve"> </w:t>
      </w:r>
      <w:r>
        <w:rPr>
          <w:spacing w:val="-2"/>
          <w:sz w:val="20"/>
        </w:rPr>
        <w:t>150.203.</w:t>
      </w:r>
    </w:p>
    <w:p w:rsidR="00B64E72" w14:paraId="6EB53BFA" w14:textId="77777777">
      <w:pPr>
        <w:spacing w:before="1"/>
        <w:ind w:left="1080" w:right="1369"/>
        <w:rPr>
          <w:sz w:val="20"/>
        </w:rPr>
      </w:pPr>
      <w:bookmarkStart w:id="26" w:name="3_CAA_enforcement_letters_outline_CMS’s_"/>
      <w:bookmarkStart w:id="27" w:name="_bookmark2"/>
      <w:bookmarkEnd w:id="26"/>
      <w:bookmarkEnd w:id="27"/>
      <w:r>
        <w:rPr>
          <w:sz w:val="20"/>
          <w:vertAlign w:val="superscript"/>
        </w:rPr>
        <w:t>3</w:t>
      </w:r>
      <w:r>
        <w:rPr>
          <w:spacing w:val="-3"/>
          <w:sz w:val="20"/>
        </w:rPr>
        <w:t xml:space="preserve"> </w:t>
      </w:r>
      <w:r>
        <w:rPr>
          <w:sz w:val="20"/>
        </w:rPr>
        <w:t>CAA</w:t>
      </w:r>
      <w:r>
        <w:rPr>
          <w:spacing w:val="-3"/>
          <w:sz w:val="20"/>
        </w:rPr>
        <w:t xml:space="preserve"> </w:t>
      </w:r>
      <w:r>
        <w:rPr>
          <w:sz w:val="20"/>
        </w:rPr>
        <w:t>enforcement</w:t>
      </w:r>
      <w:r>
        <w:rPr>
          <w:spacing w:val="-4"/>
          <w:sz w:val="20"/>
        </w:rPr>
        <w:t xml:space="preserve"> </w:t>
      </w:r>
      <w:r>
        <w:rPr>
          <w:sz w:val="20"/>
        </w:rPr>
        <w:t>letters</w:t>
      </w:r>
      <w:r>
        <w:rPr>
          <w:spacing w:val="-4"/>
          <w:sz w:val="20"/>
        </w:rPr>
        <w:t xml:space="preserve"> </w:t>
      </w:r>
      <w:r>
        <w:rPr>
          <w:sz w:val="20"/>
        </w:rPr>
        <w:t>outline CMS’s</w:t>
      </w:r>
      <w:r>
        <w:rPr>
          <w:spacing w:val="-4"/>
          <w:sz w:val="20"/>
        </w:rPr>
        <w:t xml:space="preserve"> </w:t>
      </w:r>
      <w:r>
        <w:rPr>
          <w:sz w:val="20"/>
        </w:rPr>
        <w:t>understanding</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PHS</w:t>
      </w:r>
      <w:r>
        <w:rPr>
          <w:spacing w:val="-4"/>
          <w:sz w:val="20"/>
        </w:rPr>
        <w:t xml:space="preserve"> </w:t>
      </w:r>
      <w:r>
        <w:rPr>
          <w:sz w:val="20"/>
        </w:rPr>
        <w:t>Act</w:t>
      </w:r>
      <w:r>
        <w:rPr>
          <w:spacing w:val="-4"/>
          <w:sz w:val="20"/>
        </w:rPr>
        <w:t xml:space="preserve"> </w:t>
      </w:r>
      <w:r>
        <w:rPr>
          <w:sz w:val="20"/>
        </w:rPr>
        <w:t>provisions,</w:t>
      </w:r>
      <w:r>
        <w:rPr>
          <w:spacing w:val="-3"/>
          <w:sz w:val="20"/>
        </w:rPr>
        <w:t xml:space="preserve"> </w:t>
      </w:r>
      <w:r>
        <w:rPr>
          <w:sz w:val="20"/>
        </w:rPr>
        <w:t>as</w:t>
      </w:r>
      <w:r>
        <w:rPr>
          <w:spacing w:val="-4"/>
          <w:sz w:val="20"/>
        </w:rPr>
        <w:t xml:space="preserve"> </w:t>
      </w:r>
      <w:r>
        <w:rPr>
          <w:sz w:val="20"/>
        </w:rPr>
        <w:t>extended</w:t>
      </w:r>
      <w:r>
        <w:rPr>
          <w:spacing w:val="-4"/>
          <w:sz w:val="20"/>
        </w:rPr>
        <w:t xml:space="preserve"> </w:t>
      </w:r>
      <w:r>
        <w:rPr>
          <w:sz w:val="20"/>
        </w:rPr>
        <w:t>or</w:t>
      </w:r>
      <w:r>
        <w:rPr>
          <w:spacing w:val="-3"/>
          <w:sz w:val="20"/>
        </w:rPr>
        <w:t xml:space="preserve"> </w:t>
      </w:r>
      <w:r>
        <w:rPr>
          <w:sz w:val="20"/>
        </w:rPr>
        <w:t>added</w:t>
      </w:r>
      <w:r>
        <w:rPr>
          <w:spacing w:val="-2"/>
          <w:sz w:val="20"/>
        </w:rPr>
        <w:t xml:space="preserve"> </w:t>
      </w:r>
      <w:r>
        <w:rPr>
          <w:sz w:val="20"/>
        </w:rPr>
        <w:t>by</w:t>
      </w:r>
      <w:r>
        <w:rPr>
          <w:spacing w:val="-2"/>
          <w:sz w:val="20"/>
        </w:rPr>
        <w:t xml:space="preserve"> </w:t>
      </w:r>
      <w:r>
        <w:rPr>
          <w:sz w:val="20"/>
        </w:rPr>
        <w:t xml:space="preserve">the CAA, that each state is enforcing either directly or through a collaborative enforcement agreement, and the provisions that CMS is enforcing. These letters also communicate whether the federal independent dispute resolution process and the federal patient-provider dispute resolution process apply in each state, and in what </w:t>
      </w:r>
      <w:bookmarkStart w:id="28" w:name="https://www.cms.gov/CCIIO/Programs-and-I"/>
      <w:bookmarkEnd w:id="28"/>
      <w:r>
        <w:rPr>
          <w:sz w:val="20"/>
        </w:rPr>
        <w:t xml:space="preserve">circumstances. Available online at: </w:t>
      </w:r>
      <w:hyperlink r:id="rId5">
        <w:r>
          <w:rPr>
            <w:color w:val="0462C1"/>
            <w:sz w:val="20"/>
            <w:u w:val="single" w:color="0462C1"/>
          </w:rPr>
          <w:t>https://www.cms.gov/CCIIO/Programs-and-Initiatives/Other-Insurance-</w:t>
        </w:r>
      </w:hyperlink>
      <w:r>
        <w:rPr>
          <w:color w:val="0462C1"/>
          <w:sz w:val="20"/>
        </w:rPr>
        <w:t xml:space="preserve"> </w:t>
      </w:r>
      <w:hyperlink r:id="rId5">
        <w:r>
          <w:rPr>
            <w:color w:val="0462C1"/>
            <w:spacing w:val="-2"/>
            <w:sz w:val="20"/>
            <w:u w:val="single" w:color="0462C1"/>
          </w:rPr>
          <w:t>Protections/CAA.</w:t>
        </w:r>
      </w:hyperlink>
    </w:p>
    <w:p w:rsidR="00B64E72" w14:paraId="39CAD743" w14:textId="77777777">
      <w:pPr>
        <w:rPr>
          <w:sz w:val="20"/>
        </w:rPr>
        <w:sectPr>
          <w:pgSz w:w="12240" w:h="15840"/>
          <w:pgMar w:top="1360" w:right="360" w:bottom="1280" w:left="360" w:header="0" w:footer="1094" w:gutter="0"/>
          <w:cols w:space="720"/>
        </w:sectPr>
      </w:pPr>
    </w:p>
    <w:p w:rsidR="00B64E72" w14:paraId="35B0FF7B" w14:textId="77777777">
      <w:pPr>
        <w:pStyle w:val="BodyText"/>
        <w:spacing w:before="79" w:line="259" w:lineRule="auto"/>
        <w:ind w:left="1488" w:right="1144"/>
      </w:pPr>
      <w:bookmarkStart w:id="29" w:name="section_9816(a)-(d)_of_the_Code,_section"/>
      <w:bookmarkEnd w:id="29"/>
      <w:r>
        <w:t>section</w:t>
      </w:r>
      <w:r>
        <w:rPr>
          <w:spacing w:val="-3"/>
        </w:rPr>
        <w:t xml:space="preserve"> </w:t>
      </w:r>
      <w:r>
        <w:t>9816(a)-(d)</w:t>
      </w:r>
      <w:r>
        <w:rPr>
          <w:spacing w:val="-5"/>
        </w:rPr>
        <w:t xml:space="preserve"> </w:t>
      </w:r>
      <w:r>
        <w:t>of</w:t>
      </w:r>
      <w:r>
        <w:rPr>
          <w:spacing w:val="-3"/>
        </w:rPr>
        <w:t xml:space="preserve"> </w:t>
      </w:r>
      <w:r>
        <w:t>the</w:t>
      </w:r>
      <w:r>
        <w:rPr>
          <w:spacing w:val="-5"/>
        </w:rPr>
        <w:t xml:space="preserve"> </w:t>
      </w:r>
      <w:r>
        <w:t>Code,</w:t>
      </w:r>
      <w:r>
        <w:rPr>
          <w:spacing w:val="-3"/>
        </w:rPr>
        <w:t xml:space="preserve"> </w:t>
      </w:r>
      <w:r>
        <w:t>section</w:t>
      </w:r>
      <w:r>
        <w:rPr>
          <w:spacing w:val="-3"/>
        </w:rPr>
        <w:t xml:space="preserve"> </w:t>
      </w:r>
      <w:r>
        <w:t>716(a)-(d)</w:t>
      </w:r>
      <w:r>
        <w:rPr>
          <w:spacing w:val="-3"/>
        </w:rPr>
        <w:t xml:space="preserve"> </w:t>
      </w:r>
      <w:r>
        <w:t>of</w:t>
      </w:r>
      <w:r>
        <w:rPr>
          <w:spacing w:val="-5"/>
        </w:rPr>
        <w:t xml:space="preserve"> </w:t>
      </w:r>
      <w:r>
        <w:t>ERISA,</w:t>
      </w:r>
      <w:r>
        <w:rPr>
          <w:spacing w:val="-3"/>
        </w:rPr>
        <w:t xml:space="preserve"> </w:t>
      </w:r>
      <w:r>
        <w:t>and</w:t>
      </w:r>
      <w:r>
        <w:rPr>
          <w:spacing w:val="-3"/>
        </w:rPr>
        <w:t xml:space="preserve"> </w:t>
      </w:r>
      <w:r>
        <w:t>section</w:t>
      </w:r>
      <w:r>
        <w:rPr>
          <w:spacing w:val="-3"/>
        </w:rPr>
        <w:t xml:space="preserve"> </w:t>
      </w:r>
      <w:r>
        <w:t>2799A-1(a)-(d)</w:t>
      </w:r>
      <w:r>
        <w:rPr>
          <w:spacing w:val="-5"/>
        </w:rPr>
        <w:t xml:space="preserve"> </w:t>
      </w:r>
      <w:r>
        <w:t>of the PHS Act. As required by 45 CFR 149.30, a self-insured plan that has chosen to opt in to a State law must prominently display in its plan materials describing the coverage of out-of- network services a statement that the plan has opted in to a specified State law, identify the relevant State (or States), and include a general description of the items and services provided by nonparticipating facilities and providers that</w:t>
      </w:r>
      <w:r>
        <w:t xml:space="preserve"> are covered by the specified State </w:t>
      </w:r>
      <w:r>
        <w:rPr>
          <w:spacing w:val="-4"/>
        </w:rPr>
        <w:t>law.</w:t>
      </w:r>
    </w:p>
    <w:p w:rsidR="00B64E72" w14:paraId="6245D8DD" w14:textId="77777777">
      <w:pPr>
        <w:pStyle w:val="BodyText"/>
        <w:spacing w:before="158" w:line="259" w:lineRule="auto"/>
        <w:ind w:left="1512" w:right="1099"/>
      </w:pPr>
      <w:bookmarkStart w:id="30" w:name="The_No_Surprises_Act_and_the_July_2021_i"/>
      <w:bookmarkEnd w:id="30"/>
      <w:r>
        <w:t>The No Surprises Act and the July 2021 interim final rules require that a plan or issuer providing coverage of emergency services do so without the individual or the health care provider having to obtain prior authorization and without regard to whether the health care provider or emergency facility furnishing the emergency services is a participating provider or a participating emergency facility with respect to the items or services (regardless of the department of the hospital in which such items and ser</w:t>
      </w:r>
      <w:r>
        <w:t>vices are furnished). Emergency services include any additional items and services that are covered under a plan or coverage after a participant, beneficiary, or enrollee is stabilized and as part of outpatient observation or an inpatient or outpatient stay with respect to the visit in which the other emergency services are furnished (referred to as post-stabilization services) unless certain notice and consent requirements are met. The No Surprises Act and the July 2021 interim final rules further</w:t>
      </w:r>
      <w:r>
        <w:rPr>
          <w:spacing w:val="-3"/>
        </w:rPr>
        <w:t xml:space="preserve"> </w:t>
      </w:r>
      <w:r>
        <w:t>apply</w:t>
      </w:r>
      <w:r>
        <w:rPr>
          <w:spacing w:val="-1"/>
        </w:rPr>
        <w:t xml:space="preserve"> </w:t>
      </w:r>
      <w:r>
        <w:t>su</w:t>
      </w:r>
      <w:r>
        <w:t>rprise</w:t>
      </w:r>
      <w:r>
        <w:rPr>
          <w:spacing w:val="-1"/>
        </w:rPr>
        <w:t xml:space="preserve"> </w:t>
      </w:r>
      <w:r>
        <w:t>billing</w:t>
      </w:r>
      <w:r>
        <w:rPr>
          <w:spacing w:val="-1"/>
        </w:rPr>
        <w:t xml:space="preserve"> </w:t>
      </w:r>
      <w:r>
        <w:t>protections</w:t>
      </w:r>
      <w:r>
        <w:rPr>
          <w:spacing w:val="-1"/>
        </w:rPr>
        <w:t xml:space="preserve"> </w:t>
      </w:r>
      <w:r>
        <w:t>in</w:t>
      </w:r>
      <w:r>
        <w:rPr>
          <w:spacing w:val="-1"/>
        </w:rPr>
        <w:t xml:space="preserve"> </w:t>
      </w:r>
      <w:r>
        <w:t>the</w:t>
      </w:r>
      <w:r>
        <w:rPr>
          <w:spacing w:val="-1"/>
        </w:rPr>
        <w:t xml:space="preserve"> </w:t>
      </w:r>
      <w:r>
        <w:t>case</w:t>
      </w:r>
      <w:r>
        <w:rPr>
          <w:spacing w:val="-2"/>
        </w:rPr>
        <w:t xml:space="preserve"> </w:t>
      </w:r>
      <w:r>
        <w:t>of</w:t>
      </w:r>
      <w:r>
        <w:rPr>
          <w:spacing w:val="-1"/>
        </w:rPr>
        <w:t xml:space="preserve"> </w:t>
      </w:r>
      <w:r>
        <w:t>non-emergency</w:t>
      </w:r>
      <w:r>
        <w:rPr>
          <w:spacing w:val="-1"/>
        </w:rPr>
        <w:t xml:space="preserve"> </w:t>
      </w:r>
      <w:r>
        <w:t>services</w:t>
      </w:r>
      <w:r>
        <w:rPr>
          <w:spacing w:val="-1"/>
        </w:rPr>
        <w:t xml:space="preserve"> </w:t>
      </w:r>
      <w:r>
        <w:t>furnished</w:t>
      </w:r>
      <w:r>
        <w:rPr>
          <w:spacing w:val="-1"/>
        </w:rPr>
        <w:t xml:space="preserve"> </w:t>
      </w:r>
      <w:r>
        <w:t>by nonparticipating providers with respect to a visit by a participant, beneficiary, or enrollee at certain types of participating health care facilities unless notice and consent requirements as specified in the July 2021 interim final rules have been met. The requirements related to the notice</w:t>
      </w:r>
      <w:r>
        <w:rPr>
          <w:spacing w:val="-4"/>
        </w:rPr>
        <w:t xml:space="preserve"> </w:t>
      </w:r>
      <w:r>
        <w:t>and</w:t>
      </w:r>
      <w:r>
        <w:rPr>
          <w:spacing w:val="-4"/>
        </w:rPr>
        <w:t xml:space="preserve"> </w:t>
      </w:r>
      <w:r>
        <w:t>consent,</w:t>
      </w:r>
      <w:r>
        <w:rPr>
          <w:spacing w:val="-2"/>
        </w:rPr>
        <w:t xml:space="preserve"> </w:t>
      </w:r>
      <w:r>
        <w:t>applicable</w:t>
      </w:r>
      <w:r>
        <w:rPr>
          <w:spacing w:val="-4"/>
        </w:rPr>
        <w:t xml:space="preserve"> </w:t>
      </w:r>
      <w:r>
        <w:t>exceptions</w:t>
      </w:r>
      <w:r>
        <w:rPr>
          <w:spacing w:val="-2"/>
        </w:rPr>
        <w:t xml:space="preserve"> </w:t>
      </w:r>
      <w:r>
        <w:t>to</w:t>
      </w:r>
      <w:r>
        <w:rPr>
          <w:spacing w:val="-4"/>
        </w:rPr>
        <w:t xml:space="preserve"> </w:t>
      </w:r>
      <w:r>
        <w:t>when</w:t>
      </w:r>
      <w:r>
        <w:rPr>
          <w:spacing w:val="-2"/>
        </w:rPr>
        <w:t xml:space="preserve"> </w:t>
      </w:r>
      <w:r>
        <w:t>consent</w:t>
      </w:r>
      <w:r>
        <w:rPr>
          <w:spacing w:val="-4"/>
        </w:rPr>
        <w:t xml:space="preserve"> </w:t>
      </w:r>
      <w:r>
        <w:t>may</w:t>
      </w:r>
      <w:r>
        <w:rPr>
          <w:spacing w:val="-4"/>
        </w:rPr>
        <w:t xml:space="preserve"> </w:t>
      </w:r>
      <w:r>
        <w:t>be</w:t>
      </w:r>
      <w:r>
        <w:rPr>
          <w:spacing w:val="-4"/>
        </w:rPr>
        <w:t xml:space="preserve"> </w:t>
      </w:r>
      <w:r>
        <w:t>sought,</w:t>
      </w:r>
      <w:r>
        <w:rPr>
          <w:spacing w:val="-2"/>
        </w:rPr>
        <w:t xml:space="preserve"> </w:t>
      </w:r>
      <w:r>
        <w:t>and</w:t>
      </w:r>
      <w:r>
        <w:rPr>
          <w:spacing w:val="-4"/>
        </w:rPr>
        <w:t xml:space="preserve"> </w:t>
      </w:r>
      <w:r>
        <w:t>timing</w:t>
      </w:r>
      <w:r>
        <w:rPr>
          <w:spacing w:val="-4"/>
        </w:rPr>
        <w:t xml:space="preserve"> </w:t>
      </w:r>
      <w:r>
        <w:t>are</w:t>
      </w:r>
      <w:r>
        <w:rPr>
          <w:spacing w:val="-5"/>
        </w:rPr>
        <w:t xml:space="preserve"> </w:t>
      </w:r>
      <w:r>
        <w:t>set forth in section 2799B-2 of the PHS Act and implemented</w:t>
      </w:r>
      <w:r>
        <w:t xml:space="preserve"> at 45 CFR 149.410 and 45 CFR</w:t>
      </w:r>
    </w:p>
    <w:p w:rsidR="00B64E72" w14:paraId="2C9D858E" w14:textId="77777777">
      <w:pPr>
        <w:pStyle w:val="BodyText"/>
        <w:spacing w:line="274" w:lineRule="exact"/>
        <w:ind w:left="1512"/>
      </w:pPr>
      <w:r>
        <w:t>149.420</w:t>
      </w:r>
      <w:r>
        <w:rPr>
          <w:spacing w:val="-3"/>
        </w:rPr>
        <w:t xml:space="preserve"> </w:t>
      </w:r>
      <w:r>
        <w:t>of</w:t>
      </w:r>
      <w:r>
        <w:rPr>
          <w:spacing w:val="-1"/>
        </w:rPr>
        <w:t xml:space="preserve"> </w:t>
      </w:r>
      <w:r>
        <w:t>the</w:t>
      </w:r>
      <w:r>
        <w:rPr>
          <w:spacing w:val="-1"/>
        </w:rPr>
        <w:t xml:space="preserve"> </w:t>
      </w:r>
      <w:r>
        <w:t>July</w:t>
      </w:r>
      <w:r>
        <w:rPr>
          <w:spacing w:val="-1"/>
        </w:rPr>
        <w:t xml:space="preserve"> </w:t>
      </w:r>
      <w:r>
        <w:t>2021 interim final</w:t>
      </w:r>
      <w:r>
        <w:rPr>
          <w:spacing w:val="1"/>
        </w:rPr>
        <w:t xml:space="preserve"> </w:t>
      </w:r>
      <w:r>
        <w:rPr>
          <w:spacing w:val="-2"/>
        </w:rPr>
        <w:t>rules.</w:t>
      </w:r>
    </w:p>
    <w:p w:rsidR="00B64E72" w14:paraId="32196850" w14:textId="77777777">
      <w:pPr>
        <w:pStyle w:val="BodyText"/>
        <w:spacing w:before="43"/>
      </w:pPr>
    </w:p>
    <w:p w:rsidR="00B64E72" w14:paraId="13C382BB" w14:textId="77777777">
      <w:pPr>
        <w:pStyle w:val="BodyText"/>
        <w:spacing w:line="259" w:lineRule="auto"/>
        <w:ind w:left="1512" w:right="1098"/>
      </w:pPr>
      <w:r>
        <w:t>In addition to providing the required notice and consent when permitted, in instances when the provider or facility chooses to do so, nonparticipating emergency facilities, participating health care facilities, and nonparticipating providers are obligated to retain written notice</w:t>
      </w:r>
      <w:r>
        <w:rPr>
          <w:spacing w:val="40"/>
        </w:rPr>
        <w:t xml:space="preserve"> </w:t>
      </w:r>
      <w:r>
        <w:t>and</w:t>
      </w:r>
      <w:r>
        <w:rPr>
          <w:spacing w:val="-3"/>
        </w:rPr>
        <w:t xml:space="preserve"> </w:t>
      </w:r>
      <w:r>
        <w:t>consent</w:t>
      </w:r>
      <w:r>
        <w:rPr>
          <w:spacing w:val="-3"/>
        </w:rPr>
        <w:t xml:space="preserve"> </w:t>
      </w:r>
      <w:r>
        <w:t>documents</w:t>
      </w:r>
      <w:r>
        <w:rPr>
          <w:spacing w:val="-3"/>
        </w:rPr>
        <w:t xml:space="preserve"> </w:t>
      </w:r>
      <w:r>
        <w:t>for</w:t>
      </w:r>
      <w:r>
        <w:rPr>
          <w:spacing w:val="-3"/>
        </w:rPr>
        <w:t xml:space="preserve"> </w:t>
      </w:r>
      <w:r>
        <w:t>at</w:t>
      </w:r>
      <w:r>
        <w:rPr>
          <w:spacing w:val="-3"/>
        </w:rPr>
        <w:t xml:space="preserve"> </w:t>
      </w:r>
      <w:r>
        <w:t>least</w:t>
      </w:r>
      <w:r>
        <w:rPr>
          <w:spacing w:val="-3"/>
        </w:rPr>
        <w:t xml:space="preserve"> </w:t>
      </w:r>
      <w:r>
        <w:t>a</w:t>
      </w:r>
      <w:r>
        <w:rPr>
          <w:spacing w:val="-3"/>
        </w:rPr>
        <w:t xml:space="preserve"> </w:t>
      </w:r>
      <w:r>
        <w:t>7-year</w:t>
      </w:r>
      <w:r>
        <w:rPr>
          <w:spacing w:val="-3"/>
        </w:rPr>
        <w:t xml:space="preserve"> </w:t>
      </w:r>
      <w:r>
        <w:t>period</w:t>
      </w:r>
      <w:r>
        <w:rPr>
          <w:spacing w:val="-2"/>
        </w:rPr>
        <w:t xml:space="preserve"> </w:t>
      </w:r>
      <w:r>
        <w:t>after</w:t>
      </w:r>
      <w:r>
        <w:rPr>
          <w:spacing w:val="-3"/>
        </w:rPr>
        <w:t xml:space="preserve"> </w:t>
      </w:r>
      <w:r>
        <w:t>the</w:t>
      </w:r>
      <w:r>
        <w:rPr>
          <w:spacing w:val="-5"/>
        </w:rPr>
        <w:t xml:space="preserve"> </w:t>
      </w:r>
      <w:r>
        <w:t>date</w:t>
      </w:r>
      <w:r>
        <w:rPr>
          <w:spacing w:val="-3"/>
        </w:rPr>
        <w:t xml:space="preserve"> </w:t>
      </w:r>
      <w:r>
        <w:t>on</w:t>
      </w:r>
      <w:r>
        <w:rPr>
          <w:spacing w:val="-3"/>
        </w:rPr>
        <w:t xml:space="preserve"> </w:t>
      </w:r>
      <w:r>
        <w:t>which</w:t>
      </w:r>
      <w:r>
        <w:rPr>
          <w:spacing w:val="-3"/>
        </w:rPr>
        <w:t xml:space="preserve"> </w:t>
      </w:r>
      <w:r>
        <w:t>the</w:t>
      </w:r>
      <w:r>
        <w:rPr>
          <w:spacing w:val="-4"/>
        </w:rPr>
        <w:t xml:space="preserve"> </w:t>
      </w:r>
      <w:r>
        <w:t>item</w:t>
      </w:r>
      <w:r>
        <w:rPr>
          <w:spacing w:val="-3"/>
        </w:rPr>
        <w:t xml:space="preserve"> </w:t>
      </w:r>
      <w:r>
        <w:t>or</w:t>
      </w:r>
      <w:r>
        <w:rPr>
          <w:spacing w:val="-3"/>
        </w:rPr>
        <w:t xml:space="preserve"> </w:t>
      </w:r>
      <w:r>
        <w:t>service in question was furnished. Where the notice and consent requirements described in the July 2021 interim final rules have been met, the nonparticipating provider, the participating</w:t>
      </w:r>
      <w:r>
        <w:rPr>
          <w:spacing w:val="40"/>
        </w:rPr>
        <w:t xml:space="preserve"> </w:t>
      </w:r>
      <w:r>
        <w:t>health care facility on behalf of the nonparticipating provider, or the nonparticipating emergency facility, as applicable, must timely notify the</w:t>
      </w:r>
      <w:r>
        <w:rPr>
          <w:spacing w:val="-1"/>
        </w:rPr>
        <w:t xml:space="preserve"> </w:t>
      </w:r>
      <w:r>
        <w:t>plan or</w:t>
      </w:r>
      <w:r>
        <w:rPr>
          <w:spacing w:val="-1"/>
        </w:rPr>
        <w:t xml:space="preserve"> </w:t>
      </w:r>
      <w:r>
        <w:t xml:space="preserve">issuer, respectively, that the notice and consent criteria have been met, and if </w:t>
      </w:r>
      <w:r>
        <w:t>applicable, provide to the plan or issuer a signed copy of the notice and consent documents. In addition, for items and services furnished by a nonparticipating provider at a participating health care facility, the provider (or the participating facility on behalf of the provider) must timely notify the plan or issuer that the item or service was furnished during a visit at a participating health care facility.</w:t>
      </w:r>
    </w:p>
    <w:p w:rsidR="00B64E72" w14:paraId="4E7B0637" w14:textId="77777777">
      <w:pPr>
        <w:pStyle w:val="BodyText"/>
        <w:spacing w:line="259" w:lineRule="auto"/>
        <w:sectPr>
          <w:pgSz w:w="12240" w:h="15840"/>
          <w:pgMar w:top="1360" w:right="360" w:bottom="1280" w:left="360" w:header="0" w:footer="1094" w:gutter="0"/>
          <w:cols w:space="720"/>
        </w:sectPr>
      </w:pPr>
    </w:p>
    <w:p w:rsidR="00B64E72" w14:paraId="60AA545B" w14:textId="77777777">
      <w:pPr>
        <w:pStyle w:val="BodyText"/>
        <w:spacing w:before="79" w:line="247" w:lineRule="auto"/>
        <w:ind w:left="1507" w:right="1099" w:hanging="10"/>
      </w:pPr>
      <w:r>
        <w:t>Section 2799B-3 of the PHS Act, as added by the No Surprises Act and codified at 45 CFR 149.430,</w:t>
      </w:r>
      <w:r>
        <w:rPr>
          <w:spacing w:val="-5"/>
        </w:rPr>
        <w:t xml:space="preserve"> </w:t>
      </w:r>
      <w:r>
        <w:t>requires</w:t>
      </w:r>
      <w:r>
        <w:rPr>
          <w:spacing w:val="-5"/>
        </w:rPr>
        <w:t xml:space="preserve"> </w:t>
      </w:r>
      <w:r>
        <w:t>providers</w:t>
      </w:r>
      <w:r>
        <w:rPr>
          <w:spacing w:val="-5"/>
        </w:rPr>
        <w:t xml:space="preserve"> </w:t>
      </w:r>
      <w:r>
        <w:t>and</w:t>
      </w:r>
      <w:r>
        <w:rPr>
          <w:spacing w:val="-5"/>
        </w:rPr>
        <w:t xml:space="preserve"> </w:t>
      </w:r>
      <w:r>
        <w:t>facilities</w:t>
      </w:r>
      <w:r>
        <w:rPr>
          <w:spacing w:val="-5"/>
        </w:rPr>
        <w:t xml:space="preserve"> </w:t>
      </w:r>
      <w:r>
        <w:t>to</w:t>
      </w:r>
      <w:r>
        <w:rPr>
          <w:spacing w:val="-5"/>
        </w:rPr>
        <w:t xml:space="preserve"> </w:t>
      </w:r>
      <w:r>
        <w:t>provide</w:t>
      </w:r>
      <w:r>
        <w:rPr>
          <w:spacing w:val="-6"/>
        </w:rPr>
        <w:t xml:space="preserve"> </w:t>
      </w:r>
      <w:r>
        <w:t>disclosures</w:t>
      </w:r>
      <w:r>
        <w:rPr>
          <w:spacing w:val="-5"/>
        </w:rPr>
        <w:t xml:space="preserve"> </w:t>
      </w:r>
      <w:r>
        <w:t>regarding</w:t>
      </w:r>
      <w:r>
        <w:rPr>
          <w:spacing w:val="-1"/>
        </w:rPr>
        <w:t xml:space="preserve"> </w:t>
      </w:r>
      <w:r>
        <w:t>patient</w:t>
      </w:r>
      <w:r>
        <w:rPr>
          <w:spacing w:val="-5"/>
        </w:rPr>
        <w:t xml:space="preserve"> </w:t>
      </w:r>
      <w:r>
        <w:t>protections against balance billing. Specifically, health care providers and facilities (including an emergency department of a hospital or independent freestanding emergency department) are required to make publicly available, post on a public website of the provider or facility, and provide to participants, beneficiaries, and enrollees a one-page notice about surprise billing protections. The required notice must include clear and</w:t>
      </w:r>
      <w:r>
        <w:t xml:space="preserve"> understandable language that explains the requirements and prohibitions relating to the prohibitions on balance billing in cases of emergency services and in cases of non-emergency services performed by a nonparticipating provider with respect to patient visits to certain types of participating facilities, explain any other applicable state laws, and provide contact information for the appropriate state and federal agencies that an individual may contact if they believe the provider or facility has violate</w:t>
      </w:r>
      <w:r>
        <w:t>d a requirement described in the notice.</w:t>
      </w:r>
    </w:p>
    <w:p w:rsidR="00B64E72" w14:paraId="017301E0" w14:textId="77777777">
      <w:pPr>
        <w:pStyle w:val="BodyText"/>
        <w:spacing w:before="28"/>
      </w:pPr>
    </w:p>
    <w:p w:rsidR="00B64E72" w14:paraId="341BA78C" w14:textId="77777777">
      <w:pPr>
        <w:pStyle w:val="BodyText"/>
        <w:spacing w:line="247" w:lineRule="auto"/>
        <w:ind w:left="1507" w:right="1102" w:hanging="10"/>
      </w:pPr>
      <w:bookmarkStart w:id="31" w:name="Section_9820(c)_of_the_Code,_section_720"/>
      <w:bookmarkEnd w:id="31"/>
      <w:r>
        <w:t>Section 9820(c) of the Code, section 720(c) of ERISA, and section 2799A-5(c) of the PHS Act</w:t>
      </w:r>
      <w:r>
        <w:rPr>
          <w:spacing w:val="-2"/>
        </w:rPr>
        <w:t xml:space="preserve"> </w:t>
      </w:r>
      <w:r>
        <w:t>require</w:t>
      </w:r>
      <w:r>
        <w:rPr>
          <w:spacing w:val="-3"/>
        </w:rPr>
        <w:t xml:space="preserve"> </w:t>
      </w:r>
      <w:r>
        <w:t>plans</w:t>
      </w:r>
      <w:r>
        <w:rPr>
          <w:spacing w:val="-2"/>
        </w:rPr>
        <w:t xml:space="preserve"> </w:t>
      </w:r>
      <w:r>
        <w:t>and</w:t>
      </w:r>
      <w:r>
        <w:rPr>
          <w:spacing w:val="-2"/>
        </w:rPr>
        <w:t xml:space="preserve"> </w:t>
      </w:r>
      <w:r>
        <w:t>issuers</w:t>
      </w:r>
      <w:r>
        <w:rPr>
          <w:spacing w:val="-2"/>
        </w:rPr>
        <w:t xml:space="preserve"> </w:t>
      </w:r>
      <w:r>
        <w:t>to</w:t>
      </w:r>
      <w:r>
        <w:rPr>
          <w:spacing w:val="-2"/>
        </w:rPr>
        <w:t xml:space="preserve"> </w:t>
      </w:r>
      <w:r>
        <w:t>make</w:t>
      </w:r>
      <w:r>
        <w:rPr>
          <w:spacing w:val="-4"/>
        </w:rPr>
        <w:t xml:space="preserve"> </w:t>
      </w:r>
      <w:r>
        <w:t>publicly</w:t>
      </w:r>
      <w:r>
        <w:rPr>
          <w:spacing w:val="-2"/>
        </w:rPr>
        <w:t xml:space="preserve"> </w:t>
      </w:r>
      <w:r>
        <w:t>available,</w:t>
      </w:r>
      <w:r>
        <w:rPr>
          <w:spacing w:val="-2"/>
        </w:rPr>
        <w:t xml:space="preserve"> </w:t>
      </w:r>
      <w:r>
        <w:t>post</w:t>
      </w:r>
      <w:r>
        <w:rPr>
          <w:spacing w:val="-2"/>
        </w:rPr>
        <w:t xml:space="preserve"> </w:t>
      </w:r>
      <w:r>
        <w:t>on</w:t>
      </w:r>
      <w:r>
        <w:rPr>
          <w:spacing w:val="-2"/>
        </w:rPr>
        <w:t xml:space="preserve"> </w:t>
      </w:r>
      <w:r>
        <w:t>a</w:t>
      </w:r>
      <w:r>
        <w:rPr>
          <w:spacing w:val="-3"/>
        </w:rPr>
        <w:t xml:space="preserve"> </w:t>
      </w:r>
      <w:r>
        <w:t>public</w:t>
      </w:r>
      <w:r>
        <w:rPr>
          <w:spacing w:val="-1"/>
        </w:rPr>
        <w:t xml:space="preserve"> </w:t>
      </w:r>
      <w:r>
        <w:t>website</w:t>
      </w:r>
      <w:r>
        <w:rPr>
          <w:spacing w:val="-3"/>
        </w:rPr>
        <w:t xml:space="preserve"> </w:t>
      </w:r>
      <w:r>
        <w:t>of</w:t>
      </w:r>
      <w:r>
        <w:rPr>
          <w:spacing w:val="-2"/>
        </w:rPr>
        <w:t xml:space="preserve"> </w:t>
      </w:r>
      <w:r>
        <w:t>the</w:t>
      </w:r>
      <w:r>
        <w:rPr>
          <w:spacing w:val="-4"/>
        </w:rPr>
        <w:t xml:space="preserve"> </w:t>
      </w:r>
      <w:r>
        <w:t>plan or issuer, and include on each explanation of benefits for an item or service with respect to which the requirements under section 9816 of the Code, section 716 of ERISA, and section 2799A-1 of the PHS Act apply, information in plain language on the provisions in those sections,</w:t>
      </w:r>
      <w:r>
        <w:rPr>
          <w:spacing w:val="-3"/>
        </w:rPr>
        <w:t xml:space="preserve"> </w:t>
      </w:r>
      <w:r>
        <w:t>and</w:t>
      </w:r>
      <w:r>
        <w:rPr>
          <w:spacing w:val="-3"/>
        </w:rPr>
        <w:t xml:space="preserve"> </w:t>
      </w:r>
      <w:r>
        <w:t>sections</w:t>
      </w:r>
      <w:r>
        <w:rPr>
          <w:spacing w:val="-3"/>
        </w:rPr>
        <w:t xml:space="preserve"> </w:t>
      </w:r>
      <w:r>
        <w:t>2799B-1</w:t>
      </w:r>
      <w:r>
        <w:rPr>
          <w:spacing w:val="-3"/>
        </w:rPr>
        <w:t xml:space="preserve"> </w:t>
      </w:r>
      <w:r>
        <w:t>and</w:t>
      </w:r>
      <w:r>
        <w:rPr>
          <w:spacing w:val="-3"/>
        </w:rPr>
        <w:t xml:space="preserve"> </w:t>
      </w:r>
      <w:r>
        <w:t>2799B-2</w:t>
      </w:r>
      <w:r>
        <w:rPr>
          <w:spacing w:val="-3"/>
        </w:rPr>
        <w:t xml:space="preserve"> </w:t>
      </w:r>
      <w:r>
        <w:t>of</w:t>
      </w:r>
      <w:r>
        <w:rPr>
          <w:spacing w:val="-3"/>
        </w:rPr>
        <w:t xml:space="preserve"> </w:t>
      </w:r>
      <w:r>
        <w:t>the</w:t>
      </w:r>
      <w:r>
        <w:rPr>
          <w:spacing w:val="-4"/>
        </w:rPr>
        <w:t xml:space="preserve"> </w:t>
      </w:r>
      <w:r>
        <w:t>PHS</w:t>
      </w:r>
      <w:r>
        <w:rPr>
          <w:spacing w:val="-3"/>
        </w:rPr>
        <w:t xml:space="preserve"> </w:t>
      </w:r>
      <w:r>
        <w:t>Act,</w:t>
      </w:r>
      <w:r>
        <w:rPr>
          <w:spacing w:val="-2"/>
        </w:rPr>
        <w:t xml:space="preserve"> </w:t>
      </w:r>
      <w:r>
        <w:t>and</w:t>
      </w:r>
      <w:r>
        <w:rPr>
          <w:spacing w:val="-3"/>
        </w:rPr>
        <w:t xml:space="preserve"> </w:t>
      </w:r>
      <w:r>
        <w:t>other</w:t>
      </w:r>
      <w:r>
        <w:rPr>
          <w:spacing w:val="-3"/>
        </w:rPr>
        <w:t xml:space="preserve"> </w:t>
      </w:r>
      <w:r>
        <w:t>applicable</w:t>
      </w:r>
      <w:r>
        <w:rPr>
          <w:spacing w:val="-2"/>
        </w:rPr>
        <w:t xml:space="preserve"> </w:t>
      </w:r>
      <w:r>
        <w:t>State</w:t>
      </w:r>
      <w:r>
        <w:rPr>
          <w:spacing w:val="-4"/>
        </w:rPr>
        <w:t xml:space="preserve"> </w:t>
      </w:r>
      <w:r>
        <w:t>laws on out-of-network balance billing, as well as information on contacting appropriate State</w:t>
      </w:r>
      <w:r>
        <w:rPr>
          <w:spacing w:val="40"/>
        </w:rPr>
        <w:t xml:space="preserve"> </w:t>
      </w:r>
      <w:r>
        <w:t>and Federal agencies in the case that an individual beli</w:t>
      </w:r>
      <w:r>
        <w:t>eves that such a provider or facility has violated the prohibition against balance billing.</w:t>
      </w:r>
    </w:p>
    <w:p w:rsidR="00B64E72" w14:paraId="23F7700B" w14:textId="77777777">
      <w:pPr>
        <w:pStyle w:val="BodyText"/>
        <w:spacing w:before="24"/>
      </w:pPr>
    </w:p>
    <w:p w:rsidR="00B64E72" w14:paraId="66920E3A" w14:textId="77777777">
      <w:pPr>
        <w:pStyle w:val="ListParagraph"/>
        <w:numPr>
          <w:ilvl w:val="1"/>
          <w:numId w:val="3"/>
        </w:numPr>
        <w:tabs>
          <w:tab w:val="left" w:pos="1488"/>
        </w:tabs>
        <w:rPr>
          <w:sz w:val="24"/>
          <w:u w:val="none"/>
        </w:rPr>
      </w:pPr>
      <w:bookmarkStart w:id="32" w:name="2._Information_Users__"/>
      <w:bookmarkEnd w:id="32"/>
      <w:r>
        <w:rPr>
          <w:sz w:val="24"/>
        </w:rPr>
        <w:t>Information</w:t>
      </w:r>
      <w:r>
        <w:rPr>
          <w:spacing w:val="-4"/>
          <w:sz w:val="24"/>
        </w:rPr>
        <w:t xml:space="preserve"> </w:t>
      </w:r>
      <w:r>
        <w:rPr>
          <w:spacing w:val="-2"/>
          <w:sz w:val="24"/>
        </w:rPr>
        <w:t>Users</w:t>
      </w:r>
    </w:p>
    <w:p w:rsidR="00B64E72" w14:paraId="0C38C06C" w14:textId="77777777">
      <w:pPr>
        <w:pStyle w:val="BodyText"/>
        <w:spacing w:before="44"/>
      </w:pPr>
    </w:p>
    <w:p w:rsidR="00B64E72" w14:paraId="783A95E5" w14:textId="77777777">
      <w:pPr>
        <w:pStyle w:val="BodyText"/>
        <w:spacing w:line="259" w:lineRule="auto"/>
        <w:ind w:left="1531" w:right="1623"/>
        <w:jc w:val="both"/>
      </w:pPr>
      <w:bookmarkStart w:id="33" w:name="The_information_regarding_the_QPA_provid"/>
      <w:bookmarkEnd w:id="33"/>
      <w:r>
        <w:t>The information regarding the QPA provided by plans and issuers to nonparticipating providers, nonparticipating emergency facilities, and nonparticipating providers of air ambulance</w:t>
      </w:r>
      <w:r>
        <w:rPr>
          <w:spacing w:val="-5"/>
        </w:rPr>
        <w:t xml:space="preserve"> </w:t>
      </w:r>
      <w:r>
        <w:t>services</w:t>
      </w:r>
      <w:r>
        <w:rPr>
          <w:spacing w:val="-1"/>
        </w:rPr>
        <w:t xml:space="preserve"> </w:t>
      </w:r>
      <w:r>
        <w:t>will</w:t>
      </w:r>
      <w:r>
        <w:rPr>
          <w:spacing w:val="3"/>
        </w:rPr>
        <w:t xml:space="preserve"> </w:t>
      </w:r>
      <w:r>
        <w:t>provide</w:t>
      </w:r>
      <w:r>
        <w:rPr>
          <w:spacing w:val="-3"/>
        </w:rPr>
        <w:t xml:space="preserve"> </w:t>
      </w:r>
      <w:r>
        <w:t>transparency</w:t>
      </w:r>
      <w:r>
        <w:rPr>
          <w:spacing w:val="1"/>
        </w:rPr>
        <w:t xml:space="preserve"> </w:t>
      </w:r>
      <w:r>
        <w:t>regarding</w:t>
      </w:r>
      <w:r>
        <w:rPr>
          <w:spacing w:val="-1"/>
        </w:rPr>
        <w:t xml:space="preserve"> </w:t>
      </w:r>
      <w:r>
        <w:t>how</w:t>
      </w:r>
      <w:r>
        <w:rPr>
          <w:spacing w:val="-2"/>
        </w:rPr>
        <w:t xml:space="preserve"> </w:t>
      </w:r>
      <w:r>
        <w:t>the</w:t>
      </w:r>
      <w:r>
        <w:rPr>
          <w:spacing w:val="-1"/>
        </w:rPr>
        <w:t xml:space="preserve"> </w:t>
      </w:r>
      <w:r>
        <w:t>QPA</w:t>
      </w:r>
      <w:r>
        <w:rPr>
          <w:spacing w:val="-1"/>
        </w:rPr>
        <w:t xml:space="preserve"> </w:t>
      </w:r>
      <w:r>
        <w:t>was</w:t>
      </w:r>
      <w:r>
        <w:rPr>
          <w:spacing w:val="-1"/>
        </w:rPr>
        <w:t xml:space="preserve"> </w:t>
      </w:r>
      <w:r>
        <w:rPr>
          <w:spacing w:val="-2"/>
        </w:rPr>
        <w:t>determined.</w:t>
      </w:r>
    </w:p>
    <w:p w:rsidR="00B64E72" w14:paraId="7A9567E7" w14:textId="77777777">
      <w:pPr>
        <w:pStyle w:val="BodyText"/>
        <w:spacing w:before="20"/>
      </w:pPr>
    </w:p>
    <w:p w:rsidR="00B64E72" w14:paraId="50BFF08B" w14:textId="77777777">
      <w:pPr>
        <w:pStyle w:val="BodyText"/>
        <w:spacing w:line="259" w:lineRule="auto"/>
        <w:ind w:left="1531" w:right="1099"/>
      </w:pPr>
      <w:bookmarkStart w:id="34" w:name="The_requirement_for_plans_and_issuers_to"/>
      <w:bookmarkEnd w:id="34"/>
      <w:r>
        <w:t>The</w:t>
      </w:r>
      <w:r>
        <w:rPr>
          <w:spacing w:val="-4"/>
        </w:rPr>
        <w:t xml:space="preserve"> </w:t>
      </w:r>
      <w:r>
        <w:t>requirement</w:t>
      </w:r>
      <w:r>
        <w:rPr>
          <w:spacing w:val="-2"/>
        </w:rPr>
        <w:t xml:space="preserve"> </w:t>
      </w:r>
      <w:r>
        <w:t>for</w:t>
      </w:r>
      <w:r>
        <w:rPr>
          <w:spacing w:val="-4"/>
        </w:rPr>
        <w:t xml:space="preserve"> </w:t>
      </w:r>
      <w:r>
        <w:t>plans</w:t>
      </w:r>
      <w:r>
        <w:rPr>
          <w:spacing w:val="-2"/>
        </w:rPr>
        <w:t xml:space="preserve"> </w:t>
      </w:r>
      <w:r>
        <w:t>and</w:t>
      </w:r>
      <w:r>
        <w:rPr>
          <w:spacing w:val="-2"/>
        </w:rPr>
        <w:t xml:space="preserve"> </w:t>
      </w:r>
      <w:r>
        <w:t>issuers</w:t>
      </w:r>
      <w:r>
        <w:rPr>
          <w:spacing w:val="-2"/>
        </w:rPr>
        <w:t xml:space="preserve"> </w:t>
      </w:r>
      <w:r>
        <w:t>to</w:t>
      </w:r>
      <w:r>
        <w:rPr>
          <w:spacing w:val="-2"/>
        </w:rPr>
        <w:t xml:space="preserve"> </w:t>
      </w:r>
      <w:r>
        <w:t>disclose</w:t>
      </w:r>
      <w:r>
        <w:rPr>
          <w:spacing w:val="-2"/>
        </w:rPr>
        <w:t xml:space="preserve"> </w:t>
      </w:r>
      <w:r>
        <w:t>information</w:t>
      </w:r>
      <w:r>
        <w:rPr>
          <w:spacing w:val="-2"/>
        </w:rPr>
        <w:t xml:space="preserve"> </w:t>
      </w:r>
      <w:r>
        <w:t>related</w:t>
      </w:r>
      <w:r>
        <w:rPr>
          <w:spacing w:val="-2"/>
        </w:rPr>
        <w:t xml:space="preserve"> </w:t>
      </w:r>
      <w:r>
        <w:t>to</w:t>
      </w:r>
      <w:r>
        <w:rPr>
          <w:spacing w:val="-2"/>
        </w:rPr>
        <w:t xml:space="preserve"> </w:t>
      </w:r>
      <w:r>
        <w:t>downcoded</w:t>
      </w:r>
      <w:r>
        <w:rPr>
          <w:spacing w:val="-2"/>
        </w:rPr>
        <w:t xml:space="preserve"> </w:t>
      </w:r>
      <w:r>
        <w:t>claims may</w:t>
      </w:r>
      <w:r>
        <w:rPr>
          <w:spacing w:val="-4"/>
        </w:rPr>
        <w:t xml:space="preserve"> </w:t>
      </w:r>
      <w:r>
        <w:t>assist</w:t>
      </w:r>
      <w:r>
        <w:rPr>
          <w:spacing w:val="-4"/>
        </w:rPr>
        <w:t xml:space="preserve"> </w:t>
      </w:r>
      <w:r>
        <w:t>nonparticipating</w:t>
      </w:r>
      <w:r>
        <w:rPr>
          <w:spacing w:val="-4"/>
        </w:rPr>
        <w:t xml:space="preserve"> </w:t>
      </w:r>
      <w:r>
        <w:t>providers,</w:t>
      </w:r>
      <w:r>
        <w:rPr>
          <w:spacing w:val="-4"/>
        </w:rPr>
        <w:t xml:space="preserve"> </w:t>
      </w:r>
      <w:r>
        <w:t>facilities,</w:t>
      </w:r>
      <w:r>
        <w:rPr>
          <w:spacing w:val="-5"/>
        </w:rPr>
        <w:t xml:space="preserve"> </w:t>
      </w:r>
      <w:r>
        <w:t>and</w:t>
      </w:r>
      <w:r>
        <w:rPr>
          <w:spacing w:val="-4"/>
        </w:rPr>
        <w:t xml:space="preserve"> </w:t>
      </w:r>
      <w:r>
        <w:t>providers</w:t>
      </w:r>
      <w:r>
        <w:rPr>
          <w:spacing w:val="-4"/>
        </w:rPr>
        <w:t xml:space="preserve"> </w:t>
      </w:r>
      <w:r>
        <w:t>of</w:t>
      </w:r>
      <w:r>
        <w:rPr>
          <w:spacing w:val="-4"/>
        </w:rPr>
        <w:t xml:space="preserve"> </w:t>
      </w:r>
      <w:r>
        <w:t>air</w:t>
      </w:r>
      <w:r>
        <w:rPr>
          <w:spacing w:val="-4"/>
        </w:rPr>
        <w:t xml:space="preserve"> </w:t>
      </w:r>
      <w:r>
        <w:t>ambulance</w:t>
      </w:r>
      <w:r>
        <w:rPr>
          <w:spacing w:val="-5"/>
        </w:rPr>
        <w:t xml:space="preserve"> </w:t>
      </w:r>
      <w:r>
        <w:t>services</w:t>
      </w:r>
      <w:r>
        <w:rPr>
          <w:spacing w:val="-1"/>
        </w:rPr>
        <w:t xml:space="preserve"> </w:t>
      </w:r>
      <w:r>
        <w:t xml:space="preserve">in their meaningful participation in open negotiation and in the Federal IDR process in all payment disputes that involve qualified items or services subject to </w:t>
      </w:r>
      <w:r>
        <w:t>downcoding</w:t>
      </w:r>
      <w:r>
        <w:t>.</w:t>
      </w:r>
    </w:p>
    <w:p w:rsidR="00B64E72" w14:paraId="6E7BE66D" w14:textId="77777777">
      <w:pPr>
        <w:pStyle w:val="BodyText"/>
        <w:spacing w:before="1" w:line="259" w:lineRule="auto"/>
        <w:ind w:left="1531" w:right="1112"/>
      </w:pPr>
      <w:r>
        <w:t xml:space="preserve">Specifically, in cases in which the plan or issuer has </w:t>
      </w:r>
      <w:r>
        <w:t>downcoded</w:t>
      </w:r>
      <w:r>
        <w:t xml:space="preserve"> the billed claim, this information will ensure that the provider, facility, or provider of air ambulance services has information</w:t>
      </w:r>
      <w:r>
        <w:rPr>
          <w:spacing w:val="-4"/>
        </w:rPr>
        <w:t xml:space="preserve"> </w:t>
      </w:r>
      <w:r>
        <w:t>regarding</w:t>
      </w:r>
      <w:r>
        <w:rPr>
          <w:spacing w:val="-4"/>
        </w:rPr>
        <w:t xml:space="preserve"> </w:t>
      </w:r>
      <w:r>
        <w:t>both</w:t>
      </w:r>
      <w:r>
        <w:rPr>
          <w:spacing w:val="-3"/>
        </w:rPr>
        <w:t xml:space="preserve"> </w:t>
      </w:r>
      <w:r>
        <w:t>the</w:t>
      </w:r>
      <w:r>
        <w:rPr>
          <w:spacing w:val="-4"/>
        </w:rPr>
        <w:t xml:space="preserve"> </w:t>
      </w:r>
      <w:r>
        <w:t>QPA</w:t>
      </w:r>
      <w:r>
        <w:rPr>
          <w:spacing w:val="-4"/>
        </w:rPr>
        <w:t xml:space="preserve"> </w:t>
      </w:r>
      <w:r>
        <w:t>(based</w:t>
      </w:r>
      <w:r>
        <w:rPr>
          <w:spacing w:val="-4"/>
        </w:rPr>
        <w:t xml:space="preserve"> </w:t>
      </w:r>
      <w:r>
        <w:t>on</w:t>
      </w:r>
      <w:r>
        <w:rPr>
          <w:spacing w:val="-4"/>
        </w:rPr>
        <w:t xml:space="preserve"> </w:t>
      </w:r>
      <w:r>
        <w:t>the</w:t>
      </w:r>
      <w:r>
        <w:rPr>
          <w:spacing w:val="-2"/>
        </w:rPr>
        <w:t xml:space="preserve"> </w:t>
      </w:r>
      <w:r>
        <w:t>downcoded</w:t>
      </w:r>
      <w:r>
        <w:rPr>
          <w:spacing w:val="-4"/>
        </w:rPr>
        <w:t xml:space="preserve"> </w:t>
      </w:r>
      <w:r>
        <w:t>service</w:t>
      </w:r>
      <w:r>
        <w:rPr>
          <w:spacing w:val="-3"/>
        </w:rPr>
        <w:t xml:space="preserve"> </w:t>
      </w:r>
      <w:r>
        <w:t>code</w:t>
      </w:r>
      <w:r>
        <w:rPr>
          <w:spacing w:val="-3"/>
        </w:rPr>
        <w:t xml:space="preserve"> </w:t>
      </w:r>
      <w:r>
        <w:t>or</w:t>
      </w:r>
      <w:r>
        <w:rPr>
          <w:spacing w:val="-4"/>
        </w:rPr>
        <w:t xml:space="preserve"> </w:t>
      </w:r>
      <w:r>
        <w:t>modifier)</w:t>
      </w:r>
      <w:r>
        <w:rPr>
          <w:spacing w:val="-4"/>
        </w:rPr>
        <w:t xml:space="preserve"> </w:t>
      </w:r>
      <w:r>
        <w:t xml:space="preserve">and the amount that would have been the QPA had the service code or modifier not been </w:t>
      </w:r>
      <w:r>
        <w:t>downcoded</w:t>
      </w:r>
      <w:r>
        <w:t xml:space="preserve"> in order to ascertain what information will demonstrate that the provider’s, facility’s, or provider of air ambulance services’ offer best represents the value of the item or service and aid the certifie</w:t>
      </w:r>
      <w:r>
        <w:t>d IDR entity in selecting an offer that best represents the value of the item or service provided.</w:t>
      </w:r>
    </w:p>
    <w:p w:rsidR="00B64E72" w14:paraId="2243CCF3" w14:textId="77777777">
      <w:pPr>
        <w:pStyle w:val="BodyText"/>
        <w:spacing w:line="259" w:lineRule="auto"/>
        <w:sectPr>
          <w:pgSz w:w="12240" w:h="15840"/>
          <w:pgMar w:top="1360" w:right="360" w:bottom="1280" w:left="360" w:header="0" w:footer="1094" w:gutter="0"/>
          <w:cols w:space="720"/>
        </w:sectPr>
      </w:pPr>
    </w:p>
    <w:p w:rsidR="00B64E72" w14:paraId="1E1A48BE" w14:textId="77777777">
      <w:pPr>
        <w:pStyle w:val="BodyText"/>
        <w:spacing w:before="77" w:line="259" w:lineRule="auto"/>
        <w:ind w:left="1531" w:right="1369"/>
      </w:pPr>
      <w:bookmarkStart w:id="35" w:name="For_self-insured_plans_that_opt_in_to_St"/>
      <w:bookmarkEnd w:id="35"/>
      <w:r>
        <w:t>For self-insured plans that opt in to State law, the disclosure regarding the opt-in will provide</w:t>
      </w:r>
      <w:r>
        <w:rPr>
          <w:spacing w:val="-7"/>
        </w:rPr>
        <w:t xml:space="preserve"> </w:t>
      </w:r>
      <w:r>
        <w:t>information</w:t>
      </w:r>
      <w:r>
        <w:rPr>
          <w:spacing w:val="-5"/>
        </w:rPr>
        <w:t xml:space="preserve"> </w:t>
      </w:r>
      <w:r>
        <w:t>to</w:t>
      </w:r>
      <w:r>
        <w:rPr>
          <w:spacing w:val="-5"/>
        </w:rPr>
        <w:t xml:space="preserve"> </w:t>
      </w:r>
      <w:r>
        <w:t>participants</w:t>
      </w:r>
      <w:r>
        <w:rPr>
          <w:spacing w:val="-5"/>
        </w:rPr>
        <w:t xml:space="preserve"> </w:t>
      </w:r>
      <w:r>
        <w:t>and</w:t>
      </w:r>
      <w:r>
        <w:rPr>
          <w:spacing w:val="-5"/>
        </w:rPr>
        <w:t xml:space="preserve"> </w:t>
      </w:r>
      <w:r>
        <w:t>beneficiaries</w:t>
      </w:r>
      <w:r>
        <w:rPr>
          <w:spacing w:val="-5"/>
        </w:rPr>
        <w:t xml:space="preserve"> </w:t>
      </w:r>
      <w:r>
        <w:t>regarding</w:t>
      </w:r>
      <w:r>
        <w:rPr>
          <w:spacing w:val="-5"/>
        </w:rPr>
        <w:t xml:space="preserve"> </w:t>
      </w:r>
      <w:r>
        <w:t>the</w:t>
      </w:r>
      <w:r>
        <w:rPr>
          <w:spacing w:val="-4"/>
        </w:rPr>
        <w:t xml:space="preserve"> </w:t>
      </w:r>
      <w:r>
        <w:t>applicable</w:t>
      </w:r>
      <w:r>
        <w:rPr>
          <w:spacing w:val="-5"/>
        </w:rPr>
        <w:t xml:space="preserve"> </w:t>
      </w:r>
      <w:r>
        <w:t>protections against surprise medical bills.</w:t>
      </w:r>
    </w:p>
    <w:p w:rsidR="00B64E72" w14:paraId="716558EB" w14:textId="77777777">
      <w:pPr>
        <w:pStyle w:val="BodyText"/>
        <w:spacing w:before="20"/>
      </w:pPr>
    </w:p>
    <w:p w:rsidR="00B64E72" w14:paraId="58111C8A" w14:textId="77777777">
      <w:pPr>
        <w:pStyle w:val="BodyText"/>
        <w:spacing w:line="259" w:lineRule="auto"/>
        <w:ind w:left="1531" w:right="1099"/>
      </w:pPr>
      <w:bookmarkStart w:id="36" w:name="The_notice_and_consent_documents_and_dis"/>
      <w:bookmarkEnd w:id="36"/>
      <w:r>
        <w:t>The notice and consent documents and disclosures on balance billing protections provided by</w:t>
      </w:r>
      <w:r>
        <w:rPr>
          <w:spacing w:val="-4"/>
        </w:rPr>
        <w:t xml:space="preserve"> </w:t>
      </w:r>
      <w:r>
        <w:t>plans</w:t>
      </w:r>
      <w:r>
        <w:rPr>
          <w:spacing w:val="-4"/>
        </w:rPr>
        <w:t xml:space="preserve"> </w:t>
      </w:r>
      <w:r>
        <w:t>and</w:t>
      </w:r>
      <w:r>
        <w:rPr>
          <w:spacing w:val="-4"/>
        </w:rPr>
        <w:t xml:space="preserve"> </w:t>
      </w:r>
      <w:r>
        <w:t>issuers</w:t>
      </w:r>
      <w:r>
        <w:rPr>
          <w:spacing w:val="-4"/>
        </w:rPr>
        <w:t xml:space="preserve"> </w:t>
      </w:r>
      <w:r>
        <w:t>and</w:t>
      </w:r>
      <w:r>
        <w:rPr>
          <w:spacing w:val="-2"/>
        </w:rPr>
        <w:t xml:space="preserve"> </w:t>
      </w:r>
      <w:r>
        <w:t>nonparticipating</w:t>
      </w:r>
      <w:r>
        <w:rPr>
          <w:spacing w:val="-4"/>
        </w:rPr>
        <w:t xml:space="preserve"> </w:t>
      </w:r>
      <w:r>
        <w:t>providers</w:t>
      </w:r>
      <w:r>
        <w:rPr>
          <w:spacing w:val="-4"/>
        </w:rPr>
        <w:t xml:space="preserve"> </w:t>
      </w:r>
      <w:r>
        <w:t>and</w:t>
      </w:r>
      <w:r>
        <w:rPr>
          <w:spacing w:val="-4"/>
        </w:rPr>
        <w:t xml:space="preserve"> </w:t>
      </w:r>
      <w:r>
        <w:t>facilities</w:t>
      </w:r>
      <w:r>
        <w:rPr>
          <w:spacing w:val="-2"/>
        </w:rPr>
        <w:t xml:space="preserve"> </w:t>
      </w:r>
      <w:r>
        <w:t>will</w:t>
      </w:r>
      <w:r>
        <w:rPr>
          <w:spacing w:val="-4"/>
        </w:rPr>
        <w:t xml:space="preserve"> </w:t>
      </w:r>
      <w:r>
        <w:t>provide</w:t>
      </w:r>
      <w:r>
        <w:rPr>
          <w:spacing w:val="-4"/>
        </w:rPr>
        <w:t xml:space="preserve"> </w:t>
      </w:r>
      <w:r>
        <w:t>information</w:t>
      </w:r>
      <w:r>
        <w:rPr>
          <w:spacing w:val="-4"/>
        </w:rPr>
        <w:t xml:space="preserve"> </w:t>
      </w:r>
      <w:r>
        <w:t>to participants, beneficiaries, or enrollees regarding the protections against surprise medical bills. The requirements related to the notice and consent documents will help ensure that individuals are not pressured to waive their rights and that individuals will only waive their rights if they choose to obtain the services of a nonparticipating provider or facility. Plans and issuers will be provided the information t</w:t>
      </w:r>
      <w:r>
        <w:t>hey need in order to determine if cost-sharing protections apply to specific items and services provided by a nonparticipating provider or emergency facility or if the enrollee provided consent to waive those protections.</w:t>
      </w:r>
    </w:p>
    <w:p w:rsidR="00B64E72" w14:paraId="2380CD00" w14:textId="77777777">
      <w:pPr>
        <w:pStyle w:val="BodyText"/>
        <w:spacing w:before="20"/>
      </w:pPr>
    </w:p>
    <w:p w:rsidR="00B64E72" w14:paraId="1F453DF0" w14:textId="77777777">
      <w:pPr>
        <w:pStyle w:val="ListParagraph"/>
        <w:numPr>
          <w:ilvl w:val="1"/>
          <w:numId w:val="3"/>
        </w:numPr>
        <w:tabs>
          <w:tab w:val="left" w:pos="1548"/>
        </w:tabs>
        <w:spacing w:before="1"/>
        <w:ind w:left="1548" w:hanging="480"/>
        <w:rPr>
          <w:sz w:val="24"/>
          <w:u w:val="none"/>
        </w:rPr>
      </w:pPr>
      <w:bookmarkStart w:id="37" w:name="3.__Use_of_Information_Technology__"/>
      <w:bookmarkEnd w:id="37"/>
      <w:r>
        <w:rPr>
          <w:sz w:val="24"/>
        </w:rPr>
        <w:t>Use</w:t>
      </w:r>
      <w:r>
        <w:rPr>
          <w:spacing w:val="-4"/>
          <w:sz w:val="24"/>
        </w:rPr>
        <w:t xml:space="preserve"> </w:t>
      </w:r>
      <w:r>
        <w:rPr>
          <w:sz w:val="24"/>
        </w:rPr>
        <w:t>of</w:t>
      </w:r>
      <w:r>
        <w:rPr>
          <w:spacing w:val="-1"/>
          <w:sz w:val="24"/>
        </w:rPr>
        <w:t xml:space="preserve"> </w:t>
      </w:r>
      <w:r>
        <w:rPr>
          <w:sz w:val="24"/>
        </w:rPr>
        <w:t>Information</w:t>
      </w:r>
      <w:r>
        <w:rPr>
          <w:spacing w:val="-1"/>
          <w:sz w:val="24"/>
        </w:rPr>
        <w:t xml:space="preserve"> </w:t>
      </w:r>
      <w:r>
        <w:rPr>
          <w:spacing w:val="-2"/>
          <w:sz w:val="24"/>
        </w:rPr>
        <w:t>Technology</w:t>
      </w:r>
    </w:p>
    <w:p w:rsidR="00B64E72" w14:paraId="3E65D7DC" w14:textId="77777777">
      <w:pPr>
        <w:pStyle w:val="BodyText"/>
        <w:spacing w:before="45"/>
      </w:pPr>
    </w:p>
    <w:p w:rsidR="00B64E72" w14:paraId="6416EB2F" w14:textId="77777777">
      <w:pPr>
        <w:pStyle w:val="BodyText"/>
        <w:spacing w:line="247" w:lineRule="auto"/>
        <w:ind w:left="1507" w:right="1369" w:hanging="10"/>
      </w:pPr>
      <w:bookmarkStart w:id="38" w:name="The_documents_related_to_the_QPA_may_be_"/>
      <w:bookmarkEnd w:id="38"/>
      <w:r>
        <w:t>The</w:t>
      </w:r>
      <w:r>
        <w:rPr>
          <w:spacing w:val="-4"/>
        </w:rPr>
        <w:t xml:space="preserve"> </w:t>
      </w:r>
      <w:r>
        <w:t>documents</w:t>
      </w:r>
      <w:r>
        <w:rPr>
          <w:spacing w:val="-2"/>
        </w:rPr>
        <w:t xml:space="preserve"> </w:t>
      </w:r>
      <w:r>
        <w:t>related</w:t>
      </w:r>
      <w:r>
        <w:rPr>
          <w:spacing w:val="-2"/>
        </w:rPr>
        <w:t xml:space="preserve"> </w:t>
      </w:r>
      <w:r>
        <w:t>to the</w:t>
      </w:r>
      <w:r>
        <w:rPr>
          <w:spacing w:val="-3"/>
        </w:rPr>
        <w:t xml:space="preserve"> </w:t>
      </w:r>
      <w:r>
        <w:t>QPA</w:t>
      </w:r>
      <w:r>
        <w:rPr>
          <w:spacing w:val="-3"/>
        </w:rPr>
        <w:t xml:space="preserve"> </w:t>
      </w:r>
      <w:r>
        <w:t>may</w:t>
      </w:r>
      <w:r>
        <w:rPr>
          <w:spacing w:val="-3"/>
        </w:rPr>
        <w:t xml:space="preserve"> </w:t>
      </w:r>
      <w:r>
        <w:t>be</w:t>
      </w:r>
      <w:r>
        <w:rPr>
          <w:spacing w:val="-3"/>
        </w:rPr>
        <w:t xml:space="preserve"> </w:t>
      </w:r>
      <w:r>
        <w:t>provided</w:t>
      </w:r>
      <w:r>
        <w:rPr>
          <w:spacing w:val="-2"/>
        </w:rPr>
        <w:t xml:space="preserve"> </w:t>
      </w:r>
      <w:r>
        <w:t>electronically</w:t>
      </w:r>
      <w:r>
        <w:rPr>
          <w:spacing w:val="-2"/>
        </w:rPr>
        <w:t xml:space="preserve"> </w:t>
      </w:r>
      <w:r>
        <w:t>by</w:t>
      </w:r>
      <w:r>
        <w:rPr>
          <w:spacing w:val="-2"/>
        </w:rPr>
        <w:t xml:space="preserve"> </w:t>
      </w:r>
      <w:r>
        <w:t>plans</w:t>
      </w:r>
      <w:r>
        <w:rPr>
          <w:spacing w:val="-2"/>
        </w:rPr>
        <w:t xml:space="preserve"> </w:t>
      </w:r>
      <w:r>
        <w:t>and</w:t>
      </w:r>
      <w:r>
        <w:rPr>
          <w:spacing w:val="-2"/>
        </w:rPr>
        <w:t xml:space="preserve"> </w:t>
      </w:r>
      <w:r>
        <w:t>issuers</w:t>
      </w:r>
      <w:r>
        <w:rPr>
          <w:spacing w:val="-2"/>
        </w:rPr>
        <w:t xml:space="preserve"> </w:t>
      </w:r>
      <w:r>
        <w:t>to nonparticipating</w:t>
      </w:r>
      <w:r>
        <w:rPr>
          <w:spacing w:val="-5"/>
        </w:rPr>
        <w:t xml:space="preserve"> </w:t>
      </w:r>
      <w:r>
        <w:t>providers,</w:t>
      </w:r>
      <w:r>
        <w:rPr>
          <w:spacing w:val="-5"/>
        </w:rPr>
        <w:t xml:space="preserve"> </w:t>
      </w:r>
      <w:r>
        <w:t>emergency</w:t>
      </w:r>
      <w:r>
        <w:rPr>
          <w:spacing w:val="-5"/>
        </w:rPr>
        <w:t xml:space="preserve"> </w:t>
      </w:r>
      <w:r>
        <w:t>facilities,</w:t>
      </w:r>
      <w:r>
        <w:rPr>
          <w:spacing w:val="-5"/>
        </w:rPr>
        <w:t xml:space="preserve"> </w:t>
      </w:r>
      <w:r>
        <w:t>and</w:t>
      </w:r>
      <w:r>
        <w:rPr>
          <w:spacing w:val="-5"/>
        </w:rPr>
        <w:t xml:space="preserve"> </w:t>
      </w:r>
      <w:r>
        <w:t>providers</w:t>
      </w:r>
      <w:r>
        <w:rPr>
          <w:spacing w:val="-5"/>
        </w:rPr>
        <w:t xml:space="preserve"> </w:t>
      </w:r>
      <w:r>
        <w:t>of</w:t>
      </w:r>
      <w:r>
        <w:rPr>
          <w:spacing w:val="-6"/>
        </w:rPr>
        <w:t xml:space="preserve"> </w:t>
      </w:r>
      <w:r>
        <w:t>air</w:t>
      </w:r>
      <w:r>
        <w:rPr>
          <w:spacing w:val="-5"/>
        </w:rPr>
        <w:t xml:space="preserve"> </w:t>
      </w:r>
      <w:r>
        <w:t>ambulance</w:t>
      </w:r>
      <w:r>
        <w:rPr>
          <w:spacing w:val="-6"/>
        </w:rPr>
        <w:t xml:space="preserve"> </w:t>
      </w:r>
      <w:r>
        <w:t xml:space="preserve">services. The notice and consent documents may be provided electronically as selected by the individual. The disclosures related to balance billing protections provided by plans and issuers and nonparticipating providers and emergency facilities may also be provided </w:t>
      </w:r>
      <w:r>
        <w:rPr>
          <w:spacing w:val="-2"/>
        </w:rPr>
        <w:t>electronically.</w:t>
      </w:r>
    </w:p>
    <w:p w:rsidR="00B64E72" w14:paraId="5E49693A" w14:textId="77777777">
      <w:pPr>
        <w:pStyle w:val="BodyText"/>
        <w:spacing w:before="30"/>
      </w:pPr>
    </w:p>
    <w:p w:rsidR="00B64E72" w14:paraId="4156B947" w14:textId="77777777">
      <w:pPr>
        <w:pStyle w:val="ListParagraph"/>
        <w:numPr>
          <w:ilvl w:val="1"/>
          <w:numId w:val="3"/>
        </w:numPr>
        <w:tabs>
          <w:tab w:val="left" w:pos="1488"/>
        </w:tabs>
        <w:rPr>
          <w:sz w:val="24"/>
          <w:u w:val="none"/>
        </w:rPr>
      </w:pPr>
      <w:bookmarkStart w:id="39" w:name="4._Duplication_of_Efforts__"/>
      <w:bookmarkEnd w:id="39"/>
      <w:r>
        <w:rPr>
          <w:sz w:val="24"/>
        </w:rPr>
        <w:t>Duplication</w:t>
      </w:r>
      <w:r>
        <w:rPr>
          <w:spacing w:val="-1"/>
          <w:sz w:val="24"/>
        </w:rPr>
        <w:t xml:space="preserve"> </w:t>
      </w:r>
      <w:r>
        <w:rPr>
          <w:sz w:val="24"/>
        </w:rPr>
        <w:t>of</w:t>
      </w:r>
      <w:r>
        <w:rPr>
          <w:spacing w:val="-2"/>
          <w:sz w:val="24"/>
        </w:rPr>
        <w:t xml:space="preserve"> Efforts</w:t>
      </w:r>
    </w:p>
    <w:p w:rsidR="00B64E72" w14:paraId="370E9F27" w14:textId="77777777">
      <w:pPr>
        <w:pStyle w:val="BodyText"/>
        <w:spacing w:before="43"/>
      </w:pPr>
    </w:p>
    <w:p w:rsidR="00B64E72" w14:paraId="46FC6426" w14:textId="77777777">
      <w:pPr>
        <w:pStyle w:val="BodyText"/>
        <w:spacing w:before="1"/>
        <w:ind w:left="1498"/>
      </w:pPr>
      <w:bookmarkStart w:id="40" w:name="There_is_no_duplication_of_efforts_for_t"/>
      <w:bookmarkEnd w:id="40"/>
      <w:r>
        <w:t>There</w:t>
      </w:r>
      <w:r>
        <w:rPr>
          <w:spacing w:val="-5"/>
        </w:rPr>
        <w:t xml:space="preserve"> </w:t>
      </w:r>
      <w:r>
        <w:t>is</w:t>
      </w:r>
      <w:r>
        <w:rPr>
          <w:spacing w:val="-1"/>
        </w:rPr>
        <w:t xml:space="preserve"> </w:t>
      </w:r>
      <w:r>
        <w:t>no duplication</w:t>
      </w:r>
      <w:r>
        <w:rPr>
          <w:spacing w:val="-1"/>
        </w:rPr>
        <w:t xml:space="preserve"> </w:t>
      </w:r>
      <w:r>
        <w:t>of</w:t>
      </w:r>
      <w:r>
        <w:rPr>
          <w:spacing w:val="-1"/>
        </w:rPr>
        <w:t xml:space="preserve"> </w:t>
      </w:r>
      <w:r>
        <w:t>efforts for</w:t>
      </w:r>
      <w:r>
        <w:rPr>
          <w:spacing w:val="-1"/>
        </w:rPr>
        <w:t xml:space="preserve"> </w:t>
      </w:r>
      <w:r>
        <w:t>these information</w:t>
      </w:r>
      <w:r>
        <w:rPr>
          <w:spacing w:val="1"/>
        </w:rPr>
        <w:t xml:space="preserve"> </w:t>
      </w:r>
      <w:r>
        <w:rPr>
          <w:spacing w:val="-2"/>
        </w:rPr>
        <w:t>collections.</w:t>
      </w:r>
    </w:p>
    <w:p w:rsidR="00B64E72" w14:paraId="5B9ADC7F" w14:textId="77777777">
      <w:pPr>
        <w:pStyle w:val="BodyText"/>
        <w:spacing w:before="33"/>
      </w:pPr>
    </w:p>
    <w:p w:rsidR="00B64E72" w14:paraId="5F09D40B" w14:textId="77777777">
      <w:pPr>
        <w:pStyle w:val="ListParagraph"/>
        <w:numPr>
          <w:ilvl w:val="1"/>
          <w:numId w:val="3"/>
        </w:numPr>
        <w:tabs>
          <w:tab w:val="left" w:pos="1488"/>
        </w:tabs>
        <w:rPr>
          <w:sz w:val="24"/>
          <w:u w:val="none"/>
        </w:rPr>
      </w:pPr>
      <w:bookmarkStart w:id="41" w:name="5._Small_Businesses__"/>
      <w:bookmarkEnd w:id="41"/>
      <w:r>
        <w:rPr>
          <w:sz w:val="24"/>
        </w:rPr>
        <w:t xml:space="preserve">Small </w:t>
      </w:r>
      <w:r>
        <w:rPr>
          <w:spacing w:val="-2"/>
          <w:sz w:val="24"/>
        </w:rPr>
        <w:t>Businesses</w:t>
      </w:r>
    </w:p>
    <w:p w:rsidR="00B64E72" w14:paraId="17189705" w14:textId="77777777">
      <w:pPr>
        <w:pStyle w:val="BodyText"/>
        <w:spacing w:before="43"/>
      </w:pPr>
    </w:p>
    <w:p w:rsidR="00B64E72" w14:paraId="2566594F" w14:textId="77777777">
      <w:pPr>
        <w:pStyle w:val="BodyText"/>
        <w:spacing w:before="1" w:line="247" w:lineRule="auto"/>
        <w:ind w:left="1507" w:right="1118" w:hanging="10"/>
      </w:pPr>
      <w:bookmarkStart w:id="42" w:name="Health_care_facilities_incurring_burden_"/>
      <w:bookmarkEnd w:id="42"/>
      <w:r>
        <w:t>Health care facilities incurring burden related to these information collections include ambulatory</w:t>
      </w:r>
      <w:r>
        <w:rPr>
          <w:spacing w:val="-1"/>
        </w:rPr>
        <w:t xml:space="preserve"> </w:t>
      </w:r>
      <w:r>
        <w:t>surgical</w:t>
      </w:r>
      <w:r>
        <w:rPr>
          <w:spacing w:val="-1"/>
        </w:rPr>
        <w:t xml:space="preserve"> </w:t>
      </w:r>
      <w:r>
        <w:t>centers,</w:t>
      </w:r>
      <w:r>
        <w:rPr>
          <w:spacing w:val="-1"/>
        </w:rPr>
        <w:t xml:space="preserve"> </w:t>
      </w:r>
      <w:r>
        <w:t>hospitals,</w:t>
      </w:r>
      <w:r>
        <w:rPr>
          <w:spacing w:val="-1"/>
        </w:rPr>
        <w:t xml:space="preserve"> </w:t>
      </w:r>
      <w:r>
        <w:t>and</w:t>
      </w:r>
      <w:r>
        <w:rPr>
          <w:spacing w:val="-1"/>
        </w:rPr>
        <w:t xml:space="preserve"> </w:t>
      </w:r>
      <w:r>
        <w:t>free-standing</w:t>
      </w:r>
      <w:r>
        <w:rPr>
          <w:spacing w:val="-1"/>
        </w:rPr>
        <w:t xml:space="preserve"> </w:t>
      </w:r>
      <w:r>
        <w:t>emergency</w:t>
      </w:r>
      <w:r>
        <w:rPr>
          <w:spacing w:val="-1"/>
        </w:rPr>
        <w:t xml:space="preserve"> </w:t>
      </w:r>
      <w:r>
        <w:t>departments.</w:t>
      </w:r>
      <w:r>
        <w:rPr>
          <w:spacing w:val="-1"/>
        </w:rPr>
        <w:t xml:space="preserve"> </w:t>
      </w:r>
      <w:r>
        <w:t>It</w:t>
      </w:r>
      <w:r>
        <w:rPr>
          <w:spacing w:val="-1"/>
        </w:rPr>
        <w:t xml:space="preserve"> </w:t>
      </w:r>
      <w:r>
        <w:t>is</w:t>
      </w:r>
      <w:r>
        <w:rPr>
          <w:spacing w:val="-1"/>
        </w:rPr>
        <w:t xml:space="preserve"> </w:t>
      </w:r>
      <w:r>
        <w:t>likely that almost 54 percent of individual ambulatory surgical centers and free-standing emergency</w:t>
      </w:r>
      <w:r>
        <w:rPr>
          <w:spacing w:val="-1"/>
        </w:rPr>
        <w:t xml:space="preserve"> </w:t>
      </w:r>
      <w:r>
        <w:t>departments</w:t>
      </w:r>
      <w:r>
        <w:rPr>
          <w:spacing w:val="-1"/>
        </w:rPr>
        <w:t xml:space="preserve"> </w:t>
      </w:r>
      <w:r>
        <w:t>will</w:t>
      </w:r>
      <w:r>
        <w:rPr>
          <w:spacing w:val="-1"/>
        </w:rPr>
        <w:t xml:space="preserve"> </w:t>
      </w:r>
      <w:r>
        <w:t>qualify</w:t>
      </w:r>
      <w:r>
        <w:rPr>
          <w:spacing w:val="-1"/>
        </w:rPr>
        <w:t xml:space="preserve"> </w:t>
      </w:r>
      <w:r>
        <w:t>as</w:t>
      </w:r>
      <w:r>
        <w:rPr>
          <w:spacing w:val="-1"/>
        </w:rPr>
        <w:t xml:space="preserve"> </w:t>
      </w:r>
      <w:r>
        <w:t>small</w:t>
      </w:r>
      <w:r>
        <w:rPr>
          <w:spacing w:val="-1"/>
        </w:rPr>
        <w:t xml:space="preserve"> </w:t>
      </w:r>
      <w:r>
        <w:t>entities,</w:t>
      </w:r>
      <w:r>
        <w:rPr>
          <w:spacing w:val="-1"/>
        </w:rPr>
        <w:t xml:space="preserve"> </w:t>
      </w:r>
      <w:r>
        <w:t>though</w:t>
      </w:r>
      <w:r>
        <w:rPr>
          <w:spacing w:val="-1"/>
        </w:rPr>
        <w:t xml:space="preserve"> </w:t>
      </w:r>
      <w:r>
        <w:t>some</w:t>
      </w:r>
      <w:r>
        <w:rPr>
          <w:spacing w:val="-1"/>
        </w:rPr>
        <w:t xml:space="preserve"> </w:t>
      </w:r>
      <w:r>
        <w:t>of</w:t>
      </w:r>
      <w:r>
        <w:rPr>
          <w:spacing w:val="-3"/>
        </w:rPr>
        <w:t xml:space="preserve"> </w:t>
      </w:r>
      <w:r>
        <w:t>them</w:t>
      </w:r>
      <w:r>
        <w:rPr>
          <w:spacing w:val="-1"/>
        </w:rPr>
        <w:t xml:space="preserve"> </w:t>
      </w:r>
      <w:r>
        <w:t>are</w:t>
      </w:r>
      <w:r>
        <w:rPr>
          <w:spacing w:val="-3"/>
        </w:rPr>
        <w:t xml:space="preserve"> </w:t>
      </w:r>
      <w:r>
        <w:t>part</w:t>
      </w:r>
      <w:r>
        <w:rPr>
          <w:spacing w:val="-1"/>
        </w:rPr>
        <w:t xml:space="preserve"> </w:t>
      </w:r>
      <w:r>
        <w:t>of</w:t>
      </w:r>
      <w:r>
        <w:rPr>
          <w:spacing w:val="-2"/>
        </w:rPr>
        <w:t xml:space="preserve"> </w:t>
      </w:r>
      <w:r>
        <w:t>larger health</w:t>
      </w:r>
      <w:r>
        <w:rPr>
          <w:spacing w:val="-3"/>
        </w:rPr>
        <w:t xml:space="preserve"> </w:t>
      </w:r>
      <w:r>
        <w:t>systems.</w:t>
      </w:r>
      <w:r>
        <w:rPr>
          <w:spacing w:val="-3"/>
        </w:rPr>
        <w:t xml:space="preserve"> </w:t>
      </w:r>
      <w:r>
        <w:t>For</w:t>
      </w:r>
      <w:r>
        <w:rPr>
          <w:spacing w:val="-3"/>
        </w:rPr>
        <w:t xml:space="preserve"> </w:t>
      </w:r>
      <w:r>
        <w:t>hospitals,</w:t>
      </w:r>
      <w:r>
        <w:rPr>
          <w:spacing w:val="-3"/>
        </w:rPr>
        <w:t xml:space="preserve"> </w:t>
      </w:r>
      <w:r>
        <w:t>approximately</w:t>
      </w:r>
      <w:r>
        <w:rPr>
          <w:spacing w:val="-2"/>
        </w:rPr>
        <w:t xml:space="preserve"> </w:t>
      </w:r>
      <w:r>
        <w:t>18</w:t>
      </w:r>
      <w:r>
        <w:rPr>
          <w:spacing w:val="-3"/>
        </w:rPr>
        <w:t xml:space="preserve"> </w:t>
      </w:r>
      <w:r>
        <w:t>percent</w:t>
      </w:r>
      <w:r>
        <w:rPr>
          <w:spacing w:val="-3"/>
        </w:rPr>
        <w:t xml:space="preserve"> </w:t>
      </w:r>
      <w:r>
        <w:t>of</w:t>
      </w:r>
      <w:r>
        <w:rPr>
          <w:spacing w:val="-3"/>
        </w:rPr>
        <w:t xml:space="preserve"> </w:t>
      </w:r>
      <w:r>
        <w:t>individual</w:t>
      </w:r>
      <w:r>
        <w:rPr>
          <w:spacing w:val="-3"/>
        </w:rPr>
        <w:t xml:space="preserve"> </w:t>
      </w:r>
      <w:r>
        <w:t>hospitals</w:t>
      </w:r>
      <w:r>
        <w:rPr>
          <w:spacing w:val="-3"/>
        </w:rPr>
        <w:t xml:space="preserve"> </w:t>
      </w:r>
      <w:r>
        <w:t>are</w:t>
      </w:r>
      <w:r>
        <w:rPr>
          <w:spacing w:val="-1"/>
        </w:rPr>
        <w:t xml:space="preserve"> </w:t>
      </w:r>
      <w:r>
        <w:t>estimated to</w:t>
      </w:r>
      <w:r>
        <w:rPr>
          <w:spacing w:val="-3"/>
        </w:rPr>
        <w:t xml:space="preserve"> </w:t>
      </w:r>
      <w:r>
        <w:t>be</w:t>
      </w:r>
      <w:r>
        <w:rPr>
          <w:spacing w:val="-3"/>
        </w:rPr>
        <w:t xml:space="preserve"> </w:t>
      </w:r>
      <w:r>
        <w:t>small</w:t>
      </w:r>
      <w:r>
        <w:rPr>
          <w:spacing w:val="-3"/>
        </w:rPr>
        <w:t xml:space="preserve"> </w:t>
      </w:r>
      <w:r>
        <w:t>entities,</w:t>
      </w:r>
      <w:bookmarkStart w:id="43" w:name="4"/>
      <w:bookmarkEnd w:id="43"/>
      <w:hyperlink w:anchor="_bookmark3" w:history="1">
        <w:r>
          <w:rPr>
            <w:vertAlign w:val="superscript"/>
          </w:rPr>
          <w:t>4</w:t>
        </w:r>
      </w:hyperlink>
      <w:r>
        <w:rPr>
          <w:spacing w:val="-2"/>
        </w:rPr>
        <w:t xml:space="preserve"> </w:t>
      </w:r>
      <w:r>
        <w:t>though</w:t>
      </w:r>
      <w:r>
        <w:rPr>
          <w:spacing w:val="-3"/>
        </w:rPr>
        <w:t xml:space="preserve"> </w:t>
      </w:r>
      <w:r>
        <w:t>some</w:t>
      </w:r>
      <w:r>
        <w:rPr>
          <w:spacing w:val="-3"/>
        </w:rPr>
        <w:t xml:space="preserve"> </w:t>
      </w:r>
      <w:r>
        <w:t>of</w:t>
      </w:r>
      <w:r>
        <w:rPr>
          <w:spacing w:val="-3"/>
        </w:rPr>
        <w:t xml:space="preserve"> </w:t>
      </w:r>
      <w:r>
        <w:t>them</w:t>
      </w:r>
      <w:r>
        <w:rPr>
          <w:spacing w:val="-3"/>
        </w:rPr>
        <w:t xml:space="preserve"> </w:t>
      </w:r>
      <w:r>
        <w:t>may</w:t>
      </w:r>
      <w:r>
        <w:rPr>
          <w:spacing w:val="-3"/>
        </w:rPr>
        <w:t xml:space="preserve"> </w:t>
      </w:r>
      <w:r>
        <w:t>be</w:t>
      </w:r>
      <w:r>
        <w:rPr>
          <w:spacing w:val="-2"/>
        </w:rPr>
        <w:t xml:space="preserve"> </w:t>
      </w:r>
      <w:r>
        <w:t>part</w:t>
      </w:r>
      <w:r>
        <w:rPr>
          <w:spacing w:val="-3"/>
        </w:rPr>
        <w:t xml:space="preserve"> </w:t>
      </w:r>
      <w:r>
        <w:t>of</w:t>
      </w:r>
      <w:r>
        <w:rPr>
          <w:spacing w:val="-3"/>
        </w:rPr>
        <w:t xml:space="preserve"> </w:t>
      </w:r>
      <w:r>
        <w:t>larger</w:t>
      </w:r>
      <w:r>
        <w:rPr>
          <w:spacing w:val="-2"/>
        </w:rPr>
        <w:t xml:space="preserve"> </w:t>
      </w:r>
      <w:r>
        <w:t>hospital</w:t>
      </w:r>
      <w:r>
        <w:rPr>
          <w:spacing w:val="-3"/>
        </w:rPr>
        <w:t xml:space="preserve"> </w:t>
      </w:r>
      <w:r>
        <w:t>systems</w:t>
      </w:r>
      <w:r>
        <w:rPr>
          <w:spacing w:val="-2"/>
        </w:rPr>
        <w:t xml:space="preserve"> </w:t>
      </w:r>
      <w:r>
        <w:t>that</w:t>
      </w:r>
      <w:r>
        <w:rPr>
          <w:spacing w:val="-3"/>
        </w:rPr>
        <w:t xml:space="preserve"> </w:t>
      </w:r>
      <w:r>
        <w:t>are</w:t>
      </w:r>
      <w:r>
        <w:rPr>
          <w:spacing w:val="-4"/>
        </w:rPr>
        <w:t xml:space="preserve"> </w:t>
      </w:r>
      <w:r>
        <w:t>not small</w:t>
      </w:r>
      <w:r>
        <w:rPr>
          <w:spacing w:val="-3"/>
        </w:rPr>
        <w:t xml:space="preserve"> </w:t>
      </w:r>
      <w:r>
        <w:t>businesses.</w:t>
      </w:r>
      <w:r>
        <w:rPr>
          <w:spacing w:val="-3"/>
        </w:rPr>
        <w:t xml:space="preserve"> </w:t>
      </w:r>
      <w:r>
        <w:t>The</w:t>
      </w:r>
      <w:r>
        <w:rPr>
          <w:spacing w:val="-5"/>
        </w:rPr>
        <w:t xml:space="preserve"> </w:t>
      </w:r>
      <w:r>
        <w:t>average</w:t>
      </w:r>
      <w:r>
        <w:rPr>
          <w:spacing w:val="-2"/>
        </w:rPr>
        <w:t xml:space="preserve"> </w:t>
      </w:r>
      <w:r>
        <w:t>cost</w:t>
      </w:r>
      <w:r>
        <w:rPr>
          <w:spacing w:val="-3"/>
        </w:rPr>
        <w:t xml:space="preserve"> </w:t>
      </w:r>
      <w:r>
        <w:t>of</w:t>
      </w:r>
      <w:r>
        <w:rPr>
          <w:spacing w:val="-3"/>
        </w:rPr>
        <w:t xml:space="preserve"> </w:t>
      </w:r>
      <w:r>
        <w:t>compliance</w:t>
      </w:r>
      <w:r>
        <w:rPr>
          <w:spacing w:val="-2"/>
        </w:rPr>
        <w:t xml:space="preserve"> </w:t>
      </w:r>
      <w:r>
        <w:t>for</w:t>
      </w:r>
      <w:r>
        <w:rPr>
          <w:spacing w:val="-5"/>
        </w:rPr>
        <w:t xml:space="preserve"> </w:t>
      </w:r>
      <w:r>
        <w:t>each</w:t>
      </w:r>
      <w:r>
        <w:rPr>
          <w:spacing w:val="-3"/>
        </w:rPr>
        <w:t xml:space="preserve"> </w:t>
      </w:r>
      <w:r>
        <w:t>health</w:t>
      </w:r>
      <w:r>
        <w:rPr>
          <w:spacing w:val="-3"/>
        </w:rPr>
        <w:t xml:space="preserve"> </w:t>
      </w:r>
      <w:r>
        <w:t>care</w:t>
      </w:r>
      <w:r>
        <w:rPr>
          <w:spacing w:val="-4"/>
        </w:rPr>
        <w:t xml:space="preserve"> </w:t>
      </w:r>
      <w:r>
        <w:t>facility</w:t>
      </w:r>
      <w:r>
        <w:rPr>
          <w:spacing w:val="-3"/>
        </w:rPr>
        <w:t xml:space="preserve"> </w:t>
      </w:r>
      <w:r>
        <w:t>is</w:t>
      </w:r>
      <w:r>
        <w:rPr>
          <w:spacing w:val="-3"/>
        </w:rPr>
        <w:t xml:space="preserve"> </w:t>
      </w:r>
      <w:r>
        <w:t>estimated</w:t>
      </w:r>
      <w:r>
        <w:rPr>
          <w:spacing w:val="-3"/>
        </w:rPr>
        <w:t xml:space="preserve"> </w:t>
      </w:r>
      <w:r>
        <w:t>to be approximately $7,250 annually over 3 years.</w:t>
      </w:r>
    </w:p>
    <w:p w:rsidR="00B64E72" w14:paraId="627CF1E8" w14:textId="77777777">
      <w:pPr>
        <w:pStyle w:val="BodyText"/>
        <w:rPr>
          <w:sz w:val="20"/>
        </w:rPr>
      </w:pPr>
    </w:p>
    <w:p w:rsidR="00B64E72" w14:paraId="6E5932AF" w14:textId="77777777">
      <w:pPr>
        <w:pStyle w:val="BodyText"/>
        <w:rPr>
          <w:sz w:val="20"/>
        </w:rPr>
      </w:pPr>
    </w:p>
    <w:p w:rsidR="00B64E72" w14:paraId="6EFA68DE" w14:textId="77777777">
      <w:pPr>
        <w:pStyle w:val="BodyText"/>
        <w:spacing w:before="13"/>
        <w:rPr>
          <w:sz w:val="20"/>
        </w:rPr>
      </w:pPr>
      <w:r>
        <w:rPr>
          <w:noProof/>
          <w:sz w:val="20"/>
        </w:rPr>
        <mc:AlternateContent>
          <mc:Choice Requires="wps">
            <w:drawing>
              <wp:anchor distT="0" distB="0" distL="0" distR="0" simplePos="0" relativeHeight="251668480" behindDoc="1" locked="0" layoutInCell="1" allowOverlap="1">
                <wp:simplePos x="0" y="0"/>
                <wp:positionH relativeFrom="page">
                  <wp:posOffset>914704</wp:posOffset>
                </wp:positionH>
                <wp:positionV relativeFrom="paragraph">
                  <wp:posOffset>169709</wp:posOffset>
                </wp:positionV>
                <wp:extent cx="1829435" cy="762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7620"/>
                        </a:xfrm>
                        <a:custGeom>
                          <a:avLst/>
                          <a:gdLst/>
                          <a:rect l="l" t="t" r="r" b="b"/>
                          <a:pathLst>
                            <a:path fill="norm" h="7620" w="1829435" stroke="1">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7" style="width:144.05pt;height:0.6pt;margin-top:13.35pt;margin-left:1in;mso-position-horizontal-relative:page;mso-wrap-distance-bottom:0;mso-wrap-distance-left:0;mso-wrap-distance-right:0;mso-wrap-distance-top:0;mso-wrap-style:square;position:absolute;visibility:visible;v-text-anchor:top;z-index:-251646976" coordsize="1829435,7620" path="m1829054,l,,,7619l1829054,7619l1829054,xe" fillcolor="black" stroked="f">
                <v:path arrowok="t"/>
                <w10:wrap type="topAndBottom"/>
              </v:shape>
            </w:pict>
          </mc:Fallback>
        </mc:AlternateContent>
      </w:r>
    </w:p>
    <w:p w:rsidR="00B64E72" w14:paraId="17961240" w14:textId="77777777">
      <w:pPr>
        <w:spacing w:before="144"/>
        <w:ind w:left="1080" w:right="4359"/>
        <w:rPr>
          <w:sz w:val="20"/>
        </w:rPr>
      </w:pPr>
      <w:bookmarkStart w:id="44" w:name="4_Based_on_data_from_2017_Statistics_of_"/>
      <w:bookmarkStart w:id="45" w:name="_bookmark3"/>
      <w:bookmarkEnd w:id="44"/>
      <w:bookmarkEnd w:id="45"/>
      <w:r>
        <w:rPr>
          <w:sz w:val="20"/>
          <w:vertAlign w:val="superscript"/>
        </w:rPr>
        <w:t>4</w:t>
      </w:r>
      <w:r>
        <w:rPr>
          <w:sz w:val="20"/>
        </w:rPr>
        <w:t xml:space="preserve"> Based on data from 2017 Statistics of U.S. Businesses. Available at </w:t>
      </w:r>
      <w:bookmarkStart w:id="46" w:name="https://www.census.gov/data/tables/2017/"/>
      <w:bookmarkEnd w:id="46"/>
      <w:hyperlink r:id="rId6">
        <w:r>
          <w:rPr>
            <w:color w:val="0462C1"/>
            <w:spacing w:val="-2"/>
            <w:sz w:val="20"/>
            <w:u w:val="single" w:color="0462C1"/>
          </w:rPr>
          <w:t>https://www.census.gov/data/tables/2017/econ/susb/2017-susb-annual.html</w:t>
        </w:r>
        <w:r>
          <w:rPr>
            <w:spacing w:val="-2"/>
            <w:sz w:val="20"/>
          </w:rPr>
          <w:t>.</w:t>
        </w:r>
      </w:hyperlink>
    </w:p>
    <w:p w:rsidR="00B64E72" w14:paraId="7346CFA1" w14:textId="77777777">
      <w:pPr>
        <w:rPr>
          <w:sz w:val="20"/>
        </w:rPr>
        <w:sectPr>
          <w:pgSz w:w="12240" w:h="15840"/>
          <w:pgMar w:top="1660" w:right="360" w:bottom="1280" w:left="360" w:header="0" w:footer="1094" w:gutter="0"/>
          <w:cols w:space="720"/>
        </w:sectPr>
      </w:pPr>
    </w:p>
    <w:p w:rsidR="00B64E72" w14:paraId="7E983E08" w14:textId="77777777">
      <w:pPr>
        <w:pStyle w:val="ListParagraph"/>
        <w:numPr>
          <w:ilvl w:val="1"/>
          <w:numId w:val="3"/>
        </w:numPr>
        <w:tabs>
          <w:tab w:val="left" w:pos="1488"/>
        </w:tabs>
        <w:spacing w:before="79"/>
        <w:rPr>
          <w:sz w:val="24"/>
          <w:u w:val="none"/>
        </w:rPr>
      </w:pPr>
      <w:bookmarkStart w:id="47" w:name="6._Less_Frequent_Collection__"/>
      <w:bookmarkEnd w:id="47"/>
      <w:r>
        <w:rPr>
          <w:sz w:val="24"/>
        </w:rPr>
        <w:t>Less</w:t>
      </w:r>
      <w:r>
        <w:rPr>
          <w:spacing w:val="-2"/>
          <w:sz w:val="24"/>
        </w:rPr>
        <w:t xml:space="preserve"> </w:t>
      </w:r>
      <w:r>
        <w:rPr>
          <w:sz w:val="24"/>
        </w:rPr>
        <w:t>Frequent</w:t>
      </w:r>
      <w:r>
        <w:rPr>
          <w:spacing w:val="-2"/>
          <w:sz w:val="24"/>
        </w:rPr>
        <w:t xml:space="preserve"> Collection</w:t>
      </w:r>
    </w:p>
    <w:p w:rsidR="00B64E72" w14:paraId="3190C480" w14:textId="77777777">
      <w:pPr>
        <w:pStyle w:val="BodyText"/>
        <w:spacing w:before="43"/>
      </w:pPr>
    </w:p>
    <w:p w:rsidR="00B64E72" w14:paraId="19CF2544" w14:textId="77777777">
      <w:pPr>
        <w:pStyle w:val="BodyText"/>
        <w:spacing w:line="259" w:lineRule="auto"/>
        <w:ind w:left="1531" w:right="1105"/>
      </w:pPr>
      <w:bookmarkStart w:id="48" w:name="If_this_information_collection_is_conduc"/>
      <w:bookmarkEnd w:id="48"/>
      <w:r>
        <w:t>If this information collection is conducted less frequently, individuals in many cases would not have information regarding the protections against surprise medical bills. Additionally, without the information on whether an individual provided consent to be treated by a nonparticipating provider or emergency facility, plans and issuers would not be able to properly</w:t>
      </w:r>
      <w:r>
        <w:rPr>
          <w:spacing w:val="-4"/>
        </w:rPr>
        <w:t xml:space="preserve"> </w:t>
      </w:r>
      <w:r>
        <w:t>determine</w:t>
      </w:r>
      <w:r>
        <w:rPr>
          <w:spacing w:val="-5"/>
        </w:rPr>
        <w:t xml:space="preserve"> </w:t>
      </w:r>
      <w:r>
        <w:t>cost</w:t>
      </w:r>
      <w:r>
        <w:rPr>
          <w:spacing w:val="-4"/>
        </w:rPr>
        <w:t xml:space="preserve"> </w:t>
      </w:r>
      <w:r>
        <w:t>sharing</w:t>
      </w:r>
      <w:r>
        <w:rPr>
          <w:spacing w:val="-3"/>
        </w:rPr>
        <w:t xml:space="preserve"> </w:t>
      </w:r>
      <w:r>
        <w:t>for</w:t>
      </w:r>
      <w:r>
        <w:rPr>
          <w:spacing w:val="-6"/>
        </w:rPr>
        <w:t xml:space="preserve"> </w:t>
      </w:r>
      <w:r>
        <w:t>participants,</w:t>
      </w:r>
      <w:r>
        <w:rPr>
          <w:spacing w:val="-4"/>
        </w:rPr>
        <w:t xml:space="preserve"> </w:t>
      </w:r>
      <w:r>
        <w:t>beneficiaries,</w:t>
      </w:r>
      <w:r>
        <w:rPr>
          <w:spacing w:val="-4"/>
        </w:rPr>
        <w:t xml:space="preserve"> </w:t>
      </w:r>
      <w:r>
        <w:t>and</w:t>
      </w:r>
      <w:r>
        <w:rPr>
          <w:spacing w:val="-2"/>
        </w:rPr>
        <w:t xml:space="preserve"> </w:t>
      </w:r>
      <w:r>
        <w:t>enrollees.</w:t>
      </w:r>
      <w:r>
        <w:rPr>
          <w:spacing w:val="-4"/>
        </w:rPr>
        <w:t xml:space="preserve"> </w:t>
      </w:r>
      <w:r>
        <w:t>Without</w:t>
      </w:r>
      <w:r>
        <w:rPr>
          <w:spacing w:val="-4"/>
        </w:rPr>
        <w:t xml:space="preserve"> </w:t>
      </w:r>
      <w:r>
        <w:t>timely notification from plans and issuers of how they determined the QPA, providers, facilities, and</w:t>
      </w:r>
      <w:r>
        <w:rPr>
          <w:spacing w:val="-1"/>
        </w:rPr>
        <w:t xml:space="preserve"> </w:t>
      </w:r>
      <w:r>
        <w:t>providers</w:t>
      </w:r>
      <w:r>
        <w:rPr>
          <w:spacing w:val="-1"/>
        </w:rPr>
        <w:t xml:space="preserve"> </w:t>
      </w:r>
      <w:r>
        <w:t>of</w:t>
      </w:r>
      <w:r>
        <w:rPr>
          <w:spacing w:val="-1"/>
        </w:rPr>
        <w:t xml:space="preserve"> </w:t>
      </w:r>
      <w:r>
        <w:t>air</w:t>
      </w:r>
      <w:r>
        <w:rPr>
          <w:spacing w:val="-1"/>
        </w:rPr>
        <w:t xml:space="preserve"> </w:t>
      </w:r>
      <w:r>
        <w:t>ambulance</w:t>
      </w:r>
      <w:r>
        <w:rPr>
          <w:spacing w:val="-2"/>
        </w:rPr>
        <w:t xml:space="preserve"> </w:t>
      </w:r>
      <w:r>
        <w:t>services would</w:t>
      </w:r>
      <w:r>
        <w:rPr>
          <w:spacing w:val="-1"/>
        </w:rPr>
        <w:t xml:space="preserve"> </w:t>
      </w:r>
      <w:r>
        <w:t>not</w:t>
      </w:r>
      <w:r>
        <w:rPr>
          <w:spacing w:val="-1"/>
        </w:rPr>
        <w:t xml:space="preserve"> </w:t>
      </w:r>
      <w:r>
        <w:t>be</w:t>
      </w:r>
      <w:r>
        <w:rPr>
          <w:spacing w:val="-1"/>
        </w:rPr>
        <w:t xml:space="preserve"> </w:t>
      </w:r>
      <w:r>
        <w:t>able</w:t>
      </w:r>
      <w:r>
        <w:rPr>
          <w:spacing w:val="-1"/>
        </w:rPr>
        <w:t xml:space="preserve"> </w:t>
      </w:r>
      <w:r>
        <w:t>to</w:t>
      </w:r>
      <w:r>
        <w:rPr>
          <w:spacing w:val="-1"/>
        </w:rPr>
        <w:t xml:space="preserve"> </w:t>
      </w:r>
      <w:r>
        <w:t>determine whether</w:t>
      </w:r>
      <w:r>
        <w:rPr>
          <w:spacing w:val="-3"/>
        </w:rPr>
        <w:t xml:space="preserve"> </w:t>
      </w:r>
      <w:r>
        <w:t>it</w:t>
      </w:r>
      <w:r>
        <w:rPr>
          <w:spacing w:val="-1"/>
        </w:rPr>
        <w:t xml:space="preserve"> </w:t>
      </w:r>
      <w:r>
        <w:t>is</w:t>
      </w:r>
      <w:r>
        <w:rPr>
          <w:spacing w:val="-1"/>
        </w:rPr>
        <w:t xml:space="preserve"> </w:t>
      </w:r>
      <w:r>
        <w:t>in</w:t>
      </w:r>
      <w:r>
        <w:rPr>
          <w:spacing w:val="-1"/>
        </w:rPr>
        <w:t xml:space="preserve"> </w:t>
      </w:r>
      <w:r>
        <w:t xml:space="preserve">their best interest to accept a plan’s or issuer’s initial payment amount as payment in full (including a participant’s, beneficiary’s, or enrollee’s cost sharing). Additionally, without the requirement to disclose information regarding both the QPA (based on the </w:t>
      </w:r>
      <w:r>
        <w:t>downcoded</w:t>
      </w:r>
      <w:r>
        <w:t xml:space="preserve"> service code or modifier) and the amount that would have been the QPA had the service code or modifier not been </w:t>
      </w:r>
      <w:r>
        <w:t>downcoded</w:t>
      </w:r>
      <w:r>
        <w:t>, nonparticipating providers, facilities, and providers of air ambulance services would not be able to ascertain what</w:t>
      </w:r>
      <w:r>
        <w:t xml:space="preserve"> information will demonstrate that</w:t>
      </w:r>
      <w:r>
        <w:rPr>
          <w:spacing w:val="-2"/>
        </w:rPr>
        <w:t xml:space="preserve"> </w:t>
      </w:r>
      <w:r>
        <w:t>the</w:t>
      </w:r>
      <w:r>
        <w:rPr>
          <w:spacing w:val="-2"/>
        </w:rPr>
        <w:t xml:space="preserve"> </w:t>
      </w:r>
      <w:r>
        <w:t>provider’s,</w:t>
      </w:r>
      <w:r>
        <w:rPr>
          <w:spacing w:val="-2"/>
        </w:rPr>
        <w:t xml:space="preserve"> </w:t>
      </w:r>
      <w:r>
        <w:t>facility’s,</w:t>
      </w:r>
      <w:r>
        <w:rPr>
          <w:spacing w:val="-2"/>
        </w:rPr>
        <w:t xml:space="preserve"> </w:t>
      </w:r>
      <w:r>
        <w:t>or</w:t>
      </w:r>
      <w:r>
        <w:rPr>
          <w:spacing w:val="-3"/>
        </w:rPr>
        <w:t xml:space="preserve"> </w:t>
      </w:r>
      <w:r>
        <w:t>provider</w:t>
      </w:r>
      <w:r>
        <w:rPr>
          <w:spacing w:val="-2"/>
        </w:rPr>
        <w:t xml:space="preserve"> </w:t>
      </w:r>
      <w:r>
        <w:t>of</w:t>
      </w:r>
      <w:r>
        <w:rPr>
          <w:spacing w:val="-2"/>
        </w:rPr>
        <w:t xml:space="preserve"> </w:t>
      </w:r>
      <w:r>
        <w:t>air ambulance</w:t>
      </w:r>
      <w:r>
        <w:rPr>
          <w:spacing w:val="-3"/>
        </w:rPr>
        <w:t xml:space="preserve"> </w:t>
      </w:r>
      <w:r>
        <w:t>services’</w:t>
      </w:r>
      <w:r>
        <w:rPr>
          <w:spacing w:val="-2"/>
        </w:rPr>
        <w:t xml:space="preserve"> </w:t>
      </w:r>
      <w:r>
        <w:t>offer</w:t>
      </w:r>
      <w:r>
        <w:rPr>
          <w:spacing w:val="-2"/>
        </w:rPr>
        <w:t xml:space="preserve"> </w:t>
      </w:r>
      <w:r>
        <w:t>best</w:t>
      </w:r>
      <w:r>
        <w:rPr>
          <w:spacing w:val="-2"/>
        </w:rPr>
        <w:t xml:space="preserve"> </w:t>
      </w:r>
      <w:r>
        <w:t>represents</w:t>
      </w:r>
      <w:r>
        <w:rPr>
          <w:spacing w:val="-2"/>
        </w:rPr>
        <w:t xml:space="preserve"> </w:t>
      </w:r>
      <w:r>
        <w:t>the value of the item or service and thus might result in the certified IDR entity selecting an offer that does not best represents the value of the item or service provided.</w:t>
      </w:r>
    </w:p>
    <w:p w:rsidR="00B64E72" w14:paraId="3AD54F1C" w14:textId="77777777">
      <w:pPr>
        <w:pStyle w:val="BodyText"/>
        <w:spacing w:before="20"/>
      </w:pPr>
    </w:p>
    <w:p w:rsidR="00B64E72" w14:paraId="2448C1DC" w14:textId="77777777">
      <w:pPr>
        <w:pStyle w:val="ListParagraph"/>
        <w:numPr>
          <w:ilvl w:val="1"/>
          <w:numId w:val="3"/>
        </w:numPr>
        <w:tabs>
          <w:tab w:val="left" w:pos="1488"/>
        </w:tabs>
        <w:rPr>
          <w:sz w:val="24"/>
          <w:u w:val="none"/>
        </w:rPr>
      </w:pPr>
      <w:bookmarkStart w:id="49" w:name="7._Special_Circumstances__"/>
      <w:bookmarkEnd w:id="49"/>
      <w:r>
        <w:rPr>
          <w:sz w:val="24"/>
        </w:rPr>
        <w:t>Special</w:t>
      </w:r>
      <w:r>
        <w:rPr>
          <w:spacing w:val="-2"/>
          <w:sz w:val="24"/>
        </w:rPr>
        <w:t xml:space="preserve"> Circumstances</w:t>
      </w:r>
    </w:p>
    <w:p w:rsidR="00B64E72" w14:paraId="1641E2DA" w14:textId="77777777">
      <w:pPr>
        <w:pStyle w:val="BodyText"/>
        <w:spacing w:before="43"/>
      </w:pPr>
    </w:p>
    <w:p w:rsidR="00B64E72" w14:paraId="78A87512" w14:textId="77777777">
      <w:pPr>
        <w:pStyle w:val="BodyText"/>
        <w:ind w:left="1498"/>
      </w:pPr>
      <w:bookmarkStart w:id="50" w:name="There_are_no_special_circumstances.__"/>
      <w:bookmarkEnd w:id="50"/>
      <w:r>
        <w:t>There</w:t>
      </w:r>
      <w:r>
        <w:rPr>
          <w:spacing w:val="-1"/>
        </w:rPr>
        <w:t xml:space="preserve"> </w:t>
      </w:r>
      <w:r>
        <w:t>are</w:t>
      </w:r>
      <w:r>
        <w:rPr>
          <w:spacing w:val="-3"/>
        </w:rPr>
        <w:t xml:space="preserve"> </w:t>
      </w:r>
      <w:r>
        <w:t>no</w:t>
      </w:r>
      <w:r>
        <w:rPr>
          <w:spacing w:val="-1"/>
        </w:rPr>
        <w:t xml:space="preserve"> </w:t>
      </w:r>
      <w:r>
        <w:t xml:space="preserve">special </w:t>
      </w:r>
      <w:r>
        <w:rPr>
          <w:spacing w:val="-2"/>
        </w:rPr>
        <w:t>circumstances.</w:t>
      </w:r>
    </w:p>
    <w:p w:rsidR="00B64E72" w14:paraId="71A0365C" w14:textId="77777777">
      <w:pPr>
        <w:pStyle w:val="BodyText"/>
        <w:spacing w:before="34"/>
      </w:pPr>
    </w:p>
    <w:p w:rsidR="00B64E72" w14:paraId="2A526D52" w14:textId="77777777">
      <w:pPr>
        <w:pStyle w:val="ListParagraph"/>
        <w:numPr>
          <w:ilvl w:val="1"/>
          <w:numId w:val="3"/>
        </w:numPr>
        <w:tabs>
          <w:tab w:val="left" w:pos="1488"/>
        </w:tabs>
        <w:rPr>
          <w:sz w:val="24"/>
          <w:u w:val="none"/>
        </w:rPr>
      </w:pPr>
      <w:bookmarkStart w:id="51" w:name="8._Federal_Register/Outside_Consultation"/>
      <w:bookmarkEnd w:id="51"/>
      <w:r>
        <w:rPr>
          <w:sz w:val="24"/>
        </w:rPr>
        <w:t>Federal</w:t>
      </w:r>
      <w:r>
        <w:rPr>
          <w:spacing w:val="-4"/>
          <w:sz w:val="24"/>
        </w:rPr>
        <w:t xml:space="preserve"> </w:t>
      </w:r>
      <w:r>
        <w:rPr>
          <w:sz w:val="24"/>
        </w:rPr>
        <w:t>Register/Outside</w:t>
      </w:r>
      <w:r>
        <w:rPr>
          <w:spacing w:val="-2"/>
          <w:sz w:val="24"/>
        </w:rPr>
        <w:t xml:space="preserve"> Consultation</w:t>
      </w:r>
    </w:p>
    <w:p w:rsidR="00B64E72" w14:paraId="3738AD0B" w14:textId="77777777">
      <w:pPr>
        <w:pStyle w:val="BodyText"/>
        <w:spacing w:before="44"/>
      </w:pPr>
    </w:p>
    <w:p w:rsidR="00B64E72" w14:paraId="14535910" w14:textId="77777777">
      <w:pPr>
        <w:pStyle w:val="BodyText"/>
        <w:spacing w:line="247" w:lineRule="auto"/>
        <w:ind w:left="1507" w:right="1369" w:hanging="10"/>
      </w:pPr>
      <w:bookmarkStart w:id="52" w:name="A_notice_was_published_in_the_Federal_Re"/>
      <w:bookmarkEnd w:id="52"/>
      <w:r>
        <w:t>A notice was published in the Federal Register on December 11, 2024 (89 FR 99871), providing</w:t>
      </w:r>
      <w:r>
        <w:rPr>
          <w:spacing w:val="-3"/>
        </w:rPr>
        <w:t xml:space="preserve"> </w:t>
      </w:r>
      <w:r>
        <w:t>the</w:t>
      </w:r>
      <w:r>
        <w:rPr>
          <w:spacing w:val="-4"/>
        </w:rPr>
        <w:t xml:space="preserve"> </w:t>
      </w:r>
      <w:r>
        <w:t>public</w:t>
      </w:r>
      <w:r>
        <w:rPr>
          <w:spacing w:val="-4"/>
        </w:rPr>
        <w:t xml:space="preserve"> </w:t>
      </w:r>
      <w:r>
        <w:t>with</w:t>
      </w:r>
      <w:r>
        <w:rPr>
          <w:spacing w:val="-3"/>
        </w:rPr>
        <w:t xml:space="preserve"> </w:t>
      </w:r>
      <w:r>
        <w:t>a</w:t>
      </w:r>
      <w:r>
        <w:rPr>
          <w:spacing w:val="-3"/>
        </w:rPr>
        <w:t xml:space="preserve"> </w:t>
      </w:r>
      <w:r>
        <w:t>60-day</w:t>
      </w:r>
      <w:r>
        <w:rPr>
          <w:spacing w:val="-3"/>
        </w:rPr>
        <w:t xml:space="preserve"> </w:t>
      </w:r>
      <w:r>
        <w:t>period</w:t>
      </w:r>
      <w:r>
        <w:rPr>
          <w:spacing w:val="-3"/>
        </w:rPr>
        <w:t xml:space="preserve"> </w:t>
      </w:r>
      <w:r>
        <w:t>to</w:t>
      </w:r>
      <w:r>
        <w:rPr>
          <w:spacing w:val="-3"/>
        </w:rPr>
        <w:t xml:space="preserve"> </w:t>
      </w:r>
      <w:r>
        <w:t>submit</w:t>
      </w:r>
      <w:r>
        <w:rPr>
          <w:spacing w:val="-3"/>
        </w:rPr>
        <w:t xml:space="preserve"> </w:t>
      </w:r>
      <w:r>
        <w:t>written</w:t>
      </w:r>
      <w:r>
        <w:rPr>
          <w:spacing w:val="-3"/>
        </w:rPr>
        <w:t xml:space="preserve"> </w:t>
      </w:r>
      <w:r>
        <w:t>comments</w:t>
      </w:r>
      <w:r>
        <w:rPr>
          <w:spacing w:val="-3"/>
        </w:rPr>
        <w:t xml:space="preserve"> </w:t>
      </w:r>
      <w:r>
        <w:t>on</w:t>
      </w:r>
      <w:r>
        <w:rPr>
          <w:spacing w:val="-3"/>
        </w:rPr>
        <w:t xml:space="preserve"> </w:t>
      </w:r>
      <w:r>
        <w:t>the</w:t>
      </w:r>
      <w:r>
        <w:rPr>
          <w:spacing w:val="-2"/>
        </w:rPr>
        <w:t xml:space="preserve"> </w:t>
      </w:r>
      <w:r>
        <w:t>ICRs.</w:t>
      </w:r>
      <w:r>
        <w:rPr>
          <w:spacing w:val="-3"/>
        </w:rPr>
        <w:t xml:space="preserve"> </w:t>
      </w:r>
      <w:r>
        <w:t>No comments were received for this information collection.</w:t>
      </w:r>
    </w:p>
    <w:p w:rsidR="004F58A6" w14:paraId="44E18F48" w14:textId="77777777">
      <w:pPr>
        <w:pStyle w:val="BodyText"/>
        <w:spacing w:line="247" w:lineRule="auto"/>
        <w:ind w:left="1507" w:right="1369" w:hanging="10"/>
      </w:pPr>
    </w:p>
    <w:p w:rsidR="004F58A6" w:rsidP="004F58A6" w14:paraId="30A22043" w14:textId="268EE538">
      <w:pPr>
        <w:pStyle w:val="BodyText"/>
        <w:spacing w:line="247" w:lineRule="auto"/>
        <w:ind w:left="1507" w:right="1369" w:hanging="10"/>
      </w:pPr>
      <w:r>
        <w:t xml:space="preserve">A notice was published in the Federal Register on </w:t>
      </w:r>
      <w:r>
        <w:t>May 12, 2025</w:t>
      </w:r>
      <w:r>
        <w:t xml:space="preserve"> (</w:t>
      </w:r>
      <w:r>
        <w:t>90</w:t>
      </w:r>
      <w:r>
        <w:t xml:space="preserve"> FR </w:t>
      </w:r>
      <w:r>
        <w:t>20166</w:t>
      </w:r>
      <w:r>
        <w:t>), providing</w:t>
      </w:r>
      <w:r>
        <w:rPr>
          <w:spacing w:val="-3"/>
        </w:rPr>
        <w:t xml:space="preserve"> </w:t>
      </w:r>
      <w:r>
        <w:t>the</w:t>
      </w:r>
      <w:r>
        <w:rPr>
          <w:spacing w:val="-4"/>
        </w:rPr>
        <w:t xml:space="preserve"> </w:t>
      </w:r>
      <w:r>
        <w:t>public</w:t>
      </w:r>
      <w:r>
        <w:rPr>
          <w:spacing w:val="-4"/>
        </w:rPr>
        <w:t xml:space="preserve"> </w:t>
      </w:r>
      <w:r>
        <w:t>with</w:t>
      </w:r>
      <w:r>
        <w:rPr>
          <w:spacing w:val="-3"/>
        </w:rPr>
        <w:t xml:space="preserve"> </w:t>
      </w:r>
      <w:r>
        <w:t>a</w:t>
      </w:r>
      <w:r>
        <w:rPr>
          <w:spacing w:val="-3"/>
        </w:rPr>
        <w:t xml:space="preserve"> </w:t>
      </w:r>
      <w:r>
        <w:t>3</w:t>
      </w:r>
      <w:r>
        <w:t>0-day</w:t>
      </w:r>
      <w:r>
        <w:rPr>
          <w:spacing w:val="-3"/>
        </w:rPr>
        <w:t xml:space="preserve"> </w:t>
      </w:r>
      <w:r>
        <w:t>period</w:t>
      </w:r>
      <w:r>
        <w:rPr>
          <w:spacing w:val="-3"/>
        </w:rPr>
        <w:t xml:space="preserve"> </w:t>
      </w:r>
      <w:r>
        <w:t>to</w:t>
      </w:r>
      <w:r>
        <w:rPr>
          <w:spacing w:val="-3"/>
        </w:rPr>
        <w:t xml:space="preserve"> </w:t>
      </w:r>
      <w:r>
        <w:t>submit</w:t>
      </w:r>
      <w:r>
        <w:rPr>
          <w:spacing w:val="-3"/>
        </w:rPr>
        <w:t xml:space="preserve"> </w:t>
      </w:r>
      <w:r>
        <w:t>written</w:t>
      </w:r>
      <w:r>
        <w:rPr>
          <w:spacing w:val="-3"/>
        </w:rPr>
        <w:t xml:space="preserve"> </w:t>
      </w:r>
      <w:r>
        <w:t>comments</w:t>
      </w:r>
      <w:r>
        <w:rPr>
          <w:spacing w:val="-3"/>
        </w:rPr>
        <w:t xml:space="preserve"> </w:t>
      </w:r>
      <w:r>
        <w:t>on</w:t>
      </w:r>
      <w:r>
        <w:rPr>
          <w:spacing w:val="-3"/>
        </w:rPr>
        <w:t xml:space="preserve"> </w:t>
      </w:r>
      <w:r>
        <w:t>the</w:t>
      </w:r>
      <w:r>
        <w:rPr>
          <w:spacing w:val="-2"/>
        </w:rPr>
        <w:t xml:space="preserve"> </w:t>
      </w:r>
      <w:r>
        <w:t>ICRs.</w:t>
      </w:r>
      <w:r>
        <w:rPr>
          <w:spacing w:val="-3"/>
        </w:rPr>
        <w:t xml:space="preserve"> </w:t>
      </w:r>
    </w:p>
    <w:p w:rsidR="004F58A6" w14:paraId="4145CAB5" w14:textId="77777777">
      <w:pPr>
        <w:pStyle w:val="BodyText"/>
        <w:spacing w:line="247" w:lineRule="auto"/>
        <w:ind w:left="1507" w:right="1369" w:hanging="10"/>
      </w:pPr>
    </w:p>
    <w:p w:rsidR="00B64E72" w14:paraId="5C8C7B06" w14:textId="77777777">
      <w:pPr>
        <w:pStyle w:val="BodyText"/>
        <w:spacing w:before="28"/>
      </w:pPr>
    </w:p>
    <w:p w:rsidR="00B64E72" w14:paraId="14588892" w14:textId="77777777">
      <w:pPr>
        <w:pStyle w:val="ListParagraph"/>
        <w:numPr>
          <w:ilvl w:val="1"/>
          <w:numId w:val="3"/>
        </w:numPr>
        <w:tabs>
          <w:tab w:val="left" w:pos="1488"/>
        </w:tabs>
        <w:rPr>
          <w:sz w:val="24"/>
          <w:u w:val="none"/>
        </w:rPr>
      </w:pPr>
      <w:bookmarkStart w:id="53" w:name="9._Payments/Gifts_to_Respondents__"/>
      <w:bookmarkEnd w:id="53"/>
      <w:r>
        <w:rPr>
          <w:sz w:val="24"/>
        </w:rPr>
        <w:t>Payments/Gifts</w:t>
      </w:r>
      <w:r>
        <w:rPr>
          <w:spacing w:val="-1"/>
          <w:sz w:val="24"/>
        </w:rPr>
        <w:t xml:space="preserve"> </w:t>
      </w:r>
      <w:r>
        <w:rPr>
          <w:sz w:val="24"/>
        </w:rPr>
        <w:t xml:space="preserve">to </w:t>
      </w:r>
      <w:r>
        <w:rPr>
          <w:spacing w:val="-2"/>
          <w:sz w:val="24"/>
        </w:rPr>
        <w:t>Respondents</w:t>
      </w:r>
    </w:p>
    <w:p w:rsidR="00B64E72" w14:paraId="237C1864" w14:textId="77777777">
      <w:pPr>
        <w:pStyle w:val="BodyText"/>
        <w:spacing w:before="43"/>
      </w:pPr>
    </w:p>
    <w:p w:rsidR="00B64E72" w14:paraId="6AC07583" w14:textId="77777777">
      <w:pPr>
        <w:pStyle w:val="BodyText"/>
        <w:ind w:left="1498"/>
      </w:pPr>
      <w:bookmarkStart w:id="54" w:name="No_payments_or_gifts_are_associated_with"/>
      <w:bookmarkEnd w:id="54"/>
      <w:r>
        <w:t>No</w:t>
      </w:r>
      <w:r>
        <w:rPr>
          <w:spacing w:val="-3"/>
        </w:rPr>
        <w:t xml:space="preserve"> </w:t>
      </w:r>
      <w:r>
        <w:t>payments</w:t>
      </w:r>
      <w:r>
        <w:rPr>
          <w:spacing w:val="-1"/>
        </w:rPr>
        <w:t xml:space="preserve"> </w:t>
      </w:r>
      <w:r>
        <w:t>or gifts</w:t>
      </w:r>
      <w:r>
        <w:rPr>
          <w:spacing w:val="-1"/>
        </w:rPr>
        <w:t xml:space="preserve"> </w:t>
      </w:r>
      <w:r>
        <w:t>are associated with</w:t>
      </w:r>
      <w:r>
        <w:rPr>
          <w:spacing w:val="-1"/>
        </w:rPr>
        <w:t xml:space="preserve"> </w:t>
      </w:r>
      <w:r>
        <w:t>these</w:t>
      </w:r>
      <w:r>
        <w:rPr>
          <w:spacing w:val="-1"/>
        </w:rPr>
        <w:t xml:space="preserve"> </w:t>
      </w:r>
      <w:r>
        <w:t>information</w:t>
      </w:r>
      <w:r>
        <w:rPr>
          <w:spacing w:val="1"/>
        </w:rPr>
        <w:t xml:space="preserve"> </w:t>
      </w:r>
      <w:r>
        <w:rPr>
          <w:spacing w:val="-2"/>
        </w:rPr>
        <w:t>collections.</w:t>
      </w:r>
    </w:p>
    <w:p w:rsidR="00B64E72" w14:paraId="746923D7" w14:textId="77777777">
      <w:pPr>
        <w:pStyle w:val="BodyText"/>
        <w:spacing w:before="36"/>
      </w:pPr>
    </w:p>
    <w:p w:rsidR="00B64E72" w14:paraId="0090D59D" w14:textId="77777777">
      <w:pPr>
        <w:pStyle w:val="ListParagraph"/>
        <w:numPr>
          <w:ilvl w:val="1"/>
          <w:numId w:val="3"/>
        </w:numPr>
        <w:tabs>
          <w:tab w:val="left" w:pos="1488"/>
        </w:tabs>
        <w:rPr>
          <w:sz w:val="24"/>
          <w:u w:val="none"/>
        </w:rPr>
      </w:pPr>
      <w:bookmarkStart w:id="55" w:name="10._Confidentiality__"/>
      <w:bookmarkEnd w:id="55"/>
      <w:r>
        <w:rPr>
          <w:spacing w:val="-2"/>
          <w:sz w:val="24"/>
        </w:rPr>
        <w:t>Confidentiality</w:t>
      </w:r>
    </w:p>
    <w:p w:rsidR="00B64E72" w14:paraId="4F5F87BB" w14:textId="77777777">
      <w:pPr>
        <w:pStyle w:val="BodyText"/>
        <w:spacing w:before="44"/>
      </w:pPr>
    </w:p>
    <w:p w:rsidR="00B64E72" w14:paraId="1EE6E468" w14:textId="77777777">
      <w:pPr>
        <w:pStyle w:val="BodyText"/>
        <w:spacing w:line="247" w:lineRule="auto"/>
        <w:ind w:left="1507" w:right="1099" w:hanging="10"/>
      </w:pPr>
      <w:bookmarkStart w:id="56" w:name="Privacy_of_the_information_provided_will"/>
      <w:bookmarkEnd w:id="56"/>
      <w:r>
        <w:t>Privacy</w:t>
      </w:r>
      <w:r>
        <w:rPr>
          <w:spacing w:val="-3"/>
        </w:rPr>
        <w:t xml:space="preserve"> </w:t>
      </w:r>
      <w:r>
        <w:t>of</w:t>
      </w:r>
      <w:r>
        <w:rPr>
          <w:spacing w:val="-3"/>
        </w:rPr>
        <w:t xml:space="preserve"> </w:t>
      </w:r>
      <w:r>
        <w:t>the</w:t>
      </w:r>
      <w:r>
        <w:rPr>
          <w:spacing w:val="-5"/>
        </w:rPr>
        <w:t xml:space="preserve"> </w:t>
      </w:r>
      <w:r>
        <w:t>information</w:t>
      </w:r>
      <w:r>
        <w:rPr>
          <w:spacing w:val="-3"/>
        </w:rPr>
        <w:t xml:space="preserve"> </w:t>
      </w:r>
      <w:r>
        <w:t>provided</w:t>
      </w:r>
      <w:r>
        <w:rPr>
          <w:spacing w:val="-3"/>
        </w:rPr>
        <w:t xml:space="preserve"> </w:t>
      </w:r>
      <w:r>
        <w:t>will</w:t>
      </w:r>
      <w:r>
        <w:rPr>
          <w:spacing w:val="-3"/>
        </w:rPr>
        <w:t xml:space="preserve"> </w:t>
      </w:r>
      <w:r>
        <w:t>be</w:t>
      </w:r>
      <w:r>
        <w:rPr>
          <w:spacing w:val="-3"/>
        </w:rPr>
        <w:t xml:space="preserve"> </w:t>
      </w:r>
      <w:r>
        <w:t>protected</w:t>
      </w:r>
      <w:r>
        <w:rPr>
          <w:spacing w:val="-3"/>
        </w:rPr>
        <w:t xml:space="preserve"> </w:t>
      </w:r>
      <w:r>
        <w:t>to</w:t>
      </w:r>
      <w:r>
        <w:rPr>
          <w:spacing w:val="-3"/>
        </w:rPr>
        <w:t xml:space="preserve"> </w:t>
      </w:r>
      <w:r>
        <w:t>the</w:t>
      </w:r>
      <w:r>
        <w:rPr>
          <w:spacing w:val="-3"/>
        </w:rPr>
        <w:t xml:space="preserve"> </w:t>
      </w:r>
      <w:r>
        <w:t>extent</w:t>
      </w:r>
      <w:r>
        <w:rPr>
          <w:spacing w:val="-3"/>
        </w:rPr>
        <w:t xml:space="preserve"> </w:t>
      </w:r>
      <w:r>
        <w:t>provided</w:t>
      </w:r>
      <w:r>
        <w:rPr>
          <w:spacing w:val="-2"/>
        </w:rPr>
        <w:t xml:space="preserve"> </w:t>
      </w:r>
      <w:r>
        <w:t>by</w:t>
      </w:r>
      <w:r>
        <w:rPr>
          <w:spacing w:val="-3"/>
        </w:rPr>
        <w:t xml:space="preserve"> </w:t>
      </w:r>
      <w:r>
        <w:t>law</w:t>
      </w:r>
      <w:r>
        <w:rPr>
          <w:spacing w:val="-4"/>
        </w:rPr>
        <w:t xml:space="preserve"> </w:t>
      </w:r>
      <w:r>
        <w:t>(Privacy Act</w:t>
      </w:r>
      <w:r>
        <w:rPr>
          <w:spacing w:val="-3"/>
        </w:rPr>
        <w:t xml:space="preserve"> </w:t>
      </w:r>
      <w:r>
        <w:t>of</w:t>
      </w:r>
      <w:r>
        <w:rPr>
          <w:spacing w:val="-3"/>
        </w:rPr>
        <w:t xml:space="preserve"> </w:t>
      </w:r>
      <w:r>
        <w:t>1974</w:t>
      </w:r>
      <w:r>
        <w:rPr>
          <w:spacing w:val="-3"/>
        </w:rPr>
        <w:t xml:space="preserve"> </w:t>
      </w:r>
      <w:r>
        <w:t>((5</w:t>
      </w:r>
      <w:r>
        <w:rPr>
          <w:spacing w:val="-2"/>
        </w:rPr>
        <w:t xml:space="preserve"> </w:t>
      </w:r>
      <w:r>
        <w:t>U.S.C.</w:t>
      </w:r>
      <w:r>
        <w:rPr>
          <w:spacing w:val="-3"/>
        </w:rPr>
        <w:t xml:space="preserve"> </w:t>
      </w:r>
      <w:r>
        <w:t>§552(a))</w:t>
      </w:r>
      <w:r>
        <w:rPr>
          <w:spacing w:val="-3"/>
        </w:rPr>
        <w:t xml:space="preserve"> </w:t>
      </w:r>
      <w:r>
        <w:t>and</w:t>
      </w:r>
      <w:r>
        <w:rPr>
          <w:spacing w:val="-3"/>
        </w:rPr>
        <w:t xml:space="preserve"> </w:t>
      </w:r>
      <w:r>
        <w:t>FOIA</w:t>
      </w:r>
      <w:r>
        <w:rPr>
          <w:spacing w:val="-3"/>
        </w:rPr>
        <w:t xml:space="preserve"> </w:t>
      </w:r>
      <w:r>
        <w:t>Exemption</w:t>
      </w:r>
      <w:r>
        <w:rPr>
          <w:spacing w:val="-3"/>
        </w:rPr>
        <w:t xml:space="preserve"> </w:t>
      </w:r>
      <w:r>
        <w:t>((5</w:t>
      </w:r>
      <w:r>
        <w:rPr>
          <w:spacing w:val="-3"/>
        </w:rPr>
        <w:t xml:space="preserve"> </w:t>
      </w:r>
      <w:r>
        <w:t>U.S.C.</w:t>
      </w:r>
      <w:r>
        <w:rPr>
          <w:spacing w:val="-3"/>
        </w:rPr>
        <w:t xml:space="preserve"> </w:t>
      </w:r>
      <w:r>
        <w:t>§552(b))).</w:t>
      </w:r>
      <w:r>
        <w:rPr>
          <w:spacing w:val="-1"/>
        </w:rPr>
        <w:t xml:space="preserve"> </w:t>
      </w:r>
      <w:r>
        <w:t>With</w:t>
      </w:r>
      <w:r>
        <w:rPr>
          <w:spacing w:val="-3"/>
        </w:rPr>
        <w:t xml:space="preserve"> </w:t>
      </w:r>
      <w:r>
        <w:t>regards</w:t>
      </w:r>
      <w:r>
        <w:rPr>
          <w:spacing w:val="-3"/>
        </w:rPr>
        <w:t xml:space="preserve"> </w:t>
      </w:r>
      <w:r>
        <w:t>to third party notifications included in this ICR, the issue of confidentiality between third parties is out of scope for the collection.</w:t>
      </w:r>
    </w:p>
    <w:p w:rsidR="00B64E72" w14:paraId="1AD53610" w14:textId="77777777">
      <w:pPr>
        <w:pStyle w:val="BodyText"/>
        <w:spacing w:before="27"/>
      </w:pPr>
    </w:p>
    <w:p w:rsidR="00B64E72" w14:paraId="0087B3D9" w14:textId="77777777">
      <w:pPr>
        <w:pStyle w:val="ListParagraph"/>
        <w:numPr>
          <w:ilvl w:val="1"/>
          <w:numId w:val="3"/>
        </w:numPr>
        <w:tabs>
          <w:tab w:val="left" w:pos="1488"/>
        </w:tabs>
        <w:rPr>
          <w:sz w:val="24"/>
          <w:u w:val="none"/>
        </w:rPr>
      </w:pPr>
      <w:bookmarkStart w:id="57" w:name="11._Sensitive_Questions__"/>
      <w:bookmarkEnd w:id="57"/>
      <w:r>
        <w:rPr>
          <w:sz w:val="24"/>
        </w:rPr>
        <w:t>Sensitive</w:t>
      </w:r>
      <w:r>
        <w:rPr>
          <w:spacing w:val="-3"/>
          <w:sz w:val="24"/>
        </w:rPr>
        <w:t xml:space="preserve"> </w:t>
      </w:r>
      <w:r>
        <w:rPr>
          <w:spacing w:val="-2"/>
          <w:sz w:val="24"/>
        </w:rPr>
        <w:t>Questions</w:t>
      </w:r>
    </w:p>
    <w:p w:rsidR="00B64E72" w14:paraId="710B2980" w14:textId="77777777">
      <w:pPr>
        <w:pStyle w:val="ListParagraph"/>
        <w:rPr>
          <w:sz w:val="24"/>
        </w:rPr>
        <w:sectPr>
          <w:pgSz w:w="12240" w:h="15840"/>
          <w:pgMar w:top="1360" w:right="360" w:bottom="1280" w:left="360" w:header="0" w:footer="1094" w:gutter="0"/>
          <w:cols w:space="720"/>
        </w:sectPr>
      </w:pPr>
    </w:p>
    <w:p w:rsidR="00B64E72" w14:paraId="54441101" w14:textId="77777777">
      <w:pPr>
        <w:pStyle w:val="BodyText"/>
        <w:spacing w:before="79"/>
        <w:ind w:left="1558"/>
      </w:pPr>
      <w:bookmarkStart w:id="58" w:name="_These_information_collections_involve_n"/>
      <w:bookmarkEnd w:id="58"/>
      <w:r>
        <w:t>These</w:t>
      </w:r>
      <w:r>
        <w:rPr>
          <w:spacing w:val="-5"/>
        </w:rPr>
        <w:t xml:space="preserve"> </w:t>
      </w:r>
      <w:r>
        <w:t>information</w:t>
      </w:r>
      <w:r>
        <w:rPr>
          <w:spacing w:val="-1"/>
        </w:rPr>
        <w:t xml:space="preserve"> </w:t>
      </w:r>
      <w:r>
        <w:t>collections involve</w:t>
      </w:r>
      <w:r>
        <w:rPr>
          <w:spacing w:val="-2"/>
        </w:rPr>
        <w:t xml:space="preserve"> </w:t>
      </w:r>
      <w:r>
        <w:t>no</w:t>
      </w:r>
      <w:r>
        <w:rPr>
          <w:spacing w:val="-1"/>
        </w:rPr>
        <w:t xml:space="preserve"> </w:t>
      </w:r>
      <w:r>
        <w:t>sensitive</w:t>
      </w:r>
      <w:r>
        <w:rPr>
          <w:spacing w:val="-2"/>
        </w:rPr>
        <w:t xml:space="preserve"> questions.</w:t>
      </w:r>
    </w:p>
    <w:p w:rsidR="00B64E72" w14:paraId="524D4255" w14:textId="77777777">
      <w:pPr>
        <w:pStyle w:val="BodyText"/>
        <w:spacing w:before="34"/>
      </w:pPr>
    </w:p>
    <w:p w:rsidR="00B64E72" w14:paraId="78F69117" w14:textId="77777777">
      <w:pPr>
        <w:pStyle w:val="ListParagraph"/>
        <w:numPr>
          <w:ilvl w:val="1"/>
          <w:numId w:val="3"/>
        </w:numPr>
        <w:tabs>
          <w:tab w:val="left" w:pos="1488"/>
        </w:tabs>
        <w:rPr>
          <w:sz w:val="24"/>
          <w:u w:val="none"/>
        </w:rPr>
      </w:pPr>
      <w:bookmarkStart w:id="59" w:name="12._Burden_Estimates_(Hours_&amp;_Wages)__"/>
      <w:bookmarkEnd w:id="59"/>
      <w:r>
        <w:rPr>
          <w:sz w:val="24"/>
        </w:rPr>
        <w:t>Burden</w:t>
      </w:r>
      <w:r>
        <w:rPr>
          <w:spacing w:val="-1"/>
          <w:sz w:val="24"/>
        </w:rPr>
        <w:t xml:space="preserve"> </w:t>
      </w:r>
      <w:r>
        <w:rPr>
          <w:sz w:val="24"/>
        </w:rPr>
        <w:t>Estimates</w:t>
      </w:r>
      <w:r>
        <w:rPr>
          <w:spacing w:val="-1"/>
          <w:sz w:val="24"/>
        </w:rPr>
        <w:t xml:space="preserve"> </w:t>
      </w:r>
      <w:r>
        <w:rPr>
          <w:sz w:val="24"/>
        </w:rPr>
        <w:t>(Hours &amp;</w:t>
      </w:r>
      <w:r>
        <w:rPr>
          <w:spacing w:val="-1"/>
          <w:sz w:val="24"/>
        </w:rPr>
        <w:t xml:space="preserve"> </w:t>
      </w:r>
      <w:r>
        <w:rPr>
          <w:spacing w:val="-2"/>
          <w:sz w:val="24"/>
        </w:rPr>
        <w:t>Wages)</w:t>
      </w:r>
    </w:p>
    <w:p w:rsidR="00B64E72" w14:paraId="262913DF" w14:textId="77777777">
      <w:pPr>
        <w:pStyle w:val="BodyText"/>
        <w:spacing w:before="43"/>
      </w:pPr>
    </w:p>
    <w:p w:rsidR="00B64E72" w14:paraId="10EC16E0" w14:textId="77777777">
      <w:pPr>
        <w:pStyle w:val="BodyText"/>
        <w:spacing w:line="247" w:lineRule="auto"/>
        <w:ind w:left="1507" w:right="1369" w:hanging="10"/>
      </w:pPr>
      <w:bookmarkStart w:id="60" w:name="To_derive_wage_estimates,_we_generally_u"/>
      <w:bookmarkEnd w:id="60"/>
      <w:r>
        <w:t>To derive wage estimates, we generally used data from the Bureau of Labor Statistics to derive median labor costs (including a 100 percent increase for the cost of fringe benefits and other indirect costs) for estimating the burden associated with the information collections</w:t>
      </w:r>
      <w:bookmarkStart w:id="61" w:name="5"/>
      <w:bookmarkEnd w:id="61"/>
      <w:hyperlink w:anchor="_bookmark4" w:history="1">
        <w:r>
          <w:t>.</w:t>
        </w:r>
        <w:r>
          <w:rPr>
            <w:vertAlign w:val="superscript"/>
          </w:rPr>
          <w:t>5</w:t>
        </w:r>
      </w:hyperlink>
      <w:r>
        <w:rPr>
          <w:spacing w:val="-2"/>
        </w:rPr>
        <w:t xml:space="preserve"> </w:t>
      </w:r>
      <w:r>
        <w:t>Table</w:t>
      </w:r>
      <w:r>
        <w:rPr>
          <w:spacing w:val="-3"/>
        </w:rPr>
        <w:t xml:space="preserve"> </w:t>
      </w:r>
      <w:r>
        <w:t>1</w:t>
      </w:r>
      <w:r>
        <w:rPr>
          <w:spacing w:val="-3"/>
        </w:rPr>
        <w:t xml:space="preserve"> </w:t>
      </w:r>
      <w:r>
        <w:t>below</w:t>
      </w:r>
      <w:r>
        <w:rPr>
          <w:spacing w:val="-3"/>
        </w:rPr>
        <w:t xml:space="preserve"> </w:t>
      </w:r>
      <w:r>
        <w:t>presents</w:t>
      </w:r>
      <w:r>
        <w:rPr>
          <w:spacing w:val="-3"/>
        </w:rPr>
        <w:t xml:space="preserve"> </w:t>
      </w:r>
      <w:r>
        <w:t>the</w:t>
      </w:r>
      <w:r>
        <w:rPr>
          <w:spacing w:val="-4"/>
        </w:rPr>
        <w:t xml:space="preserve"> </w:t>
      </w:r>
      <w:r>
        <w:t>mean</w:t>
      </w:r>
      <w:r>
        <w:rPr>
          <w:spacing w:val="-3"/>
        </w:rPr>
        <w:t xml:space="preserve"> </w:t>
      </w:r>
      <w:r>
        <w:t>hourly</w:t>
      </w:r>
      <w:r>
        <w:rPr>
          <w:spacing w:val="-3"/>
        </w:rPr>
        <w:t xml:space="preserve"> </w:t>
      </w:r>
      <w:r>
        <w:t>wage,</w:t>
      </w:r>
      <w:r>
        <w:rPr>
          <w:spacing w:val="-3"/>
        </w:rPr>
        <w:t xml:space="preserve"> </w:t>
      </w:r>
      <w:r>
        <w:t>the</w:t>
      </w:r>
      <w:r>
        <w:rPr>
          <w:spacing w:val="-3"/>
        </w:rPr>
        <w:t xml:space="preserve"> </w:t>
      </w:r>
      <w:r>
        <w:t>cost</w:t>
      </w:r>
      <w:r>
        <w:rPr>
          <w:spacing w:val="-3"/>
        </w:rPr>
        <w:t xml:space="preserve"> </w:t>
      </w:r>
      <w:r>
        <w:t>of</w:t>
      </w:r>
      <w:r>
        <w:rPr>
          <w:spacing w:val="-1"/>
        </w:rPr>
        <w:t xml:space="preserve"> </w:t>
      </w:r>
      <w:r>
        <w:t>fringe</w:t>
      </w:r>
      <w:r>
        <w:rPr>
          <w:spacing w:val="-4"/>
        </w:rPr>
        <w:t xml:space="preserve"> </w:t>
      </w:r>
      <w:r>
        <w:t>benefits</w:t>
      </w:r>
      <w:r>
        <w:rPr>
          <w:spacing w:val="-3"/>
        </w:rPr>
        <w:t xml:space="preserve"> </w:t>
      </w:r>
      <w:r>
        <w:t>and other indirect costs, and the adjusted hourly wage. As indicated, employee hourly wage estimates have been adjusted by a factor of 100 percent.</w:t>
      </w:r>
    </w:p>
    <w:p w:rsidR="00B64E72" w14:paraId="4C364014" w14:textId="77777777">
      <w:pPr>
        <w:pStyle w:val="BodyText"/>
        <w:spacing w:before="22"/>
      </w:pPr>
    </w:p>
    <w:p w:rsidR="00B64E72" w14:paraId="58451BA7" w14:textId="77777777">
      <w:pPr>
        <w:pStyle w:val="Heading1"/>
        <w:spacing w:before="1"/>
        <w:ind w:left="1080" w:right="0" w:firstLine="0"/>
      </w:pPr>
      <w:bookmarkStart w:id="62" w:name="TABLE_1:_Adjusted_Hourly_Wages_Used_in_B"/>
      <w:bookmarkEnd w:id="62"/>
      <w:r>
        <w:t>TABLE</w:t>
      </w:r>
      <w:r>
        <w:rPr>
          <w:spacing w:val="-2"/>
        </w:rPr>
        <w:t xml:space="preserve"> </w:t>
      </w:r>
      <w:r>
        <w:t>1:</w:t>
      </w:r>
      <w:r>
        <w:rPr>
          <w:spacing w:val="-2"/>
        </w:rPr>
        <w:t xml:space="preserve"> </w:t>
      </w:r>
      <w:r>
        <w:t>Adjusted</w:t>
      </w:r>
      <w:r>
        <w:rPr>
          <w:spacing w:val="-2"/>
        </w:rPr>
        <w:t xml:space="preserve"> </w:t>
      </w:r>
      <w:r>
        <w:t>Hourly</w:t>
      </w:r>
      <w:r>
        <w:rPr>
          <w:spacing w:val="-1"/>
        </w:rPr>
        <w:t xml:space="preserve"> </w:t>
      </w:r>
      <w:r>
        <w:t>Wages</w:t>
      </w:r>
      <w:r>
        <w:rPr>
          <w:spacing w:val="-2"/>
        </w:rPr>
        <w:t xml:space="preserve"> </w:t>
      </w:r>
      <w:r>
        <w:t>Used</w:t>
      </w:r>
      <w:r>
        <w:rPr>
          <w:spacing w:val="-2"/>
        </w:rPr>
        <w:t xml:space="preserve"> </w:t>
      </w:r>
      <w:r>
        <w:t>in</w:t>
      </w:r>
      <w:r>
        <w:rPr>
          <w:spacing w:val="-1"/>
        </w:rPr>
        <w:t xml:space="preserve"> </w:t>
      </w:r>
      <w:r>
        <w:t>Burden</w:t>
      </w:r>
      <w:r>
        <w:rPr>
          <w:spacing w:val="-1"/>
        </w:rPr>
        <w:t xml:space="preserve"> </w:t>
      </w:r>
      <w:r>
        <w:rPr>
          <w:spacing w:val="-2"/>
        </w:rPr>
        <w:t>Estimates</w:t>
      </w:r>
    </w:p>
    <w:p w:rsidR="00B64E72" w14:paraId="6E42AE15" w14:textId="77777777">
      <w:pPr>
        <w:pStyle w:val="BodyText"/>
        <w:spacing w:before="69"/>
        <w:rPr>
          <w:b/>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47"/>
        <w:gridCol w:w="1380"/>
        <w:gridCol w:w="1620"/>
        <w:gridCol w:w="1800"/>
        <w:gridCol w:w="1801"/>
      </w:tblGrid>
      <w:tr w14:paraId="611A1482" w14:textId="77777777">
        <w:tblPrEx>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52"/>
        </w:trPr>
        <w:tc>
          <w:tcPr>
            <w:tcW w:w="2847" w:type="dxa"/>
          </w:tcPr>
          <w:p w:rsidR="00B64E72" w14:paraId="0F1D425C" w14:textId="77777777">
            <w:pPr>
              <w:pStyle w:val="TableParagraph"/>
              <w:spacing w:before="125"/>
              <w:rPr>
                <w:b/>
                <w:sz w:val="20"/>
              </w:rPr>
            </w:pPr>
          </w:p>
          <w:p w:rsidR="00B64E72" w14:paraId="70877818" w14:textId="77777777">
            <w:pPr>
              <w:pStyle w:val="TableParagraph"/>
              <w:ind w:left="15" w:right="6"/>
              <w:jc w:val="center"/>
              <w:rPr>
                <w:sz w:val="20"/>
              </w:rPr>
            </w:pPr>
            <w:bookmarkStart w:id="63" w:name="Occupation_Title_"/>
            <w:bookmarkEnd w:id="63"/>
            <w:r>
              <w:rPr>
                <w:sz w:val="20"/>
              </w:rPr>
              <w:t>Occupation</w:t>
            </w:r>
            <w:r>
              <w:rPr>
                <w:spacing w:val="-6"/>
                <w:sz w:val="20"/>
              </w:rPr>
              <w:t xml:space="preserve"> </w:t>
            </w:r>
            <w:r>
              <w:rPr>
                <w:spacing w:val="-4"/>
                <w:sz w:val="20"/>
              </w:rPr>
              <w:t>Title</w:t>
            </w:r>
          </w:p>
        </w:tc>
        <w:tc>
          <w:tcPr>
            <w:tcW w:w="1380" w:type="dxa"/>
          </w:tcPr>
          <w:p w:rsidR="00B64E72" w14:paraId="18172529" w14:textId="77777777">
            <w:pPr>
              <w:pStyle w:val="TableParagraph"/>
              <w:spacing w:before="7"/>
              <w:rPr>
                <w:b/>
                <w:sz w:val="20"/>
              </w:rPr>
            </w:pPr>
          </w:p>
          <w:p w:rsidR="00B64E72" w14:paraId="4AF953DC" w14:textId="77777777">
            <w:pPr>
              <w:pStyle w:val="TableParagraph"/>
              <w:spacing w:before="1" w:line="247" w:lineRule="auto"/>
              <w:ind w:left="477" w:hanging="327"/>
              <w:rPr>
                <w:sz w:val="20"/>
              </w:rPr>
            </w:pPr>
            <w:bookmarkStart w:id="64" w:name="Occupational_Code_"/>
            <w:bookmarkEnd w:id="64"/>
            <w:r>
              <w:rPr>
                <w:spacing w:val="-2"/>
                <w:sz w:val="20"/>
              </w:rPr>
              <w:t xml:space="preserve">Occupational </w:t>
            </w:r>
            <w:r>
              <w:rPr>
                <w:spacing w:val="-4"/>
                <w:sz w:val="20"/>
              </w:rPr>
              <w:t>Code</w:t>
            </w:r>
          </w:p>
        </w:tc>
        <w:tc>
          <w:tcPr>
            <w:tcW w:w="1620" w:type="dxa"/>
          </w:tcPr>
          <w:p w:rsidR="00B64E72" w14:paraId="5A130114" w14:textId="77777777">
            <w:pPr>
              <w:pStyle w:val="TableParagraph"/>
              <w:spacing w:before="7"/>
              <w:rPr>
                <w:b/>
                <w:sz w:val="20"/>
              </w:rPr>
            </w:pPr>
          </w:p>
          <w:p w:rsidR="00B64E72" w14:paraId="261D3429" w14:textId="77777777">
            <w:pPr>
              <w:pStyle w:val="TableParagraph"/>
              <w:spacing w:before="1" w:line="247" w:lineRule="auto"/>
              <w:ind w:left="220" w:right="189" w:hanging="34"/>
              <w:rPr>
                <w:sz w:val="20"/>
              </w:rPr>
            </w:pPr>
            <w:bookmarkStart w:id="65" w:name="Median_Hourly_Wage_($/hour)_"/>
            <w:bookmarkEnd w:id="65"/>
            <w:r>
              <w:rPr>
                <w:sz w:val="20"/>
              </w:rPr>
              <w:t>Median</w:t>
            </w:r>
            <w:r>
              <w:rPr>
                <w:spacing w:val="-13"/>
                <w:sz w:val="20"/>
              </w:rPr>
              <w:t xml:space="preserve"> </w:t>
            </w:r>
            <w:r>
              <w:rPr>
                <w:sz w:val="20"/>
              </w:rPr>
              <w:t>Hourly Wage</w:t>
            </w:r>
            <w:r>
              <w:rPr>
                <w:spacing w:val="-5"/>
                <w:sz w:val="20"/>
              </w:rPr>
              <w:t xml:space="preserve"> </w:t>
            </w:r>
            <w:r>
              <w:rPr>
                <w:spacing w:val="-2"/>
                <w:sz w:val="20"/>
              </w:rPr>
              <w:t>($/hour)</w:t>
            </w:r>
          </w:p>
        </w:tc>
        <w:tc>
          <w:tcPr>
            <w:tcW w:w="1800" w:type="dxa"/>
          </w:tcPr>
          <w:p w:rsidR="00B64E72" w14:paraId="4966BED8" w14:textId="77777777">
            <w:pPr>
              <w:pStyle w:val="TableParagraph"/>
              <w:spacing w:line="247" w:lineRule="auto"/>
              <w:ind w:left="141" w:right="135" w:hanging="9"/>
              <w:jc w:val="center"/>
              <w:rPr>
                <w:sz w:val="20"/>
              </w:rPr>
            </w:pPr>
            <w:bookmarkStart w:id="66" w:name="Cost_of_Fringe_Benefits_and_Other_Indire"/>
            <w:bookmarkEnd w:id="66"/>
            <w:r>
              <w:rPr>
                <w:sz w:val="20"/>
              </w:rPr>
              <w:t>Cost of Fringe Benefits</w:t>
            </w:r>
            <w:r>
              <w:rPr>
                <w:spacing w:val="-13"/>
                <w:sz w:val="20"/>
              </w:rPr>
              <w:t xml:space="preserve"> </w:t>
            </w:r>
            <w:r>
              <w:rPr>
                <w:sz w:val="20"/>
              </w:rPr>
              <w:t>and</w:t>
            </w:r>
            <w:r>
              <w:rPr>
                <w:spacing w:val="-12"/>
                <w:sz w:val="20"/>
              </w:rPr>
              <w:t xml:space="preserve"> </w:t>
            </w:r>
            <w:r>
              <w:rPr>
                <w:sz w:val="20"/>
              </w:rPr>
              <w:t>Other Indirect Costs</w:t>
            </w:r>
          </w:p>
          <w:p w:rsidR="00B64E72" w14:paraId="05B435EB" w14:textId="77777777">
            <w:pPr>
              <w:pStyle w:val="TableParagraph"/>
              <w:spacing w:before="2" w:line="219" w:lineRule="exact"/>
              <w:ind w:left="11" w:right="8"/>
              <w:jc w:val="center"/>
              <w:rPr>
                <w:sz w:val="20"/>
              </w:rPr>
            </w:pPr>
            <w:r>
              <w:rPr>
                <w:spacing w:val="-2"/>
                <w:sz w:val="20"/>
              </w:rPr>
              <w:t>($/hour)</w:t>
            </w:r>
          </w:p>
        </w:tc>
        <w:tc>
          <w:tcPr>
            <w:tcW w:w="1801" w:type="dxa"/>
          </w:tcPr>
          <w:p w:rsidR="00B64E72" w14:paraId="6D853CDA" w14:textId="77777777">
            <w:pPr>
              <w:pStyle w:val="TableParagraph"/>
              <w:spacing w:before="7"/>
              <w:rPr>
                <w:b/>
                <w:sz w:val="20"/>
              </w:rPr>
            </w:pPr>
          </w:p>
          <w:p w:rsidR="00B64E72" w14:paraId="2B7C7826" w14:textId="77777777">
            <w:pPr>
              <w:pStyle w:val="TableParagraph"/>
              <w:spacing w:before="1" w:line="247" w:lineRule="auto"/>
              <w:ind w:left="312" w:right="227" w:hanging="94"/>
              <w:rPr>
                <w:sz w:val="20"/>
              </w:rPr>
            </w:pPr>
            <w:bookmarkStart w:id="67" w:name="Adjusted_Hourly_Wage_($/hour)_"/>
            <w:bookmarkEnd w:id="67"/>
            <w:r>
              <w:rPr>
                <w:sz w:val="20"/>
              </w:rPr>
              <w:t>Adjusted</w:t>
            </w:r>
            <w:r>
              <w:rPr>
                <w:spacing w:val="-13"/>
                <w:sz w:val="20"/>
              </w:rPr>
              <w:t xml:space="preserve"> </w:t>
            </w:r>
            <w:r>
              <w:rPr>
                <w:sz w:val="20"/>
              </w:rPr>
              <w:t>Hourly Wage ($/hour)</w:t>
            </w:r>
          </w:p>
        </w:tc>
      </w:tr>
      <w:tr w14:paraId="1D33167B" w14:textId="77777777">
        <w:tblPrEx>
          <w:tblW w:w="0" w:type="auto"/>
          <w:tblInd w:w="1090" w:type="dxa"/>
          <w:tblLayout w:type="fixed"/>
          <w:tblCellMar>
            <w:left w:w="0" w:type="dxa"/>
            <w:right w:w="0" w:type="dxa"/>
          </w:tblCellMar>
          <w:tblLook w:val="01E0"/>
        </w:tblPrEx>
        <w:trPr>
          <w:trHeight w:val="712"/>
        </w:trPr>
        <w:tc>
          <w:tcPr>
            <w:tcW w:w="2847" w:type="dxa"/>
          </w:tcPr>
          <w:p w:rsidR="00B64E72" w14:paraId="40919CBD" w14:textId="77777777">
            <w:pPr>
              <w:pStyle w:val="TableParagraph"/>
              <w:spacing w:line="247" w:lineRule="auto"/>
              <w:ind w:left="319" w:right="311" w:hanging="1"/>
              <w:jc w:val="center"/>
              <w:rPr>
                <w:sz w:val="20"/>
              </w:rPr>
            </w:pPr>
            <w:bookmarkStart w:id="68" w:name="Administrative_Assistants,_Except_Legal,"/>
            <w:bookmarkEnd w:id="68"/>
            <w:r>
              <w:rPr>
                <w:sz w:val="20"/>
              </w:rPr>
              <w:t>Administrative Assistants, Except</w:t>
            </w:r>
            <w:r>
              <w:rPr>
                <w:spacing w:val="-13"/>
                <w:sz w:val="20"/>
              </w:rPr>
              <w:t xml:space="preserve"> </w:t>
            </w:r>
            <w:r>
              <w:rPr>
                <w:sz w:val="20"/>
              </w:rPr>
              <w:t>Legal,</w:t>
            </w:r>
            <w:r>
              <w:rPr>
                <w:spacing w:val="-12"/>
                <w:sz w:val="20"/>
              </w:rPr>
              <w:t xml:space="preserve"> </w:t>
            </w:r>
            <w:r>
              <w:rPr>
                <w:sz w:val="20"/>
              </w:rPr>
              <w:t>Medical,</w:t>
            </w:r>
            <w:r>
              <w:rPr>
                <w:spacing w:val="-13"/>
                <w:sz w:val="20"/>
              </w:rPr>
              <w:t xml:space="preserve"> </w:t>
            </w:r>
            <w:r>
              <w:rPr>
                <w:sz w:val="20"/>
              </w:rPr>
              <w:t>and</w:t>
            </w:r>
          </w:p>
          <w:p w:rsidR="00B64E72" w14:paraId="2D36CC83" w14:textId="77777777">
            <w:pPr>
              <w:pStyle w:val="TableParagraph"/>
              <w:spacing w:before="1" w:line="217" w:lineRule="exact"/>
              <w:ind w:left="13" w:right="6"/>
              <w:jc w:val="center"/>
              <w:rPr>
                <w:sz w:val="20"/>
              </w:rPr>
            </w:pPr>
            <w:r>
              <w:rPr>
                <w:spacing w:val="-2"/>
                <w:sz w:val="20"/>
              </w:rPr>
              <w:t>Executive</w:t>
            </w:r>
          </w:p>
        </w:tc>
        <w:tc>
          <w:tcPr>
            <w:tcW w:w="1380" w:type="dxa"/>
          </w:tcPr>
          <w:p w:rsidR="00B64E72" w14:paraId="2A508CDE" w14:textId="77777777">
            <w:pPr>
              <w:pStyle w:val="TableParagraph"/>
              <w:spacing w:before="7"/>
              <w:rPr>
                <w:b/>
                <w:sz w:val="20"/>
              </w:rPr>
            </w:pPr>
          </w:p>
          <w:p w:rsidR="00B64E72" w14:paraId="6F38DADD" w14:textId="77777777">
            <w:pPr>
              <w:pStyle w:val="TableParagraph"/>
              <w:spacing w:before="1"/>
              <w:ind w:left="11" w:right="4"/>
              <w:jc w:val="center"/>
              <w:rPr>
                <w:sz w:val="20"/>
              </w:rPr>
            </w:pPr>
            <w:bookmarkStart w:id="69" w:name="43-6014_"/>
            <w:bookmarkEnd w:id="69"/>
            <w:r>
              <w:rPr>
                <w:spacing w:val="-2"/>
                <w:sz w:val="20"/>
              </w:rPr>
              <w:t>43-</w:t>
            </w:r>
            <w:r>
              <w:rPr>
                <w:spacing w:val="-4"/>
                <w:sz w:val="20"/>
              </w:rPr>
              <w:t>6014</w:t>
            </w:r>
          </w:p>
        </w:tc>
        <w:tc>
          <w:tcPr>
            <w:tcW w:w="1620" w:type="dxa"/>
          </w:tcPr>
          <w:p w:rsidR="00B64E72" w14:paraId="733155A8" w14:textId="77777777">
            <w:pPr>
              <w:pStyle w:val="TableParagraph"/>
              <w:spacing w:before="7"/>
              <w:rPr>
                <w:b/>
                <w:sz w:val="20"/>
              </w:rPr>
            </w:pPr>
          </w:p>
          <w:p w:rsidR="00B64E72" w14:paraId="46AFF429" w14:textId="77777777">
            <w:pPr>
              <w:pStyle w:val="TableParagraph"/>
              <w:spacing w:before="1"/>
              <w:ind w:left="12" w:right="7"/>
              <w:jc w:val="center"/>
              <w:rPr>
                <w:sz w:val="20"/>
              </w:rPr>
            </w:pPr>
            <w:r>
              <w:rPr>
                <w:spacing w:val="-2"/>
                <w:sz w:val="20"/>
              </w:rPr>
              <w:t>$21.29</w:t>
            </w:r>
          </w:p>
        </w:tc>
        <w:tc>
          <w:tcPr>
            <w:tcW w:w="1800" w:type="dxa"/>
          </w:tcPr>
          <w:p w:rsidR="00B64E72" w14:paraId="6736928C" w14:textId="77777777">
            <w:pPr>
              <w:pStyle w:val="TableParagraph"/>
              <w:spacing w:before="7"/>
              <w:rPr>
                <w:b/>
                <w:sz w:val="20"/>
              </w:rPr>
            </w:pPr>
          </w:p>
          <w:p w:rsidR="00B64E72" w14:paraId="33A0F3E7" w14:textId="77777777">
            <w:pPr>
              <w:pStyle w:val="TableParagraph"/>
              <w:spacing w:before="1"/>
              <w:ind w:left="11" w:right="8"/>
              <w:jc w:val="center"/>
              <w:rPr>
                <w:sz w:val="20"/>
              </w:rPr>
            </w:pPr>
            <w:bookmarkStart w:id="70" w:name="$21.29_"/>
            <w:bookmarkEnd w:id="70"/>
            <w:r>
              <w:rPr>
                <w:spacing w:val="-2"/>
                <w:sz w:val="20"/>
              </w:rPr>
              <w:t>$21.29</w:t>
            </w:r>
          </w:p>
        </w:tc>
        <w:tc>
          <w:tcPr>
            <w:tcW w:w="1801" w:type="dxa"/>
          </w:tcPr>
          <w:p w:rsidR="00B64E72" w14:paraId="40B9C61A" w14:textId="77777777">
            <w:pPr>
              <w:pStyle w:val="TableParagraph"/>
              <w:spacing w:before="7"/>
              <w:rPr>
                <w:b/>
                <w:sz w:val="20"/>
              </w:rPr>
            </w:pPr>
          </w:p>
          <w:p w:rsidR="00B64E72" w14:paraId="31F19D7A" w14:textId="77777777">
            <w:pPr>
              <w:pStyle w:val="TableParagraph"/>
              <w:spacing w:before="1"/>
              <w:ind w:left="12" w:right="8"/>
              <w:jc w:val="center"/>
              <w:rPr>
                <w:sz w:val="20"/>
              </w:rPr>
            </w:pPr>
            <w:r>
              <w:rPr>
                <w:spacing w:val="-2"/>
                <w:sz w:val="20"/>
              </w:rPr>
              <w:t>$42.58</w:t>
            </w:r>
          </w:p>
        </w:tc>
      </w:tr>
      <w:tr w14:paraId="7ED1649E" w14:textId="77777777">
        <w:tblPrEx>
          <w:tblW w:w="0" w:type="auto"/>
          <w:tblInd w:w="1090" w:type="dxa"/>
          <w:tblLayout w:type="fixed"/>
          <w:tblCellMar>
            <w:left w:w="0" w:type="dxa"/>
            <w:right w:w="0" w:type="dxa"/>
          </w:tblCellMar>
          <w:tblLook w:val="01E0"/>
        </w:tblPrEx>
        <w:trPr>
          <w:trHeight w:val="530"/>
        </w:trPr>
        <w:tc>
          <w:tcPr>
            <w:tcW w:w="2847" w:type="dxa"/>
          </w:tcPr>
          <w:p w:rsidR="00B64E72" w14:paraId="4BF23943" w14:textId="77777777">
            <w:pPr>
              <w:pStyle w:val="TableParagraph"/>
              <w:spacing w:before="146"/>
              <w:ind w:left="9" w:right="15"/>
              <w:jc w:val="center"/>
              <w:rPr>
                <w:sz w:val="20"/>
              </w:rPr>
            </w:pPr>
            <w:bookmarkStart w:id="71" w:name="Senior_Compliance_Officer_"/>
            <w:bookmarkEnd w:id="71"/>
            <w:r>
              <w:rPr>
                <w:sz w:val="20"/>
              </w:rPr>
              <w:t>Senior</w:t>
            </w:r>
            <w:r>
              <w:rPr>
                <w:spacing w:val="-5"/>
                <w:sz w:val="20"/>
              </w:rPr>
              <w:t xml:space="preserve"> </w:t>
            </w:r>
            <w:r>
              <w:rPr>
                <w:sz w:val="20"/>
              </w:rPr>
              <w:t>Compliance</w:t>
            </w:r>
            <w:r>
              <w:rPr>
                <w:spacing w:val="-6"/>
                <w:sz w:val="20"/>
              </w:rPr>
              <w:t xml:space="preserve"> </w:t>
            </w:r>
            <w:r>
              <w:rPr>
                <w:spacing w:val="-2"/>
                <w:sz w:val="20"/>
              </w:rPr>
              <w:t>Officer</w:t>
            </w:r>
          </w:p>
        </w:tc>
        <w:tc>
          <w:tcPr>
            <w:tcW w:w="1380" w:type="dxa"/>
          </w:tcPr>
          <w:p w:rsidR="00B64E72" w14:paraId="268B8B3E" w14:textId="77777777">
            <w:pPr>
              <w:pStyle w:val="TableParagraph"/>
              <w:spacing w:before="146"/>
              <w:ind w:left="7" w:right="11"/>
              <w:jc w:val="center"/>
              <w:rPr>
                <w:sz w:val="20"/>
              </w:rPr>
            </w:pPr>
            <w:bookmarkStart w:id="72" w:name="13-1041_"/>
            <w:bookmarkEnd w:id="72"/>
            <w:r>
              <w:rPr>
                <w:spacing w:val="-2"/>
                <w:sz w:val="20"/>
              </w:rPr>
              <w:t>13-</w:t>
            </w:r>
            <w:r>
              <w:rPr>
                <w:spacing w:val="-4"/>
                <w:sz w:val="20"/>
              </w:rPr>
              <w:t>1041</w:t>
            </w:r>
          </w:p>
        </w:tc>
        <w:tc>
          <w:tcPr>
            <w:tcW w:w="1620" w:type="dxa"/>
          </w:tcPr>
          <w:p w:rsidR="00B64E72" w14:paraId="5269A370" w14:textId="77777777">
            <w:pPr>
              <w:pStyle w:val="TableParagraph"/>
              <w:spacing w:before="146"/>
              <w:ind w:left="6" w:right="12"/>
              <w:jc w:val="center"/>
              <w:rPr>
                <w:sz w:val="20"/>
              </w:rPr>
            </w:pPr>
            <w:r>
              <w:rPr>
                <w:spacing w:val="-2"/>
                <w:sz w:val="20"/>
              </w:rPr>
              <w:t>$36.38</w:t>
            </w:r>
          </w:p>
        </w:tc>
        <w:tc>
          <w:tcPr>
            <w:tcW w:w="1800" w:type="dxa"/>
          </w:tcPr>
          <w:p w:rsidR="00B64E72" w14:paraId="39AFD854" w14:textId="77777777">
            <w:pPr>
              <w:pStyle w:val="TableParagraph"/>
              <w:spacing w:before="146"/>
              <w:ind w:left="4" w:right="12"/>
              <w:jc w:val="center"/>
              <w:rPr>
                <w:sz w:val="20"/>
              </w:rPr>
            </w:pPr>
            <w:bookmarkStart w:id="73" w:name="$36.38_"/>
            <w:bookmarkEnd w:id="73"/>
            <w:r>
              <w:rPr>
                <w:spacing w:val="-2"/>
                <w:sz w:val="20"/>
              </w:rPr>
              <w:t>$36.38</w:t>
            </w:r>
          </w:p>
        </w:tc>
        <w:tc>
          <w:tcPr>
            <w:tcW w:w="1801" w:type="dxa"/>
          </w:tcPr>
          <w:p w:rsidR="00B64E72" w14:paraId="2A0AE3C9" w14:textId="77777777">
            <w:pPr>
              <w:pStyle w:val="TableParagraph"/>
              <w:spacing w:before="146"/>
              <w:ind w:left="4" w:right="12"/>
              <w:jc w:val="center"/>
              <w:rPr>
                <w:sz w:val="20"/>
              </w:rPr>
            </w:pPr>
            <w:bookmarkStart w:id="74" w:name="$72.76_"/>
            <w:bookmarkEnd w:id="74"/>
            <w:r>
              <w:rPr>
                <w:spacing w:val="-2"/>
                <w:sz w:val="20"/>
              </w:rPr>
              <w:t>$72.76</w:t>
            </w:r>
          </w:p>
        </w:tc>
      </w:tr>
      <w:tr w14:paraId="084D3491" w14:textId="77777777">
        <w:tblPrEx>
          <w:tblW w:w="0" w:type="auto"/>
          <w:tblInd w:w="1090" w:type="dxa"/>
          <w:tblLayout w:type="fixed"/>
          <w:tblCellMar>
            <w:left w:w="0" w:type="dxa"/>
            <w:right w:w="0" w:type="dxa"/>
          </w:tblCellMar>
          <w:tblLook w:val="01E0"/>
        </w:tblPrEx>
        <w:trPr>
          <w:trHeight w:val="530"/>
        </w:trPr>
        <w:tc>
          <w:tcPr>
            <w:tcW w:w="2847" w:type="dxa"/>
          </w:tcPr>
          <w:p w:rsidR="00B64E72" w14:paraId="420DEFFE" w14:textId="77777777">
            <w:pPr>
              <w:pStyle w:val="TableParagraph"/>
              <w:spacing w:before="146"/>
              <w:ind w:left="9" w:right="14"/>
              <w:jc w:val="center"/>
              <w:rPr>
                <w:sz w:val="20"/>
              </w:rPr>
            </w:pPr>
            <w:bookmarkStart w:id="75" w:name="Business_Operations_Specialist_"/>
            <w:bookmarkEnd w:id="75"/>
            <w:r>
              <w:rPr>
                <w:sz w:val="20"/>
              </w:rPr>
              <w:t>Business</w:t>
            </w:r>
            <w:r>
              <w:rPr>
                <w:spacing w:val="-8"/>
                <w:sz w:val="20"/>
              </w:rPr>
              <w:t xml:space="preserve"> </w:t>
            </w:r>
            <w:r>
              <w:rPr>
                <w:sz w:val="20"/>
              </w:rPr>
              <w:t>Operations</w:t>
            </w:r>
            <w:r>
              <w:rPr>
                <w:spacing w:val="-7"/>
                <w:sz w:val="20"/>
              </w:rPr>
              <w:t xml:space="preserve"> </w:t>
            </w:r>
            <w:r>
              <w:rPr>
                <w:spacing w:val="-2"/>
                <w:sz w:val="20"/>
              </w:rPr>
              <w:t>Specialist</w:t>
            </w:r>
          </w:p>
        </w:tc>
        <w:tc>
          <w:tcPr>
            <w:tcW w:w="1380" w:type="dxa"/>
          </w:tcPr>
          <w:p w:rsidR="00B64E72" w14:paraId="2BBCC103" w14:textId="77777777">
            <w:pPr>
              <w:pStyle w:val="TableParagraph"/>
              <w:spacing w:before="146"/>
              <w:ind w:left="7" w:right="9"/>
              <w:jc w:val="center"/>
              <w:rPr>
                <w:sz w:val="20"/>
              </w:rPr>
            </w:pPr>
            <w:bookmarkStart w:id="76" w:name="13-1000_"/>
            <w:bookmarkEnd w:id="76"/>
            <w:r>
              <w:rPr>
                <w:spacing w:val="-2"/>
                <w:sz w:val="20"/>
              </w:rPr>
              <w:t>13-</w:t>
            </w:r>
            <w:r>
              <w:rPr>
                <w:spacing w:val="-4"/>
                <w:sz w:val="20"/>
              </w:rPr>
              <w:t>1000</w:t>
            </w:r>
          </w:p>
        </w:tc>
        <w:tc>
          <w:tcPr>
            <w:tcW w:w="1620" w:type="dxa"/>
          </w:tcPr>
          <w:p w:rsidR="00B64E72" w14:paraId="03454C7C" w14:textId="77777777">
            <w:pPr>
              <w:pStyle w:val="TableParagraph"/>
              <w:spacing w:before="146"/>
              <w:ind w:left="6" w:right="13"/>
              <w:jc w:val="center"/>
              <w:rPr>
                <w:sz w:val="20"/>
              </w:rPr>
            </w:pPr>
            <w:r>
              <w:rPr>
                <w:spacing w:val="-2"/>
                <w:sz w:val="20"/>
              </w:rPr>
              <w:t>$37.74</w:t>
            </w:r>
          </w:p>
        </w:tc>
        <w:tc>
          <w:tcPr>
            <w:tcW w:w="1800" w:type="dxa"/>
          </w:tcPr>
          <w:p w:rsidR="00B64E72" w14:paraId="1493F3F6" w14:textId="77777777">
            <w:pPr>
              <w:pStyle w:val="TableParagraph"/>
              <w:spacing w:before="146"/>
              <w:ind w:left="4" w:right="12"/>
              <w:jc w:val="center"/>
              <w:rPr>
                <w:sz w:val="20"/>
              </w:rPr>
            </w:pPr>
            <w:bookmarkStart w:id="77" w:name="$37.74_"/>
            <w:bookmarkEnd w:id="77"/>
            <w:r>
              <w:rPr>
                <w:spacing w:val="-2"/>
                <w:sz w:val="20"/>
              </w:rPr>
              <w:t>$37.74</w:t>
            </w:r>
          </w:p>
        </w:tc>
        <w:tc>
          <w:tcPr>
            <w:tcW w:w="1801" w:type="dxa"/>
          </w:tcPr>
          <w:p w:rsidR="00B64E72" w14:paraId="0B02DFB7" w14:textId="77777777">
            <w:pPr>
              <w:pStyle w:val="TableParagraph"/>
              <w:spacing w:before="146"/>
              <w:ind w:left="4" w:right="12"/>
              <w:jc w:val="center"/>
              <w:rPr>
                <w:sz w:val="20"/>
              </w:rPr>
            </w:pPr>
            <w:bookmarkStart w:id="78" w:name="$75.48_"/>
            <w:bookmarkEnd w:id="78"/>
            <w:r>
              <w:rPr>
                <w:spacing w:val="-2"/>
                <w:sz w:val="20"/>
              </w:rPr>
              <w:t>$75.48</w:t>
            </w:r>
          </w:p>
        </w:tc>
      </w:tr>
      <w:tr w14:paraId="0917E679" w14:textId="77777777">
        <w:tblPrEx>
          <w:tblW w:w="0" w:type="auto"/>
          <w:tblInd w:w="1090" w:type="dxa"/>
          <w:tblLayout w:type="fixed"/>
          <w:tblCellMar>
            <w:left w:w="0" w:type="dxa"/>
            <w:right w:w="0" w:type="dxa"/>
          </w:tblCellMar>
          <w:tblLook w:val="01E0"/>
        </w:tblPrEx>
        <w:trPr>
          <w:trHeight w:val="529"/>
        </w:trPr>
        <w:tc>
          <w:tcPr>
            <w:tcW w:w="2847" w:type="dxa"/>
          </w:tcPr>
          <w:p w:rsidR="00B64E72" w14:paraId="14E6644A" w14:textId="77777777">
            <w:pPr>
              <w:pStyle w:val="TableParagraph"/>
              <w:spacing w:before="146"/>
              <w:ind w:left="9" w:right="13"/>
              <w:jc w:val="center"/>
              <w:rPr>
                <w:sz w:val="20"/>
              </w:rPr>
            </w:pPr>
            <w:bookmarkStart w:id="79" w:name="Project_Manager_"/>
            <w:bookmarkEnd w:id="79"/>
            <w:r>
              <w:rPr>
                <w:sz w:val="20"/>
              </w:rPr>
              <w:t>Project</w:t>
            </w:r>
            <w:r>
              <w:rPr>
                <w:spacing w:val="-5"/>
                <w:sz w:val="20"/>
              </w:rPr>
              <w:t xml:space="preserve"> </w:t>
            </w:r>
            <w:r>
              <w:rPr>
                <w:spacing w:val="-2"/>
                <w:sz w:val="20"/>
              </w:rPr>
              <w:t>Manager</w:t>
            </w:r>
          </w:p>
        </w:tc>
        <w:tc>
          <w:tcPr>
            <w:tcW w:w="1380" w:type="dxa"/>
          </w:tcPr>
          <w:p w:rsidR="00B64E72" w14:paraId="65A2148A" w14:textId="77777777">
            <w:pPr>
              <w:pStyle w:val="TableParagraph"/>
              <w:spacing w:before="146"/>
              <w:ind w:left="7" w:right="11"/>
              <w:jc w:val="center"/>
              <w:rPr>
                <w:sz w:val="20"/>
              </w:rPr>
            </w:pPr>
            <w:bookmarkStart w:id="80" w:name="13-1082_"/>
            <w:bookmarkEnd w:id="80"/>
            <w:r>
              <w:rPr>
                <w:spacing w:val="-2"/>
                <w:sz w:val="20"/>
              </w:rPr>
              <w:t>13-</w:t>
            </w:r>
            <w:r>
              <w:rPr>
                <w:spacing w:val="-4"/>
                <w:sz w:val="20"/>
              </w:rPr>
              <w:t>1082</w:t>
            </w:r>
          </w:p>
        </w:tc>
        <w:tc>
          <w:tcPr>
            <w:tcW w:w="1620" w:type="dxa"/>
          </w:tcPr>
          <w:p w:rsidR="00B64E72" w14:paraId="15FAF20A" w14:textId="77777777">
            <w:pPr>
              <w:pStyle w:val="TableParagraph"/>
              <w:spacing w:before="146"/>
              <w:ind w:left="6" w:right="12"/>
              <w:jc w:val="center"/>
              <w:rPr>
                <w:sz w:val="20"/>
              </w:rPr>
            </w:pPr>
            <w:r>
              <w:rPr>
                <w:spacing w:val="-2"/>
                <w:sz w:val="20"/>
              </w:rPr>
              <w:t>$47.39</w:t>
            </w:r>
          </w:p>
        </w:tc>
        <w:tc>
          <w:tcPr>
            <w:tcW w:w="1800" w:type="dxa"/>
          </w:tcPr>
          <w:p w:rsidR="00B64E72" w14:paraId="57241F6E" w14:textId="77777777">
            <w:pPr>
              <w:pStyle w:val="TableParagraph"/>
              <w:spacing w:before="146"/>
              <w:ind w:left="4" w:right="12"/>
              <w:jc w:val="center"/>
              <w:rPr>
                <w:sz w:val="20"/>
              </w:rPr>
            </w:pPr>
            <w:bookmarkStart w:id="81" w:name="$47.39_"/>
            <w:bookmarkEnd w:id="81"/>
            <w:r>
              <w:rPr>
                <w:spacing w:val="-2"/>
                <w:sz w:val="20"/>
              </w:rPr>
              <w:t>$47.39</w:t>
            </w:r>
          </w:p>
        </w:tc>
        <w:tc>
          <w:tcPr>
            <w:tcW w:w="1801" w:type="dxa"/>
          </w:tcPr>
          <w:p w:rsidR="00B64E72" w14:paraId="1FD6A8D6" w14:textId="77777777">
            <w:pPr>
              <w:pStyle w:val="TableParagraph"/>
              <w:spacing w:before="146"/>
              <w:ind w:left="4" w:right="12"/>
              <w:jc w:val="center"/>
              <w:rPr>
                <w:sz w:val="20"/>
              </w:rPr>
            </w:pPr>
            <w:bookmarkStart w:id="82" w:name="$94.78_"/>
            <w:bookmarkEnd w:id="82"/>
            <w:r>
              <w:rPr>
                <w:spacing w:val="-2"/>
                <w:sz w:val="20"/>
              </w:rPr>
              <w:t>$94.78</w:t>
            </w:r>
          </w:p>
        </w:tc>
      </w:tr>
      <w:tr w14:paraId="1F2B9111" w14:textId="77777777">
        <w:tblPrEx>
          <w:tblW w:w="0" w:type="auto"/>
          <w:tblInd w:w="1090" w:type="dxa"/>
          <w:tblLayout w:type="fixed"/>
          <w:tblCellMar>
            <w:left w:w="0" w:type="dxa"/>
            <w:right w:w="0" w:type="dxa"/>
          </w:tblCellMar>
          <w:tblLook w:val="01E0"/>
        </w:tblPrEx>
        <w:trPr>
          <w:trHeight w:val="530"/>
        </w:trPr>
        <w:tc>
          <w:tcPr>
            <w:tcW w:w="2847" w:type="dxa"/>
          </w:tcPr>
          <w:p w:rsidR="00B64E72" w14:paraId="74F1636E" w14:textId="77777777">
            <w:pPr>
              <w:pStyle w:val="TableParagraph"/>
              <w:spacing w:before="147"/>
              <w:ind w:left="9" w:right="15"/>
              <w:jc w:val="center"/>
              <w:rPr>
                <w:sz w:val="20"/>
              </w:rPr>
            </w:pPr>
            <w:bookmarkStart w:id="83" w:name="Operations_Manager_"/>
            <w:bookmarkEnd w:id="83"/>
            <w:r>
              <w:rPr>
                <w:sz w:val="20"/>
              </w:rPr>
              <w:t>Operations</w:t>
            </w:r>
            <w:r>
              <w:rPr>
                <w:spacing w:val="-6"/>
                <w:sz w:val="20"/>
              </w:rPr>
              <w:t xml:space="preserve"> </w:t>
            </w:r>
            <w:r>
              <w:rPr>
                <w:spacing w:val="-2"/>
                <w:sz w:val="20"/>
              </w:rPr>
              <w:t>Manager</w:t>
            </w:r>
          </w:p>
        </w:tc>
        <w:tc>
          <w:tcPr>
            <w:tcW w:w="1380" w:type="dxa"/>
          </w:tcPr>
          <w:p w:rsidR="00B64E72" w14:paraId="6B806AFE" w14:textId="77777777">
            <w:pPr>
              <w:pStyle w:val="TableParagraph"/>
              <w:spacing w:before="147"/>
              <w:ind w:left="7" w:right="11"/>
              <w:jc w:val="center"/>
              <w:rPr>
                <w:sz w:val="20"/>
              </w:rPr>
            </w:pPr>
            <w:bookmarkStart w:id="84" w:name="11-1021_"/>
            <w:bookmarkEnd w:id="84"/>
            <w:r>
              <w:rPr>
                <w:spacing w:val="-2"/>
                <w:sz w:val="20"/>
              </w:rPr>
              <w:t>11-</w:t>
            </w:r>
            <w:r>
              <w:rPr>
                <w:spacing w:val="-4"/>
                <w:sz w:val="20"/>
              </w:rPr>
              <w:t>1021</w:t>
            </w:r>
          </w:p>
        </w:tc>
        <w:tc>
          <w:tcPr>
            <w:tcW w:w="1620" w:type="dxa"/>
          </w:tcPr>
          <w:p w:rsidR="00B64E72" w14:paraId="3895922D" w14:textId="77777777">
            <w:pPr>
              <w:pStyle w:val="TableParagraph"/>
              <w:spacing w:before="147"/>
              <w:ind w:left="6" w:right="13"/>
              <w:jc w:val="center"/>
              <w:rPr>
                <w:sz w:val="20"/>
              </w:rPr>
            </w:pPr>
            <w:r>
              <w:rPr>
                <w:spacing w:val="-2"/>
                <w:sz w:val="20"/>
              </w:rPr>
              <w:t>$48.69</w:t>
            </w:r>
          </w:p>
        </w:tc>
        <w:tc>
          <w:tcPr>
            <w:tcW w:w="1800" w:type="dxa"/>
          </w:tcPr>
          <w:p w:rsidR="00B64E72" w14:paraId="5D15A495" w14:textId="77777777">
            <w:pPr>
              <w:pStyle w:val="TableParagraph"/>
              <w:spacing w:before="147"/>
              <w:ind w:left="4" w:right="12"/>
              <w:jc w:val="center"/>
              <w:rPr>
                <w:sz w:val="20"/>
              </w:rPr>
            </w:pPr>
            <w:bookmarkStart w:id="85" w:name="$48.69_"/>
            <w:bookmarkEnd w:id="85"/>
            <w:r>
              <w:rPr>
                <w:spacing w:val="-2"/>
                <w:sz w:val="20"/>
              </w:rPr>
              <w:t>$48.69</w:t>
            </w:r>
          </w:p>
        </w:tc>
        <w:tc>
          <w:tcPr>
            <w:tcW w:w="1801" w:type="dxa"/>
          </w:tcPr>
          <w:p w:rsidR="00B64E72" w14:paraId="2257D8F9" w14:textId="77777777">
            <w:pPr>
              <w:pStyle w:val="TableParagraph"/>
              <w:spacing w:before="147"/>
              <w:ind w:left="4" w:right="12"/>
              <w:jc w:val="center"/>
              <w:rPr>
                <w:sz w:val="20"/>
              </w:rPr>
            </w:pPr>
            <w:bookmarkStart w:id="86" w:name="$97.38_"/>
            <w:bookmarkEnd w:id="86"/>
            <w:r>
              <w:rPr>
                <w:spacing w:val="-2"/>
                <w:sz w:val="20"/>
              </w:rPr>
              <w:t>$97.38</w:t>
            </w:r>
          </w:p>
        </w:tc>
      </w:tr>
      <w:tr w14:paraId="77CAFE24" w14:textId="77777777">
        <w:tblPrEx>
          <w:tblW w:w="0" w:type="auto"/>
          <w:tblInd w:w="1090" w:type="dxa"/>
          <w:tblLayout w:type="fixed"/>
          <w:tblCellMar>
            <w:left w:w="0" w:type="dxa"/>
            <w:right w:w="0" w:type="dxa"/>
          </w:tblCellMar>
          <w:tblLook w:val="01E0"/>
        </w:tblPrEx>
        <w:trPr>
          <w:trHeight w:val="530"/>
        </w:trPr>
        <w:tc>
          <w:tcPr>
            <w:tcW w:w="2847" w:type="dxa"/>
          </w:tcPr>
          <w:p w:rsidR="00B64E72" w14:paraId="6568ED06" w14:textId="77777777">
            <w:pPr>
              <w:pStyle w:val="TableParagraph"/>
              <w:spacing w:before="146"/>
              <w:ind w:left="9" w:right="14"/>
              <w:jc w:val="center"/>
              <w:rPr>
                <w:sz w:val="20"/>
              </w:rPr>
            </w:pPr>
            <w:bookmarkStart w:id="87" w:name="Executive_Officer_"/>
            <w:bookmarkEnd w:id="87"/>
            <w:r>
              <w:rPr>
                <w:sz w:val="20"/>
              </w:rPr>
              <w:t>Executive</w:t>
            </w:r>
            <w:r>
              <w:rPr>
                <w:spacing w:val="-4"/>
                <w:sz w:val="20"/>
              </w:rPr>
              <w:t xml:space="preserve"> </w:t>
            </w:r>
            <w:r>
              <w:rPr>
                <w:spacing w:val="-2"/>
                <w:sz w:val="20"/>
              </w:rPr>
              <w:t>Officer</w:t>
            </w:r>
          </w:p>
        </w:tc>
        <w:tc>
          <w:tcPr>
            <w:tcW w:w="1380" w:type="dxa"/>
          </w:tcPr>
          <w:p w:rsidR="00B64E72" w14:paraId="0559F3B2" w14:textId="77777777">
            <w:pPr>
              <w:pStyle w:val="TableParagraph"/>
              <w:spacing w:before="146"/>
              <w:ind w:left="7" w:right="11"/>
              <w:jc w:val="center"/>
              <w:rPr>
                <w:sz w:val="20"/>
              </w:rPr>
            </w:pPr>
            <w:bookmarkStart w:id="88" w:name="11-1011_"/>
            <w:bookmarkEnd w:id="88"/>
            <w:r>
              <w:rPr>
                <w:spacing w:val="-2"/>
                <w:sz w:val="20"/>
              </w:rPr>
              <w:t>11-</w:t>
            </w:r>
            <w:r>
              <w:rPr>
                <w:spacing w:val="-4"/>
                <w:sz w:val="20"/>
              </w:rPr>
              <w:t>1011</w:t>
            </w:r>
          </w:p>
        </w:tc>
        <w:tc>
          <w:tcPr>
            <w:tcW w:w="1620" w:type="dxa"/>
          </w:tcPr>
          <w:p w:rsidR="00B64E72" w14:paraId="66E6B872" w14:textId="77777777">
            <w:pPr>
              <w:pStyle w:val="TableParagraph"/>
              <w:spacing w:before="146"/>
              <w:ind w:left="6" w:right="13"/>
              <w:jc w:val="center"/>
              <w:rPr>
                <w:sz w:val="20"/>
              </w:rPr>
            </w:pPr>
            <w:r>
              <w:rPr>
                <w:spacing w:val="-2"/>
                <w:sz w:val="20"/>
              </w:rPr>
              <w:t>$99.37</w:t>
            </w:r>
          </w:p>
        </w:tc>
        <w:tc>
          <w:tcPr>
            <w:tcW w:w="1800" w:type="dxa"/>
          </w:tcPr>
          <w:p w:rsidR="00B64E72" w14:paraId="3C3EE3E0" w14:textId="77777777">
            <w:pPr>
              <w:pStyle w:val="TableParagraph"/>
              <w:spacing w:before="146"/>
              <w:ind w:left="4" w:right="12"/>
              <w:jc w:val="center"/>
              <w:rPr>
                <w:sz w:val="20"/>
              </w:rPr>
            </w:pPr>
            <w:bookmarkStart w:id="89" w:name="$99.37_"/>
            <w:bookmarkEnd w:id="89"/>
            <w:r>
              <w:rPr>
                <w:spacing w:val="-2"/>
                <w:sz w:val="20"/>
              </w:rPr>
              <w:t>$99.37</w:t>
            </w:r>
          </w:p>
        </w:tc>
        <w:tc>
          <w:tcPr>
            <w:tcW w:w="1801" w:type="dxa"/>
          </w:tcPr>
          <w:p w:rsidR="00B64E72" w14:paraId="53B8E8E2" w14:textId="77777777">
            <w:pPr>
              <w:pStyle w:val="TableParagraph"/>
              <w:spacing w:before="146"/>
              <w:ind w:left="4" w:right="12"/>
              <w:jc w:val="center"/>
              <w:rPr>
                <w:sz w:val="20"/>
              </w:rPr>
            </w:pPr>
            <w:bookmarkStart w:id="90" w:name="$198.74_"/>
            <w:bookmarkEnd w:id="90"/>
            <w:r>
              <w:rPr>
                <w:spacing w:val="-2"/>
                <w:sz w:val="20"/>
              </w:rPr>
              <w:t>$198.74</w:t>
            </w:r>
          </w:p>
        </w:tc>
      </w:tr>
      <w:tr w14:paraId="561E81D0" w14:textId="77777777">
        <w:tblPrEx>
          <w:tblW w:w="0" w:type="auto"/>
          <w:tblInd w:w="1090" w:type="dxa"/>
          <w:tblLayout w:type="fixed"/>
          <w:tblCellMar>
            <w:left w:w="0" w:type="dxa"/>
            <w:right w:w="0" w:type="dxa"/>
          </w:tblCellMar>
          <w:tblLook w:val="01E0"/>
        </w:tblPrEx>
        <w:trPr>
          <w:trHeight w:val="302"/>
        </w:trPr>
        <w:tc>
          <w:tcPr>
            <w:tcW w:w="2847" w:type="dxa"/>
          </w:tcPr>
          <w:p w:rsidR="00B64E72" w14:paraId="41849554" w14:textId="77777777">
            <w:pPr>
              <w:pStyle w:val="TableParagraph"/>
              <w:spacing w:before="31"/>
              <w:ind w:left="15" w:right="6"/>
              <w:jc w:val="center"/>
              <w:rPr>
                <w:sz w:val="20"/>
              </w:rPr>
            </w:pPr>
            <w:bookmarkStart w:id="91" w:name="Lawyer_"/>
            <w:bookmarkEnd w:id="91"/>
            <w:r>
              <w:rPr>
                <w:spacing w:val="-2"/>
                <w:sz w:val="20"/>
              </w:rPr>
              <w:t>Lawyer</w:t>
            </w:r>
          </w:p>
        </w:tc>
        <w:tc>
          <w:tcPr>
            <w:tcW w:w="1380" w:type="dxa"/>
          </w:tcPr>
          <w:p w:rsidR="00B64E72" w14:paraId="166180E0" w14:textId="77777777">
            <w:pPr>
              <w:pStyle w:val="TableParagraph"/>
              <w:spacing w:before="31"/>
              <w:ind w:left="11" w:right="4"/>
              <w:jc w:val="center"/>
              <w:rPr>
                <w:sz w:val="20"/>
              </w:rPr>
            </w:pPr>
            <w:bookmarkStart w:id="92" w:name="23-1011_"/>
            <w:bookmarkEnd w:id="92"/>
            <w:r>
              <w:rPr>
                <w:spacing w:val="-2"/>
                <w:sz w:val="20"/>
              </w:rPr>
              <w:t>23-</w:t>
            </w:r>
            <w:r>
              <w:rPr>
                <w:spacing w:val="-4"/>
                <w:sz w:val="20"/>
              </w:rPr>
              <w:t>1011</w:t>
            </w:r>
          </w:p>
        </w:tc>
        <w:tc>
          <w:tcPr>
            <w:tcW w:w="1620" w:type="dxa"/>
          </w:tcPr>
          <w:p w:rsidR="00B64E72" w14:paraId="3599BE2F" w14:textId="77777777">
            <w:pPr>
              <w:pStyle w:val="TableParagraph"/>
              <w:spacing w:before="31"/>
              <w:ind w:left="12" w:right="7"/>
              <w:jc w:val="center"/>
              <w:rPr>
                <w:sz w:val="20"/>
              </w:rPr>
            </w:pPr>
            <w:r>
              <w:rPr>
                <w:spacing w:val="-2"/>
                <w:sz w:val="20"/>
              </w:rPr>
              <w:t>$70.08</w:t>
            </w:r>
          </w:p>
        </w:tc>
        <w:tc>
          <w:tcPr>
            <w:tcW w:w="1800" w:type="dxa"/>
          </w:tcPr>
          <w:p w:rsidR="00B64E72" w14:paraId="6621DC60" w14:textId="77777777">
            <w:pPr>
              <w:pStyle w:val="TableParagraph"/>
              <w:spacing w:before="31"/>
              <w:ind w:left="11" w:right="8"/>
              <w:jc w:val="center"/>
              <w:rPr>
                <w:sz w:val="20"/>
              </w:rPr>
            </w:pPr>
            <w:bookmarkStart w:id="93" w:name="$70.08_"/>
            <w:bookmarkEnd w:id="93"/>
            <w:r>
              <w:rPr>
                <w:spacing w:val="-2"/>
                <w:sz w:val="20"/>
              </w:rPr>
              <w:t>$70.08</w:t>
            </w:r>
          </w:p>
        </w:tc>
        <w:tc>
          <w:tcPr>
            <w:tcW w:w="1801" w:type="dxa"/>
          </w:tcPr>
          <w:p w:rsidR="00B64E72" w14:paraId="3C103DC5" w14:textId="77777777">
            <w:pPr>
              <w:pStyle w:val="TableParagraph"/>
              <w:spacing w:before="31"/>
              <w:ind w:left="11" w:right="8"/>
              <w:jc w:val="center"/>
              <w:rPr>
                <w:sz w:val="20"/>
              </w:rPr>
            </w:pPr>
            <w:bookmarkStart w:id="94" w:name="$140.16_"/>
            <w:bookmarkEnd w:id="94"/>
            <w:r>
              <w:rPr>
                <w:spacing w:val="-2"/>
                <w:sz w:val="20"/>
              </w:rPr>
              <w:t>$140.16</w:t>
            </w:r>
          </w:p>
        </w:tc>
      </w:tr>
      <w:tr w14:paraId="55D51D16" w14:textId="77777777">
        <w:tblPrEx>
          <w:tblW w:w="0" w:type="auto"/>
          <w:tblInd w:w="1090" w:type="dxa"/>
          <w:tblLayout w:type="fixed"/>
          <w:tblCellMar>
            <w:left w:w="0" w:type="dxa"/>
            <w:right w:w="0" w:type="dxa"/>
          </w:tblCellMar>
          <w:tblLook w:val="01E0"/>
        </w:tblPrEx>
        <w:trPr>
          <w:trHeight w:val="299"/>
        </w:trPr>
        <w:tc>
          <w:tcPr>
            <w:tcW w:w="2847" w:type="dxa"/>
          </w:tcPr>
          <w:p w:rsidR="00B64E72" w14:paraId="6B66DAD5" w14:textId="77777777">
            <w:pPr>
              <w:pStyle w:val="TableParagraph"/>
              <w:spacing w:before="29"/>
              <w:ind w:left="14" w:right="6"/>
              <w:jc w:val="center"/>
              <w:rPr>
                <w:sz w:val="20"/>
              </w:rPr>
            </w:pPr>
            <w:bookmarkStart w:id="95" w:name="All_Occupations_"/>
            <w:bookmarkEnd w:id="95"/>
            <w:r>
              <w:rPr>
                <w:sz w:val="20"/>
              </w:rPr>
              <w:t>All</w:t>
            </w:r>
            <w:r>
              <w:rPr>
                <w:spacing w:val="-3"/>
                <w:sz w:val="20"/>
              </w:rPr>
              <w:t xml:space="preserve"> </w:t>
            </w:r>
            <w:r>
              <w:rPr>
                <w:spacing w:val="-2"/>
                <w:sz w:val="20"/>
              </w:rPr>
              <w:t>Occupations</w:t>
            </w:r>
          </w:p>
        </w:tc>
        <w:tc>
          <w:tcPr>
            <w:tcW w:w="1380" w:type="dxa"/>
          </w:tcPr>
          <w:p w:rsidR="00B64E72" w14:paraId="63E60826" w14:textId="77777777">
            <w:pPr>
              <w:pStyle w:val="TableParagraph"/>
              <w:spacing w:before="29"/>
              <w:ind w:left="11" w:right="4"/>
              <w:jc w:val="center"/>
              <w:rPr>
                <w:sz w:val="20"/>
              </w:rPr>
            </w:pPr>
            <w:bookmarkStart w:id="96" w:name="00-0000_"/>
            <w:bookmarkEnd w:id="96"/>
            <w:r>
              <w:rPr>
                <w:spacing w:val="-2"/>
                <w:sz w:val="20"/>
              </w:rPr>
              <w:t>00-</w:t>
            </w:r>
            <w:r>
              <w:rPr>
                <w:spacing w:val="-4"/>
                <w:sz w:val="20"/>
              </w:rPr>
              <w:t>0000</w:t>
            </w:r>
          </w:p>
        </w:tc>
        <w:tc>
          <w:tcPr>
            <w:tcW w:w="1620" w:type="dxa"/>
          </w:tcPr>
          <w:p w:rsidR="00B64E72" w14:paraId="0AD393DE" w14:textId="77777777">
            <w:pPr>
              <w:pStyle w:val="TableParagraph"/>
              <w:spacing w:before="29"/>
              <w:ind w:left="12" w:right="7"/>
              <w:jc w:val="center"/>
              <w:rPr>
                <w:sz w:val="20"/>
              </w:rPr>
            </w:pPr>
            <w:r>
              <w:rPr>
                <w:spacing w:val="-2"/>
                <w:sz w:val="20"/>
              </w:rPr>
              <w:t>$23.11</w:t>
            </w:r>
          </w:p>
        </w:tc>
        <w:tc>
          <w:tcPr>
            <w:tcW w:w="1800" w:type="dxa"/>
          </w:tcPr>
          <w:p w:rsidR="00B64E72" w14:paraId="71DC5B00" w14:textId="77777777">
            <w:pPr>
              <w:pStyle w:val="TableParagraph"/>
              <w:spacing w:before="29"/>
              <w:ind w:left="11" w:right="8"/>
              <w:jc w:val="center"/>
              <w:rPr>
                <w:sz w:val="20"/>
              </w:rPr>
            </w:pPr>
            <w:bookmarkStart w:id="97" w:name="$23.11_"/>
            <w:bookmarkEnd w:id="97"/>
            <w:r>
              <w:rPr>
                <w:spacing w:val="-2"/>
                <w:sz w:val="20"/>
              </w:rPr>
              <w:t>$23.11</w:t>
            </w:r>
          </w:p>
        </w:tc>
        <w:tc>
          <w:tcPr>
            <w:tcW w:w="1801" w:type="dxa"/>
          </w:tcPr>
          <w:p w:rsidR="00B64E72" w14:paraId="2D9C0769" w14:textId="77777777">
            <w:pPr>
              <w:pStyle w:val="TableParagraph"/>
              <w:spacing w:before="29"/>
              <w:ind w:left="11" w:right="8"/>
              <w:jc w:val="center"/>
              <w:rPr>
                <w:sz w:val="20"/>
              </w:rPr>
            </w:pPr>
            <w:r>
              <w:rPr>
                <w:spacing w:val="-2"/>
                <w:sz w:val="20"/>
              </w:rPr>
              <w:t>$46.22</w:t>
            </w:r>
          </w:p>
        </w:tc>
      </w:tr>
      <w:tr w14:paraId="2E714907" w14:textId="77777777">
        <w:tblPrEx>
          <w:tblW w:w="0" w:type="auto"/>
          <w:tblInd w:w="1090" w:type="dxa"/>
          <w:tblLayout w:type="fixed"/>
          <w:tblCellMar>
            <w:left w:w="0" w:type="dxa"/>
            <w:right w:w="0" w:type="dxa"/>
          </w:tblCellMar>
          <w:tblLook w:val="01E0"/>
        </w:tblPrEx>
        <w:trPr>
          <w:trHeight w:val="299"/>
        </w:trPr>
        <w:tc>
          <w:tcPr>
            <w:tcW w:w="2847" w:type="dxa"/>
          </w:tcPr>
          <w:p w:rsidR="00B64E72" w14:paraId="6BC9BBF1" w14:textId="77777777">
            <w:pPr>
              <w:pStyle w:val="TableParagraph"/>
              <w:spacing w:before="31"/>
              <w:ind w:left="13" w:right="6"/>
              <w:jc w:val="center"/>
              <w:rPr>
                <w:sz w:val="20"/>
              </w:rPr>
            </w:pPr>
            <w:bookmarkStart w:id="98" w:name="Computer_Programmers_"/>
            <w:bookmarkEnd w:id="98"/>
            <w:r>
              <w:rPr>
                <w:sz w:val="20"/>
              </w:rPr>
              <w:t>Computer</w:t>
            </w:r>
            <w:r>
              <w:rPr>
                <w:spacing w:val="-5"/>
                <w:sz w:val="20"/>
              </w:rPr>
              <w:t xml:space="preserve"> </w:t>
            </w:r>
            <w:r>
              <w:rPr>
                <w:spacing w:val="-2"/>
                <w:sz w:val="20"/>
              </w:rPr>
              <w:t>Programmers</w:t>
            </w:r>
          </w:p>
        </w:tc>
        <w:tc>
          <w:tcPr>
            <w:tcW w:w="1380" w:type="dxa"/>
          </w:tcPr>
          <w:p w:rsidR="00B64E72" w14:paraId="353BFC6B" w14:textId="77777777">
            <w:pPr>
              <w:pStyle w:val="TableParagraph"/>
              <w:spacing w:before="31"/>
              <w:ind w:left="11" w:right="4"/>
              <w:jc w:val="center"/>
              <w:rPr>
                <w:sz w:val="20"/>
              </w:rPr>
            </w:pPr>
            <w:bookmarkStart w:id="99" w:name="15-1251_"/>
            <w:bookmarkEnd w:id="99"/>
            <w:r>
              <w:rPr>
                <w:spacing w:val="-2"/>
                <w:sz w:val="20"/>
              </w:rPr>
              <w:t>15-</w:t>
            </w:r>
            <w:r>
              <w:rPr>
                <w:spacing w:val="-4"/>
                <w:sz w:val="20"/>
              </w:rPr>
              <w:t>1251</w:t>
            </w:r>
          </w:p>
        </w:tc>
        <w:tc>
          <w:tcPr>
            <w:tcW w:w="1620" w:type="dxa"/>
          </w:tcPr>
          <w:p w:rsidR="00B64E72" w14:paraId="594F760D" w14:textId="77777777">
            <w:pPr>
              <w:pStyle w:val="TableParagraph"/>
              <w:spacing w:before="31"/>
              <w:ind w:left="12" w:right="7"/>
              <w:jc w:val="center"/>
              <w:rPr>
                <w:sz w:val="20"/>
              </w:rPr>
            </w:pPr>
            <w:r>
              <w:rPr>
                <w:spacing w:val="-2"/>
                <w:sz w:val="20"/>
              </w:rPr>
              <w:t>$47.94</w:t>
            </w:r>
          </w:p>
        </w:tc>
        <w:tc>
          <w:tcPr>
            <w:tcW w:w="1800" w:type="dxa"/>
          </w:tcPr>
          <w:p w:rsidR="00B64E72" w14:paraId="5870C11D" w14:textId="77777777">
            <w:pPr>
              <w:pStyle w:val="TableParagraph"/>
              <w:spacing w:before="31"/>
              <w:ind w:left="11" w:right="8"/>
              <w:jc w:val="center"/>
              <w:rPr>
                <w:sz w:val="20"/>
              </w:rPr>
            </w:pPr>
            <w:bookmarkStart w:id="100" w:name="$47.94_"/>
            <w:bookmarkEnd w:id="100"/>
            <w:r>
              <w:rPr>
                <w:spacing w:val="-2"/>
                <w:sz w:val="20"/>
              </w:rPr>
              <w:t>$47.94</w:t>
            </w:r>
          </w:p>
        </w:tc>
        <w:tc>
          <w:tcPr>
            <w:tcW w:w="1801" w:type="dxa"/>
          </w:tcPr>
          <w:p w:rsidR="00B64E72" w14:paraId="78AD610E" w14:textId="77777777">
            <w:pPr>
              <w:pStyle w:val="TableParagraph"/>
              <w:spacing w:before="31"/>
              <w:ind w:left="12" w:right="8"/>
              <w:jc w:val="center"/>
              <w:rPr>
                <w:sz w:val="20"/>
              </w:rPr>
            </w:pPr>
            <w:bookmarkStart w:id="101" w:name="$95.88_"/>
            <w:bookmarkEnd w:id="101"/>
            <w:r>
              <w:rPr>
                <w:spacing w:val="-2"/>
                <w:sz w:val="20"/>
              </w:rPr>
              <w:t>$95.88</w:t>
            </w:r>
          </w:p>
        </w:tc>
      </w:tr>
      <w:tr w14:paraId="0EE64006" w14:textId="77777777">
        <w:tblPrEx>
          <w:tblW w:w="0" w:type="auto"/>
          <w:tblInd w:w="1090" w:type="dxa"/>
          <w:tblLayout w:type="fixed"/>
          <w:tblCellMar>
            <w:left w:w="0" w:type="dxa"/>
            <w:right w:w="0" w:type="dxa"/>
          </w:tblCellMar>
          <w:tblLook w:val="01E0"/>
        </w:tblPrEx>
        <w:trPr>
          <w:trHeight w:val="299"/>
        </w:trPr>
        <w:tc>
          <w:tcPr>
            <w:tcW w:w="2847" w:type="dxa"/>
          </w:tcPr>
          <w:p w:rsidR="00B64E72" w14:paraId="4B0B5D98" w14:textId="77777777">
            <w:pPr>
              <w:pStyle w:val="TableParagraph"/>
              <w:spacing w:before="31"/>
              <w:ind w:left="11" w:right="6"/>
              <w:jc w:val="center"/>
              <w:rPr>
                <w:sz w:val="20"/>
              </w:rPr>
            </w:pPr>
            <w:bookmarkStart w:id="102" w:name="Medical_Secretaries__"/>
            <w:bookmarkEnd w:id="102"/>
            <w:r>
              <w:rPr>
                <w:sz w:val="20"/>
              </w:rPr>
              <w:t>Medical</w:t>
            </w:r>
            <w:r>
              <w:rPr>
                <w:spacing w:val="-6"/>
                <w:sz w:val="20"/>
              </w:rPr>
              <w:t xml:space="preserve"> </w:t>
            </w:r>
            <w:r>
              <w:rPr>
                <w:spacing w:val="-2"/>
                <w:sz w:val="20"/>
              </w:rPr>
              <w:t>Secretaries</w:t>
            </w:r>
          </w:p>
        </w:tc>
        <w:tc>
          <w:tcPr>
            <w:tcW w:w="1380" w:type="dxa"/>
          </w:tcPr>
          <w:p w:rsidR="00B64E72" w14:paraId="0E127813" w14:textId="77777777">
            <w:pPr>
              <w:pStyle w:val="TableParagraph"/>
              <w:spacing w:before="31"/>
              <w:ind w:left="11" w:right="4"/>
              <w:jc w:val="center"/>
              <w:rPr>
                <w:sz w:val="20"/>
              </w:rPr>
            </w:pPr>
            <w:bookmarkStart w:id="103" w:name="43-6013_"/>
            <w:bookmarkEnd w:id="103"/>
            <w:r>
              <w:rPr>
                <w:spacing w:val="-2"/>
                <w:sz w:val="20"/>
              </w:rPr>
              <w:t>43-</w:t>
            </w:r>
            <w:r>
              <w:rPr>
                <w:spacing w:val="-4"/>
                <w:sz w:val="20"/>
              </w:rPr>
              <w:t>6013</w:t>
            </w:r>
          </w:p>
        </w:tc>
        <w:tc>
          <w:tcPr>
            <w:tcW w:w="1620" w:type="dxa"/>
          </w:tcPr>
          <w:p w:rsidR="00B64E72" w14:paraId="75951AEF" w14:textId="77777777">
            <w:pPr>
              <w:pStyle w:val="TableParagraph"/>
              <w:spacing w:before="31"/>
              <w:ind w:left="13" w:right="7"/>
              <w:jc w:val="center"/>
              <w:rPr>
                <w:sz w:val="20"/>
              </w:rPr>
            </w:pPr>
            <w:r>
              <w:rPr>
                <w:spacing w:val="-2"/>
                <w:sz w:val="20"/>
              </w:rPr>
              <w:t>$19.54</w:t>
            </w:r>
          </w:p>
        </w:tc>
        <w:tc>
          <w:tcPr>
            <w:tcW w:w="1800" w:type="dxa"/>
          </w:tcPr>
          <w:p w:rsidR="00B64E72" w14:paraId="74373F34" w14:textId="77777777">
            <w:pPr>
              <w:pStyle w:val="TableParagraph"/>
              <w:spacing w:before="31"/>
              <w:ind w:left="12" w:right="8"/>
              <w:jc w:val="center"/>
              <w:rPr>
                <w:sz w:val="20"/>
              </w:rPr>
            </w:pPr>
            <w:bookmarkStart w:id="104" w:name="$19.54_"/>
            <w:bookmarkEnd w:id="104"/>
            <w:r>
              <w:rPr>
                <w:spacing w:val="-2"/>
                <w:sz w:val="20"/>
              </w:rPr>
              <w:t>$19.54</w:t>
            </w:r>
          </w:p>
        </w:tc>
        <w:tc>
          <w:tcPr>
            <w:tcW w:w="1801" w:type="dxa"/>
          </w:tcPr>
          <w:p w:rsidR="00B64E72" w14:paraId="06809BD0" w14:textId="77777777">
            <w:pPr>
              <w:pStyle w:val="TableParagraph"/>
              <w:spacing w:before="31"/>
              <w:ind w:left="12" w:right="8"/>
              <w:jc w:val="center"/>
              <w:rPr>
                <w:sz w:val="20"/>
              </w:rPr>
            </w:pPr>
            <w:r>
              <w:rPr>
                <w:spacing w:val="-2"/>
                <w:sz w:val="20"/>
              </w:rPr>
              <w:t>$39.08</w:t>
            </w:r>
          </w:p>
        </w:tc>
      </w:tr>
      <w:tr w14:paraId="06FF91AA" w14:textId="77777777">
        <w:tblPrEx>
          <w:tblW w:w="0" w:type="auto"/>
          <w:tblInd w:w="1090" w:type="dxa"/>
          <w:tblLayout w:type="fixed"/>
          <w:tblCellMar>
            <w:left w:w="0" w:type="dxa"/>
            <w:right w:w="0" w:type="dxa"/>
          </w:tblCellMar>
          <w:tblLook w:val="01E0"/>
        </w:tblPrEx>
        <w:trPr>
          <w:trHeight w:val="477"/>
        </w:trPr>
        <w:tc>
          <w:tcPr>
            <w:tcW w:w="2847" w:type="dxa"/>
          </w:tcPr>
          <w:p w:rsidR="00B64E72" w14:paraId="3232E845" w14:textId="77777777">
            <w:pPr>
              <w:pStyle w:val="TableParagraph"/>
              <w:ind w:left="10" w:right="6"/>
              <w:jc w:val="center"/>
              <w:rPr>
                <w:sz w:val="20"/>
              </w:rPr>
            </w:pPr>
            <w:bookmarkStart w:id="105" w:name="Computer_and_Information_Systems_Manager"/>
            <w:bookmarkEnd w:id="105"/>
            <w:r>
              <w:rPr>
                <w:sz w:val="20"/>
              </w:rPr>
              <w:t>Computer</w:t>
            </w:r>
            <w:r>
              <w:rPr>
                <w:spacing w:val="-4"/>
                <w:sz w:val="20"/>
              </w:rPr>
              <w:t xml:space="preserve"> </w:t>
            </w:r>
            <w:r>
              <w:rPr>
                <w:sz w:val="20"/>
              </w:rPr>
              <w:t>and</w:t>
            </w:r>
            <w:r>
              <w:rPr>
                <w:spacing w:val="-4"/>
                <w:sz w:val="20"/>
              </w:rPr>
              <w:t xml:space="preserve"> </w:t>
            </w:r>
            <w:r>
              <w:rPr>
                <w:spacing w:val="-2"/>
                <w:sz w:val="20"/>
              </w:rPr>
              <w:t>Information</w:t>
            </w:r>
          </w:p>
          <w:p w:rsidR="00B64E72" w14:paraId="66055A7C" w14:textId="77777777">
            <w:pPr>
              <w:pStyle w:val="TableParagraph"/>
              <w:spacing w:before="8" w:line="219" w:lineRule="exact"/>
              <w:ind w:left="11" w:right="6"/>
              <w:jc w:val="center"/>
              <w:rPr>
                <w:sz w:val="20"/>
              </w:rPr>
            </w:pPr>
            <w:r>
              <w:rPr>
                <w:sz w:val="20"/>
              </w:rPr>
              <w:t>Systems</w:t>
            </w:r>
            <w:r>
              <w:rPr>
                <w:spacing w:val="-8"/>
                <w:sz w:val="20"/>
              </w:rPr>
              <w:t xml:space="preserve"> </w:t>
            </w:r>
            <w:r>
              <w:rPr>
                <w:spacing w:val="-2"/>
                <w:sz w:val="20"/>
              </w:rPr>
              <w:t>Managers</w:t>
            </w:r>
          </w:p>
        </w:tc>
        <w:tc>
          <w:tcPr>
            <w:tcW w:w="1380" w:type="dxa"/>
          </w:tcPr>
          <w:p w:rsidR="00B64E72" w14:paraId="766D2275" w14:textId="77777777">
            <w:pPr>
              <w:pStyle w:val="TableParagraph"/>
              <w:spacing w:before="120"/>
              <w:ind w:left="11" w:right="4"/>
              <w:jc w:val="center"/>
              <w:rPr>
                <w:sz w:val="20"/>
              </w:rPr>
            </w:pPr>
            <w:bookmarkStart w:id="106" w:name="11-3021_"/>
            <w:bookmarkEnd w:id="106"/>
            <w:r>
              <w:rPr>
                <w:spacing w:val="-2"/>
                <w:sz w:val="20"/>
              </w:rPr>
              <w:t>11-</w:t>
            </w:r>
            <w:r>
              <w:rPr>
                <w:spacing w:val="-4"/>
                <w:sz w:val="20"/>
              </w:rPr>
              <w:t>3021</w:t>
            </w:r>
          </w:p>
        </w:tc>
        <w:tc>
          <w:tcPr>
            <w:tcW w:w="1620" w:type="dxa"/>
          </w:tcPr>
          <w:p w:rsidR="00B64E72" w14:paraId="53CFD36C" w14:textId="77777777">
            <w:pPr>
              <w:pStyle w:val="TableParagraph"/>
              <w:spacing w:before="120"/>
              <w:ind w:left="12" w:right="7"/>
              <w:jc w:val="center"/>
              <w:rPr>
                <w:sz w:val="20"/>
              </w:rPr>
            </w:pPr>
            <w:r>
              <w:rPr>
                <w:spacing w:val="-2"/>
                <w:sz w:val="20"/>
              </w:rPr>
              <w:t>$81.50</w:t>
            </w:r>
          </w:p>
        </w:tc>
        <w:tc>
          <w:tcPr>
            <w:tcW w:w="1800" w:type="dxa"/>
          </w:tcPr>
          <w:p w:rsidR="00B64E72" w14:paraId="66EEA5E2" w14:textId="77777777">
            <w:pPr>
              <w:pStyle w:val="TableParagraph"/>
              <w:spacing w:before="120"/>
              <w:ind w:left="11" w:right="8"/>
              <w:jc w:val="center"/>
              <w:rPr>
                <w:sz w:val="20"/>
              </w:rPr>
            </w:pPr>
            <w:bookmarkStart w:id="107" w:name="$81.50_"/>
            <w:bookmarkEnd w:id="107"/>
            <w:r>
              <w:rPr>
                <w:spacing w:val="-2"/>
                <w:sz w:val="20"/>
              </w:rPr>
              <w:t>$81.50</w:t>
            </w:r>
          </w:p>
        </w:tc>
        <w:tc>
          <w:tcPr>
            <w:tcW w:w="1801" w:type="dxa"/>
          </w:tcPr>
          <w:p w:rsidR="00B64E72" w14:paraId="6C5EAC29" w14:textId="77777777">
            <w:pPr>
              <w:pStyle w:val="TableParagraph"/>
              <w:spacing w:before="120"/>
              <w:ind w:left="12" w:right="8"/>
              <w:jc w:val="center"/>
              <w:rPr>
                <w:sz w:val="20"/>
              </w:rPr>
            </w:pPr>
            <w:bookmarkStart w:id="108" w:name="$163.00_"/>
            <w:bookmarkEnd w:id="108"/>
            <w:r>
              <w:rPr>
                <w:spacing w:val="-2"/>
                <w:sz w:val="20"/>
              </w:rPr>
              <w:t>$163.00</w:t>
            </w:r>
          </w:p>
        </w:tc>
      </w:tr>
    </w:tbl>
    <w:p w:rsidR="00B64E72" w14:paraId="1583E879" w14:textId="77777777">
      <w:pPr>
        <w:pStyle w:val="BodyText"/>
        <w:spacing w:before="65"/>
        <w:rPr>
          <w:b/>
        </w:rPr>
      </w:pPr>
    </w:p>
    <w:p w:rsidR="00B64E72" w14:paraId="007A28E7" w14:textId="77777777">
      <w:pPr>
        <w:pStyle w:val="ListParagraph"/>
        <w:numPr>
          <w:ilvl w:val="0"/>
          <w:numId w:val="2"/>
        </w:numPr>
        <w:tabs>
          <w:tab w:val="left" w:pos="2234"/>
        </w:tabs>
        <w:rPr>
          <w:sz w:val="24"/>
          <w:u w:val="none"/>
        </w:rPr>
      </w:pPr>
      <w:bookmarkStart w:id="109" w:name="1._Information_to_be_Shared_About_the_QP"/>
      <w:bookmarkEnd w:id="109"/>
      <w:r>
        <w:rPr>
          <w:sz w:val="24"/>
        </w:rPr>
        <w:t>Information</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Shared</w:t>
      </w:r>
      <w:r>
        <w:rPr>
          <w:spacing w:val="1"/>
          <w:sz w:val="24"/>
        </w:rPr>
        <w:t xml:space="preserve"> </w:t>
      </w:r>
      <w:r>
        <w:rPr>
          <w:sz w:val="24"/>
        </w:rPr>
        <w:t>About</w:t>
      </w:r>
      <w:r>
        <w:rPr>
          <w:spacing w:val="1"/>
          <w:sz w:val="24"/>
        </w:rPr>
        <w:t xml:space="preserve"> </w:t>
      </w:r>
      <w:r>
        <w:rPr>
          <w:sz w:val="24"/>
        </w:rPr>
        <w:t>the</w:t>
      </w:r>
      <w:r>
        <w:rPr>
          <w:spacing w:val="-2"/>
          <w:sz w:val="24"/>
        </w:rPr>
        <w:t xml:space="preserve"> </w:t>
      </w:r>
      <w:r>
        <w:rPr>
          <w:sz w:val="24"/>
        </w:rPr>
        <w:t>QPA</w:t>
      </w:r>
      <w:r>
        <w:rPr>
          <w:spacing w:val="-1"/>
          <w:sz w:val="24"/>
        </w:rPr>
        <w:t xml:space="preserve"> </w:t>
      </w:r>
      <w:r>
        <w:rPr>
          <w:sz w:val="24"/>
        </w:rPr>
        <w:t>(45</w:t>
      </w:r>
      <w:r>
        <w:rPr>
          <w:spacing w:val="-1"/>
          <w:sz w:val="24"/>
        </w:rPr>
        <w:t xml:space="preserve"> </w:t>
      </w:r>
      <w:r>
        <w:rPr>
          <w:sz w:val="24"/>
        </w:rPr>
        <w:t>CFR</w:t>
      </w:r>
      <w:r>
        <w:rPr>
          <w:spacing w:val="3"/>
          <w:sz w:val="24"/>
        </w:rPr>
        <w:t xml:space="preserve"> </w:t>
      </w:r>
      <w:r>
        <w:rPr>
          <w:spacing w:val="-2"/>
          <w:sz w:val="24"/>
        </w:rPr>
        <w:t>149.140(d))</w:t>
      </w:r>
    </w:p>
    <w:p w:rsidR="00B64E72" w14:paraId="697FC935" w14:textId="77777777">
      <w:pPr>
        <w:pStyle w:val="BodyText"/>
        <w:spacing w:before="32"/>
      </w:pPr>
    </w:p>
    <w:p w:rsidR="00B64E72" w14:paraId="6656E54C" w14:textId="77777777">
      <w:pPr>
        <w:pStyle w:val="BodyText"/>
        <w:ind w:left="1526" w:right="1099"/>
      </w:pPr>
      <w:bookmarkStart w:id="110" w:name="The_July_2021_interim_final_rules_requir"/>
      <w:bookmarkEnd w:id="110"/>
      <w:r>
        <w:t>The July 2021 interim final rules require plans and issuers to provide certain information regarding</w:t>
      </w:r>
      <w:r>
        <w:rPr>
          <w:spacing w:val="-4"/>
        </w:rPr>
        <w:t xml:space="preserve"> </w:t>
      </w:r>
      <w:r>
        <w:t>the</w:t>
      </w:r>
      <w:r>
        <w:rPr>
          <w:spacing w:val="-3"/>
        </w:rPr>
        <w:t xml:space="preserve"> </w:t>
      </w:r>
      <w:r>
        <w:t>QPA</w:t>
      </w:r>
      <w:r>
        <w:rPr>
          <w:spacing w:val="-4"/>
        </w:rPr>
        <w:t xml:space="preserve"> </w:t>
      </w:r>
      <w:r>
        <w:t>to</w:t>
      </w:r>
      <w:r>
        <w:rPr>
          <w:spacing w:val="-4"/>
        </w:rPr>
        <w:t xml:space="preserve"> </w:t>
      </w:r>
      <w:r>
        <w:t>nonparticipating</w:t>
      </w:r>
      <w:r>
        <w:rPr>
          <w:spacing w:val="-4"/>
        </w:rPr>
        <w:t xml:space="preserve"> </w:t>
      </w:r>
      <w:r>
        <w:t>providers,</w:t>
      </w:r>
      <w:r>
        <w:rPr>
          <w:spacing w:val="-3"/>
        </w:rPr>
        <w:t xml:space="preserve"> </w:t>
      </w:r>
      <w:r>
        <w:t>or</w:t>
      </w:r>
      <w:r>
        <w:rPr>
          <w:spacing w:val="-4"/>
        </w:rPr>
        <w:t xml:space="preserve"> </w:t>
      </w:r>
      <w:r>
        <w:t>emergency</w:t>
      </w:r>
      <w:r>
        <w:rPr>
          <w:spacing w:val="-4"/>
        </w:rPr>
        <w:t xml:space="preserve"> </w:t>
      </w:r>
      <w:r>
        <w:t>facilities</w:t>
      </w:r>
      <w:r>
        <w:rPr>
          <w:spacing w:val="-4"/>
        </w:rPr>
        <w:t xml:space="preserve"> </w:t>
      </w:r>
      <w:r>
        <w:t>in</w:t>
      </w:r>
      <w:r>
        <w:rPr>
          <w:spacing w:val="-4"/>
        </w:rPr>
        <w:t xml:space="preserve"> </w:t>
      </w:r>
      <w:r>
        <w:t>cases</w:t>
      </w:r>
      <w:r>
        <w:rPr>
          <w:spacing w:val="-4"/>
        </w:rPr>
        <w:t xml:space="preserve"> </w:t>
      </w:r>
      <w:r>
        <w:t>in</w:t>
      </w:r>
      <w:r>
        <w:rPr>
          <w:spacing w:val="-4"/>
        </w:rPr>
        <w:t xml:space="preserve"> </w:t>
      </w:r>
      <w:r>
        <w:t>which</w:t>
      </w:r>
    </w:p>
    <w:p w:rsidR="00B64E72" w14:paraId="2EA78142" w14:textId="77777777">
      <w:pPr>
        <w:pStyle w:val="BodyText"/>
        <w:spacing w:before="171"/>
        <w:rPr>
          <w:sz w:val="20"/>
        </w:rPr>
      </w:pPr>
      <w:r>
        <w:rPr>
          <w:noProof/>
          <w:sz w:val="20"/>
        </w:rPr>
        <mc:AlternateContent>
          <mc:Choice Requires="wps">
            <w:drawing>
              <wp:anchor distT="0" distB="0" distL="0" distR="0" simplePos="0" relativeHeight="251670528" behindDoc="1" locked="0" layoutInCell="1" allowOverlap="1">
                <wp:simplePos x="0" y="0"/>
                <wp:positionH relativeFrom="page">
                  <wp:posOffset>914704</wp:posOffset>
                </wp:positionH>
                <wp:positionV relativeFrom="paragraph">
                  <wp:posOffset>270457</wp:posOffset>
                </wp:positionV>
                <wp:extent cx="1829435" cy="762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7620"/>
                        </a:xfrm>
                        <a:custGeom>
                          <a:avLst/>
                          <a:gdLst/>
                          <a:rect l="l" t="t" r="r" b="b"/>
                          <a:pathLst>
                            <a:path fill="norm" h="7620" w="1829435" stroke="1">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8" style="width:144.05pt;height:0.6pt;margin-top:21.3pt;margin-left:1in;mso-position-horizontal-relative:page;mso-wrap-distance-bottom:0;mso-wrap-distance-left:0;mso-wrap-distance-right:0;mso-wrap-distance-top:0;mso-wrap-style:square;position:absolute;visibility:visible;v-text-anchor:top;z-index:-251644928" coordsize="1829435,7620" path="m1829054,l,,,7619l1829054,7619l1829054,xe" fillcolor="black" stroked="f">
                <v:path arrowok="t"/>
                <w10:wrap type="topAndBottom"/>
              </v:shape>
            </w:pict>
          </mc:Fallback>
        </mc:AlternateContent>
      </w:r>
    </w:p>
    <w:p w:rsidR="00B64E72" w14:paraId="6B1682FC" w14:textId="77777777">
      <w:pPr>
        <w:spacing w:before="147" w:line="278" w:lineRule="auto"/>
        <w:ind w:left="1080" w:right="1369"/>
        <w:rPr>
          <w:sz w:val="20"/>
        </w:rPr>
      </w:pPr>
      <w:bookmarkStart w:id="111" w:name="5_See_May_2023_Bureau_of_Labor_Statistic"/>
      <w:bookmarkStart w:id="112" w:name="_bookmark4"/>
      <w:bookmarkEnd w:id="111"/>
      <w:bookmarkEnd w:id="112"/>
      <w:r>
        <w:rPr>
          <w:sz w:val="20"/>
          <w:vertAlign w:val="superscript"/>
        </w:rPr>
        <w:t>5</w:t>
      </w:r>
      <w:r>
        <w:rPr>
          <w:spacing w:val="-4"/>
          <w:sz w:val="20"/>
        </w:rPr>
        <w:t xml:space="preserve"> </w:t>
      </w:r>
      <w:r>
        <w:rPr>
          <w:i/>
          <w:sz w:val="20"/>
        </w:rPr>
        <w:t>See</w:t>
      </w:r>
      <w:r>
        <w:rPr>
          <w:i/>
          <w:spacing w:val="-3"/>
          <w:sz w:val="20"/>
        </w:rPr>
        <w:t xml:space="preserve"> </w:t>
      </w:r>
      <w:r>
        <w:rPr>
          <w:sz w:val="20"/>
        </w:rPr>
        <w:t>May</w:t>
      </w:r>
      <w:r>
        <w:rPr>
          <w:spacing w:val="-3"/>
          <w:sz w:val="20"/>
        </w:rPr>
        <w:t xml:space="preserve"> </w:t>
      </w:r>
      <w:r>
        <w:rPr>
          <w:sz w:val="20"/>
        </w:rPr>
        <w:t>2023</w:t>
      </w:r>
      <w:r>
        <w:rPr>
          <w:spacing w:val="-5"/>
          <w:sz w:val="20"/>
        </w:rPr>
        <w:t xml:space="preserve"> </w:t>
      </w:r>
      <w:r>
        <w:rPr>
          <w:sz w:val="20"/>
        </w:rPr>
        <w:t>Bureau</w:t>
      </w:r>
      <w:r>
        <w:rPr>
          <w:spacing w:val="-3"/>
          <w:sz w:val="20"/>
        </w:rPr>
        <w:t xml:space="preserve"> </w:t>
      </w:r>
      <w:r>
        <w:rPr>
          <w:sz w:val="20"/>
        </w:rPr>
        <w:t>of</w:t>
      </w:r>
      <w:r>
        <w:rPr>
          <w:spacing w:val="-4"/>
          <w:sz w:val="20"/>
        </w:rPr>
        <w:t xml:space="preserve"> </w:t>
      </w:r>
      <w:r>
        <w:rPr>
          <w:sz w:val="20"/>
        </w:rPr>
        <w:t>Labor</w:t>
      </w:r>
      <w:r>
        <w:rPr>
          <w:spacing w:val="-4"/>
          <w:sz w:val="20"/>
        </w:rPr>
        <w:t xml:space="preserve"> </w:t>
      </w:r>
      <w:r>
        <w:rPr>
          <w:sz w:val="20"/>
        </w:rPr>
        <w:t>Statistics,</w:t>
      </w:r>
      <w:r>
        <w:rPr>
          <w:spacing w:val="-4"/>
          <w:sz w:val="20"/>
        </w:rPr>
        <w:t xml:space="preserve"> </w:t>
      </w:r>
      <w:r>
        <w:rPr>
          <w:sz w:val="20"/>
        </w:rPr>
        <w:t>Occupational</w:t>
      </w:r>
      <w:r>
        <w:rPr>
          <w:spacing w:val="-4"/>
          <w:sz w:val="20"/>
        </w:rPr>
        <w:t xml:space="preserve"> </w:t>
      </w:r>
      <w:r>
        <w:rPr>
          <w:sz w:val="20"/>
        </w:rPr>
        <w:t>Employment</w:t>
      </w:r>
      <w:r>
        <w:rPr>
          <w:spacing w:val="-5"/>
          <w:sz w:val="20"/>
        </w:rPr>
        <w:t xml:space="preserve"> </w:t>
      </w:r>
      <w:r>
        <w:rPr>
          <w:sz w:val="20"/>
        </w:rPr>
        <w:t>Statistics,</w:t>
      </w:r>
      <w:r>
        <w:rPr>
          <w:spacing w:val="-4"/>
          <w:sz w:val="20"/>
        </w:rPr>
        <w:t xml:space="preserve"> </w:t>
      </w:r>
      <w:r>
        <w:rPr>
          <w:sz w:val="20"/>
        </w:rPr>
        <w:t>National</w:t>
      </w:r>
      <w:r>
        <w:rPr>
          <w:spacing w:val="-4"/>
          <w:sz w:val="20"/>
        </w:rPr>
        <w:t xml:space="preserve"> </w:t>
      </w:r>
      <w:r>
        <w:rPr>
          <w:sz w:val="20"/>
        </w:rPr>
        <w:t xml:space="preserve">Occupational Employment and Wage Estimates at </w:t>
      </w:r>
      <w:bookmarkStart w:id="113" w:name="https://www.bls.gov/oes/current/oes_nat."/>
      <w:bookmarkEnd w:id="113"/>
      <w:hyperlink r:id="rId7">
        <w:r>
          <w:rPr>
            <w:color w:val="0462C1"/>
            <w:sz w:val="20"/>
            <w:u w:val="single" w:color="0462C1"/>
          </w:rPr>
          <w:t>https://www.bls.gov/oes/current/oes_nat.htm</w:t>
        </w:r>
      </w:hyperlink>
      <w:hyperlink r:id="rId8">
        <w:r>
          <w:rPr>
            <w:sz w:val="20"/>
          </w:rPr>
          <w:t>.</w:t>
        </w:r>
      </w:hyperlink>
    </w:p>
    <w:p w:rsidR="00B64E72" w14:paraId="59ABFEB9" w14:textId="77777777">
      <w:pPr>
        <w:spacing w:line="278" w:lineRule="auto"/>
        <w:rPr>
          <w:sz w:val="20"/>
        </w:rPr>
        <w:sectPr>
          <w:pgSz w:w="12240" w:h="15840"/>
          <w:pgMar w:top="1360" w:right="360" w:bottom="1280" w:left="360" w:header="0" w:footer="1094" w:gutter="0"/>
          <w:cols w:space="720"/>
        </w:sectPr>
      </w:pPr>
    </w:p>
    <w:p w:rsidR="00B64E72" w14:paraId="3657DEBE" w14:textId="77777777">
      <w:pPr>
        <w:pStyle w:val="BodyText"/>
        <w:spacing w:before="79"/>
        <w:ind w:left="1526" w:right="1369"/>
      </w:pPr>
      <w:bookmarkStart w:id="114" w:name="the_recognized_amount_with_respect_to_an"/>
      <w:bookmarkEnd w:id="114"/>
      <w:r>
        <w:t>the</w:t>
      </w:r>
      <w:r>
        <w:rPr>
          <w:spacing w:val="-3"/>
        </w:rPr>
        <w:t xml:space="preserve"> </w:t>
      </w:r>
      <w:r>
        <w:t>recognized</w:t>
      </w:r>
      <w:r>
        <w:rPr>
          <w:spacing w:val="-3"/>
        </w:rPr>
        <w:t xml:space="preserve"> </w:t>
      </w:r>
      <w:r>
        <w:t>amount</w:t>
      </w:r>
      <w:r>
        <w:rPr>
          <w:spacing w:val="-3"/>
        </w:rPr>
        <w:t xml:space="preserve"> </w:t>
      </w:r>
      <w:r>
        <w:t>with</w:t>
      </w:r>
      <w:r>
        <w:rPr>
          <w:spacing w:val="-3"/>
        </w:rPr>
        <w:t xml:space="preserve"> </w:t>
      </w:r>
      <w:r>
        <w:t>respect</w:t>
      </w:r>
      <w:r>
        <w:rPr>
          <w:spacing w:val="-3"/>
        </w:rPr>
        <w:t xml:space="preserve"> </w:t>
      </w:r>
      <w:r>
        <w:t>to</w:t>
      </w:r>
      <w:r>
        <w:rPr>
          <w:spacing w:val="-3"/>
        </w:rPr>
        <w:t xml:space="preserve"> </w:t>
      </w:r>
      <w:r>
        <w:t>an</w:t>
      </w:r>
      <w:r>
        <w:rPr>
          <w:spacing w:val="-3"/>
        </w:rPr>
        <w:t xml:space="preserve"> </w:t>
      </w:r>
      <w:r>
        <w:t>item</w:t>
      </w:r>
      <w:r>
        <w:rPr>
          <w:spacing w:val="-3"/>
        </w:rPr>
        <w:t xml:space="preserve"> </w:t>
      </w:r>
      <w:r>
        <w:t>or</w:t>
      </w:r>
      <w:r>
        <w:rPr>
          <w:spacing w:val="-3"/>
        </w:rPr>
        <w:t xml:space="preserve"> </w:t>
      </w:r>
      <w:r>
        <w:t>service</w:t>
      </w:r>
      <w:r>
        <w:rPr>
          <w:spacing w:val="-2"/>
        </w:rPr>
        <w:t xml:space="preserve"> </w:t>
      </w:r>
      <w:r>
        <w:t>furnished</w:t>
      </w:r>
      <w:r>
        <w:rPr>
          <w:spacing w:val="-3"/>
        </w:rPr>
        <w:t xml:space="preserve"> </w:t>
      </w:r>
      <w:r>
        <w:t>by</w:t>
      </w:r>
      <w:r>
        <w:rPr>
          <w:spacing w:val="-3"/>
        </w:rPr>
        <w:t xml:space="preserve"> </w:t>
      </w:r>
      <w:r>
        <w:t>the</w:t>
      </w:r>
      <w:r>
        <w:rPr>
          <w:spacing w:val="-4"/>
        </w:rPr>
        <w:t xml:space="preserve"> </w:t>
      </w:r>
      <w:r>
        <w:t>provider</w:t>
      </w:r>
      <w:r>
        <w:rPr>
          <w:spacing w:val="-3"/>
        </w:rPr>
        <w:t xml:space="preserve"> </w:t>
      </w:r>
      <w:r>
        <w:t>or facility is the QPA (and when the out-of-network rate is the QPA, with respect to nonparticipating providers of air ambulance services).</w:t>
      </w:r>
    </w:p>
    <w:p w:rsidR="00B64E72" w14:paraId="6408E933" w14:textId="77777777">
      <w:pPr>
        <w:pStyle w:val="BodyText"/>
      </w:pPr>
    </w:p>
    <w:p w:rsidR="00B64E72" w14:paraId="44E742FC" w14:textId="77777777">
      <w:pPr>
        <w:pStyle w:val="BodyText"/>
        <w:ind w:left="1526" w:right="1099"/>
      </w:pPr>
      <w:bookmarkStart w:id="115" w:name="The_August_2022_final_rules_added_a_defi"/>
      <w:bookmarkEnd w:id="115"/>
      <w:r>
        <w:t>The August 2022 final rules added a definition for the term ‘‘</w:t>
      </w:r>
      <w:r>
        <w:t>downcode</w:t>
      </w:r>
      <w:r>
        <w:t>’’ to mean the alteration by a plan or issuer of a service code to another service code, or the alteration, addition, or removal by a plan or issuer of a modifier, if the changed code or modifier is associated with a lower QPA than the service code or modifier billed by the provider, facility, or provider of air ambulance services. The August 2022 final rules require that this additional</w:t>
      </w:r>
      <w:r>
        <w:rPr>
          <w:spacing w:val="-1"/>
        </w:rPr>
        <w:t xml:space="preserve"> </w:t>
      </w:r>
      <w:r>
        <w:t>information</w:t>
      </w:r>
      <w:r>
        <w:rPr>
          <w:spacing w:val="-1"/>
        </w:rPr>
        <w:t xml:space="preserve"> </w:t>
      </w:r>
      <w:r>
        <w:t>about</w:t>
      </w:r>
      <w:r>
        <w:rPr>
          <w:spacing w:val="-1"/>
        </w:rPr>
        <w:t xml:space="preserve"> </w:t>
      </w:r>
      <w:r>
        <w:t>the</w:t>
      </w:r>
      <w:r>
        <w:rPr>
          <w:spacing w:val="-1"/>
        </w:rPr>
        <w:t xml:space="preserve"> </w:t>
      </w:r>
      <w:r>
        <w:t>QPA</w:t>
      </w:r>
      <w:r>
        <w:rPr>
          <w:spacing w:val="-1"/>
        </w:rPr>
        <w:t xml:space="preserve"> </w:t>
      </w:r>
      <w:r>
        <w:t>must</w:t>
      </w:r>
      <w:r>
        <w:rPr>
          <w:spacing w:val="-1"/>
        </w:rPr>
        <w:t xml:space="preserve"> </w:t>
      </w:r>
      <w:r>
        <w:t>be</w:t>
      </w:r>
      <w:r>
        <w:rPr>
          <w:spacing w:val="-2"/>
        </w:rPr>
        <w:t xml:space="preserve"> </w:t>
      </w:r>
      <w:r>
        <w:t>provided</w:t>
      </w:r>
      <w:r>
        <w:rPr>
          <w:spacing w:val="-1"/>
        </w:rPr>
        <w:t xml:space="preserve"> </w:t>
      </w:r>
      <w:r>
        <w:t>with</w:t>
      </w:r>
      <w:r>
        <w:rPr>
          <w:spacing w:val="-1"/>
        </w:rPr>
        <w:t xml:space="preserve"> </w:t>
      </w:r>
      <w:r>
        <w:t>an</w:t>
      </w:r>
      <w:r>
        <w:rPr>
          <w:spacing w:val="-1"/>
        </w:rPr>
        <w:t xml:space="preserve"> </w:t>
      </w:r>
      <w:r>
        <w:t>initial</w:t>
      </w:r>
      <w:r>
        <w:rPr>
          <w:spacing w:val="-1"/>
        </w:rPr>
        <w:t xml:space="preserve"> </w:t>
      </w:r>
      <w:r>
        <w:t>payment</w:t>
      </w:r>
      <w:r>
        <w:rPr>
          <w:spacing w:val="-1"/>
        </w:rPr>
        <w:t xml:space="preserve"> </w:t>
      </w:r>
      <w:r>
        <w:t>or</w:t>
      </w:r>
      <w:r>
        <w:rPr>
          <w:spacing w:val="-1"/>
        </w:rPr>
        <w:t xml:space="preserve"> </w:t>
      </w:r>
      <w:r>
        <w:t>notice</w:t>
      </w:r>
      <w:r>
        <w:rPr>
          <w:spacing w:val="-2"/>
        </w:rPr>
        <w:t xml:space="preserve"> </w:t>
      </w:r>
      <w:r>
        <w:t>of denial</w:t>
      </w:r>
      <w:r>
        <w:rPr>
          <w:spacing w:val="-4"/>
        </w:rPr>
        <w:t xml:space="preserve"> </w:t>
      </w:r>
      <w:r>
        <w:t>of</w:t>
      </w:r>
      <w:r>
        <w:rPr>
          <w:spacing w:val="-4"/>
        </w:rPr>
        <w:t xml:space="preserve"> </w:t>
      </w:r>
      <w:r>
        <w:t>payment,</w:t>
      </w:r>
      <w:r>
        <w:rPr>
          <w:spacing w:val="-4"/>
        </w:rPr>
        <w:t xml:space="preserve"> </w:t>
      </w:r>
      <w:r>
        <w:t>without</w:t>
      </w:r>
      <w:r>
        <w:rPr>
          <w:spacing w:val="-4"/>
        </w:rPr>
        <w:t xml:space="preserve"> </w:t>
      </w:r>
      <w:r>
        <w:t>a</w:t>
      </w:r>
      <w:r>
        <w:rPr>
          <w:spacing w:val="-4"/>
        </w:rPr>
        <w:t xml:space="preserve"> </w:t>
      </w:r>
      <w:r>
        <w:t>prov</w:t>
      </w:r>
      <w:r>
        <w:t>ider,</w:t>
      </w:r>
      <w:r>
        <w:rPr>
          <w:spacing w:val="-4"/>
        </w:rPr>
        <w:t xml:space="preserve"> </w:t>
      </w:r>
      <w:r>
        <w:t>facility,</w:t>
      </w:r>
      <w:r>
        <w:rPr>
          <w:spacing w:val="-4"/>
        </w:rPr>
        <w:t xml:space="preserve"> </w:t>
      </w:r>
      <w:r>
        <w:t>or</w:t>
      </w:r>
      <w:r>
        <w:rPr>
          <w:spacing w:val="-3"/>
        </w:rPr>
        <w:t xml:space="preserve"> </w:t>
      </w:r>
      <w:r>
        <w:t>provider</w:t>
      </w:r>
      <w:r>
        <w:rPr>
          <w:spacing w:val="-4"/>
        </w:rPr>
        <w:t xml:space="preserve"> </w:t>
      </w:r>
      <w:r>
        <w:t>of</w:t>
      </w:r>
      <w:r>
        <w:rPr>
          <w:spacing w:val="-5"/>
        </w:rPr>
        <w:t xml:space="preserve"> </w:t>
      </w:r>
      <w:r>
        <w:t>air</w:t>
      </w:r>
      <w:r>
        <w:rPr>
          <w:spacing w:val="-4"/>
        </w:rPr>
        <w:t xml:space="preserve"> </w:t>
      </w:r>
      <w:r>
        <w:t>ambulance</w:t>
      </w:r>
      <w:r>
        <w:rPr>
          <w:spacing w:val="-4"/>
        </w:rPr>
        <w:t xml:space="preserve"> </w:t>
      </w:r>
      <w:r>
        <w:t>services</w:t>
      </w:r>
      <w:r>
        <w:rPr>
          <w:spacing w:val="-4"/>
        </w:rPr>
        <w:t xml:space="preserve"> </w:t>
      </w:r>
      <w:r>
        <w:t xml:space="preserve">having to make a request for this information, in cases in which the plan or issuer has </w:t>
      </w:r>
      <w:r>
        <w:t>downcoded</w:t>
      </w:r>
      <w:r>
        <w:t xml:space="preserve"> the billed claim. The August 2022 final rules further specify that, if a QPA is based on a </w:t>
      </w:r>
      <w:r>
        <w:t>downcoded</w:t>
      </w:r>
      <w:r>
        <w:t xml:space="preserve"> service code or modifier, in addition to the information already required to be provided with an initial payment or notice of denial of payment, a plan or issuer must provide a statement that the service code or modifier billed by the provider, facility, or p</w:t>
      </w:r>
      <w:r>
        <w:t xml:space="preserve">rovider of air ambulance services was </w:t>
      </w:r>
      <w:r>
        <w:t>downcoded</w:t>
      </w:r>
      <w:r>
        <w:t xml:space="preserve">; an explanation of why the claim was </w:t>
      </w:r>
      <w:r>
        <w:t>downcoded</w:t>
      </w:r>
      <w:r>
        <w:t>, including a description of which service codes were altered, if any, and which modifiers</w:t>
      </w:r>
      <w:r>
        <w:rPr>
          <w:spacing w:val="-1"/>
        </w:rPr>
        <w:t xml:space="preserve"> </w:t>
      </w:r>
      <w:r>
        <w:t>were</w:t>
      </w:r>
      <w:r>
        <w:rPr>
          <w:spacing w:val="-2"/>
        </w:rPr>
        <w:t xml:space="preserve"> </w:t>
      </w:r>
      <w:r>
        <w:t>altered,</w:t>
      </w:r>
      <w:r>
        <w:rPr>
          <w:spacing w:val="-1"/>
        </w:rPr>
        <w:t xml:space="preserve"> </w:t>
      </w:r>
      <w:r>
        <w:t>added,</w:t>
      </w:r>
      <w:r>
        <w:rPr>
          <w:spacing w:val="-1"/>
        </w:rPr>
        <w:t xml:space="preserve"> </w:t>
      </w:r>
      <w:r>
        <w:t>or</w:t>
      </w:r>
      <w:r>
        <w:rPr>
          <w:spacing w:val="-2"/>
        </w:rPr>
        <w:t xml:space="preserve"> </w:t>
      </w:r>
      <w:r>
        <w:t>removed,</w:t>
      </w:r>
      <w:r>
        <w:rPr>
          <w:spacing w:val="-1"/>
        </w:rPr>
        <w:t xml:space="preserve"> </w:t>
      </w:r>
      <w:r>
        <w:t>if</w:t>
      </w:r>
      <w:r>
        <w:rPr>
          <w:spacing w:val="-1"/>
        </w:rPr>
        <w:t xml:space="preserve"> </w:t>
      </w:r>
      <w:r>
        <w:t>any; and</w:t>
      </w:r>
      <w:r>
        <w:rPr>
          <w:spacing w:val="-1"/>
        </w:rPr>
        <w:t xml:space="preserve"> </w:t>
      </w:r>
      <w:r>
        <w:t>the</w:t>
      </w:r>
      <w:r>
        <w:rPr>
          <w:spacing w:val="-1"/>
        </w:rPr>
        <w:t xml:space="preserve"> </w:t>
      </w:r>
      <w:r>
        <w:t>amount</w:t>
      </w:r>
      <w:r>
        <w:rPr>
          <w:spacing w:val="-1"/>
        </w:rPr>
        <w:t xml:space="preserve"> </w:t>
      </w:r>
      <w:r>
        <w:t>that</w:t>
      </w:r>
      <w:r>
        <w:rPr>
          <w:spacing w:val="-1"/>
        </w:rPr>
        <w:t xml:space="preserve"> </w:t>
      </w:r>
      <w:r>
        <w:t>would</w:t>
      </w:r>
      <w:r>
        <w:rPr>
          <w:spacing w:val="-1"/>
        </w:rPr>
        <w:t xml:space="preserve"> </w:t>
      </w:r>
      <w:r>
        <w:t>have</w:t>
      </w:r>
      <w:r>
        <w:rPr>
          <w:spacing w:val="-3"/>
        </w:rPr>
        <w:t xml:space="preserve"> </w:t>
      </w:r>
      <w:r>
        <w:t>been</w:t>
      </w:r>
      <w:r>
        <w:rPr>
          <w:spacing w:val="-1"/>
        </w:rPr>
        <w:t xml:space="preserve"> </w:t>
      </w:r>
      <w:r>
        <w:t xml:space="preserve">the QPA had the service code or modifier not been </w:t>
      </w:r>
      <w:r>
        <w:t>downcoded</w:t>
      </w:r>
      <w:r>
        <w:t>.</w:t>
      </w:r>
    </w:p>
    <w:p w:rsidR="00B64E72" w14:paraId="7701A83E" w14:textId="77777777">
      <w:pPr>
        <w:pStyle w:val="BodyText"/>
        <w:spacing w:before="23"/>
      </w:pPr>
    </w:p>
    <w:p w:rsidR="00B64E72" w14:paraId="15A0458B" w14:textId="77777777">
      <w:pPr>
        <w:pStyle w:val="BodyText"/>
        <w:spacing w:line="259" w:lineRule="auto"/>
        <w:ind w:left="1512" w:right="1129"/>
      </w:pPr>
      <w:bookmarkStart w:id="116" w:name="The_Departments_assume_that_third_party_"/>
      <w:bookmarkEnd w:id="116"/>
      <w:r>
        <w:t>The Departments assume that third party administrators (TPAs) will provide this information</w:t>
      </w:r>
      <w:r>
        <w:rPr>
          <w:spacing w:val="-4"/>
        </w:rPr>
        <w:t xml:space="preserve"> </w:t>
      </w:r>
      <w:r>
        <w:t>on</w:t>
      </w:r>
      <w:r>
        <w:rPr>
          <w:spacing w:val="-4"/>
        </w:rPr>
        <w:t xml:space="preserve"> </w:t>
      </w:r>
      <w:r>
        <w:t>behalf</w:t>
      </w:r>
      <w:r>
        <w:rPr>
          <w:spacing w:val="-4"/>
        </w:rPr>
        <w:t xml:space="preserve"> </w:t>
      </w:r>
      <w:r>
        <w:t>of</w:t>
      </w:r>
      <w:r>
        <w:rPr>
          <w:spacing w:val="-3"/>
        </w:rPr>
        <w:t xml:space="preserve"> </w:t>
      </w:r>
      <w:r>
        <w:t>self-insured</w:t>
      </w:r>
      <w:r>
        <w:rPr>
          <w:spacing w:val="-4"/>
        </w:rPr>
        <w:t xml:space="preserve"> </w:t>
      </w:r>
      <w:r>
        <w:t>plans.</w:t>
      </w:r>
      <w:r>
        <w:rPr>
          <w:spacing w:val="-3"/>
        </w:rPr>
        <w:t xml:space="preserve"> </w:t>
      </w:r>
      <w:r>
        <w:t>In</w:t>
      </w:r>
      <w:r>
        <w:rPr>
          <w:spacing w:val="-4"/>
        </w:rPr>
        <w:t xml:space="preserve"> </w:t>
      </w:r>
      <w:r>
        <w:t>addition,</w:t>
      </w:r>
      <w:r>
        <w:rPr>
          <w:spacing w:val="-3"/>
        </w:rPr>
        <w:t xml:space="preserve"> </w:t>
      </w:r>
      <w:r>
        <w:t>the</w:t>
      </w:r>
      <w:r>
        <w:rPr>
          <w:spacing w:val="-4"/>
        </w:rPr>
        <w:t xml:space="preserve"> </w:t>
      </w:r>
      <w:r>
        <w:t>Departments</w:t>
      </w:r>
      <w:r>
        <w:rPr>
          <w:spacing w:val="-4"/>
        </w:rPr>
        <w:t xml:space="preserve"> </w:t>
      </w:r>
      <w:r>
        <w:t>assume</w:t>
      </w:r>
      <w:r>
        <w:rPr>
          <w:spacing w:val="-4"/>
        </w:rPr>
        <w:t xml:space="preserve"> </w:t>
      </w:r>
      <w:r>
        <w:t>that</w:t>
      </w:r>
      <w:r>
        <w:rPr>
          <w:spacing w:val="-4"/>
        </w:rPr>
        <w:t xml:space="preserve"> </w:t>
      </w:r>
      <w:r>
        <w:t>issuers and TPAs will automate the process of preparing and providing this information in a format similar to an explanation of benefits as part of the system to calculate the QPA.</w:t>
      </w:r>
    </w:p>
    <w:p w:rsidR="00B64E72" w14:paraId="40989214" w14:textId="77777777">
      <w:pPr>
        <w:pStyle w:val="BodyText"/>
        <w:spacing w:before="20"/>
      </w:pPr>
    </w:p>
    <w:p w:rsidR="00B64E72" w14:paraId="3828E607" w14:textId="77777777">
      <w:pPr>
        <w:pStyle w:val="BodyText"/>
        <w:spacing w:line="259" w:lineRule="auto"/>
        <w:ind w:left="1512" w:right="1099"/>
      </w:pPr>
      <w:bookmarkStart w:id="117" w:name="The_Departments_estimate_that_a_total_of"/>
      <w:bookmarkEnd w:id="117"/>
      <w:r>
        <w:t>The</w:t>
      </w:r>
      <w:r>
        <w:rPr>
          <w:spacing w:val="-5"/>
        </w:rPr>
        <w:t xml:space="preserve"> </w:t>
      </w:r>
      <w:r>
        <w:t>Departments</w:t>
      </w:r>
      <w:r>
        <w:rPr>
          <w:spacing w:val="-3"/>
        </w:rPr>
        <w:t xml:space="preserve"> </w:t>
      </w:r>
      <w:r>
        <w:t>estimate</w:t>
      </w:r>
      <w:r>
        <w:rPr>
          <w:spacing w:val="-4"/>
        </w:rPr>
        <w:t xml:space="preserve"> </w:t>
      </w:r>
      <w:r>
        <w:t>that</w:t>
      </w:r>
      <w:r>
        <w:rPr>
          <w:spacing w:val="-3"/>
        </w:rPr>
        <w:t xml:space="preserve"> </w:t>
      </w:r>
      <w:r>
        <w:t>a</w:t>
      </w:r>
      <w:r>
        <w:rPr>
          <w:spacing w:val="-4"/>
        </w:rPr>
        <w:t xml:space="preserve"> </w:t>
      </w:r>
      <w:r>
        <w:t>total</w:t>
      </w:r>
      <w:r>
        <w:rPr>
          <w:spacing w:val="-3"/>
        </w:rPr>
        <w:t xml:space="preserve"> </w:t>
      </w:r>
      <w:r>
        <w:t>of</w:t>
      </w:r>
      <w:r>
        <w:rPr>
          <w:spacing w:val="-2"/>
        </w:rPr>
        <w:t xml:space="preserve"> </w:t>
      </w:r>
      <w:r>
        <w:t>1,673</w:t>
      </w:r>
      <w:r>
        <w:rPr>
          <w:spacing w:val="-3"/>
        </w:rPr>
        <w:t xml:space="preserve"> </w:t>
      </w:r>
      <w:r>
        <w:t>entities</w:t>
      </w:r>
      <w:r>
        <w:rPr>
          <w:spacing w:val="-3"/>
        </w:rPr>
        <w:t xml:space="preserve"> </w:t>
      </w:r>
      <w:r>
        <w:t>–</w:t>
      </w:r>
      <w:r>
        <w:rPr>
          <w:spacing w:val="-3"/>
        </w:rPr>
        <w:t xml:space="preserve"> </w:t>
      </w:r>
      <w:r>
        <w:t>1,468</w:t>
      </w:r>
      <w:r>
        <w:rPr>
          <w:spacing w:val="-3"/>
        </w:rPr>
        <w:t xml:space="preserve"> </w:t>
      </w:r>
      <w:r>
        <w:t>issuers</w:t>
      </w:r>
      <w:bookmarkStart w:id="118" w:name="6"/>
      <w:bookmarkEnd w:id="118"/>
      <w:hyperlink w:anchor="_bookmark5" w:history="1">
        <w:r>
          <w:rPr>
            <w:vertAlign w:val="superscript"/>
          </w:rPr>
          <w:t>6</w:t>
        </w:r>
      </w:hyperlink>
      <w:r>
        <w:rPr>
          <w:spacing w:val="-2"/>
        </w:rPr>
        <w:t xml:space="preserve"> </w:t>
      </w:r>
      <w:r>
        <w:t>and</w:t>
      </w:r>
      <w:r>
        <w:rPr>
          <w:spacing w:val="-3"/>
        </w:rPr>
        <w:t xml:space="preserve"> </w:t>
      </w:r>
      <w:r>
        <w:t>205</w:t>
      </w:r>
      <w:r>
        <w:rPr>
          <w:spacing w:val="-3"/>
        </w:rPr>
        <w:t xml:space="preserve"> </w:t>
      </w:r>
      <w:r>
        <w:t>TP</w:t>
      </w:r>
      <w:bookmarkStart w:id="119" w:name="7"/>
      <w:bookmarkEnd w:id="119"/>
      <w:r>
        <w:t>As</w:t>
      </w:r>
      <w:hyperlink w:anchor="_bookmark6" w:history="1">
        <w:r>
          <w:rPr>
            <w:vertAlign w:val="superscript"/>
          </w:rPr>
          <w:t>7</w:t>
        </w:r>
      </w:hyperlink>
      <w:r>
        <w:rPr>
          <w:spacing w:val="-2"/>
        </w:rPr>
        <w:t xml:space="preserve"> </w:t>
      </w:r>
      <w:r>
        <w:t>–will incur burden to comply with this provision. Currently, 14 states have established some payment standards for services provided by nonparticipating providers or nonparticipating emergency facilities.</w:t>
      </w:r>
      <w:bookmarkStart w:id="120" w:name="8"/>
      <w:bookmarkEnd w:id="120"/>
      <w:hyperlink w:anchor="_bookmark7" w:history="1">
        <w:r>
          <w:rPr>
            <w:vertAlign w:val="superscript"/>
          </w:rPr>
          <w:t>8</w:t>
        </w:r>
      </w:hyperlink>
      <w:r>
        <w:t xml:space="preserve"> The Departments assume that issuers and TPAs will potentially need to calculate the QPA for approximately two-thirds of the claims involving nonparticipating providers or emergency facilities.</w:t>
      </w:r>
    </w:p>
    <w:p w:rsidR="00B64E72" w14:paraId="140D6F71" w14:textId="77777777">
      <w:pPr>
        <w:pStyle w:val="BodyText"/>
        <w:spacing w:before="21"/>
      </w:pPr>
    </w:p>
    <w:p w:rsidR="00B64E72" w14:paraId="6278EDCF" w14:textId="77777777">
      <w:pPr>
        <w:pStyle w:val="BodyText"/>
        <w:spacing w:line="259" w:lineRule="auto"/>
        <w:ind w:left="1512" w:right="1099"/>
      </w:pPr>
      <w:bookmarkStart w:id="121" w:name="In_2018,_there_were_approximately_39,690"/>
      <w:bookmarkEnd w:id="121"/>
      <w:r>
        <w:t>In</w:t>
      </w:r>
      <w:r>
        <w:rPr>
          <w:spacing w:val="-4"/>
        </w:rPr>
        <w:t xml:space="preserve"> </w:t>
      </w:r>
      <w:r>
        <w:t>2018,</w:t>
      </w:r>
      <w:r>
        <w:rPr>
          <w:spacing w:val="-4"/>
        </w:rPr>
        <w:t xml:space="preserve"> </w:t>
      </w:r>
      <w:r>
        <w:t>there</w:t>
      </w:r>
      <w:r>
        <w:rPr>
          <w:spacing w:val="-6"/>
        </w:rPr>
        <w:t xml:space="preserve"> </w:t>
      </w:r>
      <w:r>
        <w:t>were</w:t>
      </w:r>
      <w:r>
        <w:rPr>
          <w:spacing w:val="-5"/>
        </w:rPr>
        <w:t xml:space="preserve"> </w:t>
      </w:r>
      <w:r>
        <w:t>approximately</w:t>
      </w:r>
      <w:r>
        <w:rPr>
          <w:spacing w:val="-4"/>
        </w:rPr>
        <w:t xml:space="preserve"> </w:t>
      </w:r>
      <w:r>
        <w:t>39,690,940</w:t>
      </w:r>
      <w:r>
        <w:rPr>
          <w:spacing w:val="-4"/>
        </w:rPr>
        <w:t xml:space="preserve"> </w:t>
      </w:r>
      <w:r>
        <w:t>emergency</w:t>
      </w:r>
      <w:r>
        <w:rPr>
          <w:spacing w:val="-4"/>
        </w:rPr>
        <w:t xml:space="preserve"> </w:t>
      </w:r>
      <w:r>
        <w:t>department</w:t>
      </w:r>
      <w:r>
        <w:rPr>
          <w:spacing w:val="-4"/>
        </w:rPr>
        <w:t xml:space="preserve"> </w:t>
      </w:r>
      <w:r>
        <w:t>visits</w:t>
      </w:r>
      <w:r>
        <w:rPr>
          <w:spacing w:val="-4"/>
        </w:rPr>
        <w:t xml:space="preserve"> </w:t>
      </w:r>
      <w:r>
        <w:t>for</w:t>
      </w:r>
      <w:r>
        <w:rPr>
          <w:spacing w:val="-6"/>
        </w:rPr>
        <w:t xml:space="preserve"> </w:t>
      </w:r>
      <w:r>
        <w:t>patients</w:t>
      </w:r>
      <w:r>
        <w:rPr>
          <w:spacing w:val="-4"/>
        </w:rPr>
        <w:t xml:space="preserve"> </w:t>
      </w:r>
      <w:r>
        <w:t>with individual market or group health coverage</w:t>
      </w:r>
      <w:bookmarkStart w:id="122" w:name="9"/>
      <w:bookmarkEnd w:id="122"/>
      <w:r>
        <w:t>.</w:t>
      </w:r>
      <w:hyperlink w:anchor="_bookmark8" w:history="1">
        <w:r>
          <w:rPr>
            <w:vertAlign w:val="superscript"/>
          </w:rPr>
          <w:t>9</w:t>
        </w:r>
      </w:hyperlink>
      <w:r>
        <w:t xml:space="preserve"> The Departments estimate that approximately</w:t>
      </w:r>
    </w:p>
    <w:p w:rsidR="00B64E72" w14:paraId="5447FB09" w14:textId="77777777">
      <w:pPr>
        <w:pStyle w:val="BodyText"/>
        <w:rPr>
          <w:sz w:val="20"/>
        </w:rPr>
      </w:pPr>
    </w:p>
    <w:p w:rsidR="00B64E72" w14:paraId="68766421" w14:textId="77777777">
      <w:pPr>
        <w:pStyle w:val="BodyText"/>
        <w:spacing w:before="1"/>
        <w:rPr>
          <w:sz w:val="20"/>
        </w:rPr>
      </w:pPr>
      <w:r>
        <w:rPr>
          <w:noProof/>
          <w:sz w:val="20"/>
        </w:rPr>
        <mc:AlternateContent>
          <mc:Choice Requires="wps">
            <w:drawing>
              <wp:anchor distT="0" distB="0" distL="0" distR="0" simplePos="0" relativeHeight="251672576" behindDoc="1" locked="0" layoutInCell="1" allowOverlap="1">
                <wp:simplePos x="0" y="0"/>
                <wp:positionH relativeFrom="page">
                  <wp:posOffset>914704</wp:posOffset>
                </wp:positionH>
                <wp:positionV relativeFrom="paragraph">
                  <wp:posOffset>162244</wp:posOffset>
                </wp:positionV>
                <wp:extent cx="1829435" cy="762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7620"/>
                        </a:xfrm>
                        <a:custGeom>
                          <a:avLst/>
                          <a:gdLst/>
                          <a:rect l="l" t="t" r="r" b="b"/>
                          <a:pathLst>
                            <a:path fill="norm" h="7620" w="1829435" stroke="1">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9" style="width:144.05pt;height:0.6pt;margin-top:12.8pt;margin-left:1in;mso-position-horizontal-relative:page;mso-wrap-distance-bottom:0;mso-wrap-distance-left:0;mso-wrap-distance-right:0;mso-wrap-distance-top:0;mso-wrap-style:square;position:absolute;visibility:visible;v-text-anchor:top;z-index:-251642880" coordsize="1829435,7620" path="m1829054,l,,,7619l1829054,7619l1829054,xe" fillcolor="black" stroked="f">
                <v:path arrowok="t"/>
                <w10:wrap type="topAndBottom"/>
              </v:shape>
            </w:pict>
          </mc:Fallback>
        </mc:AlternateContent>
      </w:r>
    </w:p>
    <w:p w:rsidR="00B64E72" w14:paraId="20EC3A5B" w14:textId="77777777">
      <w:pPr>
        <w:spacing w:before="145"/>
        <w:ind w:left="1080" w:right="3463"/>
        <w:rPr>
          <w:sz w:val="20"/>
        </w:rPr>
      </w:pPr>
      <w:bookmarkStart w:id="123" w:name="6_Based_on_data_from_MLR_annual_report_f"/>
      <w:bookmarkStart w:id="124" w:name="_bookmark5"/>
      <w:bookmarkEnd w:id="123"/>
      <w:bookmarkEnd w:id="124"/>
      <w:r>
        <w:rPr>
          <w:sz w:val="20"/>
          <w:vertAlign w:val="superscript"/>
        </w:rPr>
        <w:t>6</w:t>
      </w:r>
      <w:r>
        <w:rPr>
          <w:spacing w:val="-3"/>
          <w:sz w:val="20"/>
        </w:rPr>
        <w:t xml:space="preserve"> </w:t>
      </w:r>
      <w:r>
        <w:rPr>
          <w:sz w:val="20"/>
        </w:rPr>
        <w:t>Based</w:t>
      </w:r>
      <w:r>
        <w:rPr>
          <w:spacing w:val="-2"/>
          <w:sz w:val="20"/>
        </w:rPr>
        <w:t xml:space="preserve"> </w:t>
      </w:r>
      <w:r>
        <w:rPr>
          <w:sz w:val="20"/>
        </w:rPr>
        <w:t>on</w:t>
      </w:r>
      <w:r>
        <w:rPr>
          <w:spacing w:val="-2"/>
          <w:sz w:val="20"/>
        </w:rPr>
        <w:t xml:space="preserve"> </w:t>
      </w:r>
      <w:r>
        <w:rPr>
          <w:sz w:val="20"/>
        </w:rPr>
        <w:t>data</w:t>
      </w:r>
      <w:r>
        <w:rPr>
          <w:spacing w:val="-3"/>
          <w:sz w:val="20"/>
        </w:rPr>
        <w:t xml:space="preserve"> </w:t>
      </w:r>
      <w:r>
        <w:rPr>
          <w:sz w:val="20"/>
        </w:rPr>
        <w:t>from</w:t>
      </w:r>
      <w:r>
        <w:rPr>
          <w:spacing w:val="-2"/>
          <w:sz w:val="20"/>
        </w:rPr>
        <w:t xml:space="preserve"> </w:t>
      </w:r>
      <w:r>
        <w:rPr>
          <w:sz w:val="20"/>
        </w:rPr>
        <w:t>MLR</w:t>
      </w:r>
      <w:r>
        <w:rPr>
          <w:spacing w:val="-4"/>
          <w:sz w:val="20"/>
        </w:rPr>
        <w:t xml:space="preserve"> </w:t>
      </w:r>
      <w:r>
        <w:rPr>
          <w:sz w:val="20"/>
        </w:rPr>
        <w:t>annual</w:t>
      </w:r>
      <w:r>
        <w:rPr>
          <w:spacing w:val="-3"/>
          <w:sz w:val="20"/>
        </w:rPr>
        <w:t xml:space="preserve"> </w:t>
      </w:r>
      <w:r>
        <w:rPr>
          <w:sz w:val="20"/>
        </w:rPr>
        <w:t>report</w:t>
      </w:r>
      <w:r>
        <w:rPr>
          <w:spacing w:val="-4"/>
          <w:sz w:val="20"/>
        </w:rPr>
        <w:t xml:space="preserve"> </w:t>
      </w:r>
      <w:r>
        <w:rPr>
          <w:sz w:val="20"/>
        </w:rPr>
        <w:t>for</w:t>
      </w:r>
      <w:r>
        <w:rPr>
          <w:spacing w:val="-5"/>
          <w:sz w:val="20"/>
        </w:rPr>
        <w:t xml:space="preserve"> </w:t>
      </w:r>
      <w:r>
        <w:rPr>
          <w:sz w:val="20"/>
        </w:rPr>
        <w:t>the</w:t>
      </w:r>
      <w:r>
        <w:rPr>
          <w:spacing w:val="-3"/>
          <w:sz w:val="20"/>
        </w:rPr>
        <w:t xml:space="preserve"> </w:t>
      </w:r>
      <w:r>
        <w:rPr>
          <w:sz w:val="20"/>
        </w:rPr>
        <w:t>2022</w:t>
      </w:r>
      <w:r>
        <w:rPr>
          <w:spacing w:val="-2"/>
          <w:sz w:val="20"/>
        </w:rPr>
        <w:t xml:space="preserve"> </w:t>
      </w:r>
      <w:r>
        <w:rPr>
          <w:sz w:val="20"/>
        </w:rPr>
        <w:t>MLR</w:t>
      </w:r>
      <w:r>
        <w:rPr>
          <w:spacing w:val="-4"/>
          <w:sz w:val="20"/>
        </w:rPr>
        <w:t xml:space="preserve"> </w:t>
      </w:r>
      <w:r>
        <w:rPr>
          <w:sz w:val="20"/>
        </w:rPr>
        <w:t>reporting</w:t>
      </w:r>
      <w:r>
        <w:rPr>
          <w:spacing w:val="-4"/>
          <w:sz w:val="20"/>
        </w:rPr>
        <w:t xml:space="preserve"> </w:t>
      </w:r>
      <w:r>
        <w:rPr>
          <w:sz w:val="20"/>
        </w:rPr>
        <w:t>year,</w:t>
      </w:r>
      <w:r>
        <w:rPr>
          <w:spacing w:val="-3"/>
          <w:sz w:val="20"/>
        </w:rPr>
        <w:t xml:space="preserve"> </w:t>
      </w:r>
      <w:r>
        <w:rPr>
          <w:sz w:val="20"/>
        </w:rPr>
        <w:t>available</w:t>
      </w:r>
      <w:r>
        <w:rPr>
          <w:spacing w:val="-3"/>
          <w:sz w:val="20"/>
        </w:rPr>
        <w:t xml:space="preserve"> </w:t>
      </w:r>
      <w:r>
        <w:rPr>
          <w:sz w:val="20"/>
        </w:rPr>
        <w:t xml:space="preserve">at </w:t>
      </w:r>
      <w:bookmarkStart w:id="125" w:name="https://www.cms.gov/CCIIO/Resources/Data"/>
      <w:bookmarkEnd w:id="125"/>
      <w:hyperlink r:id="rId9">
        <w:r>
          <w:rPr>
            <w:color w:val="0462C1"/>
            <w:spacing w:val="-2"/>
            <w:sz w:val="20"/>
            <w:u w:val="single" w:color="0462C1"/>
          </w:rPr>
          <w:t>https://www.cms.gov/CCIIO/Resources/Data-Resources/mlr</w:t>
        </w:r>
        <w:r>
          <w:rPr>
            <w:spacing w:val="-2"/>
            <w:sz w:val="20"/>
          </w:rPr>
          <w:t>.</w:t>
        </w:r>
      </w:hyperlink>
    </w:p>
    <w:p w:rsidR="00B64E72" w14:paraId="21876BE9" w14:textId="77777777">
      <w:pPr>
        <w:spacing w:before="1"/>
        <w:ind w:left="1080"/>
        <w:rPr>
          <w:sz w:val="20"/>
        </w:rPr>
      </w:pPr>
      <w:bookmarkStart w:id="126" w:name="7_Non-issuer_TPAs_based_on_data_derived_"/>
      <w:bookmarkStart w:id="127" w:name="_bookmark6"/>
      <w:bookmarkEnd w:id="126"/>
      <w:bookmarkEnd w:id="127"/>
      <w:r>
        <w:rPr>
          <w:sz w:val="20"/>
          <w:vertAlign w:val="superscript"/>
        </w:rPr>
        <w:t>7</w:t>
      </w:r>
      <w:r>
        <w:rPr>
          <w:spacing w:val="-5"/>
          <w:sz w:val="20"/>
        </w:rPr>
        <w:t xml:space="preserve"> </w:t>
      </w:r>
      <w:bookmarkStart w:id="128" w:name="_bookmark7"/>
      <w:bookmarkEnd w:id="128"/>
      <w:r>
        <w:rPr>
          <w:sz w:val="20"/>
        </w:rPr>
        <w:t>Non-issuer</w:t>
      </w:r>
      <w:r>
        <w:rPr>
          <w:spacing w:val="-4"/>
          <w:sz w:val="20"/>
        </w:rPr>
        <w:t xml:space="preserve"> </w:t>
      </w:r>
      <w:r>
        <w:rPr>
          <w:sz w:val="20"/>
        </w:rPr>
        <w:t>TPAs</w:t>
      </w:r>
      <w:r>
        <w:rPr>
          <w:spacing w:val="-5"/>
          <w:sz w:val="20"/>
        </w:rPr>
        <w:t xml:space="preserve"> </w:t>
      </w:r>
      <w:r>
        <w:rPr>
          <w:sz w:val="20"/>
        </w:rPr>
        <w:t>based</w:t>
      </w:r>
      <w:r>
        <w:rPr>
          <w:spacing w:val="-4"/>
          <w:sz w:val="20"/>
        </w:rPr>
        <w:t xml:space="preserve"> </w:t>
      </w:r>
      <w:r>
        <w:rPr>
          <w:sz w:val="20"/>
        </w:rPr>
        <w:t>on</w:t>
      </w:r>
      <w:r>
        <w:rPr>
          <w:spacing w:val="-3"/>
          <w:sz w:val="20"/>
        </w:rPr>
        <w:t xml:space="preserve"> </w:t>
      </w:r>
      <w:r>
        <w:rPr>
          <w:sz w:val="20"/>
        </w:rPr>
        <w:t>data</w:t>
      </w:r>
      <w:r>
        <w:rPr>
          <w:spacing w:val="-5"/>
          <w:sz w:val="20"/>
        </w:rPr>
        <w:t xml:space="preserve"> </w:t>
      </w:r>
      <w:r>
        <w:rPr>
          <w:sz w:val="20"/>
        </w:rPr>
        <w:t>derived</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2016</w:t>
      </w:r>
      <w:r>
        <w:rPr>
          <w:spacing w:val="-4"/>
          <w:sz w:val="20"/>
        </w:rPr>
        <w:t xml:space="preserve"> </w:t>
      </w:r>
      <w:r>
        <w:rPr>
          <w:sz w:val="20"/>
        </w:rPr>
        <w:t>Benefit</w:t>
      </w:r>
      <w:r>
        <w:rPr>
          <w:spacing w:val="-5"/>
          <w:sz w:val="20"/>
        </w:rPr>
        <w:t xml:space="preserve"> </w:t>
      </w:r>
      <w:r>
        <w:rPr>
          <w:sz w:val="20"/>
        </w:rPr>
        <w:t>Year</w:t>
      </w:r>
      <w:r>
        <w:rPr>
          <w:spacing w:val="-4"/>
          <w:sz w:val="20"/>
        </w:rPr>
        <w:t xml:space="preserve"> </w:t>
      </w:r>
      <w:r>
        <w:rPr>
          <w:sz w:val="20"/>
        </w:rPr>
        <w:t>reinsurance</w:t>
      </w:r>
      <w:r>
        <w:rPr>
          <w:spacing w:val="-6"/>
          <w:sz w:val="20"/>
        </w:rPr>
        <w:t xml:space="preserve"> </w:t>
      </w:r>
      <w:r>
        <w:rPr>
          <w:sz w:val="20"/>
        </w:rPr>
        <w:t>program</w:t>
      </w:r>
      <w:r>
        <w:rPr>
          <w:spacing w:val="-3"/>
          <w:sz w:val="20"/>
        </w:rPr>
        <w:t xml:space="preserve"> </w:t>
      </w:r>
      <w:r>
        <w:rPr>
          <w:spacing w:val="-2"/>
          <w:sz w:val="20"/>
        </w:rPr>
        <w:t>contributions.</w:t>
      </w:r>
    </w:p>
    <w:p w:rsidR="00B64E72" w14:paraId="63437B9F" w14:textId="77777777">
      <w:pPr>
        <w:ind w:left="1080" w:right="4959"/>
        <w:rPr>
          <w:sz w:val="20"/>
        </w:rPr>
      </w:pPr>
      <w:bookmarkStart w:id="129" w:name="8_The_Commonwealth_Fund,_State_Balance_B"/>
      <w:bookmarkEnd w:id="129"/>
      <w:r>
        <w:rPr>
          <w:sz w:val="20"/>
          <w:vertAlign w:val="superscript"/>
        </w:rPr>
        <w:t>8</w:t>
      </w:r>
      <w:r>
        <w:rPr>
          <w:sz w:val="20"/>
        </w:rPr>
        <w:t xml:space="preserve"> The Commonwealth Fund, State Balance Billing Protections. </w:t>
      </w:r>
      <w:bookmarkStart w:id="130" w:name="https://www.commonwealthfund.org/sites/d"/>
      <w:bookmarkEnd w:id="130"/>
      <w:hyperlink r:id="rId10">
        <w:r>
          <w:rPr>
            <w:color w:val="0462C1"/>
            <w:spacing w:val="-2"/>
            <w:sz w:val="20"/>
            <w:u w:val="single" w:color="0462C1"/>
          </w:rPr>
          <w:t>https://www.commonwealthfund.org/sites/default/files/2021-</w:t>
        </w:r>
      </w:hyperlink>
      <w:r>
        <w:rPr>
          <w:color w:val="0462C1"/>
          <w:spacing w:val="-2"/>
          <w:sz w:val="20"/>
        </w:rPr>
        <w:t xml:space="preserve"> </w:t>
      </w:r>
      <w:hyperlink r:id="rId10">
        <w:r>
          <w:rPr>
            <w:color w:val="0462C1"/>
            <w:spacing w:val="-2"/>
            <w:sz w:val="20"/>
            <w:u w:val="single" w:color="0462C1"/>
          </w:rPr>
          <w:t>03/Hoadley_state_balance_billing_protections_table_02052021.pdf</w:t>
        </w:r>
        <w:r>
          <w:rPr>
            <w:spacing w:val="-2"/>
            <w:sz w:val="20"/>
          </w:rPr>
          <w:t>.</w:t>
        </w:r>
      </w:hyperlink>
    </w:p>
    <w:p w:rsidR="00B64E72" w14:paraId="2EEA6285" w14:textId="77777777">
      <w:pPr>
        <w:ind w:left="1080" w:right="1796"/>
        <w:rPr>
          <w:sz w:val="20"/>
        </w:rPr>
      </w:pPr>
      <w:bookmarkStart w:id="131" w:name="9_Agency_for_Healthcare_Research_and_Qua"/>
      <w:bookmarkStart w:id="132" w:name="_bookmark8"/>
      <w:bookmarkEnd w:id="131"/>
      <w:bookmarkEnd w:id="132"/>
      <w:r>
        <w:rPr>
          <w:sz w:val="20"/>
          <w:vertAlign w:val="superscript"/>
        </w:rPr>
        <w:t>9</w:t>
      </w:r>
      <w:r>
        <w:rPr>
          <w:spacing w:val="-4"/>
          <w:sz w:val="20"/>
        </w:rPr>
        <w:t xml:space="preserve"> </w:t>
      </w:r>
      <w:r>
        <w:rPr>
          <w:sz w:val="20"/>
        </w:rPr>
        <w:t>Agency</w:t>
      </w:r>
      <w:r>
        <w:rPr>
          <w:spacing w:val="-3"/>
          <w:sz w:val="20"/>
        </w:rPr>
        <w:t xml:space="preserve"> </w:t>
      </w:r>
      <w:r>
        <w:rPr>
          <w:sz w:val="20"/>
        </w:rPr>
        <w:t>for</w:t>
      </w:r>
      <w:r>
        <w:rPr>
          <w:spacing w:val="-4"/>
          <w:sz w:val="20"/>
        </w:rPr>
        <w:t xml:space="preserve"> </w:t>
      </w:r>
      <w:r>
        <w:rPr>
          <w:sz w:val="20"/>
        </w:rPr>
        <w:t>Healthcare</w:t>
      </w:r>
      <w:r>
        <w:rPr>
          <w:spacing w:val="-4"/>
          <w:sz w:val="20"/>
        </w:rPr>
        <w:t xml:space="preserve"> </w:t>
      </w:r>
      <w:r>
        <w:rPr>
          <w:sz w:val="20"/>
        </w:rPr>
        <w:t>Research</w:t>
      </w:r>
      <w:r>
        <w:rPr>
          <w:spacing w:val="-3"/>
          <w:sz w:val="20"/>
        </w:rPr>
        <w:t xml:space="preserve"> </w:t>
      </w:r>
      <w:r>
        <w:rPr>
          <w:sz w:val="20"/>
        </w:rPr>
        <w:t>and</w:t>
      </w:r>
      <w:r>
        <w:rPr>
          <w:spacing w:val="-5"/>
          <w:sz w:val="20"/>
        </w:rPr>
        <w:t xml:space="preserve"> </w:t>
      </w:r>
      <w:r>
        <w:rPr>
          <w:sz w:val="20"/>
        </w:rPr>
        <w:t>Quality,</w:t>
      </w:r>
      <w:r>
        <w:rPr>
          <w:spacing w:val="-4"/>
          <w:sz w:val="20"/>
        </w:rPr>
        <w:t xml:space="preserve"> </w:t>
      </w:r>
      <w:r>
        <w:rPr>
          <w:sz w:val="20"/>
        </w:rPr>
        <w:t>HCUP</w:t>
      </w:r>
      <w:r>
        <w:rPr>
          <w:spacing w:val="-5"/>
          <w:sz w:val="20"/>
        </w:rPr>
        <w:t xml:space="preserve"> </w:t>
      </w:r>
      <w:r>
        <w:rPr>
          <w:sz w:val="20"/>
        </w:rPr>
        <w:t>Fast</w:t>
      </w:r>
      <w:r>
        <w:rPr>
          <w:spacing w:val="-5"/>
          <w:sz w:val="20"/>
        </w:rPr>
        <w:t xml:space="preserve"> </w:t>
      </w:r>
      <w:r>
        <w:rPr>
          <w:sz w:val="20"/>
        </w:rPr>
        <w:t>Stats –</w:t>
      </w:r>
      <w:r>
        <w:rPr>
          <w:spacing w:val="-3"/>
          <w:sz w:val="20"/>
        </w:rPr>
        <w:t xml:space="preserve"> </w:t>
      </w:r>
      <w:r>
        <w:rPr>
          <w:sz w:val="20"/>
        </w:rPr>
        <w:t>Trends</w:t>
      </w:r>
      <w:r>
        <w:rPr>
          <w:spacing w:val="-5"/>
          <w:sz w:val="20"/>
        </w:rPr>
        <w:t xml:space="preserve"> </w:t>
      </w:r>
      <w:r>
        <w:rPr>
          <w:sz w:val="20"/>
        </w:rPr>
        <w:t>in</w:t>
      </w:r>
      <w:r>
        <w:rPr>
          <w:spacing w:val="-3"/>
          <w:sz w:val="20"/>
        </w:rPr>
        <w:t xml:space="preserve"> </w:t>
      </w:r>
      <w:r>
        <w:rPr>
          <w:sz w:val="20"/>
        </w:rPr>
        <w:t>Emergency</w:t>
      </w:r>
      <w:r>
        <w:rPr>
          <w:spacing w:val="-3"/>
          <w:sz w:val="20"/>
        </w:rPr>
        <w:t xml:space="preserve"> </w:t>
      </w:r>
      <w:r>
        <w:rPr>
          <w:sz w:val="20"/>
        </w:rPr>
        <w:t>Department</w:t>
      </w:r>
      <w:r>
        <w:rPr>
          <w:spacing w:val="-5"/>
          <w:sz w:val="20"/>
        </w:rPr>
        <w:t xml:space="preserve"> </w:t>
      </w:r>
      <w:r>
        <w:rPr>
          <w:sz w:val="20"/>
        </w:rPr>
        <w:t xml:space="preserve">Visits. </w:t>
      </w:r>
      <w:hyperlink r:id="rId11">
        <w:r>
          <w:rPr>
            <w:color w:val="0462C1"/>
            <w:spacing w:val="-2"/>
            <w:sz w:val="20"/>
            <w:u w:val="single" w:color="0462C1"/>
          </w:rPr>
          <w:t>https://datatools.ahrq.gov/hcup-fast-stats?count=2&amp;tab=hcupfsis&amp;type=subtab</w:t>
        </w:r>
        <w:r>
          <w:rPr>
            <w:spacing w:val="-2"/>
            <w:sz w:val="20"/>
          </w:rPr>
          <w:t>.</w:t>
        </w:r>
      </w:hyperlink>
    </w:p>
    <w:p w:rsidR="00B64E72" w14:paraId="70D26766" w14:textId="77777777">
      <w:pPr>
        <w:rPr>
          <w:sz w:val="20"/>
        </w:rPr>
        <w:sectPr>
          <w:pgSz w:w="12240" w:h="15840"/>
          <w:pgMar w:top="1360" w:right="360" w:bottom="1280" w:left="360" w:header="0" w:footer="1094" w:gutter="0"/>
          <w:cols w:space="720"/>
        </w:sectPr>
      </w:pPr>
    </w:p>
    <w:p w:rsidR="00B64E72" w14:paraId="52D5A126" w14:textId="77777777">
      <w:pPr>
        <w:pStyle w:val="BodyText"/>
        <w:spacing w:before="99" w:line="259" w:lineRule="auto"/>
        <w:ind w:left="1512" w:right="1086"/>
      </w:pPr>
      <w:bookmarkStart w:id="133" w:name="18_percent_of_these_visits_will_include_"/>
      <w:bookmarkEnd w:id="133"/>
      <w:r>
        <w:t>18 percent of these visits</w:t>
      </w:r>
      <w:bookmarkStart w:id="134" w:name="10"/>
      <w:bookmarkEnd w:id="134"/>
      <w:hyperlink w:anchor="_bookmark9" w:history="1">
        <w:r>
          <w:rPr>
            <w:vertAlign w:val="superscript"/>
          </w:rPr>
          <w:t>10</w:t>
        </w:r>
      </w:hyperlink>
      <w:r>
        <w:t xml:space="preserve"> will include services provided by nonparticipating providers or emergency facilities and plans and issuers will need to calculate the QPA for two-thirds of such claims. Therefore, plans and issuers will be required to provide the specified information along with the initial payment or denial notice for approximately 4,786,727 claims annually from nonparticipating providers or emergency facilities for emergency department visits. In addition, in 2018, there were approximately 4,146,476 emergency department </w:t>
      </w:r>
      <w:r>
        <w:t>visits that resulted in hospital admission for patients with individual market or group health coverage</w:t>
      </w:r>
      <w:bookmarkStart w:id="135" w:name="11"/>
      <w:bookmarkEnd w:id="135"/>
      <w:r>
        <w:t>.</w:t>
      </w:r>
      <w:hyperlink w:anchor="_bookmark10" w:history="1">
        <w:r>
          <w:rPr>
            <w:vertAlign w:val="superscript"/>
          </w:rPr>
          <w:t>11</w:t>
        </w:r>
      </w:hyperlink>
      <w:r>
        <w:t xml:space="preserve"> Using this as an estimate of post-stabilization services provided in emergency facilities, and assuming that in 16 percent of cases the patient is treated at a nonparticipating emergency facility or by a nonparticipating provider at a participating facility,</w:t>
      </w:r>
      <w:bookmarkStart w:id="136" w:name="12"/>
      <w:bookmarkEnd w:id="136"/>
      <w:hyperlink w:anchor="_bookmark11" w:history="1">
        <w:r>
          <w:rPr>
            <w:vertAlign w:val="superscript"/>
          </w:rPr>
          <w:t>12</w:t>
        </w:r>
      </w:hyperlink>
      <w:r>
        <w:t xml:space="preserve"> the Departments estimate that approximately 663,436 individuals will have the potential to be treated by a nonparticipating provider or facility. In the absence of data, the Departments assume that in 50 percent of cases services will be provided by</w:t>
      </w:r>
      <w:r>
        <w:rPr>
          <w:spacing w:val="40"/>
        </w:rPr>
        <w:t xml:space="preserve"> </w:t>
      </w:r>
      <w:r>
        <w:t>nonparticipating providers without satisfying the notice</w:t>
      </w:r>
      <w:r>
        <w:rPr>
          <w:spacing w:val="-1"/>
        </w:rPr>
        <w:t xml:space="preserve"> </w:t>
      </w:r>
      <w:r>
        <w:t>and consent criteria in the July 2021 interim final rules for reasons such as unforeseen, urgent medical needs or a lack of participating providers in the facility. The Departments estimate that plans and</w:t>
      </w:r>
      <w:r>
        <w:t xml:space="preserve"> issuers will need to calculate</w:t>
      </w:r>
      <w:r>
        <w:rPr>
          <w:spacing w:val="-1"/>
        </w:rPr>
        <w:t xml:space="preserve"> </w:t>
      </w:r>
      <w:r>
        <w:t>the QPA for two-thirds of</w:t>
      </w:r>
      <w:r>
        <w:rPr>
          <w:spacing w:val="-2"/>
        </w:rPr>
        <w:t xml:space="preserve"> </w:t>
      </w:r>
      <w:r>
        <w:t xml:space="preserve">such claims. Therefore, plans and issuers will be required to provide the required information along with the initial payment or denial notice for approximately 222,251 claims from nonparticipating providers or emergency facilities for post-stabilization services. Additionally, based on 2016 data, the Departments estimate that there will be 11,107,056 visits to health care facilities annually for surgical and non- surgical procedures for individuals </w:t>
      </w:r>
      <w:r>
        <w:t>with group health coverage or individual market coverage.</w:t>
      </w:r>
      <w:bookmarkStart w:id="137" w:name="13"/>
      <w:bookmarkEnd w:id="137"/>
      <w:hyperlink w:anchor="_bookmark12" w:history="1">
        <w:r>
          <w:rPr>
            <w:vertAlign w:val="superscript"/>
          </w:rPr>
          <w:t>13</w:t>
        </w:r>
      </w:hyperlink>
      <w:r>
        <w:t xml:space="preserve"> The Departments assume that in 16 percent of cases the patient will have the potential to receive care from a nonparticipating provider at a participating facility, and that in approximately 5 percent of those cases services will be provided by nonparticipating providers without satisfying the notice and consent criteria in the July 2021 interim final rules</w:t>
      </w:r>
      <w:r>
        <w:rPr>
          <w:spacing w:val="-4"/>
        </w:rPr>
        <w:t xml:space="preserve"> </w:t>
      </w:r>
      <w:r>
        <w:t>for</w:t>
      </w:r>
      <w:r>
        <w:rPr>
          <w:spacing w:val="-5"/>
        </w:rPr>
        <w:t xml:space="preserve"> </w:t>
      </w:r>
      <w:r>
        <w:t>reasons</w:t>
      </w:r>
      <w:r>
        <w:rPr>
          <w:spacing w:val="-4"/>
        </w:rPr>
        <w:t xml:space="preserve"> </w:t>
      </w:r>
      <w:r>
        <w:t>such</w:t>
      </w:r>
      <w:r>
        <w:rPr>
          <w:spacing w:val="-2"/>
        </w:rPr>
        <w:t xml:space="preserve"> </w:t>
      </w:r>
      <w:r>
        <w:t>as</w:t>
      </w:r>
      <w:r>
        <w:rPr>
          <w:spacing w:val="-2"/>
        </w:rPr>
        <w:t xml:space="preserve"> </w:t>
      </w:r>
      <w:r>
        <w:t>the</w:t>
      </w:r>
      <w:r>
        <w:rPr>
          <w:spacing w:val="-4"/>
        </w:rPr>
        <w:t xml:space="preserve"> </w:t>
      </w:r>
      <w:r>
        <w:t>services</w:t>
      </w:r>
      <w:r>
        <w:rPr>
          <w:spacing w:val="-4"/>
        </w:rPr>
        <w:t xml:space="preserve"> </w:t>
      </w:r>
      <w:r>
        <w:t>being</w:t>
      </w:r>
      <w:r>
        <w:rPr>
          <w:spacing w:val="-4"/>
        </w:rPr>
        <w:t xml:space="preserve"> </w:t>
      </w:r>
      <w:r>
        <w:t>ancillary</w:t>
      </w:r>
      <w:r>
        <w:rPr>
          <w:spacing w:val="-4"/>
        </w:rPr>
        <w:t xml:space="preserve"> </w:t>
      </w:r>
      <w:r>
        <w:t>services</w:t>
      </w:r>
      <w:r>
        <w:rPr>
          <w:spacing w:val="-4"/>
        </w:rPr>
        <w:t xml:space="preserve"> </w:t>
      </w:r>
      <w:r>
        <w:t>or</w:t>
      </w:r>
      <w:r>
        <w:rPr>
          <w:spacing w:val="-4"/>
        </w:rPr>
        <w:t xml:space="preserve"> </w:t>
      </w:r>
      <w:r>
        <w:t>related</w:t>
      </w:r>
      <w:r>
        <w:rPr>
          <w:spacing w:val="-4"/>
        </w:rPr>
        <w:t xml:space="preserve"> </w:t>
      </w:r>
      <w:r>
        <w:t>to</w:t>
      </w:r>
      <w:r>
        <w:rPr>
          <w:spacing w:val="-4"/>
        </w:rPr>
        <w:t xml:space="preserve"> </w:t>
      </w:r>
      <w:r>
        <w:t>unforeseen,</w:t>
      </w:r>
      <w:r>
        <w:rPr>
          <w:spacing w:val="-4"/>
        </w:rPr>
        <w:t xml:space="preserve"> </w:t>
      </w:r>
      <w:r>
        <w:t>urgent medical needs, and plans and issuers will need to calculate the QPA for two-thirds of such claims. Therefore, plans and issuers will be required to provide the required information along with the initial payment or denial notice for approximately 59,534 claims annually for non-emergency services furnished by a nonparticipating provider at a participating health care facility. In total, plans and issuers will be required to provide documents related to</w:t>
      </w:r>
    </w:p>
    <w:p w:rsidR="00B64E72" w14:paraId="68941AA0" w14:textId="77777777">
      <w:pPr>
        <w:pStyle w:val="BodyText"/>
        <w:spacing w:before="2"/>
        <w:rPr>
          <w:sz w:val="19"/>
        </w:rPr>
      </w:pPr>
      <w:r>
        <w:rPr>
          <w:noProof/>
          <w:sz w:val="19"/>
        </w:rPr>
        <mc:AlternateContent>
          <mc:Choice Requires="wps">
            <w:drawing>
              <wp:anchor distT="0" distB="0" distL="0" distR="0" simplePos="0" relativeHeight="251674624" behindDoc="1" locked="0" layoutInCell="1" allowOverlap="1">
                <wp:simplePos x="0" y="0"/>
                <wp:positionH relativeFrom="page">
                  <wp:posOffset>914704</wp:posOffset>
                </wp:positionH>
                <wp:positionV relativeFrom="paragraph">
                  <wp:posOffset>155353</wp:posOffset>
                </wp:positionV>
                <wp:extent cx="1829435" cy="762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7620"/>
                        </a:xfrm>
                        <a:custGeom>
                          <a:avLst/>
                          <a:gdLst/>
                          <a:rect l="l" t="t" r="r" b="b"/>
                          <a:pathLst>
                            <a:path fill="norm" h="7620" w="1829435" stroke="1">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30" style="width:144.05pt;height:0.6pt;margin-top:12.25pt;margin-left:1in;mso-position-horizontal-relative:page;mso-wrap-distance-bottom:0;mso-wrap-distance-left:0;mso-wrap-distance-right:0;mso-wrap-distance-top:0;mso-wrap-style:square;position:absolute;visibility:visible;v-text-anchor:top;z-index:-251640832" coordsize="1829435,7620" path="m1829054,l,,,7619l1829054,7619l1829054,xe" fillcolor="black" stroked="f">
                <v:path arrowok="t"/>
                <w10:wrap type="topAndBottom"/>
              </v:shape>
            </w:pict>
          </mc:Fallback>
        </mc:AlternateContent>
      </w:r>
    </w:p>
    <w:p w:rsidR="00B64E72" w14:paraId="14CE5494" w14:textId="77777777">
      <w:pPr>
        <w:spacing w:before="147"/>
        <w:ind w:left="1080" w:right="1146"/>
        <w:rPr>
          <w:sz w:val="20"/>
        </w:rPr>
      </w:pPr>
      <w:bookmarkStart w:id="138" w:name="10_Estimate_from_Pollitz,_K_et_al.,_Surp"/>
      <w:bookmarkStart w:id="139" w:name="_bookmark9"/>
      <w:bookmarkEnd w:id="138"/>
      <w:bookmarkEnd w:id="139"/>
      <w:r>
        <w:rPr>
          <w:sz w:val="20"/>
          <w:vertAlign w:val="superscript"/>
        </w:rPr>
        <w:t>10</w:t>
      </w:r>
      <w:r>
        <w:rPr>
          <w:sz w:val="20"/>
        </w:rPr>
        <w:t xml:space="preserve"> Estimate from Pollitz, K et al., Surprise Bills Vary by Diagnosis and Type of Admission, Peterson-KFF Health System</w:t>
      </w:r>
      <w:r>
        <w:rPr>
          <w:spacing w:val="-6"/>
          <w:sz w:val="20"/>
        </w:rPr>
        <w:t xml:space="preserve"> </w:t>
      </w:r>
      <w:r>
        <w:rPr>
          <w:sz w:val="20"/>
        </w:rPr>
        <w:t>tracker,</w:t>
      </w:r>
      <w:r>
        <w:rPr>
          <w:spacing w:val="-7"/>
          <w:sz w:val="20"/>
        </w:rPr>
        <w:t xml:space="preserve"> </w:t>
      </w:r>
      <w:r>
        <w:rPr>
          <w:sz w:val="20"/>
        </w:rPr>
        <w:t>December</w:t>
      </w:r>
      <w:r>
        <w:rPr>
          <w:spacing w:val="-8"/>
          <w:sz w:val="20"/>
        </w:rPr>
        <w:t xml:space="preserve"> </w:t>
      </w:r>
      <w:r>
        <w:rPr>
          <w:sz w:val="20"/>
        </w:rPr>
        <w:t>9,</w:t>
      </w:r>
      <w:r>
        <w:rPr>
          <w:spacing w:val="-9"/>
          <w:sz w:val="20"/>
        </w:rPr>
        <w:t xml:space="preserve"> </w:t>
      </w:r>
      <w:r>
        <w:rPr>
          <w:sz w:val="20"/>
        </w:rPr>
        <w:t>2019,</w:t>
      </w:r>
      <w:r>
        <w:rPr>
          <w:spacing w:val="-5"/>
          <w:sz w:val="20"/>
        </w:rPr>
        <w:t xml:space="preserve"> </w:t>
      </w:r>
      <w:hyperlink r:id="rId12">
        <w:r>
          <w:rPr>
            <w:color w:val="0462C1"/>
            <w:sz w:val="20"/>
            <w:u w:val="single" w:color="0462C1"/>
          </w:rPr>
          <w:t>https://www.healthsystemtracker.org/brief/surprise-bills-vary-by-diagnosis-and-</w:t>
        </w:r>
      </w:hyperlink>
      <w:r>
        <w:rPr>
          <w:color w:val="0462C1"/>
          <w:sz w:val="20"/>
        </w:rPr>
        <w:t xml:space="preserve"> </w:t>
      </w:r>
      <w:hyperlink r:id="rId12">
        <w:r>
          <w:rPr>
            <w:color w:val="0462C1"/>
            <w:spacing w:val="-2"/>
            <w:sz w:val="20"/>
            <w:u w:val="single" w:color="0462C1"/>
          </w:rPr>
          <w:t>type-of-admission/.</w:t>
        </w:r>
      </w:hyperlink>
    </w:p>
    <w:p w:rsidR="00B64E72" w14:paraId="4A8F6D2F" w14:textId="77777777">
      <w:pPr>
        <w:ind w:left="1080" w:right="1731"/>
        <w:rPr>
          <w:sz w:val="20"/>
        </w:rPr>
      </w:pPr>
      <w:bookmarkStart w:id="140" w:name="11_Agency_for_Healthcare_Research_and_Qu"/>
      <w:bookmarkStart w:id="141" w:name="_bookmark10"/>
      <w:bookmarkEnd w:id="140"/>
      <w:bookmarkEnd w:id="141"/>
      <w:r>
        <w:rPr>
          <w:sz w:val="20"/>
          <w:vertAlign w:val="superscript"/>
        </w:rPr>
        <w:t>11</w:t>
      </w:r>
      <w:r>
        <w:rPr>
          <w:spacing w:val="-4"/>
          <w:sz w:val="20"/>
        </w:rPr>
        <w:t xml:space="preserve"> </w:t>
      </w:r>
      <w:r>
        <w:rPr>
          <w:sz w:val="20"/>
        </w:rPr>
        <w:t>Agency</w:t>
      </w:r>
      <w:r>
        <w:rPr>
          <w:spacing w:val="-3"/>
          <w:sz w:val="20"/>
        </w:rPr>
        <w:t xml:space="preserve"> </w:t>
      </w:r>
      <w:r>
        <w:rPr>
          <w:sz w:val="20"/>
        </w:rPr>
        <w:t>for</w:t>
      </w:r>
      <w:r>
        <w:rPr>
          <w:spacing w:val="-4"/>
          <w:sz w:val="20"/>
        </w:rPr>
        <w:t xml:space="preserve"> </w:t>
      </w:r>
      <w:r>
        <w:rPr>
          <w:sz w:val="20"/>
        </w:rPr>
        <w:t>Healthcare</w:t>
      </w:r>
      <w:r>
        <w:rPr>
          <w:spacing w:val="-4"/>
          <w:sz w:val="20"/>
        </w:rPr>
        <w:t xml:space="preserve"> </w:t>
      </w:r>
      <w:r>
        <w:rPr>
          <w:sz w:val="20"/>
        </w:rPr>
        <w:t>Research</w:t>
      </w:r>
      <w:r>
        <w:rPr>
          <w:spacing w:val="-3"/>
          <w:sz w:val="20"/>
        </w:rPr>
        <w:t xml:space="preserve"> </w:t>
      </w:r>
      <w:r>
        <w:rPr>
          <w:sz w:val="20"/>
        </w:rPr>
        <w:t>and</w:t>
      </w:r>
      <w:r>
        <w:rPr>
          <w:spacing w:val="-5"/>
          <w:sz w:val="20"/>
        </w:rPr>
        <w:t xml:space="preserve"> </w:t>
      </w:r>
      <w:r>
        <w:rPr>
          <w:sz w:val="20"/>
        </w:rPr>
        <w:t>Quality,</w:t>
      </w:r>
      <w:r>
        <w:rPr>
          <w:spacing w:val="-4"/>
          <w:sz w:val="20"/>
        </w:rPr>
        <w:t xml:space="preserve"> </w:t>
      </w:r>
      <w:r>
        <w:rPr>
          <w:sz w:val="20"/>
        </w:rPr>
        <w:t>HCUP</w:t>
      </w:r>
      <w:r>
        <w:rPr>
          <w:spacing w:val="-5"/>
          <w:sz w:val="20"/>
        </w:rPr>
        <w:t xml:space="preserve"> </w:t>
      </w:r>
      <w:r>
        <w:rPr>
          <w:sz w:val="20"/>
        </w:rPr>
        <w:t>Fast</w:t>
      </w:r>
      <w:r>
        <w:rPr>
          <w:spacing w:val="-5"/>
          <w:sz w:val="20"/>
        </w:rPr>
        <w:t xml:space="preserve"> </w:t>
      </w:r>
      <w:r>
        <w:rPr>
          <w:sz w:val="20"/>
        </w:rPr>
        <w:t>Stats –</w:t>
      </w:r>
      <w:r>
        <w:rPr>
          <w:spacing w:val="-3"/>
          <w:sz w:val="20"/>
        </w:rPr>
        <w:t xml:space="preserve"> </w:t>
      </w:r>
      <w:r>
        <w:rPr>
          <w:sz w:val="20"/>
        </w:rPr>
        <w:t>Trends</w:t>
      </w:r>
      <w:r>
        <w:rPr>
          <w:spacing w:val="-5"/>
          <w:sz w:val="20"/>
        </w:rPr>
        <w:t xml:space="preserve"> </w:t>
      </w:r>
      <w:r>
        <w:rPr>
          <w:sz w:val="20"/>
        </w:rPr>
        <w:t>in</w:t>
      </w:r>
      <w:r>
        <w:rPr>
          <w:spacing w:val="-3"/>
          <w:sz w:val="20"/>
        </w:rPr>
        <w:t xml:space="preserve"> </w:t>
      </w:r>
      <w:r>
        <w:rPr>
          <w:sz w:val="20"/>
        </w:rPr>
        <w:t>Emergency</w:t>
      </w:r>
      <w:r>
        <w:rPr>
          <w:spacing w:val="-3"/>
          <w:sz w:val="20"/>
        </w:rPr>
        <w:t xml:space="preserve"> </w:t>
      </w:r>
      <w:r>
        <w:rPr>
          <w:sz w:val="20"/>
        </w:rPr>
        <w:t>Department</w:t>
      </w:r>
      <w:r>
        <w:rPr>
          <w:spacing w:val="-5"/>
          <w:sz w:val="20"/>
        </w:rPr>
        <w:t xml:space="preserve"> </w:t>
      </w:r>
      <w:r>
        <w:rPr>
          <w:sz w:val="20"/>
        </w:rPr>
        <w:t xml:space="preserve">Visits. </w:t>
      </w:r>
      <w:bookmarkStart w:id="142" w:name="https://datatools.ahrq.gov/hcup-fast-sta"/>
      <w:bookmarkEnd w:id="142"/>
      <w:hyperlink r:id="rId11">
        <w:r>
          <w:rPr>
            <w:color w:val="0462C1"/>
            <w:spacing w:val="-2"/>
            <w:sz w:val="20"/>
            <w:u w:val="single" w:color="0462C1"/>
          </w:rPr>
          <w:t>https://datatools.ahrq.gov/hcup-fast-stats?count=2&amp;tab=hcupfsis&amp;type=subtab</w:t>
        </w:r>
        <w:r>
          <w:rPr>
            <w:spacing w:val="-2"/>
            <w:sz w:val="20"/>
          </w:rPr>
          <w:t>.</w:t>
        </w:r>
      </w:hyperlink>
    </w:p>
    <w:p w:rsidR="00B64E72" w14:paraId="7B5C7F7C" w14:textId="77777777">
      <w:pPr>
        <w:ind w:left="1080" w:right="1146"/>
        <w:rPr>
          <w:sz w:val="20"/>
        </w:rPr>
      </w:pPr>
      <w:bookmarkStart w:id="143" w:name="12_Estimate_from_Pollitz,_K_et_al.,_Surp"/>
      <w:bookmarkStart w:id="144" w:name="_bookmark11"/>
      <w:bookmarkEnd w:id="143"/>
      <w:bookmarkEnd w:id="144"/>
      <w:r>
        <w:rPr>
          <w:sz w:val="20"/>
          <w:vertAlign w:val="superscript"/>
        </w:rPr>
        <w:t>12</w:t>
      </w:r>
      <w:r>
        <w:rPr>
          <w:sz w:val="20"/>
        </w:rPr>
        <w:t xml:space="preserve"> Estimate from Pollitz, K et al., Surprise Bills Vary by Diagnosis and Type of Admission, Peterson-KFF Health </w:t>
      </w:r>
      <w:bookmarkStart w:id="145" w:name="https://www.healthsystemtracker.org/brie"/>
      <w:bookmarkEnd w:id="145"/>
      <w:r>
        <w:rPr>
          <w:sz w:val="20"/>
        </w:rPr>
        <w:t>System</w:t>
      </w:r>
      <w:r>
        <w:rPr>
          <w:spacing w:val="-6"/>
          <w:sz w:val="20"/>
        </w:rPr>
        <w:t xml:space="preserve"> </w:t>
      </w:r>
      <w:r>
        <w:rPr>
          <w:sz w:val="20"/>
        </w:rPr>
        <w:t>tracker,</w:t>
      </w:r>
      <w:r>
        <w:rPr>
          <w:spacing w:val="-7"/>
          <w:sz w:val="20"/>
        </w:rPr>
        <w:t xml:space="preserve"> </w:t>
      </w:r>
      <w:r>
        <w:rPr>
          <w:sz w:val="20"/>
        </w:rPr>
        <w:t>December</w:t>
      </w:r>
      <w:r>
        <w:rPr>
          <w:spacing w:val="-8"/>
          <w:sz w:val="20"/>
        </w:rPr>
        <w:t xml:space="preserve"> </w:t>
      </w:r>
      <w:r>
        <w:rPr>
          <w:sz w:val="20"/>
        </w:rPr>
        <w:t>9,</w:t>
      </w:r>
      <w:r>
        <w:rPr>
          <w:spacing w:val="-9"/>
          <w:sz w:val="20"/>
        </w:rPr>
        <w:t xml:space="preserve"> </w:t>
      </w:r>
      <w:r>
        <w:rPr>
          <w:sz w:val="20"/>
        </w:rPr>
        <w:t>2019,</w:t>
      </w:r>
      <w:r>
        <w:rPr>
          <w:spacing w:val="-5"/>
          <w:sz w:val="20"/>
        </w:rPr>
        <w:t xml:space="preserve"> </w:t>
      </w:r>
      <w:hyperlink r:id="rId12">
        <w:r>
          <w:rPr>
            <w:color w:val="0462C1"/>
            <w:sz w:val="20"/>
            <w:u w:val="single" w:color="0462C1"/>
          </w:rPr>
          <w:t>https://www.healthsystemtracker.org/brief/surprise-bills-vary-by-diagnosis-and-</w:t>
        </w:r>
      </w:hyperlink>
      <w:r>
        <w:rPr>
          <w:color w:val="0462C1"/>
          <w:sz w:val="20"/>
        </w:rPr>
        <w:t xml:space="preserve"> </w:t>
      </w:r>
      <w:bookmarkStart w:id="146" w:name="_bookmark12"/>
      <w:bookmarkEnd w:id="146"/>
      <w:hyperlink r:id="rId12">
        <w:r>
          <w:rPr>
            <w:color w:val="0462C1"/>
            <w:spacing w:val="-2"/>
            <w:sz w:val="20"/>
            <w:u w:val="single" w:color="0462C1"/>
          </w:rPr>
          <w:t>type-of-admission/</w:t>
        </w:r>
      </w:hyperlink>
    </w:p>
    <w:p w:rsidR="00B64E72" w14:paraId="2693A8F7" w14:textId="77777777">
      <w:pPr>
        <w:spacing w:before="1"/>
        <w:ind w:left="1080" w:right="1099"/>
        <w:rPr>
          <w:sz w:val="20"/>
        </w:rPr>
      </w:pPr>
      <w:bookmarkStart w:id="147" w:name="13_Estimates_based_on_data_on_postoperat"/>
      <w:bookmarkEnd w:id="147"/>
      <w:r>
        <w:rPr>
          <w:sz w:val="20"/>
          <w:vertAlign w:val="superscript"/>
        </w:rPr>
        <w:t>13</w:t>
      </w:r>
      <w:r>
        <w:rPr>
          <w:spacing w:val="-4"/>
          <w:sz w:val="20"/>
        </w:rPr>
        <w:t xml:space="preserve"> </w:t>
      </w:r>
      <w:r>
        <w:rPr>
          <w:sz w:val="20"/>
        </w:rPr>
        <w:t>Estimates</w:t>
      </w:r>
      <w:r>
        <w:rPr>
          <w:spacing w:val="-5"/>
          <w:sz w:val="20"/>
        </w:rPr>
        <w:t xml:space="preserve"> </w:t>
      </w:r>
      <w:r>
        <w:rPr>
          <w:sz w:val="20"/>
        </w:rPr>
        <w:t>based</w:t>
      </w:r>
      <w:r>
        <w:rPr>
          <w:spacing w:val="-3"/>
          <w:sz w:val="20"/>
        </w:rPr>
        <w:t xml:space="preserve"> </w:t>
      </w:r>
      <w:r>
        <w:rPr>
          <w:sz w:val="20"/>
        </w:rPr>
        <w:t>on</w:t>
      </w:r>
      <w:r>
        <w:rPr>
          <w:spacing w:val="-3"/>
          <w:sz w:val="20"/>
        </w:rPr>
        <w:t xml:space="preserve"> </w:t>
      </w:r>
      <w:r>
        <w:rPr>
          <w:sz w:val="20"/>
        </w:rPr>
        <w:t>data</w:t>
      </w:r>
      <w:r>
        <w:rPr>
          <w:spacing w:val="-4"/>
          <w:sz w:val="20"/>
        </w:rPr>
        <w:t xml:space="preserve"> </w:t>
      </w:r>
      <w:r>
        <w:rPr>
          <w:sz w:val="20"/>
        </w:rPr>
        <w:t>on</w:t>
      </w:r>
      <w:r>
        <w:rPr>
          <w:spacing w:val="-3"/>
          <w:sz w:val="20"/>
        </w:rPr>
        <w:t xml:space="preserve"> </w:t>
      </w:r>
      <w:r>
        <w:rPr>
          <w:sz w:val="20"/>
        </w:rPr>
        <w:t>postoperative</w:t>
      </w:r>
      <w:r>
        <w:rPr>
          <w:spacing w:val="-4"/>
          <w:sz w:val="20"/>
        </w:rPr>
        <w:t xml:space="preserve"> </w:t>
      </w:r>
      <w:r>
        <w:rPr>
          <w:sz w:val="20"/>
        </w:rPr>
        <w:t>office</w:t>
      </w:r>
      <w:r>
        <w:rPr>
          <w:spacing w:val="-4"/>
          <w:sz w:val="20"/>
        </w:rPr>
        <w:t xml:space="preserve"> </w:t>
      </w:r>
      <w:r>
        <w:rPr>
          <w:sz w:val="20"/>
        </w:rPr>
        <w:t>visits.</w:t>
      </w:r>
      <w:r>
        <w:rPr>
          <w:spacing w:val="-4"/>
          <w:sz w:val="20"/>
        </w:rPr>
        <w:t xml:space="preserve"> </w:t>
      </w:r>
      <w:r>
        <w:rPr>
          <w:sz w:val="20"/>
        </w:rPr>
        <w:t>Centers</w:t>
      </w:r>
      <w:r>
        <w:rPr>
          <w:spacing w:val="-5"/>
          <w:sz w:val="20"/>
        </w:rPr>
        <w:t xml:space="preserve"> </w:t>
      </w:r>
      <w:r>
        <w:rPr>
          <w:sz w:val="20"/>
        </w:rPr>
        <w:t>for</w:t>
      </w:r>
      <w:r>
        <w:rPr>
          <w:spacing w:val="-4"/>
          <w:sz w:val="20"/>
        </w:rPr>
        <w:t xml:space="preserve"> </w:t>
      </w:r>
      <w:r>
        <w:rPr>
          <w:sz w:val="20"/>
        </w:rPr>
        <w:t>Disease</w:t>
      </w:r>
      <w:r>
        <w:rPr>
          <w:spacing w:val="-4"/>
          <w:sz w:val="20"/>
        </w:rPr>
        <w:t xml:space="preserve"> </w:t>
      </w:r>
      <w:r>
        <w:rPr>
          <w:sz w:val="20"/>
        </w:rPr>
        <w:t>Control,</w:t>
      </w:r>
      <w:r>
        <w:rPr>
          <w:spacing w:val="-4"/>
          <w:sz w:val="20"/>
        </w:rPr>
        <w:t xml:space="preserve"> </w:t>
      </w:r>
      <w:r>
        <w:rPr>
          <w:sz w:val="20"/>
        </w:rPr>
        <w:t>National</w:t>
      </w:r>
      <w:r>
        <w:rPr>
          <w:spacing w:val="-4"/>
          <w:sz w:val="20"/>
        </w:rPr>
        <w:t xml:space="preserve"> </w:t>
      </w:r>
      <w:r>
        <w:rPr>
          <w:sz w:val="20"/>
        </w:rPr>
        <w:t>Ambulatory</w:t>
      </w:r>
      <w:r>
        <w:rPr>
          <w:spacing w:val="-3"/>
          <w:sz w:val="20"/>
        </w:rPr>
        <w:t xml:space="preserve"> </w:t>
      </w:r>
      <w:r>
        <w:rPr>
          <w:sz w:val="20"/>
        </w:rPr>
        <w:t xml:space="preserve">Medical Care Survey: 2016 National Summary Tables. Available at </w:t>
      </w:r>
      <w:r>
        <w:rPr>
          <w:spacing w:val="-2"/>
          <w:sz w:val="20"/>
        </w:rPr>
        <w:t>https</w:t>
      </w:r>
      <w:hyperlink r:id="rId13">
        <w:r>
          <w:rPr>
            <w:spacing w:val="-2"/>
            <w:sz w:val="20"/>
          </w:rPr>
          <w:t>://www.cdc.gov/nchs/data/ahcd/namcs_summary/2016_namcs_web_tables.pdf.</w:t>
        </w:r>
      </w:hyperlink>
    </w:p>
    <w:p w:rsidR="00B64E72" w14:paraId="09C5DB62" w14:textId="77777777">
      <w:pPr>
        <w:rPr>
          <w:sz w:val="20"/>
        </w:rPr>
        <w:sectPr>
          <w:pgSz w:w="12240" w:h="15840"/>
          <w:pgMar w:top="1340" w:right="360" w:bottom="1280" w:left="360" w:header="0" w:footer="1094" w:gutter="0"/>
          <w:cols w:space="720"/>
        </w:sectPr>
      </w:pPr>
    </w:p>
    <w:p w:rsidR="00B64E72" w14:paraId="067DF54E" w14:textId="77777777">
      <w:pPr>
        <w:pStyle w:val="BodyText"/>
        <w:spacing w:before="79" w:line="259" w:lineRule="auto"/>
        <w:ind w:left="1512" w:right="1369"/>
      </w:pPr>
      <w:bookmarkStart w:id="148" w:name="QPAs_along_with_the_initial_payment_or_d"/>
      <w:bookmarkEnd w:id="148"/>
      <w:r>
        <w:t>QPAs</w:t>
      </w:r>
      <w:r>
        <w:rPr>
          <w:spacing w:val="-4"/>
        </w:rPr>
        <w:t xml:space="preserve"> </w:t>
      </w:r>
      <w:r>
        <w:t>along</w:t>
      </w:r>
      <w:r>
        <w:rPr>
          <w:spacing w:val="-4"/>
        </w:rPr>
        <w:t xml:space="preserve"> </w:t>
      </w:r>
      <w:r>
        <w:t>with</w:t>
      </w:r>
      <w:r>
        <w:rPr>
          <w:spacing w:val="-4"/>
        </w:rPr>
        <w:t xml:space="preserve"> </w:t>
      </w:r>
      <w:r>
        <w:t>the</w:t>
      </w:r>
      <w:r>
        <w:rPr>
          <w:spacing w:val="-4"/>
        </w:rPr>
        <w:t xml:space="preserve"> </w:t>
      </w:r>
      <w:r>
        <w:t>initial</w:t>
      </w:r>
      <w:r>
        <w:rPr>
          <w:spacing w:val="-4"/>
        </w:rPr>
        <w:t xml:space="preserve"> </w:t>
      </w:r>
      <w:r>
        <w:t>payment</w:t>
      </w:r>
      <w:r>
        <w:rPr>
          <w:spacing w:val="-4"/>
        </w:rPr>
        <w:t xml:space="preserve"> </w:t>
      </w:r>
      <w:r>
        <w:t>or</w:t>
      </w:r>
      <w:r>
        <w:rPr>
          <w:spacing w:val="-4"/>
        </w:rPr>
        <w:t xml:space="preserve"> </w:t>
      </w:r>
      <w:r>
        <w:t>denial</w:t>
      </w:r>
      <w:r>
        <w:rPr>
          <w:spacing w:val="-4"/>
        </w:rPr>
        <w:t xml:space="preserve"> </w:t>
      </w:r>
      <w:r>
        <w:t>of</w:t>
      </w:r>
      <w:r>
        <w:rPr>
          <w:spacing w:val="-4"/>
        </w:rPr>
        <w:t xml:space="preserve"> </w:t>
      </w:r>
      <w:r>
        <w:t>payment</w:t>
      </w:r>
      <w:r>
        <w:rPr>
          <w:spacing w:val="-4"/>
        </w:rPr>
        <w:t xml:space="preserve"> </w:t>
      </w:r>
      <w:r>
        <w:t>for</w:t>
      </w:r>
      <w:r>
        <w:rPr>
          <w:spacing w:val="-4"/>
        </w:rPr>
        <w:t xml:space="preserve"> </w:t>
      </w:r>
      <w:r>
        <w:t>approximately</w:t>
      </w:r>
      <w:r>
        <w:rPr>
          <w:spacing w:val="-4"/>
        </w:rPr>
        <w:t xml:space="preserve"> </w:t>
      </w:r>
      <w:r>
        <w:t>5,068,512 claims annually from nonparticipating providers or facilities.</w:t>
      </w:r>
    </w:p>
    <w:p w:rsidR="00B64E72" w14:paraId="29385561" w14:textId="77777777">
      <w:pPr>
        <w:pStyle w:val="BodyText"/>
        <w:spacing w:before="21"/>
      </w:pPr>
    </w:p>
    <w:p w:rsidR="00B64E72" w14:paraId="71302BDF" w14:textId="77777777">
      <w:pPr>
        <w:pStyle w:val="BodyText"/>
        <w:ind w:left="1512"/>
      </w:pPr>
      <w:bookmarkStart w:id="149" w:name="The_Departments_estimate_that_for_each_i"/>
      <w:bookmarkEnd w:id="149"/>
      <w:r>
        <w:t>The</w:t>
      </w:r>
      <w:r>
        <w:rPr>
          <w:spacing w:val="-5"/>
        </w:rPr>
        <w:t xml:space="preserve"> </w:t>
      </w:r>
      <w:r>
        <w:t>Departments estimate</w:t>
      </w:r>
      <w:r>
        <w:rPr>
          <w:spacing w:val="-2"/>
        </w:rPr>
        <w:t xml:space="preserve"> </w:t>
      </w:r>
      <w:r>
        <w:t>that for</w:t>
      </w:r>
      <w:r>
        <w:rPr>
          <w:spacing w:val="-1"/>
        </w:rPr>
        <w:t xml:space="preserve"> </w:t>
      </w:r>
      <w:r>
        <w:t>each issuer</w:t>
      </w:r>
      <w:r>
        <w:rPr>
          <w:spacing w:val="-1"/>
        </w:rPr>
        <w:t xml:space="preserve"> </w:t>
      </w:r>
      <w:r>
        <w:t>or TPA</w:t>
      </w:r>
      <w:r>
        <w:rPr>
          <w:spacing w:val="-1"/>
        </w:rPr>
        <w:t xml:space="preserve"> </w:t>
      </w:r>
      <w:r>
        <w:t>it will</w:t>
      </w:r>
      <w:r>
        <w:rPr>
          <w:spacing w:val="-1"/>
        </w:rPr>
        <w:t xml:space="preserve"> </w:t>
      </w:r>
      <w:r>
        <w:t>take</w:t>
      </w:r>
      <w:r>
        <w:rPr>
          <w:spacing w:val="-1"/>
        </w:rPr>
        <w:t xml:space="preserve"> </w:t>
      </w:r>
      <w:r>
        <w:t>a</w:t>
      </w:r>
      <w:r>
        <w:rPr>
          <w:spacing w:val="-2"/>
        </w:rPr>
        <w:t xml:space="preserve"> </w:t>
      </w:r>
      <w:r>
        <w:t xml:space="preserve">medical </w:t>
      </w:r>
      <w:r>
        <w:rPr>
          <w:spacing w:val="-2"/>
        </w:rPr>
        <w:t>secretary</w:t>
      </w:r>
    </w:p>
    <w:p w:rsidR="00B64E72" w14:paraId="60100EB5" w14:textId="77777777">
      <w:pPr>
        <w:pStyle w:val="BodyText"/>
        <w:spacing w:before="22" w:line="259" w:lineRule="auto"/>
        <w:ind w:left="1512" w:right="1086"/>
      </w:pPr>
      <w:r>
        <w:t>10 minutes (at an hourly rate of $39.08) to prepare the documentation and attach it to each payment or denial notice or explanation of benefits sent to the nonparticipating provider or facility. The</w:t>
      </w:r>
      <w:r>
        <w:rPr>
          <w:spacing w:val="-1"/>
        </w:rPr>
        <w:t xml:space="preserve"> </w:t>
      </w:r>
      <w:r>
        <w:t>Departments assume that this information will be sent electronically at minimal cost. The total annual burden for all issuers and TPAs to provide the QPA information and certification along with 5,068,512 payments or denial notices, is estimated to be approximately 844,752 hours, with an equivalent cost of approximately $33 million. As DOL,</w:t>
      </w:r>
      <w:r>
        <w:rPr>
          <w:spacing w:val="-4"/>
        </w:rPr>
        <w:t xml:space="preserve"> </w:t>
      </w:r>
      <w:r>
        <w:t>the</w:t>
      </w:r>
      <w:r>
        <w:rPr>
          <w:spacing w:val="-4"/>
        </w:rPr>
        <w:t xml:space="preserve"> </w:t>
      </w:r>
      <w:r>
        <w:t>Treasury</w:t>
      </w:r>
      <w:r>
        <w:rPr>
          <w:spacing w:val="-4"/>
        </w:rPr>
        <w:t xml:space="preserve"> </w:t>
      </w:r>
      <w:r>
        <w:t>Department</w:t>
      </w:r>
      <w:r>
        <w:rPr>
          <w:spacing w:val="-4"/>
        </w:rPr>
        <w:t xml:space="preserve"> </w:t>
      </w:r>
      <w:r>
        <w:t>and</w:t>
      </w:r>
      <w:r>
        <w:rPr>
          <w:spacing w:val="-4"/>
        </w:rPr>
        <w:t xml:space="preserve"> </w:t>
      </w:r>
      <w:r>
        <w:t>HHS</w:t>
      </w:r>
      <w:r>
        <w:rPr>
          <w:spacing w:val="-4"/>
        </w:rPr>
        <w:t xml:space="preserve"> </w:t>
      </w:r>
      <w:r>
        <w:t>share</w:t>
      </w:r>
      <w:r>
        <w:rPr>
          <w:spacing w:val="-4"/>
        </w:rPr>
        <w:t xml:space="preserve"> </w:t>
      </w:r>
      <w:r>
        <w:t>jurisdiction,</w:t>
      </w:r>
      <w:r>
        <w:rPr>
          <w:spacing w:val="-4"/>
        </w:rPr>
        <w:t xml:space="preserve"> </w:t>
      </w:r>
      <w:r>
        <w:t>HHS</w:t>
      </w:r>
      <w:r>
        <w:rPr>
          <w:spacing w:val="-4"/>
        </w:rPr>
        <w:t xml:space="preserve"> </w:t>
      </w:r>
      <w:r>
        <w:t>will</w:t>
      </w:r>
      <w:r>
        <w:rPr>
          <w:spacing w:val="-4"/>
        </w:rPr>
        <w:t xml:space="preserve"> </w:t>
      </w:r>
      <w:r>
        <w:t>account</w:t>
      </w:r>
      <w:r>
        <w:rPr>
          <w:spacing w:val="-4"/>
        </w:rPr>
        <w:t xml:space="preserve"> </w:t>
      </w:r>
      <w:r>
        <w:t>for</w:t>
      </w:r>
      <w:r>
        <w:rPr>
          <w:spacing w:val="-4"/>
        </w:rPr>
        <w:t xml:space="preserve"> </w:t>
      </w:r>
      <w:r>
        <w:t>50</w:t>
      </w:r>
      <w:r>
        <w:rPr>
          <w:spacing w:val="-4"/>
        </w:rPr>
        <w:t xml:space="preserve"> </w:t>
      </w:r>
      <w:r>
        <w:t>percent of the total burden, or approximately 422,376 burden hours with an equivalent cost o</w:t>
      </w:r>
      <w:r>
        <w:t>f approximately $16.5 million.</w:t>
      </w:r>
    </w:p>
    <w:p w:rsidR="00B64E72" w14:paraId="631129F7" w14:textId="77777777">
      <w:pPr>
        <w:pStyle w:val="BodyText"/>
        <w:spacing w:before="20"/>
      </w:pPr>
    </w:p>
    <w:p w:rsidR="00B64E72" w14:paraId="2483DE5F" w14:textId="77777777">
      <w:pPr>
        <w:pStyle w:val="BodyText"/>
        <w:spacing w:line="259" w:lineRule="auto"/>
        <w:ind w:left="1512" w:right="1093"/>
      </w:pPr>
      <w:bookmarkStart w:id="150" w:name="According_to_the_March_2020_Health_Insur"/>
      <w:bookmarkEnd w:id="150"/>
      <w:r>
        <w:t>According to the March 2020 Health Insurance Coverage Bulletin (HCCI), in 2019, 216.2 million individuals had employer-sponsored insurance (ESI) or non-ESI private health insurance.</w:t>
      </w:r>
      <w:bookmarkStart w:id="151" w:name="14"/>
      <w:bookmarkEnd w:id="151"/>
      <w:hyperlink w:anchor="_bookmark13" w:history="1">
        <w:r>
          <w:rPr>
            <w:vertAlign w:val="superscript"/>
          </w:rPr>
          <w:t>14</w:t>
        </w:r>
      </w:hyperlink>
      <w:r>
        <w:rPr>
          <w:spacing w:val="40"/>
        </w:rPr>
        <w:t xml:space="preserve"> </w:t>
      </w:r>
      <w:r>
        <w:t>In 2017, HCCI estimated that, on average, there were approximately 33.3 air ambulance uses per 100,000 people,</w:t>
      </w:r>
      <w:bookmarkStart w:id="152" w:name="15"/>
      <w:bookmarkEnd w:id="152"/>
      <w:hyperlink w:anchor="_bookmark14" w:history="1">
        <w:r>
          <w:rPr>
            <w:vertAlign w:val="superscript"/>
          </w:rPr>
          <w:t>15</w:t>
        </w:r>
      </w:hyperlink>
      <w:r>
        <w:t xml:space="preserve"> and the Government Accountability Office (GAO) estimated</w:t>
      </w:r>
      <w:r>
        <w:rPr>
          <w:spacing w:val="-2"/>
        </w:rPr>
        <w:t xml:space="preserve"> </w:t>
      </w:r>
      <w:r>
        <w:t>that</w:t>
      </w:r>
      <w:r>
        <w:rPr>
          <w:spacing w:val="-2"/>
        </w:rPr>
        <w:t xml:space="preserve"> </w:t>
      </w:r>
      <w:r>
        <w:t>approximately</w:t>
      </w:r>
      <w:r>
        <w:rPr>
          <w:spacing w:val="-2"/>
        </w:rPr>
        <w:t xml:space="preserve"> </w:t>
      </w:r>
      <w:r>
        <w:t>69</w:t>
      </w:r>
      <w:r>
        <w:rPr>
          <w:spacing w:val="-2"/>
        </w:rPr>
        <w:t xml:space="preserve"> </w:t>
      </w:r>
      <w:r>
        <w:t>percent</w:t>
      </w:r>
      <w:r>
        <w:rPr>
          <w:spacing w:val="-2"/>
        </w:rPr>
        <w:t xml:space="preserve"> </w:t>
      </w:r>
      <w:r>
        <w:t>of</w:t>
      </w:r>
      <w:r>
        <w:rPr>
          <w:spacing w:val="-2"/>
        </w:rPr>
        <w:t xml:space="preserve"> </w:t>
      </w:r>
      <w:r>
        <w:t>air</w:t>
      </w:r>
      <w:r>
        <w:rPr>
          <w:spacing w:val="-2"/>
        </w:rPr>
        <w:t xml:space="preserve"> </w:t>
      </w:r>
      <w:r>
        <w:t>transports</w:t>
      </w:r>
      <w:r>
        <w:rPr>
          <w:spacing w:val="-2"/>
        </w:rPr>
        <w:t xml:space="preserve"> </w:t>
      </w:r>
      <w:r>
        <w:t>resulted</w:t>
      </w:r>
      <w:r>
        <w:rPr>
          <w:spacing w:val="-2"/>
        </w:rPr>
        <w:t xml:space="preserve"> </w:t>
      </w:r>
      <w:r>
        <w:t>in</w:t>
      </w:r>
      <w:r>
        <w:rPr>
          <w:spacing w:val="-2"/>
        </w:rPr>
        <w:t xml:space="preserve"> </w:t>
      </w:r>
      <w:r>
        <w:t>an</w:t>
      </w:r>
      <w:r>
        <w:rPr>
          <w:spacing w:val="-2"/>
        </w:rPr>
        <w:t xml:space="preserve"> </w:t>
      </w:r>
      <w:r>
        <w:t>out-of-network</w:t>
      </w:r>
      <w:r>
        <w:rPr>
          <w:spacing w:val="-3"/>
        </w:rPr>
        <w:t xml:space="preserve"> </w:t>
      </w:r>
      <w:r>
        <w:t>bill.</w:t>
      </w:r>
      <w:bookmarkStart w:id="153" w:name="16"/>
      <w:bookmarkEnd w:id="153"/>
      <w:hyperlink w:anchor="_bookmark15" w:history="1">
        <w:r>
          <w:rPr>
            <w:vertAlign w:val="superscript"/>
          </w:rPr>
          <w:t>16</w:t>
        </w:r>
      </w:hyperlink>
      <w:r>
        <w:t xml:space="preserve"> Therefore, the Departments estimate that issuers and TPAs will be required to provide documentation</w:t>
      </w:r>
      <w:r>
        <w:rPr>
          <w:spacing w:val="-3"/>
        </w:rPr>
        <w:t xml:space="preserve"> </w:t>
      </w:r>
      <w:r>
        <w:t>related</w:t>
      </w:r>
      <w:r>
        <w:rPr>
          <w:spacing w:val="-3"/>
        </w:rPr>
        <w:t xml:space="preserve"> </w:t>
      </w:r>
      <w:r>
        <w:t>to</w:t>
      </w:r>
      <w:r>
        <w:rPr>
          <w:spacing w:val="-2"/>
        </w:rPr>
        <w:t xml:space="preserve"> </w:t>
      </w:r>
      <w:r>
        <w:t>QPAs</w:t>
      </w:r>
      <w:r>
        <w:rPr>
          <w:spacing w:val="-3"/>
        </w:rPr>
        <w:t xml:space="preserve"> </w:t>
      </w:r>
      <w:r>
        <w:t>along</w:t>
      </w:r>
      <w:r>
        <w:rPr>
          <w:spacing w:val="-3"/>
        </w:rPr>
        <w:t xml:space="preserve"> </w:t>
      </w:r>
      <w:r>
        <w:t>with</w:t>
      </w:r>
      <w:r>
        <w:rPr>
          <w:spacing w:val="-3"/>
        </w:rPr>
        <w:t xml:space="preserve"> </w:t>
      </w:r>
      <w:r>
        <w:t>the</w:t>
      </w:r>
      <w:r>
        <w:rPr>
          <w:spacing w:val="-3"/>
        </w:rPr>
        <w:t xml:space="preserve"> </w:t>
      </w:r>
      <w:r>
        <w:t>initial</w:t>
      </w:r>
      <w:r>
        <w:rPr>
          <w:spacing w:val="-3"/>
        </w:rPr>
        <w:t xml:space="preserve"> </w:t>
      </w:r>
      <w:r>
        <w:t>payment</w:t>
      </w:r>
      <w:r>
        <w:rPr>
          <w:spacing w:val="-3"/>
        </w:rPr>
        <w:t xml:space="preserve"> </w:t>
      </w:r>
      <w:r>
        <w:t>or</w:t>
      </w:r>
      <w:r>
        <w:rPr>
          <w:spacing w:val="-3"/>
        </w:rPr>
        <w:t xml:space="preserve"> </w:t>
      </w:r>
      <w:r>
        <w:t>notice</w:t>
      </w:r>
      <w:r>
        <w:rPr>
          <w:spacing w:val="-4"/>
        </w:rPr>
        <w:t xml:space="preserve"> </w:t>
      </w:r>
      <w:r>
        <w:t>of</w:t>
      </w:r>
      <w:r>
        <w:rPr>
          <w:spacing w:val="-3"/>
        </w:rPr>
        <w:t xml:space="preserve"> </w:t>
      </w:r>
      <w:r>
        <w:t>denial</w:t>
      </w:r>
      <w:r>
        <w:rPr>
          <w:spacing w:val="-3"/>
        </w:rPr>
        <w:t xml:space="preserve"> </w:t>
      </w:r>
      <w:r>
        <w:t>of</w:t>
      </w:r>
      <w:r>
        <w:rPr>
          <w:spacing w:val="-4"/>
        </w:rPr>
        <w:t xml:space="preserve"> </w:t>
      </w:r>
      <w:r>
        <w:t>payment documents for approximately 49,676 c</w:t>
      </w:r>
      <w:bookmarkStart w:id="154" w:name="17"/>
      <w:bookmarkEnd w:id="154"/>
      <w:r>
        <w:t>laims</w:t>
      </w:r>
      <w:hyperlink w:anchor="_bookmark16" w:history="1">
        <w:r>
          <w:rPr>
            <w:vertAlign w:val="superscript"/>
          </w:rPr>
          <w:t>17</w:t>
        </w:r>
      </w:hyperlink>
      <w:r>
        <w:t xml:space="preserve"> annually from nonparticipating providers of air ambulance services. The Departments estimate that for each issuer or TPA it will take a medical secretary 10 minutes (at an hourly rate of $39.08) to prepare the documentation and attach it to each payment or denial notice or explanation of benefits sent to the nonparticipating provider of air ambulance services. The Departments assume that this information will be sent electronically at minimal cost. The total annual burden for all issuers and TPAs to provid</w:t>
      </w:r>
      <w:r>
        <w:t>e the QPA information for 49,676 initial payments or denial notices related to air ambulance</w:t>
      </w:r>
      <w:r>
        <w:rPr>
          <w:spacing w:val="-1"/>
        </w:rPr>
        <w:t xml:space="preserve"> </w:t>
      </w:r>
      <w:r>
        <w:t>services, is estimated to be</w:t>
      </w:r>
      <w:r>
        <w:rPr>
          <w:spacing w:val="-1"/>
        </w:rPr>
        <w:t xml:space="preserve"> </w:t>
      </w:r>
      <w:r>
        <w:t>approximately 8,279 hours, with an equivalent cost of approximately $323,556. As DOL, the Treasury Department and HHS share jurisdiction, HHS will account for 50 percent of the total burden, or approximately 4,140 burden hours with an equivalent cost of approximately $161,778.</w:t>
      </w:r>
    </w:p>
    <w:p w:rsidR="00B64E72" w14:paraId="71F69CBA" w14:textId="77777777">
      <w:pPr>
        <w:pStyle w:val="BodyText"/>
        <w:spacing w:before="224"/>
        <w:rPr>
          <w:sz w:val="20"/>
        </w:rPr>
      </w:pPr>
      <w:r>
        <w:rPr>
          <w:noProof/>
          <w:sz w:val="20"/>
        </w:rPr>
        <mc:AlternateContent>
          <mc:Choice Requires="wps">
            <w:drawing>
              <wp:anchor distT="0" distB="0" distL="0" distR="0" simplePos="0" relativeHeight="251676672" behindDoc="1" locked="0" layoutInCell="1" allowOverlap="1">
                <wp:simplePos x="0" y="0"/>
                <wp:positionH relativeFrom="page">
                  <wp:posOffset>914704</wp:posOffset>
                </wp:positionH>
                <wp:positionV relativeFrom="paragraph">
                  <wp:posOffset>303710</wp:posOffset>
                </wp:positionV>
                <wp:extent cx="1829435" cy="762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7620"/>
                        </a:xfrm>
                        <a:custGeom>
                          <a:avLst/>
                          <a:gdLst/>
                          <a:rect l="l" t="t" r="r" b="b"/>
                          <a:pathLst>
                            <a:path fill="norm" h="7620" w="1829435" stroke="1">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1031" style="width:144.05pt;height:0.6pt;margin-top:23.9pt;margin-left:1in;mso-position-horizontal-relative:page;mso-wrap-distance-bottom:0;mso-wrap-distance-left:0;mso-wrap-distance-right:0;mso-wrap-distance-top:0;mso-wrap-style:square;position:absolute;visibility:visible;v-text-anchor:top;z-index:-251638784" coordsize="1829435,7620" path="m1829054,l,,,7620l1829054,7620l1829054,xe" fillcolor="black" stroked="f">
                <v:path arrowok="t"/>
                <w10:wrap type="topAndBottom"/>
              </v:shape>
            </w:pict>
          </mc:Fallback>
        </mc:AlternateContent>
      </w:r>
    </w:p>
    <w:p w:rsidR="00B64E72" w14:paraId="1CE790F2" w14:textId="77777777">
      <w:pPr>
        <w:spacing w:before="147"/>
        <w:ind w:left="1080" w:right="1657"/>
        <w:rPr>
          <w:sz w:val="20"/>
        </w:rPr>
      </w:pPr>
      <w:bookmarkStart w:id="155" w:name="14_Employee_Benefits_Security_Administra"/>
      <w:bookmarkStart w:id="156" w:name="_bookmark13"/>
      <w:bookmarkEnd w:id="155"/>
      <w:bookmarkEnd w:id="156"/>
      <w:r>
        <w:rPr>
          <w:sz w:val="20"/>
          <w:vertAlign w:val="superscript"/>
        </w:rPr>
        <w:t>14</w:t>
      </w:r>
      <w:r>
        <w:rPr>
          <w:sz w:val="20"/>
        </w:rPr>
        <w:t xml:space="preserve"> Employee Benefits Security Administration. “Health Insurance Coverage Bulletin.” (March 2020). </w:t>
      </w:r>
      <w:bookmarkStart w:id="157" w:name="https://www.dol.gov/sites/dolgov/files/E"/>
      <w:bookmarkEnd w:id="157"/>
      <w:hyperlink r:id="rId14">
        <w:r>
          <w:rPr>
            <w:color w:val="0462C1"/>
            <w:spacing w:val="-2"/>
            <w:sz w:val="20"/>
            <w:u w:val="single" w:color="0462C1"/>
          </w:rPr>
          <w:t>https://www.dol.gov/sites/dolgov/files/EBSA/researchers/data/health-and-welfare/health-insurance-coverage-</w:t>
        </w:r>
      </w:hyperlink>
      <w:r>
        <w:rPr>
          <w:color w:val="0462C1"/>
          <w:spacing w:val="-2"/>
          <w:sz w:val="20"/>
        </w:rPr>
        <w:t xml:space="preserve"> </w:t>
      </w:r>
      <w:hyperlink r:id="rId14">
        <w:r>
          <w:rPr>
            <w:color w:val="0462C1"/>
            <w:spacing w:val="-2"/>
            <w:sz w:val="20"/>
          </w:rPr>
          <w:t>bulletin-2020.pdf</w:t>
        </w:r>
        <w:r>
          <w:rPr>
            <w:spacing w:val="-2"/>
            <w:sz w:val="20"/>
          </w:rPr>
          <w:t>.</w:t>
        </w:r>
      </w:hyperlink>
    </w:p>
    <w:p w:rsidR="00B64E72" w14:paraId="7AB053AD" w14:textId="77777777">
      <w:pPr>
        <w:ind w:left="1080" w:right="1099"/>
        <w:rPr>
          <w:sz w:val="20"/>
        </w:rPr>
      </w:pPr>
      <w:r>
        <w:rPr>
          <w:noProof/>
          <w:sz w:val="20"/>
        </w:rPr>
        <mc:AlternateContent>
          <mc:Choice Requires="wps">
            <w:drawing>
              <wp:anchor distT="0" distB="0" distL="0" distR="0" simplePos="0" relativeHeight="251658240" behindDoc="0" locked="0" layoutInCell="1" allowOverlap="1">
                <wp:simplePos x="0" y="0"/>
                <wp:positionH relativeFrom="page">
                  <wp:posOffset>914704</wp:posOffset>
                </wp:positionH>
                <wp:positionV relativeFrom="paragraph">
                  <wp:posOffset>-14440</wp:posOffset>
                </wp:positionV>
                <wp:extent cx="887094" cy="6350"/>
                <wp:effectExtent l="0" t="0" r="0" b="0"/>
                <wp:wrapNone/>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887094" cy="6350"/>
                        </a:xfrm>
                        <a:custGeom>
                          <a:avLst/>
                          <a:gdLst/>
                          <a:rect l="l" t="t" r="r" b="b"/>
                          <a:pathLst>
                            <a:path fill="norm" h="6350" w="887094" stroke="1">
                              <a:moveTo>
                                <a:pt x="886968" y="0"/>
                              </a:moveTo>
                              <a:lnTo>
                                <a:pt x="0" y="0"/>
                              </a:lnTo>
                              <a:lnTo>
                                <a:pt x="0" y="6095"/>
                              </a:lnTo>
                              <a:lnTo>
                                <a:pt x="886968" y="6095"/>
                              </a:lnTo>
                              <a:lnTo>
                                <a:pt x="886968" y="0"/>
                              </a:lnTo>
                              <a:close/>
                            </a:path>
                          </a:pathLst>
                        </a:custGeom>
                        <a:solidFill>
                          <a:srgbClr val="0462C1"/>
                        </a:solidFill>
                      </wps:spPr>
                      <wps:bodyPr wrap="square" lIns="0" tIns="0" rIns="0" bIns="0" rtlCol="0">
                        <a:prstTxWarp prst="textNoShape">
                          <a:avLst/>
                        </a:prstTxWarp>
                      </wps:bodyPr>
                    </wps:wsp>
                  </a:graphicData>
                </a:graphic>
              </wp:anchor>
            </w:drawing>
          </mc:Choice>
          <mc:Fallback>
            <w:pict>
              <v:shape id="Graphic 9" o:spid="_x0000_s1032" style="width:69.85pt;height:0.5pt;margin-top:-1.15pt;margin-left:1in;mso-position-horizontal-relative:page;mso-wrap-distance-bottom:0;mso-wrap-distance-left:0;mso-wrap-distance-right:0;mso-wrap-distance-top:0;mso-wrap-style:square;position:absolute;visibility:visible;v-text-anchor:top;z-index:251659264" coordsize="887094,6350" path="m886968,l,,,6095l886968,6095l886968,xe" fillcolor="#0462c1" stroked="f">
                <v:path arrowok="t"/>
              </v:shape>
            </w:pict>
          </mc:Fallback>
        </mc:AlternateContent>
      </w:r>
      <w:r>
        <w:rPr>
          <w:noProof/>
          <w:sz w:val="20"/>
        </w:rPr>
        <mc:AlternateContent>
          <mc:Choice Requires="wps">
            <w:drawing>
              <wp:anchor distT="0" distB="0" distL="0" distR="0" simplePos="0" relativeHeight="251660288" behindDoc="0" locked="0" layoutInCell="1" allowOverlap="1">
                <wp:simplePos x="0" y="0"/>
                <wp:positionH relativeFrom="page">
                  <wp:posOffset>1797050</wp:posOffset>
                </wp:positionH>
                <wp:positionV relativeFrom="paragraph">
                  <wp:posOffset>278167</wp:posOffset>
                </wp:positionV>
                <wp:extent cx="5022850" cy="6350"/>
                <wp:effectExtent l="0" t="0" r="0" b="0"/>
                <wp:wrapNone/>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5022850" cy="6350"/>
                        </a:xfrm>
                        <a:custGeom>
                          <a:avLst/>
                          <a:gdLst/>
                          <a:rect l="l" t="t" r="r" b="b"/>
                          <a:pathLst>
                            <a:path fill="norm" h="6350" w="5022850" stroke="1">
                              <a:moveTo>
                                <a:pt x="5022469" y="0"/>
                              </a:moveTo>
                              <a:lnTo>
                                <a:pt x="0" y="0"/>
                              </a:lnTo>
                              <a:lnTo>
                                <a:pt x="0" y="6095"/>
                              </a:lnTo>
                              <a:lnTo>
                                <a:pt x="5022469" y="6095"/>
                              </a:lnTo>
                              <a:lnTo>
                                <a:pt x="5022469" y="0"/>
                              </a:lnTo>
                              <a:close/>
                            </a:path>
                          </a:pathLst>
                        </a:custGeom>
                        <a:solidFill>
                          <a:srgbClr val="0462C1"/>
                        </a:solidFill>
                      </wps:spPr>
                      <wps:bodyPr wrap="square" lIns="0" tIns="0" rIns="0" bIns="0" rtlCol="0">
                        <a:prstTxWarp prst="textNoShape">
                          <a:avLst/>
                        </a:prstTxWarp>
                      </wps:bodyPr>
                    </wps:wsp>
                  </a:graphicData>
                </a:graphic>
              </wp:anchor>
            </w:drawing>
          </mc:Choice>
          <mc:Fallback>
            <w:pict>
              <v:shape id="Graphic 10" o:spid="_x0000_s1033" style="width:395.5pt;height:0.5pt;margin-top:21.9pt;margin-left:141.5pt;mso-position-horizontal-relative:page;mso-wrap-distance-bottom:0;mso-wrap-distance-left:0;mso-wrap-distance-right:0;mso-wrap-distance-top:0;mso-wrap-style:square;position:absolute;visibility:visible;v-text-anchor:top;z-index:251661312" coordsize="5022850,6350" path="m5022469,l,,,6095l5022469,6095l5022469,xe" fillcolor="#0462c1" stroked="f">
                <v:path arrowok="t"/>
              </v:shape>
            </w:pict>
          </mc:Fallback>
        </mc:AlternateContent>
      </w:r>
      <w:bookmarkStart w:id="158" w:name="15_Hargraves,_John_and_Aaron_Bloschichak"/>
      <w:bookmarkStart w:id="159" w:name="_bookmark14"/>
      <w:bookmarkEnd w:id="158"/>
      <w:bookmarkEnd w:id="159"/>
      <w:r>
        <w:rPr>
          <w:sz w:val="20"/>
          <w:vertAlign w:val="superscript"/>
        </w:rPr>
        <w:t>15</w:t>
      </w:r>
      <w:r>
        <w:rPr>
          <w:sz w:val="20"/>
        </w:rPr>
        <w:t xml:space="preserve"> Hargraves, John and Aaron Bloschichak. “Air Ambulances-10-Year Trends in Costs and Use.” Health Care Cost </w:t>
      </w:r>
      <w:bookmarkStart w:id="160" w:name="https://healthcostinstitute.org/emergenc"/>
      <w:bookmarkEnd w:id="160"/>
      <w:r>
        <w:rPr>
          <w:sz w:val="20"/>
        </w:rPr>
        <w:t>Institute.</w:t>
      </w:r>
      <w:r>
        <w:rPr>
          <w:spacing w:val="-11"/>
          <w:sz w:val="20"/>
        </w:rPr>
        <w:t xml:space="preserve"> </w:t>
      </w:r>
      <w:r>
        <w:rPr>
          <w:sz w:val="20"/>
        </w:rPr>
        <w:t>(2019).</w:t>
      </w:r>
      <w:r>
        <w:rPr>
          <w:spacing w:val="-11"/>
          <w:sz w:val="20"/>
        </w:rPr>
        <w:t xml:space="preserve"> </w:t>
      </w:r>
      <w:hyperlink r:id="rId15">
        <w:r>
          <w:rPr>
            <w:color w:val="0462C1"/>
            <w:sz w:val="20"/>
          </w:rPr>
          <w:t>https://healthcostinstitute.org/emergency-room/air-ambulances-10-year-trends-in-costs-and-use.</w:t>
        </w:r>
        <w:r>
          <w:rPr>
            <w:color w:val="0462C1"/>
            <w:spacing w:val="-11"/>
            <w:sz w:val="20"/>
          </w:rPr>
          <w:t xml:space="preserve"> </w:t>
        </w:r>
        <w:r>
          <w:rPr>
            <w:color w:val="0462C1"/>
            <w:sz w:val="20"/>
          </w:rPr>
          <w:t>In</w:t>
        </w:r>
      </w:hyperlink>
      <w:r>
        <w:rPr>
          <w:color w:val="0462C1"/>
          <w:sz w:val="20"/>
        </w:rPr>
        <w:t xml:space="preserve"> </w:t>
      </w:r>
      <w:hyperlink r:id="rId15">
        <w:r>
          <w:rPr>
            <w:color w:val="0462C1"/>
            <w:sz w:val="20"/>
            <w:u w:val="single" w:color="0462C1"/>
          </w:rPr>
          <w:t>2017</w:t>
        </w:r>
        <w:r>
          <w:rPr>
            <w:sz w:val="20"/>
          </w:rPr>
          <w:t>,</w:t>
        </w:r>
      </w:hyperlink>
      <w:r>
        <w:rPr>
          <w:sz w:val="20"/>
        </w:rPr>
        <w:t xml:space="preserve"> there were on average, 29.3 helicopter ambulance trips per 100,000 people and 4 plane ambulance trips per </w:t>
      </w:r>
      <w:bookmarkStart w:id="161" w:name="_bookmark15"/>
      <w:bookmarkEnd w:id="161"/>
      <w:r>
        <w:rPr>
          <w:sz w:val="20"/>
        </w:rPr>
        <w:t>100,000 people (29.3 + 4 = 33.3).</w:t>
      </w:r>
    </w:p>
    <w:p w:rsidR="00B64E72" w14:paraId="598703CA" w14:textId="77777777">
      <w:pPr>
        <w:spacing w:before="1"/>
        <w:ind w:left="1080" w:right="1369"/>
        <w:rPr>
          <w:sz w:val="20"/>
        </w:rPr>
      </w:pPr>
      <w:bookmarkStart w:id="162" w:name="16_Government_Accountability_Office._“Ai"/>
      <w:bookmarkEnd w:id="162"/>
      <w:r>
        <w:rPr>
          <w:sz w:val="20"/>
          <w:vertAlign w:val="superscript"/>
        </w:rPr>
        <w:t>16</w:t>
      </w:r>
      <w:r>
        <w:rPr>
          <w:spacing w:val="-3"/>
          <w:sz w:val="20"/>
        </w:rPr>
        <w:t xml:space="preserve"> </w:t>
      </w:r>
      <w:r>
        <w:rPr>
          <w:sz w:val="20"/>
        </w:rPr>
        <w:t>Government</w:t>
      </w:r>
      <w:r>
        <w:rPr>
          <w:spacing w:val="-4"/>
          <w:sz w:val="20"/>
        </w:rPr>
        <w:t xml:space="preserve"> </w:t>
      </w:r>
      <w:r>
        <w:rPr>
          <w:sz w:val="20"/>
        </w:rPr>
        <w:t>Accountability</w:t>
      </w:r>
      <w:r>
        <w:rPr>
          <w:spacing w:val="-4"/>
          <w:sz w:val="20"/>
        </w:rPr>
        <w:t xml:space="preserve"> </w:t>
      </w:r>
      <w:r>
        <w:rPr>
          <w:sz w:val="20"/>
        </w:rPr>
        <w:t>Office.</w:t>
      </w:r>
      <w:r>
        <w:rPr>
          <w:spacing w:val="-3"/>
          <w:sz w:val="20"/>
        </w:rPr>
        <w:t xml:space="preserve"> </w:t>
      </w:r>
      <w:r>
        <w:rPr>
          <w:sz w:val="20"/>
        </w:rPr>
        <w:t>“Air</w:t>
      </w:r>
      <w:r>
        <w:rPr>
          <w:spacing w:val="-3"/>
          <w:sz w:val="20"/>
        </w:rPr>
        <w:t xml:space="preserve"> </w:t>
      </w:r>
      <w:r>
        <w:rPr>
          <w:sz w:val="20"/>
        </w:rPr>
        <w:t>Ambulance:</w:t>
      </w:r>
      <w:r>
        <w:rPr>
          <w:spacing w:val="-4"/>
          <w:sz w:val="20"/>
        </w:rPr>
        <w:t xml:space="preserve"> </w:t>
      </w:r>
      <w:r>
        <w:rPr>
          <w:sz w:val="20"/>
        </w:rPr>
        <w:t>Available</w:t>
      </w:r>
      <w:r>
        <w:rPr>
          <w:spacing w:val="-3"/>
          <w:sz w:val="20"/>
        </w:rPr>
        <w:t xml:space="preserve"> </w:t>
      </w:r>
      <w:r>
        <w:rPr>
          <w:sz w:val="20"/>
        </w:rPr>
        <w:t>Data</w:t>
      </w:r>
      <w:r>
        <w:rPr>
          <w:spacing w:val="-3"/>
          <w:sz w:val="20"/>
        </w:rPr>
        <w:t xml:space="preserve"> </w:t>
      </w:r>
      <w:r>
        <w:rPr>
          <w:sz w:val="20"/>
        </w:rPr>
        <w:t>Show</w:t>
      </w:r>
      <w:r>
        <w:rPr>
          <w:spacing w:val="-3"/>
          <w:sz w:val="20"/>
        </w:rPr>
        <w:t xml:space="preserve"> </w:t>
      </w:r>
      <w:r>
        <w:rPr>
          <w:sz w:val="20"/>
        </w:rPr>
        <w:t>Privately-Insured</w:t>
      </w:r>
      <w:r>
        <w:rPr>
          <w:spacing w:val="-3"/>
          <w:sz w:val="20"/>
        </w:rPr>
        <w:t xml:space="preserve"> </w:t>
      </w:r>
      <w:r>
        <w:rPr>
          <w:sz w:val="20"/>
        </w:rPr>
        <w:t>Patients</w:t>
      </w:r>
      <w:r>
        <w:rPr>
          <w:spacing w:val="-4"/>
          <w:sz w:val="20"/>
        </w:rPr>
        <w:t xml:space="preserve"> </w:t>
      </w:r>
      <w:r>
        <w:rPr>
          <w:sz w:val="20"/>
        </w:rPr>
        <w:t>are</w:t>
      </w:r>
      <w:r>
        <w:rPr>
          <w:spacing w:val="-3"/>
          <w:sz w:val="20"/>
        </w:rPr>
        <w:t xml:space="preserve"> </w:t>
      </w:r>
      <w:r>
        <w:rPr>
          <w:sz w:val="20"/>
        </w:rPr>
        <w:t xml:space="preserve">at Financial Risk.” (2019). </w:t>
      </w:r>
      <w:bookmarkStart w:id="163" w:name="https://www.gao.gov/assets/gao-19-292.pd"/>
      <w:bookmarkEnd w:id="163"/>
      <w:hyperlink r:id="rId16">
        <w:r>
          <w:rPr>
            <w:color w:val="0462C1"/>
            <w:sz w:val="20"/>
            <w:u w:val="single" w:color="0462C1"/>
          </w:rPr>
          <w:t>https://www.gao.gov/assets/gao-19-292.pdf</w:t>
        </w:r>
        <w:r>
          <w:rPr>
            <w:sz w:val="20"/>
          </w:rPr>
          <w:t>.</w:t>
        </w:r>
      </w:hyperlink>
    </w:p>
    <w:p w:rsidR="00B64E72" w14:paraId="2BA9449C" w14:textId="77777777">
      <w:pPr>
        <w:spacing w:line="228" w:lineRule="exact"/>
        <w:ind w:left="1080"/>
        <w:rPr>
          <w:sz w:val="20"/>
        </w:rPr>
      </w:pPr>
      <w:bookmarkStart w:id="164" w:name="17_216,200,000_x_0.000333_x_69%_=_49,676"/>
      <w:bookmarkStart w:id="165" w:name="_bookmark16"/>
      <w:bookmarkEnd w:id="164"/>
      <w:bookmarkEnd w:id="165"/>
      <w:r>
        <w:rPr>
          <w:sz w:val="20"/>
          <w:vertAlign w:val="superscript"/>
        </w:rPr>
        <w:t>17</w:t>
      </w:r>
      <w:r>
        <w:rPr>
          <w:spacing w:val="-4"/>
          <w:sz w:val="20"/>
        </w:rPr>
        <w:t xml:space="preserve"> </w:t>
      </w:r>
      <w:r>
        <w:rPr>
          <w:sz w:val="20"/>
        </w:rPr>
        <w:t>216,200,000</w:t>
      </w:r>
      <w:r>
        <w:rPr>
          <w:spacing w:val="-5"/>
          <w:sz w:val="20"/>
        </w:rPr>
        <w:t xml:space="preserve"> </w:t>
      </w:r>
      <w:r>
        <w:rPr>
          <w:sz w:val="20"/>
        </w:rPr>
        <w:t>x</w:t>
      </w:r>
      <w:r>
        <w:rPr>
          <w:spacing w:val="-3"/>
          <w:sz w:val="20"/>
        </w:rPr>
        <w:t xml:space="preserve"> </w:t>
      </w:r>
      <w:r>
        <w:rPr>
          <w:sz w:val="20"/>
        </w:rPr>
        <w:t>0.000333</w:t>
      </w:r>
      <w:r>
        <w:rPr>
          <w:spacing w:val="-3"/>
          <w:sz w:val="20"/>
        </w:rPr>
        <w:t xml:space="preserve"> </w:t>
      </w:r>
      <w:r>
        <w:rPr>
          <w:sz w:val="20"/>
        </w:rPr>
        <w:t>x</w:t>
      </w:r>
      <w:r>
        <w:rPr>
          <w:spacing w:val="-4"/>
          <w:sz w:val="20"/>
        </w:rPr>
        <w:t xml:space="preserve"> </w:t>
      </w:r>
      <w:r>
        <w:rPr>
          <w:sz w:val="20"/>
        </w:rPr>
        <w:t>69%</w:t>
      </w:r>
      <w:r>
        <w:rPr>
          <w:spacing w:val="-5"/>
          <w:sz w:val="20"/>
        </w:rPr>
        <w:t xml:space="preserve"> </w:t>
      </w:r>
      <w:r>
        <w:rPr>
          <w:sz w:val="20"/>
        </w:rPr>
        <w:t>=</w:t>
      </w:r>
      <w:r>
        <w:rPr>
          <w:spacing w:val="-4"/>
          <w:sz w:val="20"/>
        </w:rPr>
        <w:t xml:space="preserve"> </w:t>
      </w:r>
      <w:r>
        <w:rPr>
          <w:sz w:val="20"/>
        </w:rPr>
        <w:t>49,676</w:t>
      </w:r>
      <w:r>
        <w:rPr>
          <w:spacing w:val="-3"/>
          <w:sz w:val="20"/>
        </w:rPr>
        <w:t xml:space="preserve"> </w:t>
      </w:r>
      <w:r>
        <w:rPr>
          <w:sz w:val="20"/>
        </w:rPr>
        <w:t>air</w:t>
      </w:r>
      <w:r>
        <w:rPr>
          <w:spacing w:val="-2"/>
          <w:sz w:val="20"/>
        </w:rPr>
        <w:t xml:space="preserve"> </w:t>
      </w:r>
      <w:r>
        <w:rPr>
          <w:sz w:val="20"/>
        </w:rPr>
        <w:t>ambulance</w:t>
      </w:r>
      <w:r>
        <w:rPr>
          <w:spacing w:val="-4"/>
          <w:sz w:val="20"/>
        </w:rPr>
        <w:t xml:space="preserve"> </w:t>
      </w:r>
      <w:r>
        <w:rPr>
          <w:sz w:val="20"/>
        </w:rPr>
        <w:t>service</w:t>
      </w:r>
      <w:r>
        <w:rPr>
          <w:spacing w:val="-4"/>
          <w:sz w:val="20"/>
        </w:rPr>
        <w:t xml:space="preserve"> </w:t>
      </w:r>
      <w:r>
        <w:rPr>
          <w:spacing w:val="-2"/>
          <w:sz w:val="20"/>
        </w:rPr>
        <w:t>claims.</w:t>
      </w:r>
    </w:p>
    <w:p w:rsidR="00B64E72" w14:paraId="17B9E18D" w14:textId="77777777">
      <w:pPr>
        <w:spacing w:line="228" w:lineRule="exact"/>
        <w:rPr>
          <w:sz w:val="20"/>
        </w:rPr>
        <w:sectPr>
          <w:pgSz w:w="12240" w:h="15840"/>
          <w:pgMar w:top="1360" w:right="360" w:bottom="1280" w:left="360" w:header="0" w:footer="1094" w:gutter="0"/>
          <w:cols w:space="720"/>
        </w:sectPr>
      </w:pPr>
    </w:p>
    <w:p w:rsidR="00B64E72" w14:paraId="510E9FA2" w14:textId="77777777">
      <w:pPr>
        <w:pStyle w:val="BodyText"/>
        <w:spacing w:before="79" w:line="259" w:lineRule="auto"/>
        <w:ind w:left="1512" w:right="1099"/>
      </w:pPr>
      <w:bookmarkStart w:id="166" w:name="The_Departments_assume_that_of_the_appro"/>
      <w:bookmarkEnd w:id="166"/>
      <w:r>
        <w:t>The Departments assume that of the approximately 5,118,188 instances in which QPA information is sent to nonparticipating providers, emergency facilities, and providers of air ambulance services 50 percent will result in requests to provide additional information and plans</w:t>
      </w:r>
      <w:r>
        <w:rPr>
          <w:spacing w:val="-4"/>
        </w:rPr>
        <w:t xml:space="preserve"> </w:t>
      </w:r>
      <w:r>
        <w:t>and</w:t>
      </w:r>
      <w:r>
        <w:rPr>
          <w:spacing w:val="-4"/>
        </w:rPr>
        <w:t xml:space="preserve"> </w:t>
      </w:r>
      <w:r>
        <w:t>issuers</w:t>
      </w:r>
      <w:r>
        <w:rPr>
          <w:spacing w:val="-4"/>
        </w:rPr>
        <w:t xml:space="preserve"> </w:t>
      </w:r>
      <w:r>
        <w:t>will</w:t>
      </w:r>
      <w:r>
        <w:rPr>
          <w:spacing w:val="-4"/>
        </w:rPr>
        <w:t xml:space="preserve"> </w:t>
      </w:r>
      <w:r>
        <w:t>be</w:t>
      </w:r>
      <w:r>
        <w:rPr>
          <w:spacing w:val="-3"/>
        </w:rPr>
        <w:t xml:space="preserve"> </w:t>
      </w:r>
      <w:r>
        <w:t>required</w:t>
      </w:r>
      <w:r>
        <w:rPr>
          <w:spacing w:val="-4"/>
        </w:rPr>
        <w:t xml:space="preserve"> </w:t>
      </w:r>
      <w:r>
        <w:t>to</w:t>
      </w:r>
      <w:r>
        <w:rPr>
          <w:spacing w:val="-4"/>
        </w:rPr>
        <w:t xml:space="preserve"> </w:t>
      </w:r>
      <w:r>
        <w:t>send</w:t>
      </w:r>
      <w:r>
        <w:rPr>
          <w:spacing w:val="-2"/>
        </w:rPr>
        <w:t xml:space="preserve"> </w:t>
      </w:r>
      <w:r>
        <w:t>additional</w:t>
      </w:r>
      <w:r>
        <w:rPr>
          <w:spacing w:val="-4"/>
        </w:rPr>
        <w:t xml:space="preserve"> </w:t>
      </w:r>
      <w:r>
        <w:t>information</w:t>
      </w:r>
      <w:r>
        <w:rPr>
          <w:spacing w:val="-4"/>
        </w:rPr>
        <w:t xml:space="preserve"> </w:t>
      </w:r>
      <w:r>
        <w:t>to</w:t>
      </w:r>
      <w:r>
        <w:rPr>
          <w:spacing w:val="-4"/>
        </w:rPr>
        <w:t xml:space="preserve"> </w:t>
      </w:r>
      <w:r>
        <w:t>approximately 2,559,094 providers,</w:t>
      </w:r>
      <w:r>
        <w:rPr>
          <w:spacing w:val="-1"/>
        </w:rPr>
        <w:t xml:space="preserve"> </w:t>
      </w:r>
      <w:r>
        <w:t>facilities,</w:t>
      </w:r>
      <w:r>
        <w:rPr>
          <w:spacing w:val="-1"/>
        </w:rPr>
        <w:t xml:space="preserve"> </w:t>
      </w:r>
      <w:r>
        <w:t>and</w:t>
      </w:r>
      <w:r>
        <w:rPr>
          <w:spacing w:val="-1"/>
        </w:rPr>
        <w:t xml:space="preserve"> </w:t>
      </w:r>
      <w:r>
        <w:t>providers</w:t>
      </w:r>
      <w:r>
        <w:rPr>
          <w:spacing w:val="-1"/>
        </w:rPr>
        <w:t xml:space="preserve"> </w:t>
      </w:r>
      <w:r>
        <w:t>of</w:t>
      </w:r>
      <w:r>
        <w:rPr>
          <w:spacing w:val="-3"/>
        </w:rPr>
        <w:t xml:space="preserve"> </w:t>
      </w:r>
      <w:r>
        <w:t>air</w:t>
      </w:r>
      <w:r>
        <w:rPr>
          <w:spacing w:val="-1"/>
        </w:rPr>
        <w:t xml:space="preserve"> </w:t>
      </w:r>
      <w:r>
        <w:t>ambulance</w:t>
      </w:r>
      <w:r>
        <w:rPr>
          <w:spacing w:val="-2"/>
        </w:rPr>
        <w:t xml:space="preserve"> </w:t>
      </w:r>
      <w:r>
        <w:t>services.</w:t>
      </w:r>
      <w:r>
        <w:rPr>
          <w:spacing w:val="-1"/>
        </w:rPr>
        <w:t xml:space="preserve"> </w:t>
      </w:r>
      <w:r>
        <w:t>The</w:t>
      </w:r>
      <w:r>
        <w:rPr>
          <w:spacing w:val="-1"/>
        </w:rPr>
        <w:t xml:space="preserve"> </w:t>
      </w:r>
      <w:r>
        <w:t>Departments</w:t>
      </w:r>
      <w:r>
        <w:rPr>
          <w:spacing w:val="-1"/>
        </w:rPr>
        <w:t xml:space="preserve"> </w:t>
      </w:r>
      <w:r>
        <w:t>estimate</w:t>
      </w:r>
      <w:r>
        <w:rPr>
          <w:spacing w:val="-2"/>
        </w:rPr>
        <w:t xml:space="preserve"> </w:t>
      </w:r>
      <w:r>
        <w:t>that it will take a medical secretary 15 minutes (at an hourly rate of $39.08) to prepare the document and provide it to the provider, facility, or provider of air ambulance services that requested it. The Departments assume that this information will be delivered electronically with minimal additional cost. The total estimated annua</w:t>
      </w:r>
      <w:r>
        <w:t>l burden, for all issuers and TPAs, will be approximately 639,774 hours, with an equivalent cost of approximately $25 million. As DOL, the Treasury Department and HHS share jurisdiction, HHS will account for 50 percent of the total burden, or approximately 319,887 burden hours with an equivalent cost of approximately $12.5 million.</w:t>
      </w:r>
    </w:p>
    <w:p w:rsidR="00B64E72" w14:paraId="390EF9A5" w14:textId="77777777">
      <w:pPr>
        <w:pStyle w:val="BodyText"/>
        <w:spacing w:before="19"/>
      </w:pPr>
    </w:p>
    <w:p w:rsidR="00B64E72" w14:paraId="0E8C0915" w14:textId="77777777">
      <w:pPr>
        <w:pStyle w:val="BodyText"/>
        <w:spacing w:line="247" w:lineRule="auto"/>
        <w:ind w:left="1531" w:right="1117" w:hanging="12"/>
        <w:jc w:val="both"/>
      </w:pPr>
      <w:bookmarkStart w:id="167" w:name="As_noted_above,_the_Departments_estimate"/>
      <w:bookmarkEnd w:id="167"/>
      <w:r>
        <w:t>As noted above, the Departments estimate that issuers and TPAs will be required to provide documents</w:t>
      </w:r>
      <w:r>
        <w:rPr>
          <w:spacing w:val="-3"/>
        </w:rPr>
        <w:t xml:space="preserve"> </w:t>
      </w:r>
      <w:r>
        <w:t>related</w:t>
      </w:r>
      <w:r>
        <w:rPr>
          <w:spacing w:val="-3"/>
        </w:rPr>
        <w:t xml:space="preserve"> </w:t>
      </w:r>
      <w:r>
        <w:t>to</w:t>
      </w:r>
      <w:r>
        <w:rPr>
          <w:spacing w:val="-3"/>
        </w:rPr>
        <w:t xml:space="preserve"> </w:t>
      </w:r>
      <w:r>
        <w:t>QPAs</w:t>
      </w:r>
      <w:r>
        <w:rPr>
          <w:spacing w:val="-3"/>
        </w:rPr>
        <w:t xml:space="preserve"> </w:t>
      </w:r>
      <w:r>
        <w:t>along</w:t>
      </w:r>
      <w:r>
        <w:rPr>
          <w:spacing w:val="-3"/>
        </w:rPr>
        <w:t xml:space="preserve"> </w:t>
      </w:r>
      <w:r>
        <w:t>with</w:t>
      </w:r>
      <w:r>
        <w:rPr>
          <w:spacing w:val="-3"/>
        </w:rPr>
        <w:t xml:space="preserve"> </w:t>
      </w:r>
      <w:r>
        <w:t>the</w:t>
      </w:r>
      <w:r>
        <w:rPr>
          <w:spacing w:val="-3"/>
        </w:rPr>
        <w:t xml:space="preserve"> </w:t>
      </w:r>
      <w:r>
        <w:t>initial</w:t>
      </w:r>
      <w:r>
        <w:rPr>
          <w:spacing w:val="-3"/>
        </w:rPr>
        <w:t xml:space="preserve"> </w:t>
      </w:r>
      <w:r>
        <w:t>payment</w:t>
      </w:r>
      <w:r>
        <w:rPr>
          <w:spacing w:val="-3"/>
        </w:rPr>
        <w:t xml:space="preserve"> </w:t>
      </w:r>
      <w:r>
        <w:t>or</w:t>
      </w:r>
      <w:r>
        <w:rPr>
          <w:spacing w:val="-4"/>
        </w:rPr>
        <w:t xml:space="preserve"> </w:t>
      </w:r>
      <w:r>
        <w:t>notice</w:t>
      </w:r>
      <w:r>
        <w:rPr>
          <w:spacing w:val="-4"/>
        </w:rPr>
        <w:t xml:space="preserve"> </w:t>
      </w:r>
      <w:r>
        <w:t>of</w:t>
      </w:r>
      <w:r>
        <w:rPr>
          <w:spacing w:val="-3"/>
        </w:rPr>
        <w:t xml:space="preserve"> </w:t>
      </w:r>
      <w:r>
        <w:t>denial</w:t>
      </w:r>
      <w:r>
        <w:rPr>
          <w:spacing w:val="-3"/>
        </w:rPr>
        <w:t xml:space="preserve"> </w:t>
      </w:r>
      <w:r>
        <w:t>of</w:t>
      </w:r>
      <w:r>
        <w:rPr>
          <w:spacing w:val="-4"/>
        </w:rPr>
        <w:t xml:space="preserve"> </w:t>
      </w:r>
      <w:r>
        <w:t>payment</w:t>
      </w:r>
      <w:r>
        <w:rPr>
          <w:spacing w:val="-3"/>
        </w:rPr>
        <w:t xml:space="preserve"> </w:t>
      </w:r>
      <w:r>
        <w:t>for approximately 5,068,512 claims annually from nonparticipating providers or facilities.</w:t>
      </w:r>
    </w:p>
    <w:p w:rsidR="00B64E72" w14:paraId="2D4531D0" w14:textId="77777777">
      <w:pPr>
        <w:pStyle w:val="BodyText"/>
        <w:spacing w:before="4" w:line="247" w:lineRule="auto"/>
        <w:ind w:left="1531" w:right="1144"/>
      </w:pPr>
      <w:r>
        <w:t>Additionally, the Departments estimate that issuers and TPAs will be required to provide these</w:t>
      </w:r>
      <w:r>
        <w:rPr>
          <w:spacing w:val="-7"/>
        </w:rPr>
        <w:t xml:space="preserve"> </w:t>
      </w:r>
      <w:r>
        <w:t>documents</w:t>
      </w:r>
      <w:r>
        <w:rPr>
          <w:spacing w:val="-5"/>
        </w:rPr>
        <w:t xml:space="preserve"> </w:t>
      </w:r>
      <w:r>
        <w:t>for</w:t>
      </w:r>
      <w:r>
        <w:rPr>
          <w:spacing w:val="-5"/>
        </w:rPr>
        <w:t xml:space="preserve"> </w:t>
      </w:r>
      <w:r>
        <w:t>approximately</w:t>
      </w:r>
      <w:r>
        <w:rPr>
          <w:spacing w:val="-5"/>
        </w:rPr>
        <w:t xml:space="preserve"> </w:t>
      </w:r>
      <w:r>
        <w:t>49,676</w:t>
      </w:r>
      <w:r>
        <w:rPr>
          <w:spacing w:val="-5"/>
        </w:rPr>
        <w:t xml:space="preserve"> </w:t>
      </w:r>
      <w:r>
        <w:t>claims</w:t>
      </w:r>
      <w:r>
        <w:rPr>
          <w:spacing w:val="-5"/>
        </w:rPr>
        <w:t xml:space="preserve"> </w:t>
      </w:r>
      <w:r>
        <w:t>annually</w:t>
      </w:r>
      <w:r>
        <w:rPr>
          <w:spacing w:val="-5"/>
        </w:rPr>
        <w:t xml:space="preserve"> </w:t>
      </w:r>
      <w:r>
        <w:t>from</w:t>
      </w:r>
      <w:r>
        <w:rPr>
          <w:spacing w:val="-5"/>
        </w:rPr>
        <w:t xml:space="preserve"> </w:t>
      </w:r>
      <w:r>
        <w:t>nonparticipating</w:t>
      </w:r>
      <w:r>
        <w:rPr>
          <w:spacing w:val="-5"/>
        </w:rPr>
        <w:t xml:space="preserve"> </w:t>
      </w:r>
      <w:r>
        <w:t>providers of air ambulance services. As estimated in the July 2021 interim final rules, in the absence of data, the</w:t>
      </w:r>
      <w:r>
        <w:rPr>
          <w:spacing w:val="-1"/>
        </w:rPr>
        <w:t xml:space="preserve"> </w:t>
      </w:r>
      <w:r>
        <w:t>Departments assume</w:t>
      </w:r>
      <w:r>
        <w:rPr>
          <w:spacing w:val="-1"/>
        </w:rPr>
        <w:t xml:space="preserve"> </w:t>
      </w:r>
      <w:r>
        <w:t xml:space="preserve">that approximately 10 percent, or 511,819, of claims from nonparticipating providers, facilities, and providers of air ambulance services will involve </w:t>
      </w:r>
      <w:r>
        <w:t>downcoding</w:t>
      </w:r>
      <w:r>
        <w:t xml:space="preserve"> and that it will take a medical secretary 10 minutes (at an hourly rate of</w:t>
      </w:r>
    </w:p>
    <w:p w:rsidR="00B64E72" w14:paraId="5294C178" w14:textId="77777777">
      <w:pPr>
        <w:pStyle w:val="BodyText"/>
        <w:spacing w:before="6" w:line="247" w:lineRule="auto"/>
        <w:ind w:left="1531" w:right="1113"/>
      </w:pPr>
      <w:r>
        <w:t>$39.08) to prepare the required documentation and include it with each initial payment or notice of denial of payment sent to the nonparticipating provider, facility, or provider of air ambulance services. The Departments assume that this information will be sent electronically at minimal cost. The total annual burden for all issuers and TPAs to provide the</w:t>
      </w:r>
      <w:r>
        <w:rPr>
          <w:spacing w:val="-1"/>
        </w:rPr>
        <w:t xml:space="preserve"> </w:t>
      </w:r>
      <w:r>
        <w:t>downcoded</w:t>
      </w:r>
      <w:r>
        <w:t xml:space="preserve"> claims</w:t>
      </w:r>
      <w:r>
        <w:rPr>
          <w:spacing w:val="-1"/>
        </w:rPr>
        <w:t xml:space="preserve"> </w:t>
      </w:r>
      <w:r>
        <w:t>information</w:t>
      </w:r>
      <w:r>
        <w:rPr>
          <w:spacing w:val="-1"/>
        </w:rPr>
        <w:t xml:space="preserve"> </w:t>
      </w:r>
      <w:r>
        <w:t>along</w:t>
      </w:r>
      <w:r>
        <w:rPr>
          <w:spacing w:val="-1"/>
        </w:rPr>
        <w:t xml:space="preserve"> </w:t>
      </w:r>
      <w:r>
        <w:t>with</w:t>
      </w:r>
      <w:r>
        <w:rPr>
          <w:spacing w:val="-1"/>
        </w:rPr>
        <w:t xml:space="preserve"> </w:t>
      </w:r>
      <w:r>
        <w:t>payments</w:t>
      </w:r>
      <w:r>
        <w:rPr>
          <w:spacing w:val="-1"/>
        </w:rPr>
        <w:t xml:space="preserve"> </w:t>
      </w:r>
      <w:r>
        <w:t>or</w:t>
      </w:r>
      <w:r>
        <w:rPr>
          <w:spacing w:val="-1"/>
        </w:rPr>
        <w:t xml:space="preserve"> </w:t>
      </w:r>
      <w:r>
        <w:t>denial</w:t>
      </w:r>
      <w:r>
        <w:rPr>
          <w:spacing w:val="-1"/>
        </w:rPr>
        <w:t xml:space="preserve"> </w:t>
      </w:r>
      <w:r>
        <w:t>notices,</w:t>
      </w:r>
      <w:r>
        <w:rPr>
          <w:spacing w:val="-1"/>
        </w:rPr>
        <w:t xml:space="preserve"> </w:t>
      </w:r>
      <w:r>
        <w:t>is</w:t>
      </w:r>
      <w:r>
        <w:rPr>
          <w:spacing w:val="-1"/>
        </w:rPr>
        <w:t xml:space="preserve"> </w:t>
      </w:r>
      <w:r>
        <w:t>estimated</w:t>
      </w:r>
      <w:r>
        <w:rPr>
          <w:spacing w:val="-1"/>
        </w:rPr>
        <w:t xml:space="preserve"> </w:t>
      </w:r>
      <w:r>
        <w:t>to</w:t>
      </w:r>
      <w:r>
        <w:rPr>
          <w:spacing w:val="-1"/>
        </w:rPr>
        <w:t xml:space="preserve"> </w:t>
      </w:r>
      <w:r>
        <w:t>be approximately 85,303 hours, with an equivalent cost of approximately $3.3 million. As DOL, the Treasury Department and HHS share jurisdiction, HHS will account for 50 percent</w:t>
      </w:r>
      <w:r>
        <w:rPr>
          <w:spacing w:val="-3"/>
        </w:rPr>
        <w:t xml:space="preserve"> </w:t>
      </w:r>
      <w:r>
        <w:t>of</w:t>
      </w:r>
      <w:r>
        <w:rPr>
          <w:spacing w:val="-3"/>
        </w:rPr>
        <w:t xml:space="preserve"> </w:t>
      </w:r>
      <w:r>
        <w:t>the</w:t>
      </w:r>
      <w:r>
        <w:rPr>
          <w:spacing w:val="-5"/>
        </w:rPr>
        <w:t xml:space="preserve"> </w:t>
      </w:r>
      <w:r>
        <w:t>total</w:t>
      </w:r>
      <w:r>
        <w:rPr>
          <w:spacing w:val="-3"/>
        </w:rPr>
        <w:t xml:space="preserve"> </w:t>
      </w:r>
      <w:r>
        <w:t>burden,</w:t>
      </w:r>
      <w:r>
        <w:rPr>
          <w:spacing w:val="-3"/>
        </w:rPr>
        <w:t xml:space="preserve"> </w:t>
      </w:r>
      <w:r>
        <w:t>or</w:t>
      </w:r>
      <w:r>
        <w:rPr>
          <w:spacing w:val="-4"/>
        </w:rPr>
        <w:t xml:space="preserve"> </w:t>
      </w:r>
      <w:r>
        <w:t>approximately</w:t>
      </w:r>
      <w:r>
        <w:rPr>
          <w:spacing w:val="-1"/>
        </w:rPr>
        <w:t xml:space="preserve"> </w:t>
      </w:r>
      <w:r>
        <w:t>42,652</w:t>
      </w:r>
      <w:r>
        <w:rPr>
          <w:spacing w:val="-3"/>
        </w:rPr>
        <w:t xml:space="preserve"> </w:t>
      </w:r>
      <w:r>
        <w:t>burden</w:t>
      </w:r>
      <w:r>
        <w:rPr>
          <w:spacing w:val="-3"/>
        </w:rPr>
        <w:t xml:space="preserve"> </w:t>
      </w:r>
      <w:r>
        <w:t>hours</w:t>
      </w:r>
      <w:r>
        <w:rPr>
          <w:spacing w:val="-3"/>
        </w:rPr>
        <w:t xml:space="preserve"> </w:t>
      </w:r>
      <w:r>
        <w:t>with</w:t>
      </w:r>
      <w:r>
        <w:rPr>
          <w:spacing w:val="-3"/>
        </w:rPr>
        <w:t xml:space="preserve"> </w:t>
      </w:r>
      <w:r>
        <w:t>an</w:t>
      </w:r>
      <w:r>
        <w:rPr>
          <w:spacing w:val="-2"/>
        </w:rPr>
        <w:t xml:space="preserve"> </w:t>
      </w:r>
      <w:r>
        <w:t>equivalent</w:t>
      </w:r>
      <w:r>
        <w:rPr>
          <w:spacing w:val="-3"/>
        </w:rPr>
        <w:t xml:space="preserve"> </w:t>
      </w:r>
      <w:r>
        <w:t>cost</w:t>
      </w:r>
      <w:r>
        <w:rPr>
          <w:spacing w:val="-3"/>
        </w:rPr>
        <w:t xml:space="preserve"> </w:t>
      </w:r>
      <w:r>
        <w:t>of approximately $1.7 million.</w:t>
      </w:r>
    </w:p>
    <w:p w:rsidR="00B64E72" w14:paraId="2FCEE852" w14:textId="77777777">
      <w:pPr>
        <w:pStyle w:val="BodyText"/>
        <w:spacing w:before="22"/>
      </w:pPr>
    </w:p>
    <w:p w:rsidR="00B64E72" w14:paraId="2FB34F75" w14:textId="77777777">
      <w:pPr>
        <w:pStyle w:val="BodyText"/>
        <w:spacing w:line="259" w:lineRule="auto"/>
        <w:ind w:left="1512" w:right="1369"/>
      </w:pPr>
      <w:bookmarkStart w:id="168" w:name="The_total_annual_burden_for_all_issuers_"/>
      <w:bookmarkEnd w:id="168"/>
      <w:r>
        <w:t>The total annual burden for all issuers and TPAs for providing the initial and additional information</w:t>
      </w:r>
      <w:r>
        <w:rPr>
          <w:spacing w:val="-4"/>
        </w:rPr>
        <w:t xml:space="preserve"> </w:t>
      </w:r>
      <w:r>
        <w:t>related</w:t>
      </w:r>
      <w:r>
        <w:rPr>
          <w:spacing w:val="-4"/>
        </w:rPr>
        <w:t xml:space="preserve"> </w:t>
      </w:r>
      <w:r>
        <w:t>to</w:t>
      </w:r>
      <w:r>
        <w:rPr>
          <w:spacing w:val="-4"/>
        </w:rPr>
        <w:t xml:space="preserve"> </w:t>
      </w:r>
      <w:r>
        <w:t>QPA,</w:t>
      </w:r>
      <w:r>
        <w:rPr>
          <w:spacing w:val="-4"/>
        </w:rPr>
        <w:t xml:space="preserve"> </w:t>
      </w:r>
      <w:r>
        <w:t>including</w:t>
      </w:r>
      <w:r>
        <w:rPr>
          <w:spacing w:val="-4"/>
        </w:rPr>
        <w:t xml:space="preserve"> </w:t>
      </w:r>
      <w:r>
        <w:t>information</w:t>
      </w:r>
      <w:r>
        <w:rPr>
          <w:spacing w:val="-4"/>
        </w:rPr>
        <w:t xml:space="preserve"> </w:t>
      </w:r>
      <w:r>
        <w:t>related</w:t>
      </w:r>
      <w:r>
        <w:rPr>
          <w:spacing w:val="-4"/>
        </w:rPr>
        <w:t xml:space="preserve"> </w:t>
      </w:r>
      <w:r>
        <w:t>to</w:t>
      </w:r>
      <w:r>
        <w:rPr>
          <w:spacing w:val="-4"/>
        </w:rPr>
        <w:t xml:space="preserve"> </w:t>
      </w:r>
      <w:r>
        <w:t>downcoded</w:t>
      </w:r>
      <w:r>
        <w:rPr>
          <w:spacing w:val="-4"/>
        </w:rPr>
        <w:t xml:space="preserve"> </w:t>
      </w:r>
      <w:r>
        <w:t>claims,</w:t>
      </w:r>
      <w:r>
        <w:rPr>
          <w:spacing w:val="-2"/>
        </w:rPr>
        <w:t xml:space="preserve"> </w:t>
      </w:r>
      <w:r>
        <w:t>with</w:t>
      </w:r>
      <w:r>
        <w:rPr>
          <w:spacing w:val="-4"/>
        </w:rPr>
        <w:t xml:space="preserve"> </w:t>
      </w:r>
      <w:r>
        <w:t>the initial payment or notice of denial of payment to a nonparticipating provider, facility or provider of air ambulance services will be 1,578,108 hours, with an equivalent cost of</w:t>
      </w:r>
    </w:p>
    <w:p w:rsidR="00B64E72" w14:paraId="0CFC01CA" w14:textId="77777777">
      <w:pPr>
        <w:pStyle w:val="BodyText"/>
        <w:spacing w:before="1" w:line="259" w:lineRule="auto"/>
        <w:ind w:left="1512" w:right="1099"/>
      </w:pPr>
      <w:r>
        <w:t>$61,672,463. As DOL, the Treasury Department and HHS share jurisdiction, HHS will account</w:t>
      </w:r>
      <w:r>
        <w:rPr>
          <w:spacing w:val="-3"/>
        </w:rPr>
        <w:t xml:space="preserve"> </w:t>
      </w:r>
      <w:r>
        <w:t>for</w:t>
      </w:r>
      <w:r>
        <w:rPr>
          <w:spacing w:val="-3"/>
        </w:rPr>
        <w:t xml:space="preserve"> </w:t>
      </w:r>
      <w:r>
        <w:t>50</w:t>
      </w:r>
      <w:r>
        <w:rPr>
          <w:spacing w:val="-3"/>
        </w:rPr>
        <w:t xml:space="preserve"> </w:t>
      </w:r>
      <w:r>
        <w:t>percent</w:t>
      </w:r>
      <w:r>
        <w:rPr>
          <w:spacing w:val="-3"/>
        </w:rPr>
        <w:t xml:space="preserve"> </w:t>
      </w:r>
      <w:r>
        <w:t>of</w:t>
      </w:r>
      <w:r>
        <w:rPr>
          <w:spacing w:val="-2"/>
        </w:rPr>
        <w:t xml:space="preserve"> </w:t>
      </w:r>
      <w:r>
        <w:t>the</w:t>
      </w:r>
      <w:r>
        <w:rPr>
          <w:spacing w:val="-2"/>
        </w:rPr>
        <w:t xml:space="preserve"> </w:t>
      </w:r>
      <w:r>
        <w:t>total</w:t>
      </w:r>
      <w:r>
        <w:rPr>
          <w:spacing w:val="-3"/>
        </w:rPr>
        <w:t xml:space="preserve"> </w:t>
      </w:r>
      <w:r>
        <w:t>burden,</w:t>
      </w:r>
      <w:r>
        <w:rPr>
          <w:spacing w:val="-3"/>
        </w:rPr>
        <w:t xml:space="preserve"> </w:t>
      </w:r>
      <w:r>
        <w:t>or</w:t>
      </w:r>
      <w:r>
        <w:rPr>
          <w:spacing w:val="-4"/>
        </w:rPr>
        <w:t xml:space="preserve"> </w:t>
      </w:r>
      <w:r>
        <w:t>approximately</w:t>
      </w:r>
      <w:r>
        <w:rPr>
          <w:spacing w:val="-2"/>
        </w:rPr>
        <w:t xml:space="preserve"> </w:t>
      </w:r>
      <w:r>
        <w:t>789,054</w:t>
      </w:r>
      <w:r>
        <w:rPr>
          <w:spacing w:val="-3"/>
        </w:rPr>
        <w:t xml:space="preserve"> </w:t>
      </w:r>
      <w:r>
        <w:t>burden</w:t>
      </w:r>
      <w:r>
        <w:rPr>
          <w:spacing w:val="-3"/>
        </w:rPr>
        <w:t xml:space="preserve"> </w:t>
      </w:r>
      <w:r>
        <w:t>hours</w:t>
      </w:r>
      <w:r>
        <w:rPr>
          <w:spacing w:val="-3"/>
        </w:rPr>
        <w:t xml:space="preserve"> </w:t>
      </w:r>
      <w:r>
        <w:t>with</w:t>
      </w:r>
      <w:r>
        <w:rPr>
          <w:spacing w:val="-3"/>
        </w:rPr>
        <w:t xml:space="preserve"> </w:t>
      </w:r>
      <w:r>
        <w:t>an equivalent cost of approximately $30,836,231.</w:t>
      </w:r>
    </w:p>
    <w:p w:rsidR="00B64E72" w14:paraId="3ADD6465" w14:textId="77777777">
      <w:pPr>
        <w:pStyle w:val="BodyText"/>
        <w:spacing w:line="259" w:lineRule="auto"/>
        <w:sectPr>
          <w:pgSz w:w="12240" w:h="15840"/>
          <w:pgMar w:top="1360" w:right="360" w:bottom="1280" w:left="360" w:header="0" w:footer="1094" w:gutter="0"/>
          <w:cols w:space="720"/>
        </w:sectPr>
      </w:pPr>
    </w:p>
    <w:p w:rsidR="00B64E72" w14:paraId="5A615181" w14:textId="77777777">
      <w:pPr>
        <w:pStyle w:val="Heading1"/>
        <w:spacing w:before="79" w:line="247" w:lineRule="auto"/>
      </w:pPr>
      <w:bookmarkStart w:id="169" w:name="TABLE_2:_Annual_Burden_and_Cost_for_Plan"/>
      <w:bookmarkEnd w:id="169"/>
      <w:r>
        <w:t>TABLE</w:t>
      </w:r>
      <w:r>
        <w:rPr>
          <w:spacing w:val="-2"/>
        </w:rPr>
        <w:t xml:space="preserve"> </w:t>
      </w:r>
      <w:r>
        <w:t>2:</w:t>
      </w:r>
      <w:r>
        <w:rPr>
          <w:spacing w:val="-3"/>
        </w:rPr>
        <w:t xml:space="preserve"> </w:t>
      </w:r>
      <w:r>
        <w:t>Annual</w:t>
      </w:r>
      <w:r>
        <w:rPr>
          <w:spacing w:val="-3"/>
        </w:rPr>
        <w:t xml:space="preserve"> </w:t>
      </w:r>
      <w:r>
        <w:t>Burden</w:t>
      </w:r>
      <w:r>
        <w:rPr>
          <w:spacing w:val="-3"/>
        </w:rPr>
        <w:t xml:space="preserve"> </w:t>
      </w:r>
      <w:r>
        <w:t>and</w:t>
      </w:r>
      <w:r>
        <w:rPr>
          <w:spacing w:val="-3"/>
        </w:rPr>
        <w:t xml:space="preserve"> </w:t>
      </w:r>
      <w:r>
        <w:t>Cost</w:t>
      </w:r>
      <w:r>
        <w:rPr>
          <w:spacing w:val="-4"/>
        </w:rPr>
        <w:t xml:space="preserve"> </w:t>
      </w:r>
      <w:r>
        <w:t>for</w:t>
      </w:r>
      <w:r>
        <w:rPr>
          <w:spacing w:val="-5"/>
        </w:rPr>
        <w:t xml:space="preserve"> </w:t>
      </w:r>
      <w:r>
        <w:t>Plans</w:t>
      </w:r>
      <w:r>
        <w:rPr>
          <w:spacing w:val="-6"/>
        </w:rPr>
        <w:t xml:space="preserve"> </w:t>
      </w:r>
      <w:r>
        <w:t>and</w:t>
      </w:r>
      <w:r>
        <w:rPr>
          <w:spacing w:val="-3"/>
        </w:rPr>
        <w:t xml:space="preserve"> </w:t>
      </w:r>
      <w:r>
        <w:t>Issuers</w:t>
      </w:r>
      <w:r>
        <w:rPr>
          <w:spacing w:val="-3"/>
        </w:rPr>
        <w:t xml:space="preserve"> </w:t>
      </w:r>
      <w:r>
        <w:t>to</w:t>
      </w:r>
      <w:r>
        <w:rPr>
          <w:spacing w:val="-3"/>
        </w:rPr>
        <w:t xml:space="preserve"> </w:t>
      </w:r>
      <w:r>
        <w:t>Provide</w:t>
      </w:r>
      <w:r>
        <w:rPr>
          <w:spacing w:val="-4"/>
        </w:rPr>
        <w:t xml:space="preserve"> </w:t>
      </w:r>
      <w:r>
        <w:t>Information Related to the QPA to Nonparticipating Providers, Emergency Facilities, and Providers of Air Ambulance Services</w:t>
      </w:r>
    </w:p>
    <w:p w:rsidR="00B64E72" w14:paraId="6280A165" w14:textId="77777777">
      <w:pPr>
        <w:pStyle w:val="BodyText"/>
        <w:spacing w:before="63"/>
        <w:rPr>
          <w:b/>
          <w:sz w:val="20"/>
        </w:rPr>
      </w:pPr>
    </w:p>
    <w:tbl>
      <w:tblPr>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92"/>
        <w:gridCol w:w="2051"/>
        <w:gridCol w:w="2046"/>
        <w:gridCol w:w="1006"/>
        <w:gridCol w:w="1532"/>
        <w:gridCol w:w="2382"/>
      </w:tblGrid>
      <w:tr w14:paraId="194ACAC1" w14:textId="77777777">
        <w:tblPrEx>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52"/>
        </w:trPr>
        <w:tc>
          <w:tcPr>
            <w:tcW w:w="1892" w:type="dxa"/>
          </w:tcPr>
          <w:p w:rsidR="00B64E72" w14:paraId="7BBC903B" w14:textId="77777777">
            <w:pPr>
              <w:pStyle w:val="TableParagraph"/>
            </w:pPr>
          </w:p>
        </w:tc>
        <w:tc>
          <w:tcPr>
            <w:tcW w:w="2051" w:type="dxa"/>
          </w:tcPr>
          <w:p w:rsidR="00B64E72" w14:paraId="0BF620E5" w14:textId="77777777">
            <w:pPr>
              <w:pStyle w:val="TableParagraph"/>
              <w:spacing w:before="7"/>
              <w:rPr>
                <w:b/>
                <w:sz w:val="20"/>
              </w:rPr>
            </w:pPr>
          </w:p>
          <w:p w:rsidR="00B64E72" w14:paraId="7C58B599" w14:textId="77777777">
            <w:pPr>
              <w:pStyle w:val="TableParagraph"/>
              <w:spacing w:before="1" w:line="247" w:lineRule="auto"/>
              <w:ind w:left="508" w:hanging="356"/>
              <w:rPr>
                <w:sz w:val="20"/>
              </w:rPr>
            </w:pPr>
            <w:r>
              <w:rPr>
                <w:sz w:val="20"/>
              </w:rPr>
              <w:t>Estimated</w:t>
            </w:r>
            <w:r>
              <w:rPr>
                <w:spacing w:val="-13"/>
                <w:sz w:val="20"/>
              </w:rPr>
              <w:t xml:space="preserve"> </w:t>
            </w:r>
            <w:r>
              <w:rPr>
                <w:sz w:val="20"/>
              </w:rPr>
              <w:t>Number</w:t>
            </w:r>
            <w:r>
              <w:rPr>
                <w:spacing w:val="-12"/>
                <w:sz w:val="20"/>
              </w:rPr>
              <w:t xml:space="preserve"> </w:t>
            </w:r>
            <w:r>
              <w:rPr>
                <w:sz w:val="20"/>
              </w:rPr>
              <w:t xml:space="preserve">of </w:t>
            </w:r>
            <w:r>
              <w:rPr>
                <w:spacing w:val="-2"/>
                <w:sz w:val="20"/>
              </w:rPr>
              <w:t>Respondents</w:t>
            </w:r>
          </w:p>
        </w:tc>
        <w:tc>
          <w:tcPr>
            <w:tcW w:w="2046" w:type="dxa"/>
          </w:tcPr>
          <w:p w:rsidR="00B64E72" w14:paraId="723BA890" w14:textId="77777777">
            <w:pPr>
              <w:pStyle w:val="TableParagraph"/>
              <w:spacing w:before="7"/>
              <w:rPr>
                <w:b/>
                <w:sz w:val="20"/>
              </w:rPr>
            </w:pPr>
          </w:p>
          <w:p w:rsidR="00B64E72" w14:paraId="75BE916C" w14:textId="77777777">
            <w:pPr>
              <w:pStyle w:val="TableParagraph"/>
              <w:spacing w:before="1" w:line="247" w:lineRule="auto"/>
              <w:ind w:left="593" w:hanging="444"/>
              <w:rPr>
                <w:sz w:val="20"/>
              </w:rPr>
            </w:pPr>
            <w:r>
              <w:rPr>
                <w:sz w:val="20"/>
              </w:rPr>
              <w:t>Estimated</w:t>
            </w:r>
            <w:r>
              <w:rPr>
                <w:spacing w:val="-13"/>
                <w:sz w:val="20"/>
              </w:rPr>
              <w:t xml:space="preserve"> </w:t>
            </w:r>
            <w:r>
              <w:rPr>
                <w:sz w:val="20"/>
              </w:rPr>
              <w:t>Number</w:t>
            </w:r>
            <w:r>
              <w:rPr>
                <w:spacing w:val="-12"/>
                <w:sz w:val="20"/>
              </w:rPr>
              <w:t xml:space="preserve"> </w:t>
            </w:r>
            <w:r>
              <w:rPr>
                <w:sz w:val="20"/>
              </w:rPr>
              <w:t xml:space="preserve">of </w:t>
            </w:r>
            <w:r>
              <w:rPr>
                <w:spacing w:val="-2"/>
                <w:sz w:val="20"/>
              </w:rPr>
              <w:t>Responses</w:t>
            </w:r>
          </w:p>
        </w:tc>
        <w:tc>
          <w:tcPr>
            <w:tcW w:w="1006" w:type="dxa"/>
          </w:tcPr>
          <w:p w:rsidR="00B64E72" w14:paraId="2ADDD8D7" w14:textId="77777777">
            <w:pPr>
              <w:pStyle w:val="TableParagraph"/>
              <w:spacing w:line="247" w:lineRule="auto"/>
              <w:ind w:left="112" w:right="116" w:hanging="9"/>
              <w:jc w:val="center"/>
              <w:rPr>
                <w:sz w:val="20"/>
              </w:rPr>
            </w:pPr>
            <w:r>
              <w:rPr>
                <w:spacing w:val="-2"/>
                <w:sz w:val="20"/>
              </w:rPr>
              <w:t xml:space="preserve">Burden </w:t>
            </w:r>
            <w:r>
              <w:rPr>
                <w:spacing w:val="-4"/>
                <w:sz w:val="20"/>
              </w:rPr>
              <w:t xml:space="preserve">per </w:t>
            </w:r>
            <w:r>
              <w:rPr>
                <w:spacing w:val="-2"/>
                <w:sz w:val="20"/>
              </w:rPr>
              <w:t>Response</w:t>
            </w:r>
          </w:p>
          <w:p w:rsidR="00B64E72" w14:paraId="1BD48CA5" w14:textId="77777777">
            <w:pPr>
              <w:pStyle w:val="TableParagraph"/>
              <w:spacing w:before="2" w:line="219" w:lineRule="exact"/>
              <w:ind w:left="8" w:right="9"/>
              <w:jc w:val="center"/>
              <w:rPr>
                <w:sz w:val="20"/>
              </w:rPr>
            </w:pPr>
            <w:r>
              <w:rPr>
                <w:spacing w:val="-2"/>
                <w:sz w:val="20"/>
              </w:rPr>
              <w:t>(Hours)</w:t>
            </w:r>
          </w:p>
        </w:tc>
        <w:tc>
          <w:tcPr>
            <w:tcW w:w="1532" w:type="dxa"/>
          </w:tcPr>
          <w:p w:rsidR="00B64E72" w14:paraId="442455EE" w14:textId="77777777">
            <w:pPr>
              <w:pStyle w:val="TableParagraph"/>
              <w:spacing w:before="7"/>
              <w:rPr>
                <w:b/>
                <w:sz w:val="20"/>
              </w:rPr>
            </w:pPr>
          </w:p>
          <w:p w:rsidR="00B64E72" w14:paraId="410169F2" w14:textId="77777777">
            <w:pPr>
              <w:pStyle w:val="TableParagraph"/>
              <w:spacing w:before="1" w:line="247" w:lineRule="auto"/>
              <w:ind w:left="124" w:right="130" w:firstLine="98"/>
              <w:rPr>
                <w:sz w:val="20"/>
              </w:rPr>
            </w:pPr>
            <w:r>
              <w:rPr>
                <w:sz w:val="20"/>
              </w:rPr>
              <w:t>Total Annual Burden</w:t>
            </w:r>
            <w:r>
              <w:rPr>
                <w:spacing w:val="-13"/>
                <w:sz w:val="20"/>
              </w:rPr>
              <w:t xml:space="preserve"> </w:t>
            </w:r>
            <w:r>
              <w:rPr>
                <w:sz w:val="20"/>
              </w:rPr>
              <w:t>(Hours)</w:t>
            </w:r>
          </w:p>
        </w:tc>
        <w:tc>
          <w:tcPr>
            <w:tcW w:w="2382" w:type="dxa"/>
          </w:tcPr>
          <w:p w:rsidR="00B64E72" w14:paraId="6E4A44A0" w14:textId="77777777">
            <w:pPr>
              <w:pStyle w:val="TableParagraph"/>
              <w:spacing w:before="125"/>
              <w:rPr>
                <w:b/>
                <w:sz w:val="20"/>
              </w:rPr>
            </w:pPr>
          </w:p>
          <w:p w:rsidR="00B64E72" w14:paraId="3237948E" w14:textId="77777777">
            <w:pPr>
              <w:pStyle w:val="TableParagraph"/>
              <w:ind w:right="13"/>
              <w:jc w:val="center"/>
              <w:rPr>
                <w:sz w:val="20"/>
              </w:rPr>
            </w:pPr>
            <w:r>
              <w:rPr>
                <w:sz w:val="20"/>
              </w:rPr>
              <w:t>Total</w:t>
            </w:r>
            <w:r>
              <w:rPr>
                <w:spacing w:val="-7"/>
                <w:sz w:val="20"/>
              </w:rPr>
              <w:t xml:space="preserve"> </w:t>
            </w:r>
            <w:r>
              <w:rPr>
                <w:sz w:val="20"/>
              </w:rPr>
              <w:t>Estimated</w:t>
            </w:r>
            <w:r>
              <w:rPr>
                <w:spacing w:val="-5"/>
                <w:sz w:val="20"/>
              </w:rPr>
              <w:t xml:space="preserve"> </w:t>
            </w:r>
            <w:r>
              <w:rPr>
                <w:spacing w:val="-4"/>
                <w:sz w:val="20"/>
              </w:rPr>
              <w:t>Cost</w:t>
            </w:r>
          </w:p>
        </w:tc>
      </w:tr>
      <w:tr w14:paraId="1FBAC627" w14:textId="77777777">
        <w:tblPrEx>
          <w:tblW w:w="0" w:type="auto"/>
          <w:tblInd w:w="314" w:type="dxa"/>
          <w:tblLayout w:type="fixed"/>
          <w:tblCellMar>
            <w:left w:w="0" w:type="dxa"/>
            <w:right w:w="0" w:type="dxa"/>
          </w:tblCellMar>
          <w:tblLook w:val="01E0"/>
        </w:tblPrEx>
        <w:trPr>
          <w:trHeight w:val="477"/>
        </w:trPr>
        <w:tc>
          <w:tcPr>
            <w:tcW w:w="1892" w:type="dxa"/>
          </w:tcPr>
          <w:p w:rsidR="00B64E72" w14:paraId="6551064F" w14:textId="77777777">
            <w:pPr>
              <w:pStyle w:val="TableParagraph"/>
              <w:ind w:left="474"/>
              <w:rPr>
                <w:sz w:val="20"/>
              </w:rPr>
            </w:pPr>
            <w:bookmarkStart w:id="170" w:name="Initial_QPA_Information_"/>
            <w:bookmarkEnd w:id="170"/>
            <w:r>
              <w:rPr>
                <w:sz w:val="20"/>
              </w:rPr>
              <w:t>Initial</w:t>
            </w:r>
            <w:r>
              <w:rPr>
                <w:spacing w:val="-3"/>
                <w:sz w:val="20"/>
              </w:rPr>
              <w:t xml:space="preserve"> </w:t>
            </w:r>
            <w:r>
              <w:rPr>
                <w:spacing w:val="-5"/>
                <w:sz w:val="20"/>
              </w:rPr>
              <w:t>QPA</w:t>
            </w:r>
          </w:p>
          <w:p w:rsidR="00B64E72" w14:paraId="706BE761" w14:textId="77777777">
            <w:pPr>
              <w:pStyle w:val="TableParagraph"/>
              <w:spacing w:before="8" w:line="219" w:lineRule="exact"/>
              <w:ind w:left="460"/>
              <w:rPr>
                <w:sz w:val="20"/>
              </w:rPr>
            </w:pPr>
            <w:r>
              <w:rPr>
                <w:spacing w:val="-2"/>
                <w:sz w:val="20"/>
              </w:rPr>
              <w:t>Information</w:t>
            </w:r>
          </w:p>
        </w:tc>
        <w:tc>
          <w:tcPr>
            <w:tcW w:w="2051" w:type="dxa"/>
          </w:tcPr>
          <w:p w:rsidR="00B64E72" w14:paraId="7698568B" w14:textId="77777777">
            <w:pPr>
              <w:pStyle w:val="TableParagraph"/>
              <w:spacing w:before="120"/>
              <w:ind w:right="9"/>
              <w:jc w:val="center"/>
              <w:rPr>
                <w:sz w:val="20"/>
              </w:rPr>
            </w:pPr>
            <w:r>
              <w:rPr>
                <w:spacing w:val="-5"/>
                <w:sz w:val="20"/>
              </w:rPr>
              <w:t>837</w:t>
            </w:r>
          </w:p>
        </w:tc>
        <w:tc>
          <w:tcPr>
            <w:tcW w:w="2046" w:type="dxa"/>
          </w:tcPr>
          <w:p w:rsidR="00B64E72" w14:paraId="4D3CF853" w14:textId="77777777">
            <w:pPr>
              <w:pStyle w:val="TableParagraph"/>
              <w:spacing w:before="120"/>
              <w:ind w:right="13"/>
              <w:jc w:val="center"/>
              <w:rPr>
                <w:sz w:val="20"/>
              </w:rPr>
            </w:pPr>
            <w:bookmarkStart w:id="171" w:name="2,534,256_"/>
            <w:bookmarkEnd w:id="171"/>
            <w:r>
              <w:rPr>
                <w:spacing w:val="-2"/>
                <w:sz w:val="20"/>
              </w:rPr>
              <w:t>2,534,256</w:t>
            </w:r>
          </w:p>
        </w:tc>
        <w:tc>
          <w:tcPr>
            <w:tcW w:w="1006" w:type="dxa"/>
          </w:tcPr>
          <w:p w:rsidR="00B64E72" w14:paraId="370F5C4C" w14:textId="77777777">
            <w:pPr>
              <w:pStyle w:val="TableParagraph"/>
              <w:spacing w:before="120"/>
              <w:ind w:right="9"/>
              <w:jc w:val="center"/>
              <w:rPr>
                <w:sz w:val="20"/>
              </w:rPr>
            </w:pPr>
            <w:r>
              <w:rPr>
                <w:spacing w:val="-2"/>
                <w:sz w:val="20"/>
              </w:rPr>
              <w:t>0.167</w:t>
            </w:r>
          </w:p>
        </w:tc>
        <w:tc>
          <w:tcPr>
            <w:tcW w:w="1532" w:type="dxa"/>
          </w:tcPr>
          <w:p w:rsidR="00B64E72" w14:paraId="6354A8C6" w14:textId="77777777">
            <w:pPr>
              <w:pStyle w:val="TableParagraph"/>
              <w:spacing w:before="120"/>
              <w:ind w:right="10"/>
              <w:jc w:val="center"/>
              <w:rPr>
                <w:sz w:val="20"/>
              </w:rPr>
            </w:pPr>
            <w:bookmarkStart w:id="172" w:name="426,516_"/>
            <w:bookmarkEnd w:id="172"/>
            <w:r>
              <w:rPr>
                <w:spacing w:val="-2"/>
                <w:sz w:val="20"/>
              </w:rPr>
              <w:t>426,516</w:t>
            </w:r>
          </w:p>
        </w:tc>
        <w:tc>
          <w:tcPr>
            <w:tcW w:w="2382" w:type="dxa"/>
          </w:tcPr>
          <w:p w:rsidR="00B64E72" w14:paraId="41DB939D" w14:textId="77777777">
            <w:pPr>
              <w:pStyle w:val="TableParagraph"/>
              <w:spacing w:before="120"/>
              <w:ind w:left="2" w:right="13"/>
              <w:jc w:val="center"/>
              <w:rPr>
                <w:sz w:val="20"/>
              </w:rPr>
            </w:pPr>
            <w:bookmarkStart w:id="173" w:name="$16,668,233_"/>
            <w:bookmarkEnd w:id="173"/>
            <w:r>
              <w:rPr>
                <w:spacing w:val="-2"/>
                <w:sz w:val="20"/>
              </w:rPr>
              <w:t>$16,668,233</w:t>
            </w:r>
          </w:p>
        </w:tc>
      </w:tr>
      <w:tr w14:paraId="6B214B3E" w14:textId="77777777">
        <w:tblPrEx>
          <w:tblW w:w="0" w:type="auto"/>
          <w:tblInd w:w="314" w:type="dxa"/>
          <w:tblLayout w:type="fixed"/>
          <w:tblCellMar>
            <w:left w:w="0" w:type="dxa"/>
            <w:right w:w="0" w:type="dxa"/>
          </w:tblCellMar>
          <w:tblLook w:val="01E0"/>
        </w:tblPrEx>
        <w:trPr>
          <w:trHeight w:val="479"/>
        </w:trPr>
        <w:tc>
          <w:tcPr>
            <w:tcW w:w="1892" w:type="dxa"/>
          </w:tcPr>
          <w:p w:rsidR="00B64E72" w14:paraId="5B509105" w14:textId="77777777">
            <w:pPr>
              <w:pStyle w:val="TableParagraph"/>
              <w:spacing w:before="2"/>
              <w:ind w:right="4"/>
              <w:jc w:val="center"/>
              <w:rPr>
                <w:sz w:val="20"/>
              </w:rPr>
            </w:pPr>
            <w:bookmarkStart w:id="174" w:name="Information_related_to_downcoding_"/>
            <w:bookmarkEnd w:id="174"/>
            <w:r>
              <w:rPr>
                <w:sz w:val="20"/>
              </w:rPr>
              <w:t>Information</w:t>
            </w:r>
            <w:r>
              <w:rPr>
                <w:spacing w:val="-8"/>
                <w:sz w:val="20"/>
              </w:rPr>
              <w:t xml:space="preserve"> </w:t>
            </w:r>
            <w:r>
              <w:rPr>
                <w:spacing w:val="-2"/>
                <w:sz w:val="20"/>
              </w:rPr>
              <w:t>related</w:t>
            </w:r>
          </w:p>
          <w:p w:rsidR="00B64E72" w14:paraId="3CD85844" w14:textId="77777777">
            <w:pPr>
              <w:pStyle w:val="TableParagraph"/>
              <w:spacing w:before="8" w:line="219" w:lineRule="exact"/>
              <w:ind w:left="1" w:right="4"/>
              <w:jc w:val="center"/>
              <w:rPr>
                <w:sz w:val="20"/>
              </w:rPr>
            </w:pPr>
            <w:r>
              <w:rPr>
                <w:sz w:val="20"/>
              </w:rPr>
              <w:t>to</w:t>
            </w:r>
            <w:r>
              <w:rPr>
                <w:spacing w:val="-1"/>
                <w:sz w:val="20"/>
              </w:rPr>
              <w:t xml:space="preserve"> </w:t>
            </w:r>
            <w:r>
              <w:rPr>
                <w:spacing w:val="-2"/>
                <w:sz w:val="20"/>
              </w:rPr>
              <w:t>downcoding</w:t>
            </w:r>
          </w:p>
        </w:tc>
        <w:tc>
          <w:tcPr>
            <w:tcW w:w="2051" w:type="dxa"/>
          </w:tcPr>
          <w:p w:rsidR="00B64E72" w14:paraId="52BEEE50" w14:textId="77777777">
            <w:pPr>
              <w:pStyle w:val="TableParagraph"/>
              <w:spacing w:before="120"/>
              <w:ind w:right="9"/>
              <w:jc w:val="center"/>
              <w:rPr>
                <w:sz w:val="20"/>
              </w:rPr>
            </w:pPr>
            <w:r>
              <w:rPr>
                <w:spacing w:val="-5"/>
                <w:sz w:val="20"/>
              </w:rPr>
              <w:t>837</w:t>
            </w:r>
          </w:p>
        </w:tc>
        <w:tc>
          <w:tcPr>
            <w:tcW w:w="2046" w:type="dxa"/>
          </w:tcPr>
          <w:p w:rsidR="00B64E72" w14:paraId="01C94317" w14:textId="77777777">
            <w:pPr>
              <w:pStyle w:val="TableParagraph"/>
              <w:spacing w:before="120"/>
              <w:ind w:right="13"/>
              <w:jc w:val="center"/>
              <w:rPr>
                <w:sz w:val="20"/>
              </w:rPr>
            </w:pPr>
            <w:bookmarkStart w:id="175" w:name="255,909_"/>
            <w:bookmarkEnd w:id="175"/>
            <w:r>
              <w:rPr>
                <w:spacing w:val="-2"/>
                <w:sz w:val="20"/>
              </w:rPr>
              <w:t>255,909</w:t>
            </w:r>
          </w:p>
        </w:tc>
        <w:tc>
          <w:tcPr>
            <w:tcW w:w="1006" w:type="dxa"/>
          </w:tcPr>
          <w:p w:rsidR="00B64E72" w14:paraId="211F7C89" w14:textId="77777777">
            <w:pPr>
              <w:pStyle w:val="TableParagraph"/>
              <w:spacing w:before="120"/>
              <w:ind w:right="9"/>
              <w:jc w:val="center"/>
              <w:rPr>
                <w:sz w:val="20"/>
              </w:rPr>
            </w:pPr>
            <w:bookmarkStart w:id="176" w:name="0.167_"/>
            <w:bookmarkEnd w:id="176"/>
            <w:r>
              <w:rPr>
                <w:spacing w:val="-2"/>
                <w:sz w:val="20"/>
              </w:rPr>
              <w:t>0.167</w:t>
            </w:r>
          </w:p>
        </w:tc>
        <w:tc>
          <w:tcPr>
            <w:tcW w:w="1532" w:type="dxa"/>
          </w:tcPr>
          <w:p w:rsidR="00B64E72" w14:paraId="4FF94992" w14:textId="77777777">
            <w:pPr>
              <w:pStyle w:val="TableParagraph"/>
              <w:spacing w:before="120"/>
              <w:ind w:right="10"/>
              <w:jc w:val="center"/>
              <w:rPr>
                <w:sz w:val="20"/>
              </w:rPr>
            </w:pPr>
            <w:bookmarkStart w:id="177" w:name="42,652_"/>
            <w:bookmarkEnd w:id="177"/>
            <w:r>
              <w:rPr>
                <w:spacing w:val="-2"/>
                <w:sz w:val="20"/>
              </w:rPr>
              <w:t>42,652</w:t>
            </w:r>
          </w:p>
        </w:tc>
        <w:tc>
          <w:tcPr>
            <w:tcW w:w="2382" w:type="dxa"/>
          </w:tcPr>
          <w:p w:rsidR="00B64E72" w14:paraId="2988408E" w14:textId="77777777">
            <w:pPr>
              <w:pStyle w:val="TableParagraph"/>
              <w:spacing w:before="120"/>
              <w:ind w:left="2" w:right="13"/>
              <w:jc w:val="center"/>
              <w:rPr>
                <w:sz w:val="20"/>
              </w:rPr>
            </w:pPr>
            <w:bookmarkStart w:id="178" w:name="$1,666,823_"/>
            <w:bookmarkEnd w:id="178"/>
            <w:r>
              <w:rPr>
                <w:spacing w:val="-2"/>
                <w:sz w:val="20"/>
              </w:rPr>
              <w:t>$1,666,823</w:t>
            </w:r>
          </w:p>
        </w:tc>
      </w:tr>
      <w:tr w14:paraId="1D48111C" w14:textId="77777777">
        <w:tblPrEx>
          <w:tblW w:w="0" w:type="auto"/>
          <w:tblInd w:w="314" w:type="dxa"/>
          <w:tblLayout w:type="fixed"/>
          <w:tblCellMar>
            <w:left w:w="0" w:type="dxa"/>
            <w:right w:w="0" w:type="dxa"/>
          </w:tblCellMar>
          <w:tblLook w:val="01E0"/>
        </w:tblPrEx>
        <w:trPr>
          <w:trHeight w:val="477"/>
        </w:trPr>
        <w:tc>
          <w:tcPr>
            <w:tcW w:w="1892" w:type="dxa"/>
          </w:tcPr>
          <w:p w:rsidR="00B64E72" w14:paraId="77508A8C" w14:textId="77777777">
            <w:pPr>
              <w:pStyle w:val="TableParagraph"/>
              <w:ind w:left="508"/>
              <w:rPr>
                <w:sz w:val="20"/>
              </w:rPr>
            </w:pPr>
            <w:bookmarkStart w:id="179" w:name="Additional_Information_"/>
            <w:bookmarkEnd w:id="179"/>
            <w:r>
              <w:rPr>
                <w:spacing w:val="-2"/>
                <w:sz w:val="20"/>
              </w:rPr>
              <w:t>Additional</w:t>
            </w:r>
          </w:p>
          <w:p w:rsidR="00B64E72" w14:paraId="67E014F8" w14:textId="77777777">
            <w:pPr>
              <w:pStyle w:val="TableParagraph"/>
              <w:spacing w:before="8" w:line="219" w:lineRule="exact"/>
              <w:ind w:left="460"/>
              <w:rPr>
                <w:sz w:val="20"/>
              </w:rPr>
            </w:pPr>
            <w:r>
              <w:rPr>
                <w:spacing w:val="-2"/>
                <w:sz w:val="20"/>
              </w:rPr>
              <w:t>Information</w:t>
            </w:r>
          </w:p>
        </w:tc>
        <w:tc>
          <w:tcPr>
            <w:tcW w:w="2051" w:type="dxa"/>
          </w:tcPr>
          <w:p w:rsidR="00B64E72" w14:paraId="1A914E87" w14:textId="77777777">
            <w:pPr>
              <w:pStyle w:val="TableParagraph"/>
              <w:spacing w:before="120"/>
              <w:ind w:right="9"/>
              <w:jc w:val="center"/>
              <w:rPr>
                <w:sz w:val="20"/>
              </w:rPr>
            </w:pPr>
            <w:r>
              <w:rPr>
                <w:spacing w:val="-5"/>
                <w:sz w:val="20"/>
              </w:rPr>
              <w:t>837</w:t>
            </w:r>
          </w:p>
        </w:tc>
        <w:tc>
          <w:tcPr>
            <w:tcW w:w="2046" w:type="dxa"/>
          </w:tcPr>
          <w:p w:rsidR="00B64E72" w14:paraId="537E621D" w14:textId="77777777">
            <w:pPr>
              <w:pStyle w:val="TableParagraph"/>
              <w:spacing w:before="120"/>
              <w:ind w:right="13"/>
              <w:jc w:val="center"/>
              <w:rPr>
                <w:sz w:val="20"/>
              </w:rPr>
            </w:pPr>
            <w:bookmarkStart w:id="180" w:name="1,279,547_"/>
            <w:bookmarkEnd w:id="180"/>
            <w:r>
              <w:rPr>
                <w:spacing w:val="-2"/>
                <w:sz w:val="20"/>
              </w:rPr>
              <w:t>1,279,547</w:t>
            </w:r>
          </w:p>
        </w:tc>
        <w:tc>
          <w:tcPr>
            <w:tcW w:w="1006" w:type="dxa"/>
          </w:tcPr>
          <w:p w:rsidR="00B64E72" w14:paraId="3286E0E8" w14:textId="77777777">
            <w:pPr>
              <w:pStyle w:val="TableParagraph"/>
              <w:spacing w:before="120"/>
              <w:ind w:right="9"/>
              <w:jc w:val="center"/>
              <w:rPr>
                <w:sz w:val="20"/>
              </w:rPr>
            </w:pPr>
            <w:bookmarkStart w:id="181" w:name="0.25_"/>
            <w:bookmarkEnd w:id="181"/>
            <w:r>
              <w:rPr>
                <w:spacing w:val="-4"/>
                <w:sz w:val="20"/>
              </w:rPr>
              <w:t>0.25</w:t>
            </w:r>
          </w:p>
        </w:tc>
        <w:tc>
          <w:tcPr>
            <w:tcW w:w="1532" w:type="dxa"/>
          </w:tcPr>
          <w:p w:rsidR="00B64E72" w14:paraId="7B6EED1C" w14:textId="77777777">
            <w:pPr>
              <w:pStyle w:val="TableParagraph"/>
              <w:spacing w:before="120"/>
              <w:ind w:right="10"/>
              <w:jc w:val="center"/>
              <w:rPr>
                <w:sz w:val="20"/>
              </w:rPr>
            </w:pPr>
            <w:bookmarkStart w:id="182" w:name="319,887_"/>
            <w:bookmarkEnd w:id="182"/>
            <w:r>
              <w:rPr>
                <w:spacing w:val="-2"/>
                <w:sz w:val="20"/>
              </w:rPr>
              <w:t>319,887</w:t>
            </w:r>
          </w:p>
        </w:tc>
        <w:tc>
          <w:tcPr>
            <w:tcW w:w="2382" w:type="dxa"/>
          </w:tcPr>
          <w:p w:rsidR="00B64E72" w14:paraId="698B3A4A" w14:textId="77777777">
            <w:pPr>
              <w:pStyle w:val="TableParagraph"/>
              <w:spacing w:before="120"/>
              <w:ind w:left="2" w:right="13"/>
              <w:jc w:val="center"/>
              <w:rPr>
                <w:sz w:val="20"/>
              </w:rPr>
            </w:pPr>
            <w:bookmarkStart w:id="183" w:name="$12,501,175_"/>
            <w:bookmarkEnd w:id="183"/>
            <w:r>
              <w:rPr>
                <w:spacing w:val="-2"/>
                <w:sz w:val="20"/>
              </w:rPr>
              <w:t>$12,501,175</w:t>
            </w:r>
          </w:p>
        </w:tc>
      </w:tr>
      <w:tr w14:paraId="49920630" w14:textId="77777777">
        <w:tblPrEx>
          <w:tblW w:w="0" w:type="auto"/>
          <w:tblInd w:w="314" w:type="dxa"/>
          <w:tblLayout w:type="fixed"/>
          <w:tblCellMar>
            <w:left w:w="0" w:type="dxa"/>
            <w:right w:w="0" w:type="dxa"/>
          </w:tblCellMar>
          <w:tblLook w:val="01E0"/>
        </w:tblPrEx>
        <w:trPr>
          <w:trHeight w:val="292"/>
        </w:trPr>
        <w:tc>
          <w:tcPr>
            <w:tcW w:w="1892" w:type="dxa"/>
          </w:tcPr>
          <w:p w:rsidR="00B64E72" w14:paraId="70C52C0C" w14:textId="77777777">
            <w:pPr>
              <w:pStyle w:val="TableParagraph"/>
              <w:spacing w:before="27"/>
              <w:ind w:left="1" w:right="4"/>
              <w:jc w:val="center"/>
              <w:rPr>
                <w:sz w:val="20"/>
              </w:rPr>
            </w:pPr>
            <w:r>
              <w:rPr>
                <w:spacing w:val="-2"/>
                <w:sz w:val="20"/>
              </w:rPr>
              <w:t>Total</w:t>
            </w:r>
          </w:p>
        </w:tc>
        <w:tc>
          <w:tcPr>
            <w:tcW w:w="2051" w:type="dxa"/>
          </w:tcPr>
          <w:p w:rsidR="00B64E72" w14:paraId="5737B022" w14:textId="77777777">
            <w:pPr>
              <w:pStyle w:val="TableParagraph"/>
              <w:spacing w:before="27"/>
              <w:ind w:right="9"/>
              <w:jc w:val="center"/>
              <w:rPr>
                <w:sz w:val="20"/>
              </w:rPr>
            </w:pPr>
            <w:r>
              <w:rPr>
                <w:spacing w:val="-5"/>
                <w:sz w:val="20"/>
              </w:rPr>
              <w:t>837</w:t>
            </w:r>
          </w:p>
        </w:tc>
        <w:tc>
          <w:tcPr>
            <w:tcW w:w="2046" w:type="dxa"/>
          </w:tcPr>
          <w:p w:rsidR="00B64E72" w14:paraId="0E6CF839" w14:textId="77777777">
            <w:pPr>
              <w:pStyle w:val="TableParagraph"/>
              <w:spacing w:before="27"/>
              <w:ind w:right="13"/>
              <w:jc w:val="center"/>
              <w:rPr>
                <w:sz w:val="20"/>
              </w:rPr>
            </w:pPr>
            <w:r>
              <w:rPr>
                <w:spacing w:val="-2"/>
                <w:sz w:val="20"/>
              </w:rPr>
              <w:t>4,069,713</w:t>
            </w:r>
          </w:p>
        </w:tc>
        <w:tc>
          <w:tcPr>
            <w:tcW w:w="1006" w:type="dxa"/>
          </w:tcPr>
          <w:p w:rsidR="00B64E72" w14:paraId="057B5D74" w14:textId="77777777">
            <w:pPr>
              <w:pStyle w:val="TableParagraph"/>
            </w:pPr>
          </w:p>
        </w:tc>
        <w:tc>
          <w:tcPr>
            <w:tcW w:w="1532" w:type="dxa"/>
          </w:tcPr>
          <w:p w:rsidR="00B64E72" w14:paraId="68BCEE33" w14:textId="77777777">
            <w:pPr>
              <w:pStyle w:val="TableParagraph"/>
              <w:spacing w:before="27"/>
              <w:ind w:right="10"/>
              <w:jc w:val="center"/>
              <w:rPr>
                <w:sz w:val="20"/>
              </w:rPr>
            </w:pPr>
            <w:r>
              <w:rPr>
                <w:spacing w:val="-2"/>
                <w:sz w:val="20"/>
              </w:rPr>
              <w:t>789,054</w:t>
            </w:r>
          </w:p>
        </w:tc>
        <w:tc>
          <w:tcPr>
            <w:tcW w:w="2382" w:type="dxa"/>
          </w:tcPr>
          <w:p w:rsidR="00B64E72" w14:paraId="330B0A2C" w14:textId="77777777">
            <w:pPr>
              <w:pStyle w:val="TableParagraph"/>
              <w:spacing w:before="27"/>
              <w:ind w:left="2" w:right="13"/>
              <w:jc w:val="center"/>
              <w:rPr>
                <w:sz w:val="20"/>
              </w:rPr>
            </w:pPr>
            <w:r>
              <w:rPr>
                <w:spacing w:val="-2"/>
                <w:sz w:val="20"/>
              </w:rPr>
              <w:t>$30,836,231</w:t>
            </w:r>
          </w:p>
        </w:tc>
      </w:tr>
    </w:tbl>
    <w:p w:rsidR="00B64E72" w14:paraId="02042EDE" w14:textId="77777777">
      <w:pPr>
        <w:pStyle w:val="BodyText"/>
        <w:rPr>
          <w:b/>
        </w:rPr>
      </w:pPr>
    </w:p>
    <w:p w:rsidR="00B64E72" w14:paraId="75869C70" w14:textId="77777777">
      <w:pPr>
        <w:pStyle w:val="BodyText"/>
        <w:spacing w:before="53"/>
        <w:rPr>
          <w:b/>
        </w:rPr>
      </w:pPr>
    </w:p>
    <w:p w:rsidR="00B64E72" w14:paraId="482C71D2" w14:textId="77777777">
      <w:pPr>
        <w:pStyle w:val="ListParagraph"/>
        <w:numPr>
          <w:ilvl w:val="0"/>
          <w:numId w:val="2"/>
        </w:numPr>
        <w:tabs>
          <w:tab w:val="left" w:pos="2234"/>
        </w:tabs>
        <w:spacing w:before="1"/>
        <w:rPr>
          <w:sz w:val="24"/>
          <w:u w:val="none"/>
        </w:rPr>
      </w:pPr>
      <w:bookmarkStart w:id="184" w:name="2._QPA_Audits_(45_CFR_149.140(f))_"/>
      <w:bookmarkEnd w:id="184"/>
      <w:r>
        <w:rPr>
          <w:sz w:val="24"/>
        </w:rPr>
        <w:t>QPA</w:t>
      </w:r>
      <w:r>
        <w:rPr>
          <w:spacing w:val="-1"/>
          <w:sz w:val="24"/>
        </w:rPr>
        <w:t xml:space="preserve"> </w:t>
      </w:r>
      <w:r>
        <w:rPr>
          <w:sz w:val="24"/>
        </w:rPr>
        <w:t>Audits (45</w:t>
      </w:r>
      <w:r>
        <w:rPr>
          <w:spacing w:val="-1"/>
          <w:sz w:val="24"/>
        </w:rPr>
        <w:t xml:space="preserve"> </w:t>
      </w:r>
      <w:r>
        <w:rPr>
          <w:sz w:val="24"/>
        </w:rPr>
        <w:t>CFR</w:t>
      </w:r>
      <w:r>
        <w:rPr>
          <w:spacing w:val="1"/>
          <w:sz w:val="24"/>
        </w:rPr>
        <w:t xml:space="preserve"> </w:t>
      </w:r>
      <w:r>
        <w:rPr>
          <w:spacing w:val="-2"/>
          <w:sz w:val="24"/>
        </w:rPr>
        <w:t>149.140(f))</w:t>
      </w:r>
    </w:p>
    <w:p w:rsidR="00B64E72" w14:paraId="6C175CE1" w14:textId="77777777">
      <w:pPr>
        <w:pStyle w:val="BodyText"/>
        <w:spacing w:before="28"/>
      </w:pPr>
    </w:p>
    <w:p w:rsidR="00B64E72" w14:paraId="57530A8A" w14:textId="77777777">
      <w:pPr>
        <w:pStyle w:val="BodyText"/>
        <w:spacing w:before="1" w:line="259" w:lineRule="auto"/>
        <w:ind w:left="1512" w:right="1144"/>
      </w:pPr>
      <w:bookmarkStart w:id="185" w:name="The_July_2021_interim_final_rules_includ"/>
      <w:bookmarkEnd w:id="185"/>
      <w:r>
        <w:t>The July 2021 interim final rules include an audit provision establishing that the Departments’ existing enforcement procedures will apply with respect to ensuring that a plan or coverage is in compliance with the requirement of properly determining and applying</w:t>
      </w:r>
      <w:r>
        <w:rPr>
          <w:spacing w:val="-3"/>
        </w:rPr>
        <w:t xml:space="preserve"> </w:t>
      </w:r>
      <w:r>
        <w:t>a</w:t>
      </w:r>
      <w:r>
        <w:rPr>
          <w:spacing w:val="-4"/>
        </w:rPr>
        <w:t xml:space="preserve"> </w:t>
      </w:r>
      <w:r>
        <w:t>QPA.</w:t>
      </w:r>
      <w:r>
        <w:rPr>
          <w:spacing w:val="-3"/>
        </w:rPr>
        <w:t xml:space="preserve"> </w:t>
      </w:r>
      <w:r>
        <w:t>As</w:t>
      </w:r>
      <w:r>
        <w:rPr>
          <w:spacing w:val="-3"/>
        </w:rPr>
        <w:t xml:space="preserve"> </w:t>
      </w:r>
      <w:r>
        <w:t>required</w:t>
      </w:r>
      <w:r>
        <w:rPr>
          <w:spacing w:val="-3"/>
        </w:rPr>
        <w:t xml:space="preserve"> </w:t>
      </w:r>
      <w:r>
        <w:t>under</w:t>
      </w:r>
      <w:r>
        <w:rPr>
          <w:spacing w:val="-3"/>
        </w:rPr>
        <w:t xml:space="preserve"> </w:t>
      </w:r>
      <w:r>
        <w:t>statute,</w:t>
      </w:r>
      <w:r>
        <w:rPr>
          <w:spacing w:val="-2"/>
        </w:rPr>
        <w:t xml:space="preserve"> </w:t>
      </w:r>
      <w:r>
        <w:t>HHS</w:t>
      </w:r>
      <w:r>
        <w:rPr>
          <w:spacing w:val="-2"/>
        </w:rPr>
        <w:t xml:space="preserve"> </w:t>
      </w:r>
      <w:r>
        <w:t>expects</w:t>
      </w:r>
      <w:r>
        <w:rPr>
          <w:spacing w:val="-3"/>
        </w:rPr>
        <w:t xml:space="preserve"> </w:t>
      </w:r>
      <w:r>
        <w:t>to</w:t>
      </w:r>
      <w:r>
        <w:rPr>
          <w:spacing w:val="-3"/>
        </w:rPr>
        <w:t xml:space="preserve"> </w:t>
      </w:r>
      <w:r>
        <w:t>conduct</w:t>
      </w:r>
      <w:r>
        <w:rPr>
          <w:spacing w:val="-3"/>
        </w:rPr>
        <w:t xml:space="preserve"> </w:t>
      </w:r>
      <w:r>
        <w:t>no</w:t>
      </w:r>
      <w:r>
        <w:rPr>
          <w:spacing w:val="-3"/>
        </w:rPr>
        <w:t xml:space="preserve"> </w:t>
      </w:r>
      <w:r>
        <w:t>more</w:t>
      </w:r>
      <w:r>
        <w:rPr>
          <w:spacing w:val="-4"/>
        </w:rPr>
        <w:t xml:space="preserve"> </w:t>
      </w:r>
      <w:r>
        <w:t>than</w:t>
      </w:r>
      <w:r>
        <w:rPr>
          <w:spacing w:val="-3"/>
        </w:rPr>
        <w:t xml:space="preserve"> </w:t>
      </w:r>
      <w:r>
        <w:t>25</w:t>
      </w:r>
      <w:r>
        <w:rPr>
          <w:spacing w:val="-2"/>
        </w:rPr>
        <w:t xml:space="preserve"> </w:t>
      </w:r>
      <w:r>
        <w:t xml:space="preserve">audits </w:t>
      </w:r>
      <w:r>
        <w:rPr>
          <w:spacing w:val="-2"/>
        </w:rPr>
        <w:t>annually.</w:t>
      </w:r>
    </w:p>
    <w:p w:rsidR="00B64E72" w14:paraId="27C83211" w14:textId="77777777">
      <w:pPr>
        <w:pStyle w:val="BodyText"/>
        <w:spacing w:before="21"/>
      </w:pPr>
    </w:p>
    <w:p w:rsidR="00B64E72" w14:paraId="46357929" w14:textId="77777777">
      <w:pPr>
        <w:ind w:left="1512"/>
        <w:rPr>
          <w:i/>
          <w:sz w:val="24"/>
        </w:rPr>
      </w:pPr>
      <w:bookmarkStart w:id="186" w:name="QPA_Audit_Documentation_and_Recordkeepin"/>
      <w:bookmarkEnd w:id="186"/>
      <w:r>
        <w:rPr>
          <w:i/>
          <w:sz w:val="24"/>
        </w:rPr>
        <w:t>QPA</w:t>
      </w:r>
      <w:r>
        <w:rPr>
          <w:i/>
          <w:spacing w:val="-1"/>
          <w:sz w:val="24"/>
        </w:rPr>
        <w:t xml:space="preserve"> </w:t>
      </w:r>
      <w:r>
        <w:rPr>
          <w:i/>
          <w:sz w:val="24"/>
        </w:rPr>
        <w:t>Audit Documentation</w:t>
      </w:r>
      <w:r>
        <w:rPr>
          <w:i/>
          <w:spacing w:val="-1"/>
          <w:sz w:val="24"/>
        </w:rPr>
        <w:t xml:space="preserve"> </w:t>
      </w:r>
      <w:r>
        <w:rPr>
          <w:i/>
          <w:sz w:val="24"/>
        </w:rPr>
        <w:t xml:space="preserve">and </w:t>
      </w:r>
      <w:r>
        <w:rPr>
          <w:i/>
          <w:spacing w:val="-2"/>
          <w:sz w:val="24"/>
        </w:rPr>
        <w:t>Recordkeeping</w:t>
      </w:r>
    </w:p>
    <w:p w:rsidR="00B64E72" w14:paraId="0C760293" w14:textId="77777777">
      <w:pPr>
        <w:pStyle w:val="BodyText"/>
        <w:spacing w:before="22" w:line="247" w:lineRule="auto"/>
        <w:ind w:left="1512" w:right="1097" w:hanging="10"/>
      </w:pPr>
      <w:bookmarkStart w:id="187" w:name="To_comply_with_the_QPA_audit,_issuers_an"/>
      <w:bookmarkEnd w:id="187"/>
      <w:r>
        <w:t>To comply with the QPA audit, issuers and self-funded non-federal governmental plans (or their TPAs) will provide an initial submission of data as requested in a call letter issued by HHS, and if needed, respond and provide additional documentation and clarification as requested</w:t>
      </w:r>
      <w:r>
        <w:rPr>
          <w:spacing w:val="-4"/>
        </w:rPr>
        <w:t xml:space="preserve"> </w:t>
      </w:r>
      <w:r>
        <w:t>by</w:t>
      </w:r>
      <w:r>
        <w:rPr>
          <w:spacing w:val="-4"/>
        </w:rPr>
        <w:t xml:space="preserve"> </w:t>
      </w:r>
      <w:r>
        <w:t>one</w:t>
      </w:r>
      <w:r>
        <w:rPr>
          <w:spacing w:val="-5"/>
        </w:rPr>
        <w:t xml:space="preserve"> </w:t>
      </w:r>
      <w:r>
        <w:t>or</w:t>
      </w:r>
      <w:r>
        <w:rPr>
          <w:spacing w:val="-4"/>
        </w:rPr>
        <w:t xml:space="preserve"> </w:t>
      </w:r>
      <w:r>
        <w:t>more</w:t>
      </w:r>
      <w:r>
        <w:rPr>
          <w:spacing w:val="-3"/>
        </w:rPr>
        <w:t xml:space="preserve"> </w:t>
      </w:r>
      <w:r>
        <w:t>requests</w:t>
      </w:r>
      <w:r>
        <w:rPr>
          <w:spacing w:val="-4"/>
        </w:rPr>
        <w:t xml:space="preserve"> </w:t>
      </w:r>
      <w:r>
        <w:t>for</w:t>
      </w:r>
      <w:r>
        <w:rPr>
          <w:spacing w:val="-6"/>
        </w:rPr>
        <w:t xml:space="preserve"> </w:t>
      </w:r>
      <w:r>
        <w:t>information,</w:t>
      </w:r>
      <w:r>
        <w:rPr>
          <w:spacing w:val="-4"/>
        </w:rPr>
        <w:t xml:space="preserve"> </w:t>
      </w:r>
      <w:r>
        <w:t>respond</w:t>
      </w:r>
      <w:r>
        <w:rPr>
          <w:spacing w:val="-4"/>
        </w:rPr>
        <w:t xml:space="preserve"> </w:t>
      </w:r>
      <w:r>
        <w:t>to</w:t>
      </w:r>
      <w:r>
        <w:rPr>
          <w:spacing w:val="-4"/>
        </w:rPr>
        <w:t xml:space="preserve"> </w:t>
      </w:r>
      <w:r>
        <w:t>documented</w:t>
      </w:r>
      <w:r>
        <w:rPr>
          <w:spacing w:val="-4"/>
        </w:rPr>
        <w:t xml:space="preserve"> </w:t>
      </w:r>
      <w:r>
        <w:t>findings</w:t>
      </w:r>
      <w:r>
        <w:rPr>
          <w:spacing w:val="-4"/>
        </w:rPr>
        <w:t xml:space="preserve"> </w:t>
      </w:r>
      <w:r>
        <w:t>included in one or more criticisms, and review and respond to the draft final report. All information will be</w:t>
      </w:r>
      <w:r>
        <w:rPr>
          <w:spacing w:val="-1"/>
        </w:rPr>
        <w:t xml:space="preserve"> </w:t>
      </w:r>
      <w:r>
        <w:t>submitted to HHS</w:t>
      </w:r>
      <w:r>
        <w:rPr>
          <w:spacing w:val="-1"/>
        </w:rPr>
        <w:t xml:space="preserve"> </w:t>
      </w:r>
      <w:r>
        <w:t>electronically at minimal cost. In addition, issuers and self-funded non-federal governmental plans (or their TPAs) will participate in bi-weekly meetings with HHS as needed. HHS estimates that, for each issuer and self-funded non-federal governmental plan (or their TPA), a senior compliance officer will need 10 hours (at an hourly rate of $72.76), a business operations specialist w</w:t>
      </w:r>
      <w:r>
        <w:t>ill need 74 hours (at an hourly rate of $75.48), an operations manager will need 10 hours (at an hourly rate of $97.38), a</w:t>
      </w:r>
      <w:r>
        <w:rPr>
          <w:spacing w:val="-2"/>
        </w:rPr>
        <w:t xml:space="preserve"> </w:t>
      </w:r>
      <w:r>
        <w:t>project manager will need 10 hours (at an hourly rate of $94.78), an executive officer will need 6 hours (at an hourly rate of $198.74) and a lawyer will need 10 hours (at an hourly rate of</w:t>
      </w:r>
    </w:p>
    <w:p w:rsidR="00B64E72" w14:paraId="264D6B5D" w14:textId="77777777">
      <w:pPr>
        <w:pStyle w:val="BodyText"/>
        <w:spacing w:before="14" w:line="247" w:lineRule="auto"/>
        <w:ind w:left="1512" w:right="1101"/>
      </w:pPr>
      <w:r>
        <w:t>$140.16)</w:t>
      </w:r>
      <w:r>
        <w:rPr>
          <w:spacing w:val="-3"/>
        </w:rPr>
        <w:t xml:space="preserve"> </w:t>
      </w:r>
      <w:r>
        <w:t>on</w:t>
      </w:r>
      <w:r>
        <w:rPr>
          <w:spacing w:val="-3"/>
        </w:rPr>
        <w:t xml:space="preserve"> </w:t>
      </w:r>
      <w:r>
        <w:t>average</w:t>
      </w:r>
      <w:r>
        <w:rPr>
          <w:spacing w:val="-4"/>
        </w:rPr>
        <w:t xml:space="preserve"> </w:t>
      </w:r>
      <w:r>
        <w:t>to</w:t>
      </w:r>
      <w:r>
        <w:rPr>
          <w:spacing w:val="-3"/>
        </w:rPr>
        <w:t xml:space="preserve"> </w:t>
      </w:r>
      <w:r>
        <w:t>document</w:t>
      </w:r>
      <w:r>
        <w:rPr>
          <w:spacing w:val="-3"/>
        </w:rPr>
        <w:t xml:space="preserve"> </w:t>
      </w:r>
      <w:r>
        <w:t>the</w:t>
      </w:r>
      <w:r>
        <w:rPr>
          <w:spacing w:val="-3"/>
        </w:rPr>
        <w:t xml:space="preserve"> </w:t>
      </w:r>
      <w:r>
        <w:t>analyses</w:t>
      </w:r>
      <w:r>
        <w:rPr>
          <w:spacing w:val="-1"/>
        </w:rPr>
        <w:t xml:space="preserve"> </w:t>
      </w:r>
      <w:r>
        <w:t>for</w:t>
      </w:r>
      <w:r>
        <w:rPr>
          <w:spacing w:val="-3"/>
        </w:rPr>
        <w:t xml:space="preserve"> </w:t>
      </w:r>
      <w:r>
        <w:t>all</w:t>
      </w:r>
      <w:r>
        <w:rPr>
          <w:spacing w:val="-3"/>
        </w:rPr>
        <w:t xml:space="preserve"> </w:t>
      </w:r>
      <w:r>
        <w:t>products,</w:t>
      </w:r>
      <w:r>
        <w:rPr>
          <w:spacing w:val="-3"/>
        </w:rPr>
        <w:t xml:space="preserve"> </w:t>
      </w:r>
      <w:r>
        <w:t>keep</w:t>
      </w:r>
      <w:r>
        <w:rPr>
          <w:spacing w:val="-3"/>
        </w:rPr>
        <w:t xml:space="preserve"> </w:t>
      </w:r>
      <w:r>
        <w:t>records,</w:t>
      </w:r>
      <w:r>
        <w:rPr>
          <w:spacing w:val="-3"/>
        </w:rPr>
        <w:t xml:space="preserve"> </w:t>
      </w:r>
      <w:r>
        <w:t>and</w:t>
      </w:r>
      <w:r>
        <w:rPr>
          <w:spacing w:val="-3"/>
        </w:rPr>
        <w:t xml:space="preserve"> </w:t>
      </w:r>
      <w:r>
        <w:t>prepare</w:t>
      </w:r>
      <w:r>
        <w:rPr>
          <w:spacing w:val="-5"/>
        </w:rPr>
        <w:t xml:space="preserve"> </w:t>
      </w:r>
      <w:r>
        <w:t>the documentation for submission to HHS upon request. For each audit, HHS estimates that each issuer or self-funded non-federal governmental plan (or their TPA) will have on average 12 responses to HHS’ requests for information or document submission. The total burden for each issuer or self-funded non-federal governmental plans (or their TPAs) per</w:t>
      </w:r>
    </w:p>
    <w:p w:rsidR="00B64E72" w14:paraId="031C9DD7" w14:textId="77777777">
      <w:pPr>
        <w:pStyle w:val="BodyText"/>
        <w:spacing w:line="247" w:lineRule="auto"/>
        <w:sectPr>
          <w:pgSz w:w="12240" w:h="15840"/>
          <w:pgMar w:top="1360" w:right="360" w:bottom="1280" w:left="360" w:header="0" w:footer="1094" w:gutter="0"/>
          <w:cols w:space="720"/>
        </w:sectPr>
      </w:pPr>
    </w:p>
    <w:p w:rsidR="00B64E72" w14:paraId="7BDFE66B" w14:textId="77777777">
      <w:pPr>
        <w:pStyle w:val="BodyText"/>
        <w:spacing w:before="79"/>
        <w:ind w:left="1512"/>
      </w:pPr>
      <w:bookmarkStart w:id="188" w:name="year_will_be_approximately_120_hours,_on"/>
      <w:bookmarkEnd w:id="188"/>
      <w:r>
        <w:t>year</w:t>
      </w:r>
      <w:r>
        <w:rPr>
          <w:spacing w:val="-1"/>
        </w:rPr>
        <w:t xml:space="preserve"> </w:t>
      </w:r>
      <w:r>
        <w:t>will</w:t>
      </w:r>
      <w:r>
        <w:rPr>
          <w:spacing w:val="-1"/>
        </w:rPr>
        <w:t xml:space="preserve"> </w:t>
      </w:r>
      <w:r>
        <w:t>be</w:t>
      </w:r>
      <w:r>
        <w:rPr>
          <w:spacing w:val="-2"/>
        </w:rPr>
        <w:t xml:space="preserve"> </w:t>
      </w:r>
      <w:r>
        <w:t>approximately 120 hours,</w:t>
      </w:r>
      <w:r>
        <w:rPr>
          <w:spacing w:val="-1"/>
        </w:rPr>
        <w:t xml:space="preserve"> </w:t>
      </w:r>
      <w:r>
        <w:t>on</w:t>
      </w:r>
      <w:r>
        <w:rPr>
          <w:spacing w:val="-1"/>
        </w:rPr>
        <w:t xml:space="preserve"> </w:t>
      </w:r>
      <w:r>
        <w:t>average,</w:t>
      </w:r>
      <w:r>
        <w:rPr>
          <w:spacing w:val="1"/>
        </w:rPr>
        <w:t xml:space="preserve"> </w:t>
      </w:r>
      <w:r>
        <w:t>with an</w:t>
      </w:r>
      <w:r>
        <w:rPr>
          <w:spacing w:val="-1"/>
        </w:rPr>
        <w:t xml:space="preserve"> </w:t>
      </w:r>
      <w:r>
        <w:t>equivalent</w:t>
      </w:r>
      <w:r>
        <w:rPr>
          <w:spacing w:val="-1"/>
        </w:rPr>
        <w:t xml:space="preserve"> </w:t>
      </w:r>
      <w:r>
        <w:t>cost</w:t>
      </w:r>
      <w:r>
        <w:rPr>
          <w:spacing w:val="1"/>
        </w:rPr>
        <w:t xml:space="preserve"> </w:t>
      </w:r>
      <w:r>
        <w:t>of</w:t>
      </w:r>
      <w:r>
        <w:rPr>
          <w:spacing w:val="1"/>
        </w:rPr>
        <w:t xml:space="preserve"> </w:t>
      </w:r>
      <w:r>
        <w:rPr>
          <w:spacing w:val="-2"/>
        </w:rPr>
        <w:t>approximately</w:t>
      </w:r>
    </w:p>
    <w:p w:rsidR="00B64E72" w14:paraId="5797823F" w14:textId="77777777">
      <w:pPr>
        <w:pStyle w:val="BodyText"/>
        <w:spacing w:before="10"/>
        <w:ind w:left="1512"/>
      </w:pPr>
      <w:r>
        <w:rPr>
          <w:spacing w:val="-2"/>
        </w:rPr>
        <w:t>$10,829.</w:t>
      </w:r>
    </w:p>
    <w:p w:rsidR="00B64E72" w14:paraId="6A6C8087" w14:textId="77777777">
      <w:pPr>
        <w:pStyle w:val="BodyText"/>
        <w:spacing w:before="24"/>
      </w:pPr>
    </w:p>
    <w:p w:rsidR="00B64E72" w14:paraId="5F8BAC7C" w14:textId="77777777">
      <w:pPr>
        <w:pStyle w:val="BodyText"/>
        <w:spacing w:line="247" w:lineRule="auto"/>
        <w:ind w:left="1512" w:right="1369" w:hanging="10"/>
      </w:pPr>
      <w:bookmarkStart w:id="189" w:name="HHS_estimates_the_total_burden_for_all_i"/>
      <w:bookmarkEnd w:id="189"/>
      <w:r>
        <w:t>HHS</w:t>
      </w:r>
      <w:r>
        <w:rPr>
          <w:spacing w:val="-4"/>
        </w:rPr>
        <w:t xml:space="preserve"> </w:t>
      </w:r>
      <w:r>
        <w:t>estimates</w:t>
      </w:r>
      <w:r>
        <w:rPr>
          <w:spacing w:val="-4"/>
        </w:rPr>
        <w:t xml:space="preserve"> </w:t>
      </w:r>
      <w:r>
        <w:t>the</w:t>
      </w:r>
      <w:r>
        <w:rPr>
          <w:spacing w:val="-4"/>
        </w:rPr>
        <w:t xml:space="preserve"> </w:t>
      </w:r>
      <w:r>
        <w:t>total</w:t>
      </w:r>
      <w:r>
        <w:rPr>
          <w:spacing w:val="-4"/>
        </w:rPr>
        <w:t xml:space="preserve"> </w:t>
      </w:r>
      <w:r>
        <w:t>burden</w:t>
      </w:r>
      <w:r>
        <w:rPr>
          <w:spacing w:val="-4"/>
        </w:rPr>
        <w:t xml:space="preserve"> </w:t>
      </w:r>
      <w:r>
        <w:t>for</w:t>
      </w:r>
      <w:r>
        <w:rPr>
          <w:spacing w:val="-3"/>
        </w:rPr>
        <w:t xml:space="preserve"> </w:t>
      </w:r>
      <w:r>
        <w:t>all</w:t>
      </w:r>
      <w:r>
        <w:rPr>
          <w:spacing w:val="-4"/>
        </w:rPr>
        <w:t xml:space="preserve"> </w:t>
      </w:r>
      <w:r>
        <w:t>issuers</w:t>
      </w:r>
      <w:r>
        <w:rPr>
          <w:spacing w:val="-4"/>
        </w:rPr>
        <w:t xml:space="preserve"> </w:t>
      </w:r>
      <w:r>
        <w:t>and</w:t>
      </w:r>
      <w:r>
        <w:rPr>
          <w:spacing w:val="-2"/>
        </w:rPr>
        <w:t xml:space="preserve"> </w:t>
      </w:r>
      <w:r>
        <w:t>self-funded</w:t>
      </w:r>
      <w:r>
        <w:rPr>
          <w:spacing w:val="-4"/>
        </w:rPr>
        <w:t xml:space="preserve"> </w:t>
      </w:r>
      <w:r>
        <w:t>non-federal</w:t>
      </w:r>
      <w:r>
        <w:rPr>
          <w:spacing w:val="-4"/>
        </w:rPr>
        <w:t xml:space="preserve"> </w:t>
      </w:r>
      <w:r>
        <w:t>governmental plans (or their TPAs) will be 3,000 hours with an equivalent cost of approximately</w:t>
      </w:r>
    </w:p>
    <w:p w:rsidR="00B64E72" w14:paraId="0C64EB0A" w14:textId="77777777">
      <w:pPr>
        <w:pStyle w:val="BodyText"/>
        <w:spacing w:before="3"/>
        <w:ind w:left="1512"/>
      </w:pPr>
      <w:r>
        <w:rPr>
          <w:spacing w:val="-2"/>
        </w:rPr>
        <w:t>$270,719.</w:t>
      </w:r>
    </w:p>
    <w:p w:rsidR="00B64E72" w14:paraId="169997E2" w14:textId="77777777">
      <w:pPr>
        <w:pStyle w:val="BodyText"/>
        <w:spacing w:before="23"/>
      </w:pPr>
    </w:p>
    <w:p w:rsidR="00B64E72" w14:paraId="1D6463E3" w14:textId="77777777">
      <w:pPr>
        <w:pStyle w:val="Heading1"/>
        <w:spacing w:before="1" w:line="247" w:lineRule="auto"/>
        <w:ind w:left="1512"/>
      </w:pPr>
      <w:bookmarkStart w:id="190" w:name="TABLE_3:_Annual_Burden_for_Issuers_and_T"/>
      <w:bookmarkEnd w:id="190"/>
      <w:r>
        <w:t>TABLE 3: Annual Burden for Issuers and TPAs (on behalf of Self-Insured Non- Federal</w:t>
      </w:r>
      <w:r>
        <w:rPr>
          <w:spacing w:val="-5"/>
        </w:rPr>
        <w:t xml:space="preserve"> </w:t>
      </w:r>
      <w:r>
        <w:t>Governmental</w:t>
      </w:r>
      <w:r>
        <w:rPr>
          <w:spacing w:val="-5"/>
        </w:rPr>
        <w:t xml:space="preserve"> </w:t>
      </w:r>
      <w:r>
        <w:t>Plans)</w:t>
      </w:r>
      <w:r>
        <w:rPr>
          <w:spacing w:val="-5"/>
        </w:rPr>
        <w:t xml:space="preserve"> </w:t>
      </w:r>
      <w:r>
        <w:t>related</w:t>
      </w:r>
      <w:r>
        <w:rPr>
          <w:spacing w:val="-5"/>
        </w:rPr>
        <w:t xml:space="preserve"> </w:t>
      </w:r>
      <w:r>
        <w:t>to</w:t>
      </w:r>
      <w:r>
        <w:rPr>
          <w:spacing w:val="-5"/>
        </w:rPr>
        <w:t xml:space="preserve"> </w:t>
      </w:r>
      <w:r>
        <w:t>QPA</w:t>
      </w:r>
      <w:r>
        <w:rPr>
          <w:spacing w:val="-4"/>
        </w:rPr>
        <w:t xml:space="preserve"> </w:t>
      </w:r>
      <w:r>
        <w:t>Audit</w:t>
      </w:r>
      <w:r>
        <w:rPr>
          <w:spacing w:val="-5"/>
        </w:rPr>
        <w:t xml:space="preserve"> </w:t>
      </w:r>
      <w:r>
        <w:t>Analysis</w:t>
      </w:r>
      <w:r>
        <w:rPr>
          <w:spacing w:val="-5"/>
        </w:rPr>
        <w:t xml:space="preserve"> </w:t>
      </w:r>
      <w:r>
        <w:t>Documentation</w:t>
      </w:r>
      <w:r>
        <w:rPr>
          <w:spacing w:val="-4"/>
        </w:rPr>
        <w:t xml:space="preserve"> </w:t>
      </w:r>
      <w:r>
        <w:t xml:space="preserve">and </w:t>
      </w:r>
      <w:r>
        <w:rPr>
          <w:spacing w:val="-2"/>
        </w:rPr>
        <w:t>Recordkeeping</w:t>
      </w:r>
    </w:p>
    <w:p w:rsidR="00B64E72" w14:paraId="2F58CA71" w14:textId="77777777">
      <w:pPr>
        <w:pStyle w:val="BodyText"/>
        <w:spacing w:before="65"/>
        <w:rPr>
          <w:b/>
          <w:sz w:val="20"/>
        </w:rPr>
      </w:pPr>
    </w:p>
    <w:tbl>
      <w:tblPr>
        <w:tblW w:w="0" w:type="auto"/>
        <w:tblInd w:w="2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42"/>
        <w:gridCol w:w="1620"/>
        <w:gridCol w:w="1892"/>
        <w:gridCol w:w="2065"/>
      </w:tblGrid>
      <w:tr w14:paraId="3B946678" w14:textId="77777777">
        <w:tblPrEx>
          <w:tblW w:w="0" w:type="auto"/>
          <w:tblInd w:w="2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56"/>
        </w:trPr>
        <w:tc>
          <w:tcPr>
            <w:tcW w:w="1942" w:type="dxa"/>
          </w:tcPr>
          <w:p w:rsidR="00B64E72" w14:paraId="7C5B15C2" w14:textId="77777777">
            <w:pPr>
              <w:pStyle w:val="TableParagraph"/>
              <w:spacing w:line="249" w:lineRule="auto"/>
              <w:ind w:left="350" w:firstLine="91"/>
              <w:rPr>
                <w:sz w:val="24"/>
              </w:rPr>
            </w:pPr>
            <w:r>
              <w:rPr>
                <w:sz w:val="24"/>
              </w:rPr>
              <w:t xml:space="preserve">Number of </w:t>
            </w:r>
            <w:r>
              <w:rPr>
                <w:spacing w:val="-2"/>
                <w:sz w:val="24"/>
              </w:rPr>
              <w:t>Respondents</w:t>
            </w:r>
          </w:p>
        </w:tc>
        <w:tc>
          <w:tcPr>
            <w:tcW w:w="1620" w:type="dxa"/>
          </w:tcPr>
          <w:p w:rsidR="00B64E72" w14:paraId="4D5EA2F8" w14:textId="77777777">
            <w:pPr>
              <w:pStyle w:val="TableParagraph"/>
              <w:spacing w:line="249" w:lineRule="auto"/>
              <w:ind w:left="295" w:right="278" w:hanging="15"/>
              <w:rPr>
                <w:sz w:val="24"/>
              </w:rPr>
            </w:pPr>
            <w:r>
              <w:rPr>
                <w:sz w:val="24"/>
              </w:rPr>
              <w:t>Number</w:t>
            </w:r>
            <w:r>
              <w:rPr>
                <w:spacing w:val="-15"/>
                <w:sz w:val="24"/>
              </w:rPr>
              <w:t xml:space="preserve"> </w:t>
            </w:r>
            <w:r>
              <w:rPr>
                <w:sz w:val="24"/>
              </w:rPr>
              <w:t xml:space="preserve">of </w:t>
            </w:r>
            <w:r>
              <w:rPr>
                <w:spacing w:val="-2"/>
                <w:sz w:val="24"/>
              </w:rPr>
              <w:t>Responses</w:t>
            </w:r>
          </w:p>
        </w:tc>
        <w:tc>
          <w:tcPr>
            <w:tcW w:w="1892" w:type="dxa"/>
          </w:tcPr>
          <w:p w:rsidR="00B64E72" w14:paraId="429EE8B9" w14:textId="77777777">
            <w:pPr>
              <w:pStyle w:val="TableParagraph"/>
              <w:spacing w:line="275" w:lineRule="exact"/>
              <w:ind w:left="201" w:hanging="32"/>
              <w:rPr>
                <w:sz w:val="24"/>
              </w:rPr>
            </w:pPr>
            <w:r>
              <w:rPr>
                <w:sz w:val="24"/>
              </w:rPr>
              <w:t>Total</w:t>
            </w:r>
            <w:r>
              <w:rPr>
                <w:spacing w:val="-1"/>
                <w:sz w:val="24"/>
              </w:rPr>
              <w:t xml:space="preserve"> </w:t>
            </w:r>
            <w:r>
              <w:rPr>
                <w:spacing w:val="-2"/>
                <w:sz w:val="24"/>
              </w:rPr>
              <w:t>Estimated</w:t>
            </w:r>
          </w:p>
          <w:p w:rsidR="00B64E72" w14:paraId="6552D8DF" w14:textId="77777777">
            <w:pPr>
              <w:pStyle w:val="TableParagraph"/>
              <w:spacing w:before="2" w:line="280" w:lineRule="atLeast"/>
              <w:ind w:left="564" w:right="202" w:hanging="363"/>
              <w:rPr>
                <w:sz w:val="24"/>
              </w:rPr>
            </w:pPr>
            <w:r>
              <w:rPr>
                <w:sz w:val="24"/>
              </w:rPr>
              <w:t>Annual</w:t>
            </w:r>
            <w:r>
              <w:rPr>
                <w:spacing w:val="-15"/>
                <w:sz w:val="24"/>
              </w:rPr>
              <w:t xml:space="preserve"> </w:t>
            </w:r>
            <w:r>
              <w:rPr>
                <w:sz w:val="24"/>
              </w:rPr>
              <w:t xml:space="preserve">Burden </w:t>
            </w:r>
            <w:r>
              <w:rPr>
                <w:spacing w:val="-2"/>
                <w:sz w:val="24"/>
              </w:rPr>
              <w:t>(Hours)</w:t>
            </w:r>
          </w:p>
        </w:tc>
        <w:tc>
          <w:tcPr>
            <w:tcW w:w="2065" w:type="dxa"/>
          </w:tcPr>
          <w:p w:rsidR="00B64E72" w14:paraId="3656D0C8" w14:textId="77777777">
            <w:pPr>
              <w:pStyle w:val="TableParagraph"/>
              <w:spacing w:line="249" w:lineRule="auto"/>
              <w:ind w:left="477" w:right="279" w:hanging="233"/>
              <w:rPr>
                <w:sz w:val="24"/>
              </w:rPr>
            </w:pPr>
            <w:r>
              <w:rPr>
                <w:sz w:val="24"/>
              </w:rPr>
              <w:t>Total</w:t>
            </w:r>
            <w:r>
              <w:rPr>
                <w:spacing w:val="-15"/>
                <w:sz w:val="24"/>
              </w:rPr>
              <w:t xml:space="preserve"> </w:t>
            </w:r>
            <w:r>
              <w:rPr>
                <w:sz w:val="24"/>
              </w:rPr>
              <w:t>Estimated Labor Cost</w:t>
            </w:r>
          </w:p>
        </w:tc>
      </w:tr>
      <w:tr w14:paraId="2C91227E" w14:textId="77777777">
        <w:tblPrEx>
          <w:tblW w:w="0" w:type="auto"/>
          <w:tblInd w:w="2007" w:type="dxa"/>
          <w:tblLayout w:type="fixed"/>
          <w:tblCellMar>
            <w:left w:w="0" w:type="dxa"/>
            <w:right w:w="0" w:type="dxa"/>
          </w:tblCellMar>
          <w:tblLook w:val="01E0"/>
        </w:tblPrEx>
        <w:trPr>
          <w:trHeight w:val="302"/>
        </w:trPr>
        <w:tc>
          <w:tcPr>
            <w:tcW w:w="1942" w:type="dxa"/>
          </w:tcPr>
          <w:p w:rsidR="00B64E72" w14:paraId="472BCCF4" w14:textId="77777777">
            <w:pPr>
              <w:pStyle w:val="TableParagraph"/>
              <w:spacing w:before="1"/>
              <w:ind w:right="5"/>
              <w:jc w:val="center"/>
              <w:rPr>
                <w:sz w:val="24"/>
              </w:rPr>
            </w:pPr>
            <w:r>
              <w:rPr>
                <w:spacing w:val="-5"/>
                <w:sz w:val="24"/>
              </w:rPr>
              <w:t>25</w:t>
            </w:r>
          </w:p>
        </w:tc>
        <w:tc>
          <w:tcPr>
            <w:tcW w:w="1620" w:type="dxa"/>
          </w:tcPr>
          <w:p w:rsidR="00B64E72" w14:paraId="766291CA" w14:textId="77777777">
            <w:pPr>
              <w:pStyle w:val="TableParagraph"/>
              <w:spacing w:before="6"/>
              <w:ind w:left="6" w:right="10"/>
              <w:jc w:val="center"/>
              <w:rPr>
                <w:sz w:val="24"/>
              </w:rPr>
            </w:pPr>
            <w:r>
              <w:rPr>
                <w:spacing w:val="-5"/>
                <w:sz w:val="24"/>
              </w:rPr>
              <w:t>300</w:t>
            </w:r>
          </w:p>
        </w:tc>
        <w:tc>
          <w:tcPr>
            <w:tcW w:w="1892" w:type="dxa"/>
          </w:tcPr>
          <w:p w:rsidR="00B64E72" w14:paraId="3E7FFAD4" w14:textId="77777777">
            <w:pPr>
              <w:pStyle w:val="TableParagraph"/>
              <w:spacing w:before="6"/>
              <w:ind w:right="4"/>
              <w:jc w:val="center"/>
              <w:rPr>
                <w:sz w:val="24"/>
              </w:rPr>
            </w:pPr>
            <w:r>
              <w:rPr>
                <w:spacing w:val="-2"/>
                <w:sz w:val="24"/>
              </w:rPr>
              <w:t>3,000</w:t>
            </w:r>
          </w:p>
        </w:tc>
        <w:tc>
          <w:tcPr>
            <w:tcW w:w="2065" w:type="dxa"/>
          </w:tcPr>
          <w:p w:rsidR="00B64E72" w14:paraId="4EC66803" w14:textId="77777777">
            <w:pPr>
              <w:pStyle w:val="TableParagraph"/>
              <w:spacing w:before="6"/>
              <w:ind w:left="575"/>
              <w:rPr>
                <w:sz w:val="24"/>
              </w:rPr>
            </w:pPr>
            <w:r>
              <w:rPr>
                <w:spacing w:val="-2"/>
                <w:sz w:val="24"/>
              </w:rPr>
              <w:t>$270,719</w:t>
            </w:r>
          </w:p>
        </w:tc>
      </w:tr>
    </w:tbl>
    <w:p w:rsidR="00B64E72" w14:paraId="56E508B9" w14:textId="77777777">
      <w:pPr>
        <w:pStyle w:val="BodyText"/>
        <w:spacing w:before="11"/>
        <w:rPr>
          <w:b/>
        </w:rPr>
      </w:pPr>
    </w:p>
    <w:p w:rsidR="00B64E72" w14:paraId="2B8C8FF4" w14:textId="77777777">
      <w:pPr>
        <w:ind w:left="1502"/>
        <w:rPr>
          <w:i/>
          <w:sz w:val="24"/>
        </w:rPr>
      </w:pPr>
      <w:bookmarkStart w:id="191" w:name="Corrective_Action_Plans_as_a_Result_of_a"/>
      <w:bookmarkEnd w:id="191"/>
      <w:r>
        <w:rPr>
          <w:i/>
          <w:sz w:val="24"/>
        </w:rPr>
        <w:t>Corrective</w:t>
      </w:r>
      <w:r>
        <w:rPr>
          <w:i/>
          <w:spacing w:val="-2"/>
          <w:sz w:val="24"/>
        </w:rPr>
        <w:t xml:space="preserve"> </w:t>
      </w:r>
      <w:r>
        <w:rPr>
          <w:i/>
          <w:sz w:val="24"/>
        </w:rPr>
        <w:t>Action</w:t>
      </w:r>
      <w:r>
        <w:rPr>
          <w:i/>
          <w:spacing w:val="-1"/>
          <w:sz w:val="24"/>
        </w:rPr>
        <w:t xml:space="preserve"> </w:t>
      </w:r>
      <w:r>
        <w:rPr>
          <w:i/>
          <w:sz w:val="24"/>
        </w:rPr>
        <w:t>Plans</w:t>
      </w:r>
      <w:r>
        <w:rPr>
          <w:i/>
          <w:spacing w:val="1"/>
          <w:sz w:val="24"/>
        </w:rPr>
        <w:t xml:space="preserve"> </w:t>
      </w:r>
      <w:r>
        <w:rPr>
          <w:i/>
          <w:sz w:val="24"/>
        </w:rPr>
        <w:t>as</w:t>
      </w:r>
      <w:r>
        <w:rPr>
          <w:i/>
          <w:spacing w:val="-1"/>
          <w:sz w:val="24"/>
        </w:rPr>
        <w:t xml:space="preserve"> </w:t>
      </w:r>
      <w:r>
        <w:rPr>
          <w:i/>
          <w:sz w:val="24"/>
        </w:rPr>
        <w:t>a</w:t>
      </w:r>
      <w:r>
        <w:rPr>
          <w:i/>
          <w:spacing w:val="2"/>
          <w:sz w:val="24"/>
        </w:rPr>
        <w:t xml:space="preserve"> </w:t>
      </w:r>
      <w:r>
        <w:rPr>
          <w:i/>
          <w:sz w:val="24"/>
        </w:rPr>
        <w:t>Result</w:t>
      </w:r>
      <w:r>
        <w:rPr>
          <w:i/>
          <w:spacing w:val="-1"/>
          <w:sz w:val="24"/>
        </w:rPr>
        <w:t xml:space="preserve"> </w:t>
      </w:r>
      <w:r>
        <w:rPr>
          <w:i/>
          <w:sz w:val="24"/>
        </w:rPr>
        <w:t>of</w:t>
      </w:r>
      <w:r>
        <w:rPr>
          <w:i/>
          <w:spacing w:val="-1"/>
          <w:sz w:val="24"/>
        </w:rPr>
        <w:t xml:space="preserve"> </w:t>
      </w:r>
      <w:r>
        <w:rPr>
          <w:i/>
          <w:sz w:val="24"/>
        </w:rPr>
        <w:t>a</w:t>
      </w:r>
      <w:r>
        <w:rPr>
          <w:i/>
          <w:spacing w:val="-1"/>
          <w:sz w:val="24"/>
        </w:rPr>
        <w:t xml:space="preserve"> </w:t>
      </w:r>
      <w:r>
        <w:rPr>
          <w:i/>
          <w:sz w:val="24"/>
        </w:rPr>
        <w:t xml:space="preserve">QPA </w:t>
      </w:r>
      <w:r>
        <w:rPr>
          <w:i/>
          <w:spacing w:val="-2"/>
          <w:sz w:val="24"/>
        </w:rPr>
        <w:t>Audits</w:t>
      </w:r>
    </w:p>
    <w:p w:rsidR="00B64E72" w14:paraId="4A7B48F3" w14:textId="77777777">
      <w:pPr>
        <w:pStyle w:val="BodyText"/>
        <w:spacing w:before="24" w:line="256" w:lineRule="auto"/>
        <w:ind w:left="1512" w:right="1301" w:hanging="10"/>
      </w:pPr>
      <w:bookmarkStart w:id="192" w:name="In_instances_where_HHS,_upon_review_of_d"/>
      <w:bookmarkEnd w:id="192"/>
      <w:r>
        <w:t>In instances where HHS, upon review of documentation submitted during the QPA audit, determines that the plan is not in compliance with one or more of the QPA requirements specified by the No Surprises Act, the self-funded non-federal governmental plan (or</w:t>
      </w:r>
      <w:r>
        <w:rPr>
          <w:spacing w:val="-2"/>
        </w:rPr>
        <w:t xml:space="preserve"> </w:t>
      </w:r>
      <w:r>
        <w:t>their TPA)</w:t>
      </w:r>
      <w:r>
        <w:rPr>
          <w:spacing w:val="-5"/>
        </w:rPr>
        <w:t xml:space="preserve"> </w:t>
      </w:r>
      <w:r>
        <w:t>or</w:t>
      </w:r>
      <w:r>
        <w:rPr>
          <w:spacing w:val="-4"/>
        </w:rPr>
        <w:t xml:space="preserve"> </w:t>
      </w:r>
      <w:r>
        <w:t>issuer</w:t>
      </w:r>
      <w:r>
        <w:rPr>
          <w:spacing w:val="-3"/>
        </w:rPr>
        <w:t xml:space="preserve"> </w:t>
      </w:r>
      <w:r>
        <w:t>will</w:t>
      </w:r>
      <w:r>
        <w:rPr>
          <w:spacing w:val="-3"/>
        </w:rPr>
        <w:t xml:space="preserve"> </w:t>
      </w:r>
      <w:r>
        <w:t>be</w:t>
      </w:r>
      <w:r>
        <w:rPr>
          <w:spacing w:val="-3"/>
        </w:rPr>
        <w:t xml:space="preserve"> </w:t>
      </w:r>
      <w:r>
        <w:t>directed</w:t>
      </w:r>
      <w:r>
        <w:rPr>
          <w:spacing w:val="-3"/>
        </w:rPr>
        <w:t xml:space="preserve"> </w:t>
      </w:r>
      <w:r>
        <w:t>to</w:t>
      </w:r>
      <w:r>
        <w:rPr>
          <w:spacing w:val="-2"/>
        </w:rPr>
        <w:t xml:space="preserve"> </w:t>
      </w:r>
      <w:r>
        <w:t>undertake</w:t>
      </w:r>
      <w:r>
        <w:rPr>
          <w:spacing w:val="-2"/>
        </w:rPr>
        <w:t xml:space="preserve"> </w:t>
      </w:r>
      <w:r>
        <w:t>actions</w:t>
      </w:r>
      <w:r>
        <w:rPr>
          <w:spacing w:val="-3"/>
        </w:rPr>
        <w:t xml:space="preserve"> </w:t>
      </w:r>
      <w:r>
        <w:t>to</w:t>
      </w:r>
      <w:r>
        <w:rPr>
          <w:spacing w:val="-3"/>
        </w:rPr>
        <w:t xml:space="preserve"> </w:t>
      </w:r>
      <w:r>
        <w:t>correct</w:t>
      </w:r>
      <w:r>
        <w:rPr>
          <w:spacing w:val="-3"/>
        </w:rPr>
        <w:t xml:space="preserve"> </w:t>
      </w:r>
      <w:r>
        <w:t>the</w:t>
      </w:r>
      <w:r>
        <w:rPr>
          <w:spacing w:val="-2"/>
        </w:rPr>
        <w:t xml:space="preserve"> </w:t>
      </w:r>
      <w:r>
        <w:t>areas</w:t>
      </w:r>
      <w:r>
        <w:rPr>
          <w:spacing w:val="-3"/>
        </w:rPr>
        <w:t xml:space="preserve"> </w:t>
      </w:r>
      <w:r>
        <w:t>of</w:t>
      </w:r>
      <w:r>
        <w:rPr>
          <w:spacing w:val="-2"/>
        </w:rPr>
        <w:t xml:space="preserve"> </w:t>
      </w:r>
      <w:r>
        <w:t>non-compliance identified. The self-funded non-federal governmental plan (or their TPA) or issuer will provide documentation to HHS that it has addressed the areas on non-compliance cited within 45 calendar days of receipt of the final report by the self-funded non-federal governmental plan (or their TPA) or issuer, or as extended by HHS. We expect that 18 of the issuers and self-funded non-federal governmental plan (or thei</w:t>
      </w:r>
      <w:r>
        <w:t>r TPA) audited will be found to be in violation of one or more QPA requirements and will need to complete corrective actions to come into compliance. HHS estimates that for each such issuer and self-funded non-federal governmental plan (or their TPA), a business operations specialist</w:t>
      </w:r>
    </w:p>
    <w:p w:rsidR="00B64E72" w14:paraId="76AA6CCA" w14:textId="77777777">
      <w:pPr>
        <w:pStyle w:val="BodyText"/>
        <w:spacing w:before="2" w:line="256" w:lineRule="auto"/>
        <w:ind w:left="1512" w:right="1112"/>
      </w:pPr>
      <w:r>
        <w:t>will</w:t>
      </w:r>
      <w:r>
        <w:rPr>
          <w:spacing w:val="-3"/>
        </w:rPr>
        <w:t xml:space="preserve"> </w:t>
      </w:r>
      <w:r>
        <w:t>need</w:t>
      </w:r>
      <w:r>
        <w:rPr>
          <w:spacing w:val="-3"/>
        </w:rPr>
        <w:t xml:space="preserve"> </w:t>
      </w:r>
      <w:r>
        <w:t>36</w:t>
      </w:r>
      <w:r>
        <w:rPr>
          <w:spacing w:val="-3"/>
        </w:rPr>
        <w:t xml:space="preserve"> </w:t>
      </w:r>
      <w:r>
        <w:t>hours</w:t>
      </w:r>
      <w:r>
        <w:rPr>
          <w:spacing w:val="-3"/>
        </w:rPr>
        <w:t xml:space="preserve"> </w:t>
      </w:r>
      <w:r>
        <w:t>(at</w:t>
      </w:r>
      <w:r>
        <w:rPr>
          <w:spacing w:val="-3"/>
        </w:rPr>
        <w:t xml:space="preserve"> </w:t>
      </w:r>
      <w:r>
        <w:t>an</w:t>
      </w:r>
      <w:r>
        <w:rPr>
          <w:spacing w:val="-2"/>
        </w:rPr>
        <w:t xml:space="preserve"> </w:t>
      </w:r>
      <w:r>
        <w:t>hourly</w:t>
      </w:r>
      <w:r>
        <w:rPr>
          <w:spacing w:val="-2"/>
        </w:rPr>
        <w:t xml:space="preserve"> </w:t>
      </w:r>
      <w:r>
        <w:t>rate</w:t>
      </w:r>
      <w:r>
        <w:rPr>
          <w:spacing w:val="-4"/>
        </w:rPr>
        <w:t xml:space="preserve"> </w:t>
      </w:r>
      <w:r>
        <w:t>of</w:t>
      </w:r>
      <w:r>
        <w:rPr>
          <w:spacing w:val="-3"/>
        </w:rPr>
        <w:t xml:space="preserve"> </w:t>
      </w:r>
      <w:r>
        <w:t>$75.48)</w:t>
      </w:r>
      <w:r>
        <w:rPr>
          <w:spacing w:val="-3"/>
        </w:rPr>
        <w:t xml:space="preserve"> </w:t>
      </w:r>
      <w:r>
        <w:t>and</w:t>
      </w:r>
      <w:r>
        <w:rPr>
          <w:spacing w:val="-3"/>
        </w:rPr>
        <w:t xml:space="preserve"> </w:t>
      </w:r>
      <w:r>
        <w:t>an</w:t>
      </w:r>
      <w:r>
        <w:rPr>
          <w:spacing w:val="-3"/>
        </w:rPr>
        <w:t xml:space="preserve"> </w:t>
      </w:r>
      <w:r>
        <w:t>operations</w:t>
      </w:r>
      <w:r>
        <w:rPr>
          <w:spacing w:val="-3"/>
        </w:rPr>
        <w:t xml:space="preserve"> </w:t>
      </w:r>
      <w:r>
        <w:t>manager</w:t>
      </w:r>
      <w:r>
        <w:rPr>
          <w:spacing w:val="-2"/>
        </w:rPr>
        <w:t xml:space="preserve"> </w:t>
      </w:r>
      <w:r>
        <w:t>will</w:t>
      </w:r>
      <w:r>
        <w:rPr>
          <w:spacing w:val="-3"/>
        </w:rPr>
        <w:t xml:space="preserve"> </w:t>
      </w:r>
      <w:r>
        <w:t>need</w:t>
      </w:r>
      <w:r>
        <w:rPr>
          <w:spacing w:val="-3"/>
        </w:rPr>
        <w:t xml:space="preserve"> </w:t>
      </w:r>
      <w:r>
        <w:t>4</w:t>
      </w:r>
      <w:r>
        <w:rPr>
          <w:spacing w:val="-3"/>
        </w:rPr>
        <w:t xml:space="preserve"> </w:t>
      </w:r>
      <w:r>
        <w:t>hours (at an hourly rate of $97.38), on average, to prepare and submit documentation demonstrating compliance to HHS. HHS estimates the total burden for each issuer and self- funded non-federal governmental plan (or their TPA) will be 40 hours, with an equivalent cost of approximately $3,107. For all issuers and self-funded non-federal governmental plans (or their TPAs), HHS estimates a total average annual burden of 720 hour</w:t>
      </w:r>
      <w:r>
        <w:t>s, with an equivalent cost of approximately $55,922.</w:t>
      </w:r>
    </w:p>
    <w:p w:rsidR="00B64E72" w14:paraId="031C6B69" w14:textId="77777777">
      <w:pPr>
        <w:pStyle w:val="BodyText"/>
        <w:spacing w:before="221"/>
      </w:pPr>
    </w:p>
    <w:p w:rsidR="00B64E72" w14:paraId="74514F84" w14:textId="77777777">
      <w:pPr>
        <w:pStyle w:val="Heading1"/>
        <w:spacing w:line="247" w:lineRule="auto"/>
        <w:ind w:left="1512"/>
      </w:pPr>
      <w:bookmarkStart w:id="193" w:name="TABLE_4:_Annual_Burden_for_TPAs_(on_beha"/>
      <w:bookmarkEnd w:id="193"/>
      <w:r>
        <w:t>TABLE</w:t>
      </w:r>
      <w:r>
        <w:rPr>
          <w:spacing w:val="-3"/>
        </w:rPr>
        <w:t xml:space="preserve"> </w:t>
      </w:r>
      <w:r>
        <w:t>4:</w:t>
      </w:r>
      <w:r>
        <w:rPr>
          <w:spacing w:val="-4"/>
        </w:rPr>
        <w:t xml:space="preserve"> </w:t>
      </w:r>
      <w:r>
        <w:t>Annual</w:t>
      </w:r>
      <w:r>
        <w:rPr>
          <w:spacing w:val="-4"/>
        </w:rPr>
        <w:t xml:space="preserve"> </w:t>
      </w:r>
      <w:r>
        <w:t>Burden</w:t>
      </w:r>
      <w:r>
        <w:rPr>
          <w:spacing w:val="-4"/>
        </w:rPr>
        <w:t xml:space="preserve"> </w:t>
      </w:r>
      <w:r>
        <w:t>for</w:t>
      </w:r>
      <w:r>
        <w:rPr>
          <w:spacing w:val="-4"/>
        </w:rPr>
        <w:t xml:space="preserve"> </w:t>
      </w:r>
      <w:r>
        <w:t>TPAs</w:t>
      </w:r>
      <w:r>
        <w:rPr>
          <w:spacing w:val="-4"/>
        </w:rPr>
        <w:t xml:space="preserve"> </w:t>
      </w:r>
      <w:r>
        <w:t>(on</w:t>
      </w:r>
      <w:r>
        <w:rPr>
          <w:spacing w:val="-4"/>
        </w:rPr>
        <w:t xml:space="preserve"> </w:t>
      </w:r>
      <w:r>
        <w:t>behalf</w:t>
      </w:r>
      <w:r>
        <w:rPr>
          <w:spacing w:val="-4"/>
        </w:rPr>
        <w:t xml:space="preserve"> </w:t>
      </w:r>
      <w:r>
        <w:t>of</w:t>
      </w:r>
      <w:r>
        <w:rPr>
          <w:spacing w:val="-4"/>
        </w:rPr>
        <w:t xml:space="preserve"> </w:t>
      </w:r>
      <w:r>
        <w:t>non-federal</w:t>
      </w:r>
      <w:r>
        <w:rPr>
          <w:spacing w:val="-4"/>
        </w:rPr>
        <w:t xml:space="preserve"> </w:t>
      </w:r>
      <w:r>
        <w:t>governmental</w:t>
      </w:r>
      <w:r>
        <w:rPr>
          <w:spacing w:val="-4"/>
        </w:rPr>
        <w:t xml:space="preserve"> </w:t>
      </w:r>
      <w:r>
        <w:t>health plan) and Issuers related to Corrective Action Plans as a Result of a QPA Audit</w:t>
      </w:r>
    </w:p>
    <w:p w:rsidR="00B64E72" w14:paraId="6E6479E2" w14:textId="77777777">
      <w:pPr>
        <w:pStyle w:val="Heading1"/>
        <w:spacing w:line="247" w:lineRule="auto"/>
        <w:sectPr>
          <w:pgSz w:w="12240" w:h="15840"/>
          <w:pgMar w:top="1360" w:right="360" w:bottom="1280" w:left="360" w:header="0" w:footer="1094" w:gutter="0"/>
          <w:cols w:space="720"/>
        </w:sectPr>
      </w:pPr>
    </w:p>
    <w:tbl>
      <w:tblPr>
        <w:tblW w:w="0" w:type="auto"/>
        <w:tblInd w:w="2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01"/>
        <w:gridCol w:w="1706"/>
        <w:gridCol w:w="1670"/>
        <w:gridCol w:w="1845"/>
      </w:tblGrid>
      <w:tr w14:paraId="0841C9C8" w14:textId="77777777">
        <w:tblPrEx>
          <w:tblW w:w="0" w:type="auto"/>
          <w:tblInd w:w="2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30"/>
        </w:trPr>
        <w:tc>
          <w:tcPr>
            <w:tcW w:w="1901" w:type="dxa"/>
          </w:tcPr>
          <w:p w:rsidR="00B64E72" w14:paraId="1FA4B87B" w14:textId="77777777">
            <w:pPr>
              <w:pStyle w:val="TableParagraph"/>
              <w:spacing w:before="150"/>
              <w:rPr>
                <w:b/>
                <w:sz w:val="24"/>
              </w:rPr>
            </w:pPr>
          </w:p>
          <w:p w:rsidR="00B64E72" w14:paraId="0D461763" w14:textId="77777777">
            <w:pPr>
              <w:pStyle w:val="TableParagraph"/>
              <w:spacing w:line="247" w:lineRule="auto"/>
              <w:ind w:left="328" w:firstLine="91"/>
              <w:rPr>
                <w:sz w:val="24"/>
              </w:rPr>
            </w:pPr>
            <w:bookmarkStart w:id="194" w:name="Number_of_Respondents_"/>
            <w:bookmarkEnd w:id="194"/>
            <w:r>
              <w:rPr>
                <w:sz w:val="24"/>
              </w:rPr>
              <w:t xml:space="preserve">Number of </w:t>
            </w:r>
            <w:r>
              <w:rPr>
                <w:spacing w:val="-2"/>
                <w:sz w:val="24"/>
              </w:rPr>
              <w:t>Respondents</w:t>
            </w:r>
          </w:p>
        </w:tc>
        <w:tc>
          <w:tcPr>
            <w:tcW w:w="1706" w:type="dxa"/>
          </w:tcPr>
          <w:p w:rsidR="00B64E72" w14:paraId="54FBD621" w14:textId="77777777">
            <w:pPr>
              <w:pStyle w:val="TableParagraph"/>
              <w:spacing w:before="150"/>
              <w:rPr>
                <w:b/>
                <w:sz w:val="24"/>
              </w:rPr>
            </w:pPr>
          </w:p>
          <w:p w:rsidR="00B64E72" w14:paraId="5C528D6C" w14:textId="77777777">
            <w:pPr>
              <w:pStyle w:val="TableParagraph"/>
              <w:spacing w:line="247" w:lineRule="auto"/>
              <w:ind w:left="338" w:right="321" w:hanging="15"/>
              <w:rPr>
                <w:sz w:val="24"/>
              </w:rPr>
            </w:pPr>
            <w:bookmarkStart w:id="195" w:name="Number_of_Responses_"/>
            <w:bookmarkEnd w:id="195"/>
            <w:r>
              <w:rPr>
                <w:sz w:val="24"/>
              </w:rPr>
              <w:t>Number</w:t>
            </w:r>
            <w:r>
              <w:rPr>
                <w:spacing w:val="-15"/>
                <w:sz w:val="24"/>
              </w:rPr>
              <w:t xml:space="preserve"> </w:t>
            </w:r>
            <w:r>
              <w:rPr>
                <w:sz w:val="24"/>
              </w:rPr>
              <w:t xml:space="preserve">of </w:t>
            </w:r>
            <w:r>
              <w:rPr>
                <w:spacing w:val="-2"/>
                <w:sz w:val="24"/>
              </w:rPr>
              <w:t>Responses</w:t>
            </w:r>
          </w:p>
        </w:tc>
        <w:tc>
          <w:tcPr>
            <w:tcW w:w="1670" w:type="dxa"/>
          </w:tcPr>
          <w:p w:rsidR="00B64E72" w14:paraId="6608557A" w14:textId="77777777">
            <w:pPr>
              <w:pStyle w:val="TableParagraph"/>
              <w:spacing w:line="247" w:lineRule="auto"/>
              <w:ind w:left="351" w:right="347" w:hanging="2"/>
              <w:jc w:val="center"/>
              <w:rPr>
                <w:sz w:val="24"/>
              </w:rPr>
            </w:pPr>
            <w:bookmarkStart w:id="196" w:name="Total_Estimated_Annual_Burden_(Hours)_"/>
            <w:bookmarkEnd w:id="196"/>
            <w:r>
              <w:rPr>
                <w:spacing w:val="-2"/>
                <w:sz w:val="24"/>
              </w:rPr>
              <w:t>Total Estimated Annual</w:t>
            </w:r>
          </w:p>
          <w:p w:rsidR="00B64E72" w14:paraId="68C42314" w14:textId="77777777">
            <w:pPr>
              <w:pStyle w:val="TableParagraph"/>
              <w:spacing w:line="284" w:lineRule="exact"/>
              <w:ind w:left="457" w:right="455" w:firstLine="3"/>
              <w:jc w:val="center"/>
              <w:rPr>
                <w:sz w:val="24"/>
              </w:rPr>
            </w:pPr>
            <w:r>
              <w:rPr>
                <w:spacing w:val="-2"/>
                <w:sz w:val="24"/>
              </w:rPr>
              <w:t>Burden (Hours)</w:t>
            </w:r>
          </w:p>
        </w:tc>
        <w:tc>
          <w:tcPr>
            <w:tcW w:w="1845" w:type="dxa"/>
          </w:tcPr>
          <w:p w:rsidR="00B64E72" w14:paraId="47829679" w14:textId="77777777">
            <w:pPr>
              <w:pStyle w:val="TableParagraph"/>
              <w:spacing w:before="150"/>
              <w:rPr>
                <w:b/>
                <w:sz w:val="24"/>
              </w:rPr>
            </w:pPr>
          </w:p>
          <w:p w:rsidR="00B64E72" w14:paraId="77D3827C" w14:textId="77777777">
            <w:pPr>
              <w:pStyle w:val="TableParagraph"/>
              <w:spacing w:line="247" w:lineRule="auto"/>
              <w:ind w:left="210" w:right="151" w:hanging="58"/>
              <w:rPr>
                <w:sz w:val="24"/>
              </w:rPr>
            </w:pPr>
            <w:bookmarkStart w:id="197" w:name="Total_Estimated_Labor_Cost_($)_"/>
            <w:bookmarkEnd w:id="197"/>
            <w:r>
              <w:rPr>
                <w:sz w:val="24"/>
              </w:rPr>
              <w:t>Total</w:t>
            </w:r>
            <w:r>
              <w:rPr>
                <w:spacing w:val="-15"/>
                <w:sz w:val="24"/>
              </w:rPr>
              <w:t xml:space="preserve"> </w:t>
            </w:r>
            <w:r>
              <w:rPr>
                <w:sz w:val="24"/>
              </w:rPr>
              <w:t>Estimated Labor</w:t>
            </w:r>
            <w:r>
              <w:rPr>
                <w:spacing w:val="-1"/>
                <w:sz w:val="24"/>
              </w:rPr>
              <w:t xml:space="preserve"> </w:t>
            </w:r>
            <w:r>
              <w:rPr>
                <w:sz w:val="24"/>
              </w:rPr>
              <w:t>Cost</w:t>
            </w:r>
            <w:r>
              <w:rPr>
                <w:spacing w:val="-1"/>
                <w:sz w:val="24"/>
              </w:rPr>
              <w:t xml:space="preserve"> </w:t>
            </w:r>
            <w:r>
              <w:rPr>
                <w:spacing w:val="-5"/>
                <w:sz w:val="24"/>
              </w:rPr>
              <w:t>($)</w:t>
            </w:r>
          </w:p>
        </w:tc>
      </w:tr>
      <w:tr w14:paraId="5C146DD2" w14:textId="77777777">
        <w:tblPrEx>
          <w:tblW w:w="0" w:type="auto"/>
          <w:tblInd w:w="2203" w:type="dxa"/>
          <w:tblLayout w:type="fixed"/>
          <w:tblCellMar>
            <w:left w:w="0" w:type="dxa"/>
            <w:right w:w="0" w:type="dxa"/>
          </w:tblCellMar>
          <w:tblLook w:val="01E0"/>
        </w:tblPrEx>
        <w:trPr>
          <w:trHeight w:val="299"/>
        </w:trPr>
        <w:tc>
          <w:tcPr>
            <w:tcW w:w="1901" w:type="dxa"/>
          </w:tcPr>
          <w:p w:rsidR="00B64E72" w14:paraId="5EE6C583" w14:textId="77777777">
            <w:pPr>
              <w:pStyle w:val="TableParagraph"/>
              <w:spacing w:line="275" w:lineRule="exact"/>
              <w:ind w:right="4"/>
              <w:jc w:val="center"/>
              <w:rPr>
                <w:sz w:val="24"/>
              </w:rPr>
            </w:pPr>
            <w:r>
              <w:rPr>
                <w:spacing w:val="-5"/>
                <w:sz w:val="24"/>
              </w:rPr>
              <w:t>18</w:t>
            </w:r>
          </w:p>
        </w:tc>
        <w:tc>
          <w:tcPr>
            <w:tcW w:w="1706" w:type="dxa"/>
          </w:tcPr>
          <w:p w:rsidR="00B64E72" w14:paraId="563413D9" w14:textId="77777777">
            <w:pPr>
              <w:pStyle w:val="TableParagraph"/>
              <w:spacing w:line="275" w:lineRule="exact"/>
              <w:ind w:right="5"/>
              <w:jc w:val="center"/>
              <w:rPr>
                <w:sz w:val="24"/>
              </w:rPr>
            </w:pPr>
            <w:r>
              <w:rPr>
                <w:spacing w:val="-5"/>
                <w:sz w:val="24"/>
              </w:rPr>
              <w:t>18</w:t>
            </w:r>
          </w:p>
        </w:tc>
        <w:tc>
          <w:tcPr>
            <w:tcW w:w="1670" w:type="dxa"/>
          </w:tcPr>
          <w:p w:rsidR="00B64E72" w14:paraId="26EA3CD5" w14:textId="77777777">
            <w:pPr>
              <w:pStyle w:val="TableParagraph"/>
              <w:spacing w:before="3"/>
              <w:ind w:left="2"/>
              <w:jc w:val="center"/>
              <w:rPr>
                <w:sz w:val="24"/>
              </w:rPr>
            </w:pPr>
            <w:r>
              <w:rPr>
                <w:spacing w:val="-5"/>
                <w:sz w:val="24"/>
              </w:rPr>
              <w:t>720</w:t>
            </w:r>
          </w:p>
        </w:tc>
        <w:tc>
          <w:tcPr>
            <w:tcW w:w="1845" w:type="dxa"/>
          </w:tcPr>
          <w:p w:rsidR="00B64E72" w14:paraId="032C786C" w14:textId="77777777">
            <w:pPr>
              <w:pStyle w:val="TableParagraph"/>
              <w:spacing w:before="3"/>
              <w:ind w:left="527"/>
              <w:rPr>
                <w:sz w:val="24"/>
              </w:rPr>
            </w:pPr>
            <w:r>
              <w:rPr>
                <w:spacing w:val="-2"/>
                <w:sz w:val="24"/>
              </w:rPr>
              <w:t>$55,922</w:t>
            </w:r>
          </w:p>
        </w:tc>
      </w:tr>
    </w:tbl>
    <w:p w:rsidR="00B64E72" w14:paraId="16C6000A" w14:textId="77777777">
      <w:pPr>
        <w:pStyle w:val="BodyText"/>
        <w:spacing w:before="82"/>
        <w:rPr>
          <w:b/>
        </w:rPr>
      </w:pPr>
    </w:p>
    <w:p w:rsidR="00B64E72" w14:paraId="44FC3595" w14:textId="77777777">
      <w:pPr>
        <w:pStyle w:val="ListParagraph"/>
        <w:numPr>
          <w:ilvl w:val="0"/>
          <w:numId w:val="2"/>
        </w:numPr>
        <w:tabs>
          <w:tab w:val="left" w:pos="2234"/>
        </w:tabs>
        <w:rPr>
          <w:sz w:val="24"/>
          <w:u w:val="none"/>
        </w:rPr>
      </w:pPr>
      <w:bookmarkStart w:id="198" w:name="3._Disclosure_for_Self-Insured_Plans_Opt"/>
      <w:bookmarkEnd w:id="198"/>
      <w:r>
        <w:rPr>
          <w:sz w:val="24"/>
        </w:rPr>
        <w:t>Disclosure</w:t>
      </w:r>
      <w:r>
        <w:rPr>
          <w:spacing w:val="-2"/>
          <w:sz w:val="24"/>
        </w:rPr>
        <w:t xml:space="preserve"> </w:t>
      </w:r>
      <w:r>
        <w:rPr>
          <w:sz w:val="24"/>
        </w:rPr>
        <w:t>for</w:t>
      </w:r>
      <w:r>
        <w:rPr>
          <w:spacing w:val="-3"/>
          <w:sz w:val="24"/>
        </w:rPr>
        <w:t xml:space="preserve"> </w:t>
      </w:r>
      <w:r>
        <w:rPr>
          <w:sz w:val="24"/>
        </w:rPr>
        <w:t>Self-Insured</w:t>
      </w:r>
      <w:r>
        <w:rPr>
          <w:spacing w:val="-1"/>
          <w:sz w:val="24"/>
        </w:rPr>
        <w:t xml:space="preserve"> </w:t>
      </w:r>
      <w:r>
        <w:rPr>
          <w:sz w:val="24"/>
        </w:rPr>
        <w:t>Plans</w:t>
      </w:r>
      <w:r>
        <w:rPr>
          <w:spacing w:val="-1"/>
          <w:sz w:val="24"/>
        </w:rPr>
        <w:t xml:space="preserve"> </w:t>
      </w:r>
      <w:r>
        <w:rPr>
          <w:sz w:val="24"/>
        </w:rPr>
        <w:t>Opting</w:t>
      </w:r>
      <w:r>
        <w:rPr>
          <w:spacing w:val="-1"/>
          <w:sz w:val="24"/>
        </w:rPr>
        <w:t xml:space="preserve"> </w:t>
      </w:r>
      <w:r>
        <w:rPr>
          <w:sz w:val="24"/>
        </w:rPr>
        <w:t>in</w:t>
      </w:r>
      <w:r>
        <w:rPr>
          <w:spacing w:val="-1"/>
          <w:sz w:val="24"/>
        </w:rPr>
        <w:t xml:space="preserve"> </w:t>
      </w:r>
      <w:r>
        <w:rPr>
          <w:sz w:val="24"/>
        </w:rPr>
        <w:t>to</w:t>
      </w:r>
      <w:r>
        <w:rPr>
          <w:spacing w:val="-1"/>
          <w:sz w:val="24"/>
        </w:rPr>
        <w:t xml:space="preserve"> </w:t>
      </w:r>
      <w:r>
        <w:rPr>
          <w:sz w:val="24"/>
        </w:rPr>
        <w:t>State</w:t>
      </w:r>
      <w:r>
        <w:rPr>
          <w:spacing w:val="-1"/>
          <w:sz w:val="24"/>
        </w:rPr>
        <w:t xml:space="preserve"> </w:t>
      </w:r>
      <w:r>
        <w:rPr>
          <w:sz w:val="24"/>
        </w:rPr>
        <w:t>Law</w:t>
      </w:r>
      <w:r>
        <w:rPr>
          <w:spacing w:val="-1"/>
          <w:sz w:val="24"/>
        </w:rPr>
        <w:t xml:space="preserve"> </w:t>
      </w:r>
      <w:r>
        <w:rPr>
          <w:sz w:val="24"/>
        </w:rPr>
        <w:t>(45</w:t>
      </w:r>
      <w:r>
        <w:rPr>
          <w:spacing w:val="-1"/>
          <w:sz w:val="24"/>
        </w:rPr>
        <w:t xml:space="preserve"> </w:t>
      </w:r>
      <w:r>
        <w:rPr>
          <w:sz w:val="24"/>
        </w:rPr>
        <w:t xml:space="preserve">CFR </w:t>
      </w:r>
      <w:r>
        <w:rPr>
          <w:spacing w:val="-2"/>
          <w:sz w:val="24"/>
        </w:rPr>
        <w:t>149.30)</w:t>
      </w:r>
    </w:p>
    <w:p w:rsidR="00B64E72" w14:paraId="1AA06694" w14:textId="77777777">
      <w:pPr>
        <w:pStyle w:val="BodyText"/>
        <w:spacing w:before="21"/>
      </w:pPr>
    </w:p>
    <w:p w:rsidR="00B64E72" w14:paraId="168C0041" w14:textId="77777777">
      <w:pPr>
        <w:pStyle w:val="BodyText"/>
        <w:spacing w:before="1" w:line="259" w:lineRule="auto"/>
        <w:ind w:left="1512" w:right="1099"/>
      </w:pPr>
      <w:bookmarkStart w:id="199" w:name="A_self-insured_plan_that_has_chosen_to_o"/>
      <w:bookmarkEnd w:id="199"/>
      <w:r>
        <w:t>A self-insured plan that has chosen to opt in to a state law must prominently display in its plan</w:t>
      </w:r>
      <w:r>
        <w:rPr>
          <w:spacing w:val="-3"/>
        </w:rPr>
        <w:t xml:space="preserve"> </w:t>
      </w:r>
      <w:r>
        <w:t>materials</w:t>
      </w:r>
      <w:r>
        <w:rPr>
          <w:spacing w:val="-3"/>
        </w:rPr>
        <w:t xml:space="preserve"> </w:t>
      </w:r>
      <w:r>
        <w:t>describing</w:t>
      </w:r>
      <w:r>
        <w:rPr>
          <w:spacing w:val="-3"/>
        </w:rPr>
        <w:t xml:space="preserve"> </w:t>
      </w:r>
      <w:r>
        <w:t>the</w:t>
      </w:r>
      <w:r>
        <w:rPr>
          <w:spacing w:val="-4"/>
        </w:rPr>
        <w:t xml:space="preserve"> </w:t>
      </w:r>
      <w:r>
        <w:t>coverage</w:t>
      </w:r>
      <w:r>
        <w:rPr>
          <w:spacing w:val="-4"/>
        </w:rPr>
        <w:t xml:space="preserve"> </w:t>
      </w:r>
      <w:r>
        <w:t>of</w:t>
      </w:r>
      <w:r>
        <w:rPr>
          <w:spacing w:val="-3"/>
        </w:rPr>
        <w:t xml:space="preserve"> </w:t>
      </w:r>
      <w:r>
        <w:t>out-of-network</w:t>
      </w:r>
      <w:r>
        <w:rPr>
          <w:spacing w:val="-4"/>
        </w:rPr>
        <w:t xml:space="preserve"> </w:t>
      </w:r>
      <w:r>
        <w:t>services</w:t>
      </w:r>
      <w:r>
        <w:rPr>
          <w:spacing w:val="-3"/>
        </w:rPr>
        <w:t xml:space="preserve"> </w:t>
      </w:r>
      <w:r>
        <w:t>a</w:t>
      </w:r>
      <w:r>
        <w:rPr>
          <w:spacing w:val="-4"/>
        </w:rPr>
        <w:t xml:space="preserve"> </w:t>
      </w:r>
      <w:r>
        <w:t>statement</w:t>
      </w:r>
      <w:r>
        <w:rPr>
          <w:spacing w:val="-3"/>
        </w:rPr>
        <w:t xml:space="preserve"> </w:t>
      </w:r>
      <w:r>
        <w:t>that</w:t>
      </w:r>
      <w:r>
        <w:rPr>
          <w:spacing w:val="-3"/>
        </w:rPr>
        <w:t xml:space="preserve"> </w:t>
      </w:r>
      <w:r>
        <w:t>the</w:t>
      </w:r>
      <w:r>
        <w:rPr>
          <w:spacing w:val="-4"/>
        </w:rPr>
        <w:t xml:space="preserve"> </w:t>
      </w:r>
      <w:r>
        <w:t>plan has opted in to a specified state law, identify the relevant state (or states), and include a general description of the items and services provided by nonparticipating facilities and providers that are covered by the specified state law.</w:t>
      </w:r>
    </w:p>
    <w:p w:rsidR="00B64E72" w14:paraId="13F271D7" w14:textId="77777777">
      <w:pPr>
        <w:pStyle w:val="BodyText"/>
        <w:spacing w:before="19"/>
      </w:pPr>
    </w:p>
    <w:p w:rsidR="00B64E72" w14:paraId="57060FBC" w14:textId="77777777">
      <w:pPr>
        <w:pStyle w:val="BodyText"/>
        <w:spacing w:line="259" w:lineRule="auto"/>
        <w:ind w:left="1512" w:right="1099"/>
      </w:pPr>
      <w:bookmarkStart w:id="200" w:name="Based_on_available_data,_HHS_estimates_t"/>
      <w:bookmarkEnd w:id="200"/>
      <w:r>
        <w:t>Based on available data, HHS estimates that approximately 44 self-insured non-federal governmental plans in Georgia, Maine, Nevada, New Hampshire, New Jersey, Texas, Virginia, and Washington will newly opt in to a state law each year and incur a one-time burden and cost to include the disclosure in their plan documents.</w:t>
      </w:r>
      <w:bookmarkStart w:id="201" w:name="18"/>
      <w:bookmarkEnd w:id="201"/>
      <w:hyperlink w:anchor="_bookmark17" w:history="1">
        <w:r>
          <w:rPr>
            <w:vertAlign w:val="superscript"/>
          </w:rPr>
          <w:t>18</w:t>
        </w:r>
      </w:hyperlink>
      <w:r>
        <w:t xml:space="preserve"> It is estimated that for each plan an administrative assistant will spend 1 hour (at an hourly rate of $42.58) and a compensation</w:t>
      </w:r>
      <w:r>
        <w:rPr>
          <w:spacing w:val="-3"/>
        </w:rPr>
        <w:t xml:space="preserve"> </w:t>
      </w:r>
      <w:r>
        <w:t>and</w:t>
      </w:r>
      <w:r>
        <w:rPr>
          <w:spacing w:val="-3"/>
        </w:rPr>
        <w:t xml:space="preserve"> </w:t>
      </w:r>
      <w:r>
        <w:t>benefits</w:t>
      </w:r>
      <w:r>
        <w:rPr>
          <w:spacing w:val="-3"/>
        </w:rPr>
        <w:t xml:space="preserve"> </w:t>
      </w:r>
      <w:r>
        <w:t>manager</w:t>
      </w:r>
      <w:r>
        <w:rPr>
          <w:spacing w:val="-3"/>
        </w:rPr>
        <w:t xml:space="preserve"> </w:t>
      </w:r>
      <w:r>
        <w:t>will</w:t>
      </w:r>
      <w:r>
        <w:rPr>
          <w:spacing w:val="-3"/>
        </w:rPr>
        <w:t xml:space="preserve"> </w:t>
      </w:r>
      <w:r>
        <w:t>spend</w:t>
      </w:r>
      <w:r>
        <w:rPr>
          <w:spacing w:val="-3"/>
        </w:rPr>
        <w:t xml:space="preserve"> </w:t>
      </w:r>
      <w:r>
        <w:t>30</w:t>
      </w:r>
      <w:r>
        <w:rPr>
          <w:spacing w:val="-2"/>
        </w:rPr>
        <w:t xml:space="preserve"> </w:t>
      </w:r>
      <w:r>
        <w:t>minutes</w:t>
      </w:r>
      <w:r>
        <w:rPr>
          <w:spacing w:val="-3"/>
        </w:rPr>
        <w:t xml:space="preserve"> </w:t>
      </w:r>
      <w:r>
        <w:t>(at</w:t>
      </w:r>
      <w:r>
        <w:rPr>
          <w:spacing w:val="-3"/>
        </w:rPr>
        <w:t xml:space="preserve"> </w:t>
      </w:r>
      <w:r>
        <w:t>an</w:t>
      </w:r>
      <w:r>
        <w:rPr>
          <w:spacing w:val="-1"/>
        </w:rPr>
        <w:t xml:space="preserve"> </w:t>
      </w:r>
      <w:r>
        <w:t>hourly</w:t>
      </w:r>
      <w:r>
        <w:rPr>
          <w:spacing w:val="-3"/>
        </w:rPr>
        <w:t xml:space="preserve"> </w:t>
      </w:r>
      <w:r>
        <w:t>rate</w:t>
      </w:r>
      <w:r>
        <w:rPr>
          <w:spacing w:val="-4"/>
        </w:rPr>
        <w:t xml:space="preserve"> </w:t>
      </w:r>
      <w:r>
        <w:t>of</w:t>
      </w:r>
      <w:r>
        <w:rPr>
          <w:spacing w:val="-3"/>
        </w:rPr>
        <w:t xml:space="preserve"> </w:t>
      </w:r>
      <w:r>
        <w:t>$131.14)</w:t>
      </w:r>
      <w:r>
        <w:rPr>
          <w:spacing w:val="-3"/>
        </w:rPr>
        <w:t xml:space="preserve"> </w:t>
      </w:r>
      <w:r>
        <w:t>to prepare the disclosure. The estimated total burden for each plan will be 1.5 hours with an equivalent cost of approximately $108. The estimated total annual burden for all 44 plans will be approximately 66 hours with an equivalent cost of approximately $4,781.</w:t>
      </w:r>
    </w:p>
    <w:p w:rsidR="00B64E72" w14:paraId="1E9675D7" w14:textId="77777777">
      <w:pPr>
        <w:pStyle w:val="BodyText"/>
        <w:spacing w:before="21"/>
      </w:pPr>
    </w:p>
    <w:p w:rsidR="00B64E72" w14:paraId="0D338B15" w14:textId="77777777">
      <w:pPr>
        <w:pStyle w:val="BodyText"/>
        <w:spacing w:line="259" w:lineRule="auto"/>
        <w:ind w:left="1512" w:right="1099"/>
      </w:pPr>
      <w:bookmarkStart w:id="202" w:name="Including_the_printing_and_materials_cos"/>
      <w:bookmarkEnd w:id="202"/>
      <w:r>
        <w:t>Including</w:t>
      </w:r>
      <w:r>
        <w:rPr>
          <w:spacing w:val="-3"/>
        </w:rPr>
        <w:t xml:space="preserve"> </w:t>
      </w:r>
      <w:r>
        <w:t>the</w:t>
      </w:r>
      <w:r>
        <w:rPr>
          <w:spacing w:val="-3"/>
        </w:rPr>
        <w:t xml:space="preserve"> </w:t>
      </w:r>
      <w:r>
        <w:t>printing</w:t>
      </w:r>
      <w:r>
        <w:rPr>
          <w:spacing w:val="-3"/>
        </w:rPr>
        <w:t xml:space="preserve"> </w:t>
      </w:r>
      <w:r>
        <w:t>and</w:t>
      </w:r>
      <w:r>
        <w:rPr>
          <w:spacing w:val="-3"/>
        </w:rPr>
        <w:t xml:space="preserve"> </w:t>
      </w:r>
      <w:r>
        <w:t>materials</w:t>
      </w:r>
      <w:r>
        <w:rPr>
          <w:spacing w:val="-3"/>
        </w:rPr>
        <w:t xml:space="preserve"> </w:t>
      </w:r>
      <w:r>
        <w:t>costs</w:t>
      </w:r>
      <w:r>
        <w:rPr>
          <w:spacing w:val="-3"/>
        </w:rPr>
        <w:t xml:space="preserve"> </w:t>
      </w:r>
      <w:r>
        <w:t>discussed</w:t>
      </w:r>
      <w:r>
        <w:rPr>
          <w:spacing w:val="-3"/>
        </w:rPr>
        <w:t xml:space="preserve"> </w:t>
      </w:r>
      <w:r>
        <w:t>in</w:t>
      </w:r>
      <w:r>
        <w:rPr>
          <w:spacing w:val="-3"/>
        </w:rPr>
        <w:t xml:space="preserve"> </w:t>
      </w:r>
      <w:r>
        <w:t>the</w:t>
      </w:r>
      <w:r>
        <w:rPr>
          <w:spacing w:val="-4"/>
        </w:rPr>
        <w:t xml:space="preserve"> </w:t>
      </w:r>
      <w:r>
        <w:t>section</w:t>
      </w:r>
      <w:r>
        <w:rPr>
          <w:spacing w:val="-3"/>
        </w:rPr>
        <w:t xml:space="preserve"> </w:t>
      </w:r>
      <w:r>
        <w:t>on</w:t>
      </w:r>
      <w:r>
        <w:rPr>
          <w:spacing w:val="-3"/>
        </w:rPr>
        <w:t xml:space="preserve"> </w:t>
      </w:r>
      <w:r>
        <w:t>capital</w:t>
      </w:r>
      <w:r>
        <w:rPr>
          <w:spacing w:val="-3"/>
        </w:rPr>
        <w:t xml:space="preserve"> </w:t>
      </w:r>
      <w:r>
        <w:t>costs below,</w:t>
      </w:r>
      <w:r>
        <w:rPr>
          <w:spacing w:val="-3"/>
        </w:rPr>
        <w:t xml:space="preserve"> </w:t>
      </w:r>
      <w:r>
        <w:t>the total annual cost for all plans is estimated to be approximately $4,972.</w:t>
      </w:r>
    </w:p>
    <w:p w:rsidR="00B64E72" w14:paraId="0D6B4D2B" w14:textId="77777777">
      <w:pPr>
        <w:pStyle w:val="BodyText"/>
      </w:pPr>
    </w:p>
    <w:p w:rsidR="00B64E72" w14:paraId="687C285C" w14:textId="77777777">
      <w:pPr>
        <w:pStyle w:val="BodyText"/>
        <w:spacing w:before="85"/>
      </w:pPr>
    </w:p>
    <w:p w:rsidR="00B64E72" w14:paraId="7E254508" w14:textId="77777777">
      <w:pPr>
        <w:pStyle w:val="Heading1"/>
        <w:spacing w:line="247" w:lineRule="auto"/>
      </w:pPr>
      <w:bookmarkStart w:id="203" w:name="TABLE_5:_Annual_Burden_and_Cost_to_Provi"/>
      <w:bookmarkEnd w:id="203"/>
      <w:r>
        <w:t>TABLE</w:t>
      </w:r>
      <w:r>
        <w:rPr>
          <w:spacing w:val="-2"/>
        </w:rPr>
        <w:t xml:space="preserve"> </w:t>
      </w:r>
      <w:r>
        <w:t>5:</w:t>
      </w:r>
      <w:r>
        <w:rPr>
          <w:spacing w:val="-4"/>
        </w:rPr>
        <w:t xml:space="preserve"> </w:t>
      </w:r>
      <w:r>
        <w:t>Annual</w:t>
      </w:r>
      <w:r>
        <w:rPr>
          <w:spacing w:val="-3"/>
        </w:rPr>
        <w:t xml:space="preserve"> </w:t>
      </w:r>
      <w:r>
        <w:t>Burden</w:t>
      </w:r>
      <w:r>
        <w:rPr>
          <w:spacing w:val="-3"/>
        </w:rPr>
        <w:t xml:space="preserve"> </w:t>
      </w:r>
      <w:r>
        <w:t>and</w:t>
      </w:r>
      <w:r>
        <w:rPr>
          <w:spacing w:val="-3"/>
        </w:rPr>
        <w:t xml:space="preserve"> </w:t>
      </w:r>
      <w:r>
        <w:t>Cost</w:t>
      </w:r>
      <w:r>
        <w:rPr>
          <w:spacing w:val="-4"/>
        </w:rPr>
        <w:t xml:space="preserve"> </w:t>
      </w:r>
      <w:r>
        <w:t>to</w:t>
      </w:r>
      <w:r>
        <w:rPr>
          <w:spacing w:val="-3"/>
        </w:rPr>
        <w:t xml:space="preserve"> </w:t>
      </w:r>
      <w:r>
        <w:t>Provide</w:t>
      </w:r>
      <w:r>
        <w:rPr>
          <w:spacing w:val="-4"/>
        </w:rPr>
        <w:t xml:space="preserve"> </w:t>
      </w:r>
      <w:r>
        <w:t>Disclosure</w:t>
      </w:r>
      <w:r>
        <w:rPr>
          <w:spacing w:val="-4"/>
        </w:rPr>
        <w:t xml:space="preserve"> </w:t>
      </w:r>
      <w:r>
        <w:t>Regarding</w:t>
      </w:r>
      <w:r>
        <w:rPr>
          <w:spacing w:val="-3"/>
        </w:rPr>
        <w:t xml:space="preserve"> </w:t>
      </w:r>
      <w:r>
        <w:t>Opting</w:t>
      </w:r>
      <w:r>
        <w:rPr>
          <w:spacing w:val="-3"/>
        </w:rPr>
        <w:t xml:space="preserve"> </w:t>
      </w:r>
      <w:r>
        <w:t>in</w:t>
      </w:r>
      <w:r>
        <w:rPr>
          <w:spacing w:val="-2"/>
        </w:rPr>
        <w:t xml:space="preserve"> </w:t>
      </w:r>
      <w:r>
        <w:t>to State Law</w:t>
      </w:r>
    </w:p>
    <w:p w:rsidR="00B64E72" w14:paraId="76D64E85" w14:textId="77777777">
      <w:pPr>
        <w:pStyle w:val="BodyText"/>
        <w:rPr>
          <w:b/>
          <w:sz w:val="20"/>
        </w:rPr>
      </w:pPr>
    </w:p>
    <w:p w:rsidR="00B64E72" w14:paraId="168F4605" w14:textId="77777777">
      <w:pPr>
        <w:pStyle w:val="BodyText"/>
        <w:rPr>
          <w:b/>
          <w:sz w:val="20"/>
        </w:rPr>
      </w:pPr>
    </w:p>
    <w:p w:rsidR="00B64E72" w14:paraId="117DF17B" w14:textId="77777777">
      <w:pPr>
        <w:pStyle w:val="BodyText"/>
        <w:rPr>
          <w:b/>
          <w:sz w:val="20"/>
        </w:rPr>
      </w:pPr>
    </w:p>
    <w:p w:rsidR="00B64E72" w14:paraId="27A5AFFC" w14:textId="77777777">
      <w:pPr>
        <w:pStyle w:val="BodyText"/>
        <w:rPr>
          <w:b/>
          <w:sz w:val="20"/>
        </w:rPr>
      </w:pPr>
    </w:p>
    <w:p w:rsidR="00B64E72" w14:paraId="1A5D2825" w14:textId="77777777">
      <w:pPr>
        <w:pStyle w:val="BodyText"/>
        <w:rPr>
          <w:b/>
          <w:sz w:val="20"/>
        </w:rPr>
      </w:pPr>
    </w:p>
    <w:p w:rsidR="00B64E72" w14:paraId="02D9E5DE" w14:textId="77777777">
      <w:pPr>
        <w:pStyle w:val="BodyText"/>
        <w:rPr>
          <w:b/>
          <w:sz w:val="20"/>
        </w:rPr>
      </w:pPr>
    </w:p>
    <w:p w:rsidR="00B64E72" w14:paraId="7C5421A1" w14:textId="77777777">
      <w:pPr>
        <w:pStyle w:val="BodyText"/>
        <w:spacing w:before="62"/>
        <w:rPr>
          <w:b/>
          <w:sz w:val="20"/>
        </w:rPr>
      </w:pPr>
      <w:r>
        <w:rPr>
          <w:b/>
          <w:noProof/>
          <w:sz w:val="20"/>
        </w:rPr>
        <mc:AlternateContent>
          <mc:Choice Requires="wps">
            <w:drawing>
              <wp:anchor distT="0" distB="0" distL="0" distR="0" simplePos="0" relativeHeight="251678720" behindDoc="1" locked="0" layoutInCell="1" allowOverlap="1">
                <wp:simplePos x="0" y="0"/>
                <wp:positionH relativeFrom="page">
                  <wp:posOffset>914704</wp:posOffset>
                </wp:positionH>
                <wp:positionV relativeFrom="paragraph">
                  <wp:posOffset>201227</wp:posOffset>
                </wp:positionV>
                <wp:extent cx="1829435" cy="762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7620"/>
                        </a:xfrm>
                        <a:custGeom>
                          <a:avLst/>
                          <a:gdLst/>
                          <a:rect l="l" t="t" r="r" b="b"/>
                          <a:pathLst>
                            <a:path fill="norm" h="7620" w="1829435" stroke="1">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 o:spid="_x0000_s1034" style="width:144.05pt;height:0.6pt;margin-top:15.85pt;margin-left:1in;mso-position-horizontal-relative:page;mso-wrap-distance-bottom:0;mso-wrap-distance-left:0;mso-wrap-distance-right:0;mso-wrap-distance-top:0;mso-wrap-style:square;position:absolute;visibility:visible;v-text-anchor:top;z-index:-251636736" coordsize="1829435,7620" path="m1829054,l,,,7620l1829054,7620l1829054,xe" fillcolor="black" stroked="f">
                <v:path arrowok="t"/>
                <w10:wrap type="topAndBottom"/>
              </v:shape>
            </w:pict>
          </mc:Fallback>
        </mc:AlternateContent>
      </w:r>
    </w:p>
    <w:p w:rsidR="00B64E72" w14:paraId="429B0F3B" w14:textId="77777777">
      <w:pPr>
        <w:spacing w:before="144"/>
        <w:ind w:left="1080" w:right="1152"/>
        <w:rPr>
          <w:sz w:val="20"/>
        </w:rPr>
      </w:pPr>
      <w:bookmarkStart w:id="204" w:name="18_Based_on_past_experience_for_Nevada,_"/>
      <w:bookmarkStart w:id="205" w:name="_bookmark17"/>
      <w:bookmarkEnd w:id="204"/>
      <w:bookmarkEnd w:id="205"/>
      <w:r>
        <w:rPr>
          <w:sz w:val="20"/>
          <w:vertAlign w:val="superscript"/>
        </w:rPr>
        <w:t>18</w:t>
      </w:r>
      <w:r>
        <w:rPr>
          <w:sz w:val="20"/>
        </w:rPr>
        <w:t xml:space="preserve"> Based</w:t>
      </w:r>
      <w:r>
        <w:rPr>
          <w:sz w:val="20"/>
        </w:rPr>
        <w:t xml:space="preserve"> on past experience for Nevada, Virginia, and Washington, HHS assumes that approximately 1 percent of self-insured</w:t>
      </w:r>
      <w:r>
        <w:rPr>
          <w:spacing w:val="-1"/>
          <w:sz w:val="20"/>
        </w:rPr>
        <w:t xml:space="preserve"> </w:t>
      </w:r>
      <w:r>
        <w:rPr>
          <w:sz w:val="20"/>
        </w:rPr>
        <w:t>non-federal</w:t>
      </w:r>
      <w:r>
        <w:rPr>
          <w:spacing w:val="-3"/>
          <w:sz w:val="20"/>
        </w:rPr>
        <w:t xml:space="preserve"> </w:t>
      </w:r>
      <w:r>
        <w:rPr>
          <w:sz w:val="20"/>
        </w:rPr>
        <w:t>governmental plans</w:t>
      </w:r>
      <w:r>
        <w:rPr>
          <w:spacing w:val="-4"/>
          <w:sz w:val="20"/>
        </w:rPr>
        <w:t xml:space="preserve"> </w:t>
      </w:r>
      <w:r>
        <w:rPr>
          <w:sz w:val="20"/>
        </w:rPr>
        <w:t>in</w:t>
      </w:r>
      <w:r>
        <w:rPr>
          <w:spacing w:val="-2"/>
          <w:sz w:val="20"/>
        </w:rPr>
        <w:t xml:space="preserve"> </w:t>
      </w:r>
      <w:r>
        <w:rPr>
          <w:sz w:val="20"/>
        </w:rPr>
        <w:t>each</w:t>
      </w:r>
      <w:r>
        <w:rPr>
          <w:spacing w:val="-1"/>
          <w:sz w:val="20"/>
        </w:rPr>
        <w:t xml:space="preserve"> </w:t>
      </w:r>
      <w:r>
        <w:rPr>
          <w:sz w:val="20"/>
        </w:rPr>
        <w:t>of</w:t>
      </w:r>
      <w:r>
        <w:rPr>
          <w:spacing w:val="-5"/>
          <w:sz w:val="20"/>
        </w:rPr>
        <w:t xml:space="preserve"> </w:t>
      </w:r>
      <w:r>
        <w:rPr>
          <w:sz w:val="20"/>
        </w:rPr>
        <w:t>these</w:t>
      </w:r>
      <w:r>
        <w:rPr>
          <w:spacing w:val="-3"/>
          <w:sz w:val="20"/>
        </w:rPr>
        <w:t xml:space="preserve"> </w:t>
      </w:r>
      <w:r>
        <w:rPr>
          <w:sz w:val="20"/>
        </w:rPr>
        <w:t>states</w:t>
      </w:r>
      <w:r>
        <w:rPr>
          <w:spacing w:val="-4"/>
          <w:sz w:val="20"/>
        </w:rPr>
        <w:t xml:space="preserve"> </w:t>
      </w:r>
      <w:r>
        <w:rPr>
          <w:sz w:val="20"/>
        </w:rPr>
        <w:t>will</w:t>
      </w:r>
      <w:r>
        <w:rPr>
          <w:spacing w:val="-2"/>
          <w:sz w:val="20"/>
        </w:rPr>
        <w:t xml:space="preserve"> </w:t>
      </w:r>
      <w:r>
        <w:rPr>
          <w:sz w:val="20"/>
        </w:rPr>
        <w:t>newly</w:t>
      </w:r>
      <w:r>
        <w:rPr>
          <w:spacing w:val="-1"/>
          <w:sz w:val="20"/>
        </w:rPr>
        <w:t xml:space="preserve"> </w:t>
      </w:r>
      <w:r>
        <w:rPr>
          <w:sz w:val="20"/>
        </w:rPr>
        <w:t>opt</w:t>
      </w:r>
      <w:r>
        <w:rPr>
          <w:spacing w:val="-4"/>
          <w:sz w:val="20"/>
        </w:rPr>
        <w:t xml:space="preserve"> </w:t>
      </w:r>
      <w:r>
        <w:rPr>
          <w:sz w:val="20"/>
        </w:rPr>
        <w:t>in</w:t>
      </w:r>
      <w:r>
        <w:rPr>
          <w:spacing w:val="-2"/>
          <w:sz w:val="20"/>
        </w:rPr>
        <w:t xml:space="preserve"> </w:t>
      </w:r>
      <w:r>
        <w:rPr>
          <w:sz w:val="20"/>
        </w:rPr>
        <w:t>to</w:t>
      </w:r>
      <w:r>
        <w:rPr>
          <w:spacing w:val="-2"/>
          <w:sz w:val="20"/>
        </w:rPr>
        <w:t xml:space="preserve"> </w:t>
      </w:r>
      <w:r>
        <w:rPr>
          <w:sz w:val="20"/>
        </w:rPr>
        <w:t>the</w:t>
      </w:r>
      <w:r>
        <w:rPr>
          <w:spacing w:val="-5"/>
          <w:sz w:val="20"/>
        </w:rPr>
        <w:t xml:space="preserve"> </w:t>
      </w:r>
      <w:r>
        <w:rPr>
          <w:sz w:val="20"/>
        </w:rPr>
        <w:t>state</w:t>
      </w:r>
      <w:r>
        <w:rPr>
          <w:spacing w:val="-3"/>
          <w:sz w:val="20"/>
        </w:rPr>
        <w:t xml:space="preserve"> </w:t>
      </w:r>
      <w:r>
        <w:rPr>
          <w:sz w:val="20"/>
        </w:rPr>
        <w:t>law</w:t>
      </w:r>
      <w:r>
        <w:rPr>
          <w:spacing w:val="-3"/>
          <w:sz w:val="20"/>
        </w:rPr>
        <w:t xml:space="preserve"> </w:t>
      </w:r>
      <w:r>
        <w:rPr>
          <w:sz w:val="20"/>
        </w:rPr>
        <w:t>each</w:t>
      </w:r>
      <w:r>
        <w:rPr>
          <w:spacing w:val="-2"/>
          <w:sz w:val="20"/>
        </w:rPr>
        <w:t xml:space="preserve"> </w:t>
      </w:r>
      <w:r>
        <w:rPr>
          <w:sz w:val="20"/>
        </w:rPr>
        <w:t>year.</w:t>
      </w:r>
      <w:r>
        <w:rPr>
          <w:spacing w:val="-3"/>
          <w:sz w:val="20"/>
        </w:rPr>
        <w:t xml:space="preserve"> </w:t>
      </w:r>
      <w:r>
        <w:rPr>
          <w:sz w:val="20"/>
        </w:rPr>
        <w:t>Data on the number of non-federal governmental plans is from the 2022 Census of Governments (available at https</w:t>
      </w:r>
      <w:hyperlink r:id="rId17">
        <w:r>
          <w:rPr>
            <w:sz w:val="20"/>
          </w:rPr>
          <w:t>://www.census.gov/data/tables/2022/econ/gus/2022-governments.html)</w:t>
        </w:r>
      </w:hyperlink>
      <w:r>
        <w:rPr>
          <w:sz w:val="20"/>
        </w:rPr>
        <w:t xml:space="preserve"> and data</w:t>
      </w:r>
      <w:r>
        <w:rPr>
          <w:spacing w:val="-2"/>
          <w:sz w:val="20"/>
        </w:rPr>
        <w:t xml:space="preserve"> </w:t>
      </w:r>
      <w:r>
        <w:rPr>
          <w:sz w:val="20"/>
        </w:rPr>
        <w:t>on the percentage</w:t>
      </w:r>
      <w:r>
        <w:rPr>
          <w:spacing w:val="-2"/>
          <w:sz w:val="20"/>
        </w:rPr>
        <w:t xml:space="preserve"> </w:t>
      </w:r>
      <w:r>
        <w:rPr>
          <w:sz w:val="20"/>
        </w:rPr>
        <w:t xml:space="preserve">of state and local governments that offer a self-insured plan is from the 2022 MEPS-IC (available at </w:t>
      </w:r>
      <w:r>
        <w:rPr>
          <w:spacing w:val="-2"/>
          <w:sz w:val="20"/>
        </w:rPr>
        <w:t>https://meps.ahrq.gov/data_stats/summ_tables/insr/national/series_3/2022/ic22_iiia_g.pdf).</w:t>
      </w:r>
    </w:p>
    <w:p w:rsidR="00B64E72" w14:paraId="51A43102" w14:textId="77777777">
      <w:pPr>
        <w:rPr>
          <w:sz w:val="20"/>
        </w:rPr>
        <w:sectPr>
          <w:pgSz w:w="12240" w:h="15840"/>
          <w:pgMar w:top="1420" w:right="360" w:bottom="1280" w:left="360" w:header="0" w:footer="1094" w:gutter="0"/>
          <w:cols w:space="720"/>
        </w:sect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94"/>
        <w:gridCol w:w="1267"/>
        <w:gridCol w:w="1055"/>
        <w:gridCol w:w="1326"/>
        <w:gridCol w:w="1137"/>
        <w:gridCol w:w="1307"/>
        <w:gridCol w:w="1276"/>
      </w:tblGrid>
      <w:tr w14:paraId="1482E268" w14:textId="77777777">
        <w:tblPrEx>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8"/>
        </w:trPr>
        <w:tc>
          <w:tcPr>
            <w:tcW w:w="1394" w:type="dxa"/>
          </w:tcPr>
          <w:p w:rsidR="00B64E72" w14:paraId="22F90D1E" w14:textId="77777777">
            <w:pPr>
              <w:pStyle w:val="TableParagraph"/>
              <w:spacing w:before="92"/>
              <w:rPr>
                <w:sz w:val="20"/>
              </w:rPr>
            </w:pPr>
          </w:p>
          <w:p w:rsidR="00B64E72" w14:paraId="4779073F" w14:textId="77777777">
            <w:pPr>
              <w:pStyle w:val="TableParagraph"/>
              <w:spacing w:line="247" w:lineRule="auto"/>
              <w:ind w:left="182" w:right="177" w:firstLine="108"/>
              <w:jc w:val="both"/>
              <w:rPr>
                <w:sz w:val="20"/>
              </w:rPr>
            </w:pPr>
            <w:r>
              <w:rPr>
                <w:spacing w:val="-2"/>
                <w:sz w:val="20"/>
              </w:rPr>
              <w:t xml:space="preserve">Estimated </w:t>
            </w:r>
            <w:r>
              <w:rPr>
                <w:sz w:val="20"/>
              </w:rPr>
              <w:t xml:space="preserve">Number of </w:t>
            </w:r>
            <w:r>
              <w:rPr>
                <w:spacing w:val="-2"/>
                <w:sz w:val="20"/>
              </w:rPr>
              <w:t>Respondents</w:t>
            </w:r>
          </w:p>
        </w:tc>
        <w:tc>
          <w:tcPr>
            <w:tcW w:w="1267" w:type="dxa"/>
          </w:tcPr>
          <w:p w:rsidR="00B64E72" w14:paraId="0917E371" w14:textId="77777777">
            <w:pPr>
              <w:pStyle w:val="TableParagraph"/>
              <w:spacing w:before="92"/>
              <w:rPr>
                <w:sz w:val="20"/>
              </w:rPr>
            </w:pPr>
          </w:p>
          <w:p w:rsidR="00B64E72" w14:paraId="747D1A93" w14:textId="77777777">
            <w:pPr>
              <w:pStyle w:val="TableParagraph"/>
              <w:spacing w:line="247" w:lineRule="auto"/>
              <w:ind w:left="194" w:right="188" w:firstLine="33"/>
              <w:jc w:val="both"/>
              <w:rPr>
                <w:sz w:val="20"/>
              </w:rPr>
            </w:pPr>
            <w:r>
              <w:rPr>
                <w:spacing w:val="-2"/>
                <w:sz w:val="20"/>
              </w:rPr>
              <w:t xml:space="preserve">Estimated </w:t>
            </w:r>
            <w:r>
              <w:rPr>
                <w:sz w:val="20"/>
              </w:rPr>
              <w:t>Number</w:t>
            </w:r>
            <w:r>
              <w:rPr>
                <w:spacing w:val="-13"/>
                <w:sz w:val="20"/>
              </w:rPr>
              <w:t xml:space="preserve"> </w:t>
            </w:r>
            <w:r>
              <w:rPr>
                <w:sz w:val="20"/>
              </w:rPr>
              <w:t xml:space="preserve">of </w:t>
            </w:r>
            <w:r>
              <w:rPr>
                <w:spacing w:val="-2"/>
                <w:sz w:val="20"/>
              </w:rPr>
              <w:t>Responses</w:t>
            </w:r>
          </w:p>
        </w:tc>
        <w:tc>
          <w:tcPr>
            <w:tcW w:w="1055" w:type="dxa"/>
          </w:tcPr>
          <w:p w:rsidR="00B64E72" w14:paraId="7E715FE7" w14:textId="77777777">
            <w:pPr>
              <w:pStyle w:val="TableParagraph"/>
              <w:spacing w:before="202" w:line="247" w:lineRule="auto"/>
              <w:ind w:left="142" w:right="135" w:hanging="9"/>
              <w:jc w:val="center"/>
              <w:rPr>
                <w:sz w:val="20"/>
              </w:rPr>
            </w:pPr>
            <w:r>
              <w:rPr>
                <w:spacing w:val="-2"/>
                <w:sz w:val="20"/>
              </w:rPr>
              <w:t xml:space="preserve">Burden </w:t>
            </w:r>
            <w:r>
              <w:rPr>
                <w:spacing w:val="-4"/>
                <w:sz w:val="20"/>
              </w:rPr>
              <w:t xml:space="preserve">Per </w:t>
            </w:r>
            <w:r>
              <w:rPr>
                <w:spacing w:val="-2"/>
                <w:sz w:val="20"/>
              </w:rPr>
              <w:t>Response (Hours)</w:t>
            </w:r>
          </w:p>
        </w:tc>
        <w:tc>
          <w:tcPr>
            <w:tcW w:w="1326" w:type="dxa"/>
          </w:tcPr>
          <w:p w:rsidR="00B64E72" w14:paraId="5E790D56" w14:textId="77777777">
            <w:pPr>
              <w:pStyle w:val="TableParagraph"/>
              <w:spacing w:before="92"/>
              <w:rPr>
                <w:sz w:val="20"/>
              </w:rPr>
            </w:pPr>
          </w:p>
          <w:p w:rsidR="00B64E72" w14:paraId="65019626" w14:textId="77777777">
            <w:pPr>
              <w:pStyle w:val="TableParagraph"/>
              <w:spacing w:line="247" w:lineRule="auto"/>
              <w:ind w:left="352" w:right="122" w:hanging="226"/>
              <w:rPr>
                <w:sz w:val="20"/>
              </w:rPr>
            </w:pPr>
            <w:r>
              <w:rPr>
                <w:sz w:val="20"/>
              </w:rPr>
              <w:t>Total</w:t>
            </w:r>
            <w:r>
              <w:rPr>
                <w:spacing w:val="-13"/>
                <w:sz w:val="20"/>
              </w:rPr>
              <w:t xml:space="preserve"> </w:t>
            </w:r>
            <w:r>
              <w:rPr>
                <w:sz w:val="20"/>
              </w:rPr>
              <w:t xml:space="preserve">Annual </w:t>
            </w:r>
            <w:r>
              <w:rPr>
                <w:spacing w:val="-2"/>
                <w:sz w:val="20"/>
              </w:rPr>
              <w:t>Burden (Hours)</w:t>
            </w:r>
          </w:p>
        </w:tc>
        <w:tc>
          <w:tcPr>
            <w:tcW w:w="1137" w:type="dxa"/>
          </w:tcPr>
          <w:p w:rsidR="00B64E72" w14:paraId="08EA1DF4" w14:textId="77777777">
            <w:pPr>
              <w:pStyle w:val="TableParagraph"/>
              <w:spacing w:before="92"/>
              <w:rPr>
                <w:sz w:val="20"/>
              </w:rPr>
            </w:pPr>
          </w:p>
          <w:p w:rsidR="00B64E72" w14:paraId="188BCD92" w14:textId="77777777">
            <w:pPr>
              <w:pStyle w:val="TableParagraph"/>
              <w:spacing w:line="247" w:lineRule="auto"/>
              <w:ind w:left="121" w:right="104" w:hanging="10"/>
              <w:rPr>
                <w:sz w:val="20"/>
              </w:rPr>
            </w:pPr>
            <w:r>
              <w:rPr>
                <w:spacing w:val="-2"/>
                <w:sz w:val="20"/>
              </w:rPr>
              <w:t xml:space="preserve">Total Estimated </w:t>
            </w:r>
            <w:r>
              <w:rPr>
                <w:sz w:val="20"/>
              </w:rPr>
              <w:t>Labor</w:t>
            </w:r>
            <w:r>
              <w:rPr>
                <w:spacing w:val="-13"/>
                <w:sz w:val="20"/>
              </w:rPr>
              <w:t xml:space="preserve"> </w:t>
            </w:r>
            <w:r>
              <w:rPr>
                <w:sz w:val="20"/>
              </w:rPr>
              <w:t>Cost</w:t>
            </w:r>
          </w:p>
        </w:tc>
        <w:tc>
          <w:tcPr>
            <w:tcW w:w="1307" w:type="dxa"/>
          </w:tcPr>
          <w:p w:rsidR="00B64E72" w14:paraId="465A08CB" w14:textId="77777777">
            <w:pPr>
              <w:pStyle w:val="TableParagraph"/>
              <w:spacing w:before="84" w:line="247" w:lineRule="auto"/>
              <w:ind w:left="162" w:right="148" w:hanging="6"/>
              <w:jc w:val="center"/>
              <w:rPr>
                <w:sz w:val="20"/>
              </w:rPr>
            </w:pPr>
            <w:r>
              <w:rPr>
                <w:spacing w:val="-2"/>
                <w:sz w:val="20"/>
              </w:rPr>
              <w:t xml:space="preserve">Total Estimated </w:t>
            </w:r>
            <w:r>
              <w:rPr>
                <w:sz w:val="20"/>
              </w:rPr>
              <w:t>Printing</w:t>
            </w:r>
            <w:r>
              <w:rPr>
                <w:spacing w:val="-13"/>
                <w:sz w:val="20"/>
              </w:rPr>
              <w:t xml:space="preserve"> </w:t>
            </w:r>
            <w:r>
              <w:rPr>
                <w:sz w:val="20"/>
              </w:rPr>
              <w:t xml:space="preserve">and </w:t>
            </w:r>
            <w:r>
              <w:rPr>
                <w:spacing w:val="-2"/>
                <w:sz w:val="20"/>
              </w:rPr>
              <w:t xml:space="preserve">Materials </w:t>
            </w:r>
            <w:r>
              <w:rPr>
                <w:spacing w:val="-4"/>
                <w:sz w:val="20"/>
              </w:rPr>
              <w:t>Cost</w:t>
            </w:r>
          </w:p>
        </w:tc>
        <w:tc>
          <w:tcPr>
            <w:tcW w:w="1276" w:type="dxa"/>
          </w:tcPr>
          <w:p w:rsidR="00B64E72" w14:paraId="07103AC7" w14:textId="77777777">
            <w:pPr>
              <w:pStyle w:val="TableParagraph"/>
              <w:spacing w:before="92"/>
              <w:rPr>
                <w:sz w:val="20"/>
              </w:rPr>
            </w:pPr>
          </w:p>
          <w:p w:rsidR="00B64E72" w14:paraId="14AB8E68" w14:textId="77777777">
            <w:pPr>
              <w:pStyle w:val="TableParagraph"/>
              <w:spacing w:line="247" w:lineRule="auto"/>
              <w:ind w:left="240" w:right="226" w:hanging="5"/>
              <w:jc w:val="center"/>
              <w:rPr>
                <w:sz w:val="20"/>
              </w:rPr>
            </w:pPr>
            <w:r>
              <w:rPr>
                <w:spacing w:val="-2"/>
                <w:sz w:val="20"/>
              </w:rPr>
              <w:t xml:space="preserve">Total Estimated </w:t>
            </w:r>
            <w:r>
              <w:rPr>
                <w:spacing w:val="-4"/>
                <w:sz w:val="20"/>
              </w:rPr>
              <w:t>Cost</w:t>
            </w:r>
          </w:p>
        </w:tc>
      </w:tr>
      <w:tr w14:paraId="18D30199" w14:textId="77777777">
        <w:tblPrEx>
          <w:tblW w:w="0" w:type="auto"/>
          <w:tblInd w:w="1090" w:type="dxa"/>
          <w:tblLayout w:type="fixed"/>
          <w:tblCellMar>
            <w:left w:w="0" w:type="dxa"/>
            <w:right w:w="0" w:type="dxa"/>
          </w:tblCellMar>
          <w:tblLook w:val="01E0"/>
        </w:tblPrEx>
        <w:trPr>
          <w:trHeight w:val="321"/>
        </w:trPr>
        <w:tc>
          <w:tcPr>
            <w:tcW w:w="1394" w:type="dxa"/>
          </w:tcPr>
          <w:p w:rsidR="00B64E72" w14:paraId="7C347337" w14:textId="77777777">
            <w:pPr>
              <w:pStyle w:val="TableParagraph"/>
              <w:spacing w:before="41"/>
              <w:jc w:val="center"/>
              <w:rPr>
                <w:sz w:val="20"/>
              </w:rPr>
            </w:pPr>
            <w:r>
              <w:rPr>
                <w:spacing w:val="-5"/>
                <w:sz w:val="20"/>
              </w:rPr>
              <w:t>44</w:t>
            </w:r>
          </w:p>
        </w:tc>
        <w:tc>
          <w:tcPr>
            <w:tcW w:w="1267" w:type="dxa"/>
          </w:tcPr>
          <w:p w:rsidR="00B64E72" w14:paraId="0334F11B" w14:textId="77777777">
            <w:pPr>
              <w:pStyle w:val="TableParagraph"/>
              <w:spacing w:before="41"/>
              <w:jc w:val="center"/>
              <w:rPr>
                <w:sz w:val="20"/>
              </w:rPr>
            </w:pPr>
            <w:r>
              <w:rPr>
                <w:spacing w:val="-5"/>
                <w:sz w:val="20"/>
              </w:rPr>
              <w:t>44</w:t>
            </w:r>
          </w:p>
        </w:tc>
        <w:tc>
          <w:tcPr>
            <w:tcW w:w="1055" w:type="dxa"/>
          </w:tcPr>
          <w:p w:rsidR="00B64E72" w14:paraId="2112507C" w14:textId="77777777">
            <w:pPr>
              <w:pStyle w:val="TableParagraph"/>
              <w:spacing w:before="41"/>
              <w:jc w:val="center"/>
              <w:rPr>
                <w:sz w:val="20"/>
              </w:rPr>
            </w:pPr>
            <w:r>
              <w:rPr>
                <w:spacing w:val="-5"/>
                <w:sz w:val="20"/>
              </w:rPr>
              <w:t>1.5</w:t>
            </w:r>
          </w:p>
        </w:tc>
        <w:tc>
          <w:tcPr>
            <w:tcW w:w="1326" w:type="dxa"/>
          </w:tcPr>
          <w:p w:rsidR="00B64E72" w14:paraId="56A656F3" w14:textId="77777777">
            <w:pPr>
              <w:pStyle w:val="TableParagraph"/>
              <w:spacing w:before="41"/>
              <w:ind w:left="3"/>
              <w:jc w:val="center"/>
              <w:rPr>
                <w:sz w:val="20"/>
              </w:rPr>
            </w:pPr>
            <w:r>
              <w:rPr>
                <w:spacing w:val="-5"/>
                <w:sz w:val="20"/>
              </w:rPr>
              <w:t>66</w:t>
            </w:r>
          </w:p>
        </w:tc>
        <w:tc>
          <w:tcPr>
            <w:tcW w:w="1137" w:type="dxa"/>
          </w:tcPr>
          <w:p w:rsidR="00B64E72" w14:paraId="46629812" w14:textId="77777777">
            <w:pPr>
              <w:pStyle w:val="TableParagraph"/>
              <w:spacing w:before="41"/>
              <w:ind w:left="289"/>
              <w:rPr>
                <w:sz w:val="20"/>
              </w:rPr>
            </w:pPr>
            <w:r>
              <w:rPr>
                <w:spacing w:val="-2"/>
                <w:sz w:val="20"/>
              </w:rPr>
              <w:t>$4,781</w:t>
            </w:r>
          </w:p>
        </w:tc>
        <w:tc>
          <w:tcPr>
            <w:tcW w:w="1307" w:type="dxa"/>
          </w:tcPr>
          <w:p w:rsidR="00B64E72" w14:paraId="4F70C4AD" w14:textId="77777777">
            <w:pPr>
              <w:pStyle w:val="TableParagraph"/>
              <w:spacing w:before="41"/>
              <w:ind w:left="7"/>
              <w:jc w:val="center"/>
              <w:rPr>
                <w:sz w:val="20"/>
              </w:rPr>
            </w:pPr>
            <w:r>
              <w:rPr>
                <w:spacing w:val="-4"/>
                <w:sz w:val="20"/>
              </w:rPr>
              <w:t>$190</w:t>
            </w:r>
          </w:p>
        </w:tc>
        <w:tc>
          <w:tcPr>
            <w:tcW w:w="1276" w:type="dxa"/>
          </w:tcPr>
          <w:p w:rsidR="00B64E72" w14:paraId="34360E65" w14:textId="77777777">
            <w:pPr>
              <w:pStyle w:val="TableParagraph"/>
              <w:spacing w:before="41"/>
              <w:ind w:left="360"/>
              <w:rPr>
                <w:sz w:val="20"/>
              </w:rPr>
            </w:pPr>
            <w:r>
              <w:rPr>
                <w:spacing w:val="-2"/>
                <w:sz w:val="20"/>
              </w:rPr>
              <w:t>$4,972</w:t>
            </w:r>
          </w:p>
        </w:tc>
      </w:tr>
    </w:tbl>
    <w:p w:rsidR="00B64E72" w14:paraId="71F11A4E" w14:textId="77777777">
      <w:pPr>
        <w:pStyle w:val="BodyText"/>
        <w:spacing w:before="81"/>
      </w:pPr>
    </w:p>
    <w:p w:rsidR="00B64E72" w14:paraId="498B065D" w14:textId="77777777">
      <w:pPr>
        <w:pStyle w:val="ListParagraph"/>
        <w:numPr>
          <w:ilvl w:val="0"/>
          <w:numId w:val="2"/>
        </w:numPr>
        <w:tabs>
          <w:tab w:val="left" w:pos="2234"/>
        </w:tabs>
        <w:spacing w:line="247" w:lineRule="auto"/>
        <w:ind w:right="1681"/>
        <w:rPr>
          <w:sz w:val="24"/>
          <w:u w:val="none"/>
        </w:rPr>
      </w:pPr>
      <w:bookmarkStart w:id="206" w:name="4._Notice_and_Consent_to_Waive_Balance_B"/>
      <w:bookmarkEnd w:id="206"/>
      <w:r>
        <w:rPr>
          <w:sz w:val="24"/>
        </w:rPr>
        <w:t>Notice</w:t>
      </w:r>
      <w:r>
        <w:rPr>
          <w:spacing w:val="-6"/>
          <w:sz w:val="24"/>
        </w:rPr>
        <w:t xml:space="preserve"> </w:t>
      </w:r>
      <w:r>
        <w:rPr>
          <w:sz w:val="24"/>
        </w:rPr>
        <w:t>and</w:t>
      </w:r>
      <w:r>
        <w:rPr>
          <w:spacing w:val="-4"/>
          <w:sz w:val="24"/>
        </w:rPr>
        <w:t xml:space="preserve"> </w:t>
      </w:r>
      <w:r>
        <w:rPr>
          <w:sz w:val="24"/>
        </w:rPr>
        <w:t>Consent</w:t>
      </w:r>
      <w:r>
        <w:rPr>
          <w:spacing w:val="-4"/>
          <w:sz w:val="24"/>
        </w:rPr>
        <w:t xml:space="preserve"> </w:t>
      </w:r>
      <w:r>
        <w:rPr>
          <w:sz w:val="24"/>
        </w:rPr>
        <w:t>to</w:t>
      </w:r>
      <w:r>
        <w:rPr>
          <w:spacing w:val="-4"/>
          <w:sz w:val="24"/>
        </w:rPr>
        <w:t xml:space="preserve"> </w:t>
      </w:r>
      <w:r>
        <w:rPr>
          <w:sz w:val="24"/>
        </w:rPr>
        <w:t>Waive</w:t>
      </w:r>
      <w:r>
        <w:rPr>
          <w:spacing w:val="-4"/>
          <w:sz w:val="24"/>
        </w:rPr>
        <w:t xml:space="preserve"> </w:t>
      </w:r>
      <w:r>
        <w:rPr>
          <w:sz w:val="24"/>
        </w:rPr>
        <w:t>Balance</w:t>
      </w:r>
      <w:r>
        <w:rPr>
          <w:spacing w:val="-5"/>
          <w:sz w:val="24"/>
        </w:rPr>
        <w:t xml:space="preserve"> </w:t>
      </w:r>
      <w:r>
        <w:rPr>
          <w:sz w:val="24"/>
        </w:rPr>
        <w:t>Billing</w:t>
      </w:r>
      <w:r>
        <w:rPr>
          <w:spacing w:val="-4"/>
          <w:sz w:val="24"/>
        </w:rPr>
        <w:t xml:space="preserve"> </w:t>
      </w:r>
      <w:r>
        <w:rPr>
          <w:sz w:val="24"/>
        </w:rPr>
        <w:t>Protections,</w:t>
      </w:r>
      <w:r>
        <w:rPr>
          <w:spacing w:val="-4"/>
          <w:sz w:val="24"/>
        </w:rPr>
        <w:t xml:space="preserve"> </w:t>
      </w:r>
      <w:r>
        <w:rPr>
          <w:sz w:val="24"/>
        </w:rPr>
        <w:t>Retention</w:t>
      </w:r>
      <w:r>
        <w:rPr>
          <w:spacing w:val="-4"/>
          <w:sz w:val="24"/>
        </w:rPr>
        <w:t xml:space="preserve"> </w:t>
      </w:r>
      <w:r>
        <w:rPr>
          <w:sz w:val="24"/>
        </w:rPr>
        <w:t>of</w:t>
      </w:r>
      <w:r>
        <w:rPr>
          <w:spacing w:val="-4"/>
          <w:sz w:val="24"/>
        </w:rPr>
        <w:t xml:space="preserve"> </w:t>
      </w:r>
      <w:r>
        <w:rPr>
          <w:sz w:val="24"/>
        </w:rPr>
        <w:t>Certain</w:t>
      </w:r>
      <w:r>
        <w:rPr>
          <w:sz w:val="24"/>
          <w:u w:val="none"/>
        </w:rPr>
        <w:t xml:space="preserve"> </w:t>
      </w:r>
      <w:r>
        <w:rPr>
          <w:sz w:val="24"/>
        </w:rPr>
        <w:t>Documents, and Notice to Plan or Issuer (45 CFR 149.410(b)-(e), 45 CFR</w:t>
      </w:r>
      <w:r>
        <w:rPr>
          <w:sz w:val="24"/>
          <w:u w:val="none"/>
        </w:rPr>
        <w:t xml:space="preserve"> </w:t>
      </w:r>
      <w:r>
        <w:rPr>
          <w:sz w:val="24"/>
        </w:rPr>
        <w:t>149.420(c) - (</w:t>
      </w:r>
      <w:r>
        <w:rPr>
          <w:sz w:val="24"/>
        </w:rPr>
        <w:t>i</w:t>
      </w:r>
      <w:r>
        <w:rPr>
          <w:sz w:val="24"/>
        </w:rPr>
        <w:t>))</w:t>
      </w:r>
    </w:p>
    <w:p w:rsidR="00B64E72" w14:paraId="75800A81" w14:textId="77777777">
      <w:pPr>
        <w:pStyle w:val="BodyText"/>
        <w:spacing w:before="24"/>
      </w:pPr>
    </w:p>
    <w:p w:rsidR="00B64E72" w14:paraId="4C1FE635" w14:textId="77777777">
      <w:pPr>
        <w:pStyle w:val="BodyText"/>
        <w:spacing w:line="259" w:lineRule="auto"/>
        <w:ind w:left="1512" w:right="1092"/>
      </w:pPr>
      <w:r>
        <w:t>In order to meet the notice and consent requirements of the July 2021 interim final rules, nonparticipating providers and emergency facilities must provide the participant, beneficiary, or enrollee with a notice, meet certain timing requirements, and obtain consent from the participant, beneficiary, or enrollee as described in 45 CFR 149.410 and 149.420. The provided notice must: (1) state that the health care provider or facility is a nonparticipating provider or facility; (2) include the good faith estima</w:t>
      </w:r>
      <w:r>
        <w:t>te of what the individual may be charged, including any item or service that is reasonably expected to be provided</w:t>
      </w:r>
      <w:r>
        <w:rPr>
          <w:spacing w:val="-4"/>
        </w:rPr>
        <w:t xml:space="preserve"> </w:t>
      </w:r>
      <w:r>
        <w:t>in</w:t>
      </w:r>
      <w:r>
        <w:rPr>
          <w:spacing w:val="-4"/>
        </w:rPr>
        <w:t xml:space="preserve"> </w:t>
      </w:r>
      <w:r>
        <w:t>conjunction</w:t>
      </w:r>
      <w:r>
        <w:rPr>
          <w:spacing w:val="-4"/>
        </w:rPr>
        <w:t xml:space="preserve"> </w:t>
      </w:r>
      <w:r>
        <w:t>with</w:t>
      </w:r>
      <w:r>
        <w:rPr>
          <w:spacing w:val="-4"/>
        </w:rPr>
        <w:t xml:space="preserve"> </w:t>
      </w:r>
      <w:r>
        <w:t>such</w:t>
      </w:r>
      <w:r>
        <w:rPr>
          <w:spacing w:val="-4"/>
        </w:rPr>
        <w:t xml:space="preserve"> </w:t>
      </w:r>
      <w:r>
        <w:t>items</w:t>
      </w:r>
      <w:r>
        <w:rPr>
          <w:spacing w:val="-4"/>
        </w:rPr>
        <w:t xml:space="preserve"> </w:t>
      </w:r>
      <w:r>
        <w:t>and</w:t>
      </w:r>
      <w:r>
        <w:rPr>
          <w:spacing w:val="-4"/>
        </w:rPr>
        <w:t xml:space="preserve"> </w:t>
      </w:r>
      <w:r>
        <w:t>services;</w:t>
      </w:r>
      <w:r>
        <w:rPr>
          <w:spacing w:val="-4"/>
        </w:rPr>
        <w:t xml:space="preserve"> </w:t>
      </w:r>
      <w:r>
        <w:t>(3)</w:t>
      </w:r>
      <w:r>
        <w:rPr>
          <w:spacing w:val="-5"/>
        </w:rPr>
        <w:t xml:space="preserve"> </w:t>
      </w:r>
      <w:r>
        <w:t>provide</w:t>
      </w:r>
      <w:r>
        <w:rPr>
          <w:spacing w:val="-5"/>
        </w:rPr>
        <w:t xml:space="preserve"> </w:t>
      </w:r>
      <w:r>
        <w:t>information</w:t>
      </w:r>
      <w:r>
        <w:rPr>
          <w:spacing w:val="-4"/>
        </w:rPr>
        <w:t xml:space="preserve"> </w:t>
      </w:r>
      <w:r>
        <w:t>about</w:t>
      </w:r>
      <w:r>
        <w:rPr>
          <w:spacing w:val="-4"/>
        </w:rPr>
        <w:t xml:space="preserve"> </w:t>
      </w:r>
      <w:r>
        <w:t xml:space="preserve">whether prior authorization or other care management limitations may be required; and (4) clearly state that consent to receive such items or services is optional and that the participant, beneficiary, or enrollee may instead seek care from an available participating provider, in which case the individual’s cost-sharing </w:t>
      </w:r>
      <w:r>
        <w:t>responsibility would be at the in-network level. In cases where post-stabilization services are furnished by a nonparticipating provider at a participating</w:t>
      </w:r>
      <w:r>
        <w:rPr>
          <w:spacing w:val="-1"/>
        </w:rPr>
        <w:t xml:space="preserve"> </w:t>
      </w:r>
      <w:r>
        <w:t>emergency facility,</w:t>
      </w:r>
      <w:r>
        <w:rPr>
          <w:spacing w:val="-1"/>
        </w:rPr>
        <w:t xml:space="preserve"> </w:t>
      </w:r>
      <w:r>
        <w:t>the</w:t>
      </w:r>
      <w:r>
        <w:rPr>
          <w:spacing w:val="-1"/>
        </w:rPr>
        <w:t xml:space="preserve"> </w:t>
      </w:r>
      <w:r>
        <w:t>notice</w:t>
      </w:r>
      <w:r>
        <w:rPr>
          <w:spacing w:val="-3"/>
        </w:rPr>
        <w:t xml:space="preserve"> </w:t>
      </w:r>
      <w:r>
        <w:t>must</w:t>
      </w:r>
      <w:r>
        <w:rPr>
          <w:spacing w:val="-1"/>
        </w:rPr>
        <w:t xml:space="preserve"> </w:t>
      </w:r>
      <w:r>
        <w:t>also</w:t>
      </w:r>
      <w:r>
        <w:rPr>
          <w:spacing w:val="-1"/>
        </w:rPr>
        <w:t xml:space="preserve"> </w:t>
      </w:r>
      <w:r>
        <w:t>include</w:t>
      </w:r>
      <w:r>
        <w:rPr>
          <w:spacing w:val="-1"/>
        </w:rPr>
        <w:t xml:space="preserve"> </w:t>
      </w:r>
      <w:r>
        <w:t>a</w:t>
      </w:r>
      <w:r>
        <w:rPr>
          <w:spacing w:val="-3"/>
        </w:rPr>
        <w:t xml:space="preserve"> </w:t>
      </w:r>
      <w:r>
        <w:t>list</w:t>
      </w:r>
      <w:r>
        <w:rPr>
          <w:spacing w:val="-1"/>
        </w:rPr>
        <w:t xml:space="preserve"> </w:t>
      </w:r>
      <w:r>
        <w:t>of</w:t>
      </w:r>
      <w:r>
        <w:rPr>
          <w:spacing w:val="-1"/>
        </w:rPr>
        <w:t xml:space="preserve"> </w:t>
      </w:r>
      <w:r>
        <w:t>participating</w:t>
      </w:r>
      <w:r>
        <w:rPr>
          <w:spacing w:val="-1"/>
        </w:rPr>
        <w:t xml:space="preserve"> </w:t>
      </w:r>
      <w:r>
        <w:t>providers at the participating emergency facility who are able to furnish the items or services involved and inform the individual that they may be referred, at their option, to such a participating provider. Additionally, a nonparticipating provider or emergency facility must provi</w:t>
      </w:r>
      <w:r>
        <w:t>de the participant, beneficiary, or enrollee, or such individual’s authorized representative, with the notice and consent documents in any of the 15 most common languages in the state, or a geographic region that reasonably reflects the geographic region served by the applicable facility. If the individual’s preferred language is not among the 15 most common languages made available or the individual cannot understand the language in which the notice and consent document are</w:t>
      </w:r>
      <w:r>
        <w:rPr>
          <w:spacing w:val="-1"/>
        </w:rPr>
        <w:t xml:space="preserve"> </w:t>
      </w:r>
      <w:r>
        <w:t>provided, the individual must be</w:t>
      </w:r>
      <w:r>
        <w:t xml:space="preserve"> provided with a qualified interpreter. HHS has specified mandatory notice and consent forms that will require customization by the provider or facility. To the extent a state develops notice and consent documents that meet the</w:t>
      </w:r>
      <w:r>
        <w:rPr>
          <w:spacing w:val="-1"/>
        </w:rPr>
        <w:t xml:space="preserve"> </w:t>
      </w:r>
      <w:r>
        <w:t>statutory and regulatory requirements, the</w:t>
      </w:r>
      <w:r>
        <w:rPr>
          <w:spacing w:val="-1"/>
        </w:rPr>
        <w:t xml:space="preserve"> </w:t>
      </w:r>
      <w:r>
        <w:t xml:space="preserve">state-developed documents will meet the Secretary’s specifications regarding the form and manner of the notice and consent </w:t>
      </w:r>
      <w:r>
        <w:rPr>
          <w:spacing w:val="-2"/>
        </w:rPr>
        <w:t>documents.</w:t>
      </w:r>
    </w:p>
    <w:p w:rsidR="00B64E72" w14:paraId="7ECF5618" w14:textId="77777777">
      <w:pPr>
        <w:pStyle w:val="BodyText"/>
        <w:spacing w:before="17"/>
      </w:pPr>
    </w:p>
    <w:p w:rsidR="00B64E72" w14:paraId="7326C490" w14:textId="77777777">
      <w:pPr>
        <w:pStyle w:val="BodyText"/>
        <w:spacing w:line="259" w:lineRule="auto"/>
        <w:ind w:left="1512" w:right="1099"/>
      </w:pPr>
      <w:bookmarkStart w:id="207" w:name="In_addition_to_providing_the_required_no"/>
      <w:bookmarkEnd w:id="207"/>
      <w:r>
        <w:t>In</w:t>
      </w:r>
      <w:r>
        <w:rPr>
          <w:spacing w:val="-2"/>
        </w:rPr>
        <w:t xml:space="preserve"> </w:t>
      </w:r>
      <w:r>
        <w:t>addition</w:t>
      </w:r>
      <w:r>
        <w:rPr>
          <w:spacing w:val="-3"/>
        </w:rPr>
        <w:t xml:space="preserve"> </w:t>
      </w:r>
      <w:r>
        <w:t>to</w:t>
      </w:r>
      <w:r>
        <w:rPr>
          <w:spacing w:val="-3"/>
        </w:rPr>
        <w:t xml:space="preserve"> </w:t>
      </w:r>
      <w:r>
        <w:t>providing</w:t>
      </w:r>
      <w:r>
        <w:rPr>
          <w:spacing w:val="-3"/>
        </w:rPr>
        <w:t xml:space="preserve"> </w:t>
      </w:r>
      <w:r>
        <w:t>the</w:t>
      </w:r>
      <w:r>
        <w:rPr>
          <w:spacing w:val="-3"/>
        </w:rPr>
        <w:t xml:space="preserve"> </w:t>
      </w:r>
      <w:r>
        <w:t>required</w:t>
      </w:r>
      <w:r>
        <w:rPr>
          <w:spacing w:val="-3"/>
        </w:rPr>
        <w:t xml:space="preserve"> </w:t>
      </w:r>
      <w:r>
        <w:t>notice</w:t>
      </w:r>
      <w:r>
        <w:rPr>
          <w:spacing w:val="-4"/>
        </w:rPr>
        <w:t xml:space="preserve"> </w:t>
      </w:r>
      <w:r>
        <w:t>and</w:t>
      </w:r>
      <w:r>
        <w:rPr>
          <w:spacing w:val="-2"/>
        </w:rPr>
        <w:t xml:space="preserve"> </w:t>
      </w:r>
      <w:r>
        <w:t>consent (in</w:t>
      </w:r>
      <w:r>
        <w:rPr>
          <w:spacing w:val="-3"/>
        </w:rPr>
        <w:t xml:space="preserve"> </w:t>
      </w:r>
      <w:r>
        <w:t>instances</w:t>
      </w:r>
      <w:r>
        <w:rPr>
          <w:spacing w:val="-3"/>
        </w:rPr>
        <w:t xml:space="preserve"> </w:t>
      </w:r>
      <w:r>
        <w:t>where</w:t>
      </w:r>
      <w:r>
        <w:rPr>
          <w:spacing w:val="-3"/>
        </w:rPr>
        <w:t xml:space="preserve"> </w:t>
      </w:r>
      <w:r>
        <w:t>the</w:t>
      </w:r>
      <w:r>
        <w:rPr>
          <w:spacing w:val="-3"/>
        </w:rPr>
        <w:t xml:space="preserve"> </w:t>
      </w:r>
      <w:r>
        <w:t>provider</w:t>
      </w:r>
      <w:r>
        <w:rPr>
          <w:spacing w:val="-5"/>
        </w:rPr>
        <w:t xml:space="preserve"> </w:t>
      </w:r>
      <w:r>
        <w:t>or facility chooses to do so), nonparticipating emergency facilities, participating health care</w:t>
      </w:r>
    </w:p>
    <w:p w:rsidR="00B64E72" w14:paraId="314FAD3E" w14:textId="77777777">
      <w:pPr>
        <w:pStyle w:val="BodyText"/>
        <w:spacing w:line="259" w:lineRule="auto"/>
        <w:sectPr>
          <w:pgSz w:w="12240" w:h="15840"/>
          <w:pgMar w:top="1420" w:right="360" w:bottom="1280" w:left="360" w:header="0" w:footer="1094" w:gutter="0"/>
          <w:cols w:space="720"/>
        </w:sectPr>
      </w:pPr>
    </w:p>
    <w:p w:rsidR="00B64E72" w14:paraId="58B5F0C6" w14:textId="77777777">
      <w:pPr>
        <w:pStyle w:val="BodyText"/>
        <w:spacing w:before="79" w:line="259" w:lineRule="auto"/>
        <w:ind w:left="1512" w:right="1099"/>
      </w:pPr>
      <w:bookmarkStart w:id="208" w:name="facilities_on_behalf_of_nonparticipating"/>
      <w:bookmarkEnd w:id="208"/>
      <w:r>
        <w:t>facilities on behalf of nonparticipating providers, and nonparticipating providers are obligated</w:t>
      </w:r>
      <w:r>
        <w:rPr>
          <w:spacing w:val="-3"/>
        </w:rPr>
        <w:t xml:space="preserve"> </w:t>
      </w:r>
      <w:r>
        <w:t>to</w:t>
      </w:r>
      <w:r>
        <w:rPr>
          <w:spacing w:val="-3"/>
        </w:rPr>
        <w:t xml:space="preserve"> </w:t>
      </w:r>
      <w:r>
        <w:t>retain</w:t>
      </w:r>
      <w:r>
        <w:rPr>
          <w:spacing w:val="-3"/>
        </w:rPr>
        <w:t xml:space="preserve"> </w:t>
      </w:r>
      <w:r>
        <w:t>written</w:t>
      </w:r>
      <w:r>
        <w:rPr>
          <w:spacing w:val="-3"/>
        </w:rPr>
        <w:t xml:space="preserve"> </w:t>
      </w:r>
      <w:r>
        <w:t>notice</w:t>
      </w:r>
      <w:r>
        <w:rPr>
          <w:spacing w:val="-4"/>
        </w:rPr>
        <w:t xml:space="preserve"> </w:t>
      </w:r>
      <w:r>
        <w:t>and</w:t>
      </w:r>
      <w:r>
        <w:rPr>
          <w:spacing w:val="-3"/>
        </w:rPr>
        <w:t xml:space="preserve"> </w:t>
      </w:r>
      <w:r>
        <w:t>consent</w:t>
      </w:r>
      <w:r>
        <w:rPr>
          <w:spacing w:val="-3"/>
        </w:rPr>
        <w:t xml:space="preserve"> </w:t>
      </w:r>
      <w:r>
        <w:t>documents</w:t>
      </w:r>
      <w:r>
        <w:rPr>
          <w:spacing w:val="-3"/>
        </w:rPr>
        <w:t xml:space="preserve"> </w:t>
      </w:r>
      <w:r>
        <w:t>for</w:t>
      </w:r>
      <w:r>
        <w:rPr>
          <w:spacing w:val="-5"/>
        </w:rPr>
        <w:t xml:space="preserve"> </w:t>
      </w:r>
      <w:r>
        <w:t>at</w:t>
      </w:r>
      <w:r>
        <w:rPr>
          <w:spacing w:val="-3"/>
        </w:rPr>
        <w:t xml:space="preserve"> </w:t>
      </w:r>
      <w:r>
        <w:t>least</w:t>
      </w:r>
      <w:r>
        <w:rPr>
          <w:spacing w:val="-3"/>
        </w:rPr>
        <w:t xml:space="preserve"> </w:t>
      </w:r>
      <w:r>
        <w:t>a</w:t>
      </w:r>
      <w:r>
        <w:rPr>
          <w:spacing w:val="-3"/>
        </w:rPr>
        <w:t xml:space="preserve"> </w:t>
      </w:r>
      <w:r>
        <w:t>7-year</w:t>
      </w:r>
      <w:r>
        <w:rPr>
          <w:spacing w:val="-3"/>
        </w:rPr>
        <w:t xml:space="preserve"> </w:t>
      </w:r>
      <w:r>
        <w:t>period</w:t>
      </w:r>
      <w:r>
        <w:rPr>
          <w:spacing w:val="-2"/>
        </w:rPr>
        <w:t xml:space="preserve"> </w:t>
      </w:r>
      <w:r>
        <w:t>after</w:t>
      </w:r>
      <w:r>
        <w:rPr>
          <w:spacing w:val="-3"/>
        </w:rPr>
        <w:t xml:space="preserve"> </w:t>
      </w:r>
      <w:r>
        <w:t>the date on which the item or service in question was furnished.</w:t>
      </w:r>
    </w:p>
    <w:p w:rsidR="00B64E72" w14:paraId="56E2C02F" w14:textId="77777777">
      <w:pPr>
        <w:pStyle w:val="BodyText"/>
        <w:spacing w:before="20"/>
      </w:pPr>
    </w:p>
    <w:p w:rsidR="00B64E72" w14:paraId="53F3A643" w14:textId="77777777">
      <w:pPr>
        <w:pStyle w:val="BodyText"/>
        <w:spacing w:line="259" w:lineRule="auto"/>
        <w:ind w:left="1512" w:right="1099"/>
      </w:pPr>
      <w:bookmarkStart w:id="209" w:name="Where_the_notice_and_consent_requirement"/>
      <w:bookmarkEnd w:id="209"/>
      <w:r>
        <w:t>Where the notice and consent requirements described in the July 2021 interim final rules have been met, the nonparticipating provider, the</w:t>
      </w:r>
      <w:r>
        <w:rPr>
          <w:spacing w:val="-1"/>
        </w:rPr>
        <w:t xml:space="preserve"> </w:t>
      </w:r>
      <w:r>
        <w:t>participating health care facility on behalf of the nonparticipating provider, or the nonparticipating emergency facility, as applicable, must timely notify the plan or issuer, respectively, that the notice and consent criteria have been met, and if applicable, provide to the plan or issuer a copy of the signed notice and consent documents. In instances where, to the extent permitted by the rules, the nonparticipating provider bills the participant, beneficiary, or enrollee directly, the provider may satis</w:t>
      </w:r>
      <w:r>
        <w:t>fy the requirement to notify the plan or issuer by including the notice and consent documents</w:t>
      </w:r>
      <w:r>
        <w:rPr>
          <w:spacing w:val="-4"/>
        </w:rPr>
        <w:t xml:space="preserve"> </w:t>
      </w:r>
      <w:r>
        <w:t>with</w:t>
      </w:r>
      <w:r>
        <w:rPr>
          <w:spacing w:val="-4"/>
        </w:rPr>
        <w:t xml:space="preserve"> </w:t>
      </w:r>
      <w:r>
        <w:t>the</w:t>
      </w:r>
      <w:r>
        <w:rPr>
          <w:spacing w:val="-4"/>
        </w:rPr>
        <w:t xml:space="preserve"> </w:t>
      </w:r>
      <w:r>
        <w:t>bill</w:t>
      </w:r>
      <w:r>
        <w:rPr>
          <w:spacing w:val="-4"/>
        </w:rPr>
        <w:t xml:space="preserve"> </w:t>
      </w:r>
      <w:r>
        <w:t>to</w:t>
      </w:r>
      <w:r>
        <w:rPr>
          <w:spacing w:val="-4"/>
        </w:rPr>
        <w:t xml:space="preserve"> </w:t>
      </w:r>
      <w:r>
        <w:t>the</w:t>
      </w:r>
      <w:r>
        <w:rPr>
          <w:spacing w:val="-4"/>
        </w:rPr>
        <w:t xml:space="preserve"> </w:t>
      </w:r>
      <w:r>
        <w:t>participant,</w:t>
      </w:r>
      <w:r>
        <w:rPr>
          <w:spacing w:val="-4"/>
        </w:rPr>
        <w:t xml:space="preserve"> </w:t>
      </w:r>
      <w:r>
        <w:t>beneficiary,</w:t>
      </w:r>
      <w:r>
        <w:rPr>
          <w:spacing w:val="-4"/>
        </w:rPr>
        <w:t xml:space="preserve"> </w:t>
      </w:r>
      <w:r>
        <w:t>or</w:t>
      </w:r>
      <w:r>
        <w:rPr>
          <w:spacing w:val="-3"/>
        </w:rPr>
        <w:t xml:space="preserve"> </w:t>
      </w:r>
      <w:r>
        <w:t>enrollee.</w:t>
      </w:r>
      <w:r>
        <w:rPr>
          <w:spacing w:val="-2"/>
        </w:rPr>
        <w:t xml:space="preserve"> </w:t>
      </w:r>
      <w:r>
        <w:t>In</w:t>
      </w:r>
      <w:r>
        <w:rPr>
          <w:spacing w:val="-2"/>
        </w:rPr>
        <w:t xml:space="preserve"> </w:t>
      </w:r>
      <w:r>
        <w:t>addition,</w:t>
      </w:r>
      <w:r>
        <w:rPr>
          <w:spacing w:val="-4"/>
        </w:rPr>
        <w:t xml:space="preserve"> </w:t>
      </w:r>
      <w:r>
        <w:t>for</w:t>
      </w:r>
      <w:r>
        <w:rPr>
          <w:spacing w:val="-4"/>
        </w:rPr>
        <w:t xml:space="preserve"> </w:t>
      </w:r>
      <w:r>
        <w:t>items</w:t>
      </w:r>
      <w:r>
        <w:rPr>
          <w:spacing w:val="-4"/>
        </w:rPr>
        <w:t xml:space="preserve"> </w:t>
      </w:r>
      <w:r>
        <w:t>and services furnished by a nonparticipating provider with respect to a patient visit at a participating health care facility, the provider (or the participating facility on behalf of the provider) must timely notify the plan or issuer that the item or service was furnished with respect to a visit at a participating health care facil</w:t>
      </w:r>
      <w:r>
        <w:t>ity.</w:t>
      </w:r>
    </w:p>
    <w:p w:rsidR="00B64E72" w14:paraId="453E345A" w14:textId="77777777">
      <w:pPr>
        <w:pStyle w:val="BodyText"/>
        <w:spacing w:before="21"/>
      </w:pPr>
    </w:p>
    <w:p w:rsidR="00B64E72" w14:paraId="7E6B3CA1" w14:textId="77777777">
      <w:pPr>
        <w:pStyle w:val="BodyText"/>
        <w:spacing w:before="1" w:line="259" w:lineRule="auto"/>
        <w:ind w:left="1512" w:right="1076"/>
      </w:pPr>
      <w:bookmarkStart w:id="210" w:name="HHS_assumes_that_emergency_facilities_an"/>
      <w:bookmarkEnd w:id="210"/>
      <w:r>
        <w:t>HHS assumes that emergency facilities and health care facilities will provide the notice and obtain consent on behalf of nonparticipating providers, retain records, and notify plans and issuers. HHS estimates that a total of 17,467 health care facilities and emergency departments (including 6,090 hospi</w:t>
      </w:r>
      <w:bookmarkStart w:id="211" w:name="19"/>
      <w:bookmarkEnd w:id="211"/>
      <w:r>
        <w:t>tals,</w:t>
      </w:r>
      <w:hyperlink w:anchor="_bookmark18" w:history="1">
        <w:r>
          <w:rPr>
            <w:vertAlign w:val="superscript"/>
          </w:rPr>
          <w:t>19</w:t>
        </w:r>
      </w:hyperlink>
      <w:r>
        <w:t xml:space="preserve"> 475 hospital-affiliated satellite and 270 independent</w:t>
      </w:r>
      <w:r>
        <w:rPr>
          <w:spacing w:val="-5"/>
        </w:rPr>
        <w:t xml:space="preserve"> </w:t>
      </w:r>
      <w:r>
        <w:t>freestanding</w:t>
      </w:r>
      <w:r>
        <w:rPr>
          <w:spacing w:val="-3"/>
        </w:rPr>
        <w:t xml:space="preserve"> </w:t>
      </w:r>
      <w:r>
        <w:t>emergency</w:t>
      </w:r>
      <w:r>
        <w:rPr>
          <w:spacing w:val="-5"/>
        </w:rPr>
        <w:t xml:space="preserve"> </w:t>
      </w:r>
      <w:r>
        <w:t>departments,</w:t>
      </w:r>
      <w:bookmarkStart w:id="212" w:name="20"/>
      <w:bookmarkEnd w:id="212"/>
      <w:hyperlink w:anchor="_bookmark19" w:history="1">
        <w:r>
          <w:rPr>
            <w:vertAlign w:val="superscript"/>
          </w:rPr>
          <w:t>20</w:t>
        </w:r>
      </w:hyperlink>
      <w:r>
        <w:rPr>
          <w:spacing w:val="-4"/>
        </w:rPr>
        <w:t xml:space="preserve"> </w:t>
      </w:r>
      <w:r>
        <w:t>9,280</w:t>
      </w:r>
      <w:r>
        <w:rPr>
          <w:spacing w:val="-5"/>
        </w:rPr>
        <w:t xml:space="preserve"> </w:t>
      </w:r>
      <w:r>
        <w:t>ambulatory</w:t>
      </w:r>
      <w:r>
        <w:rPr>
          <w:spacing w:val="-5"/>
        </w:rPr>
        <w:t xml:space="preserve"> </w:t>
      </w:r>
      <w:r>
        <w:t>surgical</w:t>
      </w:r>
      <w:r>
        <w:rPr>
          <w:spacing w:val="-5"/>
        </w:rPr>
        <w:t xml:space="preserve"> </w:t>
      </w:r>
      <w:r>
        <w:t>centers,</w:t>
      </w:r>
      <w:bookmarkStart w:id="213" w:name="21"/>
      <w:bookmarkEnd w:id="213"/>
      <w:hyperlink w:anchor="_bookmark20" w:history="1">
        <w:r>
          <w:rPr>
            <w:vertAlign w:val="superscript"/>
          </w:rPr>
          <w:t>21</w:t>
        </w:r>
      </w:hyperlink>
      <w:r>
        <w:rPr>
          <w:spacing w:val="-4"/>
        </w:rPr>
        <w:t xml:space="preserve"> </w:t>
      </w:r>
      <w:r>
        <w:t>and 1,352 critical access hospitals) will be subject to these requirements. HHS assumes that for hospital-affiliated satellite freestanding emergency departments, the notice and consent will be developed by the parent hospital. HHS previously estimated that the one-time burden to develop the notice and consent documents was incurred by 16,992 emergency facilities and health care facilities in 2021. Therefore, HHS is only including ongoing annual costs related to these requirements.</w:t>
      </w:r>
    </w:p>
    <w:p w:rsidR="00B64E72" w14:paraId="7301E7D1" w14:textId="77777777">
      <w:pPr>
        <w:pStyle w:val="BodyText"/>
        <w:spacing w:before="19"/>
      </w:pPr>
    </w:p>
    <w:p w:rsidR="00B64E72" w14:paraId="2B273C88" w14:textId="77777777">
      <w:pPr>
        <w:pStyle w:val="BodyText"/>
        <w:spacing w:line="259" w:lineRule="auto"/>
        <w:ind w:left="1512" w:right="1570"/>
      </w:pPr>
      <w:r>
        <w:t>In</w:t>
      </w:r>
      <w:r>
        <w:rPr>
          <w:spacing w:val="-3"/>
        </w:rPr>
        <w:t xml:space="preserve"> </w:t>
      </w:r>
      <w:r>
        <w:t>order</w:t>
      </w:r>
      <w:r>
        <w:rPr>
          <w:spacing w:val="-3"/>
        </w:rPr>
        <w:t xml:space="preserve"> </w:t>
      </w:r>
      <w:r>
        <w:t>to</w:t>
      </w:r>
      <w:r>
        <w:rPr>
          <w:spacing w:val="-3"/>
        </w:rPr>
        <w:t xml:space="preserve"> </w:t>
      </w:r>
      <w:r>
        <w:t>meet</w:t>
      </w:r>
      <w:r>
        <w:rPr>
          <w:spacing w:val="-3"/>
        </w:rPr>
        <w:t xml:space="preserve"> </w:t>
      </w:r>
      <w:r>
        <w:t>the</w:t>
      </w:r>
      <w:r>
        <w:rPr>
          <w:spacing w:val="-4"/>
        </w:rPr>
        <w:t xml:space="preserve"> </w:t>
      </w:r>
      <w:r>
        <w:t>notice</w:t>
      </w:r>
      <w:r>
        <w:rPr>
          <w:spacing w:val="-4"/>
        </w:rPr>
        <w:t xml:space="preserve"> </w:t>
      </w:r>
      <w:r>
        <w:t>and</w:t>
      </w:r>
      <w:r>
        <w:rPr>
          <w:spacing w:val="-3"/>
        </w:rPr>
        <w:t xml:space="preserve"> </w:t>
      </w:r>
      <w:r>
        <w:t>consent</w:t>
      </w:r>
      <w:r>
        <w:rPr>
          <w:spacing w:val="-1"/>
        </w:rPr>
        <w:t xml:space="preserve"> </w:t>
      </w:r>
      <w:r>
        <w:t>requirements</w:t>
      </w:r>
      <w:r>
        <w:rPr>
          <w:spacing w:val="-3"/>
        </w:rPr>
        <w:t xml:space="preserve"> </w:t>
      </w:r>
      <w:r>
        <w:t>of</w:t>
      </w:r>
      <w:r>
        <w:rPr>
          <w:spacing w:val="-3"/>
        </w:rPr>
        <w:t xml:space="preserve"> </w:t>
      </w:r>
      <w:r>
        <w:t>45</w:t>
      </w:r>
      <w:r>
        <w:rPr>
          <w:spacing w:val="-3"/>
        </w:rPr>
        <w:t xml:space="preserve"> </w:t>
      </w:r>
      <w:r>
        <w:t>CFR</w:t>
      </w:r>
      <w:r>
        <w:rPr>
          <w:spacing w:val="-3"/>
        </w:rPr>
        <w:t xml:space="preserve"> </w:t>
      </w:r>
      <w:r>
        <w:t>149.420</w:t>
      </w:r>
      <w:r>
        <w:rPr>
          <w:spacing w:val="-3"/>
        </w:rPr>
        <w:t xml:space="preserve"> </w:t>
      </w:r>
      <w:r>
        <w:t>with</w:t>
      </w:r>
      <w:r>
        <w:rPr>
          <w:spacing w:val="-3"/>
        </w:rPr>
        <w:t xml:space="preserve"> </w:t>
      </w:r>
      <w:r>
        <w:t>respect</w:t>
      </w:r>
      <w:r>
        <w:rPr>
          <w:spacing w:val="-3"/>
        </w:rPr>
        <w:t xml:space="preserve"> </w:t>
      </w:r>
      <w:r>
        <w:t>to post-stabilization services, when emergency services are provided by nonparticipating providers or emergency facilities, the provider or facility must provide the participant,</w:t>
      </w:r>
    </w:p>
    <w:p w:rsidR="00B64E72" w14:paraId="1B49EDC6" w14:textId="77777777">
      <w:pPr>
        <w:pStyle w:val="BodyText"/>
        <w:spacing w:line="259" w:lineRule="auto"/>
        <w:ind w:left="1512" w:right="1086"/>
      </w:pPr>
      <w:r>
        <w:t>beneficiary,</w:t>
      </w:r>
      <w:r>
        <w:rPr>
          <w:spacing w:val="-3"/>
        </w:rPr>
        <w:t xml:space="preserve"> </w:t>
      </w:r>
      <w:r>
        <w:t>or</w:t>
      </w:r>
      <w:r>
        <w:rPr>
          <w:spacing w:val="-5"/>
        </w:rPr>
        <w:t xml:space="preserve"> </w:t>
      </w:r>
      <w:r>
        <w:t>enrollee</w:t>
      </w:r>
      <w:r>
        <w:rPr>
          <w:spacing w:val="-2"/>
        </w:rPr>
        <w:t xml:space="preserve"> </w:t>
      </w:r>
      <w:r>
        <w:t>with</w:t>
      </w:r>
      <w:r>
        <w:rPr>
          <w:spacing w:val="-3"/>
        </w:rPr>
        <w:t xml:space="preserve"> </w:t>
      </w:r>
      <w:r>
        <w:t>a</w:t>
      </w:r>
      <w:r>
        <w:rPr>
          <w:spacing w:val="-3"/>
        </w:rPr>
        <w:t xml:space="preserve"> </w:t>
      </w:r>
      <w:r>
        <w:t>notice</w:t>
      </w:r>
      <w:r>
        <w:rPr>
          <w:spacing w:val="-5"/>
        </w:rPr>
        <w:t xml:space="preserve"> </w:t>
      </w:r>
      <w:r>
        <w:t>and</w:t>
      </w:r>
      <w:r>
        <w:rPr>
          <w:spacing w:val="-3"/>
        </w:rPr>
        <w:t xml:space="preserve"> </w:t>
      </w:r>
      <w:r>
        <w:t>obtain</w:t>
      </w:r>
      <w:r>
        <w:rPr>
          <w:spacing w:val="-1"/>
        </w:rPr>
        <w:t xml:space="preserve"> </w:t>
      </w:r>
      <w:r>
        <w:t>consent</w:t>
      </w:r>
      <w:r>
        <w:rPr>
          <w:spacing w:val="-3"/>
        </w:rPr>
        <w:t xml:space="preserve"> </w:t>
      </w:r>
      <w:r>
        <w:t>to</w:t>
      </w:r>
      <w:r>
        <w:rPr>
          <w:spacing w:val="-3"/>
        </w:rPr>
        <w:t xml:space="preserve"> </w:t>
      </w:r>
      <w:r>
        <w:t>be</w:t>
      </w:r>
      <w:r>
        <w:rPr>
          <w:spacing w:val="-4"/>
        </w:rPr>
        <w:t xml:space="preserve"> </w:t>
      </w:r>
      <w:r>
        <w:t>treated</w:t>
      </w:r>
      <w:r>
        <w:rPr>
          <w:spacing w:val="-3"/>
        </w:rPr>
        <w:t xml:space="preserve"> </w:t>
      </w:r>
      <w:r>
        <w:t>by</w:t>
      </w:r>
      <w:r>
        <w:rPr>
          <w:spacing w:val="-3"/>
        </w:rPr>
        <w:t xml:space="preserve"> </w:t>
      </w:r>
      <w:r>
        <w:t>the</w:t>
      </w:r>
      <w:r>
        <w:rPr>
          <w:spacing w:val="-4"/>
        </w:rPr>
        <w:t xml:space="preserve"> </w:t>
      </w:r>
      <w:r>
        <w:t>nonparticipating provider or emergency facility. HHS estimates there are approximately 5,533 emergency departments (including hospital-affiliated satellite and independent freestanding emergency</w:t>
      </w:r>
    </w:p>
    <w:p w:rsidR="00B64E72" w14:paraId="7E337987" w14:textId="77777777">
      <w:pPr>
        <w:pStyle w:val="BodyText"/>
        <w:spacing w:before="2"/>
        <w:rPr>
          <w:sz w:val="16"/>
        </w:rPr>
      </w:pPr>
      <w:r>
        <w:rPr>
          <w:noProof/>
          <w:sz w:val="16"/>
        </w:rPr>
        <mc:AlternateContent>
          <mc:Choice Requires="wps">
            <w:drawing>
              <wp:anchor distT="0" distB="0" distL="0" distR="0" simplePos="0" relativeHeight="251680768" behindDoc="1" locked="0" layoutInCell="1" allowOverlap="1">
                <wp:simplePos x="0" y="0"/>
                <wp:positionH relativeFrom="page">
                  <wp:posOffset>914704</wp:posOffset>
                </wp:positionH>
                <wp:positionV relativeFrom="paragraph">
                  <wp:posOffset>133518</wp:posOffset>
                </wp:positionV>
                <wp:extent cx="1829435" cy="762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7620"/>
                        </a:xfrm>
                        <a:custGeom>
                          <a:avLst/>
                          <a:gdLst/>
                          <a:rect l="l" t="t" r="r" b="b"/>
                          <a:pathLst>
                            <a:path fill="norm" h="7620" w="1829435" stroke="1">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 o:spid="_x0000_s1035" style="width:144.05pt;height:0.6pt;margin-top:10.5pt;margin-left:1in;mso-position-horizontal-relative:page;mso-wrap-distance-bottom:0;mso-wrap-distance-left:0;mso-wrap-distance-right:0;mso-wrap-distance-top:0;mso-wrap-style:square;position:absolute;visibility:visible;v-text-anchor:top;z-index:-251634688" coordsize="1829435,7620" path="m1829054,l,,,7620l1829054,7620l1829054,xe" fillcolor="black" stroked="f">
                <v:path arrowok="t"/>
                <w10:wrap type="topAndBottom"/>
              </v:shape>
            </w:pict>
          </mc:Fallback>
        </mc:AlternateContent>
      </w:r>
    </w:p>
    <w:p w:rsidR="00B64E72" w14:paraId="17CA1D84" w14:textId="77777777">
      <w:pPr>
        <w:spacing w:before="144"/>
        <w:ind w:left="1080" w:right="3812"/>
        <w:rPr>
          <w:sz w:val="20"/>
        </w:rPr>
      </w:pPr>
      <w:bookmarkStart w:id="214" w:name="19_American_Hospital_Association,_Fast_F"/>
      <w:bookmarkStart w:id="215" w:name="_bookmark18"/>
      <w:bookmarkEnd w:id="214"/>
      <w:bookmarkEnd w:id="215"/>
      <w:r>
        <w:rPr>
          <w:sz w:val="20"/>
          <w:vertAlign w:val="superscript"/>
        </w:rPr>
        <w:t>19</w:t>
      </w:r>
      <w:r>
        <w:rPr>
          <w:spacing w:val="-4"/>
          <w:sz w:val="20"/>
        </w:rPr>
        <w:t xml:space="preserve"> </w:t>
      </w:r>
      <w:r>
        <w:rPr>
          <w:sz w:val="20"/>
        </w:rPr>
        <w:t>American</w:t>
      </w:r>
      <w:r>
        <w:rPr>
          <w:spacing w:val="-3"/>
          <w:sz w:val="20"/>
        </w:rPr>
        <w:t xml:space="preserve"> </w:t>
      </w:r>
      <w:r>
        <w:rPr>
          <w:sz w:val="20"/>
        </w:rPr>
        <w:t>Hospital</w:t>
      </w:r>
      <w:r>
        <w:rPr>
          <w:spacing w:val="-5"/>
          <w:sz w:val="20"/>
        </w:rPr>
        <w:t xml:space="preserve"> </w:t>
      </w:r>
      <w:r>
        <w:rPr>
          <w:sz w:val="20"/>
        </w:rPr>
        <w:t>Association,</w:t>
      </w:r>
      <w:r>
        <w:rPr>
          <w:spacing w:val="-4"/>
          <w:sz w:val="20"/>
        </w:rPr>
        <w:t xml:space="preserve"> </w:t>
      </w:r>
      <w:r>
        <w:rPr>
          <w:sz w:val="20"/>
        </w:rPr>
        <w:t>Fast</w:t>
      </w:r>
      <w:r>
        <w:rPr>
          <w:spacing w:val="-5"/>
          <w:sz w:val="20"/>
        </w:rPr>
        <w:t xml:space="preserve"> </w:t>
      </w:r>
      <w:r>
        <w:rPr>
          <w:sz w:val="20"/>
        </w:rPr>
        <w:t>Facts</w:t>
      </w:r>
      <w:r>
        <w:rPr>
          <w:spacing w:val="-5"/>
          <w:sz w:val="20"/>
        </w:rPr>
        <w:t xml:space="preserve"> </w:t>
      </w:r>
      <w:r>
        <w:rPr>
          <w:sz w:val="20"/>
        </w:rPr>
        <w:t>on</w:t>
      </w:r>
      <w:r>
        <w:rPr>
          <w:spacing w:val="-3"/>
          <w:sz w:val="20"/>
        </w:rPr>
        <w:t xml:space="preserve"> </w:t>
      </w:r>
      <w:r>
        <w:rPr>
          <w:sz w:val="20"/>
        </w:rPr>
        <w:t>U.S.</w:t>
      </w:r>
      <w:r>
        <w:rPr>
          <w:spacing w:val="-4"/>
          <w:sz w:val="20"/>
        </w:rPr>
        <w:t xml:space="preserve"> </w:t>
      </w:r>
      <w:r>
        <w:rPr>
          <w:sz w:val="20"/>
        </w:rPr>
        <w:t>Hospitals,</w:t>
      </w:r>
      <w:r>
        <w:rPr>
          <w:spacing w:val="-4"/>
          <w:sz w:val="20"/>
        </w:rPr>
        <w:t xml:space="preserve"> </w:t>
      </w:r>
      <w:r>
        <w:rPr>
          <w:sz w:val="20"/>
        </w:rPr>
        <w:t>2021.</w:t>
      </w:r>
      <w:r>
        <w:rPr>
          <w:spacing w:val="-4"/>
          <w:sz w:val="20"/>
        </w:rPr>
        <w:t xml:space="preserve"> </w:t>
      </w:r>
      <w:r>
        <w:rPr>
          <w:sz w:val="20"/>
        </w:rPr>
        <w:t>Available</w:t>
      </w:r>
      <w:r>
        <w:rPr>
          <w:spacing w:val="-4"/>
          <w:sz w:val="20"/>
        </w:rPr>
        <w:t xml:space="preserve"> </w:t>
      </w:r>
      <w:r>
        <w:rPr>
          <w:sz w:val="20"/>
        </w:rPr>
        <w:t xml:space="preserve">at </w:t>
      </w:r>
      <w:r>
        <w:rPr>
          <w:spacing w:val="-2"/>
          <w:sz w:val="20"/>
        </w:rPr>
        <w:t>https</w:t>
      </w:r>
      <w:hyperlink r:id="rId18">
        <w:r>
          <w:rPr>
            <w:spacing w:val="-2"/>
            <w:sz w:val="20"/>
          </w:rPr>
          <w:t>://www.aha.org/statistics/fast-facts-us-hospitals.</w:t>
        </w:r>
      </w:hyperlink>
    </w:p>
    <w:p w:rsidR="00B64E72" w14:paraId="3FDB12F7" w14:textId="77777777">
      <w:pPr>
        <w:spacing w:before="1"/>
        <w:ind w:left="1080" w:right="2097"/>
        <w:rPr>
          <w:sz w:val="20"/>
        </w:rPr>
      </w:pPr>
      <w:bookmarkStart w:id="216" w:name="20_Emergency_Medicine_Network,_2018_Nati"/>
      <w:bookmarkStart w:id="217" w:name="_bookmark19"/>
      <w:bookmarkEnd w:id="216"/>
      <w:bookmarkEnd w:id="217"/>
      <w:r>
        <w:rPr>
          <w:sz w:val="20"/>
          <w:vertAlign w:val="superscript"/>
        </w:rPr>
        <w:t>20</w:t>
      </w:r>
      <w:r>
        <w:rPr>
          <w:spacing w:val="-4"/>
          <w:sz w:val="20"/>
        </w:rPr>
        <w:t xml:space="preserve"> </w:t>
      </w:r>
      <w:r>
        <w:rPr>
          <w:sz w:val="20"/>
        </w:rPr>
        <w:t>Emergency</w:t>
      </w:r>
      <w:r>
        <w:rPr>
          <w:spacing w:val="-3"/>
          <w:sz w:val="20"/>
        </w:rPr>
        <w:t xml:space="preserve"> </w:t>
      </w:r>
      <w:r>
        <w:rPr>
          <w:sz w:val="20"/>
        </w:rPr>
        <w:t>Medicine</w:t>
      </w:r>
      <w:r>
        <w:rPr>
          <w:spacing w:val="-4"/>
          <w:sz w:val="20"/>
        </w:rPr>
        <w:t xml:space="preserve"> </w:t>
      </w:r>
      <w:r>
        <w:rPr>
          <w:sz w:val="20"/>
        </w:rPr>
        <w:t>Network, 2018</w:t>
      </w:r>
      <w:r>
        <w:rPr>
          <w:spacing w:val="-3"/>
          <w:sz w:val="20"/>
        </w:rPr>
        <w:t xml:space="preserve"> </w:t>
      </w:r>
      <w:r>
        <w:rPr>
          <w:sz w:val="20"/>
        </w:rPr>
        <w:t>National</w:t>
      </w:r>
      <w:r>
        <w:rPr>
          <w:spacing w:val="-4"/>
          <w:sz w:val="20"/>
        </w:rPr>
        <w:t xml:space="preserve"> </w:t>
      </w:r>
      <w:r>
        <w:rPr>
          <w:sz w:val="20"/>
        </w:rPr>
        <w:t>Emergency</w:t>
      </w:r>
      <w:r>
        <w:rPr>
          <w:spacing w:val="-5"/>
          <w:sz w:val="20"/>
        </w:rPr>
        <w:t xml:space="preserve"> </w:t>
      </w:r>
      <w:r>
        <w:rPr>
          <w:sz w:val="20"/>
        </w:rPr>
        <w:t>Department</w:t>
      </w:r>
      <w:r>
        <w:rPr>
          <w:spacing w:val="-5"/>
          <w:sz w:val="20"/>
        </w:rPr>
        <w:t xml:space="preserve"> </w:t>
      </w:r>
      <w:r>
        <w:rPr>
          <w:sz w:val="20"/>
        </w:rPr>
        <w:t>Inventory –</w:t>
      </w:r>
      <w:r>
        <w:rPr>
          <w:spacing w:val="-3"/>
          <w:sz w:val="20"/>
        </w:rPr>
        <w:t xml:space="preserve"> </w:t>
      </w:r>
      <w:r>
        <w:rPr>
          <w:sz w:val="20"/>
        </w:rPr>
        <w:t>USA.</w:t>
      </w:r>
      <w:r>
        <w:rPr>
          <w:spacing w:val="-6"/>
          <w:sz w:val="20"/>
        </w:rPr>
        <w:t xml:space="preserve"> </w:t>
      </w:r>
      <w:r>
        <w:rPr>
          <w:sz w:val="20"/>
        </w:rPr>
        <w:t>Available</w:t>
      </w:r>
      <w:r>
        <w:rPr>
          <w:spacing w:val="-4"/>
          <w:sz w:val="20"/>
        </w:rPr>
        <w:t xml:space="preserve"> </w:t>
      </w:r>
      <w:r>
        <w:rPr>
          <w:sz w:val="20"/>
        </w:rPr>
        <w:t xml:space="preserve">at </w:t>
      </w:r>
      <w:r>
        <w:rPr>
          <w:spacing w:val="-2"/>
          <w:sz w:val="20"/>
        </w:rPr>
        <w:t>https</w:t>
      </w:r>
      <w:hyperlink r:id="rId19">
        <w:r>
          <w:rPr>
            <w:spacing w:val="-2"/>
            <w:sz w:val="20"/>
          </w:rPr>
          <w:t>://www.emnet-usa.org/research/studies/nedi/nedi2018/.</w:t>
        </w:r>
      </w:hyperlink>
    </w:p>
    <w:p w:rsidR="00B64E72" w14:paraId="5273688B" w14:textId="77777777">
      <w:pPr>
        <w:ind w:left="1080" w:right="1369"/>
        <w:rPr>
          <w:sz w:val="20"/>
        </w:rPr>
      </w:pPr>
      <w:bookmarkStart w:id="218" w:name="21_Moriarty,_A.,_Definitive_Healthcare,_"/>
      <w:bookmarkStart w:id="219" w:name="_bookmark20"/>
      <w:bookmarkEnd w:id="218"/>
      <w:bookmarkEnd w:id="219"/>
      <w:r>
        <w:rPr>
          <w:sz w:val="20"/>
          <w:vertAlign w:val="superscript"/>
        </w:rPr>
        <w:t>21</w:t>
      </w:r>
      <w:r>
        <w:rPr>
          <w:spacing w:val="-3"/>
          <w:sz w:val="20"/>
        </w:rPr>
        <w:t xml:space="preserve"> </w:t>
      </w:r>
      <w:r>
        <w:rPr>
          <w:sz w:val="20"/>
        </w:rPr>
        <w:t>Moriarty,</w:t>
      </w:r>
      <w:r>
        <w:rPr>
          <w:spacing w:val="-3"/>
          <w:sz w:val="20"/>
        </w:rPr>
        <w:t xml:space="preserve"> </w:t>
      </w:r>
      <w:r>
        <w:rPr>
          <w:sz w:val="20"/>
        </w:rPr>
        <w:t>A.,</w:t>
      </w:r>
      <w:r>
        <w:rPr>
          <w:spacing w:val="-5"/>
          <w:sz w:val="20"/>
        </w:rPr>
        <w:t xml:space="preserve"> </w:t>
      </w:r>
      <w:r>
        <w:rPr>
          <w:sz w:val="20"/>
        </w:rPr>
        <w:t>Definitive</w:t>
      </w:r>
      <w:r>
        <w:rPr>
          <w:spacing w:val="-3"/>
          <w:sz w:val="20"/>
        </w:rPr>
        <w:t xml:space="preserve"> </w:t>
      </w:r>
      <w:r>
        <w:rPr>
          <w:sz w:val="20"/>
        </w:rPr>
        <w:t>Healthcare,</w:t>
      </w:r>
      <w:r>
        <w:rPr>
          <w:spacing w:val="-2"/>
          <w:sz w:val="20"/>
        </w:rPr>
        <w:t xml:space="preserve"> </w:t>
      </w:r>
      <w:r>
        <w:rPr>
          <w:sz w:val="20"/>
        </w:rPr>
        <w:t>How</w:t>
      </w:r>
      <w:r>
        <w:rPr>
          <w:spacing w:val="-3"/>
          <w:sz w:val="20"/>
        </w:rPr>
        <w:t xml:space="preserve"> </w:t>
      </w:r>
      <w:r>
        <w:rPr>
          <w:sz w:val="20"/>
        </w:rPr>
        <w:t>Many</w:t>
      </w:r>
      <w:r>
        <w:rPr>
          <w:spacing w:val="-2"/>
          <w:sz w:val="20"/>
        </w:rPr>
        <w:t xml:space="preserve"> </w:t>
      </w:r>
      <w:r>
        <w:rPr>
          <w:sz w:val="20"/>
        </w:rPr>
        <w:t>Ambulatory</w:t>
      </w:r>
      <w:r>
        <w:rPr>
          <w:spacing w:val="-4"/>
          <w:sz w:val="20"/>
        </w:rPr>
        <w:t xml:space="preserve"> </w:t>
      </w:r>
      <w:r>
        <w:rPr>
          <w:sz w:val="20"/>
        </w:rPr>
        <w:t>Surgery</w:t>
      </w:r>
      <w:r>
        <w:rPr>
          <w:spacing w:val="-2"/>
          <w:sz w:val="20"/>
        </w:rPr>
        <w:t xml:space="preserve"> </w:t>
      </w:r>
      <w:r>
        <w:rPr>
          <w:sz w:val="20"/>
        </w:rPr>
        <w:t>Centers</w:t>
      </w:r>
      <w:r>
        <w:rPr>
          <w:spacing w:val="-4"/>
          <w:sz w:val="20"/>
        </w:rPr>
        <w:t xml:space="preserve"> </w:t>
      </w:r>
      <w:r>
        <w:rPr>
          <w:sz w:val="20"/>
        </w:rPr>
        <w:t>are</w:t>
      </w:r>
      <w:r>
        <w:rPr>
          <w:spacing w:val="-3"/>
          <w:sz w:val="20"/>
        </w:rPr>
        <w:t xml:space="preserve"> </w:t>
      </w:r>
      <w:r>
        <w:rPr>
          <w:sz w:val="20"/>
        </w:rPr>
        <w:t>in</w:t>
      </w:r>
      <w:r>
        <w:rPr>
          <w:spacing w:val="-2"/>
          <w:sz w:val="20"/>
        </w:rPr>
        <w:t xml:space="preserve"> </w:t>
      </w:r>
      <w:r>
        <w:rPr>
          <w:sz w:val="20"/>
        </w:rPr>
        <w:t>the</w:t>
      </w:r>
      <w:r>
        <w:rPr>
          <w:spacing w:val="-3"/>
          <w:sz w:val="20"/>
        </w:rPr>
        <w:t xml:space="preserve"> </w:t>
      </w:r>
      <w:r>
        <w:rPr>
          <w:sz w:val="20"/>
        </w:rPr>
        <w:t>US?.</w:t>
      </w:r>
      <w:r>
        <w:rPr>
          <w:spacing w:val="-2"/>
          <w:sz w:val="20"/>
        </w:rPr>
        <w:t xml:space="preserve"> </w:t>
      </w:r>
      <w:r>
        <w:rPr>
          <w:sz w:val="20"/>
        </w:rPr>
        <w:t>Blog.</w:t>
      </w:r>
      <w:r>
        <w:rPr>
          <w:spacing w:val="-3"/>
          <w:sz w:val="20"/>
        </w:rPr>
        <w:t xml:space="preserve"> </w:t>
      </w:r>
      <w:r>
        <w:rPr>
          <w:sz w:val="20"/>
        </w:rPr>
        <w:t>April</w:t>
      </w:r>
      <w:r>
        <w:rPr>
          <w:spacing w:val="-4"/>
          <w:sz w:val="20"/>
        </w:rPr>
        <w:t xml:space="preserve"> </w:t>
      </w:r>
      <w:r>
        <w:rPr>
          <w:sz w:val="20"/>
        </w:rPr>
        <w:t>10, 2019. Available at https://blog.definitivehc.com/how-many-ascs-are-in-the-us.</w:t>
      </w:r>
    </w:p>
    <w:p w:rsidR="00B64E72" w14:paraId="307E7C08" w14:textId="77777777">
      <w:pPr>
        <w:rPr>
          <w:sz w:val="20"/>
        </w:rPr>
        <w:sectPr>
          <w:pgSz w:w="12240" w:h="15840"/>
          <w:pgMar w:top="1360" w:right="360" w:bottom="1280" w:left="360" w:header="0" w:footer="1094" w:gutter="0"/>
          <w:cols w:space="720"/>
        </w:sectPr>
      </w:pPr>
    </w:p>
    <w:p w:rsidR="00B64E72" w14:paraId="7F690915" w14:textId="77777777">
      <w:pPr>
        <w:pStyle w:val="BodyText"/>
        <w:spacing w:before="99" w:line="259" w:lineRule="auto"/>
        <w:ind w:left="1512" w:right="1103"/>
      </w:pPr>
      <w:bookmarkStart w:id="220" w:name="departments)_that_could_be_subject_to_th"/>
      <w:bookmarkEnd w:id="220"/>
      <w:r>
        <w:t>departme</w:t>
      </w:r>
      <w:bookmarkStart w:id="221" w:name="22"/>
      <w:bookmarkEnd w:id="221"/>
      <w:r>
        <w:t>nts)</w:t>
      </w:r>
      <w:hyperlink w:anchor="_bookmark21" w:history="1">
        <w:r>
          <w:rPr>
            <w:vertAlign w:val="superscript"/>
          </w:rPr>
          <w:t>22</w:t>
        </w:r>
      </w:hyperlink>
      <w:r>
        <w:t xml:space="preserve"> that could be subject to the notice and consent requirements in the July 2021 interim final rules and will incur ongoing annual costs and burdens. In 2018, there were approximately</w:t>
      </w:r>
      <w:r>
        <w:rPr>
          <w:spacing w:val="-3"/>
        </w:rPr>
        <w:t xml:space="preserve"> </w:t>
      </w:r>
      <w:r>
        <w:t>4,146,476</w:t>
      </w:r>
      <w:r>
        <w:rPr>
          <w:spacing w:val="-1"/>
        </w:rPr>
        <w:t xml:space="preserve"> </w:t>
      </w:r>
      <w:r>
        <w:t>emergency</w:t>
      </w:r>
      <w:r>
        <w:rPr>
          <w:spacing w:val="-3"/>
        </w:rPr>
        <w:t xml:space="preserve"> </w:t>
      </w:r>
      <w:r>
        <w:t>department</w:t>
      </w:r>
      <w:r>
        <w:rPr>
          <w:spacing w:val="-3"/>
        </w:rPr>
        <w:t xml:space="preserve"> </w:t>
      </w:r>
      <w:r>
        <w:t>visits</w:t>
      </w:r>
      <w:r>
        <w:rPr>
          <w:spacing w:val="-3"/>
        </w:rPr>
        <w:t xml:space="preserve"> </w:t>
      </w:r>
      <w:r>
        <w:t>that</w:t>
      </w:r>
      <w:r>
        <w:rPr>
          <w:spacing w:val="-3"/>
        </w:rPr>
        <w:t xml:space="preserve"> </w:t>
      </w:r>
      <w:r>
        <w:t>resulted</w:t>
      </w:r>
      <w:r>
        <w:rPr>
          <w:spacing w:val="-3"/>
        </w:rPr>
        <w:t xml:space="preserve"> </w:t>
      </w:r>
      <w:r>
        <w:t>in</w:t>
      </w:r>
      <w:r>
        <w:rPr>
          <w:spacing w:val="-3"/>
        </w:rPr>
        <w:t xml:space="preserve"> </w:t>
      </w:r>
      <w:r>
        <w:t>hospital</w:t>
      </w:r>
      <w:r>
        <w:rPr>
          <w:spacing w:val="-3"/>
        </w:rPr>
        <w:t xml:space="preserve"> </w:t>
      </w:r>
      <w:r>
        <w:t>admission</w:t>
      </w:r>
      <w:r>
        <w:rPr>
          <w:spacing w:val="-3"/>
        </w:rPr>
        <w:t xml:space="preserve"> </w:t>
      </w:r>
      <w:r>
        <w:t>for patients</w:t>
      </w:r>
      <w:r>
        <w:rPr>
          <w:spacing w:val="-3"/>
        </w:rPr>
        <w:t xml:space="preserve"> </w:t>
      </w:r>
      <w:r>
        <w:t>with</w:t>
      </w:r>
      <w:r>
        <w:rPr>
          <w:spacing w:val="-3"/>
        </w:rPr>
        <w:t xml:space="preserve"> </w:t>
      </w:r>
      <w:r>
        <w:t>individual</w:t>
      </w:r>
      <w:r>
        <w:rPr>
          <w:spacing w:val="-5"/>
        </w:rPr>
        <w:t xml:space="preserve"> </w:t>
      </w:r>
      <w:r>
        <w:t>market</w:t>
      </w:r>
      <w:r>
        <w:rPr>
          <w:spacing w:val="-3"/>
        </w:rPr>
        <w:t xml:space="preserve"> </w:t>
      </w:r>
      <w:r>
        <w:t>or</w:t>
      </w:r>
      <w:r>
        <w:rPr>
          <w:spacing w:val="-3"/>
        </w:rPr>
        <w:t xml:space="preserve"> </w:t>
      </w:r>
      <w:r>
        <w:t>group</w:t>
      </w:r>
      <w:r>
        <w:rPr>
          <w:spacing w:val="-3"/>
        </w:rPr>
        <w:t xml:space="preserve"> </w:t>
      </w:r>
      <w:r>
        <w:t>health</w:t>
      </w:r>
      <w:r>
        <w:rPr>
          <w:spacing w:val="-3"/>
        </w:rPr>
        <w:t xml:space="preserve"> </w:t>
      </w:r>
      <w:r>
        <w:t>coverage.</w:t>
      </w:r>
      <w:bookmarkStart w:id="222" w:name="23"/>
      <w:bookmarkEnd w:id="222"/>
      <w:hyperlink w:anchor="_bookmark22" w:history="1">
        <w:r>
          <w:rPr>
            <w:vertAlign w:val="superscript"/>
          </w:rPr>
          <w:t>23</w:t>
        </w:r>
      </w:hyperlink>
      <w:r>
        <w:rPr>
          <w:spacing w:val="-2"/>
        </w:rPr>
        <w:t xml:space="preserve"> </w:t>
      </w:r>
      <w:r>
        <w:t>Using</w:t>
      </w:r>
      <w:r>
        <w:rPr>
          <w:spacing w:val="-3"/>
        </w:rPr>
        <w:t xml:space="preserve"> </w:t>
      </w:r>
      <w:r>
        <w:t>this</w:t>
      </w:r>
      <w:r>
        <w:rPr>
          <w:spacing w:val="-3"/>
        </w:rPr>
        <w:t xml:space="preserve"> </w:t>
      </w:r>
      <w:r>
        <w:t>as</w:t>
      </w:r>
      <w:r>
        <w:rPr>
          <w:spacing w:val="-3"/>
        </w:rPr>
        <w:t xml:space="preserve"> </w:t>
      </w:r>
      <w:r>
        <w:t>an</w:t>
      </w:r>
      <w:r>
        <w:rPr>
          <w:spacing w:val="-1"/>
        </w:rPr>
        <w:t xml:space="preserve"> </w:t>
      </w:r>
      <w:r>
        <w:t>estimate</w:t>
      </w:r>
      <w:r>
        <w:rPr>
          <w:spacing w:val="-4"/>
        </w:rPr>
        <w:t xml:space="preserve"> </w:t>
      </w:r>
      <w:r>
        <w:t>of</w:t>
      </w:r>
      <w:r>
        <w:rPr>
          <w:spacing w:val="-3"/>
        </w:rPr>
        <w:t xml:space="preserve"> </w:t>
      </w:r>
      <w:r>
        <w:t>post- stabilization services provided in emergency facilities, and assuming that in 16 percent of cases the patient is treated at a nonparticipating emergency facility or by a nonparticipating provider at a participating facility, HHS estimates that approximately 663,436 individuals will be provided with a notice and consent document for post-stabilization services. HHS anticipates that the notice and consent will be used infrequently for post-stabilization services, so this es</w:t>
      </w:r>
      <w:r>
        <w:t>timate is an upper bound. HHS estimates it will take</w:t>
      </w:r>
      <w:r>
        <w:rPr>
          <w:spacing w:val="-2"/>
        </w:rPr>
        <w:t xml:space="preserve"> </w:t>
      </w:r>
      <w:r>
        <w:t>a</w:t>
      </w:r>
      <w:r>
        <w:rPr>
          <w:spacing w:val="-1"/>
        </w:rPr>
        <w:t xml:space="preserve"> </w:t>
      </w:r>
      <w:r>
        <w:t>medical secretary 2 hours (at an hourly rate of $39.08) to customize the required notice and consent documents, generate a list of participating providers, provide and explain the documents to the</w:t>
      </w:r>
      <w:r>
        <w:rPr>
          <w:spacing w:val="40"/>
        </w:rPr>
        <w:t xml:space="preserve"> </w:t>
      </w:r>
      <w:r>
        <w:t>individual (or authorized representative), answer questions, and obtain the signed consent if the individual agrees, provide the signed documents on paper or, as practicable, electronically, as selected by the individual, and retain the documentation as requir</w:t>
      </w:r>
      <w:r>
        <w:t>ed by the July 2021 interim final rules. The total burden for providing the notice and consent documents to individuals at all emergency facilities will be 1,326,872 hours with an equivalent cost of approximately $51.9 million. The total ongoing costs (including the printing and materials costs discussed in the section on capital costs below) for all emergency facilities will be approximately $51.9 million annually. HHS assumes that nonparticipating providers and nonparticipating emergency facilities will n</w:t>
      </w:r>
      <w:r>
        <w:t>otify the plan or issuer and provide a copy of the signed notice and consent documents along with the claim form electronically at minimal cost.</w:t>
      </w:r>
    </w:p>
    <w:p w:rsidR="00B64E72" w14:paraId="7B8E6416" w14:textId="77777777">
      <w:pPr>
        <w:pStyle w:val="BodyText"/>
        <w:spacing w:before="17"/>
      </w:pPr>
    </w:p>
    <w:p w:rsidR="00B64E72" w14:paraId="20A28AC4" w14:textId="77777777">
      <w:pPr>
        <w:pStyle w:val="BodyText"/>
        <w:spacing w:line="259" w:lineRule="auto"/>
        <w:ind w:left="1512" w:right="1099"/>
      </w:pPr>
      <w:r>
        <w:t>HHS estimates that each individual that receives notice and consent from an emergency facility will require, on average, 45 minutes (at an hourly rate of $46.22) to read and understand and sign the required notice and consent documents, with a total cost of approximately</w:t>
      </w:r>
      <w:r>
        <w:rPr>
          <w:spacing w:val="-4"/>
        </w:rPr>
        <w:t xml:space="preserve"> </w:t>
      </w:r>
      <w:r>
        <w:t>$35.</w:t>
      </w:r>
      <w:r>
        <w:rPr>
          <w:spacing w:val="-4"/>
        </w:rPr>
        <w:t xml:space="preserve"> </w:t>
      </w:r>
      <w:r>
        <w:t>For</w:t>
      </w:r>
      <w:r>
        <w:rPr>
          <w:spacing w:val="-4"/>
        </w:rPr>
        <w:t xml:space="preserve"> </w:t>
      </w:r>
      <w:r>
        <w:t>all</w:t>
      </w:r>
      <w:r>
        <w:rPr>
          <w:spacing w:val="-4"/>
        </w:rPr>
        <w:t xml:space="preserve"> </w:t>
      </w:r>
      <w:r>
        <w:t>663,436</w:t>
      </w:r>
      <w:r>
        <w:rPr>
          <w:spacing w:val="-4"/>
        </w:rPr>
        <w:t xml:space="preserve"> </w:t>
      </w:r>
      <w:r>
        <w:t>individuals</w:t>
      </w:r>
      <w:r>
        <w:rPr>
          <w:spacing w:val="-4"/>
        </w:rPr>
        <w:t xml:space="preserve"> </w:t>
      </w:r>
      <w:r>
        <w:t>that</w:t>
      </w:r>
      <w:r>
        <w:rPr>
          <w:spacing w:val="-4"/>
        </w:rPr>
        <w:t xml:space="preserve"> </w:t>
      </w:r>
      <w:r>
        <w:t>could</w:t>
      </w:r>
      <w:r>
        <w:rPr>
          <w:spacing w:val="-4"/>
        </w:rPr>
        <w:t xml:space="preserve"> </w:t>
      </w:r>
      <w:r>
        <w:t>potentially</w:t>
      </w:r>
      <w:r>
        <w:rPr>
          <w:spacing w:val="-4"/>
        </w:rPr>
        <w:t xml:space="preserve"> </w:t>
      </w:r>
      <w:r>
        <w:t>receive</w:t>
      </w:r>
      <w:r>
        <w:rPr>
          <w:spacing w:val="-5"/>
        </w:rPr>
        <w:t xml:space="preserve"> </w:t>
      </w:r>
      <w:r>
        <w:t>the</w:t>
      </w:r>
      <w:r>
        <w:rPr>
          <w:spacing w:val="-4"/>
        </w:rPr>
        <w:t xml:space="preserve"> </w:t>
      </w:r>
      <w:r>
        <w:t>notice</w:t>
      </w:r>
      <w:r>
        <w:rPr>
          <w:spacing w:val="-6"/>
        </w:rPr>
        <w:t xml:space="preserve"> </w:t>
      </w:r>
      <w:r>
        <w:t>and consent documents, HHS estimates a total annual burden of 497,577 hours, with an equivalent total annual cost of approximately $23 million.</w:t>
      </w:r>
    </w:p>
    <w:p w:rsidR="00B64E72" w14:paraId="16B254E7" w14:textId="77777777">
      <w:pPr>
        <w:pStyle w:val="BodyText"/>
        <w:spacing w:before="21"/>
      </w:pPr>
    </w:p>
    <w:p w:rsidR="00B64E72" w14:paraId="526FD146" w14:textId="77777777">
      <w:pPr>
        <w:pStyle w:val="BodyText"/>
        <w:spacing w:line="259" w:lineRule="auto"/>
        <w:ind w:left="1512" w:right="1390"/>
      </w:pPr>
      <w:r>
        <w:t>In order to meet the notice and consent requirements of 45 CFR 149.420 with respect to non-emergency</w:t>
      </w:r>
      <w:r>
        <w:rPr>
          <w:spacing w:val="-4"/>
        </w:rPr>
        <w:t xml:space="preserve"> </w:t>
      </w:r>
      <w:r>
        <w:t>services</w:t>
      </w:r>
      <w:r>
        <w:rPr>
          <w:spacing w:val="-2"/>
        </w:rPr>
        <w:t xml:space="preserve"> </w:t>
      </w:r>
      <w:r>
        <w:t>furnished</w:t>
      </w:r>
      <w:r>
        <w:rPr>
          <w:spacing w:val="-4"/>
        </w:rPr>
        <w:t xml:space="preserve"> </w:t>
      </w:r>
      <w:r>
        <w:t>by</w:t>
      </w:r>
      <w:r>
        <w:rPr>
          <w:spacing w:val="-4"/>
        </w:rPr>
        <w:t xml:space="preserve"> </w:t>
      </w:r>
      <w:r>
        <w:t>a</w:t>
      </w:r>
      <w:r>
        <w:rPr>
          <w:spacing w:val="-6"/>
        </w:rPr>
        <w:t xml:space="preserve"> </w:t>
      </w:r>
      <w:r>
        <w:t>nonparticipating</w:t>
      </w:r>
      <w:r>
        <w:rPr>
          <w:spacing w:val="-4"/>
        </w:rPr>
        <w:t xml:space="preserve"> </w:t>
      </w:r>
      <w:r>
        <w:t>provider</w:t>
      </w:r>
      <w:r>
        <w:rPr>
          <w:spacing w:val="-3"/>
        </w:rPr>
        <w:t xml:space="preserve"> </w:t>
      </w:r>
      <w:r>
        <w:t>with</w:t>
      </w:r>
      <w:r>
        <w:rPr>
          <w:spacing w:val="-4"/>
        </w:rPr>
        <w:t xml:space="preserve"> </w:t>
      </w:r>
      <w:r>
        <w:t>respect</w:t>
      </w:r>
      <w:r>
        <w:rPr>
          <w:spacing w:val="-4"/>
        </w:rPr>
        <w:t xml:space="preserve"> </w:t>
      </w:r>
      <w:r>
        <w:t>to</w:t>
      </w:r>
      <w:r>
        <w:rPr>
          <w:spacing w:val="-4"/>
        </w:rPr>
        <w:t xml:space="preserve"> </w:t>
      </w:r>
      <w:r>
        <w:t>a</w:t>
      </w:r>
      <w:r>
        <w:rPr>
          <w:spacing w:val="-5"/>
        </w:rPr>
        <w:t xml:space="preserve"> </w:t>
      </w:r>
      <w:r>
        <w:t>patient</w:t>
      </w:r>
    </w:p>
    <w:p w:rsidR="00B64E72" w14:paraId="26BC3C7A" w14:textId="77777777">
      <w:pPr>
        <w:pStyle w:val="BodyText"/>
        <w:spacing w:line="259" w:lineRule="auto"/>
        <w:ind w:left="1512" w:right="1099"/>
      </w:pPr>
      <w:r>
        <w:t>visit</w:t>
      </w:r>
      <w:r>
        <w:rPr>
          <w:spacing w:val="-3"/>
        </w:rPr>
        <w:t xml:space="preserve"> </w:t>
      </w:r>
      <w:r>
        <w:t>at</w:t>
      </w:r>
      <w:r>
        <w:rPr>
          <w:spacing w:val="-3"/>
        </w:rPr>
        <w:t xml:space="preserve"> </w:t>
      </w:r>
      <w:r>
        <w:t>a</w:t>
      </w:r>
      <w:r>
        <w:rPr>
          <w:spacing w:val="-3"/>
        </w:rPr>
        <w:t xml:space="preserve"> </w:t>
      </w:r>
      <w:r>
        <w:t>participating</w:t>
      </w:r>
      <w:r>
        <w:rPr>
          <w:spacing w:val="-3"/>
        </w:rPr>
        <w:t xml:space="preserve"> </w:t>
      </w:r>
      <w:r>
        <w:t>health</w:t>
      </w:r>
      <w:r>
        <w:rPr>
          <w:spacing w:val="-3"/>
        </w:rPr>
        <w:t xml:space="preserve"> </w:t>
      </w:r>
      <w:r>
        <w:t>care</w:t>
      </w:r>
      <w:r>
        <w:rPr>
          <w:spacing w:val="-3"/>
        </w:rPr>
        <w:t xml:space="preserve"> </w:t>
      </w:r>
      <w:r>
        <w:t>facility,</w:t>
      </w:r>
      <w:r>
        <w:rPr>
          <w:spacing w:val="-3"/>
        </w:rPr>
        <w:t xml:space="preserve"> </w:t>
      </w:r>
      <w:r>
        <w:t>if</w:t>
      </w:r>
      <w:r>
        <w:rPr>
          <w:spacing w:val="-3"/>
        </w:rPr>
        <w:t xml:space="preserve"> </w:t>
      </w:r>
      <w:r>
        <w:t>an</w:t>
      </w:r>
      <w:r>
        <w:rPr>
          <w:spacing w:val="-3"/>
        </w:rPr>
        <w:t xml:space="preserve"> </w:t>
      </w:r>
      <w:r>
        <w:t>individual</w:t>
      </w:r>
      <w:r>
        <w:rPr>
          <w:spacing w:val="-3"/>
        </w:rPr>
        <w:t xml:space="preserve"> </w:t>
      </w:r>
      <w:r>
        <w:t>schedules</w:t>
      </w:r>
      <w:r>
        <w:rPr>
          <w:spacing w:val="-3"/>
        </w:rPr>
        <w:t xml:space="preserve"> </w:t>
      </w:r>
      <w:r>
        <w:t>an</w:t>
      </w:r>
      <w:r>
        <w:rPr>
          <w:spacing w:val="-3"/>
        </w:rPr>
        <w:t xml:space="preserve"> </w:t>
      </w:r>
      <w:r>
        <w:t>appointment</w:t>
      </w:r>
      <w:r>
        <w:rPr>
          <w:spacing w:val="-3"/>
        </w:rPr>
        <w:t xml:space="preserve"> </w:t>
      </w:r>
      <w:r>
        <w:t>for</w:t>
      </w:r>
      <w:r>
        <w:rPr>
          <w:spacing w:val="-3"/>
        </w:rPr>
        <w:t xml:space="preserve"> </w:t>
      </w:r>
      <w:r>
        <w:t>such items</w:t>
      </w:r>
      <w:r>
        <w:rPr>
          <w:spacing w:val="-2"/>
        </w:rPr>
        <w:t xml:space="preserve"> </w:t>
      </w:r>
      <w:r>
        <w:t>or</w:t>
      </w:r>
      <w:r>
        <w:rPr>
          <w:spacing w:val="-2"/>
        </w:rPr>
        <w:t xml:space="preserve"> </w:t>
      </w:r>
      <w:r>
        <w:t>services</w:t>
      </w:r>
      <w:r>
        <w:rPr>
          <w:spacing w:val="-2"/>
        </w:rPr>
        <w:t xml:space="preserve"> </w:t>
      </w:r>
      <w:r>
        <w:t>at</w:t>
      </w:r>
      <w:r>
        <w:rPr>
          <w:spacing w:val="-2"/>
        </w:rPr>
        <w:t xml:space="preserve"> </w:t>
      </w:r>
      <w:r>
        <w:t>least 72</w:t>
      </w:r>
      <w:r>
        <w:rPr>
          <w:spacing w:val="-2"/>
        </w:rPr>
        <w:t xml:space="preserve"> </w:t>
      </w:r>
      <w:r>
        <w:t>hours</w:t>
      </w:r>
      <w:r>
        <w:rPr>
          <w:spacing w:val="-2"/>
        </w:rPr>
        <w:t xml:space="preserve"> </w:t>
      </w:r>
      <w:r>
        <w:t>before</w:t>
      </w:r>
      <w:r>
        <w:rPr>
          <w:spacing w:val="-3"/>
        </w:rPr>
        <w:t xml:space="preserve"> </w:t>
      </w:r>
      <w:r>
        <w:t>the</w:t>
      </w:r>
      <w:r>
        <w:rPr>
          <w:spacing w:val="-2"/>
        </w:rPr>
        <w:t xml:space="preserve"> </w:t>
      </w:r>
      <w:r>
        <w:t>date</w:t>
      </w:r>
      <w:r>
        <w:rPr>
          <w:spacing w:val="-1"/>
        </w:rPr>
        <w:t xml:space="preserve"> </w:t>
      </w:r>
      <w:r>
        <w:t>of</w:t>
      </w:r>
      <w:r>
        <w:rPr>
          <w:spacing w:val="-2"/>
        </w:rPr>
        <w:t xml:space="preserve"> </w:t>
      </w:r>
      <w:r>
        <w:t>the</w:t>
      </w:r>
      <w:r>
        <w:rPr>
          <w:spacing w:val="-4"/>
        </w:rPr>
        <w:t xml:space="preserve"> </w:t>
      </w:r>
      <w:r>
        <w:t>appointment,</w:t>
      </w:r>
      <w:r>
        <w:rPr>
          <w:spacing w:val="-2"/>
        </w:rPr>
        <w:t xml:space="preserve"> </w:t>
      </w:r>
      <w:r>
        <w:t>the</w:t>
      </w:r>
      <w:r>
        <w:rPr>
          <w:spacing w:val="-2"/>
        </w:rPr>
        <w:t xml:space="preserve"> </w:t>
      </w:r>
      <w:r>
        <w:t>provider</w:t>
      </w:r>
      <w:r>
        <w:rPr>
          <w:spacing w:val="-2"/>
        </w:rPr>
        <w:t xml:space="preserve"> </w:t>
      </w:r>
      <w:r>
        <w:t>or</w:t>
      </w:r>
      <w:r>
        <w:rPr>
          <w:spacing w:val="-4"/>
        </w:rPr>
        <w:t xml:space="preserve"> </w:t>
      </w:r>
      <w:r>
        <w:t>facility must provide the notice to the individual, or their authorized representative, no later than 72 hours</w:t>
      </w:r>
      <w:r>
        <w:rPr>
          <w:spacing w:val="-2"/>
        </w:rPr>
        <w:t xml:space="preserve"> </w:t>
      </w:r>
      <w:r>
        <w:t>before</w:t>
      </w:r>
      <w:r>
        <w:rPr>
          <w:spacing w:val="-3"/>
        </w:rPr>
        <w:t xml:space="preserve"> </w:t>
      </w:r>
      <w:r>
        <w:t>the</w:t>
      </w:r>
      <w:r>
        <w:rPr>
          <w:spacing w:val="-2"/>
        </w:rPr>
        <w:t xml:space="preserve"> </w:t>
      </w:r>
      <w:r>
        <w:t>date</w:t>
      </w:r>
      <w:r>
        <w:rPr>
          <w:spacing w:val="-2"/>
        </w:rPr>
        <w:t xml:space="preserve"> </w:t>
      </w:r>
      <w:r>
        <w:t>of</w:t>
      </w:r>
      <w:r>
        <w:rPr>
          <w:spacing w:val="-2"/>
        </w:rPr>
        <w:t xml:space="preserve"> </w:t>
      </w:r>
      <w:r>
        <w:t>the</w:t>
      </w:r>
      <w:r>
        <w:rPr>
          <w:spacing w:val="-4"/>
        </w:rPr>
        <w:t xml:space="preserve"> </w:t>
      </w:r>
      <w:r>
        <w:t>appointment. If</w:t>
      </w:r>
      <w:r>
        <w:rPr>
          <w:spacing w:val="-1"/>
        </w:rPr>
        <w:t xml:space="preserve"> </w:t>
      </w:r>
      <w:r>
        <w:t>an</w:t>
      </w:r>
      <w:r>
        <w:rPr>
          <w:spacing w:val="-2"/>
        </w:rPr>
        <w:t xml:space="preserve"> </w:t>
      </w:r>
      <w:r>
        <w:t>individual</w:t>
      </w:r>
      <w:r>
        <w:rPr>
          <w:spacing w:val="-2"/>
        </w:rPr>
        <w:t xml:space="preserve"> </w:t>
      </w:r>
      <w:r>
        <w:t>schedules</w:t>
      </w:r>
      <w:r>
        <w:rPr>
          <w:spacing w:val="-2"/>
        </w:rPr>
        <w:t xml:space="preserve"> </w:t>
      </w:r>
      <w:r>
        <w:t>an</w:t>
      </w:r>
      <w:r>
        <w:rPr>
          <w:spacing w:val="-2"/>
        </w:rPr>
        <w:t xml:space="preserve"> </w:t>
      </w:r>
      <w:r>
        <w:t>appointment</w:t>
      </w:r>
      <w:r>
        <w:rPr>
          <w:spacing w:val="-2"/>
        </w:rPr>
        <w:t xml:space="preserve"> </w:t>
      </w:r>
      <w:r>
        <w:t>for</w:t>
      </w:r>
      <w:r>
        <w:rPr>
          <w:spacing w:val="-2"/>
        </w:rPr>
        <w:t xml:space="preserve"> </w:t>
      </w:r>
      <w:r>
        <w:t>such</w:t>
      </w:r>
    </w:p>
    <w:p w:rsidR="00B64E72" w14:paraId="1E68EA31" w14:textId="77777777">
      <w:pPr>
        <w:pStyle w:val="BodyText"/>
        <w:spacing w:before="117"/>
        <w:rPr>
          <w:sz w:val="20"/>
        </w:rPr>
      </w:pPr>
      <w:r>
        <w:rPr>
          <w:noProof/>
          <w:sz w:val="20"/>
        </w:rPr>
        <mc:AlternateContent>
          <mc:Choice Requires="wps">
            <w:drawing>
              <wp:anchor distT="0" distB="0" distL="0" distR="0" simplePos="0" relativeHeight="251682816" behindDoc="1" locked="0" layoutInCell="1" allowOverlap="1">
                <wp:simplePos x="0" y="0"/>
                <wp:positionH relativeFrom="page">
                  <wp:posOffset>914704</wp:posOffset>
                </wp:positionH>
                <wp:positionV relativeFrom="paragraph">
                  <wp:posOffset>235923</wp:posOffset>
                </wp:positionV>
                <wp:extent cx="1829435" cy="762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7620"/>
                        </a:xfrm>
                        <a:custGeom>
                          <a:avLst/>
                          <a:gdLst/>
                          <a:rect l="l" t="t" r="r" b="b"/>
                          <a:pathLst>
                            <a:path fill="norm" h="7620" w="1829435" stroke="1">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3" o:spid="_x0000_s1036" style="width:144.05pt;height:0.6pt;margin-top:18.6pt;margin-left:1in;mso-position-horizontal-relative:page;mso-wrap-distance-bottom:0;mso-wrap-distance-left:0;mso-wrap-distance-right:0;mso-wrap-distance-top:0;mso-wrap-style:square;position:absolute;visibility:visible;v-text-anchor:top;z-index:-251632640" coordsize="1829435,7620" path="m1829054,l,,,7619l1829054,7619l1829054,xe" fillcolor="black" stroked="f">
                <v:path arrowok="t"/>
                <w10:wrap type="topAndBottom"/>
              </v:shape>
            </w:pict>
          </mc:Fallback>
        </mc:AlternateContent>
      </w:r>
    </w:p>
    <w:p w:rsidR="00B64E72" w14:paraId="39ED136C" w14:textId="77777777">
      <w:pPr>
        <w:spacing w:before="147"/>
        <w:ind w:left="1080" w:right="2097"/>
        <w:rPr>
          <w:sz w:val="20"/>
        </w:rPr>
      </w:pPr>
      <w:bookmarkStart w:id="223" w:name="22_Emergency_Medicine_Network,_2018_Nati"/>
      <w:bookmarkStart w:id="224" w:name="_bookmark21"/>
      <w:bookmarkEnd w:id="223"/>
      <w:bookmarkEnd w:id="224"/>
      <w:r>
        <w:rPr>
          <w:sz w:val="20"/>
          <w:vertAlign w:val="superscript"/>
        </w:rPr>
        <w:t>22</w:t>
      </w:r>
      <w:r>
        <w:rPr>
          <w:spacing w:val="-4"/>
          <w:sz w:val="20"/>
        </w:rPr>
        <w:t xml:space="preserve"> </w:t>
      </w:r>
      <w:r>
        <w:rPr>
          <w:sz w:val="20"/>
        </w:rPr>
        <w:t>Emergency</w:t>
      </w:r>
      <w:r>
        <w:rPr>
          <w:spacing w:val="-3"/>
          <w:sz w:val="20"/>
        </w:rPr>
        <w:t xml:space="preserve"> </w:t>
      </w:r>
      <w:r>
        <w:rPr>
          <w:sz w:val="20"/>
        </w:rPr>
        <w:t>Medicine</w:t>
      </w:r>
      <w:r>
        <w:rPr>
          <w:spacing w:val="-4"/>
          <w:sz w:val="20"/>
        </w:rPr>
        <w:t xml:space="preserve"> </w:t>
      </w:r>
      <w:r>
        <w:rPr>
          <w:sz w:val="20"/>
        </w:rPr>
        <w:t>Network,</w:t>
      </w:r>
      <w:r>
        <w:rPr>
          <w:spacing w:val="-4"/>
          <w:sz w:val="20"/>
        </w:rPr>
        <w:t xml:space="preserve"> </w:t>
      </w:r>
      <w:r>
        <w:rPr>
          <w:sz w:val="20"/>
        </w:rPr>
        <w:t>2018</w:t>
      </w:r>
      <w:r>
        <w:rPr>
          <w:spacing w:val="-3"/>
          <w:sz w:val="20"/>
        </w:rPr>
        <w:t xml:space="preserve"> </w:t>
      </w:r>
      <w:r>
        <w:rPr>
          <w:sz w:val="20"/>
        </w:rPr>
        <w:t>National</w:t>
      </w:r>
      <w:r>
        <w:rPr>
          <w:spacing w:val="-4"/>
          <w:sz w:val="20"/>
        </w:rPr>
        <w:t xml:space="preserve"> </w:t>
      </w:r>
      <w:r>
        <w:rPr>
          <w:sz w:val="20"/>
        </w:rPr>
        <w:t>Emergency</w:t>
      </w:r>
      <w:r>
        <w:rPr>
          <w:spacing w:val="-5"/>
          <w:sz w:val="20"/>
        </w:rPr>
        <w:t xml:space="preserve"> </w:t>
      </w:r>
      <w:r>
        <w:rPr>
          <w:sz w:val="20"/>
        </w:rPr>
        <w:t>Department</w:t>
      </w:r>
      <w:r>
        <w:rPr>
          <w:spacing w:val="-5"/>
          <w:sz w:val="20"/>
        </w:rPr>
        <w:t xml:space="preserve"> </w:t>
      </w:r>
      <w:r>
        <w:rPr>
          <w:sz w:val="20"/>
        </w:rPr>
        <w:t>Inventory –</w:t>
      </w:r>
      <w:r>
        <w:rPr>
          <w:spacing w:val="-3"/>
          <w:sz w:val="20"/>
        </w:rPr>
        <w:t xml:space="preserve"> </w:t>
      </w:r>
      <w:r>
        <w:rPr>
          <w:sz w:val="20"/>
        </w:rPr>
        <w:t>USA.</w:t>
      </w:r>
      <w:r>
        <w:rPr>
          <w:spacing w:val="-6"/>
          <w:sz w:val="20"/>
        </w:rPr>
        <w:t xml:space="preserve"> </w:t>
      </w:r>
      <w:r>
        <w:rPr>
          <w:sz w:val="20"/>
        </w:rPr>
        <w:t>Available</w:t>
      </w:r>
      <w:r>
        <w:rPr>
          <w:spacing w:val="-4"/>
          <w:sz w:val="20"/>
        </w:rPr>
        <w:t xml:space="preserve"> </w:t>
      </w:r>
      <w:r>
        <w:rPr>
          <w:sz w:val="20"/>
        </w:rPr>
        <w:t xml:space="preserve">at </w:t>
      </w:r>
      <w:r>
        <w:rPr>
          <w:spacing w:val="-2"/>
          <w:sz w:val="20"/>
        </w:rPr>
        <w:t>https</w:t>
      </w:r>
      <w:hyperlink r:id="rId19">
        <w:r>
          <w:rPr>
            <w:spacing w:val="-2"/>
            <w:sz w:val="20"/>
          </w:rPr>
          <w:t>://www.emnet-usa.org/research/studies/nedi/nedi2018/.</w:t>
        </w:r>
      </w:hyperlink>
    </w:p>
    <w:p w:rsidR="00B64E72" w14:paraId="570EE3DC" w14:textId="77777777">
      <w:pPr>
        <w:ind w:left="1080" w:right="1369"/>
        <w:rPr>
          <w:sz w:val="20"/>
        </w:rPr>
      </w:pPr>
      <w:bookmarkStart w:id="225" w:name="23_Agency_for_Healthcare_Research_and_Qu"/>
      <w:bookmarkStart w:id="226" w:name="_bookmark22"/>
      <w:bookmarkEnd w:id="225"/>
      <w:bookmarkEnd w:id="226"/>
      <w:r>
        <w:rPr>
          <w:sz w:val="20"/>
          <w:vertAlign w:val="superscript"/>
        </w:rPr>
        <w:t>23</w:t>
      </w:r>
      <w:r>
        <w:rPr>
          <w:spacing w:val="-4"/>
          <w:sz w:val="20"/>
        </w:rPr>
        <w:t xml:space="preserve"> </w:t>
      </w:r>
      <w:r>
        <w:rPr>
          <w:sz w:val="20"/>
        </w:rPr>
        <w:t>Agency</w:t>
      </w:r>
      <w:r>
        <w:rPr>
          <w:spacing w:val="-3"/>
          <w:sz w:val="20"/>
        </w:rPr>
        <w:t xml:space="preserve"> </w:t>
      </w:r>
      <w:r>
        <w:rPr>
          <w:sz w:val="20"/>
        </w:rPr>
        <w:t>for</w:t>
      </w:r>
      <w:r>
        <w:rPr>
          <w:spacing w:val="-4"/>
          <w:sz w:val="20"/>
        </w:rPr>
        <w:t xml:space="preserve"> </w:t>
      </w:r>
      <w:r>
        <w:rPr>
          <w:sz w:val="20"/>
        </w:rPr>
        <w:t>Healthcare</w:t>
      </w:r>
      <w:r>
        <w:rPr>
          <w:spacing w:val="-4"/>
          <w:sz w:val="20"/>
        </w:rPr>
        <w:t xml:space="preserve"> </w:t>
      </w:r>
      <w:r>
        <w:rPr>
          <w:sz w:val="20"/>
        </w:rPr>
        <w:t>Research</w:t>
      </w:r>
      <w:r>
        <w:rPr>
          <w:spacing w:val="-3"/>
          <w:sz w:val="20"/>
        </w:rPr>
        <w:t xml:space="preserve"> </w:t>
      </w:r>
      <w:r>
        <w:rPr>
          <w:sz w:val="20"/>
        </w:rPr>
        <w:t>and</w:t>
      </w:r>
      <w:r>
        <w:rPr>
          <w:spacing w:val="-5"/>
          <w:sz w:val="20"/>
        </w:rPr>
        <w:t xml:space="preserve"> </w:t>
      </w:r>
      <w:r>
        <w:rPr>
          <w:sz w:val="20"/>
        </w:rPr>
        <w:t>Quality,</w:t>
      </w:r>
      <w:r>
        <w:rPr>
          <w:spacing w:val="-4"/>
          <w:sz w:val="20"/>
        </w:rPr>
        <w:t xml:space="preserve"> </w:t>
      </w:r>
      <w:r>
        <w:rPr>
          <w:sz w:val="20"/>
        </w:rPr>
        <w:t>HCUP</w:t>
      </w:r>
      <w:r>
        <w:rPr>
          <w:spacing w:val="-5"/>
          <w:sz w:val="20"/>
        </w:rPr>
        <w:t xml:space="preserve"> </w:t>
      </w:r>
      <w:r>
        <w:rPr>
          <w:sz w:val="20"/>
        </w:rPr>
        <w:t>Fast</w:t>
      </w:r>
      <w:r>
        <w:rPr>
          <w:spacing w:val="-5"/>
          <w:sz w:val="20"/>
        </w:rPr>
        <w:t xml:space="preserve"> </w:t>
      </w:r>
      <w:r>
        <w:rPr>
          <w:sz w:val="20"/>
        </w:rPr>
        <w:t>Stats –</w:t>
      </w:r>
      <w:r>
        <w:rPr>
          <w:spacing w:val="-3"/>
          <w:sz w:val="20"/>
        </w:rPr>
        <w:t xml:space="preserve"> </w:t>
      </w:r>
      <w:r>
        <w:rPr>
          <w:sz w:val="20"/>
        </w:rPr>
        <w:t>Trends</w:t>
      </w:r>
      <w:r>
        <w:rPr>
          <w:spacing w:val="-5"/>
          <w:sz w:val="20"/>
        </w:rPr>
        <w:t xml:space="preserve"> </w:t>
      </w:r>
      <w:r>
        <w:rPr>
          <w:sz w:val="20"/>
        </w:rPr>
        <w:t>in</w:t>
      </w:r>
      <w:r>
        <w:rPr>
          <w:spacing w:val="-3"/>
          <w:sz w:val="20"/>
        </w:rPr>
        <w:t xml:space="preserve"> </w:t>
      </w:r>
      <w:r>
        <w:rPr>
          <w:sz w:val="20"/>
        </w:rPr>
        <w:t>Emergency</w:t>
      </w:r>
      <w:r>
        <w:rPr>
          <w:spacing w:val="-3"/>
          <w:sz w:val="20"/>
        </w:rPr>
        <w:t xml:space="preserve"> </w:t>
      </w:r>
      <w:r>
        <w:rPr>
          <w:sz w:val="20"/>
        </w:rPr>
        <w:t>Department</w:t>
      </w:r>
      <w:r>
        <w:rPr>
          <w:spacing w:val="-5"/>
          <w:sz w:val="20"/>
        </w:rPr>
        <w:t xml:space="preserve"> </w:t>
      </w:r>
      <w:r>
        <w:rPr>
          <w:sz w:val="20"/>
        </w:rPr>
        <w:t>Visits. Available at https://datatools.ahrq.gov/hcup-fast-stats?count=2&amp;tab=hcupfsis&amp;type=subtab.</w:t>
      </w:r>
    </w:p>
    <w:p w:rsidR="00B64E72" w14:paraId="71484FA7" w14:textId="77777777">
      <w:pPr>
        <w:rPr>
          <w:sz w:val="20"/>
        </w:rPr>
        <w:sectPr>
          <w:pgSz w:w="12240" w:h="15840"/>
          <w:pgMar w:top="1340" w:right="360" w:bottom="1280" w:left="360" w:header="0" w:footer="1094" w:gutter="0"/>
          <w:cols w:space="720"/>
        </w:sectPr>
      </w:pPr>
    </w:p>
    <w:p w:rsidR="00B64E72" w14:paraId="7E24A69C" w14:textId="77777777">
      <w:pPr>
        <w:pStyle w:val="BodyText"/>
        <w:spacing w:before="79" w:line="259" w:lineRule="auto"/>
        <w:ind w:left="1512" w:right="1189"/>
      </w:pPr>
      <w:bookmarkStart w:id="227" w:name="items_or_services_within_72_hours_of_the"/>
      <w:bookmarkEnd w:id="227"/>
      <w:r>
        <w:t>items or services within 72 hours of the date of the appointment, the provider or facility must</w:t>
      </w:r>
      <w:r>
        <w:rPr>
          <w:spacing w:val="-3"/>
        </w:rPr>
        <w:t xml:space="preserve"> </w:t>
      </w:r>
      <w:r>
        <w:t>provide</w:t>
      </w:r>
      <w:r>
        <w:rPr>
          <w:spacing w:val="-3"/>
        </w:rPr>
        <w:t xml:space="preserve"> </w:t>
      </w:r>
      <w:r>
        <w:t>the</w:t>
      </w:r>
      <w:r>
        <w:rPr>
          <w:spacing w:val="-4"/>
        </w:rPr>
        <w:t xml:space="preserve"> </w:t>
      </w:r>
      <w:r>
        <w:t>notice</w:t>
      </w:r>
      <w:r>
        <w:rPr>
          <w:spacing w:val="-4"/>
        </w:rPr>
        <w:t xml:space="preserve"> </w:t>
      </w:r>
      <w:r>
        <w:t>to</w:t>
      </w:r>
      <w:r>
        <w:rPr>
          <w:spacing w:val="-3"/>
        </w:rPr>
        <w:t xml:space="preserve"> </w:t>
      </w:r>
      <w:r>
        <w:t>the</w:t>
      </w:r>
      <w:r>
        <w:rPr>
          <w:spacing w:val="-4"/>
        </w:rPr>
        <w:t xml:space="preserve"> </w:t>
      </w:r>
      <w:r>
        <w:t>individual,</w:t>
      </w:r>
      <w:r>
        <w:rPr>
          <w:spacing w:val="-3"/>
        </w:rPr>
        <w:t xml:space="preserve"> </w:t>
      </w:r>
      <w:r>
        <w:t>or</w:t>
      </w:r>
      <w:r>
        <w:rPr>
          <w:spacing w:val="-4"/>
        </w:rPr>
        <w:t xml:space="preserve"> </w:t>
      </w:r>
      <w:r>
        <w:t>their</w:t>
      </w:r>
      <w:r>
        <w:rPr>
          <w:spacing w:val="-4"/>
        </w:rPr>
        <w:t xml:space="preserve"> </w:t>
      </w:r>
      <w:r>
        <w:t>authorized</w:t>
      </w:r>
      <w:r>
        <w:rPr>
          <w:spacing w:val="-3"/>
        </w:rPr>
        <w:t xml:space="preserve"> </w:t>
      </w:r>
      <w:r>
        <w:t>representative,</w:t>
      </w:r>
      <w:r>
        <w:rPr>
          <w:spacing w:val="-3"/>
        </w:rPr>
        <w:t xml:space="preserve"> </w:t>
      </w:r>
      <w:r>
        <w:t>on</w:t>
      </w:r>
      <w:r>
        <w:rPr>
          <w:spacing w:val="-3"/>
        </w:rPr>
        <w:t xml:space="preserve"> </w:t>
      </w:r>
      <w:r>
        <w:t>the</w:t>
      </w:r>
      <w:r>
        <w:rPr>
          <w:spacing w:val="-3"/>
        </w:rPr>
        <w:t xml:space="preserve"> </w:t>
      </w:r>
      <w:r>
        <w:t>day</w:t>
      </w:r>
      <w:r>
        <w:rPr>
          <w:spacing w:val="-3"/>
        </w:rPr>
        <w:t xml:space="preserve"> </w:t>
      </w:r>
      <w:r>
        <w:t>that the appointment is made. In the situation where an individual is provided the notice on the same day that the items or services are furnished, providers and facilities are required to provide the notice no later than 3 hours prior to furnishing items or services to which the notice and consent requirements applies.</w:t>
      </w:r>
    </w:p>
    <w:p w:rsidR="00B64E72" w14:paraId="5F18B312" w14:textId="77777777">
      <w:pPr>
        <w:pStyle w:val="BodyText"/>
        <w:spacing w:before="21"/>
      </w:pPr>
    </w:p>
    <w:p w:rsidR="00B64E72" w14:paraId="519A91E1" w14:textId="77777777">
      <w:pPr>
        <w:pStyle w:val="BodyText"/>
        <w:spacing w:before="1" w:line="259" w:lineRule="auto"/>
        <w:ind w:left="1512" w:right="1116"/>
      </w:pPr>
      <w:bookmarkStart w:id="228" w:name="HHS_estimates_there_are_approximately_16"/>
      <w:bookmarkEnd w:id="228"/>
      <w:r>
        <w:t>HHS estimates there are approximately 16,722 health care facilities that will be subject to the notice requirement and will incur ongoing annual costs and burdens. Based on 2016</w:t>
      </w:r>
      <w:r>
        <w:rPr>
          <w:spacing w:val="40"/>
        </w:rPr>
        <w:t xml:space="preserve"> </w:t>
      </w:r>
      <w:r>
        <w:t>data, HHS estimates that there will be 11,107,056 visits to health care facilities annually for surgical and non-surgical procedures for individuals with group health coverage or individual</w:t>
      </w:r>
      <w:r>
        <w:rPr>
          <w:spacing w:val="-3"/>
        </w:rPr>
        <w:t xml:space="preserve"> </w:t>
      </w:r>
      <w:r>
        <w:t>market</w:t>
      </w:r>
      <w:r>
        <w:rPr>
          <w:spacing w:val="-3"/>
        </w:rPr>
        <w:t xml:space="preserve"> </w:t>
      </w:r>
      <w:r>
        <w:t>coverage</w:t>
      </w:r>
      <w:bookmarkStart w:id="229" w:name="24"/>
      <w:bookmarkEnd w:id="229"/>
      <w:hyperlink w:anchor="_bookmark23" w:history="1">
        <w:r>
          <w:rPr>
            <w:vertAlign w:val="superscript"/>
          </w:rPr>
          <w:t>24</w:t>
        </w:r>
      </w:hyperlink>
      <w:r>
        <w:rPr>
          <w:spacing w:val="-2"/>
        </w:rPr>
        <w:t xml:space="preserve"> </w:t>
      </w:r>
      <w:r>
        <w:t>and</w:t>
      </w:r>
      <w:r>
        <w:rPr>
          <w:spacing w:val="-3"/>
        </w:rPr>
        <w:t xml:space="preserve"> </w:t>
      </w:r>
      <w:r>
        <w:t>that</w:t>
      </w:r>
      <w:r>
        <w:rPr>
          <w:spacing w:val="-3"/>
        </w:rPr>
        <w:t xml:space="preserve"> </w:t>
      </w:r>
      <w:r>
        <w:t>approximately</w:t>
      </w:r>
      <w:r>
        <w:rPr>
          <w:spacing w:val="-3"/>
        </w:rPr>
        <w:t xml:space="preserve"> </w:t>
      </w:r>
      <w:r>
        <w:t>16</w:t>
      </w:r>
      <w:r>
        <w:rPr>
          <w:spacing w:val="-3"/>
        </w:rPr>
        <w:t xml:space="preserve"> </w:t>
      </w:r>
      <w:r>
        <w:t>percent</w:t>
      </w:r>
      <w:r>
        <w:rPr>
          <w:spacing w:val="-3"/>
        </w:rPr>
        <w:t xml:space="preserve"> </w:t>
      </w:r>
      <w:r>
        <w:t>of</w:t>
      </w:r>
      <w:r>
        <w:rPr>
          <w:spacing w:val="-3"/>
        </w:rPr>
        <w:t xml:space="preserve"> </w:t>
      </w:r>
      <w:r>
        <w:t>those</w:t>
      </w:r>
      <w:r>
        <w:rPr>
          <w:spacing w:val="-4"/>
        </w:rPr>
        <w:t xml:space="preserve"> </w:t>
      </w:r>
      <w:r>
        <w:t>visits</w:t>
      </w:r>
      <w:r>
        <w:rPr>
          <w:spacing w:val="-3"/>
        </w:rPr>
        <w:t xml:space="preserve"> </w:t>
      </w:r>
      <w:r>
        <w:t>will</w:t>
      </w:r>
      <w:r>
        <w:rPr>
          <w:spacing w:val="-3"/>
        </w:rPr>
        <w:t xml:space="preserve"> </w:t>
      </w:r>
      <w:r>
        <w:t>involve</w:t>
      </w:r>
      <w:r>
        <w:rPr>
          <w:spacing w:val="-3"/>
        </w:rPr>
        <w:t xml:space="preserve"> </w:t>
      </w:r>
      <w:r>
        <w:t>a nonparticipating provider.</w:t>
      </w:r>
      <w:bookmarkStart w:id="230" w:name="25"/>
      <w:bookmarkEnd w:id="230"/>
      <w:hyperlink w:anchor="_bookmark24" w:history="1">
        <w:r>
          <w:rPr>
            <w:vertAlign w:val="superscript"/>
          </w:rPr>
          <w:t>25</w:t>
        </w:r>
      </w:hyperlink>
      <w:r>
        <w:t xml:space="preserve"> This estimate is a lower bound since it is based on the number of postoperative office visits and potentially excludes situations where such visits were not needed or such follow-up was conducted at a different setting. HHS therefore estimates that approximately 1,777,129 individuals could potentially face balance billing and will be provided this notice. With respect to non-emergency services furnished by a</w:t>
      </w:r>
      <w:r>
        <w:rPr>
          <w:spacing w:val="40"/>
        </w:rPr>
        <w:t xml:space="preserve"> </w:t>
      </w:r>
      <w:r>
        <w:t>nonparticipating provider at a participating health care facility, HHS estimates it will take a med</w:t>
      </w:r>
      <w:r>
        <w:t>ical secretary 1 hour (at an hourly rate of $39.08) to customize the required notice, generate</w:t>
      </w:r>
      <w:r>
        <w:rPr>
          <w:spacing w:val="-3"/>
        </w:rPr>
        <w:t xml:space="preserve"> </w:t>
      </w:r>
      <w:r>
        <w:t>a</w:t>
      </w:r>
      <w:r>
        <w:rPr>
          <w:spacing w:val="-3"/>
        </w:rPr>
        <w:t xml:space="preserve"> </w:t>
      </w:r>
      <w:r>
        <w:t>list</w:t>
      </w:r>
      <w:r>
        <w:rPr>
          <w:spacing w:val="-2"/>
        </w:rPr>
        <w:t xml:space="preserve"> </w:t>
      </w:r>
      <w:r>
        <w:t>of</w:t>
      </w:r>
      <w:r>
        <w:rPr>
          <w:spacing w:val="-2"/>
        </w:rPr>
        <w:t xml:space="preserve"> </w:t>
      </w:r>
      <w:r>
        <w:t>participating</w:t>
      </w:r>
      <w:r>
        <w:rPr>
          <w:spacing w:val="-2"/>
        </w:rPr>
        <w:t xml:space="preserve"> </w:t>
      </w:r>
      <w:r>
        <w:t>providers,</w:t>
      </w:r>
      <w:r>
        <w:rPr>
          <w:spacing w:val="-2"/>
        </w:rPr>
        <w:t xml:space="preserve"> </w:t>
      </w:r>
      <w:r>
        <w:t>provide</w:t>
      </w:r>
      <w:r>
        <w:rPr>
          <w:spacing w:val="-3"/>
        </w:rPr>
        <w:t xml:space="preserve"> </w:t>
      </w:r>
      <w:r>
        <w:t>the</w:t>
      </w:r>
      <w:r>
        <w:rPr>
          <w:spacing w:val="-3"/>
        </w:rPr>
        <w:t xml:space="preserve"> </w:t>
      </w:r>
      <w:r>
        <w:t>document</w:t>
      </w:r>
      <w:r>
        <w:rPr>
          <w:spacing w:val="-2"/>
        </w:rPr>
        <w:t xml:space="preserve"> </w:t>
      </w:r>
      <w:r>
        <w:t>via</w:t>
      </w:r>
      <w:r>
        <w:rPr>
          <w:spacing w:val="-2"/>
        </w:rPr>
        <w:t xml:space="preserve"> </w:t>
      </w:r>
      <w:r>
        <w:t>email</w:t>
      </w:r>
      <w:r>
        <w:rPr>
          <w:spacing w:val="-2"/>
        </w:rPr>
        <w:t xml:space="preserve"> </w:t>
      </w:r>
      <w:r>
        <w:t>or</w:t>
      </w:r>
      <w:r>
        <w:rPr>
          <w:spacing w:val="-2"/>
        </w:rPr>
        <w:t xml:space="preserve"> </w:t>
      </w:r>
      <w:r>
        <w:t>mail,</w:t>
      </w:r>
      <w:r>
        <w:rPr>
          <w:spacing w:val="-2"/>
        </w:rPr>
        <w:t xml:space="preserve"> </w:t>
      </w:r>
      <w:r>
        <w:t>as</w:t>
      </w:r>
      <w:r>
        <w:rPr>
          <w:spacing w:val="-2"/>
        </w:rPr>
        <w:t xml:space="preserve"> </w:t>
      </w:r>
      <w:r>
        <w:t>selected by the individual, and answer any questions. For all health care facilities, HHS estimates a total annual ongoing annual burden of approximately 1,777,129 hours, with an equivalent annual cost of approximately $69.5 million. The total ongoing cost for all health care facilities (including the printing and materials costs discussed in the section on capital costs below) will be approximately $70.4 million annually.</w:t>
      </w:r>
    </w:p>
    <w:p w:rsidR="00B64E72" w14:paraId="31DB447F" w14:textId="77777777">
      <w:pPr>
        <w:pStyle w:val="BodyText"/>
        <w:spacing w:before="16"/>
      </w:pPr>
    </w:p>
    <w:p w:rsidR="00B64E72" w14:paraId="43DF9B39" w14:textId="77777777">
      <w:pPr>
        <w:pStyle w:val="BodyText"/>
        <w:spacing w:line="259" w:lineRule="auto"/>
        <w:ind w:left="1512" w:right="1099"/>
      </w:pPr>
      <w:bookmarkStart w:id="231" w:name="HHS_estimates_that_each_individual_that_"/>
      <w:bookmarkEnd w:id="231"/>
      <w:r>
        <w:t>HHS estimates that each individual that receives the notice will require, on average, 45 minutes (at an hourly rate of $46.22) to read and understand the required notice, with a total cost of approximately $35. For all 1,777,129 individuals that could receive the notice document,</w:t>
      </w:r>
      <w:r>
        <w:rPr>
          <w:spacing w:val="-1"/>
        </w:rPr>
        <w:t xml:space="preserve"> </w:t>
      </w:r>
      <w:r>
        <w:t>HHS</w:t>
      </w:r>
      <w:r>
        <w:rPr>
          <w:spacing w:val="-1"/>
        </w:rPr>
        <w:t xml:space="preserve"> </w:t>
      </w:r>
      <w:r>
        <w:t>estimates</w:t>
      </w:r>
      <w:r>
        <w:rPr>
          <w:spacing w:val="-1"/>
        </w:rPr>
        <w:t xml:space="preserve"> </w:t>
      </w:r>
      <w:r>
        <w:t>a</w:t>
      </w:r>
      <w:r>
        <w:rPr>
          <w:spacing w:val="-2"/>
        </w:rPr>
        <w:t xml:space="preserve"> </w:t>
      </w:r>
      <w:r>
        <w:t>total</w:t>
      </w:r>
      <w:r>
        <w:rPr>
          <w:spacing w:val="-1"/>
        </w:rPr>
        <w:t xml:space="preserve"> </w:t>
      </w:r>
      <w:r>
        <w:t>annual</w:t>
      </w:r>
      <w:r>
        <w:rPr>
          <w:spacing w:val="-1"/>
        </w:rPr>
        <w:t xml:space="preserve"> </w:t>
      </w:r>
      <w:r>
        <w:t>burden</w:t>
      </w:r>
      <w:r>
        <w:rPr>
          <w:spacing w:val="-1"/>
        </w:rPr>
        <w:t xml:space="preserve"> </w:t>
      </w:r>
      <w:r>
        <w:t>of 1,332,847</w:t>
      </w:r>
      <w:r>
        <w:rPr>
          <w:spacing w:val="-1"/>
        </w:rPr>
        <w:t xml:space="preserve"> </w:t>
      </w:r>
      <w:r>
        <w:t>hours,</w:t>
      </w:r>
      <w:r>
        <w:rPr>
          <w:spacing w:val="-1"/>
        </w:rPr>
        <w:t xml:space="preserve"> </w:t>
      </w:r>
      <w:r>
        <w:t>with</w:t>
      </w:r>
      <w:r>
        <w:rPr>
          <w:spacing w:val="-1"/>
        </w:rPr>
        <w:t xml:space="preserve"> </w:t>
      </w:r>
      <w:r>
        <w:t>an equivalent</w:t>
      </w:r>
      <w:r>
        <w:rPr>
          <w:spacing w:val="-1"/>
        </w:rPr>
        <w:t xml:space="preserve"> </w:t>
      </w:r>
      <w:r>
        <w:t>total annual cost of $61.6 million. HHS assumes that nonparticipating providers (or participating facilities</w:t>
      </w:r>
      <w:r>
        <w:rPr>
          <w:spacing w:val="-2"/>
        </w:rPr>
        <w:t xml:space="preserve"> </w:t>
      </w:r>
      <w:r>
        <w:t>on</w:t>
      </w:r>
      <w:r>
        <w:rPr>
          <w:spacing w:val="-2"/>
        </w:rPr>
        <w:t xml:space="preserve"> </w:t>
      </w:r>
      <w:r>
        <w:t>behalf</w:t>
      </w:r>
      <w:r>
        <w:rPr>
          <w:spacing w:val="-2"/>
        </w:rPr>
        <w:t xml:space="preserve"> </w:t>
      </w:r>
      <w:r>
        <w:t>of</w:t>
      </w:r>
      <w:r>
        <w:rPr>
          <w:spacing w:val="-2"/>
        </w:rPr>
        <w:t xml:space="preserve"> </w:t>
      </w:r>
      <w:r>
        <w:t>such</w:t>
      </w:r>
      <w:r>
        <w:rPr>
          <w:spacing w:val="-2"/>
        </w:rPr>
        <w:t xml:space="preserve"> </w:t>
      </w:r>
      <w:r>
        <w:t>providers)</w:t>
      </w:r>
      <w:r>
        <w:rPr>
          <w:spacing w:val="-4"/>
        </w:rPr>
        <w:t xml:space="preserve"> </w:t>
      </w:r>
      <w:r>
        <w:t>will</w:t>
      </w:r>
      <w:r>
        <w:rPr>
          <w:spacing w:val="-2"/>
        </w:rPr>
        <w:t xml:space="preserve"> </w:t>
      </w:r>
      <w:r>
        <w:t>notify</w:t>
      </w:r>
      <w:r>
        <w:rPr>
          <w:spacing w:val="-2"/>
        </w:rPr>
        <w:t xml:space="preserve"> </w:t>
      </w:r>
      <w:r>
        <w:t>the</w:t>
      </w:r>
      <w:r>
        <w:rPr>
          <w:spacing w:val="-4"/>
        </w:rPr>
        <w:t xml:space="preserve"> </w:t>
      </w:r>
      <w:r>
        <w:t>plan</w:t>
      </w:r>
      <w:r>
        <w:rPr>
          <w:spacing w:val="-2"/>
        </w:rPr>
        <w:t xml:space="preserve"> </w:t>
      </w:r>
      <w:r>
        <w:t>or</w:t>
      </w:r>
      <w:r>
        <w:rPr>
          <w:spacing w:val="-2"/>
        </w:rPr>
        <w:t xml:space="preserve"> </w:t>
      </w:r>
      <w:r>
        <w:t>issuer</w:t>
      </w:r>
      <w:r>
        <w:rPr>
          <w:spacing w:val="-1"/>
        </w:rPr>
        <w:t xml:space="preserve"> </w:t>
      </w:r>
      <w:r>
        <w:t>and</w:t>
      </w:r>
      <w:r>
        <w:rPr>
          <w:spacing w:val="-2"/>
        </w:rPr>
        <w:t xml:space="preserve"> </w:t>
      </w:r>
      <w:r>
        <w:t>provide</w:t>
      </w:r>
      <w:r>
        <w:rPr>
          <w:spacing w:val="-2"/>
        </w:rPr>
        <w:t xml:space="preserve"> </w:t>
      </w:r>
      <w:r>
        <w:t>a</w:t>
      </w:r>
      <w:r>
        <w:rPr>
          <w:spacing w:val="-4"/>
        </w:rPr>
        <w:t xml:space="preserve"> </w:t>
      </w:r>
      <w:r>
        <w:t>copy</w:t>
      </w:r>
      <w:r>
        <w:rPr>
          <w:spacing w:val="-2"/>
        </w:rPr>
        <w:t xml:space="preserve"> </w:t>
      </w:r>
      <w:r>
        <w:t>of</w:t>
      </w:r>
      <w:r>
        <w:rPr>
          <w:spacing w:val="-3"/>
        </w:rPr>
        <w:t xml:space="preserve"> </w:t>
      </w:r>
      <w:r>
        <w:t>the signed notice and consent documents along with the claim from the participating facility electronically at minimal cost.</w:t>
      </w:r>
    </w:p>
    <w:p w:rsidR="00B64E72" w14:paraId="7452A070" w14:textId="77777777">
      <w:pPr>
        <w:pStyle w:val="BodyText"/>
        <w:spacing w:before="21"/>
      </w:pPr>
    </w:p>
    <w:p w:rsidR="00B64E72" w14:paraId="20E1D483" w14:textId="77777777">
      <w:pPr>
        <w:pStyle w:val="BodyText"/>
        <w:spacing w:line="259" w:lineRule="auto"/>
        <w:ind w:left="1512" w:right="1369"/>
      </w:pPr>
      <w:bookmarkStart w:id="232" w:name="For_all_emergency_and_health_care_facili"/>
      <w:bookmarkEnd w:id="232"/>
      <w:r>
        <w:t>For all emergency and health care facilities, the total ongoing burden will be 3,104,001 hours</w:t>
      </w:r>
      <w:r>
        <w:rPr>
          <w:spacing w:val="-3"/>
        </w:rPr>
        <w:t xml:space="preserve"> </w:t>
      </w:r>
      <w:r>
        <w:t>annually</w:t>
      </w:r>
      <w:r>
        <w:rPr>
          <w:spacing w:val="-1"/>
        </w:rPr>
        <w:t xml:space="preserve"> </w:t>
      </w:r>
      <w:r>
        <w:t>and the</w:t>
      </w:r>
      <w:r>
        <w:rPr>
          <w:spacing w:val="-1"/>
        </w:rPr>
        <w:t xml:space="preserve"> </w:t>
      </w:r>
      <w:r>
        <w:t>total cost</w:t>
      </w:r>
      <w:r>
        <w:rPr>
          <w:spacing w:val="1"/>
        </w:rPr>
        <w:t xml:space="preserve"> </w:t>
      </w:r>
      <w:r>
        <w:t>(including printing</w:t>
      </w:r>
      <w:r>
        <w:rPr>
          <w:spacing w:val="-1"/>
        </w:rPr>
        <w:t xml:space="preserve"> </w:t>
      </w:r>
      <w:r>
        <w:t>and materials</w:t>
      </w:r>
      <w:r>
        <w:rPr>
          <w:spacing w:val="-1"/>
        </w:rPr>
        <w:t xml:space="preserve"> </w:t>
      </w:r>
      <w:r>
        <w:t>costs discussed</w:t>
      </w:r>
      <w:r>
        <w:rPr>
          <w:spacing w:val="-1"/>
        </w:rPr>
        <w:t xml:space="preserve"> </w:t>
      </w:r>
      <w:r>
        <w:t xml:space="preserve">in </w:t>
      </w:r>
      <w:r>
        <w:rPr>
          <w:spacing w:val="-5"/>
        </w:rPr>
        <w:t>the</w:t>
      </w:r>
    </w:p>
    <w:p w:rsidR="00B64E72" w14:paraId="12A267C1" w14:textId="77777777">
      <w:pPr>
        <w:pStyle w:val="BodyText"/>
        <w:spacing w:before="118"/>
        <w:rPr>
          <w:sz w:val="20"/>
        </w:rPr>
      </w:pPr>
      <w:r>
        <w:rPr>
          <w:noProof/>
          <w:sz w:val="20"/>
        </w:rPr>
        <mc:AlternateContent>
          <mc:Choice Requires="wps">
            <w:drawing>
              <wp:anchor distT="0" distB="0" distL="0" distR="0" simplePos="0" relativeHeight="251684864" behindDoc="1" locked="0" layoutInCell="1" allowOverlap="1">
                <wp:simplePos x="0" y="0"/>
                <wp:positionH relativeFrom="page">
                  <wp:posOffset>914704</wp:posOffset>
                </wp:positionH>
                <wp:positionV relativeFrom="paragraph">
                  <wp:posOffset>236608</wp:posOffset>
                </wp:positionV>
                <wp:extent cx="1829435" cy="762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7620"/>
                        </a:xfrm>
                        <a:custGeom>
                          <a:avLst/>
                          <a:gdLst/>
                          <a:rect l="l" t="t" r="r" b="b"/>
                          <a:pathLst>
                            <a:path fill="norm" h="7620" w="1829435" stroke="1">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4" o:spid="_x0000_s1037" style="width:144.05pt;height:0.6pt;margin-top:18.65pt;margin-left:1in;mso-position-horizontal-relative:page;mso-wrap-distance-bottom:0;mso-wrap-distance-left:0;mso-wrap-distance-right:0;mso-wrap-distance-top:0;mso-wrap-style:square;position:absolute;visibility:visible;v-text-anchor:top;z-index:-251630592" coordsize="1829435,7620" path="m1829054,l,,,7619l1829054,7619l1829054,xe" fillcolor="black" stroked="f">
                <v:path arrowok="t"/>
                <w10:wrap type="topAndBottom"/>
              </v:shape>
            </w:pict>
          </mc:Fallback>
        </mc:AlternateContent>
      </w:r>
    </w:p>
    <w:p w:rsidR="00B64E72" w14:paraId="7B73197F" w14:textId="77777777">
      <w:pPr>
        <w:spacing w:before="147"/>
        <w:ind w:left="1080" w:right="1099"/>
        <w:rPr>
          <w:sz w:val="20"/>
        </w:rPr>
      </w:pPr>
      <w:bookmarkStart w:id="233" w:name="24_Estimates_based_on_data_on_postoperat"/>
      <w:bookmarkStart w:id="234" w:name="_bookmark23"/>
      <w:bookmarkEnd w:id="233"/>
      <w:bookmarkEnd w:id="234"/>
      <w:r>
        <w:rPr>
          <w:sz w:val="20"/>
          <w:vertAlign w:val="superscript"/>
        </w:rPr>
        <w:t>24</w:t>
      </w:r>
      <w:r>
        <w:rPr>
          <w:spacing w:val="-4"/>
          <w:sz w:val="20"/>
        </w:rPr>
        <w:t xml:space="preserve"> </w:t>
      </w:r>
      <w:r>
        <w:rPr>
          <w:sz w:val="20"/>
        </w:rPr>
        <w:t>Estimates</w:t>
      </w:r>
      <w:r>
        <w:rPr>
          <w:spacing w:val="-5"/>
          <w:sz w:val="20"/>
        </w:rPr>
        <w:t xml:space="preserve"> </w:t>
      </w:r>
      <w:r>
        <w:rPr>
          <w:sz w:val="20"/>
        </w:rPr>
        <w:t>based</w:t>
      </w:r>
      <w:r>
        <w:rPr>
          <w:spacing w:val="-3"/>
          <w:sz w:val="20"/>
        </w:rPr>
        <w:t xml:space="preserve"> </w:t>
      </w:r>
      <w:r>
        <w:rPr>
          <w:sz w:val="20"/>
        </w:rPr>
        <w:t>on</w:t>
      </w:r>
      <w:r>
        <w:rPr>
          <w:spacing w:val="-3"/>
          <w:sz w:val="20"/>
        </w:rPr>
        <w:t xml:space="preserve"> </w:t>
      </w:r>
      <w:r>
        <w:rPr>
          <w:sz w:val="20"/>
        </w:rPr>
        <w:t>data</w:t>
      </w:r>
      <w:r>
        <w:rPr>
          <w:spacing w:val="-4"/>
          <w:sz w:val="20"/>
        </w:rPr>
        <w:t xml:space="preserve"> </w:t>
      </w:r>
      <w:r>
        <w:rPr>
          <w:sz w:val="20"/>
        </w:rPr>
        <w:t>on</w:t>
      </w:r>
      <w:r>
        <w:rPr>
          <w:spacing w:val="-3"/>
          <w:sz w:val="20"/>
        </w:rPr>
        <w:t xml:space="preserve"> </w:t>
      </w:r>
      <w:r>
        <w:rPr>
          <w:sz w:val="20"/>
        </w:rPr>
        <w:t>postoperative</w:t>
      </w:r>
      <w:r>
        <w:rPr>
          <w:spacing w:val="-4"/>
          <w:sz w:val="20"/>
        </w:rPr>
        <w:t xml:space="preserve"> </w:t>
      </w:r>
      <w:r>
        <w:rPr>
          <w:sz w:val="20"/>
        </w:rPr>
        <w:t>office</w:t>
      </w:r>
      <w:r>
        <w:rPr>
          <w:spacing w:val="-4"/>
          <w:sz w:val="20"/>
        </w:rPr>
        <w:t xml:space="preserve"> </w:t>
      </w:r>
      <w:r>
        <w:rPr>
          <w:sz w:val="20"/>
        </w:rPr>
        <w:t>visits.</w:t>
      </w:r>
      <w:r>
        <w:rPr>
          <w:spacing w:val="-4"/>
          <w:sz w:val="20"/>
        </w:rPr>
        <w:t xml:space="preserve"> </w:t>
      </w:r>
      <w:r>
        <w:rPr>
          <w:sz w:val="20"/>
        </w:rPr>
        <w:t>Centers</w:t>
      </w:r>
      <w:r>
        <w:rPr>
          <w:spacing w:val="-5"/>
          <w:sz w:val="20"/>
        </w:rPr>
        <w:t xml:space="preserve"> </w:t>
      </w:r>
      <w:r>
        <w:rPr>
          <w:sz w:val="20"/>
        </w:rPr>
        <w:t>for</w:t>
      </w:r>
      <w:r>
        <w:rPr>
          <w:spacing w:val="-4"/>
          <w:sz w:val="20"/>
        </w:rPr>
        <w:t xml:space="preserve"> </w:t>
      </w:r>
      <w:r>
        <w:rPr>
          <w:sz w:val="20"/>
        </w:rPr>
        <w:t>Disease</w:t>
      </w:r>
      <w:r>
        <w:rPr>
          <w:spacing w:val="-4"/>
          <w:sz w:val="20"/>
        </w:rPr>
        <w:t xml:space="preserve"> </w:t>
      </w:r>
      <w:r>
        <w:rPr>
          <w:sz w:val="20"/>
        </w:rPr>
        <w:t>Control,</w:t>
      </w:r>
      <w:r>
        <w:rPr>
          <w:spacing w:val="-4"/>
          <w:sz w:val="20"/>
        </w:rPr>
        <w:t xml:space="preserve"> </w:t>
      </w:r>
      <w:r>
        <w:rPr>
          <w:sz w:val="20"/>
        </w:rPr>
        <w:t>National</w:t>
      </w:r>
      <w:r>
        <w:rPr>
          <w:spacing w:val="-4"/>
          <w:sz w:val="20"/>
        </w:rPr>
        <w:t xml:space="preserve"> </w:t>
      </w:r>
      <w:r>
        <w:rPr>
          <w:sz w:val="20"/>
        </w:rPr>
        <w:t>Ambulatory</w:t>
      </w:r>
      <w:r>
        <w:rPr>
          <w:spacing w:val="-3"/>
          <w:sz w:val="20"/>
        </w:rPr>
        <w:t xml:space="preserve"> </w:t>
      </w:r>
      <w:r>
        <w:rPr>
          <w:sz w:val="20"/>
        </w:rPr>
        <w:t xml:space="preserve">Medical Care Survey: 2016 National Summary Tables. Available at </w:t>
      </w:r>
      <w:bookmarkStart w:id="235" w:name="https://www.cdc.gov/nchs/fastats/physici"/>
      <w:bookmarkEnd w:id="235"/>
      <w:hyperlink r:id="rId20">
        <w:r>
          <w:rPr>
            <w:color w:val="0462C1"/>
            <w:sz w:val="20"/>
            <w:u w:val="single" w:color="0462C1"/>
          </w:rPr>
          <w:t>https://www.cdc.gov/nchs/fastats/physician-visits.htm</w:t>
        </w:r>
        <w:r>
          <w:rPr>
            <w:sz w:val="20"/>
          </w:rPr>
          <w:t>.</w:t>
        </w:r>
      </w:hyperlink>
    </w:p>
    <w:p w:rsidR="00B64E72" w14:paraId="09A61ACC" w14:textId="77777777">
      <w:pPr>
        <w:ind w:left="1080" w:right="1088"/>
        <w:rPr>
          <w:sz w:val="20"/>
        </w:rPr>
      </w:pPr>
      <w:bookmarkStart w:id="236" w:name="25_Estimated_based_on_information_provid"/>
      <w:bookmarkStart w:id="237" w:name="https://www.kff.org/health-costs/poll-fi"/>
      <w:bookmarkStart w:id="238" w:name="_bookmark24"/>
      <w:bookmarkEnd w:id="236"/>
      <w:bookmarkEnd w:id="237"/>
      <w:bookmarkEnd w:id="238"/>
      <w:r>
        <w:rPr>
          <w:sz w:val="20"/>
          <w:vertAlign w:val="superscript"/>
        </w:rPr>
        <w:t>25</w:t>
      </w:r>
      <w:r>
        <w:rPr>
          <w:spacing w:val="-5"/>
          <w:sz w:val="20"/>
        </w:rPr>
        <w:t xml:space="preserve"> </w:t>
      </w:r>
      <w:r>
        <w:rPr>
          <w:sz w:val="20"/>
        </w:rPr>
        <w:t>Estimated</w:t>
      </w:r>
      <w:r>
        <w:rPr>
          <w:spacing w:val="-4"/>
          <w:sz w:val="20"/>
        </w:rPr>
        <w:t xml:space="preserve"> </w:t>
      </w:r>
      <w:r>
        <w:rPr>
          <w:sz w:val="20"/>
        </w:rPr>
        <w:t>based</w:t>
      </w:r>
      <w:r>
        <w:rPr>
          <w:spacing w:val="-4"/>
          <w:sz w:val="20"/>
        </w:rPr>
        <w:t xml:space="preserve"> </w:t>
      </w:r>
      <w:r>
        <w:rPr>
          <w:sz w:val="20"/>
        </w:rPr>
        <w:t>on</w:t>
      </w:r>
      <w:r>
        <w:rPr>
          <w:spacing w:val="-4"/>
          <w:sz w:val="20"/>
        </w:rPr>
        <w:t xml:space="preserve"> </w:t>
      </w:r>
      <w:r>
        <w:rPr>
          <w:sz w:val="20"/>
        </w:rPr>
        <w:t>information</w:t>
      </w:r>
      <w:r>
        <w:rPr>
          <w:spacing w:val="-4"/>
          <w:sz w:val="20"/>
        </w:rPr>
        <w:t xml:space="preserve"> </w:t>
      </w:r>
      <w:r>
        <w:rPr>
          <w:sz w:val="20"/>
        </w:rPr>
        <w:t>provided</w:t>
      </w:r>
      <w:r>
        <w:rPr>
          <w:spacing w:val="-4"/>
          <w:sz w:val="20"/>
        </w:rPr>
        <w:t xml:space="preserve"> </w:t>
      </w:r>
      <w:r>
        <w:rPr>
          <w:sz w:val="20"/>
        </w:rPr>
        <w:t>by</w:t>
      </w:r>
      <w:r>
        <w:rPr>
          <w:spacing w:val="-6"/>
          <w:sz w:val="20"/>
        </w:rPr>
        <w:t xml:space="preserve"> </w:t>
      </w:r>
      <w:r>
        <w:rPr>
          <w:sz w:val="20"/>
        </w:rPr>
        <w:t>KFF.</w:t>
      </w:r>
      <w:r>
        <w:rPr>
          <w:spacing w:val="-5"/>
          <w:sz w:val="20"/>
        </w:rPr>
        <w:t xml:space="preserve"> </w:t>
      </w:r>
      <w:r>
        <w:rPr>
          <w:sz w:val="20"/>
        </w:rPr>
        <w:t>Available</w:t>
      </w:r>
      <w:r>
        <w:rPr>
          <w:spacing w:val="-5"/>
          <w:sz w:val="20"/>
        </w:rPr>
        <w:t xml:space="preserve"> </w:t>
      </w:r>
      <w:r>
        <w:rPr>
          <w:sz w:val="20"/>
        </w:rPr>
        <w:t xml:space="preserve">at </w:t>
      </w:r>
      <w:hyperlink r:id="rId21">
        <w:r>
          <w:rPr>
            <w:color w:val="0462C1"/>
            <w:sz w:val="20"/>
            <w:u w:val="single" w:color="0462C1"/>
          </w:rPr>
          <w:t>https://www.kff.org/health-costs/poll-finding/data-</w:t>
        </w:r>
      </w:hyperlink>
      <w:r>
        <w:rPr>
          <w:color w:val="0462C1"/>
          <w:sz w:val="20"/>
        </w:rPr>
        <w:t xml:space="preserve"> </w:t>
      </w:r>
      <w:hyperlink r:id="rId21">
        <w:r>
          <w:rPr>
            <w:color w:val="0462C1"/>
            <w:spacing w:val="-2"/>
            <w:sz w:val="20"/>
            <w:u w:val="single" w:color="0462C1"/>
          </w:rPr>
          <w:t>note-public-worries-about-and-experience-with-surprise-medical-bills/</w:t>
        </w:r>
        <w:r>
          <w:rPr>
            <w:spacing w:val="-2"/>
            <w:sz w:val="20"/>
          </w:rPr>
          <w:t>.</w:t>
        </w:r>
      </w:hyperlink>
    </w:p>
    <w:p w:rsidR="00B64E72" w14:paraId="445EA8C0" w14:textId="77777777">
      <w:pPr>
        <w:rPr>
          <w:sz w:val="20"/>
        </w:rPr>
        <w:sectPr>
          <w:pgSz w:w="12240" w:h="15840"/>
          <w:pgMar w:top="1360" w:right="360" w:bottom="1280" w:left="360" w:header="0" w:footer="1094" w:gutter="0"/>
          <w:cols w:space="720"/>
        </w:sectPr>
      </w:pPr>
    </w:p>
    <w:p w:rsidR="00B64E72" w14:paraId="7E7CA0C4" w14:textId="77777777">
      <w:pPr>
        <w:pStyle w:val="BodyText"/>
        <w:spacing w:before="79" w:line="259" w:lineRule="auto"/>
        <w:ind w:left="1512" w:right="1086"/>
      </w:pPr>
      <w:bookmarkStart w:id="239" w:name="section_on_capital_costs_below)_will_be_"/>
      <w:bookmarkEnd w:id="239"/>
      <w:r>
        <w:t>section on capital costs below) will be approximately $122.3 million annually. For all consumers,</w:t>
      </w:r>
      <w:r>
        <w:rPr>
          <w:spacing w:val="-3"/>
        </w:rPr>
        <w:t xml:space="preserve"> </w:t>
      </w:r>
      <w:r>
        <w:t>the</w:t>
      </w:r>
      <w:r>
        <w:rPr>
          <w:spacing w:val="-4"/>
        </w:rPr>
        <w:t xml:space="preserve"> </w:t>
      </w:r>
      <w:r>
        <w:t>total</w:t>
      </w:r>
      <w:r>
        <w:rPr>
          <w:spacing w:val="-3"/>
        </w:rPr>
        <w:t xml:space="preserve"> </w:t>
      </w:r>
      <w:r>
        <w:t>annual</w:t>
      </w:r>
      <w:r>
        <w:rPr>
          <w:spacing w:val="-3"/>
        </w:rPr>
        <w:t xml:space="preserve"> </w:t>
      </w:r>
      <w:r>
        <w:t>burden</w:t>
      </w:r>
      <w:r>
        <w:rPr>
          <w:spacing w:val="-3"/>
        </w:rPr>
        <w:t xml:space="preserve"> </w:t>
      </w:r>
      <w:r>
        <w:t>to</w:t>
      </w:r>
      <w:r>
        <w:rPr>
          <w:spacing w:val="-3"/>
        </w:rPr>
        <w:t xml:space="preserve"> </w:t>
      </w:r>
      <w:r>
        <w:t>read</w:t>
      </w:r>
      <w:r>
        <w:rPr>
          <w:spacing w:val="-3"/>
        </w:rPr>
        <w:t xml:space="preserve"> </w:t>
      </w:r>
      <w:r>
        <w:t>and</w:t>
      </w:r>
      <w:r>
        <w:rPr>
          <w:spacing w:val="-3"/>
        </w:rPr>
        <w:t xml:space="preserve"> </w:t>
      </w:r>
      <w:r>
        <w:t>understand</w:t>
      </w:r>
      <w:r>
        <w:rPr>
          <w:spacing w:val="-3"/>
        </w:rPr>
        <w:t xml:space="preserve"> </w:t>
      </w:r>
      <w:r>
        <w:t>the</w:t>
      </w:r>
      <w:r>
        <w:rPr>
          <w:spacing w:val="-3"/>
        </w:rPr>
        <w:t xml:space="preserve"> </w:t>
      </w:r>
      <w:r>
        <w:t>notice</w:t>
      </w:r>
      <w:r>
        <w:rPr>
          <w:spacing w:val="-3"/>
        </w:rPr>
        <w:t xml:space="preserve"> </w:t>
      </w:r>
      <w:r>
        <w:t>will</w:t>
      </w:r>
      <w:r>
        <w:rPr>
          <w:spacing w:val="-3"/>
        </w:rPr>
        <w:t xml:space="preserve"> </w:t>
      </w:r>
      <w:r>
        <w:t>be</w:t>
      </w:r>
      <w:r>
        <w:rPr>
          <w:spacing w:val="-4"/>
        </w:rPr>
        <w:t xml:space="preserve"> </w:t>
      </w:r>
      <w:r>
        <w:t>1,830,424</w:t>
      </w:r>
      <w:r>
        <w:rPr>
          <w:spacing w:val="-3"/>
        </w:rPr>
        <w:t xml:space="preserve"> </w:t>
      </w:r>
      <w:r>
        <w:t>hours with an equivalent cost of $84.6 million.</w:t>
      </w:r>
    </w:p>
    <w:p w:rsidR="00B64E72" w14:paraId="0E30894D" w14:textId="77777777">
      <w:pPr>
        <w:pStyle w:val="BodyText"/>
        <w:spacing w:before="61"/>
      </w:pPr>
    </w:p>
    <w:p w:rsidR="00B64E72" w14:paraId="770FF974" w14:textId="77777777">
      <w:pPr>
        <w:pStyle w:val="Heading1"/>
        <w:spacing w:line="247" w:lineRule="auto"/>
      </w:pPr>
      <w:bookmarkStart w:id="240" w:name="TABLE_6:_Annual_Burden_and_Cost_for_Emer"/>
      <w:bookmarkEnd w:id="240"/>
      <w:r>
        <w:t>TABLE</w:t>
      </w:r>
      <w:r>
        <w:rPr>
          <w:spacing w:val="-3"/>
        </w:rPr>
        <w:t xml:space="preserve"> </w:t>
      </w:r>
      <w:r>
        <w:t>6:</w:t>
      </w:r>
      <w:r>
        <w:rPr>
          <w:spacing w:val="-5"/>
        </w:rPr>
        <w:t xml:space="preserve"> </w:t>
      </w:r>
      <w:r>
        <w:t>Annual</w:t>
      </w:r>
      <w:r>
        <w:rPr>
          <w:spacing w:val="-4"/>
        </w:rPr>
        <w:t xml:space="preserve"> </w:t>
      </w:r>
      <w:r>
        <w:t>Burden</w:t>
      </w:r>
      <w:r>
        <w:rPr>
          <w:spacing w:val="-4"/>
        </w:rPr>
        <w:t xml:space="preserve"> </w:t>
      </w:r>
      <w:r>
        <w:t>and</w:t>
      </w:r>
      <w:r>
        <w:rPr>
          <w:spacing w:val="-4"/>
        </w:rPr>
        <w:t xml:space="preserve"> </w:t>
      </w:r>
      <w:r>
        <w:t>Cost</w:t>
      </w:r>
      <w:r>
        <w:rPr>
          <w:spacing w:val="-5"/>
        </w:rPr>
        <w:t xml:space="preserve"> </w:t>
      </w:r>
      <w:r>
        <w:t>for</w:t>
      </w:r>
      <w:r>
        <w:rPr>
          <w:spacing w:val="-6"/>
        </w:rPr>
        <w:t xml:space="preserve"> </w:t>
      </w:r>
      <w:r>
        <w:t>Emergency</w:t>
      </w:r>
      <w:r>
        <w:rPr>
          <w:spacing w:val="-4"/>
        </w:rPr>
        <w:t xml:space="preserve"> </w:t>
      </w:r>
      <w:r>
        <w:t>Departments</w:t>
      </w:r>
      <w:r>
        <w:rPr>
          <w:spacing w:val="-4"/>
        </w:rPr>
        <w:t xml:space="preserve"> </w:t>
      </w:r>
      <w:r>
        <w:t>and</w:t>
      </w:r>
      <w:r>
        <w:rPr>
          <w:spacing w:val="-3"/>
        </w:rPr>
        <w:t xml:space="preserve"> </w:t>
      </w:r>
      <w:r>
        <w:t>Facilities Related to Notice and Consent</w:t>
      </w:r>
    </w:p>
    <w:p w:rsidR="00B64E72" w14:paraId="3AE1D6F8" w14:textId="77777777">
      <w:pPr>
        <w:pStyle w:val="BodyText"/>
        <w:spacing w:before="71"/>
        <w:rPr>
          <w:b/>
          <w:sz w:val="20"/>
        </w:rPr>
      </w:pPr>
    </w:p>
    <w:tbl>
      <w:tblPr>
        <w:tblW w:w="0" w:type="auto"/>
        <w:tblInd w:w="1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95"/>
        <w:gridCol w:w="1620"/>
        <w:gridCol w:w="1259"/>
        <w:gridCol w:w="1439"/>
        <w:gridCol w:w="1259"/>
        <w:gridCol w:w="1351"/>
      </w:tblGrid>
      <w:tr w14:paraId="091C98DC" w14:textId="77777777">
        <w:tblPrEx>
          <w:tblW w:w="0" w:type="auto"/>
          <w:tblInd w:w="1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51"/>
        </w:trPr>
        <w:tc>
          <w:tcPr>
            <w:tcW w:w="1795" w:type="dxa"/>
          </w:tcPr>
          <w:p w:rsidR="00B64E72" w14:paraId="0500BD71" w14:textId="77777777">
            <w:pPr>
              <w:pStyle w:val="TableParagraph"/>
              <w:spacing w:before="115"/>
              <w:rPr>
                <w:b/>
                <w:sz w:val="20"/>
              </w:rPr>
            </w:pPr>
          </w:p>
          <w:p w:rsidR="00B64E72" w14:paraId="08704742" w14:textId="77777777">
            <w:pPr>
              <w:pStyle w:val="TableParagraph"/>
              <w:spacing w:before="1"/>
              <w:ind w:left="275" w:right="137" w:hanging="140"/>
              <w:rPr>
                <w:sz w:val="20"/>
              </w:rPr>
            </w:pPr>
            <w:r>
              <w:rPr>
                <w:sz w:val="20"/>
              </w:rPr>
              <w:t>Estimated</w:t>
            </w:r>
            <w:r>
              <w:rPr>
                <w:spacing w:val="-13"/>
                <w:sz w:val="20"/>
              </w:rPr>
              <w:t xml:space="preserve"> </w:t>
            </w:r>
            <w:r>
              <w:rPr>
                <w:sz w:val="20"/>
              </w:rPr>
              <w:t>Number of Respondents</w:t>
            </w:r>
          </w:p>
        </w:tc>
        <w:tc>
          <w:tcPr>
            <w:tcW w:w="1620" w:type="dxa"/>
          </w:tcPr>
          <w:p w:rsidR="00B64E72" w14:paraId="566A7316" w14:textId="77777777">
            <w:pPr>
              <w:pStyle w:val="TableParagraph"/>
              <w:rPr>
                <w:b/>
                <w:sz w:val="20"/>
              </w:rPr>
            </w:pPr>
          </w:p>
          <w:p w:rsidR="00B64E72" w14:paraId="4CCDF11A" w14:textId="77777777">
            <w:pPr>
              <w:pStyle w:val="TableParagraph"/>
              <w:ind w:left="370" w:right="366" w:firstLine="33"/>
              <w:jc w:val="both"/>
              <w:rPr>
                <w:sz w:val="20"/>
              </w:rPr>
            </w:pPr>
            <w:r>
              <w:rPr>
                <w:spacing w:val="-2"/>
                <w:sz w:val="20"/>
              </w:rPr>
              <w:t xml:space="preserve">Estimated </w:t>
            </w:r>
            <w:r>
              <w:rPr>
                <w:sz w:val="20"/>
              </w:rPr>
              <w:t>Number</w:t>
            </w:r>
            <w:r>
              <w:rPr>
                <w:spacing w:val="-13"/>
                <w:sz w:val="20"/>
              </w:rPr>
              <w:t xml:space="preserve"> </w:t>
            </w:r>
            <w:r>
              <w:rPr>
                <w:sz w:val="20"/>
              </w:rPr>
              <w:t xml:space="preserve">of </w:t>
            </w:r>
            <w:r>
              <w:rPr>
                <w:spacing w:val="-2"/>
                <w:sz w:val="20"/>
              </w:rPr>
              <w:t>Responses</w:t>
            </w:r>
          </w:p>
        </w:tc>
        <w:tc>
          <w:tcPr>
            <w:tcW w:w="1259" w:type="dxa"/>
          </w:tcPr>
          <w:p w:rsidR="00B64E72" w14:paraId="13A751AF" w14:textId="77777777">
            <w:pPr>
              <w:pStyle w:val="TableParagraph"/>
              <w:spacing w:before="115"/>
              <w:ind w:left="331" w:right="321" w:firstLine="79"/>
              <w:rPr>
                <w:sz w:val="20"/>
              </w:rPr>
            </w:pPr>
            <w:r>
              <w:rPr>
                <w:spacing w:val="-4"/>
                <w:sz w:val="20"/>
              </w:rPr>
              <w:t xml:space="preserve">Total </w:t>
            </w:r>
            <w:r>
              <w:rPr>
                <w:spacing w:val="-2"/>
                <w:sz w:val="20"/>
              </w:rPr>
              <w:t>Annual Burden (hours)</w:t>
            </w:r>
          </w:p>
        </w:tc>
        <w:tc>
          <w:tcPr>
            <w:tcW w:w="1439" w:type="dxa"/>
          </w:tcPr>
          <w:p w:rsidR="00B64E72" w14:paraId="14F554E2" w14:textId="77777777">
            <w:pPr>
              <w:pStyle w:val="TableParagraph"/>
              <w:rPr>
                <w:b/>
                <w:sz w:val="20"/>
              </w:rPr>
            </w:pPr>
          </w:p>
          <w:p w:rsidR="00B64E72" w14:paraId="22C61F52" w14:textId="77777777">
            <w:pPr>
              <w:pStyle w:val="TableParagraph"/>
              <w:ind w:left="270" w:right="262" w:hanging="7"/>
              <w:jc w:val="center"/>
              <w:rPr>
                <w:sz w:val="20"/>
              </w:rPr>
            </w:pPr>
            <w:r>
              <w:rPr>
                <w:spacing w:val="-2"/>
                <w:sz w:val="20"/>
              </w:rPr>
              <w:t xml:space="preserve">Total Estimated </w:t>
            </w:r>
            <w:r>
              <w:rPr>
                <w:sz w:val="20"/>
              </w:rPr>
              <w:t>Labor</w:t>
            </w:r>
            <w:r>
              <w:rPr>
                <w:spacing w:val="-13"/>
                <w:sz w:val="20"/>
              </w:rPr>
              <w:t xml:space="preserve"> </w:t>
            </w:r>
            <w:r>
              <w:rPr>
                <w:sz w:val="20"/>
              </w:rPr>
              <w:t>Cost</w:t>
            </w:r>
          </w:p>
        </w:tc>
        <w:tc>
          <w:tcPr>
            <w:tcW w:w="1259" w:type="dxa"/>
          </w:tcPr>
          <w:p w:rsidR="00B64E72" w14:paraId="25AC4FA1" w14:textId="77777777">
            <w:pPr>
              <w:pStyle w:val="TableParagraph"/>
              <w:ind w:left="137" w:right="125" w:hanging="11"/>
              <w:jc w:val="center"/>
              <w:rPr>
                <w:sz w:val="20"/>
              </w:rPr>
            </w:pPr>
            <w:r>
              <w:rPr>
                <w:spacing w:val="-2"/>
                <w:sz w:val="20"/>
              </w:rPr>
              <w:t xml:space="preserve">Total Estimated </w:t>
            </w:r>
            <w:r>
              <w:rPr>
                <w:sz w:val="20"/>
              </w:rPr>
              <w:t>Printing</w:t>
            </w:r>
            <w:r>
              <w:rPr>
                <w:spacing w:val="-13"/>
                <w:sz w:val="20"/>
              </w:rPr>
              <w:t xml:space="preserve"> </w:t>
            </w:r>
            <w:r>
              <w:rPr>
                <w:sz w:val="20"/>
              </w:rPr>
              <w:t xml:space="preserve">and </w:t>
            </w:r>
            <w:r>
              <w:rPr>
                <w:spacing w:val="-2"/>
                <w:sz w:val="20"/>
              </w:rPr>
              <w:t>Materials</w:t>
            </w:r>
          </w:p>
          <w:p w:rsidR="00B64E72" w14:paraId="5E7787DD" w14:textId="77777777">
            <w:pPr>
              <w:pStyle w:val="TableParagraph"/>
              <w:spacing w:line="211" w:lineRule="exact"/>
              <w:ind w:left="9"/>
              <w:jc w:val="center"/>
              <w:rPr>
                <w:sz w:val="20"/>
              </w:rPr>
            </w:pPr>
            <w:r>
              <w:rPr>
                <w:spacing w:val="-4"/>
                <w:sz w:val="20"/>
              </w:rPr>
              <w:t>Cost</w:t>
            </w:r>
          </w:p>
        </w:tc>
        <w:tc>
          <w:tcPr>
            <w:tcW w:w="1351" w:type="dxa"/>
          </w:tcPr>
          <w:p w:rsidR="00B64E72" w14:paraId="2AA401DA" w14:textId="77777777">
            <w:pPr>
              <w:pStyle w:val="TableParagraph"/>
              <w:rPr>
                <w:b/>
                <w:sz w:val="20"/>
              </w:rPr>
            </w:pPr>
          </w:p>
          <w:p w:rsidR="00B64E72" w14:paraId="70E7D67E" w14:textId="77777777">
            <w:pPr>
              <w:pStyle w:val="TableParagraph"/>
              <w:ind w:left="278" w:right="264" w:hanging="11"/>
              <w:jc w:val="center"/>
              <w:rPr>
                <w:sz w:val="20"/>
              </w:rPr>
            </w:pPr>
            <w:r>
              <w:rPr>
                <w:spacing w:val="-2"/>
                <w:sz w:val="20"/>
              </w:rPr>
              <w:t xml:space="preserve">Total Estimated </w:t>
            </w:r>
            <w:r>
              <w:rPr>
                <w:spacing w:val="-4"/>
                <w:sz w:val="20"/>
              </w:rPr>
              <w:t>Cost</w:t>
            </w:r>
          </w:p>
        </w:tc>
      </w:tr>
      <w:tr w14:paraId="1E22976D" w14:textId="77777777">
        <w:tblPrEx>
          <w:tblW w:w="0" w:type="auto"/>
          <w:tblInd w:w="1402" w:type="dxa"/>
          <w:tblLayout w:type="fixed"/>
          <w:tblCellMar>
            <w:left w:w="0" w:type="dxa"/>
            <w:right w:w="0" w:type="dxa"/>
          </w:tblCellMar>
          <w:tblLook w:val="01E0"/>
        </w:tblPrEx>
        <w:trPr>
          <w:trHeight w:val="290"/>
        </w:trPr>
        <w:tc>
          <w:tcPr>
            <w:tcW w:w="1795" w:type="dxa"/>
          </w:tcPr>
          <w:p w:rsidR="00B64E72" w14:paraId="2920F7C8" w14:textId="77777777">
            <w:pPr>
              <w:pStyle w:val="TableParagraph"/>
              <w:spacing w:before="29"/>
              <w:ind w:right="4"/>
              <w:jc w:val="center"/>
              <w:rPr>
                <w:sz w:val="20"/>
              </w:rPr>
            </w:pPr>
            <w:r>
              <w:rPr>
                <w:spacing w:val="-2"/>
                <w:sz w:val="20"/>
              </w:rPr>
              <w:t>17,467</w:t>
            </w:r>
          </w:p>
        </w:tc>
        <w:tc>
          <w:tcPr>
            <w:tcW w:w="1620" w:type="dxa"/>
          </w:tcPr>
          <w:p w:rsidR="00B64E72" w14:paraId="70CE6E8C" w14:textId="77777777">
            <w:pPr>
              <w:pStyle w:val="TableParagraph"/>
              <w:spacing w:before="29"/>
              <w:ind w:left="403"/>
              <w:rPr>
                <w:sz w:val="20"/>
              </w:rPr>
            </w:pPr>
            <w:r>
              <w:rPr>
                <w:spacing w:val="-2"/>
                <w:sz w:val="20"/>
              </w:rPr>
              <w:t>2,440,565</w:t>
            </w:r>
          </w:p>
        </w:tc>
        <w:tc>
          <w:tcPr>
            <w:tcW w:w="1259" w:type="dxa"/>
          </w:tcPr>
          <w:p w:rsidR="00B64E72" w14:paraId="3A73E839" w14:textId="77777777">
            <w:pPr>
              <w:pStyle w:val="TableParagraph"/>
              <w:spacing w:before="29"/>
              <w:ind w:left="223"/>
              <w:rPr>
                <w:sz w:val="20"/>
              </w:rPr>
            </w:pPr>
            <w:r>
              <w:rPr>
                <w:spacing w:val="-2"/>
                <w:sz w:val="20"/>
              </w:rPr>
              <w:t>3,104,001</w:t>
            </w:r>
          </w:p>
        </w:tc>
        <w:tc>
          <w:tcPr>
            <w:tcW w:w="1439" w:type="dxa"/>
          </w:tcPr>
          <w:p w:rsidR="00B64E72" w14:paraId="0BA093D3" w14:textId="77777777">
            <w:pPr>
              <w:pStyle w:val="TableParagraph"/>
              <w:spacing w:before="29"/>
              <w:ind w:left="165"/>
              <w:rPr>
                <w:sz w:val="20"/>
              </w:rPr>
            </w:pPr>
            <w:r>
              <w:rPr>
                <w:spacing w:val="-2"/>
                <w:sz w:val="20"/>
              </w:rPr>
              <w:t>$121,304,370</w:t>
            </w:r>
          </w:p>
        </w:tc>
        <w:tc>
          <w:tcPr>
            <w:tcW w:w="1259" w:type="dxa"/>
          </w:tcPr>
          <w:p w:rsidR="00B64E72" w14:paraId="2A53B336" w14:textId="77777777">
            <w:pPr>
              <w:pStyle w:val="TableParagraph"/>
              <w:spacing w:before="29"/>
              <w:ind w:left="175"/>
              <w:rPr>
                <w:sz w:val="20"/>
              </w:rPr>
            </w:pPr>
            <w:r>
              <w:rPr>
                <w:spacing w:val="-2"/>
                <w:sz w:val="20"/>
              </w:rPr>
              <w:t>$1,039,855</w:t>
            </w:r>
          </w:p>
        </w:tc>
        <w:tc>
          <w:tcPr>
            <w:tcW w:w="1351" w:type="dxa"/>
          </w:tcPr>
          <w:p w:rsidR="00B64E72" w14:paraId="680EE2E0" w14:textId="77777777">
            <w:pPr>
              <w:pStyle w:val="TableParagraph"/>
              <w:spacing w:before="29"/>
              <w:ind w:left="122"/>
              <w:rPr>
                <w:sz w:val="20"/>
              </w:rPr>
            </w:pPr>
            <w:r>
              <w:rPr>
                <w:spacing w:val="-2"/>
                <w:sz w:val="20"/>
              </w:rPr>
              <w:t>$122,344,225</w:t>
            </w:r>
          </w:p>
        </w:tc>
      </w:tr>
    </w:tbl>
    <w:p w:rsidR="00B64E72" w14:paraId="3017E13A" w14:textId="77777777">
      <w:pPr>
        <w:pStyle w:val="BodyText"/>
        <w:spacing w:before="64"/>
        <w:rPr>
          <w:b/>
        </w:rPr>
      </w:pPr>
    </w:p>
    <w:p w:rsidR="00B64E72" w14:paraId="1F28437E" w14:textId="77777777">
      <w:pPr>
        <w:ind w:left="1512"/>
        <w:rPr>
          <w:b/>
          <w:sz w:val="24"/>
        </w:rPr>
      </w:pPr>
      <w:bookmarkStart w:id="241" w:name="TABLE_7:_Annual_Burden_and_Cost_for_Indi"/>
      <w:bookmarkEnd w:id="241"/>
      <w:r>
        <w:rPr>
          <w:b/>
          <w:sz w:val="24"/>
        </w:rPr>
        <w:t>TABLE</w:t>
      </w:r>
      <w:r>
        <w:rPr>
          <w:b/>
          <w:spacing w:val="-1"/>
          <w:sz w:val="24"/>
        </w:rPr>
        <w:t xml:space="preserve"> </w:t>
      </w:r>
      <w:r>
        <w:rPr>
          <w:b/>
          <w:sz w:val="24"/>
        </w:rPr>
        <w:t>7:</w:t>
      </w:r>
      <w:r>
        <w:rPr>
          <w:b/>
          <w:spacing w:val="-2"/>
          <w:sz w:val="24"/>
        </w:rPr>
        <w:t xml:space="preserve"> </w:t>
      </w:r>
      <w:r>
        <w:rPr>
          <w:b/>
          <w:sz w:val="24"/>
        </w:rPr>
        <w:t>Annual</w:t>
      </w:r>
      <w:r>
        <w:rPr>
          <w:b/>
          <w:spacing w:val="-1"/>
          <w:sz w:val="24"/>
        </w:rPr>
        <w:t xml:space="preserve"> </w:t>
      </w:r>
      <w:r>
        <w:rPr>
          <w:b/>
          <w:sz w:val="24"/>
        </w:rPr>
        <w:t>Burden</w:t>
      </w:r>
      <w:r>
        <w:rPr>
          <w:b/>
          <w:spacing w:val="-2"/>
          <w:sz w:val="24"/>
        </w:rPr>
        <w:t xml:space="preserve"> </w:t>
      </w:r>
      <w:r>
        <w:rPr>
          <w:b/>
          <w:sz w:val="24"/>
        </w:rPr>
        <w:t>and</w:t>
      </w:r>
      <w:r>
        <w:rPr>
          <w:b/>
          <w:spacing w:val="-1"/>
          <w:sz w:val="24"/>
        </w:rPr>
        <w:t xml:space="preserve"> </w:t>
      </w:r>
      <w:r>
        <w:rPr>
          <w:b/>
          <w:sz w:val="24"/>
        </w:rPr>
        <w:t>Cost</w:t>
      </w:r>
      <w:r>
        <w:rPr>
          <w:b/>
          <w:spacing w:val="-3"/>
          <w:sz w:val="24"/>
        </w:rPr>
        <w:t xml:space="preserve"> </w:t>
      </w:r>
      <w:r>
        <w:rPr>
          <w:b/>
          <w:sz w:val="24"/>
        </w:rPr>
        <w:t>for</w:t>
      </w:r>
      <w:r>
        <w:rPr>
          <w:b/>
          <w:spacing w:val="-3"/>
          <w:sz w:val="24"/>
        </w:rPr>
        <w:t xml:space="preserve"> </w:t>
      </w:r>
      <w:r>
        <w:rPr>
          <w:b/>
          <w:sz w:val="24"/>
        </w:rPr>
        <w:t>Individuals</w:t>
      </w:r>
      <w:r>
        <w:rPr>
          <w:b/>
          <w:spacing w:val="-1"/>
          <w:sz w:val="24"/>
        </w:rPr>
        <w:t xml:space="preserve"> </w:t>
      </w:r>
      <w:r>
        <w:rPr>
          <w:b/>
          <w:sz w:val="24"/>
        </w:rPr>
        <w:t>Related</w:t>
      </w:r>
      <w:r>
        <w:rPr>
          <w:b/>
          <w:spacing w:val="-2"/>
          <w:sz w:val="24"/>
        </w:rPr>
        <w:t xml:space="preserve"> </w:t>
      </w:r>
      <w:r>
        <w:rPr>
          <w:b/>
          <w:sz w:val="24"/>
        </w:rPr>
        <w:t>to</w:t>
      </w:r>
      <w:r>
        <w:rPr>
          <w:b/>
          <w:spacing w:val="-1"/>
          <w:sz w:val="24"/>
        </w:rPr>
        <w:t xml:space="preserve"> </w:t>
      </w:r>
      <w:r>
        <w:rPr>
          <w:b/>
          <w:sz w:val="24"/>
        </w:rPr>
        <w:t>Notice</w:t>
      </w:r>
      <w:r>
        <w:rPr>
          <w:b/>
          <w:spacing w:val="-1"/>
          <w:sz w:val="24"/>
        </w:rPr>
        <w:t xml:space="preserve"> </w:t>
      </w:r>
      <w:r>
        <w:rPr>
          <w:b/>
          <w:sz w:val="24"/>
        </w:rPr>
        <w:t>and</w:t>
      </w:r>
      <w:r>
        <w:rPr>
          <w:b/>
          <w:spacing w:val="-1"/>
          <w:sz w:val="24"/>
        </w:rPr>
        <w:t xml:space="preserve"> </w:t>
      </w:r>
      <w:r>
        <w:rPr>
          <w:b/>
          <w:spacing w:val="-2"/>
          <w:sz w:val="24"/>
        </w:rPr>
        <w:t>Consent</w:t>
      </w:r>
    </w:p>
    <w:p w:rsidR="00B64E72" w14:paraId="66B1EEF2" w14:textId="77777777">
      <w:pPr>
        <w:pStyle w:val="BodyText"/>
        <w:spacing w:before="66" w:after="1"/>
        <w:rPr>
          <w:b/>
          <w:sz w:val="20"/>
        </w:rPr>
      </w:pPr>
    </w:p>
    <w:tbl>
      <w:tblPr>
        <w:tblW w:w="0" w:type="auto"/>
        <w:tblInd w:w="1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90"/>
        <w:gridCol w:w="1401"/>
        <w:gridCol w:w="1644"/>
        <w:gridCol w:w="1620"/>
        <w:gridCol w:w="1712"/>
      </w:tblGrid>
      <w:tr w14:paraId="4F52200E" w14:textId="77777777">
        <w:tblPrEx>
          <w:tblW w:w="0" w:type="auto"/>
          <w:tblInd w:w="1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0"/>
        </w:trPr>
        <w:tc>
          <w:tcPr>
            <w:tcW w:w="1990" w:type="dxa"/>
          </w:tcPr>
          <w:p w:rsidR="00B64E72" w14:paraId="5328A044" w14:textId="77777777">
            <w:pPr>
              <w:pStyle w:val="TableParagraph"/>
              <w:spacing w:before="197" w:line="247" w:lineRule="auto"/>
              <w:ind w:left="479" w:hanging="356"/>
              <w:rPr>
                <w:sz w:val="20"/>
              </w:rPr>
            </w:pPr>
            <w:r>
              <w:rPr>
                <w:sz w:val="20"/>
              </w:rPr>
              <w:t>Estimated</w:t>
            </w:r>
            <w:r>
              <w:rPr>
                <w:spacing w:val="-13"/>
                <w:sz w:val="20"/>
              </w:rPr>
              <w:t xml:space="preserve"> </w:t>
            </w:r>
            <w:r>
              <w:rPr>
                <w:sz w:val="20"/>
              </w:rPr>
              <w:t>Number</w:t>
            </w:r>
            <w:r>
              <w:rPr>
                <w:spacing w:val="-12"/>
                <w:sz w:val="20"/>
              </w:rPr>
              <w:t xml:space="preserve"> </w:t>
            </w:r>
            <w:r>
              <w:rPr>
                <w:sz w:val="20"/>
              </w:rPr>
              <w:t xml:space="preserve">of </w:t>
            </w:r>
            <w:r>
              <w:rPr>
                <w:spacing w:val="-2"/>
                <w:sz w:val="20"/>
              </w:rPr>
              <w:t>Respondents</w:t>
            </w:r>
          </w:p>
        </w:tc>
        <w:tc>
          <w:tcPr>
            <w:tcW w:w="1401" w:type="dxa"/>
          </w:tcPr>
          <w:p w:rsidR="00B64E72" w14:paraId="58992F30" w14:textId="77777777">
            <w:pPr>
              <w:pStyle w:val="TableParagraph"/>
              <w:spacing w:before="77" w:line="247" w:lineRule="auto"/>
              <w:ind w:left="261" w:right="255" w:firstLine="31"/>
              <w:jc w:val="both"/>
              <w:rPr>
                <w:sz w:val="20"/>
              </w:rPr>
            </w:pPr>
            <w:r>
              <w:rPr>
                <w:spacing w:val="-2"/>
                <w:sz w:val="20"/>
              </w:rPr>
              <w:t xml:space="preserve">Estimated </w:t>
            </w:r>
            <w:r>
              <w:rPr>
                <w:sz w:val="20"/>
              </w:rPr>
              <w:t>Number</w:t>
            </w:r>
            <w:r>
              <w:rPr>
                <w:spacing w:val="-13"/>
                <w:sz w:val="20"/>
              </w:rPr>
              <w:t xml:space="preserve"> </w:t>
            </w:r>
            <w:r>
              <w:rPr>
                <w:sz w:val="20"/>
              </w:rPr>
              <w:t xml:space="preserve">of </w:t>
            </w:r>
            <w:r>
              <w:rPr>
                <w:spacing w:val="-2"/>
                <w:sz w:val="20"/>
              </w:rPr>
              <w:t>Responses</w:t>
            </w:r>
          </w:p>
        </w:tc>
        <w:tc>
          <w:tcPr>
            <w:tcW w:w="1644" w:type="dxa"/>
          </w:tcPr>
          <w:p w:rsidR="00B64E72" w14:paraId="07B42027" w14:textId="77777777">
            <w:pPr>
              <w:pStyle w:val="TableParagraph"/>
              <w:spacing w:before="197" w:line="247" w:lineRule="auto"/>
              <w:ind w:left="214" w:right="196" w:firstLine="72"/>
              <w:rPr>
                <w:sz w:val="20"/>
              </w:rPr>
            </w:pPr>
            <w:r>
              <w:rPr>
                <w:sz w:val="20"/>
              </w:rPr>
              <w:t>Total Annual Burden</w:t>
            </w:r>
            <w:r>
              <w:rPr>
                <w:spacing w:val="-13"/>
                <w:sz w:val="20"/>
              </w:rPr>
              <w:t xml:space="preserve"> </w:t>
            </w:r>
            <w:r>
              <w:rPr>
                <w:sz w:val="20"/>
              </w:rPr>
              <w:t>(hours)</w:t>
            </w:r>
          </w:p>
        </w:tc>
        <w:tc>
          <w:tcPr>
            <w:tcW w:w="1620" w:type="dxa"/>
          </w:tcPr>
          <w:p w:rsidR="00B64E72" w14:paraId="2442383C" w14:textId="77777777">
            <w:pPr>
              <w:pStyle w:val="TableParagraph"/>
              <w:spacing w:before="197" w:line="247" w:lineRule="auto"/>
              <w:ind w:left="360" w:right="166" w:hanging="195"/>
              <w:rPr>
                <w:sz w:val="20"/>
              </w:rPr>
            </w:pPr>
            <w:r>
              <w:rPr>
                <w:sz w:val="20"/>
              </w:rPr>
              <w:t>Total</w:t>
            </w:r>
            <w:r>
              <w:rPr>
                <w:spacing w:val="-13"/>
                <w:sz w:val="20"/>
              </w:rPr>
              <w:t xml:space="preserve"> </w:t>
            </w:r>
            <w:r>
              <w:rPr>
                <w:sz w:val="20"/>
              </w:rPr>
              <w:t>Estimated Labor Cost</w:t>
            </w:r>
          </w:p>
        </w:tc>
        <w:tc>
          <w:tcPr>
            <w:tcW w:w="1712" w:type="dxa"/>
          </w:tcPr>
          <w:p w:rsidR="00B64E72" w14:paraId="1B7414E4" w14:textId="77777777">
            <w:pPr>
              <w:pStyle w:val="TableParagraph"/>
              <w:spacing w:before="197" w:line="247" w:lineRule="auto"/>
              <w:ind w:left="671" w:right="211" w:hanging="459"/>
              <w:rPr>
                <w:sz w:val="20"/>
              </w:rPr>
            </w:pPr>
            <w:r>
              <w:rPr>
                <w:sz w:val="20"/>
              </w:rPr>
              <w:t>Total</w:t>
            </w:r>
            <w:r>
              <w:rPr>
                <w:spacing w:val="-13"/>
                <w:sz w:val="20"/>
              </w:rPr>
              <w:t xml:space="preserve"> </w:t>
            </w:r>
            <w:r>
              <w:rPr>
                <w:sz w:val="20"/>
              </w:rPr>
              <w:t xml:space="preserve">Estimated </w:t>
            </w:r>
            <w:r>
              <w:rPr>
                <w:spacing w:val="-4"/>
                <w:sz w:val="20"/>
              </w:rPr>
              <w:t>Cost</w:t>
            </w:r>
          </w:p>
        </w:tc>
      </w:tr>
      <w:tr w14:paraId="115C1103" w14:textId="77777777">
        <w:tblPrEx>
          <w:tblW w:w="0" w:type="auto"/>
          <w:tblInd w:w="1582" w:type="dxa"/>
          <w:tblLayout w:type="fixed"/>
          <w:tblCellMar>
            <w:left w:w="0" w:type="dxa"/>
            <w:right w:w="0" w:type="dxa"/>
          </w:tblCellMar>
          <w:tblLook w:val="01E0"/>
        </w:tblPrEx>
        <w:trPr>
          <w:trHeight w:val="290"/>
        </w:trPr>
        <w:tc>
          <w:tcPr>
            <w:tcW w:w="1990" w:type="dxa"/>
          </w:tcPr>
          <w:p w:rsidR="00B64E72" w14:paraId="1CA49FE4" w14:textId="77777777">
            <w:pPr>
              <w:pStyle w:val="TableParagraph"/>
              <w:spacing w:before="24"/>
              <w:ind w:left="587"/>
              <w:rPr>
                <w:sz w:val="20"/>
              </w:rPr>
            </w:pPr>
            <w:r>
              <w:rPr>
                <w:spacing w:val="-2"/>
                <w:sz w:val="20"/>
              </w:rPr>
              <w:t>2,440,565</w:t>
            </w:r>
          </w:p>
        </w:tc>
        <w:tc>
          <w:tcPr>
            <w:tcW w:w="1401" w:type="dxa"/>
          </w:tcPr>
          <w:p w:rsidR="00B64E72" w14:paraId="7296A965" w14:textId="77777777">
            <w:pPr>
              <w:pStyle w:val="TableParagraph"/>
              <w:spacing w:before="24"/>
              <w:ind w:left="292"/>
              <w:rPr>
                <w:sz w:val="20"/>
              </w:rPr>
            </w:pPr>
            <w:r>
              <w:rPr>
                <w:spacing w:val="-2"/>
                <w:sz w:val="20"/>
              </w:rPr>
              <w:t>2,440,565</w:t>
            </w:r>
          </w:p>
        </w:tc>
        <w:tc>
          <w:tcPr>
            <w:tcW w:w="1644" w:type="dxa"/>
          </w:tcPr>
          <w:p w:rsidR="00B64E72" w14:paraId="18ED710B" w14:textId="77777777">
            <w:pPr>
              <w:pStyle w:val="TableParagraph"/>
              <w:spacing w:before="24"/>
              <w:ind w:left="418"/>
              <w:rPr>
                <w:sz w:val="20"/>
              </w:rPr>
            </w:pPr>
            <w:r>
              <w:rPr>
                <w:spacing w:val="-2"/>
                <w:sz w:val="20"/>
              </w:rPr>
              <w:t>1,830,424</w:t>
            </w:r>
          </w:p>
        </w:tc>
        <w:tc>
          <w:tcPr>
            <w:tcW w:w="1620" w:type="dxa"/>
          </w:tcPr>
          <w:p w:rsidR="00B64E72" w14:paraId="68167575" w14:textId="77777777">
            <w:pPr>
              <w:pStyle w:val="TableParagraph"/>
              <w:spacing w:before="24"/>
              <w:ind w:left="303"/>
              <w:rPr>
                <w:sz w:val="20"/>
              </w:rPr>
            </w:pPr>
            <w:r>
              <w:rPr>
                <w:spacing w:val="-2"/>
                <w:sz w:val="20"/>
              </w:rPr>
              <w:t>$84,602,190</w:t>
            </w:r>
          </w:p>
        </w:tc>
        <w:tc>
          <w:tcPr>
            <w:tcW w:w="1712" w:type="dxa"/>
          </w:tcPr>
          <w:p w:rsidR="00B64E72" w14:paraId="40A4E7C4" w14:textId="77777777">
            <w:pPr>
              <w:pStyle w:val="TableParagraph"/>
              <w:spacing w:before="24"/>
              <w:ind w:left="348"/>
              <w:rPr>
                <w:sz w:val="20"/>
              </w:rPr>
            </w:pPr>
            <w:r>
              <w:rPr>
                <w:spacing w:val="-2"/>
                <w:sz w:val="20"/>
              </w:rPr>
              <w:t>$84,602,190</w:t>
            </w:r>
          </w:p>
        </w:tc>
      </w:tr>
    </w:tbl>
    <w:p w:rsidR="00B64E72" w14:paraId="14056C85" w14:textId="77777777">
      <w:pPr>
        <w:pStyle w:val="BodyText"/>
        <w:spacing w:before="61"/>
        <w:rPr>
          <w:b/>
        </w:rPr>
      </w:pPr>
    </w:p>
    <w:p w:rsidR="00B64E72" w14:paraId="2F20E849" w14:textId="77777777">
      <w:pPr>
        <w:pStyle w:val="ListParagraph"/>
        <w:numPr>
          <w:ilvl w:val="0"/>
          <w:numId w:val="2"/>
        </w:numPr>
        <w:tabs>
          <w:tab w:val="left" w:pos="2234"/>
        </w:tabs>
        <w:spacing w:before="1" w:line="247" w:lineRule="auto"/>
        <w:ind w:right="1948"/>
        <w:rPr>
          <w:sz w:val="24"/>
          <w:u w:val="none"/>
        </w:rPr>
      </w:pPr>
      <w:bookmarkStart w:id="242" w:name="5._Provider_Disclosure_on_Patient_Protec"/>
      <w:bookmarkEnd w:id="242"/>
      <w:r>
        <w:rPr>
          <w:sz w:val="24"/>
        </w:rPr>
        <w:t>Provider</w:t>
      </w:r>
      <w:r>
        <w:rPr>
          <w:spacing w:val="-5"/>
          <w:sz w:val="24"/>
        </w:rPr>
        <w:t xml:space="preserve"> </w:t>
      </w:r>
      <w:r>
        <w:rPr>
          <w:sz w:val="24"/>
        </w:rPr>
        <w:t>Disclosure</w:t>
      </w:r>
      <w:r>
        <w:rPr>
          <w:spacing w:val="-7"/>
          <w:sz w:val="24"/>
        </w:rPr>
        <w:t xml:space="preserve"> </w:t>
      </w:r>
      <w:r>
        <w:rPr>
          <w:sz w:val="24"/>
        </w:rPr>
        <w:t>on</w:t>
      </w:r>
      <w:r>
        <w:rPr>
          <w:spacing w:val="-5"/>
          <w:sz w:val="24"/>
        </w:rPr>
        <w:t xml:space="preserve"> </w:t>
      </w:r>
      <w:r>
        <w:rPr>
          <w:sz w:val="24"/>
        </w:rPr>
        <w:t>Patient</w:t>
      </w:r>
      <w:r>
        <w:rPr>
          <w:spacing w:val="-5"/>
          <w:sz w:val="24"/>
        </w:rPr>
        <w:t xml:space="preserve"> </w:t>
      </w:r>
      <w:r>
        <w:rPr>
          <w:sz w:val="24"/>
        </w:rPr>
        <w:t>Protections</w:t>
      </w:r>
      <w:r>
        <w:rPr>
          <w:spacing w:val="-5"/>
          <w:sz w:val="24"/>
        </w:rPr>
        <w:t xml:space="preserve"> </w:t>
      </w:r>
      <w:r>
        <w:rPr>
          <w:sz w:val="24"/>
        </w:rPr>
        <w:t>Against</w:t>
      </w:r>
      <w:r>
        <w:rPr>
          <w:spacing w:val="-5"/>
          <w:sz w:val="24"/>
        </w:rPr>
        <w:t xml:space="preserve"> </w:t>
      </w:r>
      <w:r>
        <w:rPr>
          <w:sz w:val="24"/>
        </w:rPr>
        <w:t>Balance</w:t>
      </w:r>
      <w:r>
        <w:rPr>
          <w:spacing w:val="-6"/>
          <w:sz w:val="24"/>
        </w:rPr>
        <w:t xml:space="preserve"> </w:t>
      </w:r>
      <w:r>
        <w:rPr>
          <w:sz w:val="24"/>
        </w:rPr>
        <w:t>Billing</w:t>
      </w:r>
      <w:r>
        <w:rPr>
          <w:spacing w:val="-5"/>
          <w:sz w:val="24"/>
        </w:rPr>
        <w:t xml:space="preserve"> </w:t>
      </w:r>
      <w:r>
        <w:rPr>
          <w:sz w:val="24"/>
        </w:rPr>
        <w:t>(45</w:t>
      </w:r>
      <w:r>
        <w:rPr>
          <w:spacing w:val="-5"/>
          <w:sz w:val="24"/>
        </w:rPr>
        <w:t xml:space="preserve"> </w:t>
      </w:r>
      <w:r>
        <w:rPr>
          <w:sz w:val="24"/>
        </w:rPr>
        <w:t>CFR</w:t>
      </w:r>
      <w:r>
        <w:rPr>
          <w:sz w:val="24"/>
          <w:u w:val="none"/>
        </w:rPr>
        <w:t xml:space="preserve"> </w:t>
      </w:r>
      <w:r>
        <w:rPr>
          <w:spacing w:val="-2"/>
          <w:sz w:val="24"/>
        </w:rPr>
        <w:t>149.430)</w:t>
      </w:r>
    </w:p>
    <w:p w:rsidR="00B64E72" w14:paraId="1C7BF451" w14:textId="77777777">
      <w:pPr>
        <w:pStyle w:val="BodyText"/>
        <w:spacing w:before="21"/>
      </w:pPr>
    </w:p>
    <w:p w:rsidR="00B64E72" w14:paraId="5A5878F4" w14:textId="77777777">
      <w:pPr>
        <w:pStyle w:val="BodyText"/>
        <w:spacing w:before="1" w:line="259" w:lineRule="auto"/>
        <w:ind w:left="1512" w:right="1098"/>
      </w:pPr>
      <w:bookmarkStart w:id="243" w:name="Section_2799B-3_of_the_PHS_Act,_as_added"/>
      <w:bookmarkEnd w:id="243"/>
      <w:r>
        <w:t>Section 2799B-3 of the PHS Act, as added by the No Surprises Act and codified at 45 CFR 149.430,</w:t>
      </w:r>
      <w:r>
        <w:rPr>
          <w:spacing w:val="-5"/>
        </w:rPr>
        <w:t xml:space="preserve"> </w:t>
      </w:r>
      <w:r>
        <w:t>requires</w:t>
      </w:r>
      <w:r>
        <w:rPr>
          <w:spacing w:val="-5"/>
        </w:rPr>
        <w:t xml:space="preserve"> </w:t>
      </w:r>
      <w:r>
        <w:t>providers</w:t>
      </w:r>
      <w:r>
        <w:rPr>
          <w:spacing w:val="-5"/>
        </w:rPr>
        <w:t xml:space="preserve"> </w:t>
      </w:r>
      <w:r>
        <w:t>and</w:t>
      </w:r>
      <w:r>
        <w:rPr>
          <w:spacing w:val="-5"/>
        </w:rPr>
        <w:t xml:space="preserve"> </w:t>
      </w:r>
      <w:r>
        <w:t>facilities</w:t>
      </w:r>
      <w:r>
        <w:rPr>
          <w:spacing w:val="-5"/>
        </w:rPr>
        <w:t xml:space="preserve"> </w:t>
      </w:r>
      <w:r>
        <w:t>to</w:t>
      </w:r>
      <w:r>
        <w:rPr>
          <w:spacing w:val="-5"/>
        </w:rPr>
        <w:t xml:space="preserve"> </w:t>
      </w:r>
      <w:r>
        <w:t>provide</w:t>
      </w:r>
      <w:r>
        <w:rPr>
          <w:spacing w:val="-6"/>
        </w:rPr>
        <w:t xml:space="preserve"> </w:t>
      </w:r>
      <w:r>
        <w:t>disclosures</w:t>
      </w:r>
      <w:r>
        <w:rPr>
          <w:spacing w:val="-5"/>
        </w:rPr>
        <w:t xml:space="preserve"> </w:t>
      </w:r>
      <w:r>
        <w:t>regarding</w:t>
      </w:r>
      <w:r>
        <w:rPr>
          <w:spacing w:val="-1"/>
        </w:rPr>
        <w:t xml:space="preserve"> </w:t>
      </w:r>
      <w:r>
        <w:t>patient</w:t>
      </w:r>
      <w:r>
        <w:rPr>
          <w:spacing w:val="-5"/>
        </w:rPr>
        <w:t xml:space="preserve"> </w:t>
      </w:r>
      <w:r>
        <w:t>protections against balance billing. Health care providers and facilities are required to publicly post and make the disclosure publicly available through a public website accessible free of charge</w:t>
      </w:r>
      <w:r>
        <w:rPr>
          <w:spacing w:val="40"/>
        </w:rPr>
        <w:t xml:space="preserve"> </w:t>
      </w:r>
      <w:r>
        <w:t>that is easily accessible, without barriers, including via search engines, and that ensures that the</w:t>
      </w:r>
      <w:r>
        <w:rPr>
          <w:spacing w:val="-3"/>
        </w:rPr>
        <w:t xml:space="preserve"> </w:t>
      </w:r>
      <w:r>
        <w:t>information</w:t>
      </w:r>
      <w:r>
        <w:rPr>
          <w:spacing w:val="-3"/>
        </w:rPr>
        <w:t xml:space="preserve"> </w:t>
      </w:r>
      <w:r>
        <w:t>is</w:t>
      </w:r>
      <w:r>
        <w:rPr>
          <w:spacing w:val="-3"/>
        </w:rPr>
        <w:t xml:space="preserve"> </w:t>
      </w:r>
      <w:r>
        <w:t>accessible</w:t>
      </w:r>
      <w:r>
        <w:rPr>
          <w:spacing w:val="-3"/>
        </w:rPr>
        <w:t xml:space="preserve"> </w:t>
      </w:r>
      <w:r>
        <w:t>to</w:t>
      </w:r>
      <w:r>
        <w:rPr>
          <w:spacing w:val="-3"/>
        </w:rPr>
        <w:t xml:space="preserve"> </w:t>
      </w:r>
      <w:r>
        <w:t>the</w:t>
      </w:r>
      <w:r>
        <w:rPr>
          <w:spacing w:val="-3"/>
        </w:rPr>
        <w:t xml:space="preserve"> </w:t>
      </w:r>
      <w:r>
        <w:t>general</w:t>
      </w:r>
      <w:r>
        <w:rPr>
          <w:spacing w:val="-3"/>
        </w:rPr>
        <w:t xml:space="preserve"> </w:t>
      </w:r>
      <w:r>
        <w:t>public.</w:t>
      </w:r>
      <w:r>
        <w:rPr>
          <w:spacing w:val="-1"/>
        </w:rPr>
        <w:t xml:space="preserve"> </w:t>
      </w:r>
      <w:r>
        <w:t>HHS</w:t>
      </w:r>
      <w:r>
        <w:rPr>
          <w:spacing w:val="-3"/>
        </w:rPr>
        <w:t xml:space="preserve"> </w:t>
      </w:r>
      <w:r>
        <w:t>assumes</w:t>
      </w:r>
      <w:r>
        <w:rPr>
          <w:spacing w:val="-3"/>
        </w:rPr>
        <w:t xml:space="preserve"> </w:t>
      </w:r>
      <w:r>
        <w:t>that</w:t>
      </w:r>
      <w:r>
        <w:rPr>
          <w:spacing w:val="-3"/>
        </w:rPr>
        <w:t xml:space="preserve"> </w:t>
      </w:r>
      <w:r>
        <w:t>providers</w:t>
      </w:r>
      <w:r>
        <w:rPr>
          <w:spacing w:val="-3"/>
        </w:rPr>
        <w:t xml:space="preserve"> </w:t>
      </w:r>
      <w:r>
        <w:t>and</w:t>
      </w:r>
      <w:r>
        <w:rPr>
          <w:spacing w:val="-3"/>
        </w:rPr>
        <w:t xml:space="preserve"> </w:t>
      </w:r>
      <w:r>
        <w:t xml:space="preserve">facilities have already entered into agreements for the facilities to provide the disclosure on behalf of the providers and that the </w:t>
      </w:r>
      <w:r>
        <w:t>required language and information has been developed, posted within the facility, and posted on a public website by the facility. In future years, this agreement can be included in the contract between the facilities and providers at no additional cost.</w:t>
      </w:r>
    </w:p>
    <w:p w:rsidR="00B64E72" w14:paraId="0F2504F5" w14:textId="77777777">
      <w:pPr>
        <w:pStyle w:val="BodyText"/>
        <w:spacing w:before="22"/>
      </w:pPr>
    </w:p>
    <w:p w:rsidR="00B64E72" w14:paraId="1A3BD617" w14:textId="77777777">
      <w:pPr>
        <w:pStyle w:val="BodyText"/>
        <w:spacing w:line="259" w:lineRule="auto"/>
        <w:ind w:left="1512" w:right="1118"/>
      </w:pPr>
      <w:bookmarkStart w:id="244" w:name="HHS_previously_estimated_that_in_2021,_a"/>
      <w:bookmarkEnd w:id="244"/>
      <w:r>
        <w:t>HHS</w:t>
      </w:r>
      <w:r>
        <w:rPr>
          <w:spacing w:val="-3"/>
        </w:rPr>
        <w:t xml:space="preserve"> </w:t>
      </w:r>
      <w:r>
        <w:t>previously</w:t>
      </w:r>
      <w:r>
        <w:rPr>
          <w:spacing w:val="-3"/>
        </w:rPr>
        <w:t xml:space="preserve"> </w:t>
      </w:r>
      <w:r>
        <w:t>estimated</w:t>
      </w:r>
      <w:r>
        <w:rPr>
          <w:spacing w:val="-3"/>
        </w:rPr>
        <w:t xml:space="preserve"> </w:t>
      </w:r>
      <w:r>
        <w:t>that</w:t>
      </w:r>
      <w:r>
        <w:rPr>
          <w:spacing w:val="-3"/>
        </w:rPr>
        <w:t xml:space="preserve"> </w:t>
      </w:r>
      <w:r>
        <w:t>in</w:t>
      </w:r>
      <w:r>
        <w:rPr>
          <w:spacing w:val="-3"/>
        </w:rPr>
        <w:t xml:space="preserve"> </w:t>
      </w:r>
      <w:r>
        <w:t>2021,</w:t>
      </w:r>
      <w:r>
        <w:rPr>
          <w:spacing w:val="-3"/>
        </w:rPr>
        <w:t xml:space="preserve"> </w:t>
      </w:r>
      <w:r>
        <w:t>a</w:t>
      </w:r>
      <w:r>
        <w:rPr>
          <w:spacing w:val="-4"/>
        </w:rPr>
        <w:t xml:space="preserve"> </w:t>
      </w:r>
      <w:r>
        <w:t>total</w:t>
      </w:r>
      <w:r>
        <w:rPr>
          <w:spacing w:val="-3"/>
        </w:rPr>
        <w:t xml:space="preserve"> </w:t>
      </w:r>
      <w:r>
        <w:t>of</w:t>
      </w:r>
      <w:r>
        <w:rPr>
          <w:spacing w:val="-3"/>
        </w:rPr>
        <w:t xml:space="preserve"> </w:t>
      </w:r>
      <w:r>
        <w:t>17,467</w:t>
      </w:r>
      <w:r>
        <w:rPr>
          <w:spacing w:val="-3"/>
        </w:rPr>
        <w:t xml:space="preserve"> </w:t>
      </w:r>
      <w:r>
        <w:t>health</w:t>
      </w:r>
      <w:r>
        <w:rPr>
          <w:spacing w:val="-3"/>
        </w:rPr>
        <w:t xml:space="preserve"> </w:t>
      </w:r>
      <w:r>
        <w:t>care</w:t>
      </w:r>
      <w:r>
        <w:rPr>
          <w:spacing w:val="-4"/>
        </w:rPr>
        <w:t xml:space="preserve"> </w:t>
      </w:r>
      <w:r>
        <w:t>facilities</w:t>
      </w:r>
      <w:r>
        <w:rPr>
          <w:spacing w:val="-3"/>
        </w:rPr>
        <w:t xml:space="preserve"> </w:t>
      </w:r>
      <w:r>
        <w:t>(including</w:t>
      </w:r>
      <w:r>
        <w:rPr>
          <w:spacing w:val="-3"/>
        </w:rPr>
        <w:t xml:space="preserve"> </w:t>
      </w:r>
      <w:r>
        <w:t>475 hospital-affiliated satellite and 270 independent freestanding emergency departments) incurred one-time burden and costs to comply with this provision.</w:t>
      </w:r>
    </w:p>
    <w:p w:rsidR="00B64E72" w14:paraId="0490F4D8" w14:textId="77777777">
      <w:pPr>
        <w:pStyle w:val="BodyText"/>
        <w:spacing w:before="20"/>
      </w:pPr>
    </w:p>
    <w:p w:rsidR="00B64E72" w14:paraId="480DB6B2" w14:textId="77777777">
      <w:pPr>
        <w:pStyle w:val="BodyText"/>
        <w:spacing w:line="259" w:lineRule="auto"/>
        <w:ind w:left="1512" w:right="1099"/>
      </w:pPr>
      <w:bookmarkStart w:id="245" w:name="HHS_encourages_states_to_develop_languag"/>
      <w:bookmarkEnd w:id="245"/>
      <w:r>
        <w:t>HHS</w:t>
      </w:r>
      <w:r>
        <w:rPr>
          <w:spacing w:val="-3"/>
        </w:rPr>
        <w:t xml:space="preserve"> </w:t>
      </w:r>
      <w:r>
        <w:t>encourages</w:t>
      </w:r>
      <w:r>
        <w:rPr>
          <w:spacing w:val="-3"/>
        </w:rPr>
        <w:t xml:space="preserve"> </w:t>
      </w:r>
      <w:r>
        <w:t>states</w:t>
      </w:r>
      <w:r>
        <w:rPr>
          <w:spacing w:val="-3"/>
        </w:rPr>
        <w:t xml:space="preserve"> </w:t>
      </w:r>
      <w:r>
        <w:t>to</w:t>
      </w:r>
      <w:r>
        <w:rPr>
          <w:spacing w:val="-3"/>
        </w:rPr>
        <w:t xml:space="preserve"> </w:t>
      </w:r>
      <w:r>
        <w:t>develop</w:t>
      </w:r>
      <w:r>
        <w:rPr>
          <w:spacing w:val="-3"/>
        </w:rPr>
        <w:t xml:space="preserve"> </w:t>
      </w:r>
      <w:r>
        <w:t>language</w:t>
      </w:r>
      <w:r>
        <w:rPr>
          <w:spacing w:val="-4"/>
        </w:rPr>
        <w:t xml:space="preserve"> </w:t>
      </w:r>
      <w:r>
        <w:t>to</w:t>
      </w:r>
      <w:r>
        <w:rPr>
          <w:spacing w:val="-3"/>
        </w:rPr>
        <w:t xml:space="preserve"> </w:t>
      </w:r>
      <w:r>
        <w:t>assist</w:t>
      </w:r>
      <w:r>
        <w:rPr>
          <w:spacing w:val="-3"/>
        </w:rPr>
        <w:t xml:space="preserve"> </w:t>
      </w:r>
      <w:r>
        <w:t>providers</w:t>
      </w:r>
      <w:r>
        <w:rPr>
          <w:spacing w:val="-3"/>
        </w:rPr>
        <w:t xml:space="preserve"> </w:t>
      </w:r>
      <w:r>
        <w:t>and</w:t>
      </w:r>
      <w:r>
        <w:rPr>
          <w:spacing w:val="-3"/>
        </w:rPr>
        <w:t xml:space="preserve"> </w:t>
      </w:r>
      <w:r>
        <w:t>facilities</w:t>
      </w:r>
      <w:r>
        <w:rPr>
          <w:spacing w:val="-3"/>
        </w:rPr>
        <w:t xml:space="preserve"> </w:t>
      </w:r>
      <w:r>
        <w:t>in</w:t>
      </w:r>
      <w:r>
        <w:rPr>
          <w:spacing w:val="-3"/>
        </w:rPr>
        <w:t xml:space="preserve"> </w:t>
      </w:r>
      <w:r>
        <w:t>fulfilling</w:t>
      </w:r>
      <w:r>
        <w:rPr>
          <w:spacing w:val="-3"/>
        </w:rPr>
        <w:t xml:space="preserve"> </w:t>
      </w:r>
      <w:r>
        <w:t>this disclosure requirement with respect to stare law protections. There are currently 33 States</w:t>
      </w:r>
    </w:p>
    <w:p w:rsidR="00B64E72" w14:paraId="5126954B" w14:textId="77777777">
      <w:pPr>
        <w:pStyle w:val="BodyText"/>
        <w:spacing w:line="259" w:lineRule="auto"/>
        <w:sectPr>
          <w:pgSz w:w="12240" w:h="15840"/>
          <w:pgMar w:top="1360" w:right="360" w:bottom="1280" w:left="360" w:header="0" w:footer="1094" w:gutter="0"/>
          <w:cols w:space="720"/>
        </w:sectPr>
      </w:pPr>
    </w:p>
    <w:p w:rsidR="00B64E72" w14:paraId="503A34CA" w14:textId="77777777">
      <w:pPr>
        <w:pStyle w:val="BodyText"/>
        <w:spacing w:before="79" w:line="259" w:lineRule="auto"/>
        <w:ind w:left="1512" w:right="1093"/>
        <w:jc w:val="both"/>
      </w:pPr>
      <w:bookmarkStart w:id="246" w:name="that_have_enacted_laws_to_provide_some_p"/>
      <w:bookmarkEnd w:id="246"/>
      <w:r>
        <w:t>that</w:t>
      </w:r>
      <w:r>
        <w:rPr>
          <w:spacing w:val="-3"/>
        </w:rPr>
        <w:t xml:space="preserve"> </w:t>
      </w:r>
      <w:r>
        <w:t>have</w:t>
      </w:r>
      <w:r>
        <w:rPr>
          <w:spacing w:val="-4"/>
        </w:rPr>
        <w:t xml:space="preserve"> </w:t>
      </w:r>
      <w:r>
        <w:t>enacted</w:t>
      </w:r>
      <w:r>
        <w:rPr>
          <w:spacing w:val="-3"/>
        </w:rPr>
        <w:t xml:space="preserve"> </w:t>
      </w:r>
      <w:r>
        <w:t>laws</w:t>
      </w:r>
      <w:r>
        <w:rPr>
          <w:spacing w:val="-3"/>
        </w:rPr>
        <w:t xml:space="preserve"> </w:t>
      </w:r>
      <w:r>
        <w:t>to</w:t>
      </w:r>
      <w:r>
        <w:rPr>
          <w:spacing w:val="-1"/>
        </w:rPr>
        <w:t xml:space="preserve"> </w:t>
      </w:r>
      <w:r>
        <w:t>provide</w:t>
      </w:r>
      <w:r>
        <w:rPr>
          <w:spacing w:val="-3"/>
        </w:rPr>
        <w:t xml:space="preserve"> </w:t>
      </w:r>
      <w:r>
        <w:t>some</w:t>
      </w:r>
      <w:r>
        <w:rPr>
          <w:spacing w:val="-4"/>
        </w:rPr>
        <w:t xml:space="preserve"> </w:t>
      </w:r>
      <w:r>
        <w:t>protection</w:t>
      </w:r>
      <w:r>
        <w:rPr>
          <w:spacing w:val="-1"/>
        </w:rPr>
        <w:t xml:space="preserve"> </w:t>
      </w:r>
      <w:r>
        <w:t>to</w:t>
      </w:r>
      <w:r>
        <w:rPr>
          <w:spacing w:val="-3"/>
        </w:rPr>
        <w:t xml:space="preserve"> </w:t>
      </w:r>
      <w:r>
        <w:t>consumers</w:t>
      </w:r>
      <w:r>
        <w:rPr>
          <w:spacing w:val="-3"/>
        </w:rPr>
        <w:t xml:space="preserve"> </w:t>
      </w:r>
      <w:r>
        <w:t>for</w:t>
      </w:r>
      <w:r>
        <w:rPr>
          <w:spacing w:val="-3"/>
        </w:rPr>
        <w:t xml:space="preserve"> </w:t>
      </w:r>
      <w:r>
        <w:t>surprise</w:t>
      </w:r>
      <w:r>
        <w:rPr>
          <w:spacing w:val="-2"/>
        </w:rPr>
        <w:t xml:space="preserve"> </w:t>
      </w:r>
      <w:r>
        <w:t>billing.</w:t>
      </w:r>
      <w:r>
        <w:rPr>
          <w:spacing w:val="-3"/>
        </w:rPr>
        <w:t xml:space="preserve"> </w:t>
      </w:r>
      <w:r>
        <w:t>Some</w:t>
      </w:r>
      <w:r>
        <w:rPr>
          <w:spacing w:val="-3"/>
        </w:rPr>
        <w:t xml:space="preserve"> </w:t>
      </w:r>
      <w:r>
        <w:t>or all</w:t>
      </w:r>
      <w:r>
        <w:rPr>
          <w:spacing w:val="-1"/>
        </w:rPr>
        <w:t xml:space="preserve"> </w:t>
      </w:r>
      <w:r>
        <w:t>of</w:t>
      </w:r>
      <w:r>
        <w:rPr>
          <w:spacing w:val="-1"/>
        </w:rPr>
        <w:t xml:space="preserve"> </w:t>
      </w:r>
      <w:r>
        <w:t>these</w:t>
      </w:r>
      <w:r>
        <w:rPr>
          <w:spacing w:val="-2"/>
        </w:rPr>
        <w:t xml:space="preserve"> </w:t>
      </w:r>
      <w:r>
        <w:t>States</w:t>
      </w:r>
      <w:r>
        <w:rPr>
          <w:spacing w:val="-1"/>
        </w:rPr>
        <w:t xml:space="preserve"> </w:t>
      </w:r>
      <w:r>
        <w:t>may</w:t>
      </w:r>
      <w:r>
        <w:rPr>
          <w:spacing w:val="-1"/>
        </w:rPr>
        <w:t xml:space="preserve"> </w:t>
      </w:r>
      <w:r>
        <w:t>have</w:t>
      </w:r>
      <w:r>
        <w:rPr>
          <w:spacing w:val="-2"/>
        </w:rPr>
        <w:t xml:space="preserve"> </w:t>
      </w:r>
      <w:r>
        <w:t>chosen</w:t>
      </w:r>
      <w:r>
        <w:rPr>
          <w:spacing w:val="-1"/>
        </w:rPr>
        <w:t xml:space="preserve"> </w:t>
      </w:r>
      <w:r>
        <w:t>to</w:t>
      </w:r>
      <w:r>
        <w:rPr>
          <w:spacing w:val="-1"/>
        </w:rPr>
        <w:t xml:space="preserve"> </w:t>
      </w:r>
      <w:r>
        <w:t>develop</w:t>
      </w:r>
      <w:r>
        <w:rPr>
          <w:spacing w:val="-1"/>
        </w:rPr>
        <w:t xml:space="preserve"> </w:t>
      </w:r>
      <w:r>
        <w:t>model</w:t>
      </w:r>
      <w:r>
        <w:rPr>
          <w:spacing w:val="-1"/>
        </w:rPr>
        <w:t xml:space="preserve"> </w:t>
      </w:r>
      <w:r>
        <w:t>language and</w:t>
      </w:r>
      <w:r>
        <w:rPr>
          <w:spacing w:val="-1"/>
        </w:rPr>
        <w:t xml:space="preserve"> </w:t>
      </w:r>
      <w:r>
        <w:t>previously incurred</w:t>
      </w:r>
      <w:r>
        <w:rPr>
          <w:spacing w:val="-1"/>
        </w:rPr>
        <w:t xml:space="preserve"> </w:t>
      </w:r>
      <w:r>
        <w:t>one- time costs.</w:t>
      </w:r>
    </w:p>
    <w:p w:rsidR="00B64E72" w14:paraId="6407FB5A" w14:textId="77777777">
      <w:pPr>
        <w:pStyle w:val="BodyText"/>
        <w:spacing w:before="20"/>
      </w:pPr>
    </w:p>
    <w:p w:rsidR="00B64E72" w14:paraId="2142A0F6" w14:textId="77777777">
      <w:pPr>
        <w:pStyle w:val="BodyText"/>
        <w:spacing w:line="259" w:lineRule="auto"/>
        <w:ind w:left="1512" w:right="1099"/>
      </w:pPr>
      <w:r>
        <w:t>In addition to requiring providers and facilities to publicly post and make the required disclosure</w:t>
      </w:r>
      <w:r>
        <w:rPr>
          <w:spacing w:val="-5"/>
        </w:rPr>
        <w:t xml:space="preserve"> </w:t>
      </w:r>
      <w:r>
        <w:t>available</w:t>
      </w:r>
      <w:r>
        <w:rPr>
          <w:spacing w:val="-4"/>
        </w:rPr>
        <w:t xml:space="preserve"> </w:t>
      </w:r>
      <w:r>
        <w:t>through</w:t>
      </w:r>
      <w:r>
        <w:rPr>
          <w:spacing w:val="-4"/>
        </w:rPr>
        <w:t xml:space="preserve"> </w:t>
      </w:r>
      <w:r>
        <w:t>a</w:t>
      </w:r>
      <w:r>
        <w:rPr>
          <w:spacing w:val="-4"/>
        </w:rPr>
        <w:t xml:space="preserve"> </w:t>
      </w:r>
      <w:r>
        <w:t>public</w:t>
      </w:r>
      <w:r>
        <w:rPr>
          <w:spacing w:val="-4"/>
        </w:rPr>
        <w:t xml:space="preserve"> </w:t>
      </w:r>
      <w:r>
        <w:t>website,</w:t>
      </w:r>
      <w:r>
        <w:rPr>
          <w:spacing w:val="-4"/>
        </w:rPr>
        <w:t xml:space="preserve"> </w:t>
      </w:r>
      <w:r>
        <w:t>providers</w:t>
      </w:r>
      <w:r>
        <w:rPr>
          <w:spacing w:val="-4"/>
        </w:rPr>
        <w:t xml:space="preserve"> </w:t>
      </w:r>
      <w:r>
        <w:t>and</w:t>
      </w:r>
      <w:r>
        <w:rPr>
          <w:spacing w:val="-4"/>
        </w:rPr>
        <w:t xml:space="preserve"> </w:t>
      </w:r>
      <w:r>
        <w:t>facilities</w:t>
      </w:r>
      <w:r>
        <w:rPr>
          <w:spacing w:val="-4"/>
        </w:rPr>
        <w:t xml:space="preserve"> </w:t>
      </w:r>
      <w:r>
        <w:t>are</w:t>
      </w:r>
      <w:r>
        <w:rPr>
          <w:spacing w:val="-4"/>
        </w:rPr>
        <w:t xml:space="preserve"> </w:t>
      </w:r>
      <w:r>
        <w:t>required</w:t>
      </w:r>
      <w:r>
        <w:rPr>
          <w:spacing w:val="-4"/>
        </w:rPr>
        <w:t xml:space="preserve"> </w:t>
      </w:r>
      <w:r>
        <w:t>to</w:t>
      </w:r>
      <w:r>
        <w:rPr>
          <w:spacing w:val="-4"/>
        </w:rPr>
        <w:t xml:space="preserve"> </w:t>
      </w:r>
      <w:r>
        <w:t xml:space="preserve">provide individuals the required disclosure information in a one-page (double sided) notice. The materials and printing costs for the disclosure is discussed in the section on capital costs </w:t>
      </w:r>
      <w:r>
        <w:rPr>
          <w:spacing w:val="-2"/>
        </w:rPr>
        <w:t>below.</w:t>
      </w:r>
    </w:p>
    <w:p w:rsidR="00B64E72" w14:paraId="1425BB1C" w14:textId="77777777">
      <w:pPr>
        <w:pStyle w:val="BodyText"/>
        <w:spacing w:before="63"/>
      </w:pPr>
    </w:p>
    <w:p w:rsidR="00B64E72" w14:paraId="0687EE6D" w14:textId="77777777">
      <w:pPr>
        <w:pStyle w:val="ListParagraph"/>
        <w:numPr>
          <w:ilvl w:val="0"/>
          <w:numId w:val="2"/>
        </w:numPr>
        <w:tabs>
          <w:tab w:val="left" w:pos="2234"/>
        </w:tabs>
        <w:rPr>
          <w:sz w:val="24"/>
          <w:u w:val="none"/>
        </w:rPr>
      </w:pPr>
      <w:bookmarkStart w:id="247" w:name="6._Plan_and_Issuer_Disclosure_on_Patient"/>
      <w:bookmarkEnd w:id="247"/>
      <w:r>
        <w:rPr>
          <w:sz w:val="24"/>
        </w:rPr>
        <w:t>Plan</w:t>
      </w:r>
      <w:r>
        <w:rPr>
          <w:spacing w:val="-2"/>
          <w:sz w:val="24"/>
        </w:rPr>
        <w:t xml:space="preserve"> </w:t>
      </w:r>
      <w:r>
        <w:rPr>
          <w:sz w:val="24"/>
        </w:rPr>
        <w:t>and Issuer</w:t>
      </w:r>
      <w:r>
        <w:rPr>
          <w:spacing w:val="-3"/>
          <w:sz w:val="24"/>
        </w:rPr>
        <w:t xml:space="preserve"> </w:t>
      </w:r>
      <w:r>
        <w:rPr>
          <w:sz w:val="24"/>
        </w:rPr>
        <w:t>Disclosure</w:t>
      </w:r>
      <w:r>
        <w:rPr>
          <w:spacing w:val="-3"/>
          <w:sz w:val="24"/>
        </w:rPr>
        <w:t xml:space="preserve"> </w:t>
      </w:r>
      <w:r>
        <w:rPr>
          <w:sz w:val="24"/>
        </w:rPr>
        <w:t>on</w:t>
      </w:r>
      <w:r>
        <w:rPr>
          <w:spacing w:val="-1"/>
          <w:sz w:val="24"/>
        </w:rPr>
        <w:t xml:space="preserve"> </w:t>
      </w:r>
      <w:r>
        <w:rPr>
          <w:sz w:val="24"/>
        </w:rPr>
        <w:t>Patient</w:t>
      </w:r>
      <w:r>
        <w:rPr>
          <w:spacing w:val="-2"/>
          <w:sz w:val="24"/>
        </w:rPr>
        <w:t xml:space="preserve"> </w:t>
      </w:r>
      <w:r>
        <w:rPr>
          <w:sz w:val="24"/>
        </w:rPr>
        <w:t>Protections</w:t>
      </w:r>
      <w:r>
        <w:rPr>
          <w:spacing w:val="-1"/>
          <w:sz w:val="24"/>
        </w:rPr>
        <w:t xml:space="preserve"> </w:t>
      </w:r>
      <w:r>
        <w:rPr>
          <w:sz w:val="24"/>
        </w:rPr>
        <w:t>Against</w:t>
      </w:r>
      <w:r>
        <w:rPr>
          <w:spacing w:val="-2"/>
          <w:sz w:val="24"/>
        </w:rPr>
        <w:t xml:space="preserve"> </w:t>
      </w:r>
      <w:r>
        <w:rPr>
          <w:sz w:val="24"/>
        </w:rPr>
        <w:t>Balance</w:t>
      </w:r>
      <w:r>
        <w:rPr>
          <w:spacing w:val="-2"/>
          <w:sz w:val="24"/>
        </w:rPr>
        <w:t xml:space="preserve"> Billing</w:t>
      </w:r>
    </w:p>
    <w:p w:rsidR="00B64E72" w14:paraId="27D2897D" w14:textId="77777777">
      <w:pPr>
        <w:pStyle w:val="BodyText"/>
        <w:spacing w:before="32"/>
      </w:pPr>
    </w:p>
    <w:p w:rsidR="00B64E72" w14:paraId="52F15B99" w14:textId="77777777">
      <w:pPr>
        <w:pStyle w:val="BodyText"/>
        <w:spacing w:line="259" w:lineRule="auto"/>
        <w:ind w:left="1512" w:right="1096"/>
      </w:pPr>
      <w:bookmarkStart w:id="248" w:name="Plans_and_issuers_are_required_to_make_p"/>
      <w:bookmarkEnd w:id="248"/>
      <w:r>
        <w:t>Plans and issuers are required to make publicly available, post on a public website of the plan</w:t>
      </w:r>
      <w:r>
        <w:rPr>
          <w:spacing w:val="-3"/>
        </w:rPr>
        <w:t xml:space="preserve"> </w:t>
      </w:r>
      <w:r>
        <w:t>or</w:t>
      </w:r>
      <w:r>
        <w:rPr>
          <w:spacing w:val="-5"/>
        </w:rPr>
        <w:t xml:space="preserve"> </w:t>
      </w:r>
      <w:r>
        <w:t>issuer,</w:t>
      </w:r>
      <w:r>
        <w:rPr>
          <w:spacing w:val="-3"/>
        </w:rPr>
        <w:t xml:space="preserve"> </w:t>
      </w:r>
      <w:r>
        <w:t>and</w:t>
      </w:r>
      <w:r>
        <w:rPr>
          <w:spacing w:val="-3"/>
        </w:rPr>
        <w:t xml:space="preserve"> </w:t>
      </w:r>
      <w:r>
        <w:t>include</w:t>
      </w:r>
      <w:r>
        <w:rPr>
          <w:spacing w:val="-4"/>
        </w:rPr>
        <w:t xml:space="preserve"> </w:t>
      </w:r>
      <w:r>
        <w:t>on</w:t>
      </w:r>
      <w:r>
        <w:rPr>
          <w:spacing w:val="-3"/>
        </w:rPr>
        <w:t xml:space="preserve"> </w:t>
      </w:r>
      <w:r>
        <w:t>each</w:t>
      </w:r>
      <w:r>
        <w:rPr>
          <w:spacing w:val="-3"/>
        </w:rPr>
        <w:t xml:space="preserve"> </w:t>
      </w:r>
      <w:r>
        <w:t>explanation</w:t>
      </w:r>
      <w:r>
        <w:rPr>
          <w:spacing w:val="-3"/>
        </w:rPr>
        <w:t xml:space="preserve"> </w:t>
      </w:r>
      <w:r>
        <w:t>of</w:t>
      </w:r>
      <w:r>
        <w:rPr>
          <w:spacing w:val="-4"/>
        </w:rPr>
        <w:t xml:space="preserve"> </w:t>
      </w:r>
      <w:r>
        <w:t>benefits</w:t>
      </w:r>
      <w:r>
        <w:rPr>
          <w:spacing w:val="-3"/>
        </w:rPr>
        <w:t xml:space="preserve"> </w:t>
      </w:r>
      <w:r>
        <w:t>for</w:t>
      </w:r>
      <w:r>
        <w:rPr>
          <w:spacing w:val="-2"/>
        </w:rPr>
        <w:t xml:space="preserve"> </w:t>
      </w:r>
      <w:r>
        <w:t>an</w:t>
      </w:r>
      <w:r>
        <w:rPr>
          <w:spacing w:val="-3"/>
        </w:rPr>
        <w:t xml:space="preserve"> </w:t>
      </w:r>
      <w:r>
        <w:t>item</w:t>
      </w:r>
      <w:r>
        <w:rPr>
          <w:spacing w:val="-3"/>
        </w:rPr>
        <w:t xml:space="preserve"> </w:t>
      </w:r>
      <w:r>
        <w:t>or</w:t>
      </w:r>
      <w:r>
        <w:rPr>
          <w:spacing w:val="-3"/>
        </w:rPr>
        <w:t xml:space="preserve"> </w:t>
      </w:r>
      <w:r>
        <w:t>service</w:t>
      </w:r>
      <w:r>
        <w:rPr>
          <w:spacing w:val="-4"/>
        </w:rPr>
        <w:t xml:space="preserve"> </w:t>
      </w:r>
      <w:r>
        <w:t>with</w:t>
      </w:r>
      <w:r>
        <w:rPr>
          <w:spacing w:val="-3"/>
        </w:rPr>
        <w:t xml:space="preserve"> </w:t>
      </w:r>
      <w:r>
        <w:t>respect to which the requirements under section 9816 of the Code, section 716 of ERISA, and section 2799A-1 of the PHS Act apply, information in plain language on the provisions in these sections, and sections 2799B-1 and 2799B-2 of the PHS Act, and other applicable</w:t>
      </w:r>
      <w:r>
        <w:rPr>
          <w:spacing w:val="40"/>
        </w:rPr>
        <w:t xml:space="preserve"> </w:t>
      </w:r>
      <w:r>
        <w:t>State laws on out-of-network balance billing, and information on contacting appropriate State and Federal agencies in the case that an individual believes that s</w:t>
      </w:r>
      <w:r>
        <w:t>uch a provider or facility has violated the prohibition against balance billing.</w:t>
      </w:r>
    </w:p>
    <w:p w:rsidR="00B64E72" w14:paraId="1053D899" w14:textId="77777777">
      <w:pPr>
        <w:pStyle w:val="BodyText"/>
        <w:spacing w:before="18"/>
      </w:pPr>
    </w:p>
    <w:p w:rsidR="00B64E72" w14:paraId="7BA91B27" w14:textId="77777777">
      <w:pPr>
        <w:pStyle w:val="BodyText"/>
        <w:spacing w:line="259" w:lineRule="auto"/>
        <w:ind w:left="1512" w:right="1369"/>
      </w:pPr>
      <w:bookmarkStart w:id="249" w:name="The_Departments_assume_that_plans_and_is"/>
      <w:bookmarkEnd w:id="249"/>
      <w:r>
        <w:t>The Departments assume that plans and issuers will use the model notice developed by HHS, and that TPAs will develop the notice for self-insured plans. The Departments previously</w:t>
      </w:r>
      <w:r>
        <w:rPr>
          <w:spacing w:val="-4"/>
        </w:rPr>
        <w:t xml:space="preserve"> </w:t>
      </w:r>
      <w:r>
        <w:t>estimated</w:t>
      </w:r>
      <w:r>
        <w:rPr>
          <w:spacing w:val="-4"/>
        </w:rPr>
        <w:t xml:space="preserve"> </w:t>
      </w:r>
      <w:r>
        <w:t>that</w:t>
      </w:r>
      <w:r>
        <w:rPr>
          <w:spacing w:val="-4"/>
        </w:rPr>
        <w:t xml:space="preserve"> </w:t>
      </w:r>
      <w:r>
        <w:t>there</w:t>
      </w:r>
      <w:r>
        <w:rPr>
          <w:spacing w:val="-4"/>
        </w:rPr>
        <w:t xml:space="preserve"> </w:t>
      </w:r>
      <w:r>
        <w:t>were</w:t>
      </w:r>
      <w:r>
        <w:rPr>
          <w:spacing w:val="-5"/>
        </w:rPr>
        <w:t xml:space="preserve"> </w:t>
      </w:r>
      <w:r>
        <w:t>1,500</w:t>
      </w:r>
      <w:r>
        <w:rPr>
          <w:spacing w:val="-4"/>
        </w:rPr>
        <w:t xml:space="preserve"> </w:t>
      </w:r>
      <w:r>
        <w:t>issuers</w:t>
      </w:r>
      <w:r>
        <w:rPr>
          <w:spacing w:val="-4"/>
        </w:rPr>
        <w:t xml:space="preserve"> </w:t>
      </w:r>
      <w:r>
        <w:t>and</w:t>
      </w:r>
      <w:r>
        <w:rPr>
          <w:spacing w:val="-4"/>
        </w:rPr>
        <w:t xml:space="preserve"> </w:t>
      </w:r>
      <w:r>
        <w:t>205</w:t>
      </w:r>
      <w:r>
        <w:rPr>
          <w:spacing w:val="-4"/>
        </w:rPr>
        <w:t xml:space="preserve"> </w:t>
      </w:r>
      <w:r>
        <w:t>TPAs</w:t>
      </w:r>
      <w:r>
        <w:rPr>
          <w:spacing w:val="-4"/>
        </w:rPr>
        <w:t xml:space="preserve"> </w:t>
      </w:r>
      <w:r>
        <w:t>that</w:t>
      </w:r>
      <w:r>
        <w:rPr>
          <w:spacing w:val="-4"/>
        </w:rPr>
        <w:t xml:space="preserve"> </w:t>
      </w:r>
      <w:r>
        <w:t>incurred</w:t>
      </w:r>
      <w:r>
        <w:rPr>
          <w:spacing w:val="-4"/>
        </w:rPr>
        <w:t xml:space="preserve"> </w:t>
      </w:r>
      <w:r>
        <w:t xml:space="preserve">one-time burden and costs in 2021 to prepare the disclosure and make the information publicly </w:t>
      </w:r>
      <w:r>
        <w:rPr>
          <w:spacing w:val="-2"/>
        </w:rPr>
        <w:t>available.</w:t>
      </w:r>
    </w:p>
    <w:p w:rsidR="00B64E72" w14:paraId="2183A281" w14:textId="77777777">
      <w:pPr>
        <w:pStyle w:val="BodyText"/>
        <w:spacing w:before="22"/>
      </w:pPr>
    </w:p>
    <w:p w:rsidR="00B64E72" w14:paraId="51FDE1BD" w14:textId="77777777">
      <w:pPr>
        <w:pStyle w:val="BodyText"/>
        <w:spacing w:line="259" w:lineRule="auto"/>
        <w:ind w:left="1512" w:right="1144"/>
      </w:pPr>
      <w:r>
        <w:t>Plans and issuers will include the disclosure along with the explanation of benefits. Under the same assumptions used to estimate the number of disclosures provided by nonparticipating facilities and providers, the Departments estimate that issuers and TPAs will include</w:t>
      </w:r>
      <w:r>
        <w:rPr>
          <w:spacing w:val="-1"/>
        </w:rPr>
        <w:t xml:space="preserve"> </w:t>
      </w:r>
      <w:r>
        <w:t>the disclosure</w:t>
      </w:r>
      <w:r>
        <w:rPr>
          <w:spacing w:val="-1"/>
        </w:rPr>
        <w:t xml:space="preserve"> </w:t>
      </w:r>
      <w:r>
        <w:t>to approximately 39,690,940 individuals who receive services at emergency facilities and 11,107,056 individuals who received non-emergency services at health</w:t>
      </w:r>
      <w:r>
        <w:rPr>
          <w:spacing w:val="-3"/>
        </w:rPr>
        <w:t xml:space="preserve"> </w:t>
      </w:r>
      <w:r>
        <w:t>care</w:t>
      </w:r>
      <w:r>
        <w:rPr>
          <w:spacing w:val="-4"/>
        </w:rPr>
        <w:t xml:space="preserve"> </w:t>
      </w:r>
      <w:r>
        <w:t>facilities,</w:t>
      </w:r>
      <w:r>
        <w:rPr>
          <w:spacing w:val="-3"/>
        </w:rPr>
        <w:t xml:space="preserve"> </w:t>
      </w:r>
      <w:r>
        <w:t>for</w:t>
      </w:r>
      <w:r>
        <w:rPr>
          <w:spacing w:val="-2"/>
        </w:rPr>
        <w:t xml:space="preserve"> </w:t>
      </w:r>
      <w:r>
        <w:t>a</w:t>
      </w:r>
      <w:r>
        <w:rPr>
          <w:spacing w:val="-4"/>
        </w:rPr>
        <w:t xml:space="preserve"> </w:t>
      </w:r>
      <w:r>
        <w:t>total</w:t>
      </w:r>
      <w:r>
        <w:rPr>
          <w:spacing w:val="-3"/>
        </w:rPr>
        <w:t xml:space="preserve"> </w:t>
      </w:r>
      <w:r>
        <w:t>of</w:t>
      </w:r>
      <w:r>
        <w:rPr>
          <w:spacing w:val="-3"/>
        </w:rPr>
        <w:t xml:space="preserve"> </w:t>
      </w:r>
      <w:r>
        <w:t>50,797,996</w:t>
      </w:r>
      <w:r>
        <w:rPr>
          <w:spacing w:val="-3"/>
        </w:rPr>
        <w:t xml:space="preserve"> </w:t>
      </w:r>
      <w:r>
        <w:t>disclosures.</w:t>
      </w:r>
      <w:r>
        <w:rPr>
          <w:spacing w:val="-3"/>
        </w:rPr>
        <w:t xml:space="preserve"> </w:t>
      </w:r>
      <w:r>
        <w:t>The</w:t>
      </w:r>
      <w:r>
        <w:rPr>
          <w:spacing w:val="-4"/>
        </w:rPr>
        <w:t xml:space="preserve"> </w:t>
      </w:r>
      <w:r>
        <w:t>Departments</w:t>
      </w:r>
      <w:r>
        <w:rPr>
          <w:spacing w:val="-3"/>
        </w:rPr>
        <w:t xml:space="preserve"> </w:t>
      </w:r>
      <w:r>
        <w:t>assume</w:t>
      </w:r>
      <w:r>
        <w:rPr>
          <w:spacing w:val="-4"/>
        </w:rPr>
        <w:t xml:space="preserve"> </w:t>
      </w:r>
      <w:r>
        <w:t>that</w:t>
      </w:r>
      <w:r>
        <w:rPr>
          <w:spacing w:val="-3"/>
        </w:rPr>
        <w:t xml:space="preserve"> </w:t>
      </w:r>
      <w:r>
        <w:t>for the disclosures sent by mail, it will take an administrative assistant 1 minute (at an hourly rate of $42.58) to print and enclose the notice with the explanation of benefits. The disclosures sent electronically can be sent at minimal cost. The total burden for all issuers and TPAs is estimated to be 558,778 hours with an equivalent cost of $23.8 million. The total annual cost to all issuers and TPAs for sending the notices (including printing and materials costs discussed in the</w:t>
      </w:r>
      <w:r>
        <w:t xml:space="preserve"> section on capital costs below) is estimated to be approximately $25.5 million annually. As DOL, the Treasury Department and HHS share jurisdiction, HHS will account for 50 percent of the burden, or approximately 279,389</w:t>
      </w:r>
    </w:p>
    <w:p w:rsidR="00B64E72" w14:paraId="13C9F651" w14:textId="77777777">
      <w:pPr>
        <w:pStyle w:val="BodyText"/>
        <w:spacing w:line="259" w:lineRule="auto"/>
        <w:sectPr>
          <w:pgSz w:w="12240" w:h="15840"/>
          <w:pgMar w:top="1360" w:right="360" w:bottom="1280" w:left="360" w:header="0" w:footer="1094" w:gutter="0"/>
          <w:cols w:space="720"/>
        </w:sectPr>
      </w:pPr>
    </w:p>
    <w:p w:rsidR="00B64E72" w14:paraId="45FB2F0F" w14:textId="77777777">
      <w:pPr>
        <w:pStyle w:val="BodyText"/>
        <w:spacing w:before="79" w:line="259" w:lineRule="auto"/>
        <w:ind w:left="1512" w:right="1099"/>
      </w:pPr>
      <w:bookmarkStart w:id="250" w:name="hours,_with_an_equivalent_cost_of_$11.9_"/>
      <w:bookmarkEnd w:id="250"/>
      <w:r>
        <w:t>hours,</w:t>
      </w:r>
      <w:r>
        <w:rPr>
          <w:spacing w:val="-3"/>
        </w:rPr>
        <w:t xml:space="preserve"> </w:t>
      </w:r>
      <w:r>
        <w:t>with</w:t>
      </w:r>
      <w:r>
        <w:rPr>
          <w:spacing w:val="-3"/>
        </w:rPr>
        <w:t xml:space="preserve"> </w:t>
      </w:r>
      <w:r>
        <w:t>an</w:t>
      </w:r>
      <w:r>
        <w:rPr>
          <w:spacing w:val="-3"/>
        </w:rPr>
        <w:t xml:space="preserve"> </w:t>
      </w:r>
      <w:r>
        <w:t>equivalent</w:t>
      </w:r>
      <w:r>
        <w:rPr>
          <w:spacing w:val="-1"/>
        </w:rPr>
        <w:t xml:space="preserve"> </w:t>
      </w:r>
      <w:r>
        <w:t>cost</w:t>
      </w:r>
      <w:r>
        <w:rPr>
          <w:spacing w:val="-3"/>
        </w:rPr>
        <w:t xml:space="preserve"> </w:t>
      </w:r>
      <w:r>
        <w:t>of</w:t>
      </w:r>
      <w:r>
        <w:rPr>
          <w:spacing w:val="-2"/>
        </w:rPr>
        <w:t xml:space="preserve"> </w:t>
      </w:r>
      <w:r>
        <w:t>$11.9</w:t>
      </w:r>
      <w:r>
        <w:rPr>
          <w:spacing w:val="-3"/>
        </w:rPr>
        <w:t xml:space="preserve"> </w:t>
      </w:r>
      <w:r>
        <w:t>million,</w:t>
      </w:r>
      <w:r>
        <w:rPr>
          <w:spacing w:val="-3"/>
        </w:rPr>
        <w:t xml:space="preserve"> </w:t>
      </w:r>
      <w:r>
        <w:t>and</w:t>
      </w:r>
      <w:r>
        <w:rPr>
          <w:spacing w:val="-3"/>
        </w:rPr>
        <w:t xml:space="preserve"> </w:t>
      </w:r>
      <w:r>
        <w:t>printing</w:t>
      </w:r>
      <w:r>
        <w:rPr>
          <w:spacing w:val="-3"/>
        </w:rPr>
        <w:t xml:space="preserve"> </w:t>
      </w:r>
      <w:r>
        <w:t>and</w:t>
      </w:r>
      <w:r>
        <w:rPr>
          <w:spacing w:val="-3"/>
        </w:rPr>
        <w:t xml:space="preserve"> </w:t>
      </w:r>
      <w:r>
        <w:t>materials</w:t>
      </w:r>
      <w:r>
        <w:rPr>
          <w:spacing w:val="-3"/>
        </w:rPr>
        <w:t xml:space="preserve"> </w:t>
      </w:r>
      <w:r>
        <w:t>cost</w:t>
      </w:r>
      <w:r>
        <w:rPr>
          <w:spacing w:val="-3"/>
        </w:rPr>
        <w:t xml:space="preserve"> </w:t>
      </w:r>
      <w:r>
        <w:t>of</w:t>
      </w:r>
      <w:r>
        <w:rPr>
          <w:spacing w:val="-3"/>
        </w:rPr>
        <w:t xml:space="preserve"> </w:t>
      </w:r>
      <w:r>
        <w:t>$838,167, for a total annual estimated cost of $12.7 million annually.</w:t>
      </w:r>
    </w:p>
    <w:p w:rsidR="00B64E72" w14:paraId="50491DAD" w14:textId="77777777">
      <w:pPr>
        <w:pStyle w:val="BodyText"/>
        <w:spacing w:before="62"/>
      </w:pPr>
    </w:p>
    <w:p w:rsidR="00B64E72" w14:paraId="20045DC7" w14:textId="77777777">
      <w:pPr>
        <w:pStyle w:val="Heading1"/>
        <w:spacing w:line="247" w:lineRule="auto"/>
      </w:pPr>
      <w:bookmarkStart w:id="251" w:name="TABLE_8:_Annual_Burden_and_Cost_for_Plan"/>
      <w:bookmarkEnd w:id="251"/>
      <w:r>
        <w:t>TABLE</w:t>
      </w:r>
      <w:r>
        <w:rPr>
          <w:spacing w:val="-2"/>
        </w:rPr>
        <w:t xml:space="preserve"> </w:t>
      </w:r>
      <w:r>
        <w:t>8:</w:t>
      </w:r>
      <w:r>
        <w:rPr>
          <w:spacing w:val="-3"/>
        </w:rPr>
        <w:t xml:space="preserve"> </w:t>
      </w:r>
      <w:r>
        <w:t>Annual</w:t>
      </w:r>
      <w:r>
        <w:rPr>
          <w:spacing w:val="-3"/>
        </w:rPr>
        <w:t xml:space="preserve"> </w:t>
      </w:r>
      <w:r>
        <w:t>Burden</w:t>
      </w:r>
      <w:r>
        <w:rPr>
          <w:spacing w:val="-3"/>
        </w:rPr>
        <w:t xml:space="preserve"> </w:t>
      </w:r>
      <w:r>
        <w:t>and</w:t>
      </w:r>
      <w:r>
        <w:rPr>
          <w:spacing w:val="-3"/>
        </w:rPr>
        <w:t xml:space="preserve"> </w:t>
      </w:r>
      <w:r>
        <w:t>Cost</w:t>
      </w:r>
      <w:r>
        <w:rPr>
          <w:spacing w:val="-4"/>
        </w:rPr>
        <w:t xml:space="preserve"> </w:t>
      </w:r>
      <w:r>
        <w:t>for</w:t>
      </w:r>
      <w:r>
        <w:rPr>
          <w:spacing w:val="-5"/>
        </w:rPr>
        <w:t xml:space="preserve"> </w:t>
      </w:r>
      <w:r>
        <w:t>Plans</w:t>
      </w:r>
      <w:r>
        <w:rPr>
          <w:spacing w:val="-6"/>
        </w:rPr>
        <w:t xml:space="preserve"> </w:t>
      </w:r>
      <w:r>
        <w:t>and</w:t>
      </w:r>
      <w:r>
        <w:rPr>
          <w:spacing w:val="-3"/>
        </w:rPr>
        <w:t xml:space="preserve"> </w:t>
      </w:r>
      <w:r>
        <w:t>Issuers</w:t>
      </w:r>
      <w:r>
        <w:rPr>
          <w:spacing w:val="-3"/>
        </w:rPr>
        <w:t xml:space="preserve"> </w:t>
      </w:r>
      <w:r>
        <w:t>to</w:t>
      </w:r>
      <w:r>
        <w:rPr>
          <w:spacing w:val="-3"/>
        </w:rPr>
        <w:t xml:space="preserve"> </w:t>
      </w:r>
      <w:r>
        <w:t>Provide</w:t>
      </w:r>
      <w:r>
        <w:rPr>
          <w:spacing w:val="-4"/>
        </w:rPr>
        <w:t xml:space="preserve"> </w:t>
      </w:r>
      <w:r>
        <w:t>Disclosure</w:t>
      </w:r>
      <w:r>
        <w:rPr>
          <w:spacing w:val="-4"/>
        </w:rPr>
        <w:t xml:space="preserve"> </w:t>
      </w:r>
      <w:r>
        <w:t>on Patient Protections Against Balance Billing</w:t>
      </w:r>
    </w:p>
    <w:p w:rsidR="00B64E72" w14:paraId="628E4C4B" w14:textId="77777777">
      <w:pPr>
        <w:pStyle w:val="BodyText"/>
        <w:spacing w:before="71"/>
        <w:rPr>
          <w:b/>
          <w:sz w:val="20"/>
        </w:rPr>
      </w:pPr>
    </w:p>
    <w:tbl>
      <w:tblPr>
        <w:tblW w:w="0" w:type="auto"/>
        <w:tblInd w:w="1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7"/>
        <w:gridCol w:w="1529"/>
        <w:gridCol w:w="1440"/>
        <w:gridCol w:w="1532"/>
        <w:gridCol w:w="1529"/>
        <w:gridCol w:w="1532"/>
      </w:tblGrid>
      <w:tr w14:paraId="1C66241B" w14:textId="77777777">
        <w:tblPrEx>
          <w:tblW w:w="0" w:type="auto"/>
          <w:tblInd w:w="1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68"/>
        </w:trPr>
        <w:tc>
          <w:tcPr>
            <w:tcW w:w="1387" w:type="dxa"/>
          </w:tcPr>
          <w:p w:rsidR="00B64E72" w14:paraId="0811D182" w14:textId="77777777">
            <w:pPr>
              <w:pStyle w:val="TableParagraph"/>
              <w:spacing w:before="77" w:line="247" w:lineRule="auto"/>
              <w:ind w:left="179" w:right="172" w:firstLine="105"/>
              <w:jc w:val="both"/>
              <w:rPr>
                <w:sz w:val="20"/>
              </w:rPr>
            </w:pPr>
            <w:r>
              <w:rPr>
                <w:spacing w:val="-2"/>
                <w:sz w:val="20"/>
              </w:rPr>
              <w:t xml:space="preserve">Estimated </w:t>
            </w:r>
            <w:r>
              <w:rPr>
                <w:sz w:val="20"/>
              </w:rPr>
              <w:t xml:space="preserve">Number of </w:t>
            </w:r>
            <w:r>
              <w:rPr>
                <w:spacing w:val="-2"/>
                <w:sz w:val="20"/>
              </w:rPr>
              <w:t>Respondents</w:t>
            </w:r>
          </w:p>
        </w:tc>
        <w:tc>
          <w:tcPr>
            <w:tcW w:w="1529" w:type="dxa"/>
          </w:tcPr>
          <w:p w:rsidR="00B64E72" w14:paraId="2E9F3029" w14:textId="77777777">
            <w:pPr>
              <w:pStyle w:val="TableParagraph"/>
              <w:spacing w:before="77" w:line="247" w:lineRule="auto"/>
              <w:ind w:left="326" w:right="319" w:firstLine="31"/>
              <w:jc w:val="both"/>
              <w:rPr>
                <w:sz w:val="20"/>
              </w:rPr>
            </w:pPr>
            <w:r>
              <w:rPr>
                <w:spacing w:val="-2"/>
                <w:sz w:val="20"/>
              </w:rPr>
              <w:t xml:space="preserve">Estimated </w:t>
            </w:r>
            <w:r>
              <w:rPr>
                <w:sz w:val="20"/>
              </w:rPr>
              <w:t>Number</w:t>
            </w:r>
            <w:r>
              <w:rPr>
                <w:spacing w:val="-13"/>
                <w:sz w:val="20"/>
              </w:rPr>
              <w:t xml:space="preserve"> </w:t>
            </w:r>
            <w:r>
              <w:rPr>
                <w:sz w:val="20"/>
              </w:rPr>
              <w:t xml:space="preserve">of </w:t>
            </w:r>
            <w:r>
              <w:rPr>
                <w:spacing w:val="-2"/>
                <w:sz w:val="20"/>
              </w:rPr>
              <w:t>Responses</w:t>
            </w:r>
          </w:p>
        </w:tc>
        <w:tc>
          <w:tcPr>
            <w:tcW w:w="1440" w:type="dxa"/>
          </w:tcPr>
          <w:p w:rsidR="00B64E72" w14:paraId="2C0756C2" w14:textId="77777777">
            <w:pPr>
              <w:pStyle w:val="TableParagraph"/>
              <w:spacing w:before="77" w:line="247" w:lineRule="auto"/>
              <w:ind w:left="422" w:right="186" w:hanging="243"/>
              <w:rPr>
                <w:sz w:val="20"/>
              </w:rPr>
            </w:pPr>
            <w:r>
              <w:rPr>
                <w:sz w:val="20"/>
              </w:rPr>
              <w:t>Total</w:t>
            </w:r>
            <w:r>
              <w:rPr>
                <w:spacing w:val="-13"/>
                <w:sz w:val="20"/>
              </w:rPr>
              <w:t xml:space="preserve"> </w:t>
            </w:r>
            <w:r>
              <w:rPr>
                <w:sz w:val="20"/>
              </w:rPr>
              <w:t xml:space="preserve">Annual </w:t>
            </w:r>
            <w:r>
              <w:rPr>
                <w:spacing w:val="-2"/>
                <w:sz w:val="20"/>
              </w:rPr>
              <w:t>Burden (hours)</w:t>
            </w:r>
          </w:p>
        </w:tc>
        <w:tc>
          <w:tcPr>
            <w:tcW w:w="1532" w:type="dxa"/>
          </w:tcPr>
          <w:p w:rsidR="00B64E72" w14:paraId="30981D5B" w14:textId="77777777">
            <w:pPr>
              <w:pStyle w:val="TableParagraph"/>
              <w:spacing w:before="194" w:line="247" w:lineRule="auto"/>
              <w:ind w:left="314" w:right="121" w:hanging="192"/>
              <w:rPr>
                <w:sz w:val="20"/>
              </w:rPr>
            </w:pPr>
            <w:bookmarkStart w:id="252" w:name="Total_Estimated_Labor_Cost_"/>
            <w:bookmarkEnd w:id="252"/>
            <w:r>
              <w:rPr>
                <w:sz w:val="20"/>
              </w:rPr>
              <w:t>Total</w:t>
            </w:r>
            <w:r>
              <w:rPr>
                <w:spacing w:val="-13"/>
                <w:sz w:val="20"/>
              </w:rPr>
              <w:t xml:space="preserve"> </w:t>
            </w:r>
            <w:r>
              <w:rPr>
                <w:sz w:val="20"/>
              </w:rPr>
              <w:t>Estimated Labor Cost</w:t>
            </w:r>
          </w:p>
        </w:tc>
        <w:tc>
          <w:tcPr>
            <w:tcW w:w="1529" w:type="dxa"/>
          </w:tcPr>
          <w:p w:rsidR="00B64E72" w14:paraId="56AAED78" w14:textId="77777777">
            <w:pPr>
              <w:pStyle w:val="TableParagraph"/>
              <w:spacing w:before="77" w:line="247" w:lineRule="auto"/>
              <w:ind w:right="3"/>
              <w:jc w:val="center"/>
              <w:rPr>
                <w:sz w:val="20"/>
              </w:rPr>
            </w:pPr>
            <w:r>
              <w:rPr>
                <w:sz w:val="20"/>
              </w:rPr>
              <w:t>Total</w:t>
            </w:r>
            <w:r>
              <w:rPr>
                <w:spacing w:val="-13"/>
                <w:sz w:val="20"/>
              </w:rPr>
              <w:t xml:space="preserve"> </w:t>
            </w:r>
            <w:r>
              <w:rPr>
                <w:sz w:val="20"/>
              </w:rPr>
              <w:t>Estimated Printing and Materials Cost</w:t>
            </w:r>
          </w:p>
        </w:tc>
        <w:tc>
          <w:tcPr>
            <w:tcW w:w="1532" w:type="dxa"/>
          </w:tcPr>
          <w:p w:rsidR="00B64E72" w14:paraId="76650462" w14:textId="77777777">
            <w:pPr>
              <w:pStyle w:val="TableParagraph"/>
              <w:spacing w:before="194" w:line="247" w:lineRule="auto"/>
              <w:ind w:left="578" w:right="122" w:hanging="457"/>
              <w:rPr>
                <w:sz w:val="20"/>
              </w:rPr>
            </w:pPr>
            <w:bookmarkStart w:id="253" w:name="Total_Estimated_Cost_"/>
            <w:bookmarkEnd w:id="253"/>
            <w:r>
              <w:rPr>
                <w:sz w:val="20"/>
              </w:rPr>
              <w:t>Total</w:t>
            </w:r>
            <w:r>
              <w:rPr>
                <w:spacing w:val="-13"/>
                <w:sz w:val="20"/>
              </w:rPr>
              <w:t xml:space="preserve"> </w:t>
            </w:r>
            <w:r>
              <w:rPr>
                <w:sz w:val="20"/>
              </w:rPr>
              <w:t xml:space="preserve">Estimated </w:t>
            </w:r>
            <w:r>
              <w:rPr>
                <w:spacing w:val="-4"/>
                <w:sz w:val="20"/>
              </w:rPr>
              <w:t>Cost</w:t>
            </w:r>
          </w:p>
        </w:tc>
      </w:tr>
      <w:tr w14:paraId="74808E4E" w14:textId="77777777">
        <w:tblPrEx>
          <w:tblW w:w="0" w:type="auto"/>
          <w:tblInd w:w="1292" w:type="dxa"/>
          <w:tblLayout w:type="fixed"/>
          <w:tblCellMar>
            <w:left w:w="0" w:type="dxa"/>
            <w:right w:w="0" w:type="dxa"/>
          </w:tblCellMar>
          <w:tblLook w:val="01E0"/>
        </w:tblPrEx>
        <w:trPr>
          <w:trHeight w:val="292"/>
        </w:trPr>
        <w:tc>
          <w:tcPr>
            <w:tcW w:w="1387" w:type="dxa"/>
          </w:tcPr>
          <w:p w:rsidR="00B64E72" w14:paraId="1583E711" w14:textId="77777777">
            <w:pPr>
              <w:pStyle w:val="TableParagraph"/>
              <w:spacing w:before="26"/>
              <w:ind w:right="2"/>
              <w:jc w:val="center"/>
              <w:rPr>
                <w:sz w:val="20"/>
              </w:rPr>
            </w:pPr>
            <w:r>
              <w:rPr>
                <w:spacing w:val="-5"/>
                <w:sz w:val="20"/>
              </w:rPr>
              <w:t>837</w:t>
            </w:r>
          </w:p>
        </w:tc>
        <w:tc>
          <w:tcPr>
            <w:tcW w:w="1529" w:type="dxa"/>
          </w:tcPr>
          <w:p w:rsidR="00B64E72" w14:paraId="0044470E" w14:textId="77777777">
            <w:pPr>
              <w:pStyle w:val="TableParagraph"/>
              <w:spacing w:before="26"/>
              <w:ind w:left="307"/>
              <w:rPr>
                <w:sz w:val="20"/>
              </w:rPr>
            </w:pPr>
            <w:r>
              <w:rPr>
                <w:spacing w:val="-2"/>
                <w:sz w:val="20"/>
              </w:rPr>
              <w:t>25,398,998</w:t>
            </w:r>
          </w:p>
        </w:tc>
        <w:tc>
          <w:tcPr>
            <w:tcW w:w="1440" w:type="dxa"/>
          </w:tcPr>
          <w:p w:rsidR="00B64E72" w14:paraId="56668953" w14:textId="77777777">
            <w:pPr>
              <w:pStyle w:val="TableParagraph"/>
              <w:spacing w:before="26"/>
              <w:ind w:left="386"/>
              <w:rPr>
                <w:sz w:val="20"/>
              </w:rPr>
            </w:pPr>
            <w:r>
              <w:rPr>
                <w:spacing w:val="-2"/>
                <w:sz w:val="20"/>
              </w:rPr>
              <w:t>279,389</w:t>
            </w:r>
          </w:p>
        </w:tc>
        <w:tc>
          <w:tcPr>
            <w:tcW w:w="1532" w:type="dxa"/>
          </w:tcPr>
          <w:p w:rsidR="00B64E72" w14:paraId="36AF198F" w14:textId="77777777">
            <w:pPr>
              <w:pStyle w:val="TableParagraph"/>
              <w:spacing w:before="26"/>
              <w:ind w:left="257"/>
              <w:rPr>
                <w:sz w:val="20"/>
              </w:rPr>
            </w:pPr>
            <w:r>
              <w:rPr>
                <w:spacing w:val="-2"/>
                <w:sz w:val="20"/>
              </w:rPr>
              <w:t>$11,896,383</w:t>
            </w:r>
          </w:p>
        </w:tc>
        <w:tc>
          <w:tcPr>
            <w:tcW w:w="1529" w:type="dxa"/>
          </w:tcPr>
          <w:p w:rsidR="00B64E72" w14:paraId="76745418" w14:textId="77777777">
            <w:pPr>
              <w:pStyle w:val="TableParagraph"/>
              <w:spacing w:before="26"/>
              <w:ind w:left="381"/>
              <w:rPr>
                <w:sz w:val="20"/>
              </w:rPr>
            </w:pPr>
            <w:r>
              <w:rPr>
                <w:spacing w:val="-2"/>
                <w:sz w:val="20"/>
              </w:rPr>
              <w:t>$838,167</w:t>
            </w:r>
          </w:p>
        </w:tc>
        <w:tc>
          <w:tcPr>
            <w:tcW w:w="1532" w:type="dxa"/>
          </w:tcPr>
          <w:p w:rsidR="00B64E72" w14:paraId="67CB120E" w14:textId="77777777">
            <w:pPr>
              <w:pStyle w:val="TableParagraph"/>
              <w:spacing w:before="26"/>
              <w:ind w:left="257"/>
              <w:rPr>
                <w:sz w:val="20"/>
              </w:rPr>
            </w:pPr>
            <w:bookmarkStart w:id="254" w:name="$12,734,450_"/>
            <w:bookmarkEnd w:id="254"/>
            <w:r>
              <w:rPr>
                <w:spacing w:val="-2"/>
                <w:sz w:val="20"/>
              </w:rPr>
              <w:t>$12,734,450</w:t>
            </w:r>
          </w:p>
        </w:tc>
      </w:tr>
    </w:tbl>
    <w:p w:rsidR="00B64E72" w14:paraId="02E043C5" w14:textId="77777777">
      <w:pPr>
        <w:pStyle w:val="BodyText"/>
        <w:spacing w:before="21"/>
        <w:rPr>
          <w:b/>
        </w:rPr>
      </w:pPr>
    </w:p>
    <w:p w:rsidR="00B64E72" w14:paraId="709492BD" w14:textId="77777777">
      <w:pPr>
        <w:pStyle w:val="ListParagraph"/>
        <w:numPr>
          <w:ilvl w:val="1"/>
          <w:numId w:val="3"/>
        </w:numPr>
        <w:tabs>
          <w:tab w:val="left" w:pos="1488"/>
        </w:tabs>
        <w:rPr>
          <w:sz w:val="24"/>
          <w:u w:val="none"/>
        </w:rPr>
      </w:pPr>
      <w:bookmarkStart w:id="255" w:name="13._Capital_Costs__"/>
      <w:bookmarkEnd w:id="255"/>
      <w:r>
        <w:rPr>
          <w:sz w:val="24"/>
        </w:rPr>
        <w:t>Capital</w:t>
      </w:r>
      <w:r>
        <w:rPr>
          <w:spacing w:val="-2"/>
          <w:sz w:val="24"/>
        </w:rPr>
        <w:t xml:space="preserve"> Costs</w:t>
      </w:r>
    </w:p>
    <w:p w:rsidR="00B64E72" w14:paraId="0ECE4305" w14:textId="77777777">
      <w:pPr>
        <w:pStyle w:val="BodyText"/>
        <w:spacing w:before="84"/>
      </w:pPr>
    </w:p>
    <w:p w:rsidR="00B64E72" w14:paraId="19EDBFA8" w14:textId="77777777">
      <w:pPr>
        <w:pStyle w:val="ListParagraph"/>
        <w:numPr>
          <w:ilvl w:val="2"/>
          <w:numId w:val="3"/>
        </w:numPr>
        <w:tabs>
          <w:tab w:val="left" w:pos="2234"/>
        </w:tabs>
        <w:spacing w:before="1"/>
        <w:rPr>
          <w:sz w:val="24"/>
          <w:u w:val="none"/>
        </w:rPr>
      </w:pPr>
      <w:bookmarkStart w:id="256" w:name="1._Disclosure_for_Self-Insured_Plans_Opt"/>
      <w:bookmarkEnd w:id="256"/>
      <w:r>
        <w:rPr>
          <w:sz w:val="24"/>
        </w:rPr>
        <w:t>Disclosure</w:t>
      </w:r>
      <w:r>
        <w:rPr>
          <w:spacing w:val="-4"/>
          <w:sz w:val="24"/>
        </w:rPr>
        <w:t xml:space="preserve"> </w:t>
      </w:r>
      <w:r>
        <w:rPr>
          <w:sz w:val="24"/>
        </w:rPr>
        <w:t>for</w:t>
      </w:r>
      <w:r>
        <w:rPr>
          <w:spacing w:val="-3"/>
          <w:sz w:val="24"/>
        </w:rPr>
        <w:t xml:space="preserve"> </w:t>
      </w:r>
      <w:r>
        <w:rPr>
          <w:sz w:val="24"/>
        </w:rPr>
        <w:t>Self-Insured</w:t>
      </w:r>
      <w:r>
        <w:rPr>
          <w:spacing w:val="-1"/>
          <w:sz w:val="24"/>
        </w:rPr>
        <w:t xml:space="preserve"> </w:t>
      </w:r>
      <w:r>
        <w:rPr>
          <w:sz w:val="24"/>
        </w:rPr>
        <w:t>Plans</w:t>
      </w:r>
      <w:r>
        <w:rPr>
          <w:spacing w:val="-1"/>
          <w:sz w:val="24"/>
        </w:rPr>
        <w:t xml:space="preserve"> </w:t>
      </w:r>
      <w:r>
        <w:rPr>
          <w:sz w:val="24"/>
        </w:rPr>
        <w:t>Opting-in to</w:t>
      </w:r>
      <w:r>
        <w:rPr>
          <w:spacing w:val="-1"/>
          <w:sz w:val="24"/>
        </w:rPr>
        <w:t xml:space="preserve"> </w:t>
      </w:r>
      <w:r>
        <w:rPr>
          <w:sz w:val="24"/>
        </w:rPr>
        <w:t>State</w:t>
      </w:r>
      <w:r>
        <w:rPr>
          <w:spacing w:val="-2"/>
          <w:sz w:val="24"/>
        </w:rPr>
        <w:t xml:space="preserve"> </w:t>
      </w:r>
      <w:r>
        <w:rPr>
          <w:sz w:val="24"/>
        </w:rPr>
        <w:t>Law</w:t>
      </w:r>
      <w:r>
        <w:rPr>
          <w:spacing w:val="-1"/>
          <w:sz w:val="24"/>
        </w:rPr>
        <w:t xml:space="preserve"> </w:t>
      </w:r>
      <w:r>
        <w:rPr>
          <w:sz w:val="24"/>
        </w:rPr>
        <w:t>(45</w:t>
      </w:r>
      <w:r>
        <w:rPr>
          <w:spacing w:val="-1"/>
          <w:sz w:val="24"/>
        </w:rPr>
        <w:t xml:space="preserve"> </w:t>
      </w:r>
      <w:r>
        <w:rPr>
          <w:sz w:val="24"/>
        </w:rPr>
        <w:t>CFR</w:t>
      </w:r>
      <w:r>
        <w:rPr>
          <w:spacing w:val="1"/>
          <w:sz w:val="24"/>
        </w:rPr>
        <w:t xml:space="preserve"> </w:t>
      </w:r>
      <w:r>
        <w:rPr>
          <w:spacing w:val="-2"/>
          <w:sz w:val="24"/>
        </w:rPr>
        <w:t>149.30)</w:t>
      </w:r>
    </w:p>
    <w:p w:rsidR="00B64E72" w14:paraId="50DE4348" w14:textId="77777777">
      <w:pPr>
        <w:pStyle w:val="BodyText"/>
        <w:spacing w:before="28"/>
      </w:pPr>
    </w:p>
    <w:p w:rsidR="00B64E72" w14:paraId="79C80448" w14:textId="77777777">
      <w:pPr>
        <w:pStyle w:val="BodyText"/>
        <w:spacing w:line="259" w:lineRule="auto"/>
        <w:ind w:left="1442" w:right="1461"/>
        <w:jc w:val="both"/>
      </w:pPr>
      <w:bookmarkStart w:id="257" w:name="HHS_estimates_that_there_are_approximate"/>
      <w:bookmarkEnd w:id="257"/>
      <w:r>
        <w:t>HHS</w:t>
      </w:r>
      <w:r>
        <w:rPr>
          <w:spacing w:val="-2"/>
        </w:rPr>
        <w:t xml:space="preserve"> </w:t>
      </w:r>
      <w:r>
        <w:t>estimates</w:t>
      </w:r>
      <w:r>
        <w:rPr>
          <w:spacing w:val="-2"/>
        </w:rPr>
        <w:t xml:space="preserve"> </w:t>
      </w:r>
      <w:r>
        <w:t>that</w:t>
      </w:r>
      <w:r>
        <w:rPr>
          <w:spacing w:val="-2"/>
        </w:rPr>
        <w:t xml:space="preserve"> </w:t>
      </w:r>
      <w:r>
        <w:t>there</w:t>
      </w:r>
      <w:r>
        <w:rPr>
          <w:spacing w:val="-2"/>
        </w:rPr>
        <w:t xml:space="preserve"> </w:t>
      </w:r>
      <w:r>
        <w:t>are</w:t>
      </w:r>
      <w:r>
        <w:rPr>
          <w:spacing w:val="-4"/>
        </w:rPr>
        <w:t xml:space="preserve"> </w:t>
      </w:r>
      <w:r>
        <w:t>approximately 11,532</w:t>
      </w:r>
      <w:r>
        <w:rPr>
          <w:spacing w:val="-2"/>
        </w:rPr>
        <w:t xml:space="preserve"> </w:t>
      </w:r>
      <w:r>
        <w:t>participants</w:t>
      </w:r>
      <w:r>
        <w:rPr>
          <w:spacing w:val="-2"/>
        </w:rPr>
        <w:t xml:space="preserve"> </w:t>
      </w:r>
      <w:r>
        <w:t>in</w:t>
      </w:r>
      <w:r>
        <w:rPr>
          <w:spacing w:val="-2"/>
        </w:rPr>
        <w:t xml:space="preserve"> </w:t>
      </w:r>
      <w:r>
        <w:t>these</w:t>
      </w:r>
      <w:r>
        <w:rPr>
          <w:spacing w:val="-3"/>
        </w:rPr>
        <w:t xml:space="preserve"> </w:t>
      </w:r>
      <w:r>
        <w:t>plans</w:t>
      </w:r>
      <w:r>
        <w:rPr>
          <w:spacing w:val="-2"/>
        </w:rPr>
        <w:t xml:space="preserve"> </w:t>
      </w:r>
      <w:r>
        <w:t>that</w:t>
      </w:r>
      <w:r>
        <w:rPr>
          <w:spacing w:val="-2"/>
        </w:rPr>
        <w:t xml:space="preserve"> </w:t>
      </w:r>
      <w:r>
        <w:t>will</w:t>
      </w:r>
      <w:r>
        <w:rPr>
          <w:spacing w:val="-2"/>
        </w:rPr>
        <w:t xml:space="preserve"> </w:t>
      </w:r>
      <w:r>
        <w:t>be provided</w:t>
      </w:r>
      <w:r>
        <w:rPr>
          <w:spacing w:val="-4"/>
        </w:rPr>
        <w:t xml:space="preserve"> </w:t>
      </w:r>
      <w:r>
        <w:t>the</w:t>
      </w:r>
      <w:r>
        <w:rPr>
          <w:spacing w:val="-4"/>
        </w:rPr>
        <w:t xml:space="preserve"> </w:t>
      </w:r>
      <w:r>
        <w:t>disclosure.</w:t>
      </w:r>
      <w:r>
        <w:rPr>
          <w:spacing w:val="-2"/>
        </w:rPr>
        <w:t xml:space="preserve"> </w:t>
      </w:r>
      <w:r>
        <w:t>HHS</w:t>
      </w:r>
      <w:r>
        <w:rPr>
          <w:spacing w:val="-4"/>
        </w:rPr>
        <w:t xml:space="preserve"> </w:t>
      </w:r>
      <w:r>
        <w:t>assumes</w:t>
      </w:r>
      <w:r>
        <w:rPr>
          <w:spacing w:val="-4"/>
        </w:rPr>
        <w:t xml:space="preserve"> </w:t>
      </w:r>
      <w:r>
        <w:t>that</w:t>
      </w:r>
      <w:r>
        <w:rPr>
          <w:spacing w:val="-4"/>
        </w:rPr>
        <w:t xml:space="preserve"> </w:t>
      </w:r>
      <w:r>
        <w:t>only</w:t>
      </w:r>
      <w:r>
        <w:rPr>
          <w:spacing w:val="-4"/>
        </w:rPr>
        <w:t xml:space="preserve"> </w:t>
      </w:r>
      <w:r>
        <w:t>printing</w:t>
      </w:r>
      <w:r>
        <w:rPr>
          <w:spacing w:val="-4"/>
        </w:rPr>
        <w:t xml:space="preserve"> </w:t>
      </w:r>
      <w:r>
        <w:t>and</w:t>
      </w:r>
      <w:r>
        <w:rPr>
          <w:spacing w:val="-4"/>
        </w:rPr>
        <w:t xml:space="preserve"> </w:t>
      </w:r>
      <w:r>
        <w:t>material</w:t>
      </w:r>
      <w:r>
        <w:rPr>
          <w:spacing w:val="-4"/>
        </w:rPr>
        <w:t xml:space="preserve"> </w:t>
      </w:r>
      <w:r>
        <w:t>costs</w:t>
      </w:r>
      <w:r>
        <w:rPr>
          <w:spacing w:val="-2"/>
        </w:rPr>
        <w:t xml:space="preserve"> </w:t>
      </w:r>
      <w:r>
        <w:t>are</w:t>
      </w:r>
      <w:r>
        <w:rPr>
          <w:spacing w:val="-6"/>
        </w:rPr>
        <w:t xml:space="preserve"> </w:t>
      </w:r>
      <w:r>
        <w:t>associated with</w:t>
      </w:r>
      <w:r>
        <w:rPr>
          <w:spacing w:val="-1"/>
        </w:rPr>
        <w:t xml:space="preserve"> </w:t>
      </w:r>
      <w:r>
        <w:t>the</w:t>
      </w:r>
      <w:r>
        <w:rPr>
          <w:spacing w:val="-2"/>
        </w:rPr>
        <w:t xml:space="preserve"> </w:t>
      </w:r>
      <w:r>
        <w:t>disclosure</w:t>
      </w:r>
      <w:r>
        <w:rPr>
          <w:spacing w:val="-3"/>
        </w:rPr>
        <w:t xml:space="preserve"> </w:t>
      </w:r>
      <w:r>
        <w:t>requirement,</w:t>
      </w:r>
      <w:r>
        <w:rPr>
          <w:spacing w:val="-1"/>
        </w:rPr>
        <w:t xml:space="preserve"> </w:t>
      </w:r>
      <w:r>
        <w:t>because</w:t>
      </w:r>
      <w:r>
        <w:rPr>
          <w:spacing w:val="-2"/>
        </w:rPr>
        <w:t xml:space="preserve"> </w:t>
      </w:r>
      <w:r>
        <w:t>the</w:t>
      </w:r>
      <w:r>
        <w:rPr>
          <w:spacing w:val="-1"/>
        </w:rPr>
        <w:t xml:space="preserve"> </w:t>
      </w:r>
      <w:r>
        <w:t>notice</w:t>
      </w:r>
      <w:r>
        <w:rPr>
          <w:spacing w:val="-2"/>
        </w:rPr>
        <w:t xml:space="preserve"> </w:t>
      </w:r>
      <w:r>
        <w:t>can</w:t>
      </w:r>
      <w:r>
        <w:rPr>
          <w:spacing w:val="-1"/>
        </w:rPr>
        <w:t xml:space="preserve"> </w:t>
      </w:r>
      <w:r>
        <w:t>be</w:t>
      </w:r>
      <w:r>
        <w:rPr>
          <w:spacing w:val="-2"/>
        </w:rPr>
        <w:t xml:space="preserve"> </w:t>
      </w:r>
      <w:r>
        <w:t>incorporated</w:t>
      </w:r>
      <w:r>
        <w:rPr>
          <w:spacing w:val="-1"/>
        </w:rPr>
        <w:t xml:space="preserve"> </w:t>
      </w:r>
      <w:r>
        <w:t>into</w:t>
      </w:r>
      <w:r>
        <w:rPr>
          <w:spacing w:val="-1"/>
        </w:rPr>
        <w:t xml:space="preserve"> </w:t>
      </w:r>
      <w:r>
        <w:t>existing</w:t>
      </w:r>
      <w:r>
        <w:rPr>
          <w:spacing w:val="-1"/>
        </w:rPr>
        <w:t xml:space="preserve"> </w:t>
      </w:r>
      <w:r>
        <w:t>plan documents. HHS estimates that the disclosure will require one-half of a page, at a cost of</w:t>
      </w:r>
    </w:p>
    <w:p w:rsidR="00B64E72" w14:paraId="09594A47" w14:textId="77777777">
      <w:pPr>
        <w:pStyle w:val="BodyText"/>
        <w:spacing w:before="1" w:line="259" w:lineRule="auto"/>
        <w:ind w:left="1442" w:right="1116"/>
        <w:jc w:val="both"/>
      </w:pPr>
      <w:r>
        <w:t>$0.05</w:t>
      </w:r>
      <w:r>
        <w:rPr>
          <w:spacing w:val="-3"/>
        </w:rPr>
        <w:t xml:space="preserve"> </w:t>
      </w:r>
      <w:r>
        <w:t>per</w:t>
      </w:r>
      <w:r>
        <w:rPr>
          <w:spacing w:val="-3"/>
        </w:rPr>
        <w:t xml:space="preserve"> </w:t>
      </w:r>
      <w:r>
        <w:t>page</w:t>
      </w:r>
      <w:r>
        <w:rPr>
          <w:spacing w:val="-4"/>
        </w:rPr>
        <w:t xml:space="preserve"> </w:t>
      </w:r>
      <w:r>
        <w:t>for</w:t>
      </w:r>
      <w:r>
        <w:rPr>
          <w:spacing w:val="-5"/>
        </w:rPr>
        <w:t xml:space="preserve"> </w:t>
      </w:r>
      <w:r>
        <w:t>printing</w:t>
      </w:r>
      <w:r>
        <w:rPr>
          <w:spacing w:val="-3"/>
        </w:rPr>
        <w:t xml:space="preserve"> </w:t>
      </w:r>
      <w:r>
        <w:t>and</w:t>
      </w:r>
      <w:r>
        <w:rPr>
          <w:spacing w:val="-3"/>
        </w:rPr>
        <w:t xml:space="preserve"> </w:t>
      </w:r>
      <w:r>
        <w:t>materials,</w:t>
      </w:r>
      <w:r>
        <w:rPr>
          <w:spacing w:val="-3"/>
        </w:rPr>
        <w:t xml:space="preserve"> </w:t>
      </w:r>
      <w:r>
        <w:t>and</w:t>
      </w:r>
      <w:r>
        <w:rPr>
          <w:spacing w:val="-3"/>
        </w:rPr>
        <w:t xml:space="preserve"> </w:t>
      </w:r>
      <w:r>
        <w:t>34</w:t>
      </w:r>
      <w:r>
        <w:rPr>
          <w:spacing w:val="-2"/>
        </w:rPr>
        <w:t xml:space="preserve"> </w:t>
      </w:r>
      <w:r>
        <w:t>percent</w:t>
      </w:r>
      <w:r>
        <w:rPr>
          <w:spacing w:val="-3"/>
        </w:rPr>
        <w:t xml:space="preserve"> </w:t>
      </w:r>
      <w:r>
        <w:t>of</w:t>
      </w:r>
      <w:r>
        <w:rPr>
          <w:spacing w:val="-3"/>
        </w:rPr>
        <w:t xml:space="preserve"> </w:t>
      </w:r>
      <w:r>
        <w:t>plan</w:t>
      </w:r>
      <w:r>
        <w:rPr>
          <w:spacing w:val="-3"/>
        </w:rPr>
        <w:t xml:space="preserve"> </w:t>
      </w:r>
      <w:r>
        <w:t>documents</w:t>
      </w:r>
      <w:r>
        <w:rPr>
          <w:spacing w:val="-3"/>
        </w:rPr>
        <w:t xml:space="preserve"> </w:t>
      </w:r>
      <w:r>
        <w:t>will</w:t>
      </w:r>
      <w:r>
        <w:rPr>
          <w:spacing w:val="-3"/>
        </w:rPr>
        <w:t xml:space="preserve"> </w:t>
      </w:r>
      <w:r>
        <w:t>be</w:t>
      </w:r>
      <w:r>
        <w:rPr>
          <w:spacing w:val="-4"/>
        </w:rPr>
        <w:t xml:space="preserve"> </w:t>
      </w:r>
      <w:r>
        <w:t>delivered electronically at minimal c</w:t>
      </w:r>
      <w:bookmarkStart w:id="258" w:name="26"/>
      <w:bookmarkEnd w:id="258"/>
      <w:r>
        <w:t>ost.</w:t>
      </w:r>
      <w:hyperlink w:anchor="_bookmark25" w:history="1">
        <w:r>
          <w:rPr>
            <w:vertAlign w:val="superscript"/>
          </w:rPr>
          <w:t>26</w:t>
        </w:r>
      </w:hyperlink>
      <w:r>
        <w:t xml:space="preserve"> Therefore, the cost to deliver</w:t>
      </w:r>
      <w:r>
        <w:rPr>
          <w:spacing w:val="-2"/>
        </w:rPr>
        <w:t xml:space="preserve"> </w:t>
      </w:r>
      <w:r>
        <w:t>66 percent of these</w:t>
      </w:r>
      <w:r>
        <w:rPr>
          <w:spacing w:val="-1"/>
        </w:rPr>
        <w:t xml:space="preserve"> </w:t>
      </w:r>
      <w:r>
        <w:t>disclosures in print is estimated to be approximately $190.</w:t>
      </w:r>
    </w:p>
    <w:p w:rsidR="00B64E72" w14:paraId="41832CAE" w14:textId="77777777">
      <w:pPr>
        <w:pStyle w:val="BodyText"/>
        <w:spacing w:before="61"/>
      </w:pPr>
    </w:p>
    <w:p w:rsidR="00B64E72" w14:paraId="6055F377" w14:textId="77777777">
      <w:pPr>
        <w:pStyle w:val="Heading1"/>
        <w:ind w:left="1512" w:right="0" w:firstLine="0"/>
        <w:jc w:val="both"/>
      </w:pPr>
      <w:bookmarkStart w:id="259" w:name="TABLE_9:_Annual_Cost_to_Provide_Disclosu"/>
      <w:bookmarkEnd w:id="259"/>
      <w:r>
        <w:t>TABLE 9:</w:t>
      </w:r>
      <w:r>
        <w:rPr>
          <w:spacing w:val="-1"/>
        </w:rPr>
        <w:t xml:space="preserve"> </w:t>
      </w:r>
      <w:r>
        <w:t>Annual</w:t>
      </w:r>
      <w:r>
        <w:rPr>
          <w:spacing w:val="-1"/>
        </w:rPr>
        <w:t xml:space="preserve"> </w:t>
      </w:r>
      <w:r>
        <w:t>Cost</w:t>
      </w:r>
      <w:r>
        <w:rPr>
          <w:spacing w:val="-1"/>
        </w:rPr>
        <w:t xml:space="preserve"> </w:t>
      </w:r>
      <w:r>
        <w:t>to</w:t>
      </w:r>
      <w:r>
        <w:rPr>
          <w:spacing w:val="-1"/>
        </w:rPr>
        <w:t xml:space="preserve"> </w:t>
      </w:r>
      <w:r>
        <w:t>Provide</w:t>
      </w:r>
      <w:r>
        <w:rPr>
          <w:spacing w:val="-1"/>
        </w:rPr>
        <w:t xml:space="preserve"> </w:t>
      </w:r>
      <w:r>
        <w:t>Disclosure Regarding</w:t>
      </w:r>
      <w:r>
        <w:rPr>
          <w:spacing w:val="-1"/>
        </w:rPr>
        <w:t xml:space="preserve"> </w:t>
      </w:r>
      <w:r>
        <w:t>Opting in to</w:t>
      </w:r>
      <w:r>
        <w:rPr>
          <w:spacing w:val="-4"/>
        </w:rPr>
        <w:t xml:space="preserve"> </w:t>
      </w:r>
      <w:r>
        <w:t>State</w:t>
      </w:r>
      <w:r>
        <w:rPr>
          <w:spacing w:val="-1"/>
        </w:rPr>
        <w:t xml:space="preserve"> </w:t>
      </w:r>
      <w:r>
        <w:rPr>
          <w:spacing w:val="-5"/>
        </w:rPr>
        <w:t>Law</w:t>
      </w:r>
    </w:p>
    <w:p w:rsidR="00B64E72" w14:paraId="5C69F76B" w14:textId="77777777">
      <w:pPr>
        <w:pStyle w:val="BodyText"/>
        <w:spacing w:before="69"/>
        <w:rPr>
          <w:b/>
          <w:sz w:val="20"/>
        </w:rPr>
      </w:pPr>
    </w:p>
    <w:tbl>
      <w:tblPr>
        <w:tblW w:w="0" w:type="auto"/>
        <w:tblInd w:w="3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66"/>
        <w:gridCol w:w="1270"/>
        <w:gridCol w:w="1680"/>
      </w:tblGrid>
      <w:tr w14:paraId="27669609" w14:textId="77777777">
        <w:tblPrEx>
          <w:tblW w:w="0" w:type="auto"/>
          <w:tblInd w:w="3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68"/>
        </w:trPr>
        <w:tc>
          <w:tcPr>
            <w:tcW w:w="1466" w:type="dxa"/>
          </w:tcPr>
          <w:p w:rsidR="00B64E72" w14:paraId="68459FE2" w14:textId="77777777">
            <w:pPr>
              <w:pStyle w:val="TableParagraph"/>
              <w:spacing w:before="226" w:line="247" w:lineRule="auto"/>
              <w:ind w:left="218" w:right="213" w:firstLine="108"/>
              <w:jc w:val="both"/>
              <w:rPr>
                <w:sz w:val="20"/>
              </w:rPr>
            </w:pPr>
            <w:r>
              <w:rPr>
                <w:spacing w:val="-2"/>
                <w:sz w:val="20"/>
              </w:rPr>
              <w:t xml:space="preserve">Estimated </w:t>
            </w:r>
            <w:r>
              <w:rPr>
                <w:sz w:val="20"/>
              </w:rPr>
              <w:t xml:space="preserve">Number of </w:t>
            </w:r>
            <w:r>
              <w:rPr>
                <w:spacing w:val="-2"/>
                <w:sz w:val="20"/>
              </w:rPr>
              <w:t>Respondents</w:t>
            </w:r>
          </w:p>
        </w:tc>
        <w:tc>
          <w:tcPr>
            <w:tcW w:w="1270" w:type="dxa"/>
          </w:tcPr>
          <w:p w:rsidR="00B64E72" w14:paraId="52137D0A" w14:textId="77777777">
            <w:pPr>
              <w:pStyle w:val="TableParagraph"/>
              <w:spacing w:before="226" w:line="247" w:lineRule="auto"/>
              <w:ind w:left="194" w:right="191" w:firstLine="33"/>
              <w:jc w:val="both"/>
              <w:rPr>
                <w:sz w:val="20"/>
              </w:rPr>
            </w:pPr>
            <w:r>
              <w:rPr>
                <w:spacing w:val="-2"/>
                <w:sz w:val="20"/>
              </w:rPr>
              <w:t xml:space="preserve">Estimated </w:t>
            </w:r>
            <w:r>
              <w:rPr>
                <w:sz w:val="20"/>
              </w:rPr>
              <w:t>Number</w:t>
            </w:r>
            <w:r>
              <w:rPr>
                <w:spacing w:val="-13"/>
                <w:sz w:val="20"/>
              </w:rPr>
              <w:t xml:space="preserve"> </w:t>
            </w:r>
            <w:r>
              <w:rPr>
                <w:sz w:val="20"/>
              </w:rPr>
              <w:t xml:space="preserve">of </w:t>
            </w:r>
            <w:r>
              <w:rPr>
                <w:spacing w:val="-2"/>
                <w:sz w:val="20"/>
              </w:rPr>
              <w:t>Responses</w:t>
            </w:r>
          </w:p>
        </w:tc>
        <w:tc>
          <w:tcPr>
            <w:tcW w:w="1680" w:type="dxa"/>
          </w:tcPr>
          <w:p w:rsidR="00B64E72" w14:paraId="50B0BD9A" w14:textId="77777777">
            <w:pPr>
              <w:pStyle w:val="TableParagraph"/>
              <w:spacing w:before="226" w:line="247" w:lineRule="auto"/>
              <w:ind w:right="5"/>
              <w:jc w:val="center"/>
              <w:rPr>
                <w:sz w:val="20"/>
              </w:rPr>
            </w:pPr>
            <w:r>
              <w:rPr>
                <w:sz w:val="20"/>
              </w:rPr>
              <w:t>Total</w:t>
            </w:r>
            <w:r>
              <w:rPr>
                <w:spacing w:val="-13"/>
                <w:sz w:val="20"/>
              </w:rPr>
              <w:t xml:space="preserve"> </w:t>
            </w:r>
            <w:r>
              <w:rPr>
                <w:sz w:val="20"/>
              </w:rPr>
              <w:t>Estimated Printing and Materials Cost</w:t>
            </w:r>
          </w:p>
        </w:tc>
      </w:tr>
      <w:tr w14:paraId="6517DE1B" w14:textId="77777777">
        <w:tblPrEx>
          <w:tblW w:w="0" w:type="auto"/>
          <w:tblInd w:w="3558" w:type="dxa"/>
          <w:tblLayout w:type="fixed"/>
          <w:tblCellMar>
            <w:left w:w="0" w:type="dxa"/>
            <w:right w:w="0" w:type="dxa"/>
          </w:tblCellMar>
          <w:tblLook w:val="01E0"/>
        </w:tblPrEx>
        <w:trPr>
          <w:trHeight w:val="321"/>
        </w:trPr>
        <w:tc>
          <w:tcPr>
            <w:tcW w:w="1466" w:type="dxa"/>
          </w:tcPr>
          <w:p w:rsidR="00B64E72" w14:paraId="2596AFFD" w14:textId="77777777">
            <w:pPr>
              <w:pStyle w:val="TableParagraph"/>
              <w:spacing w:before="41"/>
              <w:ind w:right="1"/>
              <w:jc w:val="center"/>
              <w:rPr>
                <w:sz w:val="20"/>
              </w:rPr>
            </w:pPr>
            <w:r>
              <w:rPr>
                <w:spacing w:val="-5"/>
                <w:sz w:val="20"/>
              </w:rPr>
              <w:t>44</w:t>
            </w:r>
          </w:p>
        </w:tc>
        <w:tc>
          <w:tcPr>
            <w:tcW w:w="1270" w:type="dxa"/>
          </w:tcPr>
          <w:p w:rsidR="00B64E72" w14:paraId="20EA32C9" w14:textId="77777777">
            <w:pPr>
              <w:pStyle w:val="TableParagraph"/>
              <w:spacing w:before="41"/>
              <w:ind w:left="353"/>
              <w:rPr>
                <w:sz w:val="20"/>
              </w:rPr>
            </w:pPr>
            <w:bookmarkStart w:id="260" w:name="11,532_"/>
            <w:bookmarkEnd w:id="260"/>
            <w:r>
              <w:rPr>
                <w:spacing w:val="-2"/>
                <w:sz w:val="20"/>
              </w:rPr>
              <w:t>11,532</w:t>
            </w:r>
          </w:p>
        </w:tc>
        <w:tc>
          <w:tcPr>
            <w:tcW w:w="1680" w:type="dxa"/>
          </w:tcPr>
          <w:p w:rsidR="00B64E72" w14:paraId="53AB137F" w14:textId="77777777">
            <w:pPr>
              <w:pStyle w:val="TableParagraph"/>
              <w:spacing w:before="41"/>
              <w:ind w:left="2" w:right="5"/>
              <w:jc w:val="center"/>
              <w:rPr>
                <w:sz w:val="20"/>
              </w:rPr>
            </w:pPr>
            <w:r>
              <w:rPr>
                <w:spacing w:val="-4"/>
                <w:sz w:val="20"/>
              </w:rPr>
              <w:t>$190</w:t>
            </w:r>
          </w:p>
        </w:tc>
      </w:tr>
    </w:tbl>
    <w:p w:rsidR="00B64E72" w14:paraId="5FB08C05" w14:textId="77777777">
      <w:pPr>
        <w:pStyle w:val="BodyText"/>
        <w:rPr>
          <w:b/>
        </w:rPr>
      </w:pPr>
    </w:p>
    <w:p w:rsidR="00B64E72" w14:paraId="12F89055" w14:textId="77777777">
      <w:pPr>
        <w:pStyle w:val="BodyText"/>
        <w:rPr>
          <w:b/>
        </w:rPr>
      </w:pPr>
    </w:p>
    <w:p w:rsidR="00B64E72" w14:paraId="64C5D1A9" w14:textId="77777777">
      <w:pPr>
        <w:pStyle w:val="BodyText"/>
        <w:spacing w:before="105"/>
        <w:rPr>
          <w:b/>
        </w:rPr>
      </w:pPr>
    </w:p>
    <w:p w:rsidR="00B64E72" w14:paraId="140936DC" w14:textId="77777777">
      <w:pPr>
        <w:pStyle w:val="ListParagraph"/>
        <w:numPr>
          <w:ilvl w:val="2"/>
          <w:numId w:val="3"/>
        </w:numPr>
        <w:tabs>
          <w:tab w:val="left" w:pos="2234"/>
        </w:tabs>
        <w:spacing w:line="247" w:lineRule="auto"/>
        <w:ind w:right="1681"/>
        <w:rPr>
          <w:sz w:val="24"/>
          <w:u w:val="none"/>
        </w:rPr>
      </w:pPr>
      <w:bookmarkStart w:id="261" w:name="2._Notice_and_Consent_to_Waive_Balance_B"/>
      <w:bookmarkEnd w:id="261"/>
      <w:r>
        <w:rPr>
          <w:sz w:val="24"/>
        </w:rPr>
        <w:t>Notice</w:t>
      </w:r>
      <w:r>
        <w:rPr>
          <w:spacing w:val="-6"/>
          <w:sz w:val="24"/>
        </w:rPr>
        <w:t xml:space="preserve"> </w:t>
      </w:r>
      <w:r>
        <w:rPr>
          <w:sz w:val="24"/>
        </w:rPr>
        <w:t>and</w:t>
      </w:r>
      <w:r>
        <w:rPr>
          <w:spacing w:val="-4"/>
          <w:sz w:val="24"/>
        </w:rPr>
        <w:t xml:space="preserve"> </w:t>
      </w:r>
      <w:r>
        <w:rPr>
          <w:sz w:val="24"/>
        </w:rPr>
        <w:t>Consent</w:t>
      </w:r>
      <w:r>
        <w:rPr>
          <w:spacing w:val="-4"/>
          <w:sz w:val="24"/>
        </w:rPr>
        <w:t xml:space="preserve"> </w:t>
      </w:r>
      <w:r>
        <w:rPr>
          <w:sz w:val="24"/>
        </w:rPr>
        <w:t>to</w:t>
      </w:r>
      <w:r>
        <w:rPr>
          <w:spacing w:val="-4"/>
          <w:sz w:val="24"/>
        </w:rPr>
        <w:t xml:space="preserve"> </w:t>
      </w:r>
      <w:r>
        <w:rPr>
          <w:sz w:val="24"/>
        </w:rPr>
        <w:t>Waive</w:t>
      </w:r>
      <w:r>
        <w:rPr>
          <w:spacing w:val="-4"/>
          <w:sz w:val="24"/>
        </w:rPr>
        <w:t xml:space="preserve"> </w:t>
      </w:r>
      <w:r>
        <w:rPr>
          <w:sz w:val="24"/>
        </w:rPr>
        <w:t>Balance</w:t>
      </w:r>
      <w:r>
        <w:rPr>
          <w:spacing w:val="-5"/>
          <w:sz w:val="24"/>
        </w:rPr>
        <w:t xml:space="preserve"> </w:t>
      </w:r>
      <w:r>
        <w:rPr>
          <w:sz w:val="24"/>
        </w:rPr>
        <w:t>Billing</w:t>
      </w:r>
      <w:r>
        <w:rPr>
          <w:spacing w:val="-4"/>
          <w:sz w:val="24"/>
        </w:rPr>
        <w:t xml:space="preserve"> </w:t>
      </w:r>
      <w:r>
        <w:rPr>
          <w:sz w:val="24"/>
        </w:rPr>
        <w:t>Protections,</w:t>
      </w:r>
      <w:r>
        <w:rPr>
          <w:spacing w:val="-4"/>
          <w:sz w:val="24"/>
        </w:rPr>
        <w:t xml:space="preserve"> </w:t>
      </w:r>
      <w:r>
        <w:rPr>
          <w:sz w:val="24"/>
        </w:rPr>
        <w:t>Retention</w:t>
      </w:r>
      <w:r>
        <w:rPr>
          <w:spacing w:val="-4"/>
          <w:sz w:val="24"/>
        </w:rPr>
        <w:t xml:space="preserve"> </w:t>
      </w:r>
      <w:r>
        <w:rPr>
          <w:sz w:val="24"/>
        </w:rPr>
        <w:t>of</w:t>
      </w:r>
      <w:r>
        <w:rPr>
          <w:spacing w:val="-4"/>
          <w:sz w:val="24"/>
        </w:rPr>
        <w:t xml:space="preserve"> </w:t>
      </w:r>
      <w:r>
        <w:rPr>
          <w:sz w:val="24"/>
        </w:rPr>
        <w:t>Certain</w:t>
      </w:r>
      <w:r>
        <w:rPr>
          <w:sz w:val="24"/>
          <w:u w:val="none"/>
        </w:rPr>
        <w:t xml:space="preserve"> </w:t>
      </w:r>
      <w:r>
        <w:rPr>
          <w:sz w:val="24"/>
        </w:rPr>
        <w:t>Documents, and Notice to Plan or Issuer (45 CFR 149.410(b)-(e), 45 CFR</w:t>
      </w:r>
      <w:r>
        <w:rPr>
          <w:sz w:val="24"/>
          <w:u w:val="none"/>
        </w:rPr>
        <w:t xml:space="preserve"> </w:t>
      </w:r>
      <w:r>
        <w:rPr>
          <w:sz w:val="24"/>
        </w:rPr>
        <w:t>149.420(c) - (</w:t>
      </w:r>
      <w:r>
        <w:rPr>
          <w:sz w:val="24"/>
        </w:rPr>
        <w:t>i</w:t>
      </w:r>
      <w:r>
        <w:rPr>
          <w:sz w:val="24"/>
        </w:rPr>
        <w:t>))</w:t>
      </w:r>
    </w:p>
    <w:p w:rsidR="00B64E72" w14:paraId="408A5011" w14:textId="77777777">
      <w:pPr>
        <w:pStyle w:val="BodyText"/>
        <w:rPr>
          <w:sz w:val="20"/>
        </w:rPr>
      </w:pPr>
    </w:p>
    <w:p w:rsidR="00B64E72" w14:paraId="152E7438" w14:textId="77777777">
      <w:pPr>
        <w:pStyle w:val="BodyText"/>
        <w:rPr>
          <w:sz w:val="20"/>
        </w:rPr>
      </w:pPr>
    </w:p>
    <w:p w:rsidR="00B64E72" w14:paraId="322D4C3B" w14:textId="77777777">
      <w:pPr>
        <w:pStyle w:val="BodyText"/>
        <w:spacing w:before="97"/>
        <w:rPr>
          <w:sz w:val="20"/>
        </w:rPr>
      </w:pPr>
      <w:r>
        <w:rPr>
          <w:noProof/>
          <w:sz w:val="20"/>
        </w:rPr>
        <mc:AlternateContent>
          <mc:Choice Requires="wps">
            <w:drawing>
              <wp:anchor distT="0" distB="0" distL="0" distR="0" simplePos="0" relativeHeight="251686912" behindDoc="1" locked="0" layoutInCell="1" allowOverlap="1">
                <wp:simplePos x="0" y="0"/>
                <wp:positionH relativeFrom="page">
                  <wp:posOffset>914704</wp:posOffset>
                </wp:positionH>
                <wp:positionV relativeFrom="paragraph">
                  <wp:posOffset>223482</wp:posOffset>
                </wp:positionV>
                <wp:extent cx="1829435" cy="762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7620"/>
                        </a:xfrm>
                        <a:custGeom>
                          <a:avLst/>
                          <a:gdLst/>
                          <a:rect l="l" t="t" r="r" b="b"/>
                          <a:pathLst>
                            <a:path fill="norm" h="7620" w="1829435" stroke="1">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 o:spid="_x0000_s1038" style="width:144.05pt;height:0.6pt;margin-top:17.6pt;margin-left:1in;mso-position-horizontal-relative:page;mso-wrap-distance-bottom:0;mso-wrap-distance-left:0;mso-wrap-distance-right:0;mso-wrap-distance-top:0;mso-wrap-style:square;position:absolute;visibility:visible;v-text-anchor:top;z-index:-251628544" coordsize="1829435,7620" path="m1829054,l,,,7620l1829054,7620l1829054,xe" fillcolor="black" stroked="f">
                <v:path arrowok="t"/>
                <w10:wrap type="topAndBottom"/>
              </v:shape>
            </w:pict>
          </mc:Fallback>
        </mc:AlternateContent>
      </w:r>
    </w:p>
    <w:p w:rsidR="00B64E72" w14:paraId="0ED23CA4" w14:textId="77777777">
      <w:pPr>
        <w:spacing w:before="147"/>
        <w:ind w:left="1080" w:right="1112"/>
        <w:rPr>
          <w:sz w:val="20"/>
        </w:rPr>
      </w:pPr>
      <w:bookmarkStart w:id="262" w:name="26_According_to_data_from_the_National_T"/>
      <w:bookmarkStart w:id="263" w:name="_bookmark25"/>
      <w:bookmarkEnd w:id="262"/>
      <w:bookmarkEnd w:id="263"/>
      <w:r>
        <w:rPr>
          <w:sz w:val="20"/>
          <w:vertAlign w:val="superscript"/>
        </w:rPr>
        <w:t>26</w:t>
      </w:r>
      <w:r>
        <w:rPr>
          <w:sz w:val="20"/>
        </w:rPr>
        <w:t xml:space="preserve"> According to data from the National Telecommunications and Information Agency, 34 percent of households in </w:t>
      </w:r>
      <w:bookmarkStart w:id="264" w:name="https://www.ntia.doc.gov/blog/2020/more-"/>
      <w:bookmarkEnd w:id="264"/>
      <w:r>
        <w:rPr>
          <w:sz w:val="20"/>
        </w:rPr>
        <w:t>the</w:t>
      </w:r>
      <w:r>
        <w:rPr>
          <w:spacing w:val="-4"/>
          <w:sz w:val="20"/>
        </w:rPr>
        <w:t xml:space="preserve"> </w:t>
      </w:r>
      <w:r>
        <w:rPr>
          <w:sz w:val="20"/>
        </w:rPr>
        <w:t>United</w:t>
      </w:r>
      <w:r>
        <w:rPr>
          <w:spacing w:val="-3"/>
          <w:sz w:val="20"/>
        </w:rPr>
        <w:t xml:space="preserve"> </w:t>
      </w:r>
      <w:r>
        <w:rPr>
          <w:sz w:val="20"/>
        </w:rPr>
        <w:t>States</w:t>
      </w:r>
      <w:r>
        <w:rPr>
          <w:spacing w:val="-4"/>
          <w:sz w:val="20"/>
        </w:rPr>
        <w:t xml:space="preserve"> </w:t>
      </w:r>
      <w:r>
        <w:rPr>
          <w:sz w:val="20"/>
        </w:rPr>
        <w:t>accessed</w:t>
      </w:r>
      <w:r>
        <w:rPr>
          <w:spacing w:val="-3"/>
          <w:sz w:val="20"/>
        </w:rPr>
        <w:t xml:space="preserve"> </w:t>
      </w:r>
      <w:r>
        <w:rPr>
          <w:sz w:val="20"/>
        </w:rPr>
        <w:t>health</w:t>
      </w:r>
      <w:r>
        <w:rPr>
          <w:spacing w:val="-4"/>
          <w:sz w:val="20"/>
        </w:rPr>
        <w:t xml:space="preserve"> </w:t>
      </w:r>
      <w:r>
        <w:rPr>
          <w:sz w:val="20"/>
        </w:rPr>
        <w:t>records</w:t>
      </w:r>
      <w:r>
        <w:rPr>
          <w:spacing w:val="-5"/>
          <w:sz w:val="20"/>
        </w:rPr>
        <w:t xml:space="preserve"> </w:t>
      </w:r>
      <w:r>
        <w:rPr>
          <w:sz w:val="20"/>
        </w:rPr>
        <w:t>or</w:t>
      </w:r>
      <w:r>
        <w:rPr>
          <w:spacing w:val="-4"/>
          <w:sz w:val="20"/>
        </w:rPr>
        <w:t xml:space="preserve"> </w:t>
      </w:r>
      <w:r>
        <w:rPr>
          <w:sz w:val="20"/>
        </w:rPr>
        <w:t>health</w:t>
      </w:r>
      <w:r>
        <w:rPr>
          <w:spacing w:val="-4"/>
          <w:sz w:val="20"/>
        </w:rPr>
        <w:t xml:space="preserve"> </w:t>
      </w:r>
      <w:r>
        <w:rPr>
          <w:sz w:val="20"/>
        </w:rPr>
        <w:t>insurance</w:t>
      </w:r>
      <w:r>
        <w:rPr>
          <w:spacing w:val="-6"/>
          <w:sz w:val="20"/>
        </w:rPr>
        <w:t xml:space="preserve"> </w:t>
      </w:r>
      <w:r>
        <w:rPr>
          <w:sz w:val="20"/>
        </w:rPr>
        <w:t xml:space="preserve">online. </w:t>
      </w:r>
      <w:hyperlink r:id="rId22">
        <w:r>
          <w:rPr>
            <w:color w:val="0462C1"/>
            <w:sz w:val="20"/>
            <w:u w:val="single" w:color="0462C1"/>
          </w:rPr>
          <w:t>https://www.ntia.doc.gov/blog/2020/more-half-</w:t>
        </w:r>
      </w:hyperlink>
      <w:r>
        <w:rPr>
          <w:color w:val="0462C1"/>
          <w:sz w:val="20"/>
        </w:rPr>
        <w:t xml:space="preserve"> </w:t>
      </w:r>
      <w:hyperlink r:id="rId22">
        <w:r>
          <w:rPr>
            <w:color w:val="0462C1"/>
            <w:spacing w:val="-2"/>
            <w:sz w:val="20"/>
            <w:u w:val="single" w:color="0462C1"/>
          </w:rPr>
          <w:t>american-households-used-internet-health-related-activities-2019-ntia-data-show</w:t>
        </w:r>
        <w:r>
          <w:rPr>
            <w:spacing w:val="-2"/>
            <w:sz w:val="20"/>
          </w:rPr>
          <w:t>.</w:t>
        </w:r>
      </w:hyperlink>
    </w:p>
    <w:p w:rsidR="00B64E72" w14:paraId="326D24D0" w14:textId="77777777">
      <w:pPr>
        <w:rPr>
          <w:sz w:val="20"/>
        </w:rPr>
        <w:sectPr>
          <w:pgSz w:w="12240" w:h="15840"/>
          <w:pgMar w:top="1360" w:right="360" w:bottom="1280" w:left="360" w:header="0" w:footer="1094" w:gutter="0"/>
          <w:cols w:space="720"/>
        </w:sectPr>
      </w:pPr>
    </w:p>
    <w:p w:rsidR="00B64E72" w14:paraId="202A131C" w14:textId="77777777">
      <w:pPr>
        <w:pStyle w:val="BodyText"/>
        <w:spacing w:before="79" w:line="247" w:lineRule="auto"/>
        <w:ind w:left="1810" w:right="1189" w:hanging="10"/>
      </w:pPr>
      <w:r>
        <w:t>In order to meet the notice and consent requirements of 45 CFR 149.420 with respect to post-stabilization services, when such services are provided by nonparticipating providers or emergency facilities, the provider or facility must provide the participant, beneficiary, or enrollee with a notice and obtain consent to be treated by the nonparticipating emergency facility or provider. HHS estimates there are approximately 5,533 emergency departments (including hospital-affiliated satellite and independent fre</w:t>
      </w:r>
      <w:r>
        <w:t>estanding emergency departments) that could be subject to the notice and consent requirements</w:t>
      </w:r>
      <w:r>
        <w:rPr>
          <w:spacing w:val="-3"/>
        </w:rPr>
        <w:t xml:space="preserve"> </w:t>
      </w:r>
      <w:r>
        <w:t>in</w:t>
      </w:r>
      <w:r>
        <w:rPr>
          <w:spacing w:val="-3"/>
        </w:rPr>
        <w:t xml:space="preserve"> </w:t>
      </w:r>
      <w:r>
        <w:t>the</w:t>
      </w:r>
      <w:r>
        <w:rPr>
          <w:spacing w:val="-3"/>
        </w:rPr>
        <w:t xml:space="preserve"> </w:t>
      </w:r>
      <w:r>
        <w:t>July 2021</w:t>
      </w:r>
      <w:r>
        <w:rPr>
          <w:spacing w:val="-3"/>
        </w:rPr>
        <w:t xml:space="preserve"> </w:t>
      </w:r>
      <w:r>
        <w:t>interim</w:t>
      </w:r>
      <w:r>
        <w:rPr>
          <w:spacing w:val="-3"/>
        </w:rPr>
        <w:t xml:space="preserve"> </w:t>
      </w:r>
      <w:r>
        <w:t>final</w:t>
      </w:r>
      <w:r>
        <w:rPr>
          <w:spacing w:val="-2"/>
        </w:rPr>
        <w:t xml:space="preserve"> </w:t>
      </w:r>
      <w:r>
        <w:t>rules</w:t>
      </w:r>
      <w:r>
        <w:rPr>
          <w:spacing w:val="-3"/>
        </w:rPr>
        <w:t xml:space="preserve"> </w:t>
      </w:r>
      <w:r>
        <w:t>and</w:t>
      </w:r>
      <w:r>
        <w:rPr>
          <w:spacing w:val="-3"/>
        </w:rPr>
        <w:t xml:space="preserve"> </w:t>
      </w:r>
      <w:r>
        <w:t>will</w:t>
      </w:r>
      <w:r>
        <w:rPr>
          <w:spacing w:val="-3"/>
        </w:rPr>
        <w:t xml:space="preserve"> </w:t>
      </w:r>
      <w:r>
        <w:t>incur</w:t>
      </w:r>
      <w:r>
        <w:rPr>
          <w:spacing w:val="-5"/>
        </w:rPr>
        <w:t xml:space="preserve"> </w:t>
      </w:r>
      <w:r>
        <w:t>ongoing</w:t>
      </w:r>
      <w:r>
        <w:rPr>
          <w:spacing w:val="-3"/>
        </w:rPr>
        <w:t xml:space="preserve"> </w:t>
      </w:r>
      <w:r>
        <w:t>annual</w:t>
      </w:r>
      <w:r>
        <w:rPr>
          <w:spacing w:val="-3"/>
        </w:rPr>
        <w:t xml:space="preserve"> </w:t>
      </w:r>
      <w:r>
        <w:t>costs</w:t>
      </w:r>
      <w:r>
        <w:rPr>
          <w:spacing w:val="-3"/>
        </w:rPr>
        <w:t xml:space="preserve"> </w:t>
      </w:r>
      <w:r>
        <w:t>and burdens. HHS estimates that approximately 663,436 individuals will be provided with a notice and consent document for post-stabilization services. HHS assumes that these documents will be provided directly to each affected individual (or authorized representative) in paper format and will be approximately 4 pages (2 pages printed double-si</w:t>
      </w:r>
      <w:r>
        <w:t>ded) on average. Assuming a cost of $0.10 (at $0.05 per page for printing and material</w:t>
      </w:r>
      <w:r>
        <w:rPr>
          <w:spacing w:val="-3"/>
        </w:rPr>
        <w:t xml:space="preserve"> </w:t>
      </w:r>
      <w:r>
        <w:t>cost</w:t>
      </w:r>
      <w:r>
        <w:rPr>
          <w:spacing w:val="-3"/>
        </w:rPr>
        <w:t xml:space="preserve"> </w:t>
      </w:r>
      <w:r>
        <w:t>for</w:t>
      </w:r>
      <w:r>
        <w:rPr>
          <w:spacing w:val="-3"/>
        </w:rPr>
        <w:t xml:space="preserve"> </w:t>
      </w:r>
      <w:r>
        <w:t>each</w:t>
      </w:r>
      <w:r>
        <w:rPr>
          <w:spacing w:val="-1"/>
        </w:rPr>
        <w:t xml:space="preserve"> </w:t>
      </w:r>
      <w:r>
        <w:t>notice</w:t>
      </w:r>
      <w:r>
        <w:rPr>
          <w:spacing w:val="-4"/>
        </w:rPr>
        <w:t xml:space="preserve"> </w:t>
      </w:r>
      <w:r>
        <w:t>and</w:t>
      </w:r>
      <w:r>
        <w:rPr>
          <w:spacing w:val="-3"/>
        </w:rPr>
        <w:t xml:space="preserve"> </w:t>
      </w:r>
      <w:r>
        <w:t>consent</w:t>
      </w:r>
      <w:r>
        <w:rPr>
          <w:spacing w:val="-3"/>
        </w:rPr>
        <w:t xml:space="preserve"> </w:t>
      </w:r>
      <w:r>
        <w:t>document),</w:t>
      </w:r>
      <w:r>
        <w:rPr>
          <w:spacing w:val="-3"/>
        </w:rPr>
        <w:t xml:space="preserve"> </w:t>
      </w:r>
      <w:r>
        <w:t>the</w:t>
      </w:r>
      <w:r>
        <w:rPr>
          <w:spacing w:val="-3"/>
        </w:rPr>
        <w:t xml:space="preserve"> </w:t>
      </w:r>
      <w:r>
        <w:t>total</w:t>
      </w:r>
      <w:r>
        <w:rPr>
          <w:spacing w:val="-3"/>
        </w:rPr>
        <w:t xml:space="preserve"> </w:t>
      </w:r>
      <w:r>
        <w:t>printing</w:t>
      </w:r>
      <w:r>
        <w:rPr>
          <w:spacing w:val="-3"/>
        </w:rPr>
        <w:t xml:space="preserve"> </w:t>
      </w:r>
      <w:r>
        <w:t>and</w:t>
      </w:r>
      <w:r>
        <w:rPr>
          <w:spacing w:val="-3"/>
        </w:rPr>
        <w:t xml:space="preserve"> </w:t>
      </w:r>
      <w:r>
        <w:t>material</w:t>
      </w:r>
      <w:r>
        <w:rPr>
          <w:spacing w:val="-3"/>
        </w:rPr>
        <w:t xml:space="preserve"> </w:t>
      </w:r>
      <w:r>
        <w:t>costs for all notices will be approximately $66,344 annually.</w:t>
      </w:r>
    </w:p>
    <w:p w:rsidR="00B64E72" w14:paraId="092BE0F5" w14:textId="77777777">
      <w:pPr>
        <w:pStyle w:val="BodyText"/>
        <w:spacing w:before="30"/>
      </w:pPr>
    </w:p>
    <w:p w:rsidR="00B64E72" w14:paraId="7361CAED" w14:textId="77777777">
      <w:pPr>
        <w:pStyle w:val="BodyText"/>
        <w:spacing w:before="1" w:line="247" w:lineRule="auto"/>
        <w:ind w:left="1810" w:right="1106" w:hanging="10"/>
      </w:pPr>
      <w:bookmarkStart w:id="265" w:name="In_order_to_meet_the_notice_and_consent_"/>
      <w:bookmarkEnd w:id="265"/>
      <w:r>
        <w:t>In order to meet the notice and consent requirements of 45 CFR 149.420 with respect to non-emergency services furnished by a nonparticipating provider with respect to a</w:t>
      </w:r>
      <w:r>
        <w:rPr>
          <w:spacing w:val="40"/>
        </w:rPr>
        <w:t xml:space="preserve"> </w:t>
      </w:r>
      <w:r>
        <w:t>patient</w:t>
      </w:r>
      <w:r>
        <w:rPr>
          <w:spacing w:val="-3"/>
        </w:rPr>
        <w:t xml:space="preserve"> </w:t>
      </w:r>
      <w:r>
        <w:t>visit</w:t>
      </w:r>
      <w:r>
        <w:rPr>
          <w:spacing w:val="-2"/>
        </w:rPr>
        <w:t xml:space="preserve"> </w:t>
      </w:r>
      <w:r>
        <w:t>at</w:t>
      </w:r>
      <w:r>
        <w:rPr>
          <w:spacing w:val="-3"/>
        </w:rPr>
        <w:t xml:space="preserve"> </w:t>
      </w:r>
      <w:r>
        <w:t>a</w:t>
      </w:r>
      <w:r>
        <w:rPr>
          <w:spacing w:val="-3"/>
        </w:rPr>
        <w:t xml:space="preserve"> </w:t>
      </w:r>
      <w:r>
        <w:t>participating</w:t>
      </w:r>
      <w:r>
        <w:rPr>
          <w:spacing w:val="-3"/>
        </w:rPr>
        <w:t xml:space="preserve"> </w:t>
      </w:r>
      <w:r>
        <w:t>health</w:t>
      </w:r>
      <w:r>
        <w:rPr>
          <w:spacing w:val="-3"/>
        </w:rPr>
        <w:t xml:space="preserve"> </w:t>
      </w:r>
      <w:r>
        <w:t>care</w:t>
      </w:r>
      <w:r>
        <w:rPr>
          <w:spacing w:val="-3"/>
        </w:rPr>
        <w:t xml:space="preserve"> </w:t>
      </w:r>
      <w:r>
        <w:t>facility,</w:t>
      </w:r>
      <w:r>
        <w:rPr>
          <w:spacing w:val="-3"/>
        </w:rPr>
        <w:t xml:space="preserve"> </w:t>
      </w:r>
      <w:r>
        <w:t>the</w:t>
      </w:r>
      <w:r>
        <w:rPr>
          <w:spacing w:val="-3"/>
        </w:rPr>
        <w:t xml:space="preserve"> </w:t>
      </w:r>
      <w:r>
        <w:t>provider</w:t>
      </w:r>
      <w:r>
        <w:rPr>
          <w:spacing w:val="-5"/>
        </w:rPr>
        <w:t xml:space="preserve"> </w:t>
      </w:r>
      <w:r>
        <w:t>or</w:t>
      </w:r>
      <w:r>
        <w:rPr>
          <w:spacing w:val="-2"/>
        </w:rPr>
        <w:t xml:space="preserve"> </w:t>
      </w:r>
      <w:r>
        <w:t>facility</w:t>
      </w:r>
      <w:r>
        <w:rPr>
          <w:spacing w:val="-3"/>
        </w:rPr>
        <w:t xml:space="preserve"> </w:t>
      </w:r>
      <w:r>
        <w:t>must</w:t>
      </w:r>
      <w:r>
        <w:rPr>
          <w:spacing w:val="-3"/>
        </w:rPr>
        <w:t xml:space="preserve"> </w:t>
      </w:r>
      <w:r>
        <w:t>provide</w:t>
      </w:r>
      <w:r>
        <w:rPr>
          <w:spacing w:val="-3"/>
        </w:rPr>
        <w:t xml:space="preserve"> </w:t>
      </w:r>
      <w:r>
        <w:t>the notice to the individual, or their authorized representative. HHS estimates there are approximately 16,722 health care facilities that will provide approximately 1,777,129 notices. HHS estimates that approximately 66 percent of the notices will be mailed to individuals (34 percent sent electronically) at a cost of $0.83 ($0.10 for printing and material</w:t>
      </w:r>
      <w:r>
        <w:rPr>
          <w:spacing w:val="-4"/>
        </w:rPr>
        <w:t xml:space="preserve"> </w:t>
      </w:r>
      <w:r>
        <w:t>cost</w:t>
      </w:r>
      <w:r>
        <w:rPr>
          <w:spacing w:val="-4"/>
        </w:rPr>
        <w:t xml:space="preserve"> </w:t>
      </w:r>
      <w:r>
        <w:t>and</w:t>
      </w:r>
      <w:r>
        <w:rPr>
          <w:spacing w:val="-4"/>
        </w:rPr>
        <w:t xml:space="preserve"> </w:t>
      </w:r>
      <w:r>
        <w:t>$0.73</w:t>
      </w:r>
      <w:r>
        <w:rPr>
          <w:spacing w:val="-4"/>
        </w:rPr>
        <w:t xml:space="preserve"> </w:t>
      </w:r>
      <w:r>
        <w:t>postage).</w:t>
      </w:r>
      <w:r>
        <w:rPr>
          <w:spacing w:val="-4"/>
        </w:rPr>
        <w:t xml:space="preserve"> </w:t>
      </w:r>
      <w:r>
        <w:t>Assuming</w:t>
      </w:r>
      <w:r>
        <w:rPr>
          <w:spacing w:val="-4"/>
        </w:rPr>
        <w:t xml:space="preserve"> </w:t>
      </w:r>
      <w:r>
        <w:t>minimal</w:t>
      </w:r>
      <w:r>
        <w:rPr>
          <w:spacing w:val="-4"/>
        </w:rPr>
        <w:t xml:space="preserve"> </w:t>
      </w:r>
      <w:r>
        <w:t>cost</w:t>
      </w:r>
      <w:r>
        <w:rPr>
          <w:spacing w:val="-4"/>
        </w:rPr>
        <w:t xml:space="preserve"> </w:t>
      </w:r>
      <w:r>
        <w:t>for</w:t>
      </w:r>
      <w:r>
        <w:rPr>
          <w:spacing w:val="-5"/>
        </w:rPr>
        <w:t xml:space="preserve"> </w:t>
      </w:r>
      <w:r>
        <w:t>electronic</w:t>
      </w:r>
      <w:r>
        <w:rPr>
          <w:spacing w:val="-5"/>
        </w:rPr>
        <w:t xml:space="preserve"> </w:t>
      </w:r>
      <w:r>
        <w:t>delivery,</w:t>
      </w:r>
      <w:r>
        <w:rPr>
          <w:spacing w:val="-4"/>
        </w:rPr>
        <w:t xml:space="preserve"> </w:t>
      </w:r>
      <w:r>
        <w:t>the</w:t>
      </w:r>
      <w:r>
        <w:rPr>
          <w:spacing w:val="-5"/>
        </w:rPr>
        <w:t xml:space="preserve"> </w:t>
      </w:r>
      <w:r>
        <w:t>total cost of printing and mailing the notice and consent docume</w:t>
      </w:r>
      <w:r>
        <w:t>nts will be approximately</w:t>
      </w:r>
    </w:p>
    <w:p w:rsidR="00B64E72" w14:paraId="09B2E195" w14:textId="77777777">
      <w:pPr>
        <w:pStyle w:val="BodyText"/>
        <w:spacing w:before="7"/>
        <w:ind w:left="1810"/>
      </w:pPr>
      <w:r>
        <w:t xml:space="preserve">$973,511 </w:t>
      </w:r>
      <w:r>
        <w:rPr>
          <w:spacing w:val="-2"/>
        </w:rPr>
        <w:t>annually.</w:t>
      </w:r>
    </w:p>
    <w:p w:rsidR="00B64E72" w14:paraId="2E84D1CB" w14:textId="77777777">
      <w:pPr>
        <w:pStyle w:val="BodyText"/>
        <w:spacing w:before="24"/>
      </w:pPr>
    </w:p>
    <w:p w:rsidR="00B64E72" w14:paraId="38712938" w14:textId="77777777">
      <w:pPr>
        <w:pStyle w:val="BodyText"/>
        <w:spacing w:line="247" w:lineRule="auto"/>
        <w:ind w:left="1810" w:right="1369" w:hanging="10"/>
      </w:pPr>
      <w:bookmarkStart w:id="266" w:name="The_total_annual_printing_and_materials_"/>
      <w:bookmarkEnd w:id="266"/>
      <w:r>
        <w:t>The</w:t>
      </w:r>
      <w:r>
        <w:rPr>
          <w:spacing w:val="-5"/>
        </w:rPr>
        <w:t xml:space="preserve"> </w:t>
      </w:r>
      <w:r>
        <w:t>total</w:t>
      </w:r>
      <w:r>
        <w:rPr>
          <w:spacing w:val="-4"/>
        </w:rPr>
        <w:t xml:space="preserve"> </w:t>
      </w:r>
      <w:r>
        <w:t>annual</w:t>
      </w:r>
      <w:r>
        <w:rPr>
          <w:spacing w:val="-4"/>
        </w:rPr>
        <w:t xml:space="preserve"> </w:t>
      </w:r>
      <w:r>
        <w:t>printing</w:t>
      </w:r>
      <w:r>
        <w:rPr>
          <w:spacing w:val="-4"/>
        </w:rPr>
        <w:t xml:space="preserve"> </w:t>
      </w:r>
      <w:r>
        <w:t>and</w:t>
      </w:r>
      <w:r>
        <w:rPr>
          <w:spacing w:val="-4"/>
        </w:rPr>
        <w:t xml:space="preserve"> </w:t>
      </w:r>
      <w:r>
        <w:t>materials</w:t>
      </w:r>
      <w:r>
        <w:rPr>
          <w:spacing w:val="-4"/>
        </w:rPr>
        <w:t xml:space="preserve"> </w:t>
      </w:r>
      <w:r>
        <w:t>cost</w:t>
      </w:r>
      <w:r>
        <w:rPr>
          <w:spacing w:val="-4"/>
        </w:rPr>
        <w:t xml:space="preserve"> </w:t>
      </w:r>
      <w:r>
        <w:t>for</w:t>
      </w:r>
      <w:r>
        <w:rPr>
          <w:spacing w:val="-4"/>
        </w:rPr>
        <w:t xml:space="preserve"> </w:t>
      </w:r>
      <w:r>
        <w:t>all</w:t>
      </w:r>
      <w:r>
        <w:rPr>
          <w:spacing w:val="-2"/>
        </w:rPr>
        <w:t xml:space="preserve"> </w:t>
      </w:r>
      <w:r>
        <w:t>health</w:t>
      </w:r>
      <w:r>
        <w:rPr>
          <w:spacing w:val="-4"/>
        </w:rPr>
        <w:t xml:space="preserve"> </w:t>
      </w:r>
      <w:r>
        <w:t>care</w:t>
      </w:r>
      <w:r>
        <w:rPr>
          <w:spacing w:val="-4"/>
        </w:rPr>
        <w:t xml:space="preserve"> </w:t>
      </w:r>
      <w:r>
        <w:t>facilities</w:t>
      </w:r>
      <w:r>
        <w:rPr>
          <w:spacing w:val="-4"/>
        </w:rPr>
        <w:t xml:space="preserve"> </w:t>
      </w:r>
      <w:r>
        <w:t>will</w:t>
      </w:r>
      <w:r>
        <w:rPr>
          <w:spacing w:val="-4"/>
        </w:rPr>
        <w:t xml:space="preserve"> </w:t>
      </w:r>
      <w:r>
        <w:t>be approximately $1,039,855.</w:t>
      </w:r>
    </w:p>
    <w:p w:rsidR="00B64E72" w14:paraId="68472654" w14:textId="77777777">
      <w:pPr>
        <w:pStyle w:val="BodyText"/>
        <w:spacing w:before="53"/>
      </w:pPr>
    </w:p>
    <w:p w:rsidR="00B64E72" w14:paraId="0C964E51" w14:textId="77777777">
      <w:pPr>
        <w:pStyle w:val="Heading1"/>
        <w:spacing w:line="247" w:lineRule="auto"/>
        <w:ind w:right="1099"/>
      </w:pPr>
      <w:bookmarkStart w:id="267" w:name="TABLE_10:_Annual_Costs_for_Emergency_Dep"/>
      <w:bookmarkEnd w:id="267"/>
      <w:r>
        <w:t>TABLE</w:t>
      </w:r>
      <w:r>
        <w:rPr>
          <w:spacing w:val="-3"/>
        </w:rPr>
        <w:t xml:space="preserve"> </w:t>
      </w:r>
      <w:r>
        <w:t>10:</w:t>
      </w:r>
      <w:r>
        <w:rPr>
          <w:spacing w:val="-4"/>
        </w:rPr>
        <w:t xml:space="preserve"> </w:t>
      </w:r>
      <w:r>
        <w:t>Annual</w:t>
      </w:r>
      <w:r>
        <w:rPr>
          <w:spacing w:val="-4"/>
        </w:rPr>
        <w:t xml:space="preserve"> </w:t>
      </w:r>
      <w:r>
        <w:t>Costs</w:t>
      </w:r>
      <w:r>
        <w:rPr>
          <w:spacing w:val="-4"/>
        </w:rPr>
        <w:t xml:space="preserve"> </w:t>
      </w:r>
      <w:r>
        <w:t>for</w:t>
      </w:r>
      <w:r>
        <w:rPr>
          <w:spacing w:val="-5"/>
        </w:rPr>
        <w:t xml:space="preserve"> </w:t>
      </w:r>
      <w:r>
        <w:t>Emergency</w:t>
      </w:r>
      <w:r>
        <w:rPr>
          <w:spacing w:val="-4"/>
        </w:rPr>
        <w:t xml:space="preserve"> </w:t>
      </w:r>
      <w:r>
        <w:t>Departments</w:t>
      </w:r>
      <w:r>
        <w:rPr>
          <w:spacing w:val="-4"/>
        </w:rPr>
        <w:t xml:space="preserve"> </w:t>
      </w:r>
      <w:r>
        <w:t>and</w:t>
      </w:r>
      <w:r>
        <w:rPr>
          <w:spacing w:val="-3"/>
        </w:rPr>
        <w:t xml:space="preserve"> </w:t>
      </w:r>
      <w:r>
        <w:t>Facilities</w:t>
      </w:r>
      <w:r>
        <w:rPr>
          <w:spacing w:val="-4"/>
        </w:rPr>
        <w:t xml:space="preserve"> </w:t>
      </w:r>
      <w:r>
        <w:t>Related</w:t>
      </w:r>
      <w:r>
        <w:rPr>
          <w:spacing w:val="-4"/>
        </w:rPr>
        <w:t xml:space="preserve"> </w:t>
      </w:r>
      <w:r>
        <w:t>to</w:t>
      </w:r>
      <w:r>
        <w:rPr>
          <w:spacing w:val="-4"/>
        </w:rPr>
        <w:t xml:space="preserve"> </w:t>
      </w:r>
      <w:r>
        <w:t>Notice and Consent</w:t>
      </w:r>
    </w:p>
    <w:p w:rsidR="00B64E72" w14:paraId="7D473F2E" w14:textId="77777777">
      <w:pPr>
        <w:pStyle w:val="BodyText"/>
        <w:spacing w:before="71" w:after="1"/>
        <w:rPr>
          <w:b/>
          <w:sz w:val="20"/>
        </w:rPr>
      </w:pPr>
    </w:p>
    <w:tbl>
      <w:tblPr>
        <w:tblW w:w="0" w:type="auto"/>
        <w:tblInd w:w="3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7"/>
        <w:gridCol w:w="1800"/>
        <w:gridCol w:w="1792"/>
      </w:tblGrid>
      <w:tr w14:paraId="70BB021A" w14:textId="77777777">
        <w:tblPrEx>
          <w:tblW w:w="0" w:type="auto"/>
          <w:tblInd w:w="3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0"/>
        </w:trPr>
        <w:tc>
          <w:tcPr>
            <w:tcW w:w="1707" w:type="dxa"/>
          </w:tcPr>
          <w:p w:rsidR="00B64E72" w14:paraId="314FCC09" w14:textId="77777777">
            <w:pPr>
              <w:pStyle w:val="TableParagraph"/>
              <w:spacing w:before="89"/>
              <w:ind w:left="338" w:right="334" w:firstLine="108"/>
              <w:jc w:val="both"/>
              <w:rPr>
                <w:sz w:val="20"/>
              </w:rPr>
            </w:pPr>
            <w:r>
              <w:rPr>
                <w:spacing w:val="-2"/>
                <w:sz w:val="20"/>
              </w:rPr>
              <w:t xml:space="preserve">Estimated </w:t>
            </w:r>
            <w:r>
              <w:rPr>
                <w:sz w:val="20"/>
              </w:rPr>
              <w:t xml:space="preserve">Number of </w:t>
            </w:r>
            <w:r>
              <w:rPr>
                <w:spacing w:val="-2"/>
                <w:sz w:val="20"/>
              </w:rPr>
              <w:t>Respondents</w:t>
            </w:r>
          </w:p>
        </w:tc>
        <w:tc>
          <w:tcPr>
            <w:tcW w:w="1800" w:type="dxa"/>
          </w:tcPr>
          <w:p w:rsidR="00B64E72" w14:paraId="5D5346B7" w14:textId="77777777">
            <w:pPr>
              <w:pStyle w:val="TableParagraph"/>
              <w:spacing w:before="204"/>
              <w:ind w:left="364" w:right="141" w:hanging="228"/>
              <w:rPr>
                <w:sz w:val="20"/>
              </w:rPr>
            </w:pPr>
            <w:r>
              <w:rPr>
                <w:sz w:val="20"/>
              </w:rPr>
              <w:t>Estimated</w:t>
            </w:r>
            <w:r>
              <w:rPr>
                <w:spacing w:val="-13"/>
                <w:sz w:val="20"/>
              </w:rPr>
              <w:t xml:space="preserve"> </w:t>
            </w:r>
            <w:r>
              <w:rPr>
                <w:sz w:val="20"/>
              </w:rPr>
              <w:t>Number of Responses</w:t>
            </w:r>
          </w:p>
        </w:tc>
        <w:tc>
          <w:tcPr>
            <w:tcW w:w="1792" w:type="dxa"/>
          </w:tcPr>
          <w:p w:rsidR="00B64E72" w14:paraId="5ECCC554" w14:textId="77777777">
            <w:pPr>
              <w:pStyle w:val="TableParagraph"/>
              <w:spacing w:before="89"/>
              <w:ind w:left="38" w:right="45"/>
              <w:jc w:val="center"/>
              <w:rPr>
                <w:sz w:val="20"/>
              </w:rPr>
            </w:pPr>
            <w:r>
              <w:rPr>
                <w:sz w:val="20"/>
              </w:rPr>
              <w:t>Total</w:t>
            </w:r>
            <w:r>
              <w:rPr>
                <w:spacing w:val="-13"/>
                <w:sz w:val="20"/>
              </w:rPr>
              <w:t xml:space="preserve"> </w:t>
            </w:r>
            <w:r>
              <w:rPr>
                <w:sz w:val="20"/>
              </w:rPr>
              <w:t>Estimated Printing and Materials Cost</w:t>
            </w:r>
          </w:p>
        </w:tc>
      </w:tr>
      <w:tr w14:paraId="09B470B0" w14:textId="77777777">
        <w:tblPrEx>
          <w:tblW w:w="0" w:type="auto"/>
          <w:tblInd w:w="3116" w:type="dxa"/>
          <w:tblLayout w:type="fixed"/>
          <w:tblCellMar>
            <w:left w:w="0" w:type="dxa"/>
            <w:right w:w="0" w:type="dxa"/>
          </w:tblCellMar>
          <w:tblLook w:val="01E0"/>
        </w:tblPrEx>
        <w:trPr>
          <w:trHeight w:val="290"/>
        </w:trPr>
        <w:tc>
          <w:tcPr>
            <w:tcW w:w="1707" w:type="dxa"/>
          </w:tcPr>
          <w:p w:rsidR="00B64E72" w14:paraId="514C9070" w14:textId="77777777">
            <w:pPr>
              <w:pStyle w:val="TableParagraph"/>
              <w:spacing w:before="29"/>
              <w:ind w:right="1"/>
              <w:jc w:val="center"/>
              <w:rPr>
                <w:sz w:val="20"/>
              </w:rPr>
            </w:pPr>
            <w:r>
              <w:rPr>
                <w:spacing w:val="-2"/>
                <w:sz w:val="20"/>
              </w:rPr>
              <w:t>17,467</w:t>
            </w:r>
          </w:p>
        </w:tc>
        <w:tc>
          <w:tcPr>
            <w:tcW w:w="1800" w:type="dxa"/>
          </w:tcPr>
          <w:p w:rsidR="00B64E72" w14:paraId="014DEF3C" w14:textId="77777777">
            <w:pPr>
              <w:pStyle w:val="TableParagraph"/>
              <w:spacing w:before="29"/>
              <w:ind w:left="489"/>
              <w:rPr>
                <w:sz w:val="20"/>
              </w:rPr>
            </w:pPr>
            <w:r>
              <w:rPr>
                <w:spacing w:val="-2"/>
                <w:sz w:val="20"/>
              </w:rPr>
              <w:t>2,440,565</w:t>
            </w:r>
          </w:p>
        </w:tc>
        <w:tc>
          <w:tcPr>
            <w:tcW w:w="1792" w:type="dxa"/>
          </w:tcPr>
          <w:p w:rsidR="00B64E72" w14:paraId="25DF7C68" w14:textId="77777777">
            <w:pPr>
              <w:pStyle w:val="TableParagraph"/>
              <w:spacing w:before="29"/>
              <w:ind w:left="437"/>
              <w:rPr>
                <w:sz w:val="20"/>
              </w:rPr>
            </w:pPr>
            <w:r>
              <w:rPr>
                <w:spacing w:val="-2"/>
                <w:sz w:val="20"/>
              </w:rPr>
              <w:t>$1,039,855</w:t>
            </w:r>
          </w:p>
        </w:tc>
      </w:tr>
    </w:tbl>
    <w:p w:rsidR="00B64E72" w14:paraId="6A53B2D0" w14:textId="77777777">
      <w:pPr>
        <w:pStyle w:val="BodyText"/>
        <w:spacing w:before="62"/>
        <w:rPr>
          <w:b/>
        </w:rPr>
      </w:pPr>
    </w:p>
    <w:p w:rsidR="00B64E72" w14:paraId="27FFD7D4" w14:textId="77777777">
      <w:pPr>
        <w:pStyle w:val="ListParagraph"/>
        <w:numPr>
          <w:ilvl w:val="2"/>
          <w:numId w:val="3"/>
        </w:numPr>
        <w:tabs>
          <w:tab w:val="left" w:pos="2234"/>
        </w:tabs>
        <w:spacing w:line="247" w:lineRule="auto"/>
        <w:ind w:right="1948"/>
        <w:rPr>
          <w:sz w:val="24"/>
          <w:u w:val="none"/>
        </w:rPr>
      </w:pPr>
      <w:bookmarkStart w:id="268" w:name="3._Provider_Disclosure_on_Patient_Protec"/>
      <w:bookmarkEnd w:id="268"/>
      <w:r>
        <w:rPr>
          <w:sz w:val="24"/>
        </w:rPr>
        <w:t>Provider</w:t>
      </w:r>
      <w:r>
        <w:rPr>
          <w:spacing w:val="-5"/>
          <w:sz w:val="24"/>
        </w:rPr>
        <w:t xml:space="preserve"> </w:t>
      </w:r>
      <w:r>
        <w:rPr>
          <w:sz w:val="24"/>
        </w:rPr>
        <w:t>Disclosure</w:t>
      </w:r>
      <w:r>
        <w:rPr>
          <w:spacing w:val="-7"/>
          <w:sz w:val="24"/>
        </w:rPr>
        <w:t xml:space="preserve"> </w:t>
      </w:r>
      <w:r>
        <w:rPr>
          <w:sz w:val="24"/>
        </w:rPr>
        <w:t>on</w:t>
      </w:r>
      <w:r>
        <w:rPr>
          <w:spacing w:val="-5"/>
          <w:sz w:val="24"/>
        </w:rPr>
        <w:t xml:space="preserve"> </w:t>
      </w:r>
      <w:r>
        <w:rPr>
          <w:sz w:val="24"/>
        </w:rPr>
        <w:t>Patient</w:t>
      </w:r>
      <w:r>
        <w:rPr>
          <w:spacing w:val="-5"/>
          <w:sz w:val="24"/>
        </w:rPr>
        <w:t xml:space="preserve"> </w:t>
      </w:r>
      <w:r>
        <w:rPr>
          <w:sz w:val="24"/>
        </w:rPr>
        <w:t>Protections</w:t>
      </w:r>
      <w:r>
        <w:rPr>
          <w:spacing w:val="-5"/>
          <w:sz w:val="24"/>
        </w:rPr>
        <w:t xml:space="preserve"> </w:t>
      </w:r>
      <w:r>
        <w:rPr>
          <w:sz w:val="24"/>
        </w:rPr>
        <w:t>Against</w:t>
      </w:r>
      <w:r>
        <w:rPr>
          <w:spacing w:val="-5"/>
          <w:sz w:val="24"/>
        </w:rPr>
        <w:t xml:space="preserve"> </w:t>
      </w:r>
      <w:r>
        <w:rPr>
          <w:sz w:val="24"/>
        </w:rPr>
        <w:t>Balance</w:t>
      </w:r>
      <w:r>
        <w:rPr>
          <w:spacing w:val="-6"/>
          <w:sz w:val="24"/>
        </w:rPr>
        <w:t xml:space="preserve"> </w:t>
      </w:r>
      <w:r>
        <w:rPr>
          <w:sz w:val="24"/>
        </w:rPr>
        <w:t>Billing</w:t>
      </w:r>
      <w:r>
        <w:rPr>
          <w:spacing w:val="-5"/>
          <w:sz w:val="24"/>
        </w:rPr>
        <w:t xml:space="preserve"> </w:t>
      </w:r>
      <w:r>
        <w:rPr>
          <w:sz w:val="24"/>
        </w:rPr>
        <w:t>(45</w:t>
      </w:r>
      <w:r>
        <w:rPr>
          <w:spacing w:val="-5"/>
          <w:sz w:val="24"/>
        </w:rPr>
        <w:t xml:space="preserve"> </w:t>
      </w:r>
      <w:r>
        <w:rPr>
          <w:sz w:val="24"/>
        </w:rPr>
        <w:t>CFR</w:t>
      </w:r>
      <w:r>
        <w:rPr>
          <w:sz w:val="24"/>
          <w:u w:val="none"/>
        </w:rPr>
        <w:t xml:space="preserve"> </w:t>
      </w:r>
      <w:r>
        <w:rPr>
          <w:spacing w:val="-2"/>
          <w:sz w:val="24"/>
        </w:rPr>
        <w:t>149.430)</w:t>
      </w:r>
    </w:p>
    <w:p w:rsidR="00B64E72" w14:paraId="1D079E5C" w14:textId="77777777">
      <w:pPr>
        <w:pStyle w:val="BodyText"/>
        <w:spacing w:before="24"/>
      </w:pPr>
    </w:p>
    <w:p w:rsidR="00B64E72" w14:paraId="4852E7B1" w14:textId="77777777">
      <w:pPr>
        <w:pStyle w:val="BodyText"/>
        <w:spacing w:before="1" w:line="259" w:lineRule="auto"/>
        <w:ind w:left="1800" w:right="1369"/>
      </w:pPr>
      <w:bookmarkStart w:id="269" w:name="In_addition_to_requiring_providers_and_f"/>
      <w:bookmarkEnd w:id="269"/>
      <w:r>
        <w:t>In</w:t>
      </w:r>
      <w:r>
        <w:rPr>
          <w:spacing w:val="-2"/>
        </w:rPr>
        <w:t xml:space="preserve"> </w:t>
      </w:r>
      <w:r>
        <w:t>addition</w:t>
      </w:r>
      <w:r>
        <w:rPr>
          <w:spacing w:val="-4"/>
        </w:rPr>
        <w:t xml:space="preserve"> </w:t>
      </w:r>
      <w:r>
        <w:t>to</w:t>
      </w:r>
      <w:r>
        <w:rPr>
          <w:spacing w:val="-4"/>
        </w:rPr>
        <w:t xml:space="preserve"> </w:t>
      </w:r>
      <w:r>
        <w:t>requiring</w:t>
      </w:r>
      <w:r>
        <w:rPr>
          <w:spacing w:val="-4"/>
        </w:rPr>
        <w:t xml:space="preserve"> </w:t>
      </w:r>
      <w:r>
        <w:t>providers</w:t>
      </w:r>
      <w:r>
        <w:rPr>
          <w:spacing w:val="-4"/>
        </w:rPr>
        <w:t xml:space="preserve"> </w:t>
      </w:r>
      <w:r>
        <w:t>and</w:t>
      </w:r>
      <w:r>
        <w:rPr>
          <w:spacing w:val="-4"/>
        </w:rPr>
        <w:t xml:space="preserve"> </w:t>
      </w:r>
      <w:r>
        <w:t>facilities</w:t>
      </w:r>
      <w:r>
        <w:rPr>
          <w:spacing w:val="-4"/>
        </w:rPr>
        <w:t xml:space="preserve"> </w:t>
      </w:r>
      <w:r>
        <w:t>to</w:t>
      </w:r>
      <w:r>
        <w:rPr>
          <w:spacing w:val="-4"/>
        </w:rPr>
        <w:t xml:space="preserve"> </w:t>
      </w:r>
      <w:r>
        <w:t>publicly</w:t>
      </w:r>
      <w:r>
        <w:rPr>
          <w:spacing w:val="-4"/>
        </w:rPr>
        <w:t xml:space="preserve"> </w:t>
      </w:r>
      <w:r>
        <w:t>post</w:t>
      </w:r>
      <w:r>
        <w:rPr>
          <w:spacing w:val="-4"/>
        </w:rPr>
        <w:t xml:space="preserve"> </w:t>
      </w:r>
      <w:r>
        <w:t>and</w:t>
      </w:r>
      <w:r>
        <w:rPr>
          <w:spacing w:val="-4"/>
        </w:rPr>
        <w:t xml:space="preserve"> </w:t>
      </w:r>
      <w:r>
        <w:t>make</w:t>
      </w:r>
      <w:r>
        <w:rPr>
          <w:spacing w:val="-6"/>
        </w:rPr>
        <w:t xml:space="preserve"> </w:t>
      </w:r>
      <w:r>
        <w:t>the</w:t>
      </w:r>
      <w:r>
        <w:rPr>
          <w:spacing w:val="-4"/>
        </w:rPr>
        <w:t xml:space="preserve"> </w:t>
      </w:r>
      <w:r>
        <w:t>required disclosure available through a public website, providers and facilities are required to</w:t>
      </w:r>
    </w:p>
    <w:p w:rsidR="00B64E72" w14:paraId="2F8F5AF3" w14:textId="77777777">
      <w:pPr>
        <w:pStyle w:val="BodyText"/>
        <w:spacing w:line="259" w:lineRule="auto"/>
        <w:sectPr>
          <w:pgSz w:w="12240" w:h="15840"/>
          <w:pgMar w:top="1360" w:right="360" w:bottom="1280" w:left="360" w:header="0" w:footer="1094" w:gutter="0"/>
          <w:cols w:space="720"/>
        </w:sectPr>
      </w:pPr>
    </w:p>
    <w:p w:rsidR="00B64E72" w14:paraId="29A0FA77" w14:textId="77777777">
      <w:pPr>
        <w:pStyle w:val="BodyText"/>
        <w:spacing w:before="79" w:line="259" w:lineRule="auto"/>
        <w:ind w:left="1800" w:right="1099"/>
      </w:pPr>
      <w:bookmarkStart w:id="270" w:name="provide_individuals_the_required_disclos"/>
      <w:bookmarkEnd w:id="270"/>
      <w:r>
        <w:t>provide individuals the required disclosure information in a one-page (double sided) notice.</w:t>
      </w:r>
      <w:r>
        <w:rPr>
          <w:spacing w:val="-3"/>
        </w:rPr>
        <w:t xml:space="preserve"> </w:t>
      </w:r>
      <w:r>
        <w:t>The</w:t>
      </w:r>
      <w:r>
        <w:rPr>
          <w:spacing w:val="-5"/>
        </w:rPr>
        <w:t xml:space="preserve"> </w:t>
      </w:r>
      <w:r>
        <w:t>required</w:t>
      </w:r>
      <w:r>
        <w:rPr>
          <w:spacing w:val="-3"/>
        </w:rPr>
        <w:t xml:space="preserve"> </w:t>
      </w:r>
      <w:r>
        <w:t>notice</w:t>
      </w:r>
      <w:r>
        <w:rPr>
          <w:spacing w:val="-4"/>
        </w:rPr>
        <w:t xml:space="preserve"> </w:t>
      </w:r>
      <w:r>
        <w:t>must</w:t>
      </w:r>
      <w:r>
        <w:rPr>
          <w:spacing w:val="-3"/>
        </w:rPr>
        <w:t xml:space="preserve"> </w:t>
      </w:r>
      <w:r>
        <w:t>be</w:t>
      </w:r>
      <w:r>
        <w:rPr>
          <w:spacing w:val="-4"/>
        </w:rPr>
        <w:t xml:space="preserve"> </w:t>
      </w:r>
      <w:r>
        <w:t>provided</w:t>
      </w:r>
      <w:r>
        <w:rPr>
          <w:spacing w:val="-3"/>
        </w:rPr>
        <w:t xml:space="preserve"> </w:t>
      </w:r>
      <w:r>
        <w:t>in-person,</w:t>
      </w:r>
      <w:r>
        <w:rPr>
          <w:spacing w:val="-3"/>
        </w:rPr>
        <w:t xml:space="preserve"> </w:t>
      </w:r>
      <w:r>
        <w:t>through</w:t>
      </w:r>
      <w:r>
        <w:rPr>
          <w:spacing w:val="-3"/>
        </w:rPr>
        <w:t xml:space="preserve"> </w:t>
      </w:r>
      <w:r>
        <w:t>the</w:t>
      </w:r>
      <w:r>
        <w:rPr>
          <w:spacing w:val="-3"/>
        </w:rPr>
        <w:t xml:space="preserve"> </w:t>
      </w:r>
      <w:r>
        <w:t>mail</w:t>
      </w:r>
      <w:r>
        <w:rPr>
          <w:spacing w:val="-3"/>
        </w:rPr>
        <w:t xml:space="preserve"> </w:t>
      </w:r>
      <w:r>
        <w:t>or</w:t>
      </w:r>
      <w:r>
        <w:rPr>
          <w:spacing w:val="-3"/>
        </w:rPr>
        <w:t xml:space="preserve"> </w:t>
      </w:r>
      <w:r>
        <w:t>via</w:t>
      </w:r>
      <w:r>
        <w:rPr>
          <w:spacing w:val="-5"/>
        </w:rPr>
        <w:t xml:space="preserve"> </w:t>
      </w:r>
      <w:r>
        <w:t>email,</w:t>
      </w:r>
      <w:r>
        <w:rPr>
          <w:spacing w:val="-3"/>
        </w:rPr>
        <w:t xml:space="preserve"> </w:t>
      </w:r>
      <w:r>
        <w:t>as selected by the participant, beneficiary, or enrollee no later than the date on which the health care provider or health care facility requests payment from the individual (including requests for copayment made</w:t>
      </w:r>
      <w:r>
        <w:rPr>
          <w:spacing w:val="-1"/>
        </w:rPr>
        <w:t xml:space="preserve"> </w:t>
      </w:r>
      <w:r>
        <w:t>at the time of</w:t>
      </w:r>
      <w:r>
        <w:rPr>
          <w:spacing w:val="-1"/>
        </w:rPr>
        <w:t xml:space="preserve"> </w:t>
      </w:r>
      <w:r>
        <w:t>a visit to the provider</w:t>
      </w:r>
      <w:r>
        <w:rPr>
          <w:spacing w:val="-1"/>
        </w:rPr>
        <w:t xml:space="preserve"> </w:t>
      </w:r>
      <w:r>
        <w:t>or facility), or with respect to individuals from whom the health care facility or health care provider does not request payment, no later than the date on which the health care p</w:t>
      </w:r>
      <w:r>
        <w:t>rovider or health care facility submits a claim to the group health plan or health insurance issuer.</w:t>
      </w:r>
    </w:p>
    <w:p w:rsidR="00B64E72" w14:paraId="1FB56712" w14:textId="77777777">
      <w:pPr>
        <w:pStyle w:val="BodyText"/>
        <w:spacing w:line="259" w:lineRule="auto"/>
        <w:ind w:left="1800" w:right="1105"/>
      </w:pPr>
      <w:r>
        <w:t>HHS assumes that, in order to reduce burden and costs, facilities will choose to provide the required disclosure to the individual (or their selected representative) at the time the individual is processed for any visit, upon check-in, or when other standard disclosures are</w:t>
      </w:r>
      <w:r>
        <w:rPr>
          <w:spacing w:val="-5"/>
        </w:rPr>
        <w:t xml:space="preserve"> </w:t>
      </w:r>
      <w:r>
        <w:t>shared</w:t>
      </w:r>
      <w:r>
        <w:rPr>
          <w:spacing w:val="-3"/>
        </w:rPr>
        <w:t xml:space="preserve"> </w:t>
      </w:r>
      <w:r>
        <w:t>with</w:t>
      </w:r>
      <w:r>
        <w:rPr>
          <w:spacing w:val="-3"/>
        </w:rPr>
        <w:t xml:space="preserve"> </w:t>
      </w:r>
      <w:r>
        <w:t>individuals</w:t>
      </w:r>
      <w:r>
        <w:rPr>
          <w:spacing w:val="-3"/>
        </w:rPr>
        <w:t xml:space="preserve"> </w:t>
      </w:r>
      <w:r>
        <w:t>with</w:t>
      </w:r>
      <w:r>
        <w:rPr>
          <w:spacing w:val="-3"/>
        </w:rPr>
        <w:t xml:space="preserve"> </w:t>
      </w:r>
      <w:r>
        <w:t>minimal</w:t>
      </w:r>
      <w:r>
        <w:rPr>
          <w:spacing w:val="-3"/>
        </w:rPr>
        <w:t xml:space="preserve"> </w:t>
      </w:r>
      <w:r>
        <w:t>additional</w:t>
      </w:r>
      <w:r>
        <w:rPr>
          <w:spacing w:val="-3"/>
        </w:rPr>
        <w:t xml:space="preserve"> </w:t>
      </w:r>
      <w:r>
        <w:t>burden.</w:t>
      </w:r>
      <w:r>
        <w:rPr>
          <w:spacing w:val="-3"/>
        </w:rPr>
        <w:t xml:space="preserve"> </w:t>
      </w:r>
      <w:r>
        <w:t>HHS</w:t>
      </w:r>
      <w:r>
        <w:rPr>
          <w:spacing w:val="-3"/>
        </w:rPr>
        <w:t xml:space="preserve"> </w:t>
      </w:r>
      <w:r>
        <w:t>estimates</w:t>
      </w:r>
      <w:r>
        <w:rPr>
          <w:spacing w:val="-1"/>
        </w:rPr>
        <w:t xml:space="preserve"> </w:t>
      </w:r>
      <w:r>
        <w:t>that</w:t>
      </w:r>
      <w:r>
        <w:rPr>
          <w:spacing w:val="-3"/>
        </w:rPr>
        <w:t xml:space="preserve"> </w:t>
      </w:r>
      <w:r>
        <w:t>there</w:t>
      </w:r>
      <w:r>
        <w:rPr>
          <w:spacing w:val="-4"/>
        </w:rPr>
        <w:t xml:space="preserve"> </w:t>
      </w:r>
      <w:r>
        <w:t>will be</w:t>
      </w:r>
      <w:r>
        <w:rPr>
          <w:spacing w:val="-5"/>
        </w:rPr>
        <w:t xml:space="preserve"> </w:t>
      </w:r>
      <w:r>
        <w:t>approximately</w:t>
      </w:r>
      <w:r>
        <w:rPr>
          <w:spacing w:val="-4"/>
        </w:rPr>
        <w:t xml:space="preserve"> </w:t>
      </w:r>
      <w:r>
        <w:t>39,690,940</w:t>
      </w:r>
      <w:r>
        <w:rPr>
          <w:spacing w:val="-4"/>
        </w:rPr>
        <w:t xml:space="preserve"> </w:t>
      </w:r>
      <w:r>
        <w:t>emergency</w:t>
      </w:r>
      <w:r>
        <w:rPr>
          <w:spacing w:val="-4"/>
        </w:rPr>
        <w:t xml:space="preserve"> </w:t>
      </w:r>
      <w:r>
        <w:t>department</w:t>
      </w:r>
      <w:r>
        <w:rPr>
          <w:spacing w:val="-4"/>
        </w:rPr>
        <w:t xml:space="preserve"> </w:t>
      </w:r>
      <w:r>
        <w:t>visits</w:t>
      </w:r>
      <w:r>
        <w:rPr>
          <w:spacing w:val="-4"/>
        </w:rPr>
        <w:t xml:space="preserve"> </w:t>
      </w:r>
      <w:r>
        <w:t>and</w:t>
      </w:r>
      <w:r>
        <w:rPr>
          <w:spacing w:val="-4"/>
        </w:rPr>
        <w:t xml:space="preserve"> </w:t>
      </w:r>
      <w:r>
        <w:t>11,107,056</w:t>
      </w:r>
      <w:r>
        <w:rPr>
          <w:spacing w:val="-7"/>
        </w:rPr>
        <w:t xml:space="preserve"> </w:t>
      </w:r>
      <w:r>
        <w:t>visits</w:t>
      </w:r>
      <w:r>
        <w:rPr>
          <w:spacing w:val="-4"/>
        </w:rPr>
        <w:t xml:space="preserve"> </w:t>
      </w:r>
      <w:r>
        <w:t>to</w:t>
      </w:r>
      <w:r>
        <w:rPr>
          <w:spacing w:val="-4"/>
        </w:rPr>
        <w:t xml:space="preserve"> </w:t>
      </w:r>
      <w:r>
        <w:t>health care facilities annually for surgical and non-surgical procedures for individuals with group</w:t>
      </w:r>
      <w:r>
        <w:rPr>
          <w:spacing w:val="-4"/>
        </w:rPr>
        <w:t xml:space="preserve"> </w:t>
      </w:r>
      <w:r>
        <w:t>health</w:t>
      </w:r>
      <w:r>
        <w:rPr>
          <w:spacing w:val="-3"/>
        </w:rPr>
        <w:t xml:space="preserve"> </w:t>
      </w:r>
      <w:r>
        <w:t>coverage</w:t>
      </w:r>
      <w:r>
        <w:rPr>
          <w:spacing w:val="-4"/>
        </w:rPr>
        <w:t xml:space="preserve"> </w:t>
      </w:r>
      <w:r>
        <w:t>or</w:t>
      </w:r>
      <w:r>
        <w:rPr>
          <w:spacing w:val="-2"/>
        </w:rPr>
        <w:t xml:space="preserve"> </w:t>
      </w:r>
      <w:r>
        <w:t>individual</w:t>
      </w:r>
      <w:r>
        <w:rPr>
          <w:spacing w:val="-3"/>
        </w:rPr>
        <w:t xml:space="preserve"> </w:t>
      </w:r>
      <w:r>
        <w:t>market</w:t>
      </w:r>
      <w:r>
        <w:rPr>
          <w:spacing w:val="-3"/>
        </w:rPr>
        <w:t xml:space="preserve"> </w:t>
      </w:r>
      <w:r>
        <w:t>coverage</w:t>
      </w:r>
      <w:r>
        <w:rPr>
          <w:spacing w:val="-4"/>
        </w:rPr>
        <w:t xml:space="preserve"> </w:t>
      </w:r>
      <w:r>
        <w:t>for</w:t>
      </w:r>
      <w:r>
        <w:rPr>
          <w:spacing w:val="-5"/>
        </w:rPr>
        <w:t xml:space="preserve"> </w:t>
      </w:r>
      <w:r>
        <w:t>a</w:t>
      </w:r>
      <w:r>
        <w:rPr>
          <w:spacing w:val="-4"/>
        </w:rPr>
        <w:t xml:space="preserve"> </w:t>
      </w:r>
      <w:r>
        <w:t>total</w:t>
      </w:r>
      <w:r>
        <w:rPr>
          <w:spacing w:val="-3"/>
        </w:rPr>
        <w:t xml:space="preserve"> </w:t>
      </w:r>
      <w:r>
        <w:t>of</w:t>
      </w:r>
      <w:r>
        <w:rPr>
          <w:spacing w:val="-3"/>
        </w:rPr>
        <w:t xml:space="preserve"> </w:t>
      </w:r>
      <w:r>
        <w:t>50,797,996</w:t>
      </w:r>
      <w:r>
        <w:rPr>
          <w:spacing w:val="-3"/>
        </w:rPr>
        <w:t xml:space="preserve"> </w:t>
      </w:r>
      <w:r>
        <w:t>visits.</w:t>
      </w:r>
      <w:r>
        <w:rPr>
          <w:spacing w:val="-3"/>
        </w:rPr>
        <w:t xml:space="preserve"> </w:t>
      </w:r>
      <w:r>
        <w:t>HHS recognizes that the number of notices provided by each facility will vary depending on</w:t>
      </w:r>
      <w:r>
        <w:rPr>
          <w:spacing w:val="40"/>
        </w:rPr>
        <w:t xml:space="preserve"> </w:t>
      </w:r>
      <w:r>
        <w:t>the number of annual visits and that some facilities could incur higher costs to provide</w:t>
      </w:r>
      <w:r>
        <w:rPr>
          <w:spacing w:val="40"/>
        </w:rPr>
        <w:t xml:space="preserve"> </w:t>
      </w:r>
      <w:r>
        <w:t>the disclosure while others could incur lower costs.</w:t>
      </w:r>
    </w:p>
    <w:p w:rsidR="00B64E72" w14:paraId="0D3FEE17" w14:textId="77777777">
      <w:pPr>
        <w:pStyle w:val="BodyText"/>
        <w:spacing w:before="19"/>
      </w:pPr>
    </w:p>
    <w:p w:rsidR="00B64E72" w14:paraId="689DA5F2" w14:textId="77777777">
      <w:pPr>
        <w:pStyle w:val="BodyText"/>
        <w:spacing w:line="259" w:lineRule="auto"/>
        <w:ind w:left="1800" w:right="1144"/>
      </w:pPr>
      <w:bookmarkStart w:id="271" w:name="HHS_estimates_that_health_care_facilitie"/>
      <w:bookmarkEnd w:id="271"/>
      <w:r>
        <w:t>HHS estimates that health care facilities will provide 50,797,996 disclosures annually. This is a lower bound for the number of patients who will receive the disclosure since HHS lacks comprehensive data on patients who receive services at all health care facilities. In order to provide the required disclosure to individuals, each facility will incur</w:t>
      </w:r>
      <w:r>
        <w:rPr>
          <w:spacing w:val="-1"/>
        </w:rPr>
        <w:t xml:space="preserve"> </w:t>
      </w:r>
      <w:r>
        <w:t>a cost of approximately $0.05 for printing and materials for each disclosure. HHS assumes</w:t>
      </w:r>
      <w:r>
        <w:rPr>
          <w:spacing w:val="-3"/>
        </w:rPr>
        <w:t xml:space="preserve"> </w:t>
      </w:r>
      <w:r>
        <w:t>that</w:t>
      </w:r>
      <w:r>
        <w:rPr>
          <w:spacing w:val="-3"/>
        </w:rPr>
        <w:t xml:space="preserve"> </w:t>
      </w:r>
      <w:r>
        <w:t>this</w:t>
      </w:r>
      <w:r>
        <w:rPr>
          <w:spacing w:val="-3"/>
        </w:rPr>
        <w:t xml:space="preserve"> </w:t>
      </w:r>
      <w:r>
        <w:t>disclosure</w:t>
      </w:r>
      <w:r>
        <w:rPr>
          <w:spacing w:val="-4"/>
        </w:rPr>
        <w:t xml:space="preserve"> </w:t>
      </w:r>
      <w:r>
        <w:t>will</w:t>
      </w:r>
      <w:r>
        <w:rPr>
          <w:spacing w:val="-3"/>
        </w:rPr>
        <w:t xml:space="preserve"> </w:t>
      </w:r>
      <w:r>
        <w:t>be</w:t>
      </w:r>
      <w:r>
        <w:rPr>
          <w:spacing w:val="-4"/>
        </w:rPr>
        <w:t xml:space="preserve"> </w:t>
      </w:r>
      <w:r>
        <w:t>provided</w:t>
      </w:r>
      <w:r>
        <w:rPr>
          <w:spacing w:val="-2"/>
        </w:rPr>
        <w:t xml:space="preserve"> </w:t>
      </w:r>
      <w:r>
        <w:t>along</w:t>
      </w:r>
      <w:r>
        <w:rPr>
          <w:spacing w:val="-3"/>
        </w:rPr>
        <w:t xml:space="preserve"> </w:t>
      </w:r>
      <w:r>
        <w:t>with</w:t>
      </w:r>
      <w:r>
        <w:rPr>
          <w:spacing w:val="-3"/>
        </w:rPr>
        <w:t xml:space="preserve"> </w:t>
      </w:r>
      <w:r>
        <w:t>other</w:t>
      </w:r>
      <w:r>
        <w:rPr>
          <w:spacing w:val="-5"/>
        </w:rPr>
        <w:t xml:space="preserve"> </w:t>
      </w:r>
      <w:r>
        <w:t>forms</w:t>
      </w:r>
      <w:r>
        <w:rPr>
          <w:spacing w:val="-3"/>
        </w:rPr>
        <w:t xml:space="preserve"> </w:t>
      </w:r>
      <w:r>
        <w:t>and</w:t>
      </w:r>
      <w:r>
        <w:rPr>
          <w:spacing w:val="-3"/>
        </w:rPr>
        <w:t xml:space="preserve"> </w:t>
      </w:r>
      <w:r>
        <w:t>notices</w:t>
      </w:r>
      <w:r>
        <w:rPr>
          <w:spacing w:val="-3"/>
        </w:rPr>
        <w:t xml:space="preserve"> </w:t>
      </w:r>
      <w:r>
        <w:t>usually provided to individuals without incurring significant labor cost. For all facilities, HHS estimates a total annual ongoing annual cost of approximately $2.5 million annually.</w:t>
      </w:r>
    </w:p>
    <w:p w:rsidR="00B64E72" w14:paraId="02F41A99" w14:textId="77777777">
      <w:pPr>
        <w:pStyle w:val="BodyText"/>
        <w:spacing w:line="259" w:lineRule="auto"/>
        <w:ind w:left="1800" w:right="1118"/>
      </w:pPr>
      <w:r>
        <w:t>HHS</w:t>
      </w:r>
      <w:r>
        <w:rPr>
          <w:spacing w:val="-1"/>
        </w:rPr>
        <w:t xml:space="preserve"> </w:t>
      </w:r>
      <w:r>
        <w:t>recognizes</w:t>
      </w:r>
      <w:r>
        <w:rPr>
          <w:spacing w:val="-1"/>
        </w:rPr>
        <w:t xml:space="preserve"> </w:t>
      </w:r>
      <w:r>
        <w:t>that</w:t>
      </w:r>
      <w:r>
        <w:rPr>
          <w:spacing w:val="-1"/>
        </w:rPr>
        <w:t xml:space="preserve"> </w:t>
      </w:r>
      <w:r>
        <w:t>the number</w:t>
      </w:r>
      <w:r>
        <w:rPr>
          <w:spacing w:val="-3"/>
        </w:rPr>
        <w:t xml:space="preserve"> </w:t>
      </w:r>
      <w:r>
        <w:t>of</w:t>
      </w:r>
      <w:r>
        <w:rPr>
          <w:spacing w:val="-1"/>
        </w:rPr>
        <w:t xml:space="preserve"> </w:t>
      </w:r>
      <w:r>
        <w:t>notices</w:t>
      </w:r>
      <w:r>
        <w:rPr>
          <w:spacing w:val="-1"/>
        </w:rPr>
        <w:t xml:space="preserve"> </w:t>
      </w:r>
      <w:r>
        <w:t>provided</w:t>
      </w:r>
      <w:r>
        <w:rPr>
          <w:spacing w:val="-1"/>
        </w:rPr>
        <w:t xml:space="preserve"> </w:t>
      </w:r>
      <w:r>
        <w:t>by</w:t>
      </w:r>
      <w:r>
        <w:rPr>
          <w:spacing w:val="-1"/>
        </w:rPr>
        <w:t xml:space="preserve"> </w:t>
      </w:r>
      <w:r>
        <w:t>each</w:t>
      </w:r>
      <w:r>
        <w:rPr>
          <w:spacing w:val="-1"/>
        </w:rPr>
        <w:t xml:space="preserve"> </w:t>
      </w:r>
      <w:r>
        <w:t>facility</w:t>
      </w:r>
      <w:r>
        <w:rPr>
          <w:spacing w:val="-1"/>
        </w:rPr>
        <w:t xml:space="preserve"> </w:t>
      </w:r>
      <w:r>
        <w:t>will</w:t>
      </w:r>
      <w:r>
        <w:rPr>
          <w:spacing w:val="-1"/>
        </w:rPr>
        <w:t xml:space="preserve"> </w:t>
      </w:r>
      <w:r>
        <w:t>vary</w:t>
      </w:r>
      <w:r>
        <w:rPr>
          <w:spacing w:val="-1"/>
        </w:rPr>
        <w:t xml:space="preserve"> </w:t>
      </w:r>
      <w:r>
        <w:t>depending on</w:t>
      </w:r>
      <w:r>
        <w:rPr>
          <w:spacing w:val="-2"/>
        </w:rPr>
        <w:t xml:space="preserve"> </w:t>
      </w:r>
      <w:r>
        <w:t>the</w:t>
      </w:r>
      <w:r>
        <w:rPr>
          <w:spacing w:val="-2"/>
        </w:rPr>
        <w:t xml:space="preserve"> </w:t>
      </w:r>
      <w:r>
        <w:t>number</w:t>
      </w:r>
      <w:r>
        <w:rPr>
          <w:spacing w:val="-2"/>
        </w:rPr>
        <w:t xml:space="preserve"> </w:t>
      </w:r>
      <w:r>
        <w:t>of</w:t>
      </w:r>
      <w:r>
        <w:rPr>
          <w:spacing w:val="-4"/>
        </w:rPr>
        <w:t xml:space="preserve"> </w:t>
      </w:r>
      <w:r>
        <w:t>annual visits</w:t>
      </w:r>
      <w:r>
        <w:rPr>
          <w:spacing w:val="-2"/>
        </w:rPr>
        <w:t xml:space="preserve"> </w:t>
      </w:r>
      <w:r>
        <w:t>and</w:t>
      </w:r>
      <w:r>
        <w:rPr>
          <w:spacing w:val="-2"/>
        </w:rPr>
        <w:t xml:space="preserve"> </w:t>
      </w:r>
      <w:r>
        <w:t>that</w:t>
      </w:r>
      <w:r>
        <w:rPr>
          <w:spacing w:val="-2"/>
        </w:rPr>
        <w:t xml:space="preserve"> </w:t>
      </w:r>
      <w:r>
        <w:t>some</w:t>
      </w:r>
      <w:r>
        <w:rPr>
          <w:spacing w:val="-3"/>
        </w:rPr>
        <w:t xml:space="preserve"> </w:t>
      </w:r>
      <w:r>
        <w:t>facilities</w:t>
      </w:r>
      <w:r>
        <w:rPr>
          <w:spacing w:val="-2"/>
        </w:rPr>
        <w:t xml:space="preserve"> </w:t>
      </w:r>
      <w:r>
        <w:t>could</w:t>
      </w:r>
      <w:r>
        <w:rPr>
          <w:spacing w:val="-2"/>
        </w:rPr>
        <w:t xml:space="preserve"> </w:t>
      </w:r>
      <w:r>
        <w:t>incur</w:t>
      </w:r>
      <w:r>
        <w:rPr>
          <w:spacing w:val="-2"/>
        </w:rPr>
        <w:t xml:space="preserve"> </w:t>
      </w:r>
      <w:r>
        <w:t>higher</w:t>
      </w:r>
      <w:r>
        <w:rPr>
          <w:spacing w:val="-2"/>
        </w:rPr>
        <w:t xml:space="preserve"> </w:t>
      </w:r>
      <w:r>
        <w:t>costs</w:t>
      </w:r>
      <w:r>
        <w:rPr>
          <w:spacing w:val="-2"/>
        </w:rPr>
        <w:t xml:space="preserve"> </w:t>
      </w:r>
      <w:r>
        <w:t>to</w:t>
      </w:r>
      <w:r>
        <w:rPr>
          <w:spacing w:val="-2"/>
        </w:rPr>
        <w:t xml:space="preserve"> </w:t>
      </w:r>
      <w:r>
        <w:t>provide the</w:t>
      </w:r>
      <w:r>
        <w:rPr>
          <w:spacing w:val="-4"/>
        </w:rPr>
        <w:t xml:space="preserve"> </w:t>
      </w:r>
      <w:r>
        <w:t>disclosure</w:t>
      </w:r>
      <w:r>
        <w:rPr>
          <w:spacing w:val="-4"/>
        </w:rPr>
        <w:t xml:space="preserve"> </w:t>
      </w:r>
      <w:r>
        <w:t>while</w:t>
      </w:r>
      <w:r>
        <w:rPr>
          <w:spacing w:val="-4"/>
        </w:rPr>
        <w:t xml:space="preserve"> </w:t>
      </w:r>
      <w:r>
        <w:t>others</w:t>
      </w:r>
      <w:r>
        <w:rPr>
          <w:spacing w:val="-4"/>
        </w:rPr>
        <w:t xml:space="preserve"> </w:t>
      </w:r>
      <w:r>
        <w:t>could</w:t>
      </w:r>
      <w:r>
        <w:rPr>
          <w:spacing w:val="-4"/>
        </w:rPr>
        <w:t xml:space="preserve"> </w:t>
      </w:r>
      <w:r>
        <w:t>incur</w:t>
      </w:r>
      <w:r>
        <w:rPr>
          <w:spacing w:val="-4"/>
        </w:rPr>
        <w:t xml:space="preserve"> </w:t>
      </w:r>
      <w:r>
        <w:t>lower</w:t>
      </w:r>
      <w:r>
        <w:rPr>
          <w:spacing w:val="-4"/>
        </w:rPr>
        <w:t xml:space="preserve"> </w:t>
      </w:r>
      <w:r>
        <w:t>costs.</w:t>
      </w:r>
      <w:r>
        <w:rPr>
          <w:spacing w:val="-4"/>
        </w:rPr>
        <w:t xml:space="preserve"> </w:t>
      </w:r>
      <w:r>
        <w:t>HHS</w:t>
      </w:r>
      <w:r>
        <w:rPr>
          <w:spacing w:val="-4"/>
        </w:rPr>
        <w:t xml:space="preserve"> </w:t>
      </w:r>
      <w:r>
        <w:t>assumes</w:t>
      </w:r>
      <w:r>
        <w:rPr>
          <w:spacing w:val="-4"/>
        </w:rPr>
        <w:t xml:space="preserve"> </w:t>
      </w:r>
      <w:r>
        <w:t>that</w:t>
      </w:r>
      <w:r>
        <w:rPr>
          <w:spacing w:val="-4"/>
        </w:rPr>
        <w:t xml:space="preserve"> </w:t>
      </w:r>
      <w:r>
        <w:t>all disclosures</w:t>
      </w:r>
      <w:r>
        <w:rPr>
          <w:spacing w:val="-4"/>
        </w:rPr>
        <w:t xml:space="preserve"> </w:t>
      </w:r>
      <w:r>
        <w:t>will be</w:t>
      </w:r>
      <w:r>
        <w:rPr>
          <w:spacing w:val="-5"/>
        </w:rPr>
        <w:t xml:space="preserve"> </w:t>
      </w:r>
      <w:r>
        <w:t>provided</w:t>
      </w:r>
      <w:r>
        <w:rPr>
          <w:spacing w:val="-4"/>
        </w:rPr>
        <w:t xml:space="preserve"> </w:t>
      </w:r>
      <w:r>
        <w:t>in-person;</w:t>
      </w:r>
      <w:r>
        <w:rPr>
          <w:spacing w:val="-4"/>
        </w:rPr>
        <w:t xml:space="preserve"> </w:t>
      </w:r>
      <w:r>
        <w:t>however,</w:t>
      </w:r>
      <w:r>
        <w:rPr>
          <w:spacing w:val="-3"/>
        </w:rPr>
        <w:t xml:space="preserve"> </w:t>
      </w:r>
      <w:r>
        <w:t>HHS</w:t>
      </w:r>
      <w:r>
        <w:rPr>
          <w:spacing w:val="-4"/>
        </w:rPr>
        <w:t xml:space="preserve"> </w:t>
      </w:r>
      <w:r>
        <w:t>acknowledges</w:t>
      </w:r>
      <w:r>
        <w:rPr>
          <w:spacing w:val="-4"/>
        </w:rPr>
        <w:t xml:space="preserve"> </w:t>
      </w:r>
      <w:r>
        <w:t>that</w:t>
      </w:r>
      <w:r>
        <w:rPr>
          <w:spacing w:val="-2"/>
        </w:rPr>
        <w:t xml:space="preserve"> </w:t>
      </w:r>
      <w:r>
        <w:t>some</w:t>
      </w:r>
      <w:r>
        <w:rPr>
          <w:spacing w:val="-4"/>
        </w:rPr>
        <w:t xml:space="preserve"> </w:t>
      </w:r>
      <w:r>
        <w:t>individuals</w:t>
      </w:r>
      <w:r>
        <w:rPr>
          <w:spacing w:val="-4"/>
        </w:rPr>
        <w:t xml:space="preserve"> </w:t>
      </w:r>
      <w:r>
        <w:t>will</w:t>
      </w:r>
      <w:r>
        <w:rPr>
          <w:spacing w:val="-4"/>
        </w:rPr>
        <w:t xml:space="preserve"> </w:t>
      </w:r>
      <w:r>
        <w:t>choose</w:t>
      </w:r>
      <w:r>
        <w:rPr>
          <w:spacing w:val="-6"/>
        </w:rPr>
        <w:t xml:space="preserve"> </w:t>
      </w:r>
      <w:r>
        <w:t>to have this notice provided to them via email, at minimal cost to the facility, and others may choose to receive the disclosure via mail, in which case the facility will incur additional postage costs.</w:t>
      </w:r>
    </w:p>
    <w:p w:rsidR="00B64E72" w14:paraId="69ACFF59" w14:textId="77777777">
      <w:pPr>
        <w:pStyle w:val="BodyText"/>
        <w:spacing w:before="59"/>
      </w:pPr>
    </w:p>
    <w:p w:rsidR="00B64E72" w14:paraId="2CCCFA23" w14:textId="77777777">
      <w:pPr>
        <w:pStyle w:val="Heading1"/>
        <w:spacing w:line="247" w:lineRule="auto"/>
      </w:pPr>
      <w:bookmarkStart w:id="272" w:name="TABLE_11:_Annual_Costs_for_Facilities_to"/>
      <w:bookmarkEnd w:id="272"/>
      <w:r>
        <w:t>TABLE</w:t>
      </w:r>
      <w:r>
        <w:rPr>
          <w:spacing w:val="-3"/>
        </w:rPr>
        <w:t xml:space="preserve"> </w:t>
      </w:r>
      <w:r>
        <w:t>11:</w:t>
      </w:r>
      <w:r>
        <w:rPr>
          <w:spacing w:val="-4"/>
        </w:rPr>
        <w:t xml:space="preserve"> </w:t>
      </w:r>
      <w:r>
        <w:t>Annual</w:t>
      </w:r>
      <w:r>
        <w:rPr>
          <w:spacing w:val="-4"/>
        </w:rPr>
        <w:t xml:space="preserve"> </w:t>
      </w:r>
      <w:r>
        <w:t>Costs</w:t>
      </w:r>
      <w:r>
        <w:rPr>
          <w:spacing w:val="-4"/>
        </w:rPr>
        <w:t xml:space="preserve"> </w:t>
      </w:r>
      <w:r>
        <w:t>for</w:t>
      </w:r>
      <w:r>
        <w:rPr>
          <w:spacing w:val="-5"/>
        </w:rPr>
        <w:t xml:space="preserve"> </w:t>
      </w:r>
      <w:r>
        <w:t>Facilities</w:t>
      </w:r>
      <w:r>
        <w:rPr>
          <w:spacing w:val="-4"/>
        </w:rPr>
        <w:t xml:space="preserve"> </w:t>
      </w:r>
      <w:r>
        <w:t>to</w:t>
      </w:r>
      <w:r>
        <w:rPr>
          <w:spacing w:val="-4"/>
        </w:rPr>
        <w:t xml:space="preserve"> </w:t>
      </w:r>
      <w:r>
        <w:t>Provide</w:t>
      </w:r>
      <w:r>
        <w:rPr>
          <w:spacing w:val="-5"/>
        </w:rPr>
        <w:t xml:space="preserve"> </w:t>
      </w:r>
      <w:r>
        <w:t>Disclosure</w:t>
      </w:r>
      <w:r>
        <w:rPr>
          <w:spacing w:val="-5"/>
        </w:rPr>
        <w:t xml:space="preserve"> </w:t>
      </w:r>
      <w:r>
        <w:t>on</w:t>
      </w:r>
      <w:r>
        <w:rPr>
          <w:spacing w:val="-4"/>
        </w:rPr>
        <w:t xml:space="preserve"> </w:t>
      </w:r>
      <w:r>
        <w:t>Patient</w:t>
      </w:r>
      <w:r>
        <w:rPr>
          <w:spacing w:val="-4"/>
        </w:rPr>
        <w:t xml:space="preserve"> </w:t>
      </w:r>
      <w:r>
        <w:t>Protections Against Balance Billing</w:t>
      </w:r>
    </w:p>
    <w:p w:rsidR="00B64E72" w14:paraId="4EA4E469" w14:textId="77777777">
      <w:pPr>
        <w:pStyle w:val="Heading1"/>
        <w:spacing w:line="247" w:lineRule="auto"/>
        <w:sectPr>
          <w:pgSz w:w="12240" w:h="15840"/>
          <w:pgMar w:top="1360" w:right="360" w:bottom="1280" w:left="360" w:header="0" w:footer="1094" w:gutter="0"/>
          <w:cols w:space="720"/>
        </w:sectPr>
      </w:pPr>
    </w:p>
    <w:tbl>
      <w:tblPr>
        <w:tblW w:w="0" w:type="auto"/>
        <w:tblInd w:w="1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36"/>
        <w:gridCol w:w="3241"/>
        <w:gridCol w:w="2701"/>
      </w:tblGrid>
      <w:tr w14:paraId="2BD3D95D" w14:textId="77777777">
        <w:tblPrEx>
          <w:tblW w:w="0" w:type="auto"/>
          <w:tblInd w:w="1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70"/>
        </w:trPr>
        <w:tc>
          <w:tcPr>
            <w:tcW w:w="3236" w:type="dxa"/>
          </w:tcPr>
          <w:p w:rsidR="00B64E72" w14:paraId="26DB65DD" w14:textId="77777777">
            <w:pPr>
              <w:pStyle w:val="TableParagraph"/>
              <w:spacing w:before="185"/>
              <w:rPr>
                <w:b/>
                <w:sz w:val="20"/>
              </w:rPr>
            </w:pPr>
          </w:p>
          <w:p w:rsidR="00B64E72" w14:paraId="49DFA155" w14:textId="77777777">
            <w:pPr>
              <w:pStyle w:val="TableParagraph"/>
              <w:spacing w:before="1"/>
              <w:ind w:right="6"/>
              <w:jc w:val="center"/>
              <w:rPr>
                <w:sz w:val="20"/>
              </w:rPr>
            </w:pPr>
            <w:r>
              <w:rPr>
                <w:sz w:val="20"/>
              </w:rPr>
              <w:t>Estimated</w:t>
            </w:r>
            <w:r>
              <w:rPr>
                <w:spacing w:val="-5"/>
                <w:sz w:val="20"/>
              </w:rPr>
              <w:t xml:space="preserve"> </w:t>
            </w:r>
            <w:r>
              <w:rPr>
                <w:sz w:val="20"/>
              </w:rPr>
              <w:t>Number</w:t>
            </w:r>
            <w:r>
              <w:rPr>
                <w:spacing w:val="-5"/>
                <w:sz w:val="20"/>
              </w:rPr>
              <w:t xml:space="preserve"> </w:t>
            </w:r>
            <w:r>
              <w:rPr>
                <w:sz w:val="20"/>
              </w:rPr>
              <w:t>of</w:t>
            </w:r>
            <w:r>
              <w:rPr>
                <w:spacing w:val="-6"/>
                <w:sz w:val="20"/>
              </w:rPr>
              <w:t xml:space="preserve"> </w:t>
            </w:r>
            <w:r>
              <w:rPr>
                <w:spacing w:val="-2"/>
                <w:sz w:val="20"/>
              </w:rPr>
              <w:t>Respondents</w:t>
            </w:r>
          </w:p>
        </w:tc>
        <w:tc>
          <w:tcPr>
            <w:tcW w:w="3241" w:type="dxa"/>
          </w:tcPr>
          <w:p w:rsidR="00B64E72" w14:paraId="233D0FC0" w14:textId="77777777">
            <w:pPr>
              <w:pStyle w:val="TableParagraph"/>
              <w:spacing w:before="185"/>
              <w:rPr>
                <w:b/>
                <w:sz w:val="20"/>
              </w:rPr>
            </w:pPr>
          </w:p>
          <w:p w:rsidR="00B64E72" w14:paraId="7891F25E" w14:textId="77777777">
            <w:pPr>
              <w:pStyle w:val="TableParagraph"/>
              <w:spacing w:before="1"/>
              <w:ind w:right="7"/>
              <w:jc w:val="center"/>
              <w:rPr>
                <w:sz w:val="20"/>
              </w:rPr>
            </w:pPr>
            <w:r>
              <w:rPr>
                <w:sz w:val="20"/>
              </w:rPr>
              <w:t>Estimated</w:t>
            </w:r>
            <w:r>
              <w:rPr>
                <w:spacing w:val="-5"/>
                <w:sz w:val="20"/>
              </w:rPr>
              <w:t xml:space="preserve"> </w:t>
            </w:r>
            <w:r>
              <w:rPr>
                <w:sz w:val="20"/>
              </w:rPr>
              <w:t>Number</w:t>
            </w:r>
            <w:r>
              <w:rPr>
                <w:spacing w:val="-5"/>
                <w:sz w:val="20"/>
              </w:rPr>
              <w:t xml:space="preserve"> </w:t>
            </w:r>
            <w:r>
              <w:rPr>
                <w:sz w:val="20"/>
              </w:rPr>
              <w:t>of</w:t>
            </w:r>
            <w:r>
              <w:rPr>
                <w:spacing w:val="-6"/>
                <w:sz w:val="20"/>
              </w:rPr>
              <w:t xml:space="preserve"> </w:t>
            </w:r>
            <w:r>
              <w:rPr>
                <w:spacing w:val="-2"/>
                <w:sz w:val="20"/>
              </w:rPr>
              <w:t>Responses</w:t>
            </w:r>
          </w:p>
        </w:tc>
        <w:tc>
          <w:tcPr>
            <w:tcW w:w="2701" w:type="dxa"/>
          </w:tcPr>
          <w:p w:rsidR="00B64E72" w14:paraId="120BF424" w14:textId="77777777">
            <w:pPr>
              <w:pStyle w:val="TableParagraph"/>
              <w:spacing w:before="65"/>
              <w:rPr>
                <w:b/>
                <w:sz w:val="20"/>
              </w:rPr>
            </w:pPr>
          </w:p>
          <w:p w:rsidR="00B64E72" w14:paraId="6FA1C372" w14:textId="77777777">
            <w:pPr>
              <w:pStyle w:val="TableParagraph"/>
              <w:spacing w:before="1" w:line="247" w:lineRule="auto"/>
              <w:ind w:left="759" w:hanging="572"/>
              <w:rPr>
                <w:sz w:val="20"/>
              </w:rPr>
            </w:pPr>
            <w:r>
              <w:rPr>
                <w:sz w:val="20"/>
              </w:rPr>
              <w:t>Total</w:t>
            </w:r>
            <w:r>
              <w:rPr>
                <w:spacing w:val="-13"/>
                <w:sz w:val="20"/>
              </w:rPr>
              <w:t xml:space="preserve"> </w:t>
            </w:r>
            <w:r>
              <w:rPr>
                <w:sz w:val="20"/>
              </w:rPr>
              <w:t>Estimated</w:t>
            </w:r>
            <w:r>
              <w:rPr>
                <w:spacing w:val="-12"/>
                <w:sz w:val="20"/>
              </w:rPr>
              <w:t xml:space="preserve"> </w:t>
            </w:r>
            <w:r>
              <w:rPr>
                <w:sz w:val="20"/>
              </w:rPr>
              <w:t>Printing</w:t>
            </w:r>
            <w:r>
              <w:rPr>
                <w:spacing w:val="-12"/>
                <w:sz w:val="20"/>
              </w:rPr>
              <w:t xml:space="preserve"> </w:t>
            </w:r>
            <w:r>
              <w:rPr>
                <w:sz w:val="20"/>
              </w:rPr>
              <w:t>and Materials Cost</w:t>
            </w:r>
          </w:p>
        </w:tc>
      </w:tr>
      <w:tr w14:paraId="3E723801" w14:textId="77777777">
        <w:tblPrEx>
          <w:tblW w:w="0" w:type="auto"/>
          <w:tblInd w:w="1179" w:type="dxa"/>
          <w:tblLayout w:type="fixed"/>
          <w:tblCellMar>
            <w:left w:w="0" w:type="dxa"/>
            <w:right w:w="0" w:type="dxa"/>
          </w:tblCellMar>
          <w:tblLook w:val="01E0"/>
        </w:tblPrEx>
        <w:trPr>
          <w:trHeight w:val="290"/>
        </w:trPr>
        <w:tc>
          <w:tcPr>
            <w:tcW w:w="3236" w:type="dxa"/>
          </w:tcPr>
          <w:p w:rsidR="00B64E72" w14:paraId="79467C74" w14:textId="77777777">
            <w:pPr>
              <w:pStyle w:val="TableParagraph"/>
              <w:spacing w:before="24"/>
              <w:ind w:left="1" w:right="6"/>
              <w:jc w:val="center"/>
              <w:rPr>
                <w:sz w:val="20"/>
              </w:rPr>
            </w:pPr>
            <w:r>
              <w:rPr>
                <w:spacing w:val="-2"/>
                <w:sz w:val="20"/>
              </w:rPr>
              <w:t>17,467</w:t>
            </w:r>
          </w:p>
        </w:tc>
        <w:tc>
          <w:tcPr>
            <w:tcW w:w="3241" w:type="dxa"/>
          </w:tcPr>
          <w:p w:rsidR="00B64E72" w14:paraId="20216CC6" w14:textId="77777777">
            <w:pPr>
              <w:pStyle w:val="TableParagraph"/>
              <w:spacing w:before="24"/>
              <w:ind w:left="1" w:right="7"/>
              <w:jc w:val="center"/>
              <w:rPr>
                <w:sz w:val="20"/>
              </w:rPr>
            </w:pPr>
            <w:r>
              <w:rPr>
                <w:spacing w:val="-2"/>
                <w:sz w:val="20"/>
              </w:rPr>
              <w:t>50,797,996</w:t>
            </w:r>
          </w:p>
        </w:tc>
        <w:tc>
          <w:tcPr>
            <w:tcW w:w="2701" w:type="dxa"/>
          </w:tcPr>
          <w:p w:rsidR="00B64E72" w14:paraId="3D569A82" w14:textId="77777777">
            <w:pPr>
              <w:pStyle w:val="TableParagraph"/>
              <w:spacing w:before="24"/>
              <w:ind w:left="891"/>
              <w:rPr>
                <w:sz w:val="20"/>
              </w:rPr>
            </w:pPr>
            <w:r>
              <w:rPr>
                <w:spacing w:val="-2"/>
                <w:sz w:val="20"/>
              </w:rPr>
              <w:t>$2,539,900</w:t>
            </w:r>
          </w:p>
        </w:tc>
      </w:tr>
    </w:tbl>
    <w:p w:rsidR="00B64E72" w14:paraId="3EDB62D8" w14:textId="77777777">
      <w:pPr>
        <w:pStyle w:val="BodyText"/>
        <w:spacing w:before="81"/>
        <w:rPr>
          <w:b/>
        </w:rPr>
      </w:pPr>
    </w:p>
    <w:p w:rsidR="00B64E72" w14:paraId="016BC234" w14:textId="77777777">
      <w:pPr>
        <w:pStyle w:val="ListParagraph"/>
        <w:numPr>
          <w:ilvl w:val="2"/>
          <w:numId w:val="3"/>
        </w:numPr>
        <w:tabs>
          <w:tab w:val="left" w:pos="2234"/>
        </w:tabs>
        <w:rPr>
          <w:sz w:val="24"/>
          <w:u w:val="none"/>
        </w:rPr>
      </w:pPr>
      <w:bookmarkStart w:id="273" w:name="4._Plan_and_Issuer_Disclosure_on_Patient"/>
      <w:bookmarkEnd w:id="273"/>
      <w:r>
        <w:rPr>
          <w:sz w:val="24"/>
        </w:rPr>
        <w:t>Plan</w:t>
      </w:r>
      <w:r>
        <w:rPr>
          <w:spacing w:val="-2"/>
          <w:sz w:val="24"/>
        </w:rPr>
        <w:t xml:space="preserve"> </w:t>
      </w:r>
      <w:r>
        <w:rPr>
          <w:sz w:val="24"/>
        </w:rPr>
        <w:t>and Issuer</w:t>
      </w:r>
      <w:r>
        <w:rPr>
          <w:spacing w:val="-3"/>
          <w:sz w:val="24"/>
        </w:rPr>
        <w:t xml:space="preserve"> </w:t>
      </w:r>
      <w:r>
        <w:rPr>
          <w:sz w:val="24"/>
        </w:rPr>
        <w:t>Disclosure</w:t>
      </w:r>
      <w:r>
        <w:rPr>
          <w:spacing w:val="-3"/>
          <w:sz w:val="24"/>
        </w:rPr>
        <w:t xml:space="preserve"> </w:t>
      </w:r>
      <w:r>
        <w:rPr>
          <w:sz w:val="24"/>
        </w:rPr>
        <w:t>on</w:t>
      </w:r>
      <w:r>
        <w:rPr>
          <w:spacing w:val="-1"/>
          <w:sz w:val="24"/>
        </w:rPr>
        <w:t xml:space="preserve"> </w:t>
      </w:r>
      <w:r>
        <w:rPr>
          <w:sz w:val="24"/>
        </w:rPr>
        <w:t>Patient</w:t>
      </w:r>
      <w:r>
        <w:rPr>
          <w:spacing w:val="-2"/>
          <w:sz w:val="24"/>
        </w:rPr>
        <w:t xml:space="preserve"> </w:t>
      </w:r>
      <w:r>
        <w:rPr>
          <w:sz w:val="24"/>
        </w:rPr>
        <w:t>Protections</w:t>
      </w:r>
      <w:r>
        <w:rPr>
          <w:spacing w:val="-1"/>
          <w:sz w:val="24"/>
        </w:rPr>
        <w:t xml:space="preserve"> </w:t>
      </w:r>
      <w:r>
        <w:rPr>
          <w:sz w:val="24"/>
        </w:rPr>
        <w:t>Against</w:t>
      </w:r>
      <w:r>
        <w:rPr>
          <w:spacing w:val="-2"/>
          <w:sz w:val="24"/>
        </w:rPr>
        <w:t xml:space="preserve"> </w:t>
      </w:r>
      <w:r>
        <w:rPr>
          <w:sz w:val="24"/>
        </w:rPr>
        <w:t>Balance</w:t>
      </w:r>
      <w:r>
        <w:rPr>
          <w:spacing w:val="-2"/>
          <w:sz w:val="24"/>
        </w:rPr>
        <w:t xml:space="preserve"> Billing</w:t>
      </w:r>
    </w:p>
    <w:p w:rsidR="00B64E72" w14:paraId="1E05EE2E" w14:textId="77777777">
      <w:pPr>
        <w:pStyle w:val="BodyText"/>
        <w:spacing w:before="31"/>
      </w:pPr>
    </w:p>
    <w:p w:rsidR="00B64E72" w14:paraId="648F1168" w14:textId="77777777">
      <w:pPr>
        <w:pStyle w:val="BodyText"/>
        <w:spacing w:before="1" w:line="259" w:lineRule="auto"/>
        <w:ind w:left="1800" w:right="1089"/>
      </w:pPr>
      <w:bookmarkStart w:id="274" w:name="Plans_and_issuers_will_include_the_discl"/>
      <w:bookmarkEnd w:id="274"/>
      <w:r>
        <w:t>Plans</w:t>
      </w:r>
      <w:r>
        <w:rPr>
          <w:spacing w:val="-4"/>
        </w:rPr>
        <w:t xml:space="preserve"> </w:t>
      </w:r>
      <w:r>
        <w:t>and</w:t>
      </w:r>
      <w:r>
        <w:rPr>
          <w:spacing w:val="-4"/>
        </w:rPr>
        <w:t xml:space="preserve"> </w:t>
      </w:r>
      <w:r>
        <w:t>issuers</w:t>
      </w:r>
      <w:r>
        <w:rPr>
          <w:spacing w:val="-4"/>
        </w:rPr>
        <w:t xml:space="preserve"> </w:t>
      </w:r>
      <w:r>
        <w:t>will</w:t>
      </w:r>
      <w:r>
        <w:rPr>
          <w:spacing w:val="-4"/>
        </w:rPr>
        <w:t xml:space="preserve"> </w:t>
      </w:r>
      <w:r>
        <w:t>include</w:t>
      </w:r>
      <w:r>
        <w:rPr>
          <w:spacing w:val="-4"/>
        </w:rPr>
        <w:t xml:space="preserve"> </w:t>
      </w:r>
      <w:r>
        <w:t>the</w:t>
      </w:r>
      <w:r>
        <w:rPr>
          <w:spacing w:val="-4"/>
        </w:rPr>
        <w:t xml:space="preserve"> </w:t>
      </w:r>
      <w:r>
        <w:t>disclosure</w:t>
      </w:r>
      <w:r>
        <w:rPr>
          <w:spacing w:val="-5"/>
        </w:rPr>
        <w:t xml:space="preserve"> </w:t>
      </w:r>
      <w:r>
        <w:t>along</w:t>
      </w:r>
      <w:r>
        <w:rPr>
          <w:spacing w:val="-2"/>
        </w:rPr>
        <w:t xml:space="preserve"> </w:t>
      </w:r>
      <w:r>
        <w:t>with</w:t>
      </w:r>
      <w:r>
        <w:rPr>
          <w:spacing w:val="-4"/>
        </w:rPr>
        <w:t xml:space="preserve"> </w:t>
      </w:r>
      <w:r>
        <w:t>the</w:t>
      </w:r>
      <w:r>
        <w:rPr>
          <w:spacing w:val="-4"/>
        </w:rPr>
        <w:t xml:space="preserve"> </w:t>
      </w:r>
      <w:r>
        <w:t>explanation</w:t>
      </w:r>
      <w:r>
        <w:rPr>
          <w:spacing w:val="-4"/>
        </w:rPr>
        <w:t xml:space="preserve"> </w:t>
      </w:r>
      <w:r>
        <w:t>of</w:t>
      </w:r>
      <w:r>
        <w:rPr>
          <w:spacing w:val="-4"/>
        </w:rPr>
        <w:t xml:space="preserve"> </w:t>
      </w:r>
      <w:r>
        <w:t>benefits.</w:t>
      </w:r>
      <w:r>
        <w:rPr>
          <w:spacing w:val="-4"/>
        </w:rPr>
        <w:t xml:space="preserve"> </w:t>
      </w:r>
      <w:r>
        <w:t>Under the same assumptions used to estimate the number of disclosures provided by nonparticipating facilities and providers, the Departments estimate that issuers and TPAs will provide the disclosure to approximately 39,690,940 individuals who receive services at emergency facilities and 11,107,056 individuals who receive non-emergency services at health care facilities, for a total of 50,797,996 disclosures. The Departments assume that 66 percent of these notices will be provided by mail and the cost of pr</w:t>
      </w:r>
      <w:r>
        <w:t>inting is $0.05 per page. Therefore, the total printing and materials cost for sending 33,526,677 notices by mail will be $1.7 million annually. There</w:t>
      </w:r>
      <w:r>
        <w:rPr>
          <w:spacing w:val="-1"/>
        </w:rPr>
        <w:t xml:space="preserve"> </w:t>
      </w:r>
      <w:r>
        <w:t>will be</w:t>
      </w:r>
      <w:r>
        <w:rPr>
          <w:spacing w:val="-1"/>
        </w:rPr>
        <w:t xml:space="preserve"> </w:t>
      </w:r>
      <w:r>
        <w:t>no additional mailing costs, since</w:t>
      </w:r>
      <w:r>
        <w:rPr>
          <w:spacing w:val="-2"/>
        </w:rPr>
        <w:t xml:space="preserve"> </w:t>
      </w:r>
      <w:r>
        <w:t>the disclosure will be enclosed with the explanation of benefits. As DOL, the Treasury Department, and HHS share jurisdiction, HHS will account for 50 percent of the printing and materials cost, or $838,167 annually.</w:t>
      </w:r>
    </w:p>
    <w:p w:rsidR="00B64E72" w14:paraId="5F9BBF0C" w14:textId="77777777">
      <w:pPr>
        <w:pStyle w:val="BodyText"/>
        <w:spacing w:before="59"/>
      </w:pPr>
    </w:p>
    <w:p w:rsidR="00B64E72" w14:paraId="74FD260B" w14:textId="77777777">
      <w:pPr>
        <w:pStyle w:val="Heading1"/>
        <w:spacing w:line="247" w:lineRule="auto"/>
      </w:pPr>
      <w:bookmarkStart w:id="275" w:name="TABLE_12:_Annual_Cost_for_Plans_and_Issu"/>
      <w:bookmarkEnd w:id="275"/>
      <w:r>
        <w:t>TABLE</w:t>
      </w:r>
      <w:r>
        <w:rPr>
          <w:spacing w:val="-4"/>
        </w:rPr>
        <w:t xml:space="preserve"> </w:t>
      </w:r>
      <w:r>
        <w:t>12:</w:t>
      </w:r>
      <w:r>
        <w:rPr>
          <w:spacing w:val="-4"/>
        </w:rPr>
        <w:t xml:space="preserve"> </w:t>
      </w:r>
      <w:r>
        <w:t>Annual</w:t>
      </w:r>
      <w:r>
        <w:rPr>
          <w:spacing w:val="-4"/>
        </w:rPr>
        <w:t xml:space="preserve"> </w:t>
      </w:r>
      <w:r>
        <w:t>Cost</w:t>
      </w:r>
      <w:r>
        <w:rPr>
          <w:spacing w:val="-4"/>
        </w:rPr>
        <w:t xml:space="preserve"> </w:t>
      </w:r>
      <w:r>
        <w:t>for</w:t>
      </w:r>
      <w:r>
        <w:rPr>
          <w:spacing w:val="-4"/>
        </w:rPr>
        <w:t xml:space="preserve"> </w:t>
      </w:r>
      <w:r>
        <w:t>Plans</w:t>
      </w:r>
      <w:r>
        <w:rPr>
          <w:spacing w:val="-4"/>
        </w:rPr>
        <w:t xml:space="preserve"> </w:t>
      </w:r>
      <w:r>
        <w:t>and</w:t>
      </w:r>
      <w:r>
        <w:rPr>
          <w:spacing w:val="-4"/>
        </w:rPr>
        <w:t xml:space="preserve"> </w:t>
      </w:r>
      <w:r>
        <w:t>Issuers</w:t>
      </w:r>
      <w:r>
        <w:rPr>
          <w:spacing w:val="-4"/>
        </w:rPr>
        <w:t xml:space="preserve"> </w:t>
      </w:r>
      <w:r>
        <w:t>to</w:t>
      </w:r>
      <w:r>
        <w:rPr>
          <w:spacing w:val="-4"/>
        </w:rPr>
        <w:t xml:space="preserve"> </w:t>
      </w:r>
      <w:r>
        <w:t>Provide</w:t>
      </w:r>
      <w:r>
        <w:rPr>
          <w:spacing w:val="-4"/>
        </w:rPr>
        <w:t xml:space="preserve"> </w:t>
      </w:r>
      <w:r>
        <w:t>Disclosure</w:t>
      </w:r>
      <w:r>
        <w:rPr>
          <w:spacing w:val="-4"/>
        </w:rPr>
        <w:t xml:space="preserve"> </w:t>
      </w:r>
      <w:r>
        <w:t>on</w:t>
      </w:r>
      <w:r>
        <w:rPr>
          <w:spacing w:val="-4"/>
        </w:rPr>
        <w:t xml:space="preserve"> </w:t>
      </w:r>
      <w:r>
        <w:t>Patient Protections Against Balance Billing</w:t>
      </w:r>
    </w:p>
    <w:p w:rsidR="00B64E72" w14:paraId="2EA96969" w14:textId="77777777">
      <w:pPr>
        <w:pStyle w:val="BodyText"/>
        <w:spacing w:before="69"/>
        <w:rPr>
          <w:b/>
          <w:sz w:val="20"/>
        </w:rPr>
      </w:pPr>
    </w:p>
    <w:tbl>
      <w:tblPr>
        <w:tblW w:w="0" w:type="auto"/>
        <w:tblInd w:w="3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67"/>
        <w:gridCol w:w="1498"/>
        <w:gridCol w:w="2252"/>
      </w:tblGrid>
      <w:tr w14:paraId="171FDC68" w14:textId="77777777">
        <w:tblPrEx>
          <w:tblW w:w="0" w:type="auto"/>
          <w:tblInd w:w="3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71"/>
        </w:trPr>
        <w:tc>
          <w:tcPr>
            <w:tcW w:w="1467" w:type="dxa"/>
          </w:tcPr>
          <w:p w:rsidR="00B64E72" w14:paraId="343DACE6" w14:textId="77777777">
            <w:pPr>
              <w:pStyle w:val="TableParagraph"/>
              <w:spacing w:before="80" w:line="247" w:lineRule="auto"/>
              <w:ind w:left="220" w:right="212" w:firstLine="108"/>
              <w:jc w:val="both"/>
              <w:rPr>
                <w:sz w:val="20"/>
              </w:rPr>
            </w:pPr>
            <w:bookmarkStart w:id="276" w:name="Estimated_Number_of_Respondents_"/>
            <w:bookmarkEnd w:id="276"/>
            <w:r>
              <w:rPr>
                <w:spacing w:val="-2"/>
                <w:sz w:val="20"/>
              </w:rPr>
              <w:t xml:space="preserve">Estimated </w:t>
            </w:r>
            <w:r>
              <w:rPr>
                <w:sz w:val="20"/>
              </w:rPr>
              <w:t xml:space="preserve">Number of </w:t>
            </w:r>
            <w:r>
              <w:rPr>
                <w:spacing w:val="-2"/>
                <w:sz w:val="20"/>
              </w:rPr>
              <w:t>Respondents</w:t>
            </w:r>
          </w:p>
        </w:tc>
        <w:tc>
          <w:tcPr>
            <w:tcW w:w="1498" w:type="dxa"/>
          </w:tcPr>
          <w:p w:rsidR="00B64E72" w14:paraId="3D1EBF88" w14:textId="77777777">
            <w:pPr>
              <w:pStyle w:val="TableParagraph"/>
              <w:spacing w:before="80" w:line="247" w:lineRule="auto"/>
              <w:ind w:left="311" w:right="302" w:firstLine="31"/>
              <w:jc w:val="both"/>
              <w:rPr>
                <w:sz w:val="20"/>
              </w:rPr>
            </w:pPr>
            <w:bookmarkStart w:id="277" w:name="Estimated_Number_of_Responses_"/>
            <w:bookmarkEnd w:id="277"/>
            <w:r>
              <w:rPr>
                <w:spacing w:val="-2"/>
                <w:sz w:val="20"/>
              </w:rPr>
              <w:t xml:space="preserve">Estimated </w:t>
            </w:r>
            <w:r>
              <w:rPr>
                <w:sz w:val="20"/>
              </w:rPr>
              <w:t>Number</w:t>
            </w:r>
            <w:r>
              <w:rPr>
                <w:spacing w:val="-13"/>
                <w:sz w:val="20"/>
              </w:rPr>
              <w:t xml:space="preserve"> </w:t>
            </w:r>
            <w:r>
              <w:rPr>
                <w:sz w:val="20"/>
              </w:rPr>
              <w:t xml:space="preserve">of </w:t>
            </w:r>
            <w:r>
              <w:rPr>
                <w:spacing w:val="-2"/>
                <w:sz w:val="20"/>
              </w:rPr>
              <w:t>Responses</w:t>
            </w:r>
          </w:p>
        </w:tc>
        <w:tc>
          <w:tcPr>
            <w:tcW w:w="2252" w:type="dxa"/>
          </w:tcPr>
          <w:p w:rsidR="00B64E72" w14:paraId="5FA6A549" w14:textId="77777777">
            <w:pPr>
              <w:pStyle w:val="TableParagraph"/>
              <w:spacing w:before="197" w:line="247" w:lineRule="auto"/>
              <w:ind w:left="366" w:right="141" w:hanging="233"/>
              <w:rPr>
                <w:sz w:val="20"/>
              </w:rPr>
            </w:pPr>
            <w:bookmarkStart w:id="278" w:name="Total_Estimated_Printing_and_Materials_C"/>
            <w:bookmarkEnd w:id="278"/>
            <w:r>
              <w:rPr>
                <w:sz w:val="20"/>
              </w:rPr>
              <w:t>Total</w:t>
            </w:r>
            <w:r>
              <w:rPr>
                <w:spacing w:val="-13"/>
                <w:sz w:val="20"/>
              </w:rPr>
              <w:t xml:space="preserve"> </w:t>
            </w:r>
            <w:r>
              <w:rPr>
                <w:sz w:val="20"/>
              </w:rPr>
              <w:t>Estimated</w:t>
            </w:r>
            <w:r>
              <w:rPr>
                <w:spacing w:val="-12"/>
                <w:sz w:val="20"/>
              </w:rPr>
              <w:t xml:space="preserve"> </w:t>
            </w:r>
            <w:r>
              <w:rPr>
                <w:sz w:val="20"/>
              </w:rPr>
              <w:t>Printing and Materials Cost</w:t>
            </w:r>
          </w:p>
        </w:tc>
      </w:tr>
      <w:tr w14:paraId="6A314A9B" w14:textId="77777777">
        <w:tblPrEx>
          <w:tblW w:w="0" w:type="auto"/>
          <w:tblInd w:w="3156" w:type="dxa"/>
          <w:tblLayout w:type="fixed"/>
          <w:tblCellMar>
            <w:left w:w="0" w:type="dxa"/>
            <w:right w:w="0" w:type="dxa"/>
          </w:tblCellMar>
          <w:tblLook w:val="01E0"/>
        </w:tblPrEx>
        <w:trPr>
          <w:trHeight w:val="290"/>
        </w:trPr>
        <w:tc>
          <w:tcPr>
            <w:tcW w:w="1467" w:type="dxa"/>
          </w:tcPr>
          <w:p w:rsidR="00B64E72" w14:paraId="3C573110" w14:textId="77777777">
            <w:pPr>
              <w:pStyle w:val="TableParagraph"/>
              <w:spacing w:before="26"/>
              <w:ind w:left="1"/>
              <w:jc w:val="center"/>
              <w:rPr>
                <w:sz w:val="20"/>
              </w:rPr>
            </w:pPr>
            <w:r>
              <w:rPr>
                <w:spacing w:val="-5"/>
                <w:sz w:val="20"/>
              </w:rPr>
              <w:t>837</w:t>
            </w:r>
          </w:p>
        </w:tc>
        <w:tc>
          <w:tcPr>
            <w:tcW w:w="1498" w:type="dxa"/>
          </w:tcPr>
          <w:p w:rsidR="00B64E72" w14:paraId="7801FDE3" w14:textId="77777777">
            <w:pPr>
              <w:pStyle w:val="TableParagraph"/>
              <w:spacing w:before="26"/>
              <w:ind w:left="292"/>
              <w:rPr>
                <w:sz w:val="20"/>
              </w:rPr>
            </w:pPr>
            <w:r>
              <w:rPr>
                <w:spacing w:val="-2"/>
                <w:sz w:val="20"/>
              </w:rPr>
              <w:t>25,398,998</w:t>
            </w:r>
          </w:p>
        </w:tc>
        <w:tc>
          <w:tcPr>
            <w:tcW w:w="2252" w:type="dxa"/>
          </w:tcPr>
          <w:p w:rsidR="00B64E72" w14:paraId="7F75EDD0" w14:textId="77777777">
            <w:pPr>
              <w:pStyle w:val="TableParagraph"/>
              <w:spacing w:before="26"/>
              <w:ind w:left="743"/>
              <w:rPr>
                <w:sz w:val="20"/>
              </w:rPr>
            </w:pPr>
            <w:r>
              <w:rPr>
                <w:spacing w:val="-2"/>
                <w:sz w:val="20"/>
              </w:rPr>
              <w:t>$838,167</w:t>
            </w:r>
          </w:p>
        </w:tc>
      </w:tr>
    </w:tbl>
    <w:p w:rsidR="00B64E72" w14:paraId="00081ADE" w14:textId="77777777">
      <w:pPr>
        <w:pStyle w:val="BodyText"/>
        <w:spacing w:before="20"/>
        <w:rPr>
          <w:b/>
        </w:rPr>
      </w:pPr>
    </w:p>
    <w:p w:rsidR="00B64E72" w14:paraId="51FB621B" w14:textId="77777777">
      <w:pPr>
        <w:spacing w:line="261" w:lineRule="auto"/>
        <w:ind w:left="1442" w:right="1369"/>
        <w:rPr>
          <w:b/>
          <w:sz w:val="24"/>
        </w:rPr>
      </w:pPr>
      <w:bookmarkStart w:id="279" w:name="TABLE_13:_Summary_of_Total_Annual_Burden"/>
      <w:bookmarkEnd w:id="279"/>
      <w:r>
        <w:rPr>
          <w:b/>
          <w:sz w:val="24"/>
        </w:rPr>
        <w:t>TABLE</w:t>
      </w:r>
      <w:r>
        <w:rPr>
          <w:b/>
          <w:spacing w:val="-3"/>
          <w:sz w:val="24"/>
        </w:rPr>
        <w:t xml:space="preserve"> </w:t>
      </w:r>
      <w:r>
        <w:rPr>
          <w:b/>
          <w:sz w:val="24"/>
        </w:rPr>
        <w:t>13:</w:t>
      </w:r>
      <w:r>
        <w:rPr>
          <w:b/>
          <w:spacing w:val="-4"/>
          <w:sz w:val="24"/>
        </w:rPr>
        <w:t xml:space="preserve"> </w:t>
      </w:r>
      <w:r>
        <w:rPr>
          <w:b/>
          <w:sz w:val="24"/>
        </w:rPr>
        <w:t>Summary</w:t>
      </w:r>
      <w:r>
        <w:rPr>
          <w:b/>
          <w:spacing w:val="-4"/>
          <w:sz w:val="24"/>
        </w:rPr>
        <w:t xml:space="preserve"> </w:t>
      </w:r>
      <w:r>
        <w:rPr>
          <w:b/>
          <w:sz w:val="24"/>
        </w:rPr>
        <w:t>of</w:t>
      </w:r>
      <w:r>
        <w:rPr>
          <w:b/>
          <w:spacing w:val="-4"/>
          <w:sz w:val="24"/>
        </w:rPr>
        <w:t xml:space="preserve"> </w:t>
      </w:r>
      <w:r>
        <w:rPr>
          <w:b/>
          <w:sz w:val="24"/>
        </w:rPr>
        <w:t>Total</w:t>
      </w:r>
      <w:r>
        <w:rPr>
          <w:b/>
          <w:spacing w:val="-4"/>
          <w:sz w:val="24"/>
        </w:rPr>
        <w:t xml:space="preserve"> </w:t>
      </w:r>
      <w:r>
        <w:rPr>
          <w:b/>
          <w:sz w:val="24"/>
        </w:rPr>
        <w:t>Annual</w:t>
      </w:r>
      <w:r>
        <w:rPr>
          <w:b/>
          <w:spacing w:val="-4"/>
          <w:sz w:val="24"/>
        </w:rPr>
        <w:t xml:space="preserve"> </w:t>
      </w:r>
      <w:r>
        <w:rPr>
          <w:b/>
          <w:sz w:val="24"/>
        </w:rPr>
        <w:t>Burden</w:t>
      </w:r>
      <w:r>
        <w:rPr>
          <w:b/>
          <w:spacing w:val="-5"/>
          <w:sz w:val="24"/>
        </w:rPr>
        <w:t xml:space="preserve"> </w:t>
      </w:r>
      <w:r>
        <w:rPr>
          <w:b/>
          <w:sz w:val="24"/>
        </w:rPr>
        <w:t>Estimates</w:t>
      </w:r>
      <w:r>
        <w:rPr>
          <w:b/>
          <w:spacing w:val="-4"/>
          <w:sz w:val="24"/>
        </w:rPr>
        <w:t xml:space="preserve"> </w:t>
      </w:r>
      <w:r>
        <w:rPr>
          <w:b/>
          <w:sz w:val="24"/>
        </w:rPr>
        <w:t>for</w:t>
      </w:r>
      <w:r>
        <w:rPr>
          <w:b/>
          <w:spacing w:val="-4"/>
          <w:sz w:val="24"/>
        </w:rPr>
        <w:t xml:space="preserve"> </w:t>
      </w:r>
      <w:r>
        <w:rPr>
          <w:b/>
          <w:sz w:val="24"/>
        </w:rPr>
        <w:t>HHS</w:t>
      </w:r>
      <w:r>
        <w:rPr>
          <w:b/>
          <w:spacing w:val="-4"/>
          <w:sz w:val="24"/>
        </w:rPr>
        <w:t xml:space="preserve"> </w:t>
      </w:r>
      <w:r>
        <w:rPr>
          <w:b/>
          <w:sz w:val="24"/>
        </w:rPr>
        <w:t>related</w:t>
      </w:r>
      <w:r>
        <w:rPr>
          <w:b/>
          <w:spacing w:val="-4"/>
          <w:sz w:val="24"/>
        </w:rPr>
        <w:t xml:space="preserve"> </w:t>
      </w:r>
      <w:r>
        <w:rPr>
          <w:b/>
          <w:sz w:val="24"/>
        </w:rPr>
        <w:t>to</w:t>
      </w:r>
      <w:r>
        <w:rPr>
          <w:b/>
          <w:spacing w:val="-4"/>
          <w:sz w:val="24"/>
        </w:rPr>
        <w:t xml:space="preserve"> </w:t>
      </w:r>
      <w:r>
        <w:rPr>
          <w:b/>
          <w:sz w:val="24"/>
        </w:rPr>
        <w:t>these Information Collection Requests</w:t>
      </w:r>
    </w:p>
    <w:p w:rsidR="00B64E72" w14:paraId="33EF8D23" w14:textId="77777777">
      <w:pPr>
        <w:pStyle w:val="BodyText"/>
        <w:spacing w:before="65"/>
        <w:rPr>
          <w:b/>
          <w:sz w:val="20"/>
        </w:rPr>
      </w:pPr>
    </w:p>
    <w:tbl>
      <w:tblPr>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2"/>
        <w:gridCol w:w="1135"/>
        <w:gridCol w:w="1080"/>
        <w:gridCol w:w="988"/>
        <w:gridCol w:w="1079"/>
        <w:gridCol w:w="1171"/>
        <w:gridCol w:w="1444"/>
        <w:gridCol w:w="1265"/>
        <w:gridCol w:w="1519"/>
      </w:tblGrid>
      <w:tr w14:paraId="67932E35" w14:textId="77777777">
        <w:tblPrEx>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9"/>
        </w:trPr>
        <w:tc>
          <w:tcPr>
            <w:tcW w:w="1152" w:type="dxa"/>
          </w:tcPr>
          <w:p w:rsidR="00B64E72" w14:paraId="08064B57" w14:textId="77777777">
            <w:pPr>
              <w:pStyle w:val="TableParagraph"/>
              <w:spacing w:before="140"/>
              <w:rPr>
                <w:b/>
                <w:sz w:val="18"/>
              </w:rPr>
            </w:pPr>
          </w:p>
          <w:p w:rsidR="00B64E72" w14:paraId="7484F0FD" w14:textId="77777777">
            <w:pPr>
              <w:pStyle w:val="TableParagraph"/>
              <w:ind w:left="305" w:hanging="126"/>
              <w:rPr>
                <w:sz w:val="18"/>
              </w:rPr>
            </w:pPr>
            <w:r>
              <w:rPr>
                <w:spacing w:val="-2"/>
                <w:sz w:val="18"/>
              </w:rPr>
              <w:t>Regulation Section</w:t>
            </w:r>
          </w:p>
        </w:tc>
        <w:tc>
          <w:tcPr>
            <w:tcW w:w="1135" w:type="dxa"/>
          </w:tcPr>
          <w:p w:rsidR="00B64E72" w14:paraId="2B1E1671" w14:textId="77777777">
            <w:pPr>
              <w:pStyle w:val="TableParagraph"/>
              <w:rPr>
                <w:b/>
                <w:sz w:val="18"/>
              </w:rPr>
            </w:pPr>
          </w:p>
          <w:p w:rsidR="00B64E72" w14:paraId="3C4FC2B2" w14:textId="77777777">
            <w:pPr>
              <w:pStyle w:val="TableParagraph"/>
              <w:spacing w:before="32"/>
              <w:rPr>
                <w:b/>
                <w:sz w:val="18"/>
              </w:rPr>
            </w:pPr>
          </w:p>
          <w:p w:rsidR="00B64E72" w14:paraId="5AECF1BE" w14:textId="77777777">
            <w:pPr>
              <w:pStyle w:val="TableParagraph"/>
              <w:ind w:left="13" w:right="1"/>
              <w:jc w:val="center"/>
              <w:rPr>
                <w:sz w:val="18"/>
              </w:rPr>
            </w:pPr>
            <w:r>
              <w:rPr>
                <w:spacing w:val="-2"/>
                <w:sz w:val="18"/>
              </w:rPr>
              <w:t>Respondents</w:t>
            </w:r>
          </w:p>
        </w:tc>
        <w:tc>
          <w:tcPr>
            <w:tcW w:w="1080" w:type="dxa"/>
          </w:tcPr>
          <w:p w:rsidR="00B64E72" w14:paraId="4F02E003" w14:textId="77777777">
            <w:pPr>
              <w:pStyle w:val="TableParagraph"/>
              <w:rPr>
                <w:b/>
                <w:sz w:val="18"/>
              </w:rPr>
            </w:pPr>
          </w:p>
          <w:p w:rsidR="00B64E72" w14:paraId="3C58B2B3" w14:textId="77777777">
            <w:pPr>
              <w:pStyle w:val="TableParagraph"/>
              <w:spacing w:before="32"/>
              <w:rPr>
                <w:b/>
                <w:sz w:val="18"/>
              </w:rPr>
            </w:pPr>
          </w:p>
          <w:p w:rsidR="00B64E72" w14:paraId="31CC4E2D" w14:textId="77777777">
            <w:pPr>
              <w:pStyle w:val="TableParagraph"/>
              <w:ind w:left="12" w:right="4"/>
              <w:jc w:val="center"/>
              <w:rPr>
                <w:sz w:val="18"/>
              </w:rPr>
            </w:pPr>
            <w:r>
              <w:rPr>
                <w:spacing w:val="-2"/>
                <w:sz w:val="18"/>
              </w:rPr>
              <w:t>Responses</w:t>
            </w:r>
          </w:p>
        </w:tc>
        <w:tc>
          <w:tcPr>
            <w:tcW w:w="988" w:type="dxa"/>
          </w:tcPr>
          <w:p w:rsidR="00B64E72" w14:paraId="05DFE353" w14:textId="77777777">
            <w:pPr>
              <w:pStyle w:val="TableParagraph"/>
              <w:spacing w:before="124" w:line="249" w:lineRule="auto"/>
              <w:ind w:left="147" w:right="136" w:hanging="3"/>
              <w:jc w:val="center"/>
              <w:rPr>
                <w:sz w:val="18"/>
              </w:rPr>
            </w:pPr>
            <w:r>
              <w:rPr>
                <w:spacing w:val="-2"/>
                <w:sz w:val="18"/>
              </w:rPr>
              <w:t xml:space="preserve">Burden </w:t>
            </w:r>
            <w:r>
              <w:rPr>
                <w:spacing w:val="-4"/>
                <w:sz w:val="18"/>
              </w:rPr>
              <w:t xml:space="preserve">per </w:t>
            </w:r>
            <w:r>
              <w:rPr>
                <w:spacing w:val="-2"/>
                <w:sz w:val="18"/>
              </w:rPr>
              <w:t>Response (hours)</w:t>
            </w:r>
          </w:p>
        </w:tc>
        <w:tc>
          <w:tcPr>
            <w:tcW w:w="1079" w:type="dxa"/>
          </w:tcPr>
          <w:p w:rsidR="00B64E72" w14:paraId="7920ABDC" w14:textId="77777777">
            <w:pPr>
              <w:pStyle w:val="TableParagraph"/>
              <w:spacing w:before="124" w:line="249" w:lineRule="auto"/>
              <w:ind w:left="275" w:right="256" w:firstLine="74"/>
              <w:rPr>
                <w:sz w:val="18"/>
              </w:rPr>
            </w:pPr>
            <w:r>
              <w:rPr>
                <w:spacing w:val="-4"/>
                <w:sz w:val="18"/>
              </w:rPr>
              <w:t xml:space="preserve">Total </w:t>
            </w:r>
            <w:r>
              <w:rPr>
                <w:spacing w:val="-2"/>
                <w:sz w:val="18"/>
              </w:rPr>
              <w:t>Annual Burden (hours)</w:t>
            </w:r>
          </w:p>
        </w:tc>
        <w:tc>
          <w:tcPr>
            <w:tcW w:w="1171" w:type="dxa"/>
          </w:tcPr>
          <w:p w:rsidR="00B64E72" w14:paraId="756E066A" w14:textId="77777777">
            <w:pPr>
              <w:pStyle w:val="TableParagraph"/>
              <w:spacing w:before="25"/>
              <w:rPr>
                <w:b/>
                <w:sz w:val="18"/>
              </w:rPr>
            </w:pPr>
          </w:p>
          <w:p w:rsidR="00B64E72" w14:paraId="18F8F524" w14:textId="77777777">
            <w:pPr>
              <w:pStyle w:val="TableParagraph"/>
              <w:spacing w:line="247" w:lineRule="auto"/>
              <w:ind w:left="130" w:right="113" w:hanging="12"/>
              <w:jc w:val="center"/>
              <w:rPr>
                <w:sz w:val="18"/>
              </w:rPr>
            </w:pPr>
            <w:r>
              <w:rPr>
                <w:spacing w:val="-2"/>
                <w:sz w:val="18"/>
              </w:rPr>
              <w:t xml:space="preserve">Hourly </w:t>
            </w:r>
            <w:r>
              <w:rPr>
                <w:sz w:val="18"/>
              </w:rPr>
              <w:t>Labor Cost of</w:t>
            </w:r>
            <w:r>
              <w:rPr>
                <w:spacing w:val="-12"/>
                <w:sz w:val="18"/>
              </w:rPr>
              <w:t xml:space="preserve"> </w:t>
            </w:r>
            <w:r>
              <w:rPr>
                <w:sz w:val="18"/>
              </w:rPr>
              <w:t>Reporting</w:t>
            </w:r>
          </w:p>
        </w:tc>
        <w:tc>
          <w:tcPr>
            <w:tcW w:w="1444" w:type="dxa"/>
          </w:tcPr>
          <w:p w:rsidR="00B64E72" w14:paraId="21E11775" w14:textId="77777777">
            <w:pPr>
              <w:pStyle w:val="TableParagraph"/>
              <w:spacing w:before="25"/>
              <w:rPr>
                <w:b/>
                <w:sz w:val="18"/>
              </w:rPr>
            </w:pPr>
          </w:p>
          <w:p w:rsidR="00B64E72" w14:paraId="534DB1E1" w14:textId="77777777">
            <w:pPr>
              <w:pStyle w:val="TableParagraph"/>
              <w:spacing w:line="247" w:lineRule="auto"/>
              <w:ind w:left="171" w:right="130"/>
              <w:jc w:val="center"/>
              <w:rPr>
                <w:sz w:val="18"/>
              </w:rPr>
            </w:pPr>
            <w:r>
              <w:rPr>
                <w:sz w:val="18"/>
              </w:rPr>
              <w:t>Total</w:t>
            </w:r>
            <w:r>
              <w:rPr>
                <w:spacing w:val="-12"/>
                <w:sz w:val="18"/>
              </w:rPr>
              <w:t xml:space="preserve"> </w:t>
            </w:r>
            <w:r>
              <w:rPr>
                <w:sz w:val="18"/>
              </w:rPr>
              <w:t xml:space="preserve">Labor Cost of </w:t>
            </w:r>
            <w:r>
              <w:rPr>
                <w:spacing w:val="-2"/>
                <w:sz w:val="18"/>
              </w:rPr>
              <w:t>Reporting</w:t>
            </w:r>
          </w:p>
        </w:tc>
        <w:tc>
          <w:tcPr>
            <w:tcW w:w="1265" w:type="dxa"/>
          </w:tcPr>
          <w:p w:rsidR="00B64E72" w14:paraId="66ADDE6D" w14:textId="77777777">
            <w:pPr>
              <w:pStyle w:val="TableParagraph"/>
              <w:spacing w:before="25"/>
              <w:rPr>
                <w:b/>
                <w:sz w:val="18"/>
              </w:rPr>
            </w:pPr>
          </w:p>
          <w:p w:rsidR="00B64E72" w14:paraId="373AE5B2" w14:textId="77777777">
            <w:pPr>
              <w:pStyle w:val="TableParagraph"/>
              <w:spacing w:line="247" w:lineRule="auto"/>
              <w:ind w:left="168" w:right="150"/>
              <w:jc w:val="center"/>
              <w:rPr>
                <w:sz w:val="18"/>
              </w:rPr>
            </w:pPr>
            <w:r>
              <w:rPr>
                <w:sz w:val="18"/>
              </w:rPr>
              <w:t>Printing</w:t>
            </w:r>
            <w:r>
              <w:rPr>
                <w:spacing w:val="-12"/>
                <w:sz w:val="18"/>
              </w:rPr>
              <w:t xml:space="preserve"> </w:t>
            </w:r>
            <w:r>
              <w:rPr>
                <w:sz w:val="18"/>
              </w:rPr>
              <w:t xml:space="preserve">and </w:t>
            </w:r>
            <w:r>
              <w:rPr>
                <w:spacing w:val="-2"/>
                <w:sz w:val="18"/>
              </w:rPr>
              <w:t xml:space="preserve">Materials </w:t>
            </w:r>
            <w:r>
              <w:rPr>
                <w:spacing w:val="-4"/>
                <w:sz w:val="18"/>
              </w:rPr>
              <w:t>Cost</w:t>
            </w:r>
          </w:p>
        </w:tc>
        <w:tc>
          <w:tcPr>
            <w:tcW w:w="1519" w:type="dxa"/>
          </w:tcPr>
          <w:p w:rsidR="00B64E72" w14:paraId="698ABF4B" w14:textId="77777777">
            <w:pPr>
              <w:pStyle w:val="TableParagraph"/>
              <w:rPr>
                <w:b/>
                <w:sz w:val="18"/>
              </w:rPr>
            </w:pPr>
          </w:p>
          <w:p w:rsidR="00B64E72" w14:paraId="0AD99417" w14:textId="77777777">
            <w:pPr>
              <w:pStyle w:val="TableParagraph"/>
              <w:spacing w:before="32"/>
              <w:rPr>
                <w:b/>
                <w:sz w:val="18"/>
              </w:rPr>
            </w:pPr>
          </w:p>
          <w:p w:rsidR="00B64E72" w14:paraId="5812E2C9" w14:textId="77777777">
            <w:pPr>
              <w:pStyle w:val="TableParagraph"/>
              <w:ind w:left="21"/>
              <w:jc w:val="center"/>
              <w:rPr>
                <w:sz w:val="18"/>
              </w:rPr>
            </w:pPr>
            <w:r>
              <w:rPr>
                <w:sz w:val="18"/>
              </w:rPr>
              <w:t>Total</w:t>
            </w:r>
            <w:r>
              <w:rPr>
                <w:spacing w:val="1"/>
                <w:sz w:val="18"/>
              </w:rPr>
              <w:t xml:space="preserve"> </w:t>
            </w:r>
            <w:r>
              <w:rPr>
                <w:spacing w:val="-4"/>
                <w:sz w:val="18"/>
              </w:rPr>
              <w:t>Cost</w:t>
            </w:r>
          </w:p>
        </w:tc>
      </w:tr>
      <w:tr w14:paraId="4DB2C250" w14:textId="77777777">
        <w:tblPrEx>
          <w:tblW w:w="0" w:type="auto"/>
          <w:tblInd w:w="664" w:type="dxa"/>
          <w:tblLayout w:type="fixed"/>
          <w:tblCellMar>
            <w:left w:w="0" w:type="dxa"/>
            <w:right w:w="0" w:type="dxa"/>
          </w:tblCellMar>
          <w:tblLook w:val="01E0"/>
        </w:tblPrEx>
        <w:trPr>
          <w:trHeight w:val="301"/>
        </w:trPr>
        <w:tc>
          <w:tcPr>
            <w:tcW w:w="1152" w:type="dxa"/>
          </w:tcPr>
          <w:p w:rsidR="00B64E72" w14:paraId="14608465" w14:textId="77777777">
            <w:pPr>
              <w:pStyle w:val="TableParagraph"/>
              <w:spacing w:before="43"/>
              <w:ind w:left="132"/>
              <w:rPr>
                <w:sz w:val="18"/>
              </w:rPr>
            </w:pPr>
            <w:bookmarkStart w:id="280" w:name="§149.140(d)_"/>
            <w:bookmarkEnd w:id="280"/>
            <w:r>
              <w:rPr>
                <w:spacing w:val="-2"/>
                <w:sz w:val="18"/>
              </w:rPr>
              <w:t>§149.140(d)</w:t>
            </w:r>
          </w:p>
        </w:tc>
        <w:tc>
          <w:tcPr>
            <w:tcW w:w="1135" w:type="dxa"/>
          </w:tcPr>
          <w:p w:rsidR="00B64E72" w14:paraId="55C3C1B3" w14:textId="77777777">
            <w:pPr>
              <w:pStyle w:val="TableParagraph"/>
              <w:spacing w:before="86" w:line="196" w:lineRule="exact"/>
              <w:ind w:left="13"/>
              <w:jc w:val="center"/>
              <w:rPr>
                <w:sz w:val="18"/>
              </w:rPr>
            </w:pPr>
            <w:r>
              <w:rPr>
                <w:spacing w:val="-5"/>
                <w:sz w:val="18"/>
              </w:rPr>
              <w:t>837</w:t>
            </w:r>
          </w:p>
        </w:tc>
        <w:tc>
          <w:tcPr>
            <w:tcW w:w="1080" w:type="dxa"/>
          </w:tcPr>
          <w:p w:rsidR="00B64E72" w14:paraId="51EAD3E8" w14:textId="77777777">
            <w:pPr>
              <w:pStyle w:val="TableParagraph"/>
              <w:spacing w:before="86" w:line="196" w:lineRule="exact"/>
              <w:ind w:left="12"/>
              <w:jc w:val="center"/>
              <w:rPr>
                <w:sz w:val="18"/>
              </w:rPr>
            </w:pPr>
            <w:bookmarkStart w:id="281" w:name="4,069,713_"/>
            <w:bookmarkEnd w:id="281"/>
            <w:r>
              <w:rPr>
                <w:spacing w:val="-2"/>
                <w:sz w:val="18"/>
              </w:rPr>
              <w:t>4,069,713</w:t>
            </w:r>
          </w:p>
        </w:tc>
        <w:tc>
          <w:tcPr>
            <w:tcW w:w="988" w:type="dxa"/>
          </w:tcPr>
          <w:p w:rsidR="00B64E72" w14:paraId="38D049FE" w14:textId="77777777">
            <w:pPr>
              <w:pStyle w:val="TableParagraph"/>
              <w:spacing w:before="86" w:line="196" w:lineRule="exact"/>
              <w:ind w:left="9" w:right="3"/>
              <w:jc w:val="center"/>
              <w:rPr>
                <w:sz w:val="18"/>
              </w:rPr>
            </w:pPr>
            <w:bookmarkStart w:id="282" w:name="0.19_"/>
            <w:bookmarkEnd w:id="282"/>
            <w:r>
              <w:rPr>
                <w:spacing w:val="-4"/>
                <w:sz w:val="18"/>
              </w:rPr>
              <w:t>0.19</w:t>
            </w:r>
          </w:p>
        </w:tc>
        <w:tc>
          <w:tcPr>
            <w:tcW w:w="1079" w:type="dxa"/>
          </w:tcPr>
          <w:p w:rsidR="00B64E72" w14:paraId="29B35F87" w14:textId="77777777">
            <w:pPr>
              <w:pStyle w:val="TableParagraph"/>
              <w:spacing w:before="86" w:line="196" w:lineRule="exact"/>
              <w:ind w:left="15"/>
              <w:jc w:val="center"/>
              <w:rPr>
                <w:sz w:val="18"/>
              </w:rPr>
            </w:pPr>
            <w:bookmarkStart w:id="283" w:name="789,054_"/>
            <w:bookmarkEnd w:id="283"/>
            <w:r>
              <w:rPr>
                <w:spacing w:val="-2"/>
                <w:sz w:val="18"/>
              </w:rPr>
              <w:t>789,054</w:t>
            </w:r>
          </w:p>
        </w:tc>
        <w:tc>
          <w:tcPr>
            <w:tcW w:w="1171" w:type="dxa"/>
          </w:tcPr>
          <w:p w:rsidR="00B64E72" w14:paraId="6164981B" w14:textId="77777777">
            <w:pPr>
              <w:pStyle w:val="TableParagraph"/>
              <w:spacing w:before="86" w:line="196" w:lineRule="exact"/>
              <w:ind w:left="163" w:right="151"/>
              <w:jc w:val="center"/>
              <w:rPr>
                <w:sz w:val="18"/>
              </w:rPr>
            </w:pPr>
            <w:r>
              <w:rPr>
                <w:spacing w:val="-2"/>
                <w:sz w:val="18"/>
              </w:rPr>
              <w:t>$39.08</w:t>
            </w:r>
          </w:p>
        </w:tc>
        <w:tc>
          <w:tcPr>
            <w:tcW w:w="1444" w:type="dxa"/>
          </w:tcPr>
          <w:p w:rsidR="00B64E72" w14:paraId="6B2C2A62" w14:textId="77777777">
            <w:pPr>
              <w:pStyle w:val="TableParagraph"/>
              <w:spacing w:before="86" w:line="196" w:lineRule="exact"/>
              <w:ind w:left="171" w:right="155"/>
              <w:jc w:val="center"/>
              <w:rPr>
                <w:sz w:val="18"/>
              </w:rPr>
            </w:pPr>
            <w:r>
              <w:rPr>
                <w:spacing w:val="-2"/>
                <w:sz w:val="18"/>
              </w:rPr>
              <w:t>$30,836,231</w:t>
            </w:r>
          </w:p>
        </w:tc>
        <w:tc>
          <w:tcPr>
            <w:tcW w:w="1265" w:type="dxa"/>
          </w:tcPr>
          <w:p w:rsidR="00B64E72" w14:paraId="1862E4FE" w14:textId="77777777">
            <w:pPr>
              <w:pStyle w:val="TableParagraph"/>
              <w:spacing w:before="86" w:line="196" w:lineRule="exact"/>
              <w:ind w:left="170" w:right="150"/>
              <w:jc w:val="center"/>
              <w:rPr>
                <w:sz w:val="18"/>
              </w:rPr>
            </w:pPr>
            <w:r>
              <w:rPr>
                <w:spacing w:val="-2"/>
                <w:sz w:val="18"/>
              </w:rPr>
              <w:t>$0.00</w:t>
            </w:r>
          </w:p>
        </w:tc>
        <w:tc>
          <w:tcPr>
            <w:tcW w:w="1519" w:type="dxa"/>
          </w:tcPr>
          <w:p w:rsidR="00B64E72" w14:paraId="24F7B3A0" w14:textId="77777777">
            <w:pPr>
              <w:pStyle w:val="TableParagraph"/>
              <w:spacing w:before="86" w:line="196" w:lineRule="exact"/>
              <w:ind w:left="21" w:right="1"/>
              <w:jc w:val="center"/>
              <w:rPr>
                <w:sz w:val="18"/>
              </w:rPr>
            </w:pPr>
            <w:bookmarkStart w:id="284" w:name="$30,836,231_"/>
            <w:bookmarkEnd w:id="284"/>
            <w:r>
              <w:rPr>
                <w:spacing w:val="-2"/>
                <w:sz w:val="18"/>
              </w:rPr>
              <w:t>$30,836,231</w:t>
            </w:r>
          </w:p>
        </w:tc>
      </w:tr>
      <w:tr w14:paraId="238A9CD6" w14:textId="77777777">
        <w:tblPrEx>
          <w:tblW w:w="0" w:type="auto"/>
          <w:tblInd w:w="664" w:type="dxa"/>
          <w:tblLayout w:type="fixed"/>
          <w:tblCellMar>
            <w:left w:w="0" w:type="dxa"/>
            <w:right w:w="0" w:type="dxa"/>
          </w:tblCellMar>
          <w:tblLook w:val="01E0"/>
        </w:tblPrEx>
        <w:trPr>
          <w:trHeight w:val="645"/>
        </w:trPr>
        <w:tc>
          <w:tcPr>
            <w:tcW w:w="1152" w:type="dxa"/>
          </w:tcPr>
          <w:p w:rsidR="00B64E72" w14:paraId="5DD551F3" w14:textId="77777777">
            <w:pPr>
              <w:pStyle w:val="TableParagraph"/>
              <w:spacing w:line="207" w:lineRule="exact"/>
              <w:jc w:val="center"/>
              <w:rPr>
                <w:sz w:val="18"/>
              </w:rPr>
            </w:pPr>
            <w:bookmarkStart w:id="285" w:name="§149.140(f)_-_Initial_Audit_"/>
            <w:bookmarkEnd w:id="285"/>
            <w:r>
              <w:rPr>
                <w:spacing w:val="-2"/>
                <w:sz w:val="18"/>
              </w:rPr>
              <w:t>§149.140(f)</w:t>
            </w:r>
          </w:p>
          <w:p w:rsidR="00B64E72" w14:paraId="5BB5BDC7" w14:textId="77777777">
            <w:pPr>
              <w:pStyle w:val="TableParagraph"/>
              <w:spacing w:line="210" w:lineRule="atLeast"/>
              <w:ind w:left="135" w:right="123"/>
              <w:jc w:val="center"/>
              <w:rPr>
                <w:sz w:val="18"/>
              </w:rPr>
            </w:pPr>
            <w:r>
              <w:rPr>
                <w:sz w:val="18"/>
              </w:rPr>
              <w:t>-</w:t>
            </w:r>
            <w:r>
              <w:rPr>
                <w:spacing w:val="-12"/>
                <w:sz w:val="18"/>
              </w:rPr>
              <w:t xml:space="preserve"> </w:t>
            </w:r>
            <w:r>
              <w:rPr>
                <w:sz w:val="18"/>
              </w:rPr>
              <w:t xml:space="preserve">Initial </w:t>
            </w:r>
            <w:r>
              <w:rPr>
                <w:spacing w:val="-2"/>
                <w:sz w:val="18"/>
              </w:rPr>
              <w:t>Audit</w:t>
            </w:r>
          </w:p>
        </w:tc>
        <w:tc>
          <w:tcPr>
            <w:tcW w:w="1135" w:type="dxa"/>
          </w:tcPr>
          <w:p w:rsidR="00B64E72" w14:paraId="663E67B6" w14:textId="77777777">
            <w:pPr>
              <w:pStyle w:val="TableParagraph"/>
              <w:rPr>
                <w:b/>
                <w:sz w:val="18"/>
              </w:rPr>
            </w:pPr>
          </w:p>
          <w:p w:rsidR="00B64E72" w14:paraId="031DAAF4" w14:textId="77777777">
            <w:pPr>
              <w:pStyle w:val="TableParagraph"/>
              <w:spacing w:before="12"/>
              <w:rPr>
                <w:b/>
                <w:sz w:val="18"/>
              </w:rPr>
            </w:pPr>
          </w:p>
          <w:p w:rsidR="00B64E72" w14:paraId="24341375" w14:textId="77777777">
            <w:pPr>
              <w:pStyle w:val="TableParagraph"/>
              <w:spacing w:before="1" w:line="198" w:lineRule="exact"/>
              <w:ind w:left="13"/>
              <w:jc w:val="center"/>
              <w:rPr>
                <w:sz w:val="18"/>
              </w:rPr>
            </w:pPr>
            <w:r>
              <w:rPr>
                <w:spacing w:val="-5"/>
                <w:sz w:val="18"/>
              </w:rPr>
              <w:t>25</w:t>
            </w:r>
          </w:p>
        </w:tc>
        <w:tc>
          <w:tcPr>
            <w:tcW w:w="1080" w:type="dxa"/>
          </w:tcPr>
          <w:p w:rsidR="00B64E72" w14:paraId="7CDB278D" w14:textId="77777777">
            <w:pPr>
              <w:pStyle w:val="TableParagraph"/>
              <w:rPr>
                <w:b/>
                <w:sz w:val="18"/>
              </w:rPr>
            </w:pPr>
          </w:p>
          <w:p w:rsidR="00B64E72" w14:paraId="7E8937F7" w14:textId="77777777">
            <w:pPr>
              <w:pStyle w:val="TableParagraph"/>
              <w:spacing w:before="12"/>
              <w:rPr>
                <w:b/>
                <w:sz w:val="18"/>
              </w:rPr>
            </w:pPr>
          </w:p>
          <w:p w:rsidR="00B64E72" w14:paraId="713506B9" w14:textId="77777777">
            <w:pPr>
              <w:pStyle w:val="TableParagraph"/>
              <w:spacing w:before="1" w:line="198" w:lineRule="exact"/>
              <w:ind w:left="12" w:right="1"/>
              <w:jc w:val="center"/>
              <w:rPr>
                <w:sz w:val="18"/>
              </w:rPr>
            </w:pPr>
            <w:bookmarkStart w:id="286" w:name="300_"/>
            <w:bookmarkEnd w:id="286"/>
            <w:r>
              <w:rPr>
                <w:spacing w:val="-5"/>
                <w:sz w:val="18"/>
              </w:rPr>
              <w:t>300</w:t>
            </w:r>
          </w:p>
        </w:tc>
        <w:tc>
          <w:tcPr>
            <w:tcW w:w="988" w:type="dxa"/>
          </w:tcPr>
          <w:p w:rsidR="00B64E72" w14:paraId="1A4FDB20" w14:textId="77777777">
            <w:pPr>
              <w:pStyle w:val="TableParagraph"/>
              <w:rPr>
                <w:b/>
                <w:sz w:val="18"/>
              </w:rPr>
            </w:pPr>
          </w:p>
          <w:p w:rsidR="00B64E72" w14:paraId="04960E1B" w14:textId="77777777">
            <w:pPr>
              <w:pStyle w:val="TableParagraph"/>
              <w:spacing w:before="12"/>
              <w:rPr>
                <w:b/>
                <w:sz w:val="18"/>
              </w:rPr>
            </w:pPr>
          </w:p>
          <w:p w:rsidR="00B64E72" w14:paraId="0BA7CD1F" w14:textId="77777777">
            <w:pPr>
              <w:pStyle w:val="TableParagraph"/>
              <w:spacing w:before="1" w:line="198" w:lineRule="exact"/>
              <w:ind w:left="9"/>
              <w:jc w:val="center"/>
              <w:rPr>
                <w:sz w:val="18"/>
              </w:rPr>
            </w:pPr>
            <w:bookmarkStart w:id="287" w:name="120.00_"/>
            <w:bookmarkEnd w:id="287"/>
            <w:r>
              <w:rPr>
                <w:spacing w:val="-2"/>
                <w:sz w:val="18"/>
              </w:rPr>
              <w:t>120.00</w:t>
            </w:r>
          </w:p>
        </w:tc>
        <w:tc>
          <w:tcPr>
            <w:tcW w:w="1079" w:type="dxa"/>
          </w:tcPr>
          <w:p w:rsidR="00B64E72" w14:paraId="3F74D14A" w14:textId="77777777">
            <w:pPr>
              <w:pStyle w:val="TableParagraph"/>
              <w:rPr>
                <w:b/>
                <w:sz w:val="18"/>
              </w:rPr>
            </w:pPr>
          </w:p>
          <w:p w:rsidR="00B64E72" w14:paraId="7F8DD21B" w14:textId="77777777">
            <w:pPr>
              <w:pStyle w:val="TableParagraph"/>
              <w:spacing w:before="12"/>
              <w:rPr>
                <w:b/>
                <w:sz w:val="18"/>
              </w:rPr>
            </w:pPr>
          </w:p>
          <w:p w:rsidR="00B64E72" w14:paraId="7EC247EC" w14:textId="77777777">
            <w:pPr>
              <w:pStyle w:val="TableParagraph"/>
              <w:spacing w:before="1" w:line="198" w:lineRule="exact"/>
              <w:ind w:left="15" w:right="2"/>
              <w:jc w:val="center"/>
              <w:rPr>
                <w:sz w:val="18"/>
              </w:rPr>
            </w:pPr>
            <w:bookmarkStart w:id="288" w:name="3,000_"/>
            <w:bookmarkEnd w:id="288"/>
            <w:r>
              <w:rPr>
                <w:spacing w:val="-2"/>
                <w:sz w:val="18"/>
              </w:rPr>
              <w:t>3,000</w:t>
            </w:r>
          </w:p>
        </w:tc>
        <w:tc>
          <w:tcPr>
            <w:tcW w:w="1171" w:type="dxa"/>
          </w:tcPr>
          <w:p w:rsidR="00B64E72" w14:paraId="7E4E1B25" w14:textId="77777777">
            <w:pPr>
              <w:pStyle w:val="TableParagraph"/>
              <w:rPr>
                <w:b/>
                <w:sz w:val="18"/>
              </w:rPr>
            </w:pPr>
          </w:p>
          <w:p w:rsidR="00B64E72" w14:paraId="157468BC" w14:textId="77777777">
            <w:pPr>
              <w:pStyle w:val="TableParagraph"/>
              <w:spacing w:before="12"/>
              <w:rPr>
                <w:b/>
                <w:sz w:val="18"/>
              </w:rPr>
            </w:pPr>
          </w:p>
          <w:p w:rsidR="00B64E72" w14:paraId="2DE2A560" w14:textId="77777777">
            <w:pPr>
              <w:pStyle w:val="TableParagraph"/>
              <w:spacing w:before="1" w:line="198" w:lineRule="exact"/>
              <w:ind w:left="164" w:right="151"/>
              <w:jc w:val="center"/>
              <w:rPr>
                <w:sz w:val="18"/>
              </w:rPr>
            </w:pPr>
            <w:bookmarkStart w:id="289" w:name="$90.24_"/>
            <w:bookmarkEnd w:id="289"/>
            <w:r>
              <w:rPr>
                <w:spacing w:val="-2"/>
                <w:sz w:val="18"/>
              </w:rPr>
              <w:t>$90.24</w:t>
            </w:r>
          </w:p>
        </w:tc>
        <w:tc>
          <w:tcPr>
            <w:tcW w:w="1444" w:type="dxa"/>
          </w:tcPr>
          <w:p w:rsidR="00B64E72" w14:paraId="6AEF2CBD" w14:textId="77777777">
            <w:pPr>
              <w:pStyle w:val="TableParagraph"/>
              <w:rPr>
                <w:b/>
                <w:sz w:val="18"/>
              </w:rPr>
            </w:pPr>
          </w:p>
          <w:p w:rsidR="00B64E72" w14:paraId="749438D5" w14:textId="77777777">
            <w:pPr>
              <w:pStyle w:val="TableParagraph"/>
              <w:spacing w:before="12"/>
              <w:rPr>
                <w:b/>
                <w:sz w:val="18"/>
              </w:rPr>
            </w:pPr>
          </w:p>
          <w:p w:rsidR="00B64E72" w14:paraId="75552C0D" w14:textId="77777777">
            <w:pPr>
              <w:pStyle w:val="TableParagraph"/>
              <w:spacing w:before="1" w:line="198" w:lineRule="exact"/>
              <w:ind w:left="171" w:right="155"/>
              <w:jc w:val="center"/>
              <w:rPr>
                <w:sz w:val="18"/>
              </w:rPr>
            </w:pPr>
            <w:r>
              <w:rPr>
                <w:spacing w:val="-2"/>
                <w:sz w:val="18"/>
              </w:rPr>
              <w:t>$270,719</w:t>
            </w:r>
          </w:p>
        </w:tc>
        <w:tc>
          <w:tcPr>
            <w:tcW w:w="1265" w:type="dxa"/>
          </w:tcPr>
          <w:p w:rsidR="00B64E72" w14:paraId="5F87E57B" w14:textId="77777777">
            <w:pPr>
              <w:pStyle w:val="TableParagraph"/>
              <w:rPr>
                <w:b/>
                <w:sz w:val="18"/>
              </w:rPr>
            </w:pPr>
          </w:p>
          <w:p w:rsidR="00B64E72" w14:paraId="7B7B9C23" w14:textId="77777777">
            <w:pPr>
              <w:pStyle w:val="TableParagraph"/>
              <w:spacing w:before="12"/>
              <w:rPr>
                <w:b/>
                <w:sz w:val="18"/>
              </w:rPr>
            </w:pPr>
          </w:p>
          <w:p w:rsidR="00B64E72" w14:paraId="5021DF9A" w14:textId="77777777">
            <w:pPr>
              <w:pStyle w:val="TableParagraph"/>
              <w:spacing w:before="1" w:line="198" w:lineRule="exact"/>
              <w:ind w:left="170" w:right="150"/>
              <w:jc w:val="center"/>
              <w:rPr>
                <w:sz w:val="18"/>
              </w:rPr>
            </w:pPr>
            <w:r>
              <w:rPr>
                <w:spacing w:val="-2"/>
                <w:sz w:val="18"/>
              </w:rPr>
              <w:t>$0.00</w:t>
            </w:r>
          </w:p>
        </w:tc>
        <w:tc>
          <w:tcPr>
            <w:tcW w:w="1519" w:type="dxa"/>
          </w:tcPr>
          <w:p w:rsidR="00B64E72" w14:paraId="3E8BFE92" w14:textId="77777777">
            <w:pPr>
              <w:pStyle w:val="TableParagraph"/>
              <w:rPr>
                <w:b/>
                <w:sz w:val="18"/>
              </w:rPr>
            </w:pPr>
          </w:p>
          <w:p w:rsidR="00B64E72" w14:paraId="1BB208E6" w14:textId="77777777">
            <w:pPr>
              <w:pStyle w:val="TableParagraph"/>
              <w:spacing w:before="12"/>
              <w:rPr>
                <w:b/>
                <w:sz w:val="18"/>
              </w:rPr>
            </w:pPr>
          </w:p>
          <w:p w:rsidR="00B64E72" w14:paraId="180C1B93" w14:textId="77777777">
            <w:pPr>
              <w:pStyle w:val="TableParagraph"/>
              <w:spacing w:before="1" w:line="198" w:lineRule="exact"/>
              <w:ind w:left="21" w:right="1"/>
              <w:jc w:val="center"/>
              <w:rPr>
                <w:sz w:val="18"/>
              </w:rPr>
            </w:pPr>
            <w:bookmarkStart w:id="290" w:name="$270,719_"/>
            <w:bookmarkEnd w:id="290"/>
            <w:r>
              <w:rPr>
                <w:spacing w:val="-2"/>
                <w:sz w:val="18"/>
              </w:rPr>
              <w:t>$270,719</w:t>
            </w:r>
          </w:p>
        </w:tc>
      </w:tr>
      <w:tr w14:paraId="5C04E9E4" w14:textId="77777777">
        <w:tblPrEx>
          <w:tblW w:w="0" w:type="auto"/>
          <w:tblInd w:w="664" w:type="dxa"/>
          <w:tblLayout w:type="fixed"/>
          <w:tblCellMar>
            <w:left w:w="0" w:type="dxa"/>
            <w:right w:w="0" w:type="dxa"/>
          </w:tblCellMar>
          <w:tblLook w:val="01E0"/>
        </w:tblPrEx>
        <w:trPr>
          <w:trHeight w:val="645"/>
        </w:trPr>
        <w:tc>
          <w:tcPr>
            <w:tcW w:w="1152" w:type="dxa"/>
          </w:tcPr>
          <w:p w:rsidR="00B64E72" w14:paraId="17AF8DB2" w14:textId="77777777">
            <w:pPr>
              <w:pStyle w:val="TableParagraph"/>
              <w:spacing w:line="207" w:lineRule="exact"/>
              <w:ind w:left="141"/>
              <w:rPr>
                <w:sz w:val="18"/>
              </w:rPr>
            </w:pPr>
            <w:bookmarkStart w:id="291" w:name="§149.140(f)_-_Corrective_Action_"/>
            <w:bookmarkEnd w:id="291"/>
            <w:r>
              <w:rPr>
                <w:spacing w:val="-2"/>
                <w:sz w:val="18"/>
              </w:rPr>
              <w:t>§149.140(f)</w:t>
            </w:r>
          </w:p>
          <w:p w:rsidR="00B64E72" w14:paraId="44DB91DF" w14:textId="77777777">
            <w:pPr>
              <w:pStyle w:val="TableParagraph"/>
              <w:spacing w:line="210" w:lineRule="atLeast"/>
              <w:ind w:left="331" w:right="129" w:hanging="191"/>
              <w:rPr>
                <w:sz w:val="18"/>
              </w:rPr>
            </w:pPr>
            <w:r>
              <w:rPr>
                <w:sz w:val="18"/>
              </w:rPr>
              <w:t>-</w:t>
            </w:r>
            <w:r>
              <w:rPr>
                <w:spacing w:val="-12"/>
                <w:sz w:val="18"/>
              </w:rPr>
              <w:t xml:space="preserve"> </w:t>
            </w:r>
            <w:r>
              <w:rPr>
                <w:sz w:val="18"/>
              </w:rPr>
              <w:t xml:space="preserve">Corrective </w:t>
            </w:r>
            <w:r>
              <w:rPr>
                <w:spacing w:val="-2"/>
                <w:sz w:val="18"/>
              </w:rPr>
              <w:t>Action</w:t>
            </w:r>
          </w:p>
        </w:tc>
        <w:tc>
          <w:tcPr>
            <w:tcW w:w="1135" w:type="dxa"/>
          </w:tcPr>
          <w:p w:rsidR="00B64E72" w14:paraId="3677F84C" w14:textId="77777777">
            <w:pPr>
              <w:pStyle w:val="TableParagraph"/>
              <w:rPr>
                <w:b/>
                <w:sz w:val="18"/>
              </w:rPr>
            </w:pPr>
          </w:p>
          <w:p w:rsidR="00B64E72" w14:paraId="337D3EBF" w14:textId="77777777">
            <w:pPr>
              <w:pStyle w:val="TableParagraph"/>
              <w:spacing w:before="12"/>
              <w:rPr>
                <w:b/>
                <w:sz w:val="18"/>
              </w:rPr>
            </w:pPr>
          </w:p>
          <w:p w:rsidR="00B64E72" w14:paraId="66DCF5A2" w14:textId="77777777">
            <w:pPr>
              <w:pStyle w:val="TableParagraph"/>
              <w:spacing w:before="1" w:line="198" w:lineRule="exact"/>
              <w:ind w:left="13"/>
              <w:jc w:val="center"/>
              <w:rPr>
                <w:sz w:val="18"/>
              </w:rPr>
            </w:pPr>
            <w:r>
              <w:rPr>
                <w:spacing w:val="-5"/>
                <w:sz w:val="18"/>
              </w:rPr>
              <w:t>18</w:t>
            </w:r>
          </w:p>
        </w:tc>
        <w:tc>
          <w:tcPr>
            <w:tcW w:w="1080" w:type="dxa"/>
          </w:tcPr>
          <w:p w:rsidR="00B64E72" w14:paraId="45C8364C" w14:textId="77777777">
            <w:pPr>
              <w:pStyle w:val="TableParagraph"/>
              <w:rPr>
                <w:b/>
                <w:sz w:val="18"/>
              </w:rPr>
            </w:pPr>
          </w:p>
          <w:p w:rsidR="00B64E72" w14:paraId="2CD7D169" w14:textId="77777777">
            <w:pPr>
              <w:pStyle w:val="TableParagraph"/>
              <w:spacing w:before="12"/>
              <w:rPr>
                <w:b/>
                <w:sz w:val="18"/>
              </w:rPr>
            </w:pPr>
          </w:p>
          <w:p w:rsidR="00B64E72" w14:paraId="6E896DC7" w14:textId="77777777">
            <w:pPr>
              <w:pStyle w:val="TableParagraph"/>
              <w:spacing w:before="1" w:line="198" w:lineRule="exact"/>
              <w:ind w:left="12" w:right="1"/>
              <w:jc w:val="center"/>
              <w:rPr>
                <w:sz w:val="18"/>
              </w:rPr>
            </w:pPr>
            <w:bookmarkStart w:id="292" w:name="18_"/>
            <w:bookmarkEnd w:id="292"/>
            <w:r>
              <w:rPr>
                <w:spacing w:val="-5"/>
                <w:sz w:val="18"/>
              </w:rPr>
              <w:t>18</w:t>
            </w:r>
          </w:p>
        </w:tc>
        <w:tc>
          <w:tcPr>
            <w:tcW w:w="988" w:type="dxa"/>
          </w:tcPr>
          <w:p w:rsidR="00B64E72" w14:paraId="294553D2" w14:textId="77777777">
            <w:pPr>
              <w:pStyle w:val="TableParagraph"/>
              <w:rPr>
                <w:b/>
                <w:sz w:val="18"/>
              </w:rPr>
            </w:pPr>
          </w:p>
          <w:p w:rsidR="00B64E72" w14:paraId="63AD61C0" w14:textId="77777777">
            <w:pPr>
              <w:pStyle w:val="TableParagraph"/>
              <w:spacing w:before="12"/>
              <w:rPr>
                <w:b/>
                <w:sz w:val="18"/>
              </w:rPr>
            </w:pPr>
          </w:p>
          <w:p w:rsidR="00B64E72" w14:paraId="0D8BE103" w14:textId="77777777">
            <w:pPr>
              <w:pStyle w:val="TableParagraph"/>
              <w:spacing w:before="1" w:line="198" w:lineRule="exact"/>
              <w:ind w:left="9" w:right="3"/>
              <w:jc w:val="center"/>
              <w:rPr>
                <w:sz w:val="18"/>
              </w:rPr>
            </w:pPr>
            <w:bookmarkStart w:id="293" w:name="40.00_"/>
            <w:bookmarkEnd w:id="293"/>
            <w:r>
              <w:rPr>
                <w:spacing w:val="-2"/>
                <w:sz w:val="18"/>
              </w:rPr>
              <w:t>40.00</w:t>
            </w:r>
          </w:p>
        </w:tc>
        <w:tc>
          <w:tcPr>
            <w:tcW w:w="1079" w:type="dxa"/>
          </w:tcPr>
          <w:p w:rsidR="00B64E72" w14:paraId="4A43F6E6" w14:textId="77777777">
            <w:pPr>
              <w:pStyle w:val="TableParagraph"/>
              <w:rPr>
                <w:b/>
                <w:sz w:val="18"/>
              </w:rPr>
            </w:pPr>
          </w:p>
          <w:p w:rsidR="00B64E72" w14:paraId="2C63A1FC" w14:textId="77777777">
            <w:pPr>
              <w:pStyle w:val="TableParagraph"/>
              <w:spacing w:before="12"/>
              <w:rPr>
                <w:b/>
                <w:sz w:val="18"/>
              </w:rPr>
            </w:pPr>
          </w:p>
          <w:p w:rsidR="00B64E72" w14:paraId="0549FE84" w14:textId="77777777">
            <w:pPr>
              <w:pStyle w:val="TableParagraph"/>
              <w:spacing w:before="1" w:line="198" w:lineRule="exact"/>
              <w:ind w:left="15"/>
              <w:jc w:val="center"/>
              <w:rPr>
                <w:sz w:val="18"/>
              </w:rPr>
            </w:pPr>
            <w:bookmarkStart w:id="294" w:name="720_"/>
            <w:bookmarkEnd w:id="294"/>
            <w:r>
              <w:rPr>
                <w:spacing w:val="-5"/>
                <w:sz w:val="18"/>
              </w:rPr>
              <w:t>720</w:t>
            </w:r>
          </w:p>
        </w:tc>
        <w:tc>
          <w:tcPr>
            <w:tcW w:w="1171" w:type="dxa"/>
          </w:tcPr>
          <w:p w:rsidR="00B64E72" w14:paraId="02B5C9C0" w14:textId="77777777">
            <w:pPr>
              <w:pStyle w:val="TableParagraph"/>
              <w:rPr>
                <w:b/>
                <w:sz w:val="18"/>
              </w:rPr>
            </w:pPr>
          </w:p>
          <w:p w:rsidR="00B64E72" w14:paraId="13097C48" w14:textId="77777777">
            <w:pPr>
              <w:pStyle w:val="TableParagraph"/>
              <w:spacing w:before="12"/>
              <w:rPr>
                <w:b/>
                <w:sz w:val="18"/>
              </w:rPr>
            </w:pPr>
          </w:p>
          <w:p w:rsidR="00B64E72" w14:paraId="6DF18C1B" w14:textId="77777777">
            <w:pPr>
              <w:pStyle w:val="TableParagraph"/>
              <w:spacing w:before="1" w:line="198" w:lineRule="exact"/>
              <w:ind w:left="164" w:right="151"/>
              <w:jc w:val="center"/>
              <w:rPr>
                <w:sz w:val="18"/>
              </w:rPr>
            </w:pPr>
            <w:bookmarkStart w:id="295" w:name="$77.67_"/>
            <w:bookmarkEnd w:id="295"/>
            <w:r>
              <w:rPr>
                <w:spacing w:val="-2"/>
                <w:sz w:val="18"/>
              </w:rPr>
              <w:t>$77.67</w:t>
            </w:r>
          </w:p>
        </w:tc>
        <w:tc>
          <w:tcPr>
            <w:tcW w:w="1444" w:type="dxa"/>
          </w:tcPr>
          <w:p w:rsidR="00B64E72" w14:paraId="6698D042" w14:textId="77777777">
            <w:pPr>
              <w:pStyle w:val="TableParagraph"/>
              <w:rPr>
                <w:b/>
                <w:sz w:val="18"/>
              </w:rPr>
            </w:pPr>
          </w:p>
          <w:p w:rsidR="00B64E72" w14:paraId="0F7A55E9" w14:textId="77777777">
            <w:pPr>
              <w:pStyle w:val="TableParagraph"/>
              <w:spacing w:before="12"/>
              <w:rPr>
                <w:b/>
                <w:sz w:val="18"/>
              </w:rPr>
            </w:pPr>
          </w:p>
          <w:p w:rsidR="00B64E72" w14:paraId="633E8EA1" w14:textId="77777777">
            <w:pPr>
              <w:pStyle w:val="TableParagraph"/>
              <w:spacing w:before="1" w:line="198" w:lineRule="exact"/>
              <w:ind w:left="171" w:right="158"/>
              <w:jc w:val="center"/>
              <w:rPr>
                <w:sz w:val="18"/>
              </w:rPr>
            </w:pPr>
            <w:bookmarkStart w:id="296" w:name="$55,992_"/>
            <w:bookmarkEnd w:id="296"/>
            <w:r>
              <w:rPr>
                <w:spacing w:val="-2"/>
                <w:sz w:val="18"/>
              </w:rPr>
              <w:t>$55,992</w:t>
            </w:r>
          </w:p>
        </w:tc>
        <w:tc>
          <w:tcPr>
            <w:tcW w:w="1265" w:type="dxa"/>
          </w:tcPr>
          <w:p w:rsidR="00B64E72" w14:paraId="71F29F29" w14:textId="77777777">
            <w:pPr>
              <w:pStyle w:val="TableParagraph"/>
              <w:rPr>
                <w:b/>
                <w:sz w:val="18"/>
              </w:rPr>
            </w:pPr>
          </w:p>
          <w:p w:rsidR="00B64E72" w14:paraId="03D0DE96" w14:textId="77777777">
            <w:pPr>
              <w:pStyle w:val="TableParagraph"/>
              <w:spacing w:before="12"/>
              <w:rPr>
                <w:b/>
                <w:sz w:val="18"/>
              </w:rPr>
            </w:pPr>
          </w:p>
          <w:p w:rsidR="00B64E72" w14:paraId="7EF7C92D" w14:textId="77777777">
            <w:pPr>
              <w:pStyle w:val="TableParagraph"/>
              <w:spacing w:before="1" w:line="198" w:lineRule="exact"/>
              <w:ind w:left="170" w:right="150"/>
              <w:jc w:val="center"/>
              <w:rPr>
                <w:sz w:val="18"/>
              </w:rPr>
            </w:pPr>
            <w:r>
              <w:rPr>
                <w:spacing w:val="-2"/>
                <w:sz w:val="18"/>
              </w:rPr>
              <w:t>$0.00</w:t>
            </w:r>
          </w:p>
        </w:tc>
        <w:tc>
          <w:tcPr>
            <w:tcW w:w="1519" w:type="dxa"/>
          </w:tcPr>
          <w:p w:rsidR="00B64E72" w14:paraId="02EDB565" w14:textId="77777777">
            <w:pPr>
              <w:pStyle w:val="TableParagraph"/>
              <w:rPr>
                <w:b/>
                <w:sz w:val="18"/>
              </w:rPr>
            </w:pPr>
          </w:p>
          <w:p w:rsidR="00B64E72" w14:paraId="7454827C" w14:textId="77777777">
            <w:pPr>
              <w:pStyle w:val="TableParagraph"/>
              <w:spacing w:before="12"/>
              <w:rPr>
                <w:b/>
                <w:sz w:val="18"/>
              </w:rPr>
            </w:pPr>
          </w:p>
          <w:p w:rsidR="00B64E72" w14:paraId="691EC1FD" w14:textId="77777777">
            <w:pPr>
              <w:pStyle w:val="TableParagraph"/>
              <w:spacing w:before="1" w:line="198" w:lineRule="exact"/>
              <w:ind w:left="21" w:right="3"/>
              <w:jc w:val="center"/>
              <w:rPr>
                <w:sz w:val="18"/>
              </w:rPr>
            </w:pPr>
            <w:bookmarkStart w:id="297" w:name="$55,922_"/>
            <w:bookmarkEnd w:id="297"/>
            <w:r>
              <w:rPr>
                <w:spacing w:val="-2"/>
                <w:sz w:val="18"/>
              </w:rPr>
              <w:t>$55,922</w:t>
            </w:r>
          </w:p>
        </w:tc>
      </w:tr>
    </w:tbl>
    <w:p w:rsidR="00B64E72" w14:paraId="438DA7A5" w14:textId="77777777">
      <w:pPr>
        <w:pStyle w:val="TableParagraph"/>
        <w:spacing w:line="198" w:lineRule="exact"/>
        <w:jc w:val="center"/>
        <w:rPr>
          <w:sz w:val="18"/>
        </w:rPr>
        <w:sectPr>
          <w:pgSz w:w="12240" w:h="15840"/>
          <w:pgMar w:top="1420" w:right="360" w:bottom="1620" w:left="360" w:header="0" w:footer="1094" w:gutter="0"/>
          <w:cols w:space="720"/>
        </w:sectPr>
      </w:pPr>
    </w:p>
    <w:tbl>
      <w:tblPr>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2"/>
        <w:gridCol w:w="1135"/>
        <w:gridCol w:w="1080"/>
        <w:gridCol w:w="988"/>
        <w:gridCol w:w="1079"/>
        <w:gridCol w:w="1171"/>
        <w:gridCol w:w="1444"/>
        <w:gridCol w:w="1265"/>
        <w:gridCol w:w="1519"/>
      </w:tblGrid>
      <w:tr w14:paraId="1747E9DE" w14:textId="77777777">
        <w:tblPrEx>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11"/>
        </w:trPr>
        <w:tc>
          <w:tcPr>
            <w:tcW w:w="1152" w:type="dxa"/>
          </w:tcPr>
          <w:p w:rsidR="00B64E72" w14:paraId="2C653A49" w14:textId="77777777">
            <w:pPr>
              <w:pStyle w:val="TableParagraph"/>
              <w:spacing w:before="141"/>
              <w:rPr>
                <w:b/>
                <w:sz w:val="18"/>
              </w:rPr>
            </w:pPr>
          </w:p>
          <w:p w:rsidR="00B64E72" w14:paraId="4279D816" w14:textId="77777777">
            <w:pPr>
              <w:pStyle w:val="TableParagraph"/>
              <w:ind w:left="305" w:hanging="126"/>
              <w:rPr>
                <w:sz w:val="18"/>
              </w:rPr>
            </w:pPr>
            <w:bookmarkStart w:id="298" w:name="Regulation_Section_"/>
            <w:bookmarkEnd w:id="298"/>
            <w:r>
              <w:rPr>
                <w:spacing w:val="-2"/>
                <w:sz w:val="18"/>
              </w:rPr>
              <w:t>Regulation Section</w:t>
            </w:r>
          </w:p>
        </w:tc>
        <w:tc>
          <w:tcPr>
            <w:tcW w:w="1135" w:type="dxa"/>
          </w:tcPr>
          <w:p w:rsidR="00B64E72" w14:paraId="5763AE77" w14:textId="77777777">
            <w:pPr>
              <w:pStyle w:val="TableParagraph"/>
              <w:rPr>
                <w:b/>
                <w:sz w:val="18"/>
              </w:rPr>
            </w:pPr>
          </w:p>
          <w:p w:rsidR="00B64E72" w14:paraId="2628E958" w14:textId="77777777">
            <w:pPr>
              <w:pStyle w:val="TableParagraph"/>
              <w:spacing w:before="32"/>
              <w:rPr>
                <w:b/>
                <w:sz w:val="18"/>
              </w:rPr>
            </w:pPr>
          </w:p>
          <w:p w:rsidR="00B64E72" w14:paraId="0A8C8DD8" w14:textId="77777777">
            <w:pPr>
              <w:pStyle w:val="TableParagraph"/>
              <w:ind w:left="13" w:right="1"/>
              <w:jc w:val="center"/>
              <w:rPr>
                <w:sz w:val="18"/>
              </w:rPr>
            </w:pPr>
            <w:bookmarkStart w:id="299" w:name="Respondents_"/>
            <w:bookmarkEnd w:id="299"/>
            <w:r>
              <w:rPr>
                <w:spacing w:val="-2"/>
                <w:sz w:val="18"/>
              </w:rPr>
              <w:t>Respondents</w:t>
            </w:r>
          </w:p>
        </w:tc>
        <w:tc>
          <w:tcPr>
            <w:tcW w:w="1080" w:type="dxa"/>
          </w:tcPr>
          <w:p w:rsidR="00B64E72" w14:paraId="4D2A45C6" w14:textId="77777777">
            <w:pPr>
              <w:pStyle w:val="TableParagraph"/>
              <w:rPr>
                <w:b/>
                <w:sz w:val="18"/>
              </w:rPr>
            </w:pPr>
          </w:p>
          <w:p w:rsidR="00B64E72" w14:paraId="69C3A082" w14:textId="77777777">
            <w:pPr>
              <w:pStyle w:val="TableParagraph"/>
              <w:spacing w:before="32"/>
              <w:rPr>
                <w:b/>
                <w:sz w:val="18"/>
              </w:rPr>
            </w:pPr>
          </w:p>
          <w:p w:rsidR="00B64E72" w14:paraId="10F1846E" w14:textId="77777777">
            <w:pPr>
              <w:pStyle w:val="TableParagraph"/>
              <w:ind w:left="12" w:right="4"/>
              <w:jc w:val="center"/>
              <w:rPr>
                <w:sz w:val="18"/>
              </w:rPr>
            </w:pPr>
            <w:bookmarkStart w:id="300" w:name="Responses_"/>
            <w:bookmarkEnd w:id="300"/>
            <w:r>
              <w:rPr>
                <w:spacing w:val="-2"/>
                <w:sz w:val="18"/>
              </w:rPr>
              <w:t>Responses</w:t>
            </w:r>
          </w:p>
        </w:tc>
        <w:tc>
          <w:tcPr>
            <w:tcW w:w="988" w:type="dxa"/>
          </w:tcPr>
          <w:p w:rsidR="00B64E72" w14:paraId="1C722457" w14:textId="77777777">
            <w:pPr>
              <w:pStyle w:val="TableParagraph"/>
              <w:spacing w:before="127" w:line="247" w:lineRule="auto"/>
              <w:ind w:left="147" w:right="136" w:hanging="3"/>
              <w:jc w:val="center"/>
              <w:rPr>
                <w:sz w:val="18"/>
              </w:rPr>
            </w:pPr>
            <w:bookmarkStart w:id="301" w:name="Burden_per_Response_(hours)_"/>
            <w:bookmarkEnd w:id="301"/>
            <w:r>
              <w:rPr>
                <w:spacing w:val="-2"/>
                <w:sz w:val="18"/>
              </w:rPr>
              <w:t xml:space="preserve">Burden </w:t>
            </w:r>
            <w:r>
              <w:rPr>
                <w:spacing w:val="-4"/>
                <w:sz w:val="18"/>
              </w:rPr>
              <w:t xml:space="preserve">per </w:t>
            </w:r>
            <w:r>
              <w:rPr>
                <w:spacing w:val="-2"/>
                <w:sz w:val="18"/>
              </w:rPr>
              <w:t>Response (hours)</w:t>
            </w:r>
          </w:p>
        </w:tc>
        <w:tc>
          <w:tcPr>
            <w:tcW w:w="1079" w:type="dxa"/>
          </w:tcPr>
          <w:p w:rsidR="00B64E72" w14:paraId="61E8CFCE" w14:textId="77777777">
            <w:pPr>
              <w:pStyle w:val="TableParagraph"/>
              <w:spacing w:before="127" w:line="247" w:lineRule="auto"/>
              <w:ind w:left="275" w:right="256" w:firstLine="74"/>
              <w:rPr>
                <w:sz w:val="18"/>
              </w:rPr>
            </w:pPr>
            <w:bookmarkStart w:id="302" w:name="Total_Annual_Burden_(hours)_"/>
            <w:bookmarkEnd w:id="302"/>
            <w:r>
              <w:rPr>
                <w:spacing w:val="-4"/>
                <w:sz w:val="18"/>
              </w:rPr>
              <w:t xml:space="preserve">Total </w:t>
            </w:r>
            <w:r>
              <w:rPr>
                <w:spacing w:val="-2"/>
                <w:sz w:val="18"/>
              </w:rPr>
              <w:t>Annual Burden (hours)</w:t>
            </w:r>
          </w:p>
        </w:tc>
        <w:tc>
          <w:tcPr>
            <w:tcW w:w="1171" w:type="dxa"/>
          </w:tcPr>
          <w:p w:rsidR="00B64E72" w14:paraId="3B790680" w14:textId="77777777">
            <w:pPr>
              <w:pStyle w:val="TableParagraph"/>
              <w:spacing w:before="25"/>
              <w:rPr>
                <w:b/>
                <w:sz w:val="18"/>
              </w:rPr>
            </w:pPr>
          </w:p>
          <w:p w:rsidR="00B64E72" w14:paraId="2CFB2F39" w14:textId="77777777">
            <w:pPr>
              <w:pStyle w:val="TableParagraph"/>
              <w:spacing w:before="1" w:line="247" w:lineRule="auto"/>
              <w:ind w:left="130" w:right="113" w:hanging="12"/>
              <w:jc w:val="center"/>
              <w:rPr>
                <w:sz w:val="18"/>
              </w:rPr>
            </w:pPr>
            <w:bookmarkStart w:id="303" w:name="Hourly_Labor_Cost_of_Reporting_"/>
            <w:bookmarkEnd w:id="303"/>
            <w:r>
              <w:rPr>
                <w:spacing w:val="-2"/>
                <w:sz w:val="18"/>
              </w:rPr>
              <w:t xml:space="preserve">Hourly </w:t>
            </w:r>
            <w:r>
              <w:rPr>
                <w:sz w:val="18"/>
              </w:rPr>
              <w:t>Labor Cost of</w:t>
            </w:r>
            <w:r>
              <w:rPr>
                <w:spacing w:val="-12"/>
                <w:sz w:val="18"/>
              </w:rPr>
              <w:t xml:space="preserve"> </w:t>
            </w:r>
            <w:r>
              <w:rPr>
                <w:sz w:val="18"/>
              </w:rPr>
              <w:t>Reporting</w:t>
            </w:r>
          </w:p>
        </w:tc>
        <w:tc>
          <w:tcPr>
            <w:tcW w:w="1444" w:type="dxa"/>
          </w:tcPr>
          <w:p w:rsidR="00B64E72" w14:paraId="3B4F6590" w14:textId="77777777">
            <w:pPr>
              <w:pStyle w:val="TableParagraph"/>
              <w:spacing w:before="25"/>
              <w:rPr>
                <w:b/>
                <w:sz w:val="18"/>
              </w:rPr>
            </w:pPr>
          </w:p>
          <w:p w:rsidR="00B64E72" w14:paraId="6FF82691" w14:textId="77777777">
            <w:pPr>
              <w:pStyle w:val="TableParagraph"/>
              <w:spacing w:before="1" w:line="247" w:lineRule="auto"/>
              <w:ind w:left="171" w:right="130"/>
              <w:jc w:val="center"/>
              <w:rPr>
                <w:sz w:val="18"/>
              </w:rPr>
            </w:pPr>
            <w:bookmarkStart w:id="304" w:name="Total_Labor_Cost_of_Reporting_"/>
            <w:bookmarkEnd w:id="304"/>
            <w:r>
              <w:rPr>
                <w:sz w:val="18"/>
              </w:rPr>
              <w:t>Total</w:t>
            </w:r>
            <w:r>
              <w:rPr>
                <w:spacing w:val="-12"/>
                <w:sz w:val="18"/>
              </w:rPr>
              <w:t xml:space="preserve"> </w:t>
            </w:r>
            <w:r>
              <w:rPr>
                <w:sz w:val="18"/>
              </w:rPr>
              <w:t xml:space="preserve">Labor Cost of </w:t>
            </w:r>
            <w:r>
              <w:rPr>
                <w:spacing w:val="-2"/>
                <w:sz w:val="18"/>
              </w:rPr>
              <w:t>Reporting</w:t>
            </w:r>
          </w:p>
        </w:tc>
        <w:tc>
          <w:tcPr>
            <w:tcW w:w="1265" w:type="dxa"/>
          </w:tcPr>
          <w:p w:rsidR="00B64E72" w14:paraId="1DEC800A" w14:textId="77777777">
            <w:pPr>
              <w:pStyle w:val="TableParagraph"/>
              <w:spacing w:before="25"/>
              <w:rPr>
                <w:b/>
                <w:sz w:val="18"/>
              </w:rPr>
            </w:pPr>
          </w:p>
          <w:p w:rsidR="00B64E72" w14:paraId="14F8C0C0" w14:textId="77777777">
            <w:pPr>
              <w:pStyle w:val="TableParagraph"/>
              <w:spacing w:before="1" w:line="247" w:lineRule="auto"/>
              <w:ind w:left="168" w:right="150"/>
              <w:jc w:val="center"/>
              <w:rPr>
                <w:sz w:val="18"/>
              </w:rPr>
            </w:pPr>
            <w:bookmarkStart w:id="305" w:name="Printing_and_Materials_Cost_"/>
            <w:bookmarkEnd w:id="305"/>
            <w:r>
              <w:rPr>
                <w:sz w:val="18"/>
              </w:rPr>
              <w:t>Printing</w:t>
            </w:r>
            <w:r>
              <w:rPr>
                <w:spacing w:val="-12"/>
                <w:sz w:val="18"/>
              </w:rPr>
              <w:t xml:space="preserve"> </w:t>
            </w:r>
            <w:r>
              <w:rPr>
                <w:sz w:val="18"/>
              </w:rPr>
              <w:t xml:space="preserve">and </w:t>
            </w:r>
            <w:r>
              <w:rPr>
                <w:spacing w:val="-2"/>
                <w:sz w:val="18"/>
              </w:rPr>
              <w:t xml:space="preserve">Materials </w:t>
            </w:r>
            <w:r>
              <w:rPr>
                <w:spacing w:val="-4"/>
                <w:sz w:val="18"/>
              </w:rPr>
              <w:t>Cost</w:t>
            </w:r>
          </w:p>
        </w:tc>
        <w:tc>
          <w:tcPr>
            <w:tcW w:w="1519" w:type="dxa"/>
          </w:tcPr>
          <w:p w:rsidR="00B64E72" w14:paraId="2607334F" w14:textId="77777777">
            <w:pPr>
              <w:pStyle w:val="TableParagraph"/>
              <w:rPr>
                <w:b/>
                <w:sz w:val="18"/>
              </w:rPr>
            </w:pPr>
          </w:p>
          <w:p w:rsidR="00B64E72" w14:paraId="7D4821F5" w14:textId="77777777">
            <w:pPr>
              <w:pStyle w:val="TableParagraph"/>
              <w:spacing w:before="32"/>
              <w:rPr>
                <w:b/>
                <w:sz w:val="18"/>
              </w:rPr>
            </w:pPr>
          </w:p>
          <w:p w:rsidR="00B64E72" w14:paraId="534BA00D" w14:textId="77777777">
            <w:pPr>
              <w:pStyle w:val="TableParagraph"/>
              <w:ind w:left="21"/>
              <w:jc w:val="center"/>
              <w:rPr>
                <w:sz w:val="18"/>
              </w:rPr>
            </w:pPr>
            <w:bookmarkStart w:id="306" w:name="Total_Cost_"/>
            <w:bookmarkEnd w:id="306"/>
            <w:r>
              <w:rPr>
                <w:sz w:val="18"/>
              </w:rPr>
              <w:t>Total</w:t>
            </w:r>
            <w:r>
              <w:rPr>
                <w:spacing w:val="1"/>
                <w:sz w:val="18"/>
              </w:rPr>
              <w:t xml:space="preserve"> </w:t>
            </w:r>
            <w:r>
              <w:rPr>
                <w:spacing w:val="-4"/>
                <w:sz w:val="18"/>
              </w:rPr>
              <w:t>Cost</w:t>
            </w:r>
          </w:p>
        </w:tc>
      </w:tr>
      <w:tr w14:paraId="637691D1" w14:textId="77777777">
        <w:tblPrEx>
          <w:tblW w:w="0" w:type="auto"/>
          <w:tblInd w:w="664" w:type="dxa"/>
          <w:tblLayout w:type="fixed"/>
          <w:tblCellMar>
            <w:left w:w="0" w:type="dxa"/>
            <w:right w:w="0" w:type="dxa"/>
          </w:tblCellMar>
          <w:tblLook w:val="01E0"/>
        </w:tblPrEx>
        <w:trPr>
          <w:trHeight w:val="642"/>
        </w:trPr>
        <w:tc>
          <w:tcPr>
            <w:tcW w:w="1152" w:type="dxa"/>
          </w:tcPr>
          <w:p w:rsidR="00B64E72" w14:paraId="3CE3A6A4" w14:textId="77777777">
            <w:pPr>
              <w:pStyle w:val="TableParagraph"/>
              <w:spacing w:line="207" w:lineRule="exact"/>
              <w:ind w:left="120"/>
              <w:rPr>
                <w:sz w:val="18"/>
              </w:rPr>
            </w:pPr>
            <w:bookmarkStart w:id="307" w:name="§149.149.30_Opting_in_to_State_Law_"/>
            <w:bookmarkEnd w:id="307"/>
            <w:r>
              <w:rPr>
                <w:spacing w:val="-2"/>
                <w:sz w:val="18"/>
              </w:rPr>
              <w:t>§149.149.30</w:t>
            </w:r>
          </w:p>
          <w:p w:rsidR="00B64E72" w14:paraId="047CB5E0" w14:textId="77777777">
            <w:pPr>
              <w:pStyle w:val="TableParagraph"/>
              <w:spacing w:line="210" w:lineRule="atLeast"/>
              <w:ind w:left="213" w:hanging="75"/>
              <w:rPr>
                <w:sz w:val="18"/>
              </w:rPr>
            </w:pPr>
            <w:r>
              <w:rPr>
                <w:sz w:val="18"/>
                <w:u w:val="single"/>
              </w:rPr>
              <w:t>Opting</w:t>
            </w:r>
            <w:r>
              <w:rPr>
                <w:spacing w:val="-12"/>
                <w:sz w:val="18"/>
                <w:u w:val="single"/>
              </w:rPr>
              <w:t xml:space="preserve"> </w:t>
            </w:r>
            <w:r>
              <w:rPr>
                <w:sz w:val="18"/>
                <w:u w:val="single"/>
              </w:rPr>
              <w:t>in</w:t>
            </w:r>
            <w:r>
              <w:rPr>
                <w:spacing w:val="-11"/>
                <w:sz w:val="18"/>
                <w:u w:val="single"/>
              </w:rPr>
              <w:t xml:space="preserve"> </w:t>
            </w:r>
            <w:r>
              <w:rPr>
                <w:sz w:val="18"/>
                <w:u w:val="single"/>
              </w:rPr>
              <w:t>to</w:t>
            </w:r>
            <w:r>
              <w:rPr>
                <w:sz w:val="18"/>
              </w:rPr>
              <w:t xml:space="preserve"> </w:t>
            </w:r>
            <w:r>
              <w:rPr>
                <w:sz w:val="18"/>
                <w:u w:val="single"/>
              </w:rPr>
              <w:t>State Law</w:t>
            </w:r>
          </w:p>
        </w:tc>
        <w:tc>
          <w:tcPr>
            <w:tcW w:w="1135" w:type="dxa"/>
          </w:tcPr>
          <w:p w:rsidR="00B64E72" w14:paraId="3F5A131D" w14:textId="77777777">
            <w:pPr>
              <w:pStyle w:val="TableParagraph"/>
              <w:rPr>
                <w:b/>
                <w:sz w:val="18"/>
              </w:rPr>
            </w:pPr>
          </w:p>
          <w:p w:rsidR="00B64E72" w14:paraId="7D9C16F9" w14:textId="77777777">
            <w:pPr>
              <w:pStyle w:val="TableParagraph"/>
              <w:spacing w:before="12"/>
              <w:rPr>
                <w:b/>
                <w:sz w:val="18"/>
              </w:rPr>
            </w:pPr>
          </w:p>
          <w:p w:rsidR="00B64E72" w14:paraId="682A4DAF" w14:textId="77777777">
            <w:pPr>
              <w:pStyle w:val="TableParagraph"/>
              <w:spacing w:before="1" w:line="196" w:lineRule="exact"/>
              <w:ind w:left="13"/>
              <w:jc w:val="center"/>
              <w:rPr>
                <w:sz w:val="18"/>
              </w:rPr>
            </w:pPr>
            <w:r>
              <w:rPr>
                <w:spacing w:val="-5"/>
                <w:sz w:val="18"/>
              </w:rPr>
              <w:t>44</w:t>
            </w:r>
          </w:p>
        </w:tc>
        <w:tc>
          <w:tcPr>
            <w:tcW w:w="1080" w:type="dxa"/>
          </w:tcPr>
          <w:p w:rsidR="00B64E72" w14:paraId="39F31CE6" w14:textId="77777777">
            <w:pPr>
              <w:pStyle w:val="TableParagraph"/>
              <w:rPr>
                <w:b/>
                <w:sz w:val="18"/>
              </w:rPr>
            </w:pPr>
          </w:p>
          <w:p w:rsidR="00B64E72" w14:paraId="3EA873BA" w14:textId="77777777">
            <w:pPr>
              <w:pStyle w:val="TableParagraph"/>
              <w:spacing w:before="12"/>
              <w:rPr>
                <w:b/>
                <w:sz w:val="18"/>
              </w:rPr>
            </w:pPr>
          </w:p>
          <w:p w:rsidR="00B64E72" w14:paraId="5F6C8E0B" w14:textId="77777777">
            <w:pPr>
              <w:pStyle w:val="TableParagraph"/>
              <w:spacing w:before="1" w:line="196" w:lineRule="exact"/>
              <w:ind w:left="12" w:right="1"/>
              <w:jc w:val="center"/>
              <w:rPr>
                <w:sz w:val="18"/>
              </w:rPr>
            </w:pPr>
            <w:bookmarkStart w:id="308" w:name="44_"/>
            <w:bookmarkEnd w:id="308"/>
            <w:r>
              <w:rPr>
                <w:spacing w:val="-5"/>
                <w:sz w:val="18"/>
              </w:rPr>
              <w:t>44</w:t>
            </w:r>
          </w:p>
        </w:tc>
        <w:tc>
          <w:tcPr>
            <w:tcW w:w="988" w:type="dxa"/>
          </w:tcPr>
          <w:p w:rsidR="00B64E72" w14:paraId="62923647" w14:textId="77777777">
            <w:pPr>
              <w:pStyle w:val="TableParagraph"/>
              <w:rPr>
                <w:b/>
                <w:sz w:val="18"/>
              </w:rPr>
            </w:pPr>
          </w:p>
          <w:p w:rsidR="00B64E72" w14:paraId="1E392C6B" w14:textId="77777777">
            <w:pPr>
              <w:pStyle w:val="TableParagraph"/>
              <w:spacing w:before="12"/>
              <w:rPr>
                <w:b/>
                <w:sz w:val="18"/>
              </w:rPr>
            </w:pPr>
          </w:p>
          <w:p w:rsidR="00B64E72" w14:paraId="1269CA8F" w14:textId="77777777">
            <w:pPr>
              <w:pStyle w:val="TableParagraph"/>
              <w:spacing w:before="1" w:line="196" w:lineRule="exact"/>
              <w:ind w:left="9"/>
              <w:jc w:val="center"/>
              <w:rPr>
                <w:sz w:val="18"/>
              </w:rPr>
            </w:pPr>
            <w:bookmarkStart w:id="309" w:name="1.5_"/>
            <w:bookmarkEnd w:id="309"/>
            <w:r>
              <w:rPr>
                <w:spacing w:val="-5"/>
                <w:sz w:val="18"/>
              </w:rPr>
              <w:t>1.5</w:t>
            </w:r>
          </w:p>
        </w:tc>
        <w:tc>
          <w:tcPr>
            <w:tcW w:w="1079" w:type="dxa"/>
          </w:tcPr>
          <w:p w:rsidR="00B64E72" w14:paraId="7F8C8093" w14:textId="77777777">
            <w:pPr>
              <w:pStyle w:val="TableParagraph"/>
              <w:rPr>
                <w:b/>
                <w:sz w:val="18"/>
              </w:rPr>
            </w:pPr>
          </w:p>
          <w:p w:rsidR="00B64E72" w14:paraId="4C2D832F" w14:textId="77777777">
            <w:pPr>
              <w:pStyle w:val="TableParagraph"/>
              <w:spacing w:before="12"/>
              <w:rPr>
                <w:b/>
                <w:sz w:val="18"/>
              </w:rPr>
            </w:pPr>
          </w:p>
          <w:p w:rsidR="00B64E72" w14:paraId="090E7E9D" w14:textId="77777777">
            <w:pPr>
              <w:pStyle w:val="TableParagraph"/>
              <w:spacing w:before="1" w:line="196" w:lineRule="exact"/>
              <w:ind w:left="15"/>
              <w:jc w:val="center"/>
              <w:rPr>
                <w:sz w:val="18"/>
              </w:rPr>
            </w:pPr>
            <w:bookmarkStart w:id="310" w:name="66_"/>
            <w:bookmarkEnd w:id="310"/>
            <w:r>
              <w:rPr>
                <w:spacing w:val="-5"/>
                <w:sz w:val="18"/>
              </w:rPr>
              <w:t>66</w:t>
            </w:r>
          </w:p>
        </w:tc>
        <w:tc>
          <w:tcPr>
            <w:tcW w:w="1171" w:type="dxa"/>
          </w:tcPr>
          <w:p w:rsidR="00B64E72" w14:paraId="0C1C0D07" w14:textId="77777777">
            <w:pPr>
              <w:pStyle w:val="TableParagraph"/>
              <w:rPr>
                <w:b/>
                <w:sz w:val="18"/>
              </w:rPr>
            </w:pPr>
          </w:p>
          <w:p w:rsidR="00B64E72" w14:paraId="2B2C7DAA" w14:textId="77777777">
            <w:pPr>
              <w:pStyle w:val="TableParagraph"/>
              <w:spacing w:before="12"/>
              <w:rPr>
                <w:b/>
                <w:sz w:val="18"/>
              </w:rPr>
            </w:pPr>
          </w:p>
          <w:p w:rsidR="00B64E72" w14:paraId="64DDBE78" w14:textId="77777777">
            <w:pPr>
              <w:pStyle w:val="TableParagraph"/>
              <w:spacing w:before="1" w:line="196" w:lineRule="exact"/>
              <w:ind w:left="163" w:right="151"/>
              <w:jc w:val="center"/>
              <w:rPr>
                <w:sz w:val="18"/>
              </w:rPr>
            </w:pPr>
            <w:bookmarkStart w:id="311" w:name="$108.15_"/>
            <w:bookmarkEnd w:id="311"/>
            <w:r>
              <w:rPr>
                <w:spacing w:val="-2"/>
                <w:sz w:val="18"/>
              </w:rPr>
              <w:t>$108.15</w:t>
            </w:r>
          </w:p>
        </w:tc>
        <w:tc>
          <w:tcPr>
            <w:tcW w:w="1444" w:type="dxa"/>
          </w:tcPr>
          <w:p w:rsidR="00B64E72" w14:paraId="29E0E806" w14:textId="77777777">
            <w:pPr>
              <w:pStyle w:val="TableParagraph"/>
              <w:rPr>
                <w:b/>
                <w:sz w:val="18"/>
              </w:rPr>
            </w:pPr>
          </w:p>
          <w:p w:rsidR="00B64E72" w14:paraId="3431ED45" w14:textId="77777777">
            <w:pPr>
              <w:pStyle w:val="TableParagraph"/>
              <w:spacing w:before="12"/>
              <w:rPr>
                <w:b/>
                <w:sz w:val="18"/>
              </w:rPr>
            </w:pPr>
          </w:p>
          <w:p w:rsidR="00B64E72" w14:paraId="7A6847A8" w14:textId="77777777">
            <w:pPr>
              <w:pStyle w:val="TableParagraph"/>
              <w:spacing w:before="1" w:line="196" w:lineRule="exact"/>
              <w:ind w:left="171" w:right="157"/>
              <w:jc w:val="center"/>
              <w:rPr>
                <w:sz w:val="18"/>
              </w:rPr>
            </w:pPr>
            <w:bookmarkStart w:id="312" w:name="$4,781_"/>
            <w:bookmarkEnd w:id="312"/>
            <w:r>
              <w:rPr>
                <w:spacing w:val="-2"/>
                <w:sz w:val="18"/>
              </w:rPr>
              <w:t>$4,781</w:t>
            </w:r>
          </w:p>
        </w:tc>
        <w:tc>
          <w:tcPr>
            <w:tcW w:w="1265" w:type="dxa"/>
          </w:tcPr>
          <w:p w:rsidR="00B64E72" w14:paraId="0D91DED6" w14:textId="77777777">
            <w:pPr>
              <w:pStyle w:val="TableParagraph"/>
              <w:rPr>
                <w:b/>
                <w:sz w:val="18"/>
              </w:rPr>
            </w:pPr>
          </w:p>
          <w:p w:rsidR="00B64E72" w14:paraId="301E7350" w14:textId="77777777">
            <w:pPr>
              <w:pStyle w:val="TableParagraph"/>
              <w:spacing w:before="12"/>
              <w:rPr>
                <w:b/>
                <w:sz w:val="18"/>
              </w:rPr>
            </w:pPr>
          </w:p>
          <w:p w:rsidR="00B64E72" w14:paraId="1B3A870D" w14:textId="77777777">
            <w:pPr>
              <w:pStyle w:val="TableParagraph"/>
              <w:spacing w:before="1" w:line="196" w:lineRule="exact"/>
              <w:ind w:left="168" w:right="150"/>
              <w:jc w:val="center"/>
              <w:rPr>
                <w:sz w:val="18"/>
              </w:rPr>
            </w:pPr>
            <w:bookmarkStart w:id="313" w:name="$190_"/>
            <w:bookmarkEnd w:id="313"/>
            <w:r>
              <w:rPr>
                <w:spacing w:val="-4"/>
                <w:sz w:val="18"/>
              </w:rPr>
              <w:t>$190</w:t>
            </w:r>
          </w:p>
        </w:tc>
        <w:tc>
          <w:tcPr>
            <w:tcW w:w="1519" w:type="dxa"/>
          </w:tcPr>
          <w:p w:rsidR="00B64E72" w14:paraId="2F5BC009" w14:textId="77777777">
            <w:pPr>
              <w:pStyle w:val="TableParagraph"/>
              <w:rPr>
                <w:b/>
                <w:sz w:val="18"/>
              </w:rPr>
            </w:pPr>
          </w:p>
          <w:p w:rsidR="00B64E72" w14:paraId="6DE2E997" w14:textId="77777777">
            <w:pPr>
              <w:pStyle w:val="TableParagraph"/>
              <w:spacing w:before="12"/>
              <w:rPr>
                <w:b/>
                <w:sz w:val="18"/>
              </w:rPr>
            </w:pPr>
          </w:p>
          <w:p w:rsidR="00B64E72" w14:paraId="35283B45" w14:textId="77777777">
            <w:pPr>
              <w:pStyle w:val="TableParagraph"/>
              <w:spacing w:before="1" w:line="196" w:lineRule="exact"/>
              <w:ind w:left="21" w:right="3"/>
              <w:jc w:val="center"/>
              <w:rPr>
                <w:sz w:val="18"/>
              </w:rPr>
            </w:pPr>
            <w:bookmarkStart w:id="314" w:name="$4,972_"/>
            <w:bookmarkEnd w:id="314"/>
            <w:r>
              <w:rPr>
                <w:spacing w:val="-2"/>
                <w:sz w:val="18"/>
              </w:rPr>
              <w:t>$4,972</w:t>
            </w:r>
          </w:p>
        </w:tc>
      </w:tr>
      <w:tr w14:paraId="3DA5EBFB" w14:textId="77777777">
        <w:tblPrEx>
          <w:tblW w:w="0" w:type="auto"/>
          <w:tblInd w:w="664" w:type="dxa"/>
          <w:tblLayout w:type="fixed"/>
          <w:tblCellMar>
            <w:left w:w="0" w:type="dxa"/>
            <w:right w:w="0" w:type="dxa"/>
          </w:tblCellMar>
          <w:tblLook w:val="01E0"/>
        </w:tblPrEx>
        <w:trPr>
          <w:trHeight w:val="1502"/>
        </w:trPr>
        <w:tc>
          <w:tcPr>
            <w:tcW w:w="1152" w:type="dxa"/>
          </w:tcPr>
          <w:p w:rsidR="00B64E72" w14:paraId="56C4F144" w14:textId="77777777">
            <w:pPr>
              <w:pStyle w:val="TableParagraph"/>
              <w:spacing w:before="2"/>
              <w:ind w:left="10" w:right="7"/>
              <w:jc w:val="center"/>
              <w:rPr>
                <w:sz w:val="18"/>
              </w:rPr>
            </w:pPr>
            <w:bookmarkStart w:id="315" w:name="§149.410(b)-(e),_§149.420(c)_-_(i)_–_Fac"/>
            <w:bookmarkEnd w:id="315"/>
            <w:r>
              <w:rPr>
                <w:spacing w:val="-2"/>
                <w:sz w:val="18"/>
              </w:rPr>
              <w:t>§149.410(b)-</w:t>
            </w:r>
          </w:p>
          <w:p w:rsidR="00B64E72" w14:paraId="5C689E96" w14:textId="77777777">
            <w:pPr>
              <w:pStyle w:val="TableParagraph"/>
              <w:spacing w:before="6"/>
              <w:ind w:left="10"/>
              <w:jc w:val="center"/>
              <w:rPr>
                <w:sz w:val="18"/>
              </w:rPr>
            </w:pPr>
            <w:r>
              <w:rPr>
                <w:spacing w:val="-4"/>
                <w:sz w:val="18"/>
              </w:rPr>
              <w:t>(e),</w:t>
            </w:r>
          </w:p>
          <w:p w:rsidR="00B64E72" w14:paraId="3498B503" w14:textId="77777777">
            <w:pPr>
              <w:pStyle w:val="TableParagraph"/>
              <w:spacing w:before="7"/>
              <w:ind w:left="10" w:right="4"/>
              <w:jc w:val="center"/>
              <w:rPr>
                <w:sz w:val="18"/>
              </w:rPr>
            </w:pPr>
            <w:r>
              <w:rPr>
                <w:spacing w:val="-2"/>
                <w:sz w:val="18"/>
              </w:rPr>
              <w:t>§149.420(c)</w:t>
            </w:r>
          </w:p>
          <w:p w:rsidR="00B64E72" w14:paraId="616509BB" w14:textId="77777777">
            <w:pPr>
              <w:pStyle w:val="TableParagraph"/>
              <w:spacing w:before="7"/>
              <w:ind w:left="9"/>
              <w:jc w:val="center"/>
              <w:rPr>
                <w:sz w:val="18"/>
              </w:rPr>
            </w:pPr>
            <w:r>
              <w:rPr>
                <w:sz w:val="18"/>
              </w:rPr>
              <w:t>- (</w:t>
            </w:r>
            <w:r>
              <w:rPr>
                <w:sz w:val="18"/>
              </w:rPr>
              <w:t>i</w:t>
            </w:r>
            <w:r>
              <w:rPr>
                <w:sz w:val="18"/>
              </w:rPr>
              <w:t>)</w:t>
            </w:r>
            <w:r>
              <w:rPr>
                <w:spacing w:val="1"/>
                <w:sz w:val="18"/>
              </w:rPr>
              <w:t xml:space="preserve"> </w:t>
            </w:r>
            <w:r>
              <w:rPr>
                <w:spacing w:val="-10"/>
                <w:sz w:val="18"/>
              </w:rPr>
              <w:t>–</w:t>
            </w:r>
          </w:p>
          <w:p w:rsidR="00B64E72" w14:paraId="7C333C5F" w14:textId="77777777">
            <w:pPr>
              <w:pStyle w:val="TableParagraph"/>
              <w:spacing w:before="2" w:line="210" w:lineRule="atLeast"/>
              <w:ind w:left="230" w:right="218" w:hanging="3"/>
              <w:jc w:val="center"/>
              <w:rPr>
                <w:sz w:val="18"/>
              </w:rPr>
            </w:pPr>
            <w:r>
              <w:rPr>
                <w:spacing w:val="-2"/>
                <w:sz w:val="18"/>
              </w:rPr>
              <w:t xml:space="preserve">Facilities </w:t>
            </w:r>
            <w:r>
              <w:rPr>
                <w:spacing w:val="-4"/>
                <w:sz w:val="18"/>
              </w:rPr>
              <w:t xml:space="preserve">and </w:t>
            </w:r>
            <w:r>
              <w:rPr>
                <w:spacing w:val="-2"/>
                <w:sz w:val="18"/>
              </w:rPr>
              <w:t>Providers</w:t>
            </w:r>
          </w:p>
        </w:tc>
        <w:tc>
          <w:tcPr>
            <w:tcW w:w="1135" w:type="dxa"/>
          </w:tcPr>
          <w:p w:rsidR="00B64E72" w14:paraId="54A008DD" w14:textId="77777777">
            <w:pPr>
              <w:pStyle w:val="TableParagraph"/>
              <w:rPr>
                <w:b/>
                <w:sz w:val="18"/>
              </w:rPr>
            </w:pPr>
          </w:p>
          <w:p w:rsidR="00B64E72" w14:paraId="1A80E5F9" w14:textId="77777777">
            <w:pPr>
              <w:pStyle w:val="TableParagraph"/>
              <w:rPr>
                <w:b/>
                <w:sz w:val="18"/>
              </w:rPr>
            </w:pPr>
          </w:p>
          <w:p w:rsidR="00B64E72" w14:paraId="5E033335" w14:textId="77777777">
            <w:pPr>
              <w:pStyle w:val="TableParagraph"/>
              <w:rPr>
                <w:b/>
                <w:sz w:val="18"/>
              </w:rPr>
            </w:pPr>
          </w:p>
          <w:p w:rsidR="00B64E72" w14:paraId="3BD06979" w14:textId="77777777">
            <w:pPr>
              <w:pStyle w:val="TableParagraph"/>
              <w:rPr>
                <w:b/>
                <w:sz w:val="18"/>
              </w:rPr>
            </w:pPr>
          </w:p>
          <w:p w:rsidR="00B64E72" w14:paraId="456B0C0A" w14:textId="77777777">
            <w:pPr>
              <w:pStyle w:val="TableParagraph"/>
              <w:rPr>
                <w:b/>
                <w:sz w:val="18"/>
              </w:rPr>
            </w:pPr>
          </w:p>
          <w:p w:rsidR="00B64E72" w14:paraId="36B9C79B" w14:textId="77777777">
            <w:pPr>
              <w:pStyle w:val="TableParagraph"/>
              <w:spacing w:before="41"/>
              <w:rPr>
                <w:b/>
                <w:sz w:val="18"/>
              </w:rPr>
            </w:pPr>
          </w:p>
          <w:p w:rsidR="00B64E72" w14:paraId="102B5556" w14:textId="77777777">
            <w:pPr>
              <w:pStyle w:val="TableParagraph"/>
              <w:spacing w:before="1" w:line="198" w:lineRule="exact"/>
              <w:ind w:left="13" w:right="4"/>
              <w:jc w:val="center"/>
              <w:rPr>
                <w:sz w:val="18"/>
              </w:rPr>
            </w:pPr>
            <w:r>
              <w:rPr>
                <w:spacing w:val="-2"/>
                <w:sz w:val="18"/>
              </w:rPr>
              <w:t>17,467</w:t>
            </w:r>
          </w:p>
        </w:tc>
        <w:tc>
          <w:tcPr>
            <w:tcW w:w="1080" w:type="dxa"/>
          </w:tcPr>
          <w:p w:rsidR="00B64E72" w14:paraId="6975776A" w14:textId="77777777">
            <w:pPr>
              <w:pStyle w:val="TableParagraph"/>
              <w:rPr>
                <w:b/>
                <w:sz w:val="18"/>
              </w:rPr>
            </w:pPr>
          </w:p>
          <w:p w:rsidR="00B64E72" w14:paraId="5A732008" w14:textId="77777777">
            <w:pPr>
              <w:pStyle w:val="TableParagraph"/>
              <w:rPr>
                <w:b/>
                <w:sz w:val="18"/>
              </w:rPr>
            </w:pPr>
          </w:p>
          <w:p w:rsidR="00B64E72" w14:paraId="0DA0BCC9" w14:textId="77777777">
            <w:pPr>
              <w:pStyle w:val="TableParagraph"/>
              <w:rPr>
                <w:b/>
                <w:sz w:val="18"/>
              </w:rPr>
            </w:pPr>
          </w:p>
          <w:p w:rsidR="00B64E72" w14:paraId="6A771161" w14:textId="77777777">
            <w:pPr>
              <w:pStyle w:val="TableParagraph"/>
              <w:rPr>
                <w:b/>
                <w:sz w:val="18"/>
              </w:rPr>
            </w:pPr>
          </w:p>
          <w:p w:rsidR="00B64E72" w14:paraId="74E2B670" w14:textId="77777777">
            <w:pPr>
              <w:pStyle w:val="TableParagraph"/>
              <w:rPr>
                <w:b/>
                <w:sz w:val="18"/>
              </w:rPr>
            </w:pPr>
          </w:p>
          <w:p w:rsidR="00B64E72" w14:paraId="387DDEB9" w14:textId="77777777">
            <w:pPr>
              <w:pStyle w:val="TableParagraph"/>
              <w:spacing w:before="41"/>
              <w:rPr>
                <w:b/>
                <w:sz w:val="18"/>
              </w:rPr>
            </w:pPr>
          </w:p>
          <w:p w:rsidR="00B64E72" w14:paraId="4FD638BF" w14:textId="77777777">
            <w:pPr>
              <w:pStyle w:val="TableParagraph"/>
              <w:spacing w:before="1" w:line="198" w:lineRule="exact"/>
              <w:ind w:left="12" w:right="1"/>
              <w:jc w:val="center"/>
              <w:rPr>
                <w:sz w:val="18"/>
              </w:rPr>
            </w:pPr>
            <w:r>
              <w:rPr>
                <w:spacing w:val="-2"/>
                <w:sz w:val="18"/>
              </w:rPr>
              <w:t>2,440,565</w:t>
            </w:r>
          </w:p>
        </w:tc>
        <w:tc>
          <w:tcPr>
            <w:tcW w:w="988" w:type="dxa"/>
          </w:tcPr>
          <w:p w:rsidR="00B64E72" w14:paraId="684BD38C" w14:textId="77777777">
            <w:pPr>
              <w:pStyle w:val="TableParagraph"/>
              <w:rPr>
                <w:b/>
                <w:sz w:val="18"/>
              </w:rPr>
            </w:pPr>
          </w:p>
          <w:p w:rsidR="00B64E72" w14:paraId="3FFF8BBC" w14:textId="77777777">
            <w:pPr>
              <w:pStyle w:val="TableParagraph"/>
              <w:rPr>
                <w:b/>
                <w:sz w:val="18"/>
              </w:rPr>
            </w:pPr>
          </w:p>
          <w:p w:rsidR="00B64E72" w14:paraId="49A07806" w14:textId="77777777">
            <w:pPr>
              <w:pStyle w:val="TableParagraph"/>
              <w:rPr>
                <w:b/>
                <w:sz w:val="18"/>
              </w:rPr>
            </w:pPr>
          </w:p>
          <w:p w:rsidR="00B64E72" w14:paraId="2C295805" w14:textId="77777777">
            <w:pPr>
              <w:pStyle w:val="TableParagraph"/>
              <w:rPr>
                <w:b/>
                <w:sz w:val="18"/>
              </w:rPr>
            </w:pPr>
          </w:p>
          <w:p w:rsidR="00B64E72" w14:paraId="4922897D" w14:textId="77777777">
            <w:pPr>
              <w:pStyle w:val="TableParagraph"/>
              <w:rPr>
                <w:b/>
                <w:sz w:val="18"/>
              </w:rPr>
            </w:pPr>
          </w:p>
          <w:p w:rsidR="00B64E72" w14:paraId="4D0159CD" w14:textId="77777777">
            <w:pPr>
              <w:pStyle w:val="TableParagraph"/>
              <w:spacing w:before="41"/>
              <w:rPr>
                <w:b/>
                <w:sz w:val="18"/>
              </w:rPr>
            </w:pPr>
          </w:p>
          <w:p w:rsidR="00B64E72" w14:paraId="47DEDBB3" w14:textId="77777777">
            <w:pPr>
              <w:pStyle w:val="TableParagraph"/>
              <w:spacing w:before="1" w:line="198" w:lineRule="exact"/>
              <w:ind w:left="9" w:right="3"/>
              <w:jc w:val="center"/>
              <w:rPr>
                <w:sz w:val="18"/>
              </w:rPr>
            </w:pPr>
            <w:bookmarkStart w:id="316" w:name="1.27_"/>
            <w:bookmarkEnd w:id="316"/>
            <w:r>
              <w:rPr>
                <w:spacing w:val="-4"/>
                <w:sz w:val="18"/>
              </w:rPr>
              <w:t>1.27</w:t>
            </w:r>
          </w:p>
        </w:tc>
        <w:tc>
          <w:tcPr>
            <w:tcW w:w="1079" w:type="dxa"/>
          </w:tcPr>
          <w:p w:rsidR="00B64E72" w14:paraId="4B9F2DC8" w14:textId="77777777">
            <w:pPr>
              <w:pStyle w:val="TableParagraph"/>
              <w:rPr>
                <w:b/>
                <w:sz w:val="18"/>
              </w:rPr>
            </w:pPr>
          </w:p>
          <w:p w:rsidR="00B64E72" w14:paraId="34AC1DA2" w14:textId="77777777">
            <w:pPr>
              <w:pStyle w:val="TableParagraph"/>
              <w:rPr>
                <w:b/>
                <w:sz w:val="18"/>
              </w:rPr>
            </w:pPr>
          </w:p>
          <w:p w:rsidR="00B64E72" w14:paraId="49F9B0BC" w14:textId="77777777">
            <w:pPr>
              <w:pStyle w:val="TableParagraph"/>
              <w:rPr>
                <w:b/>
                <w:sz w:val="18"/>
              </w:rPr>
            </w:pPr>
          </w:p>
          <w:p w:rsidR="00B64E72" w14:paraId="0AFDF0D2" w14:textId="77777777">
            <w:pPr>
              <w:pStyle w:val="TableParagraph"/>
              <w:rPr>
                <w:b/>
                <w:sz w:val="18"/>
              </w:rPr>
            </w:pPr>
          </w:p>
          <w:p w:rsidR="00B64E72" w14:paraId="4B0C5792" w14:textId="77777777">
            <w:pPr>
              <w:pStyle w:val="TableParagraph"/>
              <w:rPr>
                <w:b/>
                <w:sz w:val="18"/>
              </w:rPr>
            </w:pPr>
          </w:p>
          <w:p w:rsidR="00B64E72" w14:paraId="3388471E" w14:textId="77777777">
            <w:pPr>
              <w:pStyle w:val="TableParagraph"/>
              <w:spacing w:before="41"/>
              <w:rPr>
                <w:b/>
                <w:sz w:val="18"/>
              </w:rPr>
            </w:pPr>
          </w:p>
          <w:p w:rsidR="00B64E72" w14:paraId="0E1D23E4" w14:textId="77777777">
            <w:pPr>
              <w:pStyle w:val="TableParagraph"/>
              <w:spacing w:before="1" w:line="198" w:lineRule="exact"/>
              <w:ind w:left="15"/>
              <w:jc w:val="center"/>
              <w:rPr>
                <w:sz w:val="18"/>
              </w:rPr>
            </w:pPr>
            <w:bookmarkStart w:id="317" w:name="3,104,001_"/>
            <w:bookmarkEnd w:id="317"/>
            <w:r>
              <w:rPr>
                <w:spacing w:val="-2"/>
                <w:sz w:val="18"/>
              </w:rPr>
              <w:t>3,104,001</w:t>
            </w:r>
          </w:p>
        </w:tc>
        <w:tc>
          <w:tcPr>
            <w:tcW w:w="1171" w:type="dxa"/>
          </w:tcPr>
          <w:p w:rsidR="00B64E72" w14:paraId="0EF69B14" w14:textId="77777777">
            <w:pPr>
              <w:pStyle w:val="TableParagraph"/>
              <w:rPr>
                <w:b/>
                <w:sz w:val="18"/>
              </w:rPr>
            </w:pPr>
          </w:p>
          <w:p w:rsidR="00B64E72" w14:paraId="25A7F90D" w14:textId="77777777">
            <w:pPr>
              <w:pStyle w:val="TableParagraph"/>
              <w:rPr>
                <w:b/>
                <w:sz w:val="18"/>
              </w:rPr>
            </w:pPr>
          </w:p>
          <w:p w:rsidR="00B64E72" w14:paraId="380A36B3" w14:textId="77777777">
            <w:pPr>
              <w:pStyle w:val="TableParagraph"/>
              <w:rPr>
                <w:b/>
                <w:sz w:val="18"/>
              </w:rPr>
            </w:pPr>
          </w:p>
          <w:p w:rsidR="00B64E72" w14:paraId="7AE135BC" w14:textId="77777777">
            <w:pPr>
              <w:pStyle w:val="TableParagraph"/>
              <w:rPr>
                <w:b/>
                <w:sz w:val="18"/>
              </w:rPr>
            </w:pPr>
          </w:p>
          <w:p w:rsidR="00B64E72" w14:paraId="2CD75CCB" w14:textId="77777777">
            <w:pPr>
              <w:pStyle w:val="TableParagraph"/>
              <w:rPr>
                <w:b/>
                <w:sz w:val="18"/>
              </w:rPr>
            </w:pPr>
          </w:p>
          <w:p w:rsidR="00B64E72" w14:paraId="5D0F9603" w14:textId="77777777">
            <w:pPr>
              <w:pStyle w:val="TableParagraph"/>
              <w:spacing w:before="41"/>
              <w:rPr>
                <w:b/>
                <w:sz w:val="18"/>
              </w:rPr>
            </w:pPr>
          </w:p>
          <w:p w:rsidR="00B64E72" w14:paraId="39FAC8C2" w14:textId="77777777">
            <w:pPr>
              <w:pStyle w:val="TableParagraph"/>
              <w:spacing w:before="1" w:line="198" w:lineRule="exact"/>
              <w:ind w:left="164" w:right="151"/>
              <w:jc w:val="center"/>
              <w:rPr>
                <w:sz w:val="18"/>
              </w:rPr>
            </w:pPr>
            <w:bookmarkStart w:id="318" w:name="$39.08_"/>
            <w:bookmarkEnd w:id="318"/>
            <w:r>
              <w:rPr>
                <w:spacing w:val="-2"/>
                <w:sz w:val="18"/>
              </w:rPr>
              <w:t>$39.08</w:t>
            </w:r>
          </w:p>
        </w:tc>
        <w:tc>
          <w:tcPr>
            <w:tcW w:w="1444" w:type="dxa"/>
          </w:tcPr>
          <w:p w:rsidR="00B64E72" w14:paraId="64F481E2" w14:textId="77777777">
            <w:pPr>
              <w:pStyle w:val="TableParagraph"/>
              <w:rPr>
                <w:b/>
                <w:sz w:val="18"/>
              </w:rPr>
            </w:pPr>
          </w:p>
          <w:p w:rsidR="00B64E72" w14:paraId="132798EA" w14:textId="77777777">
            <w:pPr>
              <w:pStyle w:val="TableParagraph"/>
              <w:rPr>
                <w:b/>
                <w:sz w:val="18"/>
              </w:rPr>
            </w:pPr>
          </w:p>
          <w:p w:rsidR="00B64E72" w14:paraId="71220C5E" w14:textId="77777777">
            <w:pPr>
              <w:pStyle w:val="TableParagraph"/>
              <w:rPr>
                <w:b/>
                <w:sz w:val="18"/>
              </w:rPr>
            </w:pPr>
          </w:p>
          <w:p w:rsidR="00B64E72" w14:paraId="4241574D" w14:textId="77777777">
            <w:pPr>
              <w:pStyle w:val="TableParagraph"/>
              <w:rPr>
                <w:b/>
                <w:sz w:val="18"/>
              </w:rPr>
            </w:pPr>
          </w:p>
          <w:p w:rsidR="00B64E72" w14:paraId="5FBF0734" w14:textId="77777777">
            <w:pPr>
              <w:pStyle w:val="TableParagraph"/>
              <w:rPr>
                <w:b/>
                <w:sz w:val="18"/>
              </w:rPr>
            </w:pPr>
          </w:p>
          <w:p w:rsidR="00B64E72" w14:paraId="3E8434C0" w14:textId="77777777">
            <w:pPr>
              <w:pStyle w:val="TableParagraph"/>
              <w:spacing w:before="41"/>
              <w:rPr>
                <w:b/>
                <w:sz w:val="18"/>
              </w:rPr>
            </w:pPr>
          </w:p>
          <w:p w:rsidR="00B64E72" w14:paraId="70E881F0" w14:textId="77777777">
            <w:pPr>
              <w:pStyle w:val="TableParagraph"/>
              <w:spacing w:before="1" w:line="198" w:lineRule="exact"/>
              <w:ind w:left="171" w:right="155"/>
              <w:jc w:val="center"/>
              <w:rPr>
                <w:sz w:val="18"/>
              </w:rPr>
            </w:pPr>
            <w:bookmarkStart w:id="319" w:name="$121,304,370_"/>
            <w:bookmarkEnd w:id="319"/>
            <w:r>
              <w:rPr>
                <w:spacing w:val="-2"/>
                <w:sz w:val="18"/>
              </w:rPr>
              <w:t>$121,304,370</w:t>
            </w:r>
          </w:p>
        </w:tc>
        <w:tc>
          <w:tcPr>
            <w:tcW w:w="1265" w:type="dxa"/>
          </w:tcPr>
          <w:p w:rsidR="00B64E72" w14:paraId="22CDCC60" w14:textId="77777777">
            <w:pPr>
              <w:pStyle w:val="TableParagraph"/>
              <w:rPr>
                <w:b/>
                <w:sz w:val="18"/>
              </w:rPr>
            </w:pPr>
          </w:p>
          <w:p w:rsidR="00B64E72" w14:paraId="4C263FD6" w14:textId="77777777">
            <w:pPr>
              <w:pStyle w:val="TableParagraph"/>
              <w:rPr>
                <w:b/>
                <w:sz w:val="18"/>
              </w:rPr>
            </w:pPr>
          </w:p>
          <w:p w:rsidR="00B64E72" w14:paraId="726BE116" w14:textId="77777777">
            <w:pPr>
              <w:pStyle w:val="TableParagraph"/>
              <w:rPr>
                <w:b/>
                <w:sz w:val="18"/>
              </w:rPr>
            </w:pPr>
          </w:p>
          <w:p w:rsidR="00B64E72" w14:paraId="2FA6FBDC" w14:textId="77777777">
            <w:pPr>
              <w:pStyle w:val="TableParagraph"/>
              <w:rPr>
                <w:b/>
                <w:sz w:val="18"/>
              </w:rPr>
            </w:pPr>
          </w:p>
          <w:p w:rsidR="00B64E72" w14:paraId="3418EBEF" w14:textId="77777777">
            <w:pPr>
              <w:pStyle w:val="TableParagraph"/>
              <w:rPr>
                <w:b/>
                <w:sz w:val="18"/>
              </w:rPr>
            </w:pPr>
          </w:p>
          <w:p w:rsidR="00B64E72" w14:paraId="3B1FEE77" w14:textId="77777777">
            <w:pPr>
              <w:pStyle w:val="TableParagraph"/>
              <w:spacing w:before="41"/>
              <w:rPr>
                <w:b/>
                <w:sz w:val="18"/>
              </w:rPr>
            </w:pPr>
          </w:p>
          <w:p w:rsidR="00B64E72" w14:paraId="530C1F60" w14:textId="77777777">
            <w:pPr>
              <w:pStyle w:val="TableParagraph"/>
              <w:spacing w:before="1" w:line="198" w:lineRule="exact"/>
              <w:ind w:left="168" w:right="151"/>
              <w:jc w:val="center"/>
              <w:rPr>
                <w:sz w:val="18"/>
              </w:rPr>
            </w:pPr>
            <w:bookmarkStart w:id="320" w:name="$1,039,855_"/>
            <w:bookmarkEnd w:id="320"/>
            <w:r>
              <w:rPr>
                <w:spacing w:val="-2"/>
                <w:sz w:val="18"/>
              </w:rPr>
              <w:t>$1,039,855</w:t>
            </w:r>
          </w:p>
        </w:tc>
        <w:tc>
          <w:tcPr>
            <w:tcW w:w="1519" w:type="dxa"/>
          </w:tcPr>
          <w:p w:rsidR="00B64E72" w14:paraId="131C7F0B" w14:textId="77777777">
            <w:pPr>
              <w:pStyle w:val="TableParagraph"/>
              <w:rPr>
                <w:b/>
                <w:sz w:val="18"/>
              </w:rPr>
            </w:pPr>
          </w:p>
          <w:p w:rsidR="00B64E72" w14:paraId="47428251" w14:textId="77777777">
            <w:pPr>
              <w:pStyle w:val="TableParagraph"/>
              <w:rPr>
                <w:b/>
                <w:sz w:val="18"/>
              </w:rPr>
            </w:pPr>
          </w:p>
          <w:p w:rsidR="00B64E72" w14:paraId="5D8E358A" w14:textId="77777777">
            <w:pPr>
              <w:pStyle w:val="TableParagraph"/>
              <w:rPr>
                <w:b/>
                <w:sz w:val="18"/>
              </w:rPr>
            </w:pPr>
          </w:p>
          <w:p w:rsidR="00B64E72" w14:paraId="33A8E05A" w14:textId="77777777">
            <w:pPr>
              <w:pStyle w:val="TableParagraph"/>
              <w:rPr>
                <w:b/>
                <w:sz w:val="18"/>
              </w:rPr>
            </w:pPr>
          </w:p>
          <w:p w:rsidR="00B64E72" w14:paraId="70B3A1C7" w14:textId="77777777">
            <w:pPr>
              <w:pStyle w:val="TableParagraph"/>
              <w:rPr>
                <w:b/>
                <w:sz w:val="18"/>
              </w:rPr>
            </w:pPr>
          </w:p>
          <w:p w:rsidR="00B64E72" w14:paraId="36523B44" w14:textId="77777777">
            <w:pPr>
              <w:pStyle w:val="TableParagraph"/>
              <w:spacing w:before="41"/>
              <w:rPr>
                <w:b/>
                <w:sz w:val="18"/>
              </w:rPr>
            </w:pPr>
          </w:p>
          <w:p w:rsidR="00B64E72" w14:paraId="0BB86FCE" w14:textId="77777777">
            <w:pPr>
              <w:pStyle w:val="TableParagraph"/>
              <w:spacing w:before="1" w:line="198" w:lineRule="exact"/>
              <w:ind w:left="21" w:right="1"/>
              <w:jc w:val="center"/>
              <w:rPr>
                <w:sz w:val="18"/>
              </w:rPr>
            </w:pPr>
            <w:bookmarkStart w:id="321" w:name="$122,344,225_"/>
            <w:bookmarkEnd w:id="321"/>
            <w:r>
              <w:rPr>
                <w:spacing w:val="-2"/>
                <w:sz w:val="18"/>
              </w:rPr>
              <w:t>$122,344,225</w:t>
            </w:r>
          </w:p>
        </w:tc>
      </w:tr>
      <w:tr w14:paraId="59E9FB89" w14:textId="77777777">
        <w:tblPrEx>
          <w:tblW w:w="0" w:type="auto"/>
          <w:tblInd w:w="664" w:type="dxa"/>
          <w:tblLayout w:type="fixed"/>
          <w:tblCellMar>
            <w:left w:w="0" w:type="dxa"/>
            <w:right w:w="0" w:type="dxa"/>
          </w:tblCellMar>
          <w:tblLook w:val="01E0"/>
        </w:tblPrEx>
        <w:trPr>
          <w:trHeight w:val="1072"/>
        </w:trPr>
        <w:tc>
          <w:tcPr>
            <w:tcW w:w="1152" w:type="dxa"/>
          </w:tcPr>
          <w:p w:rsidR="00B64E72" w14:paraId="215AD43A" w14:textId="77777777">
            <w:pPr>
              <w:pStyle w:val="TableParagraph"/>
              <w:spacing w:line="207" w:lineRule="exact"/>
              <w:ind w:left="10" w:right="7"/>
              <w:jc w:val="center"/>
              <w:rPr>
                <w:sz w:val="18"/>
              </w:rPr>
            </w:pPr>
            <w:bookmarkStart w:id="322" w:name="§149.410(b)-(e),_§149.420(c)_-_(i)_–Cons"/>
            <w:bookmarkEnd w:id="322"/>
            <w:r>
              <w:rPr>
                <w:spacing w:val="-2"/>
                <w:sz w:val="18"/>
              </w:rPr>
              <w:t>§149.410(b)-</w:t>
            </w:r>
          </w:p>
          <w:p w:rsidR="00B64E72" w14:paraId="348C78F5" w14:textId="77777777">
            <w:pPr>
              <w:pStyle w:val="TableParagraph"/>
              <w:spacing w:before="7"/>
              <w:ind w:left="10"/>
              <w:jc w:val="center"/>
              <w:rPr>
                <w:sz w:val="18"/>
              </w:rPr>
            </w:pPr>
            <w:r>
              <w:rPr>
                <w:spacing w:val="-4"/>
                <w:sz w:val="18"/>
              </w:rPr>
              <w:t>(e),</w:t>
            </w:r>
          </w:p>
          <w:p w:rsidR="00B64E72" w14:paraId="0C091836" w14:textId="77777777">
            <w:pPr>
              <w:pStyle w:val="TableParagraph"/>
              <w:spacing w:before="7"/>
              <w:ind w:left="10" w:right="4"/>
              <w:jc w:val="center"/>
              <w:rPr>
                <w:sz w:val="18"/>
              </w:rPr>
            </w:pPr>
            <w:r>
              <w:rPr>
                <w:spacing w:val="-2"/>
                <w:sz w:val="18"/>
              </w:rPr>
              <w:t>§149.420(c)</w:t>
            </w:r>
          </w:p>
          <w:p w:rsidR="00B64E72" w14:paraId="53F294DA" w14:textId="77777777">
            <w:pPr>
              <w:pStyle w:val="TableParagraph"/>
              <w:spacing w:before="6"/>
              <w:ind w:left="9"/>
              <w:jc w:val="center"/>
              <w:rPr>
                <w:sz w:val="18"/>
              </w:rPr>
            </w:pPr>
            <w:r>
              <w:rPr>
                <w:sz w:val="18"/>
              </w:rPr>
              <w:t>- (</w:t>
            </w:r>
            <w:r>
              <w:rPr>
                <w:sz w:val="18"/>
              </w:rPr>
              <w:t>i</w:t>
            </w:r>
            <w:r>
              <w:rPr>
                <w:sz w:val="18"/>
              </w:rPr>
              <w:t>)</w:t>
            </w:r>
            <w:r>
              <w:rPr>
                <w:spacing w:val="1"/>
                <w:sz w:val="18"/>
              </w:rPr>
              <w:t xml:space="preserve"> </w:t>
            </w:r>
            <w:r>
              <w:rPr>
                <w:spacing w:val="-10"/>
                <w:sz w:val="18"/>
              </w:rPr>
              <w:t>–</w:t>
            </w:r>
          </w:p>
          <w:p w:rsidR="00B64E72" w14:paraId="1C4542BE" w14:textId="77777777">
            <w:pPr>
              <w:pStyle w:val="TableParagraph"/>
              <w:spacing w:before="7" w:line="198" w:lineRule="exact"/>
              <w:ind w:left="9"/>
              <w:jc w:val="center"/>
              <w:rPr>
                <w:sz w:val="18"/>
              </w:rPr>
            </w:pPr>
            <w:r>
              <w:rPr>
                <w:spacing w:val="-2"/>
                <w:sz w:val="18"/>
              </w:rPr>
              <w:t>Consumers</w:t>
            </w:r>
          </w:p>
        </w:tc>
        <w:tc>
          <w:tcPr>
            <w:tcW w:w="1135" w:type="dxa"/>
          </w:tcPr>
          <w:p w:rsidR="00B64E72" w14:paraId="281E3ACE" w14:textId="77777777">
            <w:pPr>
              <w:pStyle w:val="TableParagraph"/>
              <w:rPr>
                <w:b/>
                <w:sz w:val="18"/>
              </w:rPr>
            </w:pPr>
          </w:p>
          <w:p w:rsidR="00B64E72" w14:paraId="2AC2CB20" w14:textId="77777777">
            <w:pPr>
              <w:pStyle w:val="TableParagraph"/>
              <w:rPr>
                <w:b/>
                <w:sz w:val="18"/>
              </w:rPr>
            </w:pPr>
          </w:p>
          <w:p w:rsidR="00B64E72" w14:paraId="0DF75FBF" w14:textId="77777777">
            <w:pPr>
              <w:pStyle w:val="TableParagraph"/>
              <w:rPr>
                <w:b/>
                <w:sz w:val="18"/>
              </w:rPr>
            </w:pPr>
          </w:p>
          <w:p w:rsidR="00B64E72" w14:paraId="6620E30C" w14:textId="77777777">
            <w:pPr>
              <w:pStyle w:val="TableParagraph"/>
              <w:spacing w:before="26"/>
              <w:rPr>
                <w:b/>
                <w:sz w:val="18"/>
              </w:rPr>
            </w:pPr>
          </w:p>
          <w:p w:rsidR="00B64E72" w14:paraId="16B33A33" w14:textId="77777777">
            <w:pPr>
              <w:pStyle w:val="TableParagraph"/>
              <w:spacing w:before="1" w:line="198" w:lineRule="exact"/>
              <w:ind w:left="13" w:right="4"/>
              <w:jc w:val="center"/>
              <w:rPr>
                <w:sz w:val="18"/>
              </w:rPr>
            </w:pPr>
            <w:r>
              <w:rPr>
                <w:spacing w:val="-2"/>
                <w:sz w:val="18"/>
              </w:rPr>
              <w:t>2,440,565</w:t>
            </w:r>
          </w:p>
        </w:tc>
        <w:tc>
          <w:tcPr>
            <w:tcW w:w="1080" w:type="dxa"/>
          </w:tcPr>
          <w:p w:rsidR="00B64E72" w14:paraId="74CC6D26" w14:textId="77777777">
            <w:pPr>
              <w:pStyle w:val="TableParagraph"/>
              <w:rPr>
                <w:b/>
                <w:sz w:val="18"/>
              </w:rPr>
            </w:pPr>
          </w:p>
          <w:p w:rsidR="00B64E72" w14:paraId="6184349A" w14:textId="77777777">
            <w:pPr>
              <w:pStyle w:val="TableParagraph"/>
              <w:rPr>
                <w:b/>
                <w:sz w:val="18"/>
              </w:rPr>
            </w:pPr>
          </w:p>
          <w:p w:rsidR="00B64E72" w14:paraId="27E2E412" w14:textId="77777777">
            <w:pPr>
              <w:pStyle w:val="TableParagraph"/>
              <w:rPr>
                <w:b/>
                <w:sz w:val="18"/>
              </w:rPr>
            </w:pPr>
          </w:p>
          <w:p w:rsidR="00B64E72" w14:paraId="46543E23" w14:textId="77777777">
            <w:pPr>
              <w:pStyle w:val="TableParagraph"/>
              <w:spacing w:before="26"/>
              <w:rPr>
                <w:b/>
                <w:sz w:val="18"/>
              </w:rPr>
            </w:pPr>
          </w:p>
          <w:p w:rsidR="00B64E72" w14:paraId="28E09604" w14:textId="77777777">
            <w:pPr>
              <w:pStyle w:val="TableParagraph"/>
              <w:spacing w:before="1" w:line="198" w:lineRule="exact"/>
              <w:ind w:left="12" w:right="1"/>
              <w:jc w:val="center"/>
              <w:rPr>
                <w:sz w:val="18"/>
              </w:rPr>
            </w:pPr>
            <w:bookmarkStart w:id="323" w:name="2,440,565_"/>
            <w:bookmarkEnd w:id="323"/>
            <w:r>
              <w:rPr>
                <w:spacing w:val="-2"/>
                <w:sz w:val="18"/>
              </w:rPr>
              <w:t>2,440,565</w:t>
            </w:r>
          </w:p>
        </w:tc>
        <w:tc>
          <w:tcPr>
            <w:tcW w:w="988" w:type="dxa"/>
          </w:tcPr>
          <w:p w:rsidR="00B64E72" w14:paraId="4AE7CE00" w14:textId="77777777">
            <w:pPr>
              <w:pStyle w:val="TableParagraph"/>
              <w:rPr>
                <w:b/>
                <w:sz w:val="18"/>
              </w:rPr>
            </w:pPr>
          </w:p>
          <w:p w:rsidR="00B64E72" w14:paraId="39D6B8D5" w14:textId="77777777">
            <w:pPr>
              <w:pStyle w:val="TableParagraph"/>
              <w:rPr>
                <w:b/>
                <w:sz w:val="18"/>
              </w:rPr>
            </w:pPr>
          </w:p>
          <w:p w:rsidR="00B64E72" w14:paraId="7D7D8D41" w14:textId="77777777">
            <w:pPr>
              <w:pStyle w:val="TableParagraph"/>
              <w:rPr>
                <w:b/>
                <w:sz w:val="18"/>
              </w:rPr>
            </w:pPr>
          </w:p>
          <w:p w:rsidR="00B64E72" w14:paraId="54A0FA90" w14:textId="77777777">
            <w:pPr>
              <w:pStyle w:val="TableParagraph"/>
              <w:spacing w:before="26"/>
              <w:rPr>
                <w:b/>
                <w:sz w:val="18"/>
              </w:rPr>
            </w:pPr>
          </w:p>
          <w:p w:rsidR="00B64E72" w14:paraId="3EB93B35" w14:textId="77777777">
            <w:pPr>
              <w:pStyle w:val="TableParagraph"/>
              <w:spacing w:before="1" w:line="198" w:lineRule="exact"/>
              <w:ind w:left="9" w:right="3"/>
              <w:jc w:val="center"/>
              <w:rPr>
                <w:sz w:val="18"/>
              </w:rPr>
            </w:pPr>
            <w:bookmarkStart w:id="324" w:name="0.75_"/>
            <w:bookmarkEnd w:id="324"/>
            <w:r>
              <w:rPr>
                <w:spacing w:val="-4"/>
                <w:sz w:val="18"/>
              </w:rPr>
              <w:t>0.75</w:t>
            </w:r>
          </w:p>
        </w:tc>
        <w:tc>
          <w:tcPr>
            <w:tcW w:w="1079" w:type="dxa"/>
          </w:tcPr>
          <w:p w:rsidR="00B64E72" w14:paraId="63213260" w14:textId="77777777">
            <w:pPr>
              <w:pStyle w:val="TableParagraph"/>
              <w:rPr>
                <w:b/>
                <w:sz w:val="18"/>
              </w:rPr>
            </w:pPr>
          </w:p>
          <w:p w:rsidR="00B64E72" w14:paraId="0B9669B7" w14:textId="77777777">
            <w:pPr>
              <w:pStyle w:val="TableParagraph"/>
              <w:rPr>
                <w:b/>
                <w:sz w:val="18"/>
              </w:rPr>
            </w:pPr>
          </w:p>
          <w:p w:rsidR="00B64E72" w14:paraId="246246FB" w14:textId="77777777">
            <w:pPr>
              <w:pStyle w:val="TableParagraph"/>
              <w:rPr>
                <w:b/>
                <w:sz w:val="18"/>
              </w:rPr>
            </w:pPr>
          </w:p>
          <w:p w:rsidR="00B64E72" w14:paraId="6949D92F" w14:textId="77777777">
            <w:pPr>
              <w:pStyle w:val="TableParagraph"/>
              <w:spacing w:before="26"/>
              <w:rPr>
                <w:b/>
                <w:sz w:val="18"/>
              </w:rPr>
            </w:pPr>
          </w:p>
          <w:p w:rsidR="00B64E72" w14:paraId="511DBD49" w14:textId="77777777">
            <w:pPr>
              <w:pStyle w:val="TableParagraph"/>
              <w:spacing w:before="1" w:line="198" w:lineRule="exact"/>
              <w:ind w:left="15"/>
              <w:jc w:val="center"/>
              <w:rPr>
                <w:sz w:val="18"/>
              </w:rPr>
            </w:pPr>
            <w:bookmarkStart w:id="325" w:name="1,830,424_"/>
            <w:bookmarkEnd w:id="325"/>
            <w:r>
              <w:rPr>
                <w:spacing w:val="-2"/>
                <w:sz w:val="18"/>
              </w:rPr>
              <w:t>1,830,424</w:t>
            </w:r>
          </w:p>
        </w:tc>
        <w:tc>
          <w:tcPr>
            <w:tcW w:w="1171" w:type="dxa"/>
          </w:tcPr>
          <w:p w:rsidR="00B64E72" w14:paraId="7CF371DB" w14:textId="77777777">
            <w:pPr>
              <w:pStyle w:val="TableParagraph"/>
              <w:rPr>
                <w:b/>
                <w:sz w:val="18"/>
              </w:rPr>
            </w:pPr>
          </w:p>
          <w:p w:rsidR="00B64E72" w14:paraId="2263E4AF" w14:textId="77777777">
            <w:pPr>
              <w:pStyle w:val="TableParagraph"/>
              <w:rPr>
                <w:b/>
                <w:sz w:val="18"/>
              </w:rPr>
            </w:pPr>
          </w:p>
          <w:p w:rsidR="00B64E72" w14:paraId="6D48C671" w14:textId="77777777">
            <w:pPr>
              <w:pStyle w:val="TableParagraph"/>
              <w:rPr>
                <w:b/>
                <w:sz w:val="18"/>
              </w:rPr>
            </w:pPr>
          </w:p>
          <w:p w:rsidR="00B64E72" w14:paraId="1BF1D816" w14:textId="77777777">
            <w:pPr>
              <w:pStyle w:val="TableParagraph"/>
              <w:spacing w:before="26"/>
              <w:rPr>
                <w:b/>
                <w:sz w:val="18"/>
              </w:rPr>
            </w:pPr>
          </w:p>
          <w:p w:rsidR="00B64E72" w14:paraId="27FB815C" w14:textId="77777777">
            <w:pPr>
              <w:pStyle w:val="TableParagraph"/>
              <w:spacing w:before="1" w:line="198" w:lineRule="exact"/>
              <w:ind w:left="164" w:right="151"/>
              <w:jc w:val="center"/>
              <w:rPr>
                <w:sz w:val="18"/>
              </w:rPr>
            </w:pPr>
            <w:bookmarkStart w:id="326" w:name="$46.22_"/>
            <w:bookmarkEnd w:id="326"/>
            <w:r>
              <w:rPr>
                <w:spacing w:val="-2"/>
                <w:sz w:val="18"/>
              </w:rPr>
              <w:t>$46.22</w:t>
            </w:r>
          </w:p>
        </w:tc>
        <w:tc>
          <w:tcPr>
            <w:tcW w:w="1444" w:type="dxa"/>
          </w:tcPr>
          <w:p w:rsidR="00B64E72" w14:paraId="769E7731" w14:textId="77777777">
            <w:pPr>
              <w:pStyle w:val="TableParagraph"/>
              <w:rPr>
                <w:b/>
                <w:sz w:val="18"/>
              </w:rPr>
            </w:pPr>
          </w:p>
          <w:p w:rsidR="00B64E72" w14:paraId="384F8BA9" w14:textId="77777777">
            <w:pPr>
              <w:pStyle w:val="TableParagraph"/>
              <w:rPr>
                <w:b/>
                <w:sz w:val="18"/>
              </w:rPr>
            </w:pPr>
          </w:p>
          <w:p w:rsidR="00B64E72" w14:paraId="5EADABC8" w14:textId="77777777">
            <w:pPr>
              <w:pStyle w:val="TableParagraph"/>
              <w:rPr>
                <w:b/>
                <w:sz w:val="18"/>
              </w:rPr>
            </w:pPr>
          </w:p>
          <w:p w:rsidR="00B64E72" w14:paraId="47A40C3F" w14:textId="77777777">
            <w:pPr>
              <w:pStyle w:val="TableParagraph"/>
              <w:spacing w:before="26"/>
              <w:rPr>
                <w:b/>
                <w:sz w:val="18"/>
              </w:rPr>
            </w:pPr>
          </w:p>
          <w:p w:rsidR="00B64E72" w14:paraId="7B7698A3" w14:textId="77777777">
            <w:pPr>
              <w:pStyle w:val="TableParagraph"/>
              <w:spacing w:before="1" w:line="198" w:lineRule="exact"/>
              <w:ind w:left="171" w:right="156"/>
              <w:jc w:val="center"/>
              <w:rPr>
                <w:sz w:val="18"/>
              </w:rPr>
            </w:pPr>
            <w:r>
              <w:rPr>
                <w:spacing w:val="-2"/>
                <w:sz w:val="18"/>
              </w:rPr>
              <w:t>$84,602,190</w:t>
            </w:r>
          </w:p>
        </w:tc>
        <w:tc>
          <w:tcPr>
            <w:tcW w:w="1265" w:type="dxa"/>
          </w:tcPr>
          <w:p w:rsidR="00B64E72" w14:paraId="0FCA978F" w14:textId="77777777">
            <w:pPr>
              <w:pStyle w:val="TableParagraph"/>
              <w:rPr>
                <w:b/>
                <w:sz w:val="18"/>
              </w:rPr>
            </w:pPr>
          </w:p>
          <w:p w:rsidR="00B64E72" w14:paraId="6A25039E" w14:textId="77777777">
            <w:pPr>
              <w:pStyle w:val="TableParagraph"/>
              <w:rPr>
                <w:b/>
                <w:sz w:val="18"/>
              </w:rPr>
            </w:pPr>
          </w:p>
          <w:p w:rsidR="00B64E72" w14:paraId="2908A6DB" w14:textId="77777777">
            <w:pPr>
              <w:pStyle w:val="TableParagraph"/>
              <w:rPr>
                <w:b/>
                <w:sz w:val="18"/>
              </w:rPr>
            </w:pPr>
          </w:p>
          <w:p w:rsidR="00B64E72" w14:paraId="4BF5ECF6" w14:textId="77777777">
            <w:pPr>
              <w:pStyle w:val="TableParagraph"/>
              <w:spacing w:before="26"/>
              <w:rPr>
                <w:b/>
                <w:sz w:val="18"/>
              </w:rPr>
            </w:pPr>
          </w:p>
          <w:p w:rsidR="00B64E72" w14:paraId="34906532" w14:textId="77777777">
            <w:pPr>
              <w:pStyle w:val="TableParagraph"/>
              <w:spacing w:before="1" w:line="198" w:lineRule="exact"/>
              <w:ind w:left="170" w:right="150"/>
              <w:jc w:val="center"/>
              <w:rPr>
                <w:sz w:val="18"/>
              </w:rPr>
            </w:pPr>
            <w:r>
              <w:rPr>
                <w:spacing w:val="-2"/>
                <w:sz w:val="18"/>
              </w:rPr>
              <w:t>$0.00</w:t>
            </w:r>
          </w:p>
        </w:tc>
        <w:tc>
          <w:tcPr>
            <w:tcW w:w="1519" w:type="dxa"/>
          </w:tcPr>
          <w:p w:rsidR="00B64E72" w14:paraId="2287021D" w14:textId="77777777">
            <w:pPr>
              <w:pStyle w:val="TableParagraph"/>
              <w:rPr>
                <w:b/>
                <w:sz w:val="18"/>
              </w:rPr>
            </w:pPr>
          </w:p>
          <w:p w:rsidR="00B64E72" w14:paraId="3068C8EF" w14:textId="77777777">
            <w:pPr>
              <w:pStyle w:val="TableParagraph"/>
              <w:rPr>
                <w:b/>
                <w:sz w:val="18"/>
              </w:rPr>
            </w:pPr>
          </w:p>
          <w:p w:rsidR="00B64E72" w14:paraId="3EF14DB8" w14:textId="77777777">
            <w:pPr>
              <w:pStyle w:val="TableParagraph"/>
              <w:rPr>
                <w:b/>
                <w:sz w:val="18"/>
              </w:rPr>
            </w:pPr>
          </w:p>
          <w:p w:rsidR="00B64E72" w14:paraId="4A3F5DF7" w14:textId="77777777">
            <w:pPr>
              <w:pStyle w:val="TableParagraph"/>
              <w:spacing w:before="26"/>
              <w:rPr>
                <w:b/>
                <w:sz w:val="18"/>
              </w:rPr>
            </w:pPr>
          </w:p>
          <w:p w:rsidR="00B64E72" w14:paraId="7C04A990" w14:textId="77777777">
            <w:pPr>
              <w:pStyle w:val="TableParagraph"/>
              <w:spacing w:before="1" w:line="198" w:lineRule="exact"/>
              <w:ind w:left="21" w:right="1"/>
              <w:jc w:val="center"/>
              <w:rPr>
                <w:sz w:val="18"/>
              </w:rPr>
            </w:pPr>
            <w:bookmarkStart w:id="327" w:name="$84,602,190_"/>
            <w:bookmarkEnd w:id="327"/>
            <w:r>
              <w:rPr>
                <w:spacing w:val="-2"/>
                <w:sz w:val="18"/>
              </w:rPr>
              <w:t>$84,602,190</w:t>
            </w:r>
          </w:p>
        </w:tc>
      </w:tr>
      <w:tr w14:paraId="25BE140A" w14:textId="77777777">
        <w:tblPrEx>
          <w:tblW w:w="0" w:type="auto"/>
          <w:tblInd w:w="664" w:type="dxa"/>
          <w:tblLayout w:type="fixed"/>
          <w:tblCellMar>
            <w:left w:w="0" w:type="dxa"/>
            <w:right w:w="0" w:type="dxa"/>
          </w:tblCellMar>
          <w:tblLook w:val="01E0"/>
        </w:tblPrEx>
        <w:trPr>
          <w:trHeight w:val="858"/>
        </w:trPr>
        <w:tc>
          <w:tcPr>
            <w:tcW w:w="1152" w:type="dxa"/>
          </w:tcPr>
          <w:p w:rsidR="00B64E72" w14:paraId="0063AB4A" w14:textId="77777777">
            <w:pPr>
              <w:pStyle w:val="TableParagraph"/>
              <w:spacing w:line="207" w:lineRule="exact"/>
              <w:ind w:left="2"/>
              <w:jc w:val="center"/>
              <w:rPr>
                <w:sz w:val="18"/>
              </w:rPr>
            </w:pPr>
            <w:bookmarkStart w:id="328" w:name="§149.430_–_Facilities_and_Providers_"/>
            <w:bookmarkEnd w:id="328"/>
            <w:r>
              <w:rPr>
                <w:sz w:val="18"/>
              </w:rPr>
              <w:t xml:space="preserve">§149.430 </w:t>
            </w:r>
            <w:r>
              <w:rPr>
                <w:spacing w:val="-10"/>
                <w:sz w:val="18"/>
              </w:rPr>
              <w:t>–</w:t>
            </w:r>
          </w:p>
          <w:p w:rsidR="00B64E72" w14:paraId="0AAED44F" w14:textId="77777777">
            <w:pPr>
              <w:pStyle w:val="TableParagraph"/>
              <w:spacing w:before="2" w:line="210" w:lineRule="atLeast"/>
              <w:ind w:left="230" w:right="218" w:hanging="3"/>
              <w:jc w:val="center"/>
              <w:rPr>
                <w:sz w:val="18"/>
              </w:rPr>
            </w:pPr>
            <w:r>
              <w:rPr>
                <w:spacing w:val="-2"/>
                <w:sz w:val="18"/>
              </w:rPr>
              <w:t xml:space="preserve">Facilities </w:t>
            </w:r>
            <w:r>
              <w:rPr>
                <w:spacing w:val="-4"/>
                <w:sz w:val="18"/>
              </w:rPr>
              <w:t xml:space="preserve">and </w:t>
            </w:r>
            <w:r>
              <w:rPr>
                <w:spacing w:val="-2"/>
                <w:sz w:val="18"/>
              </w:rPr>
              <w:t>Providers</w:t>
            </w:r>
          </w:p>
        </w:tc>
        <w:tc>
          <w:tcPr>
            <w:tcW w:w="1135" w:type="dxa"/>
          </w:tcPr>
          <w:p w:rsidR="00B64E72" w14:paraId="7013846F" w14:textId="77777777">
            <w:pPr>
              <w:pStyle w:val="TableParagraph"/>
              <w:rPr>
                <w:b/>
                <w:sz w:val="18"/>
              </w:rPr>
            </w:pPr>
          </w:p>
          <w:p w:rsidR="00B64E72" w14:paraId="37CC8536" w14:textId="77777777">
            <w:pPr>
              <w:pStyle w:val="TableParagraph"/>
              <w:rPr>
                <w:b/>
                <w:sz w:val="18"/>
              </w:rPr>
            </w:pPr>
          </w:p>
          <w:p w:rsidR="00B64E72" w14:paraId="3C1F2CBA" w14:textId="77777777">
            <w:pPr>
              <w:pStyle w:val="TableParagraph"/>
              <w:spacing w:before="19"/>
              <w:rPr>
                <w:b/>
                <w:sz w:val="18"/>
              </w:rPr>
            </w:pPr>
          </w:p>
          <w:p w:rsidR="00B64E72" w14:paraId="1303B9AF" w14:textId="77777777">
            <w:pPr>
              <w:pStyle w:val="TableParagraph"/>
              <w:spacing w:line="198" w:lineRule="exact"/>
              <w:ind w:left="13" w:right="4"/>
              <w:jc w:val="center"/>
              <w:rPr>
                <w:sz w:val="18"/>
              </w:rPr>
            </w:pPr>
            <w:bookmarkStart w:id="329" w:name="17,467_"/>
            <w:bookmarkEnd w:id="329"/>
            <w:r>
              <w:rPr>
                <w:spacing w:val="-2"/>
                <w:sz w:val="18"/>
              </w:rPr>
              <w:t>17,467</w:t>
            </w:r>
          </w:p>
        </w:tc>
        <w:tc>
          <w:tcPr>
            <w:tcW w:w="1080" w:type="dxa"/>
          </w:tcPr>
          <w:p w:rsidR="00B64E72" w14:paraId="10F72773" w14:textId="77777777">
            <w:pPr>
              <w:pStyle w:val="TableParagraph"/>
              <w:rPr>
                <w:b/>
                <w:sz w:val="18"/>
              </w:rPr>
            </w:pPr>
          </w:p>
          <w:p w:rsidR="00B64E72" w14:paraId="74B11515" w14:textId="77777777">
            <w:pPr>
              <w:pStyle w:val="TableParagraph"/>
              <w:rPr>
                <w:b/>
                <w:sz w:val="18"/>
              </w:rPr>
            </w:pPr>
          </w:p>
          <w:p w:rsidR="00B64E72" w14:paraId="4882AA35" w14:textId="77777777">
            <w:pPr>
              <w:pStyle w:val="TableParagraph"/>
              <w:spacing w:before="19"/>
              <w:rPr>
                <w:b/>
                <w:sz w:val="18"/>
              </w:rPr>
            </w:pPr>
          </w:p>
          <w:p w:rsidR="00B64E72" w14:paraId="57C89C87" w14:textId="77777777">
            <w:pPr>
              <w:pStyle w:val="TableParagraph"/>
              <w:spacing w:line="198" w:lineRule="exact"/>
              <w:ind w:left="12" w:right="1"/>
              <w:jc w:val="center"/>
              <w:rPr>
                <w:sz w:val="18"/>
              </w:rPr>
            </w:pPr>
            <w:bookmarkStart w:id="330" w:name="50,797,996_"/>
            <w:bookmarkEnd w:id="330"/>
            <w:r>
              <w:rPr>
                <w:spacing w:val="-2"/>
                <w:sz w:val="18"/>
              </w:rPr>
              <w:t>50,797,996</w:t>
            </w:r>
          </w:p>
        </w:tc>
        <w:tc>
          <w:tcPr>
            <w:tcW w:w="988" w:type="dxa"/>
          </w:tcPr>
          <w:p w:rsidR="00B64E72" w14:paraId="4629C8C0" w14:textId="77777777">
            <w:pPr>
              <w:pStyle w:val="TableParagraph"/>
              <w:rPr>
                <w:b/>
                <w:sz w:val="18"/>
              </w:rPr>
            </w:pPr>
          </w:p>
          <w:p w:rsidR="00B64E72" w14:paraId="4C074232" w14:textId="77777777">
            <w:pPr>
              <w:pStyle w:val="TableParagraph"/>
              <w:rPr>
                <w:b/>
                <w:sz w:val="18"/>
              </w:rPr>
            </w:pPr>
          </w:p>
          <w:p w:rsidR="00B64E72" w14:paraId="4D8346D7" w14:textId="77777777">
            <w:pPr>
              <w:pStyle w:val="TableParagraph"/>
              <w:spacing w:before="19"/>
              <w:rPr>
                <w:b/>
                <w:sz w:val="18"/>
              </w:rPr>
            </w:pPr>
          </w:p>
          <w:p w:rsidR="00B64E72" w14:paraId="4041754E" w14:textId="77777777">
            <w:pPr>
              <w:pStyle w:val="TableParagraph"/>
              <w:spacing w:line="198" w:lineRule="exact"/>
              <w:ind w:left="9" w:right="2"/>
              <w:jc w:val="center"/>
              <w:rPr>
                <w:sz w:val="18"/>
              </w:rPr>
            </w:pPr>
            <w:r>
              <w:rPr>
                <w:spacing w:val="-10"/>
                <w:sz w:val="18"/>
              </w:rPr>
              <w:t>0</w:t>
            </w:r>
          </w:p>
        </w:tc>
        <w:tc>
          <w:tcPr>
            <w:tcW w:w="1079" w:type="dxa"/>
          </w:tcPr>
          <w:p w:rsidR="00B64E72" w14:paraId="2A3E0AF4" w14:textId="77777777">
            <w:pPr>
              <w:pStyle w:val="TableParagraph"/>
              <w:rPr>
                <w:b/>
                <w:sz w:val="18"/>
              </w:rPr>
            </w:pPr>
          </w:p>
          <w:p w:rsidR="00B64E72" w14:paraId="2936EF69" w14:textId="77777777">
            <w:pPr>
              <w:pStyle w:val="TableParagraph"/>
              <w:rPr>
                <w:b/>
                <w:sz w:val="18"/>
              </w:rPr>
            </w:pPr>
          </w:p>
          <w:p w:rsidR="00B64E72" w14:paraId="3B8B4E89" w14:textId="77777777">
            <w:pPr>
              <w:pStyle w:val="TableParagraph"/>
              <w:spacing w:before="19"/>
              <w:rPr>
                <w:b/>
                <w:sz w:val="18"/>
              </w:rPr>
            </w:pPr>
          </w:p>
          <w:p w:rsidR="00B64E72" w14:paraId="6A50AADE" w14:textId="77777777">
            <w:pPr>
              <w:pStyle w:val="TableParagraph"/>
              <w:spacing w:line="198" w:lineRule="exact"/>
              <w:ind w:left="15" w:right="2"/>
              <w:jc w:val="center"/>
              <w:rPr>
                <w:sz w:val="18"/>
              </w:rPr>
            </w:pPr>
            <w:bookmarkStart w:id="331" w:name="0_"/>
            <w:bookmarkEnd w:id="331"/>
            <w:r>
              <w:rPr>
                <w:spacing w:val="-10"/>
                <w:sz w:val="18"/>
              </w:rPr>
              <w:t>0</w:t>
            </w:r>
          </w:p>
        </w:tc>
        <w:tc>
          <w:tcPr>
            <w:tcW w:w="1171" w:type="dxa"/>
          </w:tcPr>
          <w:p w:rsidR="00B64E72" w14:paraId="33B80355" w14:textId="77777777">
            <w:pPr>
              <w:pStyle w:val="TableParagraph"/>
              <w:rPr>
                <w:b/>
                <w:sz w:val="18"/>
              </w:rPr>
            </w:pPr>
          </w:p>
          <w:p w:rsidR="00B64E72" w14:paraId="356490F2" w14:textId="77777777">
            <w:pPr>
              <w:pStyle w:val="TableParagraph"/>
              <w:rPr>
                <w:b/>
                <w:sz w:val="18"/>
              </w:rPr>
            </w:pPr>
          </w:p>
          <w:p w:rsidR="00B64E72" w14:paraId="6E196F2D" w14:textId="77777777">
            <w:pPr>
              <w:pStyle w:val="TableParagraph"/>
              <w:spacing w:before="19"/>
              <w:rPr>
                <w:b/>
                <w:sz w:val="18"/>
              </w:rPr>
            </w:pPr>
          </w:p>
          <w:p w:rsidR="00B64E72" w14:paraId="60CAF454" w14:textId="77777777">
            <w:pPr>
              <w:pStyle w:val="TableParagraph"/>
              <w:spacing w:line="198" w:lineRule="exact"/>
              <w:ind w:left="166" w:right="151"/>
              <w:jc w:val="center"/>
              <w:rPr>
                <w:sz w:val="18"/>
              </w:rPr>
            </w:pPr>
            <w:r>
              <w:rPr>
                <w:spacing w:val="-2"/>
                <w:sz w:val="18"/>
              </w:rPr>
              <w:t>$0.00</w:t>
            </w:r>
          </w:p>
        </w:tc>
        <w:tc>
          <w:tcPr>
            <w:tcW w:w="1444" w:type="dxa"/>
          </w:tcPr>
          <w:p w:rsidR="00B64E72" w14:paraId="650C1268" w14:textId="77777777">
            <w:pPr>
              <w:pStyle w:val="TableParagraph"/>
              <w:rPr>
                <w:b/>
                <w:sz w:val="18"/>
              </w:rPr>
            </w:pPr>
          </w:p>
          <w:p w:rsidR="00B64E72" w14:paraId="1B2AFC18" w14:textId="77777777">
            <w:pPr>
              <w:pStyle w:val="TableParagraph"/>
              <w:rPr>
                <w:b/>
                <w:sz w:val="18"/>
              </w:rPr>
            </w:pPr>
          </w:p>
          <w:p w:rsidR="00B64E72" w14:paraId="5B15F62A" w14:textId="77777777">
            <w:pPr>
              <w:pStyle w:val="TableParagraph"/>
              <w:spacing w:before="19"/>
              <w:rPr>
                <w:b/>
                <w:sz w:val="18"/>
              </w:rPr>
            </w:pPr>
          </w:p>
          <w:p w:rsidR="00B64E72" w14:paraId="7491941A" w14:textId="77777777">
            <w:pPr>
              <w:pStyle w:val="TableParagraph"/>
              <w:spacing w:line="198" w:lineRule="exact"/>
              <w:ind w:left="171" w:right="155"/>
              <w:jc w:val="center"/>
              <w:rPr>
                <w:sz w:val="18"/>
              </w:rPr>
            </w:pPr>
            <w:bookmarkStart w:id="332" w:name="$0.00_"/>
            <w:bookmarkEnd w:id="332"/>
            <w:r>
              <w:rPr>
                <w:spacing w:val="-2"/>
                <w:sz w:val="18"/>
              </w:rPr>
              <w:t>$0.00</w:t>
            </w:r>
          </w:p>
        </w:tc>
        <w:tc>
          <w:tcPr>
            <w:tcW w:w="1265" w:type="dxa"/>
          </w:tcPr>
          <w:p w:rsidR="00B64E72" w14:paraId="0FEBAA66" w14:textId="77777777">
            <w:pPr>
              <w:pStyle w:val="TableParagraph"/>
              <w:rPr>
                <w:b/>
                <w:sz w:val="18"/>
              </w:rPr>
            </w:pPr>
          </w:p>
          <w:p w:rsidR="00B64E72" w14:paraId="5EF4D5C2" w14:textId="77777777">
            <w:pPr>
              <w:pStyle w:val="TableParagraph"/>
              <w:rPr>
                <w:b/>
                <w:sz w:val="18"/>
              </w:rPr>
            </w:pPr>
          </w:p>
          <w:p w:rsidR="00B64E72" w14:paraId="71B950FC" w14:textId="77777777">
            <w:pPr>
              <w:pStyle w:val="TableParagraph"/>
              <w:spacing w:before="19"/>
              <w:rPr>
                <w:b/>
                <w:sz w:val="18"/>
              </w:rPr>
            </w:pPr>
          </w:p>
          <w:p w:rsidR="00B64E72" w14:paraId="6D64C7C2" w14:textId="77777777">
            <w:pPr>
              <w:pStyle w:val="TableParagraph"/>
              <w:spacing w:line="198" w:lineRule="exact"/>
              <w:ind w:left="168" w:right="150"/>
              <w:jc w:val="center"/>
              <w:rPr>
                <w:sz w:val="18"/>
              </w:rPr>
            </w:pPr>
            <w:r>
              <w:rPr>
                <w:spacing w:val="-2"/>
                <w:sz w:val="18"/>
              </w:rPr>
              <w:t>$2,539,900</w:t>
            </w:r>
          </w:p>
        </w:tc>
        <w:tc>
          <w:tcPr>
            <w:tcW w:w="1519" w:type="dxa"/>
          </w:tcPr>
          <w:p w:rsidR="00B64E72" w14:paraId="4E505330" w14:textId="77777777">
            <w:pPr>
              <w:pStyle w:val="TableParagraph"/>
              <w:rPr>
                <w:b/>
                <w:sz w:val="18"/>
              </w:rPr>
            </w:pPr>
          </w:p>
          <w:p w:rsidR="00B64E72" w14:paraId="7A94400F" w14:textId="77777777">
            <w:pPr>
              <w:pStyle w:val="TableParagraph"/>
              <w:rPr>
                <w:b/>
                <w:sz w:val="18"/>
              </w:rPr>
            </w:pPr>
          </w:p>
          <w:p w:rsidR="00B64E72" w14:paraId="246A87AC" w14:textId="77777777">
            <w:pPr>
              <w:pStyle w:val="TableParagraph"/>
              <w:spacing w:before="19"/>
              <w:rPr>
                <w:b/>
                <w:sz w:val="18"/>
              </w:rPr>
            </w:pPr>
          </w:p>
          <w:p w:rsidR="00B64E72" w14:paraId="25E38DA7" w14:textId="77777777">
            <w:pPr>
              <w:pStyle w:val="TableParagraph"/>
              <w:spacing w:line="198" w:lineRule="exact"/>
              <w:ind w:left="21" w:right="3"/>
              <w:jc w:val="center"/>
              <w:rPr>
                <w:sz w:val="18"/>
              </w:rPr>
            </w:pPr>
            <w:bookmarkStart w:id="333" w:name="$2,539,900_"/>
            <w:bookmarkEnd w:id="333"/>
            <w:r>
              <w:rPr>
                <w:spacing w:val="-2"/>
                <w:sz w:val="18"/>
              </w:rPr>
              <w:t>$2,539,900</w:t>
            </w:r>
          </w:p>
        </w:tc>
      </w:tr>
      <w:tr w14:paraId="389D7062" w14:textId="77777777">
        <w:tblPrEx>
          <w:tblW w:w="0" w:type="auto"/>
          <w:tblInd w:w="664" w:type="dxa"/>
          <w:tblLayout w:type="fixed"/>
          <w:tblCellMar>
            <w:left w:w="0" w:type="dxa"/>
            <w:right w:w="0" w:type="dxa"/>
          </w:tblCellMar>
          <w:tblLook w:val="01E0"/>
        </w:tblPrEx>
        <w:trPr>
          <w:trHeight w:val="856"/>
        </w:trPr>
        <w:tc>
          <w:tcPr>
            <w:tcW w:w="1152" w:type="dxa"/>
          </w:tcPr>
          <w:p w:rsidR="00B64E72" w14:paraId="08138B58" w14:textId="77777777">
            <w:pPr>
              <w:pStyle w:val="TableParagraph"/>
              <w:spacing w:line="247" w:lineRule="auto"/>
              <w:ind w:left="153" w:right="143" w:hanging="9"/>
              <w:jc w:val="center"/>
              <w:rPr>
                <w:sz w:val="18"/>
              </w:rPr>
            </w:pPr>
            <w:bookmarkStart w:id="334" w:name="Section_2799A-5(c)_of_the_PHS_Act_"/>
            <w:bookmarkEnd w:id="334"/>
            <w:r>
              <w:rPr>
                <w:spacing w:val="-2"/>
                <w:sz w:val="18"/>
              </w:rPr>
              <w:t xml:space="preserve">Section </w:t>
            </w:r>
            <w:r>
              <w:rPr>
                <w:sz w:val="18"/>
              </w:rPr>
              <w:t>2799A-</w:t>
            </w:r>
            <w:r>
              <w:rPr>
                <w:spacing w:val="-4"/>
                <w:sz w:val="18"/>
              </w:rPr>
              <w:t>5(c)</w:t>
            </w:r>
          </w:p>
          <w:p w:rsidR="00B64E72" w14:paraId="70D55BEC" w14:textId="77777777">
            <w:pPr>
              <w:pStyle w:val="TableParagraph"/>
              <w:ind w:left="9"/>
              <w:jc w:val="center"/>
              <w:rPr>
                <w:sz w:val="18"/>
              </w:rPr>
            </w:pPr>
            <w:r>
              <w:rPr>
                <w:sz w:val="18"/>
              </w:rPr>
              <w:t>of</w:t>
            </w:r>
            <w:r>
              <w:rPr>
                <w:spacing w:val="1"/>
                <w:sz w:val="18"/>
              </w:rPr>
              <w:t xml:space="preserve"> </w:t>
            </w:r>
            <w:r>
              <w:rPr>
                <w:sz w:val="18"/>
              </w:rPr>
              <w:t>the</w:t>
            </w:r>
            <w:r>
              <w:rPr>
                <w:spacing w:val="-2"/>
                <w:sz w:val="18"/>
              </w:rPr>
              <w:t xml:space="preserve"> </w:t>
            </w:r>
            <w:r>
              <w:rPr>
                <w:spacing w:val="-5"/>
                <w:sz w:val="18"/>
              </w:rPr>
              <w:t>PHS</w:t>
            </w:r>
          </w:p>
          <w:p w:rsidR="00B64E72" w14:paraId="44346C56" w14:textId="77777777">
            <w:pPr>
              <w:pStyle w:val="TableParagraph"/>
              <w:spacing w:before="7" w:line="196" w:lineRule="exact"/>
              <w:ind w:left="10"/>
              <w:jc w:val="center"/>
              <w:rPr>
                <w:sz w:val="18"/>
              </w:rPr>
            </w:pPr>
            <w:r>
              <w:rPr>
                <w:spacing w:val="-5"/>
                <w:sz w:val="18"/>
              </w:rPr>
              <w:t>Act</w:t>
            </w:r>
          </w:p>
        </w:tc>
        <w:tc>
          <w:tcPr>
            <w:tcW w:w="1135" w:type="dxa"/>
          </w:tcPr>
          <w:p w:rsidR="00B64E72" w14:paraId="2A2D05F8" w14:textId="77777777">
            <w:pPr>
              <w:pStyle w:val="TableParagraph"/>
              <w:rPr>
                <w:b/>
                <w:sz w:val="18"/>
              </w:rPr>
            </w:pPr>
          </w:p>
          <w:p w:rsidR="00B64E72" w14:paraId="1C4AD60F" w14:textId="77777777">
            <w:pPr>
              <w:pStyle w:val="TableParagraph"/>
              <w:rPr>
                <w:b/>
                <w:sz w:val="18"/>
              </w:rPr>
            </w:pPr>
          </w:p>
          <w:p w:rsidR="00B64E72" w14:paraId="7E02C48D" w14:textId="77777777">
            <w:pPr>
              <w:pStyle w:val="TableParagraph"/>
              <w:spacing w:before="19"/>
              <w:rPr>
                <w:b/>
                <w:sz w:val="18"/>
              </w:rPr>
            </w:pPr>
          </w:p>
          <w:p w:rsidR="00B64E72" w14:paraId="4B3B63E3" w14:textId="77777777">
            <w:pPr>
              <w:pStyle w:val="TableParagraph"/>
              <w:spacing w:line="196" w:lineRule="exact"/>
              <w:ind w:left="13"/>
              <w:jc w:val="center"/>
              <w:rPr>
                <w:sz w:val="18"/>
              </w:rPr>
            </w:pPr>
            <w:bookmarkStart w:id="335" w:name="837_"/>
            <w:bookmarkEnd w:id="335"/>
            <w:r>
              <w:rPr>
                <w:spacing w:val="-5"/>
                <w:sz w:val="18"/>
              </w:rPr>
              <w:t>837</w:t>
            </w:r>
          </w:p>
        </w:tc>
        <w:tc>
          <w:tcPr>
            <w:tcW w:w="1080" w:type="dxa"/>
          </w:tcPr>
          <w:p w:rsidR="00B64E72" w14:paraId="4073CF4F" w14:textId="77777777">
            <w:pPr>
              <w:pStyle w:val="TableParagraph"/>
              <w:rPr>
                <w:b/>
                <w:sz w:val="18"/>
              </w:rPr>
            </w:pPr>
          </w:p>
          <w:p w:rsidR="00B64E72" w14:paraId="35E4ED5B" w14:textId="77777777">
            <w:pPr>
              <w:pStyle w:val="TableParagraph"/>
              <w:rPr>
                <w:b/>
                <w:sz w:val="18"/>
              </w:rPr>
            </w:pPr>
          </w:p>
          <w:p w:rsidR="00B64E72" w14:paraId="2A7285DD" w14:textId="77777777">
            <w:pPr>
              <w:pStyle w:val="TableParagraph"/>
              <w:spacing w:before="19"/>
              <w:rPr>
                <w:b/>
                <w:sz w:val="18"/>
              </w:rPr>
            </w:pPr>
          </w:p>
          <w:p w:rsidR="00B64E72" w14:paraId="068645E8" w14:textId="77777777">
            <w:pPr>
              <w:pStyle w:val="TableParagraph"/>
              <w:spacing w:line="196" w:lineRule="exact"/>
              <w:ind w:left="12" w:right="1"/>
              <w:jc w:val="center"/>
              <w:rPr>
                <w:sz w:val="18"/>
              </w:rPr>
            </w:pPr>
            <w:bookmarkStart w:id="336" w:name="25,398,998_"/>
            <w:bookmarkEnd w:id="336"/>
            <w:r>
              <w:rPr>
                <w:spacing w:val="-2"/>
                <w:sz w:val="18"/>
              </w:rPr>
              <w:t>25,398,998</w:t>
            </w:r>
          </w:p>
        </w:tc>
        <w:tc>
          <w:tcPr>
            <w:tcW w:w="988" w:type="dxa"/>
          </w:tcPr>
          <w:p w:rsidR="00B64E72" w14:paraId="683487DB" w14:textId="77777777">
            <w:pPr>
              <w:pStyle w:val="TableParagraph"/>
              <w:rPr>
                <w:b/>
                <w:sz w:val="18"/>
              </w:rPr>
            </w:pPr>
          </w:p>
          <w:p w:rsidR="00B64E72" w14:paraId="424CCDB3" w14:textId="77777777">
            <w:pPr>
              <w:pStyle w:val="TableParagraph"/>
              <w:rPr>
                <w:b/>
                <w:sz w:val="18"/>
              </w:rPr>
            </w:pPr>
          </w:p>
          <w:p w:rsidR="00B64E72" w14:paraId="177C3082" w14:textId="77777777">
            <w:pPr>
              <w:pStyle w:val="TableParagraph"/>
              <w:spacing w:before="19"/>
              <w:rPr>
                <w:b/>
                <w:sz w:val="18"/>
              </w:rPr>
            </w:pPr>
          </w:p>
          <w:p w:rsidR="00B64E72" w14:paraId="125DB4F6" w14:textId="77777777">
            <w:pPr>
              <w:pStyle w:val="TableParagraph"/>
              <w:spacing w:line="196" w:lineRule="exact"/>
              <w:ind w:left="9" w:right="3"/>
              <w:jc w:val="center"/>
              <w:rPr>
                <w:sz w:val="18"/>
              </w:rPr>
            </w:pPr>
            <w:bookmarkStart w:id="337" w:name="0.02_"/>
            <w:bookmarkEnd w:id="337"/>
            <w:r>
              <w:rPr>
                <w:spacing w:val="-4"/>
                <w:sz w:val="18"/>
              </w:rPr>
              <w:t>0.02</w:t>
            </w:r>
          </w:p>
        </w:tc>
        <w:tc>
          <w:tcPr>
            <w:tcW w:w="1079" w:type="dxa"/>
          </w:tcPr>
          <w:p w:rsidR="00B64E72" w14:paraId="2FF3EAA7" w14:textId="77777777">
            <w:pPr>
              <w:pStyle w:val="TableParagraph"/>
              <w:rPr>
                <w:b/>
                <w:sz w:val="18"/>
              </w:rPr>
            </w:pPr>
          </w:p>
          <w:p w:rsidR="00B64E72" w14:paraId="3B7DE5BB" w14:textId="77777777">
            <w:pPr>
              <w:pStyle w:val="TableParagraph"/>
              <w:rPr>
                <w:b/>
                <w:sz w:val="18"/>
              </w:rPr>
            </w:pPr>
          </w:p>
          <w:p w:rsidR="00B64E72" w14:paraId="67E30156" w14:textId="77777777">
            <w:pPr>
              <w:pStyle w:val="TableParagraph"/>
              <w:spacing w:before="19"/>
              <w:rPr>
                <w:b/>
                <w:sz w:val="18"/>
              </w:rPr>
            </w:pPr>
          </w:p>
          <w:p w:rsidR="00B64E72" w14:paraId="0AB7283F" w14:textId="77777777">
            <w:pPr>
              <w:pStyle w:val="TableParagraph"/>
              <w:spacing w:line="196" w:lineRule="exact"/>
              <w:ind w:left="15"/>
              <w:jc w:val="center"/>
              <w:rPr>
                <w:sz w:val="18"/>
              </w:rPr>
            </w:pPr>
            <w:bookmarkStart w:id="338" w:name="279,389_"/>
            <w:bookmarkEnd w:id="338"/>
            <w:r>
              <w:rPr>
                <w:spacing w:val="-2"/>
                <w:sz w:val="18"/>
              </w:rPr>
              <w:t>279,389</w:t>
            </w:r>
          </w:p>
        </w:tc>
        <w:tc>
          <w:tcPr>
            <w:tcW w:w="1171" w:type="dxa"/>
          </w:tcPr>
          <w:p w:rsidR="00B64E72" w14:paraId="2F8FB0DC" w14:textId="77777777">
            <w:pPr>
              <w:pStyle w:val="TableParagraph"/>
              <w:rPr>
                <w:b/>
                <w:sz w:val="18"/>
              </w:rPr>
            </w:pPr>
          </w:p>
          <w:p w:rsidR="00B64E72" w14:paraId="3680B5B3" w14:textId="77777777">
            <w:pPr>
              <w:pStyle w:val="TableParagraph"/>
              <w:rPr>
                <w:b/>
                <w:sz w:val="18"/>
              </w:rPr>
            </w:pPr>
          </w:p>
          <w:p w:rsidR="00B64E72" w14:paraId="02C75C56" w14:textId="77777777">
            <w:pPr>
              <w:pStyle w:val="TableParagraph"/>
              <w:spacing w:before="19"/>
              <w:rPr>
                <w:b/>
                <w:sz w:val="18"/>
              </w:rPr>
            </w:pPr>
          </w:p>
          <w:p w:rsidR="00B64E72" w14:paraId="352E0D95" w14:textId="77777777">
            <w:pPr>
              <w:pStyle w:val="TableParagraph"/>
              <w:spacing w:line="196" w:lineRule="exact"/>
              <w:ind w:left="164" w:right="151"/>
              <w:jc w:val="center"/>
              <w:rPr>
                <w:sz w:val="18"/>
              </w:rPr>
            </w:pPr>
            <w:bookmarkStart w:id="339" w:name="$42.58_"/>
            <w:bookmarkEnd w:id="339"/>
            <w:r>
              <w:rPr>
                <w:spacing w:val="-2"/>
                <w:sz w:val="18"/>
              </w:rPr>
              <w:t>$42.58</w:t>
            </w:r>
          </w:p>
        </w:tc>
        <w:tc>
          <w:tcPr>
            <w:tcW w:w="1444" w:type="dxa"/>
          </w:tcPr>
          <w:p w:rsidR="00B64E72" w14:paraId="42CBEBC4" w14:textId="77777777">
            <w:pPr>
              <w:pStyle w:val="TableParagraph"/>
              <w:rPr>
                <w:b/>
                <w:sz w:val="18"/>
              </w:rPr>
            </w:pPr>
          </w:p>
          <w:p w:rsidR="00B64E72" w14:paraId="2420987E" w14:textId="77777777">
            <w:pPr>
              <w:pStyle w:val="TableParagraph"/>
              <w:rPr>
                <w:b/>
                <w:sz w:val="18"/>
              </w:rPr>
            </w:pPr>
          </w:p>
          <w:p w:rsidR="00B64E72" w14:paraId="1186EEE5" w14:textId="77777777">
            <w:pPr>
              <w:pStyle w:val="TableParagraph"/>
              <w:spacing w:before="19"/>
              <w:rPr>
                <w:b/>
                <w:sz w:val="18"/>
              </w:rPr>
            </w:pPr>
          </w:p>
          <w:p w:rsidR="00B64E72" w14:paraId="008787DC" w14:textId="77777777">
            <w:pPr>
              <w:pStyle w:val="TableParagraph"/>
              <w:spacing w:line="196" w:lineRule="exact"/>
              <w:ind w:left="171" w:right="155"/>
              <w:jc w:val="center"/>
              <w:rPr>
                <w:sz w:val="18"/>
              </w:rPr>
            </w:pPr>
            <w:bookmarkStart w:id="340" w:name="$11,896,383_"/>
            <w:bookmarkEnd w:id="340"/>
            <w:r>
              <w:rPr>
                <w:spacing w:val="-2"/>
                <w:sz w:val="18"/>
              </w:rPr>
              <w:t>$11,896,383</w:t>
            </w:r>
          </w:p>
        </w:tc>
        <w:tc>
          <w:tcPr>
            <w:tcW w:w="1265" w:type="dxa"/>
          </w:tcPr>
          <w:p w:rsidR="00B64E72" w14:paraId="6A73AD08" w14:textId="77777777">
            <w:pPr>
              <w:pStyle w:val="TableParagraph"/>
              <w:rPr>
                <w:b/>
                <w:sz w:val="18"/>
              </w:rPr>
            </w:pPr>
          </w:p>
          <w:p w:rsidR="00B64E72" w14:paraId="72C1E8E4" w14:textId="77777777">
            <w:pPr>
              <w:pStyle w:val="TableParagraph"/>
              <w:rPr>
                <w:b/>
                <w:sz w:val="18"/>
              </w:rPr>
            </w:pPr>
          </w:p>
          <w:p w:rsidR="00B64E72" w14:paraId="14106818" w14:textId="77777777">
            <w:pPr>
              <w:pStyle w:val="TableParagraph"/>
              <w:spacing w:before="19"/>
              <w:rPr>
                <w:b/>
                <w:sz w:val="18"/>
              </w:rPr>
            </w:pPr>
          </w:p>
          <w:p w:rsidR="00B64E72" w14:paraId="54761E89" w14:textId="77777777">
            <w:pPr>
              <w:pStyle w:val="TableParagraph"/>
              <w:spacing w:line="196" w:lineRule="exact"/>
              <w:ind w:left="171" w:right="150"/>
              <w:jc w:val="center"/>
              <w:rPr>
                <w:sz w:val="18"/>
              </w:rPr>
            </w:pPr>
            <w:bookmarkStart w:id="341" w:name="$838,167_"/>
            <w:bookmarkEnd w:id="341"/>
            <w:r>
              <w:rPr>
                <w:spacing w:val="-2"/>
                <w:sz w:val="18"/>
              </w:rPr>
              <w:t>$838,167</w:t>
            </w:r>
          </w:p>
        </w:tc>
        <w:tc>
          <w:tcPr>
            <w:tcW w:w="1519" w:type="dxa"/>
          </w:tcPr>
          <w:p w:rsidR="00B64E72" w14:paraId="527E41FD" w14:textId="77777777">
            <w:pPr>
              <w:pStyle w:val="TableParagraph"/>
              <w:rPr>
                <w:b/>
                <w:sz w:val="18"/>
              </w:rPr>
            </w:pPr>
          </w:p>
          <w:p w:rsidR="00B64E72" w14:paraId="50B6670B" w14:textId="77777777">
            <w:pPr>
              <w:pStyle w:val="TableParagraph"/>
              <w:rPr>
                <w:b/>
                <w:sz w:val="18"/>
              </w:rPr>
            </w:pPr>
          </w:p>
          <w:p w:rsidR="00B64E72" w14:paraId="009BEC90" w14:textId="77777777">
            <w:pPr>
              <w:pStyle w:val="TableParagraph"/>
              <w:spacing w:before="19"/>
              <w:rPr>
                <w:b/>
                <w:sz w:val="18"/>
              </w:rPr>
            </w:pPr>
          </w:p>
          <w:p w:rsidR="00B64E72" w14:paraId="78CF0270" w14:textId="77777777">
            <w:pPr>
              <w:pStyle w:val="TableParagraph"/>
              <w:spacing w:line="196" w:lineRule="exact"/>
              <w:ind w:left="21" w:right="1"/>
              <w:jc w:val="center"/>
              <w:rPr>
                <w:sz w:val="18"/>
              </w:rPr>
            </w:pPr>
            <w:bookmarkStart w:id="342" w:name="$12,734,550_"/>
            <w:bookmarkEnd w:id="342"/>
            <w:r>
              <w:rPr>
                <w:spacing w:val="-2"/>
                <w:sz w:val="18"/>
              </w:rPr>
              <w:t>$12,734,550</w:t>
            </w:r>
          </w:p>
        </w:tc>
      </w:tr>
      <w:tr w14:paraId="1577AEA0" w14:textId="77777777">
        <w:tblPrEx>
          <w:tblW w:w="0" w:type="auto"/>
          <w:tblInd w:w="664" w:type="dxa"/>
          <w:tblLayout w:type="fixed"/>
          <w:tblCellMar>
            <w:left w:w="0" w:type="dxa"/>
            <w:right w:w="0" w:type="dxa"/>
          </w:tblCellMar>
          <w:tblLook w:val="01E0"/>
        </w:tblPrEx>
        <w:trPr>
          <w:trHeight w:val="302"/>
        </w:trPr>
        <w:tc>
          <w:tcPr>
            <w:tcW w:w="1152" w:type="dxa"/>
          </w:tcPr>
          <w:p w:rsidR="00B64E72" w14:paraId="0AED41FC" w14:textId="77777777">
            <w:pPr>
              <w:pStyle w:val="TableParagraph"/>
              <w:spacing w:before="43"/>
              <w:ind w:left="386"/>
              <w:rPr>
                <w:sz w:val="18"/>
              </w:rPr>
            </w:pPr>
            <w:bookmarkStart w:id="343" w:name="Total_"/>
            <w:bookmarkEnd w:id="343"/>
            <w:r>
              <w:rPr>
                <w:spacing w:val="-2"/>
                <w:sz w:val="18"/>
              </w:rPr>
              <w:t>Total</w:t>
            </w:r>
          </w:p>
        </w:tc>
        <w:tc>
          <w:tcPr>
            <w:tcW w:w="1135" w:type="dxa"/>
          </w:tcPr>
          <w:p w:rsidR="00B64E72" w14:paraId="4B0926FB" w14:textId="77777777">
            <w:pPr>
              <w:pStyle w:val="TableParagraph"/>
              <w:spacing w:before="86" w:line="196" w:lineRule="exact"/>
              <w:ind w:left="13" w:right="4"/>
              <w:jc w:val="center"/>
              <w:rPr>
                <w:sz w:val="18"/>
              </w:rPr>
            </w:pPr>
            <w:bookmarkStart w:id="344" w:name="2,477,197_"/>
            <w:bookmarkEnd w:id="344"/>
            <w:r>
              <w:rPr>
                <w:spacing w:val="-2"/>
                <w:sz w:val="18"/>
              </w:rPr>
              <w:t>2,477,197</w:t>
            </w:r>
          </w:p>
        </w:tc>
        <w:tc>
          <w:tcPr>
            <w:tcW w:w="1080" w:type="dxa"/>
          </w:tcPr>
          <w:p w:rsidR="00B64E72" w14:paraId="39293B22" w14:textId="77777777">
            <w:pPr>
              <w:pStyle w:val="TableParagraph"/>
              <w:spacing w:before="86" w:line="196" w:lineRule="exact"/>
              <w:ind w:left="12" w:right="1"/>
              <w:jc w:val="center"/>
              <w:rPr>
                <w:sz w:val="18"/>
              </w:rPr>
            </w:pPr>
            <w:bookmarkStart w:id="345" w:name="85,148,199_"/>
            <w:bookmarkEnd w:id="345"/>
            <w:r>
              <w:rPr>
                <w:spacing w:val="-2"/>
                <w:sz w:val="18"/>
              </w:rPr>
              <w:t>85,148,199</w:t>
            </w:r>
          </w:p>
        </w:tc>
        <w:tc>
          <w:tcPr>
            <w:tcW w:w="988" w:type="dxa"/>
          </w:tcPr>
          <w:p w:rsidR="00B64E72" w14:paraId="7DCE59EB" w14:textId="77777777">
            <w:pPr>
              <w:pStyle w:val="TableParagraph"/>
              <w:rPr>
                <w:sz w:val="20"/>
              </w:rPr>
            </w:pPr>
          </w:p>
        </w:tc>
        <w:tc>
          <w:tcPr>
            <w:tcW w:w="1079" w:type="dxa"/>
          </w:tcPr>
          <w:p w:rsidR="00B64E72" w14:paraId="705C9304" w14:textId="77777777">
            <w:pPr>
              <w:pStyle w:val="TableParagraph"/>
              <w:spacing w:before="86" w:line="196" w:lineRule="exact"/>
              <w:ind w:left="15"/>
              <w:jc w:val="center"/>
              <w:rPr>
                <w:sz w:val="18"/>
              </w:rPr>
            </w:pPr>
            <w:bookmarkStart w:id="346" w:name="6,006,654_"/>
            <w:bookmarkEnd w:id="346"/>
            <w:r>
              <w:rPr>
                <w:spacing w:val="-2"/>
                <w:sz w:val="18"/>
              </w:rPr>
              <w:t>6,006,654</w:t>
            </w:r>
          </w:p>
        </w:tc>
        <w:tc>
          <w:tcPr>
            <w:tcW w:w="1171" w:type="dxa"/>
          </w:tcPr>
          <w:p w:rsidR="00B64E72" w14:paraId="2A80EA07" w14:textId="77777777">
            <w:pPr>
              <w:pStyle w:val="TableParagraph"/>
              <w:rPr>
                <w:sz w:val="20"/>
              </w:rPr>
            </w:pPr>
          </w:p>
        </w:tc>
        <w:tc>
          <w:tcPr>
            <w:tcW w:w="1444" w:type="dxa"/>
          </w:tcPr>
          <w:p w:rsidR="00B64E72" w14:paraId="2E9EE5D6" w14:textId="77777777">
            <w:pPr>
              <w:pStyle w:val="TableParagraph"/>
              <w:spacing w:before="86" w:line="196" w:lineRule="exact"/>
              <w:ind w:left="171" w:right="155"/>
              <w:jc w:val="center"/>
              <w:rPr>
                <w:sz w:val="18"/>
              </w:rPr>
            </w:pPr>
            <w:bookmarkStart w:id="347" w:name="$248,970,597_"/>
            <w:bookmarkEnd w:id="347"/>
            <w:r>
              <w:rPr>
                <w:spacing w:val="-2"/>
                <w:sz w:val="18"/>
              </w:rPr>
              <w:t>$248,970,597</w:t>
            </w:r>
          </w:p>
        </w:tc>
        <w:tc>
          <w:tcPr>
            <w:tcW w:w="1265" w:type="dxa"/>
          </w:tcPr>
          <w:p w:rsidR="00B64E72" w14:paraId="20E40DAC" w14:textId="77777777">
            <w:pPr>
              <w:pStyle w:val="TableParagraph"/>
              <w:spacing w:before="86" w:line="196" w:lineRule="exact"/>
              <w:ind w:left="168" w:right="151"/>
              <w:jc w:val="center"/>
              <w:rPr>
                <w:sz w:val="18"/>
              </w:rPr>
            </w:pPr>
            <w:bookmarkStart w:id="348" w:name="$4,418,112_"/>
            <w:bookmarkEnd w:id="348"/>
            <w:r>
              <w:rPr>
                <w:spacing w:val="-2"/>
                <w:sz w:val="18"/>
              </w:rPr>
              <w:t>$4,418,112</w:t>
            </w:r>
          </w:p>
        </w:tc>
        <w:tc>
          <w:tcPr>
            <w:tcW w:w="1519" w:type="dxa"/>
          </w:tcPr>
          <w:p w:rsidR="00B64E72" w14:paraId="67ED4B89" w14:textId="77777777">
            <w:pPr>
              <w:pStyle w:val="TableParagraph"/>
              <w:spacing w:before="86" w:line="196" w:lineRule="exact"/>
              <w:ind w:left="21" w:right="1"/>
              <w:jc w:val="center"/>
              <w:rPr>
                <w:sz w:val="18"/>
              </w:rPr>
            </w:pPr>
            <w:bookmarkStart w:id="349" w:name="$253,388,709_"/>
            <w:bookmarkEnd w:id="349"/>
            <w:r>
              <w:rPr>
                <w:spacing w:val="-2"/>
                <w:sz w:val="18"/>
              </w:rPr>
              <w:t>$253,388,709</w:t>
            </w:r>
          </w:p>
        </w:tc>
      </w:tr>
    </w:tbl>
    <w:p w:rsidR="00B64E72" w14:paraId="2B72DA29" w14:textId="77777777">
      <w:pPr>
        <w:pStyle w:val="BodyText"/>
        <w:spacing w:before="43"/>
        <w:rPr>
          <w:b/>
        </w:rPr>
      </w:pPr>
    </w:p>
    <w:p w:rsidR="00B64E72" w14:paraId="70282CE9" w14:textId="77777777">
      <w:pPr>
        <w:pStyle w:val="ListParagraph"/>
        <w:numPr>
          <w:ilvl w:val="1"/>
          <w:numId w:val="3"/>
        </w:numPr>
        <w:tabs>
          <w:tab w:val="left" w:pos="1488"/>
        </w:tabs>
        <w:rPr>
          <w:sz w:val="24"/>
          <w:u w:val="none"/>
        </w:rPr>
      </w:pPr>
      <w:bookmarkStart w:id="350" w:name="14._Cost_to_Federal_Government__"/>
      <w:bookmarkEnd w:id="350"/>
      <w:r>
        <w:rPr>
          <w:sz w:val="24"/>
        </w:rPr>
        <w:t>Cost</w:t>
      </w:r>
      <w:r>
        <w:rPr>
          <w:spacing w:val="-2"/>
          <w:sz w:val="24"/>
        </w:rPr>
        <w:t xml:space="preserve"> </w:t>
      </w:r>
      <w:r>
        <w:rPr>
          <w:sz w:val="24"/>
        </w:rPr>
        <w:t>to</w:t>
      </w:r>
      <w:r>
        <w:rPr>
          <w:spacing w:val="-2"/>
          <w:sz w:val="24"/>
        </w:rPr>
        <w:t xml:space="preserve"> </w:t>
      </w:r>
      <w:r>
        <w:rPr>
          <w:sz w:val="24"/>
        </w:rPr>
        <w:t>Federal</w:t>
      </w:r>
      <w:r>
        <w:rPr>
          <w:spacing w:val="-2"/>
          <w:sz w:val="24"/>
        </w:rPr>
        <w:t xml:space="preserve"> Government</w:t>
      </w:r>
    </w:p>
    <w:p w:rsidR="00B64E72" w14:paraId="504FD490" w14:textId="77777777">
      <w:pPr>
        <w:pStyle w:val="BodyText"/>
        <w:spacing w:before="44"/>
      </w:pPr>
    </w:p>
    <w:p w:rsidR="00B64E72" w14:paraId="219A8423" w14:textId="77777777">
      <w:pPr>
        <w:ind w:left="1502"/>
        <w:rPr>
          <w:i/>
          <w:sz w:val="24"/>
        </w:rPr>
      </w:pPr>
      <w:bookmarkStart w:id="351" w:name="QPA_Audits:_"/>
      <w:bookmarkEnd w:id="351"/>
      <w:r>
        <w:rPr>
          <w:i/>
          <w:sz w:val="24"/>
        </w:rPr>
        <w:t>QPA</w:t>
      </w:r>
      <w:r>
        <w:rPr>
          <w:i/>
          <w:spacing w:val="-1"/>
          <w:sz w:val="24"/>
        </w:rPr>
        <w:t xml:space="preserve"> </w:t>
      </w:r>
      <w:r>
        <w:rPr>
          <w:i/>
          <w:spacing w:val="-2"/>
          <w:sz w:val="24"/>
        </w:rPr>
        <w:t>Audits:</w:t>
      </w:r>
    </w:p>
    <w:p w:rsidR="00B64E72" w14:paraId="3FCBF4CD" w14:textId="77777777">
      <w:pPr>
        <w:pStyle w:val="BodyText"/>
        <w:spacing w:before="26"/>
        <w:rPr>
          <w:i/>
        </w:rPr>
      </w:pPr>
    </w:p>
    <w:p w:rsidR="00B64E72" w14:paraId="0E7B3E42" w14:textId="77777777">
      <w:pPr>
        <w:pStyle w:val="BodyText"/>
        <w:spacing w:line="256" w:lineRule="auto"/>
        <w:ind w:left="1522" w:right="1145" w:hanging="10"/>
      </w:pPr>
      <w:r>
        <w:rPr>
          <w:noProof/>
        </w:rPr>
        <mc:AlternateContent>
          <mc:Choice Requires="wps">
            <w:drawing>
              <wp:anchor distT="0" distB="0" distL="0" distR="0" simplePos="0" relativeHeight="251662336" behindDoc="1" locked="0" layoutInCell="1" allowOverlap="1">
                <wp:simplePos x="0" y="0"/>
                <wp:positionH relativeFrom="page">
                  <wp:posOffset>4094098</wp:posOffset>
                </wp:positionH>
                <wp:positionV relativeFrom="paragraph">
                  <wp:posOffset>2599764</wp:posOffset>
                </wp:positionV>
                <wp:extent cx="32384" cy="6350"/>
                <wp:effectExtent l="0" t="0" r="0" b="0"/>
                <wp:wrapNone/>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32384" cy="6350"/>
                        </a:xfrm>
                        <a:custGeom>
                          <a:avLst/>
                          <a:gdLst/>
                          <a:rect l="l" t="t" r="r" b="b"/>
                          <a:pathLst>
                            <a:path fill="norm" h="6350" w="32384" stroke="1">
                              <a:moveTo>
                                <a:pt x="32003" y="0"/>
                              </a:moveTo>
                              <a:lnTo>
                                <a:pt x="0" y="0"/>
                              </a:lnTo>
                              <a:lnTo>
                                <a:pt x="0" y="6095"/>
                              </a:lnTo>
                              <a:lnTo>
                                <a:pt x="32003" y="6095"/>
                              </a:lnTo>
                              <a:lnTo>
                                <a:pt x="32003" y="0"/>
                              </a:lnTo>
                              <a:close/>
                            </a:path>
                          </a:pathLst>
                        </a:custGeom>
                        <a:solidFill>
                          <a:srgbClr val="0462C1"/>
                        </a:solidFill>
                      </wps:spPr>
                      <wps:bodyPr wrap="square" lIns="0" tIns="0" rIns="0" bIns="0" rtlCol="0">
                        <a:prstTxWarp prst="textNoShape">
                          <a:avLst/>
                        </a:prstTxWarp>
                      </wps:bodyPr>
                    </wps:wsp>
                  </a:graphicData>
                </a:graphic>
              </wp:anchor>
            </w:drawing>
          </mc:Choice>
          <mc:Fallback>
            <w:pict>
              <v:shape id="Graphic 16" o:spid="_x0000_s1039" style="width:2.55pt;height:0.5pt;margin-top:204.7pt;margin-left:322.35pt;mso-position-horizontal-relative:page;mso-wrap-distance-bottom:0;mso-wrap-distance-left:0;mso-wrap-distance-right:0;mso-wrap-distance-top:0;mso-wrap-style:square;position:absolute;visibility:visible;v-text-anchor:top;z-index:-251653120" coordsize="32384,6350" path="m32003,l,,,6095l32003,6095l32003,xe" fillcolor="#0462c1" stroked="f">
                <v:path arrowok="t"/>
              </v:shape>
            </w:pict>
          </mc:Fallback>
        </mc:AlternateContent>
      </w:r>
      <w:bookmarkStart w:id="352" w:name="Under_the_No_Surprises_Act,_HHS_is_requi"/>
      <w:bookmarkEnd w:id="352"/>
      <w:r>
        <w:t>Under the No Surprises Act, HHS is required to conduct no more than 25 QPA audits annually, which focus on payments between health insurance issuers or non-federal governmental health plans (or their TPAs) and health care providers, facilities, and providers</w:t>
      </w:r>
      <w:r>
        <w:rPr>
          <w:spacing w:val="-4"/>
        </w:rPr>
        <w:t xml:space="preserve"> </w:t>
      </w:r>
      <w:r>
        <w:t>of</w:t>
      </w:r>
      <w:r>
        <w:rPr>
          <w:spacing w:val="-4"/>
        </w:rPr>
        <w:t xml:space="preserve"> </w:t>
      </w:r>
      <w:r>
        <w:t>air</w:t>
      </w:r>
      <w:r>
        <w:rPr>
          <w:spacing w:val="-4"/>
        </w:rPr>
        <w:t xml:space="preserve"> </w:t>
      </w:r>
      <w:r>
        <w:t>ambulance</w:t>
      </w:r>
      <w:r>
        <w:rPr>
          <w:spacing w:val="-4"/>
        </w:rPr>
        <w:t xml:space="preserve"> </w:t>
      </w:r>
      <w:r>
        <w:t>services</w:t>
      </w:r>
      <w:r>
        <w:rPr>
          <w:spacing w:val="-4"/>
        </w:rPr>
        <w:t xml:space="preserve"> </w:t>
      </w:r>
      <w:r>
        <w:t>when</w:t>
      </w:r>
      <w:r>
        <w:rPr>
          <w:spacing w:val="-2"/>
        </w:rPr>
        <w:t xml:space="preserve"> </w:t>
      </w:r>
      <w:r>
        <w:t>an</w:t>
      </w:r>
      <w:r>
        <w:rPr>
          <w:spacing w:val="-4"/>
        </w:rPr>
        <w:t xml:space="preserve"> </w:t>
      </w:r>
      <w:r>
        <w:t>NSA-covered</w:t>
      </w:r>
      <w:r>
        <w:rPr>
          <w:spacing w:val="-4"/>
        </w:rPr>
        <w:t xml:space="preserve"> </w:t>
      </w:r>
      <w:r>
        <w:t>claim</w:t>
      </w:r>
      <w:r>
        <w:rPr>
          <w:spacing w:val="-4"/>
        </w:rPr>
        <w:t xml:space="preserve"> </w:t>
      </w:r>
      <w:r>
        <w:t>has</w:t>
      </w:r>
      <w:r>
        <w:rPr>
          <w:spacing w:val="-4"/>
        </w:rPr>
        <w:t xml:space="preserve"> </w:t>
      </w:r>
      <w:r>
        <w:t>occurred.</w:t>
      </w:r>
      <w:r>
        <w:rPr>
          <w:spacing w:val="-4"/>
        </w:rPr>
        <w:t xml:space="preserve"> </w:t>
      </w:r>
      <w:r>
        <w:t>This</w:t>
      </w:r>
      <w:r>
        <w:rPr>
          <w:spacing w:val="-2"/>
        </w:rPr>
        <w:t xml:space="preserve"> </w:t>
      </w:r>
      <w:r>
        <w:t xml:space="preserve">process is carried out through a combination of federal governmental staff and contractors. The annual cost to the Federal Government, in the form of contracted services, to conduct </w:t>
      </w:r>
      <w:r>
        <w:t>no more than 25 QPA audits is estimated to be approximately $4.4 million. Additionally, the Federal Government will require an HHS employee</w:t>
      </w:r>
      <w:bookmarkStart w:id="353" w:name="27"/>
      <w:bookmarkEnd w:id="353"/>
      <w:hyperlink w:anchor="_bookmark26" w:history="1">
        <w:r>
          <w:rPr>
            <w:vertAlign w:val="superscript"/>
          </w:rPr>
          <w:t>27</w:t>
        </w:r>
      </w:hyperlink>
      <w:r>
        <w:t xml:space="preserve"> at the GS-13 level, step 5 (at an hourly rate of $128.12) 150 hours per audit to oversee each audit, review the information submitted by the audit entity, participate in audit meetings, and review letters/documents relating to the audit and a GS-14 level, step 5 employee (at an hourly rate of $151.40) 30</w:t>
      </w:r>
    </w:p>
    <w:p w:rsidR="00B64E72" w14:paraId="29101F07" w14:textId="77777777">
      <w:pPr>
        <w:pStyle w:val="BodyText"/>
        <w:spacing w:before="5"/>
        <w:rPr>
          <w:sz w:val="19"/>
        </w:rPr>
      </w:pPr>
      <w:r>
        <w:rPr>
          <w:noProof/>
          <w:sz w:val="19"/>
        </w:rPr>
        <mc:AlternateContent>
          <mc:Choice Requires="wps">
            <w:drawing>
              <wp:anchor distT="0" distB="0" distL="0" distR="0" simplePos="0" relativeHeight="251688960" behindDoc="1" locked="0" layoutInCell="1" allowOverlap="1">
                <wp:simplePos x="0" y="0"/>
                <wp:positionH relativeFrom="page">
                  <wp:posOffset>914704</wp:posOffset>
                </wp:positionH>
                <wp:positionV relativeFrom="paragraph">
                  <wp:posOffset>157653</wp:posOffset>
                </wp:positionV>
                <wp:extent cx="1829435" cy="762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1829435" cy="7620"/>
                        </a:xfrm>
                        <a:custGeom>
                          <a:avLst/>
                          <a:gdLst/>
                          <a:rect l="l" t="t" r="r" b="b"/>
                          <a:pathLst>
                            <a:path fill="norm" h="7620" w="1829435" stroke="1">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 o:spid="_x0000_s1040" style="width:144.05pt;height:0.6pt;margin-top:12.4pt;margin-left:1in;mso-position-horizontal-relative:page;mso-wrap-distance-bottom:0;mso-wrap-distance-left:0;mso-wrap-distance-right:0;mso-wrap-distance-top:0;mso-wrap-style:square;position:absolute;visibility:visible;v-text-anchor:top;z-index:-251626496" coordsize="1829435,7620" path="m1829054,l,,,7619l1829054,7619l1829054,xe" fillcolor="black" stroked="f">
                <v:path arrowok="t"/>
                <w10:wrap type="topAndBottom"/>
              </v:shape>
            </w:pict>
          </mc:Fallback>
        </mc:AlternateContent>
      </w:r>
    </w:p>
    <w:p w:rsidR="00B64E72" w14:paraId="6A831A18" w14:textId="77777777">
      <w:pPr>
        <w:spacing w:before="147"/>
        <w:ind w:left="1080" w:right="1233"/>
        <w:rPr>
          <w:sz w:val="20"/>
        </w:rPr>
      </w:pPr>
      <w:bookmarkStart w:id="354" w:name="27_See_OPM_2024_General_Schedule_(GS)_Lo"/>
      <w:bookmarkStart w:id="355" w:name="_bookmark26"/>
      <w:bookmarkEnd w:id="354"/>
      <w:bookmarkEnd w:id="355"/>
      <w:r>
        <w:rPr>
          <w:sz w:val="20"/>
          <w:vertAlign w:val="superscript"/>
        </w:rPr>
        <w:t>27</w:t>
      </w:r>
      <w:r>
        <w:rPr>
          <w:sz w:val="20"/>
        </w:rPr>
        <w:t xml:space="preserve"> </w:t>
      </w:r>
      <w:r>
        <w:rPr>
          <w:i/>
          <w:sz w:val="20"/>
        </w:rPr>
        <w:t xml:space="preserve">See </w:t>
      </w:r>
      <w:r>
        <w:rPr>
          <w:sz w:val="20"/>
        </w:rPr>
        <w:t>OPM 2024 General Schedule (GS) Locality Pay Tables, https</w:t>
      </w:r>
      <w:hyperlink r:id="rId23">
        <w:r>
          <w:rPr>
            <w:sz w:val="20"/>
          </w:rPr>
          <w:t>://www.opm.gov/policy-data-oversight/pay-</w:t>
        </w:r>
      </w:hyperlink>
      <w:r>
        <w:rPr>
          <w:sz w:val="20"/>
        </w:rPr>
        <w:t xml:space="preserve"> leave/salaries-wages/salary-tables/24Tables/html/DCB_h.asp</w:t>
      </w:r>
      <w:bookmarkStart w:id="356" w:name="."/>
      <w:bookmarkEnd w:id="356"/>
      <w:r>
        <w:rPr>
          <w:sz w:val="20"/>
        </w:rPr>
        <w:t>x</w:t>
      </w:r>
      <w:hyperlink r:id="rId24">
        <w:r>
          <w:rPr>
            <w:color w:val="0462C1"/>
            <w:sz w:val="20"/>
          </w:rPr>
          <w:t>.</w:t>
        </w:r>
      </w:hyperlink>
      <w:r>
        <w:rPr>
          <w:color w:val="0462C1"/>
          <w:sz w:val="20"/>
        </w:rPr>
        <w:t xml:space="preserve"> </w:t>
      </w:r>
      <w:r>
        <w:rPr>
          <w:sz w:val="20"/>
        </w:rPr>
        <w:t>The average salaries for the CMS employees includes</w:t>
      </w:r>
      <w:r>
        <w:rPr>
          <w:spacing w:val="-4"/>
          <w:sz w:val="20"/>
        </w:rPr>
        <w:t xml:space="preserve"> </w:t>
      </w:r>
      <w:r>
        <w:rPr>
          <w:sz w:val="20"/>
        </w:rPr>
        <w:t>the</w:t>
      </w:r>
      <w:r>
        <w:rPr>
          <w:spacing w:val="-3"/>
          <w:sz w:val="20"/>
        </w:rPr>
        <w:t xml:space="preserve"> </w:t>
      </w:r>
      <w:r>
        <w:rPr>
          <w:sz w:val="20"/>
        </w:rPr>
        <w:t>locality</w:t>
      </w:r>
      <w:r>
        <w:rPr>
          <w:spacing w:val="-3"/>
          <w:sz w:val="20"/>
        </w:rPr>
        <w:t xml:space="preserve"> </w:t>
      </w:r>
      <w:r>
        <w:rPr>
          <w:sz w:val="20"/>
        </w:rPr>
        <w:t>pay</w:t>
      </w:r>
      <w:r>
        <w:rPr>
          <w:spacing w:val="-2"/>
          <w:sz w:val="20"/>
        </w:rPr>
        <w:t xml:space="preserve"> </w:t>
      </w:r>
      <w:r>
        <w:rPr>
          <w:sz w:val="20"/>
        </w:rPr>
        <w:t>adjustment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area</w:t>
      </w:r>
      <w:r>
        <w:rPr>
          <w:spacing w:val="-3"/>
          <w:sz w:val="20"/>
        </w:rPr>
        <w:t xml:space="preserve"> </w:t>
      </w:r>
      <w:r>
        <w:rPr>
          <w:sz w:val="20"/>
        </w:rPr>
        <w:t>of</w:t>
      </w:r>
      <w:r>
        <w:rPr>
          <w:spacing w:val="-3"/>
          <w:sz w:val="20"/>
        </w:rPr>
        <w:t xml:space="preserve"> </w:t>
      </w:r>
      <w:r>
        <w:rPr>
          <w:sz w:val="20"/>
        </w:rPr>
        <w:t>Washington-Baltimore-Arlington.</w:t>
      </w:r>
      <w:r>
        <w:rPr>
          <w:spacing w:val="-2"/>
          <w:sz w:val="20"/>
        </w:rPr>
        <w:t xml:space="preserve"> </w:t>
      </w:r>
      <w:r>
        <w:rPr>
          <w:sz w:val="20"/>
        </w:rPr>
        <w:t>Wages</w:t>
      </w:r>
      <w:r>
        <w:rPr>
          <w:spacing w:val="-4"/>
          <w:sz w:val="20"/>
        </w:rPr>
        <w:t xml:space="preserve"> </w:t>
      </w:r>
      <w:r>
        <w:rPr>
          <w:sz w:val="20"/>
        </w:rPr>
        <w:t>have</w:t>
      </w:r>
      <w:r>
        <w:rPr>
          <w:spacing w:val="-3"/>
          <w:sz w:val="20"/>
        </w:rPr>
        <w:t xml:space="preserve"> </w:t>
      </w:r>
      <w:r>
        <w:rPr>
          <w:sz w:val="20"/>
        </w:rPr>
        <w:t>been</w:t>
      </w:r>
      <w:r>
        <w:rPr>
          <w:spacing w:val="-2"/>
          <w:sz w:val="20"/>
        </w:rPr>
        <w:t xml:space="preserve"> </w:t>
      </w:r>
      <w:r>
        <w:rPr>
          <w:sz w:val="20"/>
        </w:rPr>
        <w:t>adjusted</w:t>
      </w:r>
      <w:r>
        <w:rPr>
          <w:spacing w:val="-2"/>
          <w:sz w:val="20"/>
        </w:rPr>
        <w:t xml:space="preserve"> </w:t>
      </w:r>
      <w:r>
        <w:rPr>
          <w:sz w:val="20"/>
        </w:rPr>
        <w:t>to include a 100 percent increase for the cost of fringe benefits and other indirect costs.</w:t>
      </w:r>
    </w:p>
    <w:p w:rsidR="00B64E72" w14:paraId="428D00A8" w14:textId="77777777">
      <w:pPr>
        <w:rPr>
          <w:sz w:val="20"/>
        </w:rPr>
        <w:sectPr>
          <w:type w:val="continuous"/>
          <w:pgSz w:w="12240" w:h="15840"/>
          <w:pgMar w:top="1420" w:right="360" w:bottom="1280" w:left="360" w:header="0" w:footer="1094" w:gutter="0"/>
          <w:cols w:space="720"/>
        </w:sectPr>
      </w:pPr>
    </w:p>
    <w:p w:rsidR="00B64E72" w14:paraId="365F0320" w14:textId="77777777">
      <w:pPr>
        <w:pStyle w:val="BodyText"/>
        <w:spacing w:before="79" w:line="256" w:lineRule="auto"/>
        <w:ind w:left="1522" w:right="1369"/>
      </w:pPr>
      <w:bookmarkStart w:id="357" w:name="hours_per_audit_to_review_the_informatio"/>
      <w:bookmarkEnd w:id="357"/>
      <w:r>
        <w:t>hours per audit to review the information submitted by the audit entity and review letters/documents relating to the audit. HHS therefore estimates that the Federal Government will incur an annual burden of 180 hours, with an equivalent cost of approximately $23,760 per audit. To conduct no more than 25 QPA audits annually, we estimate</w:t>
      </w:r>
      <w:r>
        <w:rPr>
          <w:spacing w:val="-4"/>
        </w:rPr>
        <w:t xml:space="preserve"> </w:t>
      </w:r>
      <w:r>
        <w:t>the</w:t>
      </w:r>
      <w:r>
        <w:rPr>
          <w:spacing w:val="-3"/>
        </w:rPr>
        <w:t xml:space="preserve"> </w:t>
      </w:r>
      <w:r>
        <w:t>Federal</w:t>
      </w:r>
      <w:r>
        <w:rPr>
          <w:spacing w:val="-3"/>
        </w:rPr>
        <w:t xml:space="preserve"> </w:t>
      </w:r>
      <w:r>
        <w:t>Government</w:t>
      </w:r>
      <w:r>
        <w:rPr>
          <w:spacing w:val="-1"/>
        </w:rPr>
        <w:t xml:space="preserve"> </w:t>
      </w:r>
      <w:r>
        <w:t>will</w:t>
      </w:r>
      <w:r>
        <w:rPr>
          <w:spacing w:val="-3"/>
        </w:rPr>
        <w:t xml:space="preserve"> </w:t>
      </w:r>
      <w:r>
        <w:t>incur</w:t>
      </w:r>
      <w:r>
        <w:rPr>
          <w:spacing w:val="-5"/>
        </w:rPr>
        <w:t xml:space="preserve"> </w:t>
      </w:r>
      <w:r>
        <w:t>a</w:t>
      </w:r>
      <w:r>
        <w:rPr>
          <w:spacing w:val="-4"/>
        </w:rPr>
        <w:t xml:space="preserve"> </w:t>
      </w:r>
      <w:r>
        <w:t>total</w:t>
      </w:r>
      <w:r>
        <w:rPr>
          <w:spacing w:val="-1"/>
        </w:rPr>
        <w:t xml:space="preserve"> </w:t>
      </w:r>
      <w:r>
        <w:t>annual</w:t>
      </w:r>
      <w:r>
        <w:rPr>
          <w:spacing w:val="-3"/>
        </w:rPr>
        <w:t xml:space="preserve"> </w:t>
      </w:r>
      <w:r>
        <w:t>burden</w:t>
      </w:r>
      <w:r>
        <w:rPr>
          <w:spacing w:val="-3"/>
        </w:rPr>
        <w:t xml:space="preserve"> </w:t>
      </w:r>
      <w:r>
        <w:t>of</w:t>
      </w:r>
      <w:r>
        <w:rPr>
          <w:spacing w:val="-3"/>
        </w:rPr>
        <w:t xml:space="preserve"> </w:t>
      </w:r>
      <w:r>
        <w:t>4,500</w:t>
      </w:r>
      <w:r>
        <w:rPr>
          <w:spacing w:val="-1"/>
        </w:rPr>
        <w:t xml:space="preserve"> </w:t>
      </w:r>
      <w:r>
        <w:t>hours,</w:t>
      </w:r>
      <w:r>
        <w:rPr>
          <w:spacing w:val="-3"/>
        </w:rPr>
        <w:t xml:space="preserve"> </w:t>
      </w:r>
      <w:r>
        <w:t>with</w:t>
      </w:r>
      <w:r>
        <w:rPr>
          <w:spacing w:val="-3"/>
        </w:rPr>
        <w:t xml:space="preserve"> </w:t>
      </w:r>
      <w:r>
        <w:t>an equivalent cost of approximately $594,000.</w:t>
      </w:r>
    </w:p>
    <w:p w:rsidR="00B64E72" w14:paraId="7607B126" w14:textId="77777777">
      <w:pPr>
        <w:pStyle w:val="BodyText"/>
        <w:spacing w:before="26"/>
      </w:pPr>
    </w:p>
    <w:p w:rsidR="00B64E72" w14:paraId="2023E66F" w14:textId="77777777">
      <w:pPr>
        <w:pStyle w:val="BodyText"/>
        <w:ind w:left="1512"/>
      </w:pPr>
      <w:bookmarkStart w:id="358" w:name="The_total_annual_cost_to_the_Federal_Gov"/>
      <w:bookmarkEnd w:id="358"/>
      <w:r>
        <w:t>The</w:t>
      </w:r>
      <w:r>
        <w:rPr>
          <w:spacing w:val="-3"/>
        </w:rPr>
        <w:t xml:space="preserve"> </w:t>
      </w:r>
      <w:r>
        <w:t>total</w:t>
      </w:r>
      <w:r>
        <w:rPr>
          <w:spacing w:val="-1"/>
        </w:rPr>
        <w:t xml:space="preserve"> </w:t>
      </w:r>
      <w:r>
        <w:t>annual cost</w:t>
      </w:r>
      <w:r>
        <w:rPr>
          <w:spacing w:val="-1"/>
        </w:rPr>
        <w:t xml:space="preserve"> </w:t>
      </w:r>
      <w:r>
        <w:t>to the</w:t>
      </w:r>
      <w:r>
        <w:rPr>
          <w:spacing w:val="-1"/>
        </w:rPr>
        <w:t xml:space="preserve"> </w:t>
      </w:r>
      <w:r>
        <w:t>Federal Government</w:t>
      </w:r>
      <w:r>
        <w:rPr>
          <w:spacing w:val="-1"/>
        </w:rPr>
        <w:t xml:space="preserve"> </w:t>
      </w:r>
      <w:r>
        <w:t>is therefore</w:t>
      </w:r>
      <w:r>
        <w:rPr>
          <w:spacing w:val="-2"/>
        </w:rPr>
        <w:t xml:space="preserve"> </w:t>
      </w:r>
      <w:r>
        <w:t>estimated to</w:t>
      </w:r>
      <w:r>
        <w:rPr>
          <w:spacing w:val="-1"/>
        </w:rPr>
        <w:t xml:space="preserve"> </w:t>
      </w:r>
      <w:r>
        <w:t>be</w:t>
      </w:r>
      <w:r>
        <w:rPr>
          <w:spacing w:val="3"/>
        </w:rPr>
        <w:t xml:space="preserve"> </w:t>
      </w:r>
      <w:r>
        <w:rPr>
          <w:spacing w:val="-2"/>
        </w:rPr>
        <w:t>$4,994,000.</w:t>
      </w:r>
    </w:p>
    <w:p w:rsidR="00B64E72" w14:paraId="1C4BEBE5" w14:textId="77777777">
      <w:pPr>
        <w:pStyle w:val="BodyText"/>
        <w:spacing w:before="46"/>
      </w:pPr>
    </w:p>
    <w:p w:rsidR="00B64E72" w14:paraId="27A5732E" w14:textId="77777777">
      <w:pPr>
        <w:pStyle w:val="Heading1"/>
        <w:spacing w:line="256" w:lineRule="auto"/>
        <w:ind w:left="1512" w:right="1149"/>
      </w:pPr>
      <w:bookmarkStart w:id="359" w:name="TABLE_14:_Annual_Contract_and_Federal_La"/>
      <w:bookmarkEnd w:id="359"/>
      <w:r>
        <w:t>TABLE</w:t>
      </w:r>
      <w:r>
        <w:rPr>
          <w:spacing w:val="-4"/>
        </w:rPr>
        <w:t xml:space="preserve"> </w:t>
      </w:r>
      <w:r>
        <w:t>14:</w:t>
      </w:r>
      <w:r>
        <w:rPr>
          <w:spacing w:val="-4"/>
        </w:rPr>
        <w:t xml:space="preserve"> </w:t>
      </w:r>
      <w:r>
        <w:t>Annual</w:t>
      </w:r>
      <w:r>
        <w:rPr>
          <w:spacing w:val="-3"/>
        </w:rPr>
        <w:t xml:space="preserve"> </w:t>
      </w:r>
      <w:r>
        <w:t>Contract</w:t>
      </w:r>
      <w:r>
        <w:rPr>
          <w:spacing w:val="-4"/>
        </w:rPr>
        <w:t xml:space="preserve"> </w:t>
      </w:r>
      <w:r>
        <w:t>and</w:t>
      </w:r>
      <w:r>
        <w:rPr>
          <w:spacing w:val="-3"/>
        </w:rPr>
        <w:t xml:space="preserve"> </w:t>
      </w:r>
      <w:r>
        <w:t>Federal</w:t>
      </w:r>
      <w:r>
        <w:rPr>
          <w:spacing w:val="-4"/>
        </w:rPr>
        <w:t xml:space="preserve"> </w:t>
      </w:r>
      <w:r>
        <w:t>Labor</w:t>
      </w:r>
      <w:r>
        <w:rPr>
          <w:spacing w:val="-4"/>
        </w:rPr>
        <w:t xml:space="preserve"> </w:t>
      </w:r>
      <w:r>
        <w:t>Costs</w:t>
      </w:r>
      <w:r>
        <w:rPr>
          <w:spacing w:val="-4"/>
        </w:rPr>
        <w:t xml:space="preserve"> </w:t>
      </w:r>
      <w:r>
        <w:t>for</w:t>
      </w:r>
      <w:r>
        <w:rPr>
          <w:spacing w:val="-5"/>
        </w:rPr>
        <w:t xml:space="preserve"> </w:t>
      </w:r>
      <w:r>
        <w:t>QPA</w:t>
      </w:r>
      <w:r>
        <w:rPr>
          <w:spacing w:val="-4"/>
        </w:rPr>
        <w:t xml:space="preserve"> </w:t>
      </w:r>
      <w:r>
        <w:t>Audits</w:t>
      </w:r>
      <w:r>
        <w:rPr>
          <w:spacing w:val="-4"/>
        </w:rPr>
        <w:t xml:space="preserve"> </w:t>
      </w:r>
      <w:r>
        <w:t>of</w:t>
      </w:r>
      <w:r>
        <w:rPr>
          <w:spacing w:val="-4"/>
        </w:rPr>
        <w:t xml:space="preserve"> </w:t>
      </w:r>
      <w:r>
        <w:t>Self-Insured Non-Federal Governmental Plans (or their TPAs) and Issuers:</w:t>
      </w:r>
    </w:p>
    <w:p w:rsidR="00B64E72" w14:paraId="11406E07" w14:textId="77777777">
      <w:pPr>
        <w:pStyle w:val="BodyText"/>
        <w:spacing w:before="37"/>
        <w:rPr>
          <w:b/>
          <w:sz w:val="20"/>
        </w:rPr>
      </w:pPr>
    </w:p>
    <w:tbl>
      <w:tblPr>
        <w:tblW w:w="0" w:type="auto"/>
        <w:tblInd w:w="1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6"/>
        <w:gridCol w:w="989"/>
        <w:gridCol w:w="1171"/>
        <w:gridCol w:w="1260"/>
        <w:gridCol w:w="1800"/>
        <w:gridCol w:w="1801"/>
      </w:tblGrid>
      <w:tr w14:paraId="7E58627C" w14:textId="77777777">
        <w:tblPrEx>
          <w:tblW w:w="0" w:type="auto"/>
          <w:tblInd w:w="1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53"/>
        </w:trPr>
        <w:tc>
          <w:tcPr>
            <w:tcW w:w="1886" w:type="dxa"/>
          </w:tcPr>
          <w:p w:rsidR="00B64E72" w14:paraId="6FC9AC80" w14:textId="77777777">
            <w:pPr>
              <w:pStyle w:val="TableParagraph"/>
              <w:spacing w:before="1"/>
              <w:ind w:left="6" w:right="8"/>
              <w:jc w:val="center"/>
              <w:rPr>
                <w:sz w:val="20"/>
              </w:rPr>
            </w:pPr>
            <w:bookmarkStart w:id="360" w:name="Employee_"/>
            <w:bookmarkEnd w:id="360"/>
            <w:r>
              <w:rPr>
                <w:spacing w:val="-2"/>
                <w:sz w:val="20"/>
              </w:rPr>
              <w:t>Employee</w:t>
            </w:r>
          </w:p>
        </w:tc>
        <w:tc>
          <w:tcPr>
            <w:tcW w:w="989" w:type="dxa"/>
          </w:tcPr>
          <w:p w:rsidR="00B64E72" w14:paraId="26EB9FEA" w14:textId="77777777">
            <w:pPr>
              <w:pStyle w:val="TableParagraph"/>
              <w:spacing w:before="1" w:line="247" w:lineRule="auto"/>
              <w:ind w:left="206" w:right="254" w:hanging="56"/>
              <w:rPr>
                <w:sz w:val="20"/>
              </w:rPr>
            </w:pPr>
            <w:bookmarkStart w:id="361" w:name="Hourly_Wage_"/>
            <w:bookmarkEnd w:id="361"/>
            <w:r>
              <w:rPr>
                <w:spacing w:val="-2"/>
                <w:sz w:val="20"/>
              </w:rPr>
              <w:t xml:space="preserve">Hourly </w:t>
            </w:r>
            <w:r>
              <w:rPr>
                <w:spacing w:val="-4"/>
                <w:sz w:val="20"/>
              </w:rPr>
              <w:t>Wage</w:t>
            </w:r>
          </w:p>
        </w:tc>
        <w:tc>
          <w:tcPr>
            <w:tcW w:w="1171" w:type="dxa"/>
          </w:tcPr>
          <w:p w:rsidR="00B64E72" w14:paraId="38629FC3" w14:textId="77777777">
            <w:pPr>
              <w:pStyle w:val="TableParagraph"/>
              <w:spacing w:before="1" w:line="247" w:lineRule="auto"/>
              <w:ind w:left="148" w:right="151"/>
              <w:jc w:val="center"/>
              <w:rPr>
                <w:sz w:val="20"/>
              </w:rPr>
            </w:pPr>
            <w:bookmarkStart w:id="362" w:name="Total_Hours_Per_Audit_"/>
            <w:bookmarkEnd w:id="362"/>
            <w:r>
              <w:rPr>
                <w:spacing w:val="-2"/>
                <w:sz w:val="20"/>
              </w:rPr>
              <w:t xml:space="preserve">Total </w:t>
            </w:r>
            <w:r>
              <w:rPr>
                <w:sz w:val="20"/>
              </w:rPr>
              <w:t>Hours</w:t>
            </w:r>
            <w:r>
              <w:rPr>
                <w:spacing w:val="-13"/>
                <w:sz w:val="20"/>
              </w:rPr>
              <w:t xml:space="preserve"> </w:t>
            </w:r>
            <w:r>
              <w:rPr>
                <w:sz w:val="20"/>
              </w:rPr>
              <w:t xml:space="preserve">Per </w:t>
            </w:r>
            <w:r>
              <w:rPr>
                <w:spacing w:val="-4"/>
                <w:sz w:val="20"/>
              </w:rPr>
              <w:t>Audit</w:t>
            </w:r>
          </w:p>
        </w:tc>
        <w:tc>
          <w:tcPr>
            <w:tcW w:w="1260" w:type="dxa"/>
          </w:tcPr>
          <w:p w:rsidR="00B64E72" w14:paraId="3A97C7D1" w14:textId="77777777">
            <w:pPr>
              <w:pStyle w:val="TableParagraph"/>
              <w:spacing w:before="1" w:line="247" w:lineRule="auto"/>
              <w:ind w:left="147" w:right="118" w:hanging="9"/>
              <w:jc w:val="center"/>
              <w:rPr>
                <w:sz w:val="20"/>
              </w:rPr>
            </w:pPr>
            <w:bookmarkStart w:id="363" w:name="Total_Number_of_QPA_Audits_"/>
            <w:bookmarkEnd w:id="363"/>
            <w:r>
              <w:rPr>
                <w:spacing w:val="-2"/>
                <w:sz w:val="20"/>
              </w:rPr>
              <w:t xml:space="preserve">Total </w:t>
            </w:r>
            <w:r>
              <w:rPr>
                <w:sz w:val="20"/>
              </w:rPr>
              <w:t>Number of QPA</w:t>
            </w:r>
            <w:r>
              <w:rPr>
                <w:spacing w:val="-6"/>
                <w:sz w:val="20"/>
              </w:rPr>
              <w:t xml:space="preserve"> </w:t>
            </w:r>
            <w:r>
              <w:rPr>
                <w:spacing w:val="-2"/>
                <w:sz w:val="20"/>
              </w:rPr>
              <w:t>Audits</w:t>
            </w:r>
          </w:p>
        </w:tc>
        <w:tc>
          <w:tcPr>
            <w:tcW w:w="1800" w:type="dxa"/>
          </w:tcPr>
          <w:p w:rsidR="00B64E72" w14:paraId="6BD97DCE" w14:textId="77777777">
            <w:pPr>
              <w:pStyle w:val="TableParagraph"/>
              <w:spacing w:before="1" w:line="247" w:lineRule="auto"/>
              <w:ind w:left="123" w:right="129" w:hanging="2"/>
              <w:jc w:val="center"/>
              <w:rPr>
                <w:sz w:val="20"/>
              </w:rPr>
            </w:pPr>
            <w:bookmarkStart w:id="364" w:name="Total_Estimated_Annual_Burden_per_audit_"/>
            <w:bookmarkEnd w:id="364"/>
            <w:r>
              <w:rPr>
                <w:sz w:val="20"/>
              </w:rPr>
              <w:t>Total Estimated Annual</w:t>
            </w:r>
            <w:r>
              <w:rPr>
                <w:spacing w:val="-13"/>
                <w:sz w:val="20"/>
              </w:rPr>
              <w:t xml:space="preserve"> </w:t>
            </w:r>
            <w:r>
              <w:rPr>
                <w:sz w:val="20"/>
              </w:rPr>
              <w:t>Burden</w:t>
            </w:r>
            <w:r>
              <w:rPr>
                <w:spacing w:val="-12"/>
                <w:sz w:val="20"/>
              </w:rPr>
              <w:t xml:space="preserve"> </w:t>
            </w:r>
            <w:r>
              <w:rPr>
                <w:sz w:val="20"/>
              </w:rPr>
              <w:t>per audit (Hours)</w:t>
            </w:r>
          </w:p>
        </w:tc>
        <w:tc>
          <w:tcPr>
            <w:tcW w:w="1801" w:type="dxa"/>
          </w:tcPr>
          <w:p w:rsidR="00B64E72" w14:paraId="11BC42B9" w14:textId="77777777">
            <w:pPr>
              <w:pStyle w:val="TableParagraph"/>
              <w:spacing w:before="1" w:line="247" w:lineRule="auto"/>
              <w:ind w:left="106" w:right="137" w:hanging="3"/>
              <w:jc w:val="center"/>
              <w:rPr>
                <w:sz w:val="20"/>
              </w:rPr>
            </w:pPr>
            <w:bookmarkStart w:id="365" w:name="Total_Estimated_Federal_Labor_Cost_($)_"/>
            <w:bookmarkEnd w:id="365"/>
            <w:r>
              <w:rPr>
                <w:sz w:val="20"/>
              </w:rPr>
              <w:t>Total Estimated Federal</w:t>
            </w:r>
            <w:r>
              <w:rPr>
                <w:spacing w:val="-13"/>
                <w:sz w:val="20"/>
              </w:rPr>
              <w:t xml:space="preserve"> </w:t>
            </w:r>
            <w:r>
              <w:rPr>
                <w:sz w:val="20"/>
              </w:rPr>
              <w:t>Labor</w:t>
            </w:r>
            <w:r>
              <w:rPr>
                <w:spacing w:val="-12"/>
                <w:sz w:val="20"/>
              </w:rPr>
              <w:t xml:space="preserve"> </w:t>
            </w:r>
            <w:r>
              <w:rPr>
                <w:sz w:val="20"/>
              </w:rPr>
              <w:t xml:space="preserve">Cost </w:t>
            </w:r>
            <w:r>
              <w:rPr>
                <w:spacing w:val="-4"/>
                <w:sz w:val="20"/>
              </w:rPr>
              <w:t>($)</w:t>
            </w:r>
          </w:p>
        </w:tc>
      </w:tr>
      <w:tr w14:paraId="03418C52" w14:textId="77777777">
        <w:tblPrEx>
          <w:tblW w:w="0" w:type="auto"/>
          <w:tblInd w:w="1313" w:type="dxa"/>
          <w:tblLayout w:type="fixed"/>
          <w:tblCellMar>
            <w:left w:w="0" w:type="dxa"/>
            <w:right w:w="0" w:type="dxa"/>
          </w:tblCellMar>
          <w:tblLook w:val="01E0"/>
        </w:tblPrEx>
        <w:trPr>
          <w:trHeight w:val="477"/>
        </w:trPr>
        <w:tc>
          <w:tcPr>
            <w:tcW w:w="1886" w:type="dxa"/>
          </w:tcPr>
          <w:p w:rsidR="00B64E72" w14:paraId="1FC7207E" w14:textId="77777777">
            <w:pPr>
              <w:pStyle w:val="TableParagraph"/>
              <w:ind w:left="5" w:right="8"/>
              <w:jc w:val="center"/>
              <w:rPr>
                <w:sz w:val="20"/>
              </w:rPr>
            </w:pPr>
            <w:bookmarkStart w:id="366" w:name="Federal_Contract_Costs_"/>
            <w:bookmarkEnd w:id="366"/>
            <w:r>
              <w:rPr>
                <w:sz w:val="20"/>
              </w:rPr>
              <w:t>Federal</w:t>
            </w:r>
            <w:r>
              <w:rPr>
                <w:spacing w:val="-3"/>
                <w:sz w:val="20"/>
              </w:rPr>
              <w:t xml:space="preserve"> </w:t>
            </w:r>
            <w:r>
              <w:rPr>
                <w:spacing w:val="-2"/>
                <w:sz w:val="20"/>
              </w:rPr>
              <w:t>Contract</w:t>
            </w:r>
          </w:p>
          <w:p w:rsidR="00B64E72" w14:paraId="3536358D" w14:textId="77777777">
            <w:pPr>
              <w:pStyle w:val="TableParagraph"/>
              <w:spacing w:before="8" w:line="219" w:lineRule="exact"/>
              <w:ind w:left="2" w:right="8"/>
              <w:jc w:val="center"/>
              <w:rPr>
                <w:sz w:val="20"/>
              </w:rPr>
            </w:pPr>
            <w:r>
              <w:rPr>
                <w:spacing w:val="-2"/>
                <w:sz w:val="20"/>
              </w:rPr>
              <w:t>Costs</w:t>
            </w:r>
          </w:p>
        </w:tc>
        <w:tc>
          <w:tcPr>
            <w:tcW w:w="989" w:type="dxa"/>
          </w:tcPr>
          <w:p w:rsidR="00B64E72" w14:paraId="7BB12967" w14:textId="77777777">
            <w:pPr>
              <w:pStyle w:val="TableParagraph"/>
            </w:pPr>
          </w:p>
        </w:tc>
        <w:tc>
          <w:tcPr>
            <w:tcW w:w="1171" w:type="dxa"/>
          </w:tcPr>
          <w:p w:rsidR="00B64E72" w14:paraId="568E43AF" w14:textId="77777777">
            <w:pPr>
              <w:pStyle w:val="TableParagraph"/>
            </w:pPr>
          </w:p>
        </w:tc>
        <w:tc>
          <w:tcPr>
            <w:tcW w:w="1260" w:type="dxa"/>
          </w:tcPr>
          <w:p w:rsidR="00B64E72" w14:paraId="2AC786BD" w14:textId="77777777">
            <w:pPr>
              <w:pStyle w:val="TableParagraph"/>
              <w:spacing w:before="120"/>
              <w:ind w:left="21" w:right="3"/>
              <w:jc w:val="center"/>
              <w:rPr>
                <w:sz w:val="20"/>
              </w:rPr>
            </w:pPr>
            <w:r>
              <w:rPr>
                <w:spacing w:val="-5"/>
                <w:sz w:val="20"/>
              </w:rPr>
              <w:t>25</w:t>
            </w:r>
          </w:p>
        </w:tc>
        <w:tc>
          <w:tcPr>
            <w:tcW w:w="1800" w:type="dxa"/>
          </w:tcPr>
          <w:p w:rsidR="00B64E72" w14:paraId="4388C54B" w14:textId="77777777">
            <w:pPr>
              <w:pStyle w:val="TableParagraph"/>
            </w:pPr>
          </w:p>
        </w:tc>
        <w:tc>
          <w:tcPr>
            <w:tcW w:w="1801" w:type="dxa"/>
          </w:tcPr>
          <w:p w:rsidR="00B64E72" w14:paraId="7105B6C5" w14:textId="77777777">
            <w:pPr>
              <w:pStyle w:val="TableParagraph"/>
              <w:spacing w:before="120"/>
              <w:ind w:left="4" w:right="11"/>
              <w:jc w:val="center"/>
              <w:rPr>
                <w:sz w:val="20"/>
              </w:rPr>
            </w:pPr>
            <w:bookmarkStart w:id="367" w:name="$4,400,000_"/>
            <w:bookmarkEnd w:id="367"/>
            <w:r>
              <w:rPr>
                <w:spacing w:val="-2"/>
                <w:sz w:val="20"/>
              </w:rPr>
              <w:t>$4,400,000</w:t>
            </w:r>
          </w:p>
        </w:tc>
      </w:tr>
      <w:tr w14:paraId="2AAFFB63" w14:textId="77777777">
        <w:tblPrEx>
          <w:tblW w:w="0" w:type="auto"/>
          <w:tblInd w:w="1313" w:type="dxa"/>
          <w:tblLayout w:type="fixed"/>
          <w:tblCellMar>
            <w:left w:w="0" w:type="dxa"/>
            <w:right w:w="0" w:type="dxa"/>
          </w:tblCellMar>
          <w:tblLook w:val="01E0"/>
        </w:tblPrEx>
        <w:trPr>
          <w:trHeight w:val="301"/>
        </w:trPr>
        <w:tc>
          <w:tcPr>
            <w:tcW w:w="1886" w:type="dxa"/>
          </w:tcPr>
          <w:p w:rsidR="00B64E72" w14:paraId="04B0D6DF" w14:textId="77777777">
            <w:pPr>
              <w:pStyle w:val="TableParagraph"/>
              <w:spacing w:before="31"/>
              <w:ind w:left="6" w:right="8"/>
              <w:jc w:val="center"/>
              <w:rPr>
                <w:sz w:val="20"/>
              </w:rPr>
            </w:pPr>
            <w:bookmarkStart w:id="368" w:name="GS-13,_step_5_"/>
            <w:bookmarkEnd w:id="368"/>
            <w:r>
              <w:rPr>
                <w:sz w:val="20"/>
              </w:rPr>
              <w:t>GS-13,</w:t>
            </w:r>
            <w:r>
              <w:rPr>
                <w:spacing w:val="-5"/>
                <w:sz w:val="20"/>
              </w:rPr>
              <w:t xml:space="preserve"> </w:t>
            </w:r>
            <w:r>
              <w:rPr>
                <w:sz w:val="20"/>
              </w:rPr>
              <w:t>step</w:t>
            </w:r>
            <w:r>
              <w:rPr>
                <w:spacing w:val="-3"/>
                <w:sz w:val="20"/>
              </w:rPr>
              <w:t xml:space="preserve"> </w:t>
            </w:r>
            <w:r>
              <w:rPr>
                <w:spacing w:val="-10"/>
                <w:sz w:val="20"/>
              </w:rPr>
              <w:t>5</w:t>
            </w:r>
          </w:p>
        </w:tc>
        <w:tc>
          <w:tcPr>
            <w:tcW w:w="989" w:type="dxa"/>
          </w:tcPr>
          <w:p w:rsidR="00B64E72" w14:paraId="0F2FDB85" w14:textId="77777777">
            <w:pPr>
              <w:pStyle w:val="TableParagraph"/>
              <w:spacing w:before="26"/>
              <w:ind w:right="4"/>
              <w:jc w:val="center"/>
              <w:rPr>
                <w:sz w:val="20"/>
              </w:rPr>
            </w:pPr>
            <w:bookmarkStart w:id="369" w:name="$128.12_"/>
            <w:bookmarkEnd w:id="369"/>
            <w:r>
              <w:rPr>
                <w:spacing w:val="-2"/>
                <w:sz w:val="20"/>
              </w:rPr>
              <w:t>$128.12</w:t>
            </w:r>
          </w:p>
        </w:tc>
        <w:tc>
          <w:tcPr>
            <w:tcW w:w="1171" w:type="dxa"/>
          </w:tcPr>
          <w:p w:rsidR="00B64E72" w14:paraId="3A0531C2" w14:textId="77777777">
            <w:pPr>
              <w:pStyle w:val="TableParagraph"/>
              <w:spacing w:before="26"/>
              <w:ind w:left="150" w:right="151"/>
              <w:jc w:val="center"/>
              <w:rPr>
                <w:sz w:val="20"/>
              </w:rPr>
            </w:pPr>
            <w:bookmarkStart w:id="370" w:name="150_"/>
            <w:bookmarkEnd w:id="370"/>
            <w:r>
              <w:rPr>
                <w:spacing w:val="-5"/>
                <w:sz w:val="20"/>
              </w:rPr>
              <w:t>150</w:t>
            </w:r>
          </w:p>
        </w:tc>
        <w:tc>
          <w:tcPr>
            <w:tcW w:w="1260" w:type="dxa"/>
          </w:tcPr>
          <w:p w:rsidR="00B64E72" w14:paraId="7452AFC2" w14:textId="77777777">
            <w:pPr>
              <w:pStyle w:val="TableParagraph"/>
              <w:spacing w:before="26"/>
              <w:ind w:left="18" w:right="21"/>
              <w:jc w:val="center"/>
              <w:rPr>
                <w:sz w:val="20"/>
              </w:rPr>
            </w:pPr>
            <w:r>
              <w:rPr>
                <w:spacing w:val="-5"/>
                <w:sz w:val="20"/>
              </w:rPr>
              <w:t>25</w:t>
            </w:r>
          </w:p>
        </w:tc>
        <w:tc>
          <w:tcPr>
            <w:tcW w:w="1800" w:type="dxa"/>
          </w:tcPr>
          <w:p w:rsidR="00B64E72" w14:paraId="232DAA8D" w14:textId="77777777">
            <w:pPr>
              <w:pStyle w:val="TableParagraph"/>
              <w:spacing w:before="26"/>
              <w:ind w:left="4" w:right="8"/>
              <w:jc w:val="center"/>
              <w:rPr>
                <w:sz w:val="20"/>
              </w:rPr>
            </w:pPr>
            <w:bookmarkStart w:id="371" w:name="3,750_"/>
            <w:bookmarkEnd w:id="371"/>
            <w:r>
              <w:rPr>
                <w:spacing w:val="-2"/>
                <w:sz w:val="20"/>
              </w:rPr>
              <w:t>3,750</w:t>
            </w:r>
          </w:p>
        </w:tc>
        <w:tc>
          <w:tcPr>
            <w:tcW w:w="1801" w:type="dxa"/>
          </w:tcPr>
          <w:p w:rsidR="00B64E72" w14:paraId="29F4AD7A" w14:textId="77777777">
            <w:pPr>
              <w:pStyle w:val="TableParagraph"/>
              <w:spacing w:before="31"/>
              <w:ind w:left="4" w:right="10"/>
              <w:jc w:val="center"/>
              <w:rPr>
                <w:sz w:val="20"/>
              </w:rPr>
            </w:pPr>
            <w:bookmarkStart w:id="372" w:name="$480,450_"/>
            <w:bookmarkEnd w:id="372"/>
            <w:r>
              <w:rPr>
                <w:spacing w:val="-2"/>
                <w:sz w:val="20"/>
              </w:rPr>
              <w:t>$480,450</w:t>
            </w:r>
          </w:p>
        </w:tc>
      </w:tr>
      <w:tr w14:paraId="2F90758A" w14:textId="77777777">
        <w:tblPrEx>
          <w:tblW w:w="0" w:type="auto"/>
          <w:tblInd w:w="1313" w:type="dxa"/>
          <w:tblLayout w:type="fixed"/>
          <w:tblCellMar>
            <w:left w:w="0" w:type="dxa"/>
            <w:right w:w="0" w:type="dxa"/>
          </w:tblCellMar>
          <w:tblLook w:val="01E0"/>
        </w:tblPrEx>
        <w:trPr>
          <w:trHeight w:val="249"/>
        </w:trPr>
        <w:tc>
          <w:tcPr>
            <w:tcW w:w="1886" w:type="dxa"/>
          </w:tcPr>
          <w:p w:rsidR="00B64E72" w14:paraId="3C4BC52E" w14:textId="77777777">
            <w:pPr>
              <w:pStyle w:val="TableParagraph"/>
              <w:spacing w:before="5" w:line="224" w:lineRule="exact"/>
              <w:ind w:left="6" w:right="8"/>
              <w:jc w:val="center"/>
              <w:rPr>
                <w:sz w:val="20"/>
              </w:rPr>
            </w:pPr>
            <w:bookmarkStart w:id="373" w:name="GS-14,_step_5_"/>
            <w:bookmarkEnd w:id="373"/>
            <w:r>
              <w:rPr>
                <w:sz w:val="20"/>
              </w:rPr>
              <w:t>GS-14,</w:t>
            </w:r>
            <w:r>
              <w:rPr>
                <w:spacing w:val="-5"/>
                <w:sz w:val="20"/>
              </w:rPr>
              <w:t xml:space="preserve"> </w:t>
            </w:r>
            <w:r>
              <w:rPr>
                <w:sz w:val="20"/>
              </w:rPr>
              <w:t>step</w:t>
            </w:r>
            <w:r>
              <w:rPr>
                <w:spacing w:val="-3"/>
                <w:sz w:val="20"/>
              </w:rPr>
              <w:t xml:space="preserve"> </w:t>
            </w:r>
            <w:r>
              <w:rPr>
                <w:spacing w:val="-10"/>
                <w:sz w:val="20"/>
              </w:rPr>
              <w:t>5</w:t>
            </w:r>
          </w:p>
        </w:tc>
        <w:tc>
          <w:tcPr>
            <w:tcW w:w="989" w:type="dxa"/>
          </w:tcPr>
          <w:p w:rsidR="00B64E72" w14:paraId="41D842BD" w14:textId="77777777">
            <w:pPr>
              <w:pStyle w:val="TableParagraph"/>
              <w:spacing w:line="229" w:lineRule="exact"/>
              <w:ind w:right="4"/>
              <w:jc w:val="center"/>
              <w:rPr>
                <w:sz w:val="20"/>
              </w:rPr>
            </w:pPr>
            <w:bookmarkStart w:id="374" w:name="$151.40_"/>
            <w:bookmarkEnd w:id="374"/>
            <w:r>
              <w:rPr>
                <w:spacing w:val="-2"/>
                <w:sz w:val="20"/>
              </w:rPr>
              <w:t>$151.40</w:t>
            </w:r>
          </w:p>
        </w:tc>
        <w:tc>
          <w:tcPr>
            <w:tcW w:w="1171" w:type="dxa"/>
          </w:tcPr>
          <w:p w:rsidR="00B64E72" w14:paraId="20851C03" w14:textId="77777777">
            <w:pPr>
              <w:pStyle w:val="TableParagraph"/>
              <w:spacing w:line="229" w:lineRule="exact"/>
              <w:ind w:left="150" w:right="151"/>
              <w:jc w:val="center"/>
              <w:rPr>
                <w:sz w:val="20"/>
              </w:rPr>
            </w:pPr>
            <w:bookmarkStart w:id="375" w:name="30_"/>
            <w:bookmarkEnd w:id="375"/>
            <w:r>
              <w:rPr>
                <w:spacing w:val="-5"/>
                <w:sz w:val="20"/>
              </w:rPr>
              <w:t>30</w:t>
            </w:r>
          </w:p>
        </w:tc>
        <w:tc>
          <w:tcPr>
            <w:tcW w:w="1260" w:type="dxa"/>
          </w:tcPr>
          <w:p w:rsidR="00B64E72" w14:paraId="2D906047" w14:textId="77777777">
            <w:pPr>
              <w:pStyle w:val="TableParagraph"/>
              <w:spacing w:line="229" w:lineRule="exact"/>
              <w:ind w:left="18" w:right="21"/>
              <w:jc w:val="center"/>
              <w:rPr>
                <w:sz w:val="20"/>
              </w:rPr>
            </w:pPr>
            <w:r>
              <w:rPr>
                <w:spacing w:val="-5"/>
                <w:sz w:val="20"/>
              </w:rPr>
              <w:t>25</w:t>
            </w:r>
          </w:p>
        </w:tc>
        <w:tc>
          <w:tcPr>
            <w:tcW w:w="1800" w:type="dxa"/>
          </w:tcPr>
          <w:p w:rsidR="00B64E72" w14:paraId="16CA5EAF" w14:textId="77777777">
            <w:pPr>
              <w:pStyle w:val="TableParagraph"/>
              <w:spacing w:line="229" w:lineRule="exact"/>
              <w:ind w:left="4" w:right="8"/>
              <w:jc w:val="center"/>
              <w:rPr>
                <w:sz w:val="20"/>
              </w:rPr>
            </w:pPr>
            <w:bookmarkStart w:id="376" w:name="750_"/>
            <w:bookmarkEnd w:id="376"/>
            <w:r>
              <w:rPr>
                <w:spacing w:val="-5"/>
                <w:sz w:val="20"/>
              </w:rPr>
              <w:t>750</w:t>
            </w:r>
          </w:p>
        </w:tc>
        <w:tc>
          <w:tcPr>
            <w:tcW w:w="1801" w:type="dxa"/>
          </w:tcPr>
          <w:p w:rsidR="00B64E72" w14:paraId="6C9F1FB6" w14:textId="77777777">
            <w:pPr>
              <w:pStyle w:val="TableParagraph"/>
              <w:spacing w:before="5" w:line="224" w:lineRule="exact"/>
              <w:ind w:left="4" w:right="10"/>
              <w:jc w:val="center"/>
              <w:rPr>
                <w:sz w:val="20"/>
              </w:rPr>
            </w:pPr>
            <w:bookmarkStart w:id="377" w:name="$113,550_"/>
            <w:bookmarkEnd w:id="377"/>
            <w:r>
              <w:rPr>
                <w:spacing w:val="-2"/>
                <w:sz w:val="20"/>
              </w:rPr>
              <w:t>$113,550</w:t>
            </w:r>
          </w:p>
        </w:tc>
      </w:tr>
      <w:tr w14:paraId="2293034B" w14:textId="77777777">
        <w:tblPrEx>
          <w:tblW w:w="0" w:type="auto"/>
          <w:tblInd w:w="1313" w:type="dxa"/>
          <w:tblLayout w:type="fixed"/>
          <w:tblCellMar>
            <w:left w:w="0" w:type="dxa"/>
            <w:right w:w="0" w:type="dxa"/>
          </w:tblCellMar>
          <w:tblLook w:val="01E0"/>
        </w:tblPrEx>
        <w:trPr>
          <w:trHeight w:val="479"/>
        </w:trPr>
        <w:tc>
          <w:tcPr>
            <w:tcW w:w="1886" w:type="dxa"/>
          </w:tcPr>
          <w:p w:rsidR="00B64E72" w14:paraId="53FA02AD" w14:textId="77777777">
            <w:pPr>
              <w:pStyle w:val="TableParagraph"/>
              <w:spacing w:before="2"/>
              <w:ind w:right="8"/>
              <w:jc w:val="center"/>
              <w:rPr>
                <w:sz w:val="20"/>
              </w:rPr>
            </w:pPr>
            <w:bookmarkStart w:id="378" w:name="Total_Employee_and_contract_costs_"/>
            <w:bookmarkEnd w:id="378"/>
            <w:r>
              <w:rPr>
                <w:sz w:val="20"/>
              </w:rPr>
              <w:t>Total</w:t>
            </w:r>
            <w:r>
              <w:rPr>
                <w:spacing w:val="-5"/>
                <w:sz w:val="20"/>
              </w:rPr>
              <w:t xml:space="preserve"> </w:t>
            </w:r>
            <w:r>
              <w:rPr>
                <w:sz w:val="20"/>
              </w:rPr>
              <w:t>Employee</w:t>
            </w:r>
            <w:r>
              <w:rPr>
                <w:spacing w:val="-7"/>
                <w:sz w:val="20"/>
              </w:rPr>
              <w:t xml:space="preserve"> </w:t>
            </w:r>
            <w:r>
              <w:rPr>
                <w:spacing w:val="-5"/>
                <w:sz w:val="20"/>
              </w:rPr>
              <w:t>and</w:t>
            </w:r>
          </w:p>
          <w:p w:rsidR="00B64E72" w14:paraId="394594FE" w14:textId="77777777">
            <w:pPr>
              <w:pStyle w:val="TableParagraph"/>
              <w:spacing w:before="8" w:line="219" w:lineRule="exact"/>
              <w:ind w:left="6" w:right="8"/>
              <w:jc w:val="center"/>
              <w:rPr>
                <w:sz w:val="20"/>
              </w:rPr>
            </w:pPr>
            <w:r>
              <w:rPr>
                <w:sz w:val="20"/>
              </w:rPr>
              <w:t>contract</w:t>
            </w:r>
            <w:r>
              <w:rPr>
                <w:spacing w:val="-6"/>
                <w:sz w:val="20"/>
              </w:rPr>
              <w:t xml:space="preserve"> </w:t>
            </w:r>
            <w:r>
              <w:rPr>
                <w:spacing w:val="-2"/>
                <w:sz w:val="20"/>
              </w:rPr>
              <w:t>costs</w:t>
            </w:r>
          </w:p>
        </w:tc>
        <w:tc>
          <w:tcPr>
            <w:tcW w:w="989" w:type="dxa"/>
          </w:tcPr>
          <w:p w:rsidR="00B64E72" w14:paraId="3D71AE90" w14:textId="77777777">
            <w:pPr>
              <w:pStyle w:val="TableParagraph"/>
            </w:pPr>
          </w:p>
        </w:tc>
        <w:tc>
          <w:tcPr>
            <w:tcW w:w="1171" w:type="dxa"/>
          </w:tcPr>
          <w:p w:rsidR="00B64E72" w14:paraId="4D429F6E" w14:textId="77777777">
            <w:pPr>
              <w:pStyle w:val="TableParagraph"/>
              <w:spacing w:before="115"/>
              <w:ind w:left="150" w:right="151"/>
              <w:jc w:val="center"/>
              <w:rPr>
                <w:sz w:val="20"/>
              </w:rPr>
            </w:pPr>
            <w:bookmarkStart w:id="379" w:name="180_"/>
            <w:bookmarkEnd w:id="379"/>
            <w:r>
              <w:rPr>
                <w:spacing w:val="-5"/>
                <w:sz w:val="20"/>
              </w:rPr>
              <w:t>180</w:t>
            </w:r>
          </w:p>
        </w:tc>
        <w:tc>
          <w:tcPr>
            <w:tcW w:w="1260" w:type="dxa"/>
          </w:tcPr>
          <w:p w:rsidR="00B64E72" w14:paraId="0FEB25FE" w14:textId="77777777">
            <w:pPr>
              <w:pStyle w:val="TableParagraph"/>
              <w:spacing w:before="115"/>
              <w:ind w:left="18" w:right="21"/>
              <w:jc w:val="center"/>
              <w:rPr>
                <w:sz w:val="20"/>
              </w:rPr>
            </w:pPr>
            <w:bookmarkStart w:id="380" w:name="25_"/>
            <w:bookmarkEnd w:id="380"/>
            <w:r>
              <w:rPr>
                <w:spacing w:val="-5"/>
                <w:sz w:val="20"/>
              </w:rPr>
              <w:t>25</w:t>
            </w:r>
          </w:p>
        </w:tc>
        <w:tc>
          <w:tcPr>
            <w:tcW w:w="1800" w:type="dxa"/>
          </w:tcPr>
          <w:p w:rsidR="00B64E72" w14:paraId="4B1D2B62" w14:textId="77777777">
            <w:pPr>
              <w:pStyle w:val="TableParagraph"/>
              <w:spacing w:before="115"/>
              <w:ind w:left="4" w:right="8"/>
              <w:jc w:val="center"/>
              <w:rPr>
                <w:sz w:val="20"/>
              </w:rPr>
            </w:pPr>
            <w:bookmarkStart w:id="381" w:name="4,500_"/>
            <w:bookmarkEnd w:id="381"/>
            <w:r>
              <w:rPr>
                <w:spacing w:val="-2"/>
                <w:sz w:val="20"/>
              </w:rPr>
              <w:t>4,500</w:t>
            </w:r>
          </w:p>
        </w:tc>
        <w:tc>
          <w:tcPr>
            <w:tcW w:w="1801" w:type="dxa"/>
          </w:tcPr>
          <w:p w:rsidR="00B64E72" w14:paraId="39162B97" w14:textId="77777777">
            <w:pPr>
              <w:pStyle w:val="TableParagraph"/>
              <w:spacing w:before="120"/>
              <w:ind w:left="4" w:right="10"/>
              <w:jc w:val="center"/>
              <w:rPr>
                <w:sz w:val="20"/>
              </w:rPr>
            </w:pPr>
            <w:bookmarkStart w:id="382" w:name="$4,994,000_"/>
            <w:bookmarkEnd w:id="382"/>
            <w:r>
              <w:rPr>
                <w:spacing w:val="-2"/>
                <w:sz w:val="20"/>
              </w:rPr>
              <w:t>$4,994,000</w:t>
            </w:r>
          </w:p>
        </w:tc>
      </w:tr>
    </w:tbl>
    <w:p w:rsidR="00B64E72" w14:paraId="7CF21A00" w14:textId="77777777">
      <w:pPr>
        <w:pStyle w:val="BodyText"/>
        <w:rPr>
          <w:b/>
        </w:rPr>
      </w:pPr>
    </w:p>
    <w:p w:rsidR="00B64E72" w14:paraId="6EDC7652" w14:textId="77777777">
      <w:pPr>
        <w:pStyle w:val="BodyText"/>
        <w:rPr>
          <w:b/>
        </w:rPr>
      </w:pPr>
    </w:p>
    <w:p w:rsidR="00B64E72" w14:paraId="1AB41F9A" w14:textId="77777777">
      <w:pPr>
        <w:pStyle w:val="BodyText"/>
        <w:spacing w:before="68"/>
        <w:rPr>
          <w:b/>
        </w:rPr>
      </w:pPr>
    </w:p>
    <w:p w:rsidR="00B64E72" w14:paraId="0B2D1B82" w14:textId="77777777">
      <w:pPr>
        <w:pStyle w:val="ListParagraph"/>
        <w:numPr>
          <w:ilvl w:val="1"/>
          <w:numId w:val="3"/>
        </w:numPr>
        <w:tabs>
          <w:tab w:val="left" w:pos="1488"/>
        </w:tabs>
        <w:rPr>
          <w:sz w:val="24"/>
          <w:u w:val="none"/>
        </w:rPr>
      </w:pPr>
      <w:bookmarkStart w:id="383" w:name="15._Changes_to_Burden__"/>
      <w:bookmarkEnd w:id="383"/>
      <w:r>
        <w:rPr>
          <w:sz w:val="24"/>
        </w:rPr>
        <w:t>Changes</w:t>
      </w:r>
      <w:r>
        <w:rPr>
          <w:spacing w:val="-1"/>
          <w:sz w:val="24"/>
        </w:rPr>
        <w:t xml:space="preserve"> </w:t>
      </w:r>
      <w:r>
        <w:rPr>
          <w:sz w:val="24"/>
        </w:rPr>
        <w:t>to</w:t>
      </w:r>
      <w:r>
        <w:rPr>
          <w:spacing w:val="-1"/>
          <w:sz w:val="24"/>
        </w:rPr>
        <w:t xml:space="preserve"> </w:t>
      </w:r>
      <w:r>
        <w:rPr>
          <w:spacing w:val="-2"/>
          <w:sz w:val="24"/>
        </w:rPr>
        <w:t>Burden</w:t>
      </w:r>
    </w:p>
    <w:p w:rsidR="00B64E72" w14:paraId="5C85056B" w14:textId="77777777">
      <w:pPr>
        <w:pStyle w:val="BodyText"/>
        <w:spacing w:before="43"/>
      </w:pPr>
    </w:p>
    <w:p w:rsidR="00B64E72" w14:paraId="762DC6BD" w14:textId="77777777">
      <w:pPr>
        <w:pStyle w:val="BodyText"/>
        <w:spacing w:line="247" w:lineRule="auto"/>
        <w:ind w:left="1507" w:right="1144" w:hanging="10"/>
      </w:pPr>
      <w:bookmarkStart w:id="384" w:name="For_data_collections_related_to_the_info"/>
      <w:bookmarkEnd w:id="384"/>
      <w:r>
        <w:t>For data collections related to the information to be shared about the QPA, the three-year average</w:t>
      </w:r>
      <w:r>
        <w:rPr>
          <w:spacing w:val="-5"/>
        </w:rPr>
        <w:t xml:space="preserve"> </w:t>
      </w:r>
      <w:r>
        <w:t>burden</w:t>
      </w:r>
      <w:r>
        <w:rPr>
          <w:spacing w:val="-4"/>
        </w:rPr>
        <w:t xml:space="preserve"> </w:t>
      </w:r>
      <w:r>
        <w:t>has</w:t>
      </w:r>
      <w:r>
        <w:rPr>
          <w:spacing w:val="-4"/>
        </w:rPr>
        <w:t xml:space="preserve"> </w:t>
      </w:r>
      <w:r>
        <w:t>increased</w:t>
      </w:r>
      <w:r>
        <w:rPr>
          <w:spacing w:val="-4"/>
        </w:rPr>
        <w:t xml:space="preserve"> </w:t>
      </w:r>
      <w:r>
        <w:t>to</w:t>
      </w:r>
      <w:r>
        <w:rPr>
          <w:spacing w:val="-3"/>
        </w:rPr>
        <w:t xml:space="preserve"> </w:t>
      </w:r>
      <w:r>
        <w:t>approximately</w:t>
      </w:r>
      <w:r>
        <w:rPr>
          <w:spacing w:val="-4"/>
        </w:rPr>
        <w:t xml:space="preserve"> </w:t>
      </w:r>
      <w:r>
        <w:t>789,054</w:t>
      </w:r>
      <w:r>
        <w:rPr>
          <w:spacing w:val="-4"/>
        </w:rPr>
        <w:t xml:space="preserve"> </w:t>
      </w:r>
      <w:r>
        <w:t>hours</w:t>
      </w:r>
      <w:r>
        <w:rPr>
          <w:spacing w:val="-4"/>
        </w:rPr>
        <w:t xml:space="preserve"> </w:t>
      </w:r>
      <w:r>
        <w:t>from</w:t>
      </w:r>
      <w:r>
        <w:rPr>
          <w:spacing w:val="-5"/>
        </w:rPr>
        <w:t xml:space="preserve"> </w:t>
      </w:r>
      <w:r>
        <w:t>approximately</w:t>
      </w:r>
      <w:r>
        <w:rPr>
          <w:spacing w:val="-3"/>
        </w:rPr>
        <w:t xml:space="preserve"> </w:t>
      </w:r>
      <w:r>
        <w:t xml:space="preserve">739,158 hours, a total increase of approximately 49,896 hours. While there was a decrease in the number of issuers and TPAs from 879 to 837, the increase in burden is a result of the inclusion of the requirement that issuers and TPAs include information regarding </w:t>
      </w:r>
      <w:r>
        <w:t>downcoded</w:t>
      </w:r>
      <w:r>
        <w:t xml:space="preserve"> claims (currently approved under OMB Control Number 1210-0169).</w:t>
      </w:r>
    </w:p>
    <w:p w:rsidR="00B64E72" w14:paraId="552E3DF0" w14:textId="77777777">
      <w:pPr>
        <w:pStyle w:val="BodyText"/>
        <w:spacing w:before="20"/>
      </w:pPr>
    </w:p>
    <w:p w:rsidR="00B64E72" w14:paraId="6A0B1500" w14:textId="77777777">
      <w:pPr>
        <w:pStyle w:val="BodyText"/>
        <w:spacing w:line="247" w:lineRule="auto"/>
        <w:ind w:left="1507" w:right="1099" w:hanging="10"/>
      </w:pPr>
      <w:bookmarkStart w:id="385" w:name="For_data_collections_related_to_QPA_audi"/>
      <w:bookmarkEnd w:id="385"/>
      <w:r>
        <w:t>For data collections related to QPA audits, the three-year average burden has increased to 3,720</w:t>
      </w:r>
      <w:r>
        <w:rPr>
          <w:spacing w:val="-3"/>
        </w:rPr>
        <w:t xml:space="preserve"> </w:t>
      </w:r>
      <w:r>
        <w:t>hours</w:t>
      </w:r>
      <w:r>
        <w:rPr>
          <w:spacing w:val="-3"/>
        </w:rPr>
        <w:t xml:space="preserve"> </w:t>
      </w:r>
      <w:r>
        <w:t>from</w:t>
      </w:r>
      <w:r>
        <w:rPr>
          <w:spacing w:val="-3"/>
        </w:rPr>
        <w:t xml:space="preserve"> </w:t>
      </w:r>
      <w:r>
        <w:t>0</w:t>
      </w:r>
      <w:r>
        <w:rPr>
          <w:spacing w:val="-3"/>
        </w:rPr>
        <w:t xml:space="preserve"> </w:t>
      </w:r>
      <w:r>
        <w:t>hours,</w:t>
      </w:r>
      <w:r>
        <w:rPr>
          <w:spacing w:val="-3"/>
        </w:rPr>
        <w:t xml:space="preserve"> </w:t>
      </w:r>
      <w:r>
        <w:t>a</w:t>
      </w:r>
      <w:r>
        <w:rPr>
          <w:spacing w:val="-3"/>
        </w:rPr>
        <w:t xml:space="preserve"> </w:t>
      </w:r>
      <w:r>
        <w:t>total</w:t>
      </w:r>
      <w:r>
        <w:rPr>
          <w:spacing w:val="-3"/>
        </w:rPr>
        <w:t xml:space="preserve"> </w:t>
      </w:r>
      <w:r>
        <w:t>increase</w:t>
      </w:r>
      <w:r>
        <w:rPr>
          <w:spacing w:val="-3"/>
        </w:rPr>
        <w:t xml:space="preserve"> </w:t>
      </w:r>
      <w:r>
        <w:t>of</w:t>
      </w:r>
      <w:r>
        <w:rPr>
          <w:spacing w:val="-3"/>
        </w:rPr>
        <w:t xml:space="preserve"> </w:t>
      </w:r>
      <w:r>
        <w:t>3,720</w:t>
      </w:r>
      <w:r>
        <w:rPr>
          <w:spacing w:val="-1"/>
        </w:rPr>
        <w:t xml:space="preserve"> </w:t>
      </w:r>
      <w:r>
        <w:t>hours</w:t>
      </w:r>
      <w:r>
        <w:rPr>
          <w:spacing w:val="-2"/>
        </w:rPr>
        <w:t xml:space="preserve"> </w:t>
      </w:r>
      <w:r>
        <w:t>due</w:t>
      </w:r>
      <w:r>
        <w:rPr>
          <w:spacing w:val="-3"/>
        </w:rPr>
        <w:t xml:space="preserve"> </w:t>
      </w:r>
      <w:r>
        <w:t>to</w:t>
      </w:r>
      <w:r>
        <w:rPr>
          <w:spacing w:val="-3"/>
        </w:rPr>
        <w:t xml:space="preserve"> </w:t>
      </w:r>
      <w:r>
        <w:t>an</w:t>
      </w:r>
      <w:r>
        <w:rPr>
          <w:spacing w:val="-3"/>
        </w:rPr>
        <w:t xml:space="preserve"> </w:t>
      </w:r>
      <w:r>
        <w:t>increase</w:t>
      </w:r>
      <w:r>
        <w:rPr>
          <w:spacing w:val="-2"/>
        </w:rPr>
        <w:t xml:space="preserve"> </w:t>
      </w:r>
      <w:r>
        <w:t>in</w:t>
      </w:r>
      <w:r>
        <w:rPr>
          <w:spacing w:val="-3"/>
        </w:rPr>
        <w:t xml:space="preserve"> </w:t>
      </w:r>
      <w:r>
        <w:t>the</w:t>
      </w:r>
      <w:r>
        <w:rPr>
          <w:spacing w:val="-3"/>
        </w:rPr>
        <w:t xml:space="preserve"> </w:t>
      </w:r>
      <w:r>
        <w:t>number</w:t>
      </w:r>
      <w:r>
        <w:rPr>
          <w:spacing w:val="-4"/>
        </w:rPr>
        <w:t xml:space="preserve"> </w:t>
      </w:r>
      <w:r>
        <w:t>of audits from less than 10 to 25.</w:t>
      </w:r>
    </w:p>
    <w:p w:rsidR="00B64E72" w14:paraId="463181A8" w14:textId="77777777">
      <w:pPr>
        <w:pStyle w:val="BodyText"/>
        <w:spacing w:before="19"/>
      </w:pPr>
    </w:p>
    <w:p w:rsidR="00B64E72" w14:paraId="7447F001" w14:textId="77777777">
      <w:pPr>
        <w:pStyle w:val="BodyText"/>
        <w:spacing w:line="247" w:lineRule="auto"/>
        <w:ind w:left="1507" w:right="1099" w:hanging="10"/>
      </w:pPr>
      <w:bookmarkStart w:id="386" w:name="The_burden_related_to_the_disclosure_for"/>
      <w:bookmarkEnd w:id="386"/>
      <w:r>
        <w:t>The</w:t>
      </w:r>
      <w:r>
        <w:rPr>
          <w:spacing w:val="-5"/>
        </w:rPr>
        <w:t xml:space="preserve"> </w:t>
      </w:r>
      <w:r>
        <w:t>burden</w:t>
      </w:r>
      <w:r>
        <w:rPr>
          <w:spacing w:val="-4"/>
        </w:rPr>
        <w:t xml:space="preserve"> </w:t>
      </w:r>
      <w:r>
        <w:t>related</w:t>
      </w:r>
      <w:r>
        <w:rPr>
          <w:spacing w:val="-4"/>
        </w:rPr>
        <w:t xml:space="preserve"> </w:t>
      </w:r>
      <w:r>
        <w:t>to</w:t>
      </w:r>
      <w:r>
        <w:rPr>
          <w:spacing w:val="-4"/>
        </w:rPr>
        <w:t xml:space="preserve"> </w:t>
      </w:r>
      <w:r>
        <w:t>the</w:t>
      </w:r>
      <w:r>
        <w:rPr>
          <w:spacing w:val="-3"/>
        </w:rPr>
        <w:t xml:space="preserve"> </w:t>
      </w:r>
      <w:r>
        <w:t>disclosure</w:t>
      </w:r>
      <w:r>
        <w:rPr>
          <w:spacing w:val="-5"/>
        </w:rPr>
        <w:t xml:space="preserve"> </w:t>
      </w:r>
      <w:r>
        <w:t>for</w:t>
      </w:r>
      <w:r>
        <w:rPr>
          <w:spacing w:val="-4"/>
        </w:rPr>
        <w:t xml:space="preserve"> </w:t>
      </w:r>
      <w:r>
        <w:t>self-insured</w:t>
      </w:r>
      <w:r>
        <w:rPr>
          <w:spacing w:val="-4"/>
        </w:rPr>
        <w:t xml:space="preserve"> </w:t>
      </w:r>
      <w:r>
        <w:t>non-federal</w:t>
      </w:r>
      <w:r>
        <w:rPr>
          <w:spacing w:val="-4"/>
        </w:rPr>
        <w:t xml:space="preserve"> </w:t>
      </w:r>
      <w:r>
        <w:t>governmental</w:t>
      </w:r>
      <w:r>
        <w:rPr>
          <w:spacing w:val="-4"/>
        </w:rPr>
        <w:t xml:space="preserve"> </w:t>
      </w:r>
      <w:r>
        <w:t>plans</w:t>
      </w:r>
      <w:r>
        <w:rPr>
          <w:spacing w:val="-3"/>
        </w:rPr>
        <w:t xml:space="preserve"> </w:t>
      </w:r>
      <w:r>
        <w:t>newly opting in to State law has been reduced from approximately 126 hours to 66 hours, a total burden</w:t>
      </w:r>
      <w:r>
        <w:rPr>
          <w:spacing w:val="-1"/>
        </w:rPr>
        <w:t xml:space="preserve"> </w:t>
      </w:r>
      <w:r>
        <w:t>reduction</w:t>
      </w:r>
      <w:r>
        <w:rPr>
          <w:spacing w:val="-1"/>
        </w:rPr>
        <w:t xml:space="preserve"> </w:t>
      </w:r>
      <w:r>
        <w:t>of</w:t>
      </w:r>
      <w:r>
        <w:rPr>
          <w:spacing w:val="-2"/>
        </w:rPr>
        <w:t xml:space="preserve"> </w:t>
      </w:r>
      <w:r>
        <w:t>approximately 60</w:t>
      </w:r>
      <w:r>
        <w:rPr>
          <w:spacing w:val="-1"/>
        </w:rPr>
        <w:t xml:space="preserve"> </w:t>
      </w:r>
      <w:r>
        <w:t>hours.</w:t>
      </w:r>
      <w:r>
        <w:rPr>
          <w:spacing w:val="-1"/>
        </w:rPr>
        <w:t xml:space="preserve"> </w:t>
      </w:r>
      <w:r>
        <w:t>This</w:t>
      </w:r>
      <w:r>
        <w:rPr>
          <w:spacing w:val="-1"/>
        </w:rPr>
        <w:t xml:space="preserve"> </w:t>
      </w:r>
      <w:r>
        <w:t>reduction</w:t>
      </w:r>
      <w:r>
        <w:rPr>
          <w:spacing w:val="-1"/>
        </w:rPr>
        <w:t xml:space="preserve"> </w:t>
      </w:r>
      <w:r>
        <w:t>is</w:t>
      </w:r>
      <w:r>
        <w:rPr>
          <w:spacing w:val="-1"/>
        </w:rPr>
        <w:t xml:space="preserve"> </w:t>
      </w:r>
      <w:r>
        <w:t>a</w:t>
      </w:r>
      <w:r>
        <w:rPr>
          <w:spacing w:val="-2"/>
        </w:rPr>
        <w:t xml:space="preserve"> </w:t>
      </w:r>
      <w:r>
        <w:t>result</w:t>
      </w:r>
      <w:r>
        <w:rPr>
          <w:spacing w:val="-1"/>
        </w:rPr>
        <w:t xml:space="preserve"> </w:t>
      </w:r>
      <w:r>
        <w:t>of revised</w:t>
      </w:r>
      <w:r>
        <w:rPr>
          <w:spacing w:val="-1"/>
        </w:rPr>
        <w:t xml:space="preserve"> </w:t>
      </w:r>
      <w:r>
        <w:t>estimates regarding the number of plans that will newly opt in to State law annually.</w:t>
      </w:r>
    </w:p>
    <w:p w:rsidR="00B64E72" w14:paraId="06CF5EBD" w14:textId="77777777">
      <w:pPr>
        <w:pStyle w:val="BodyText"/>
        <w:spacing w:line="247" w:lineRule="auto"/>
        <w:sectPr>
          <w:pgSz w:w="12240" w:h="15840"/>
          <w:pgMar w:top="1360" w:right="360" w:bottom="1280" w:left="360" w:header="0" w:footer="1094" w:gutter="0"/>
          <w:cols w:space="720"/>
        </w:sectPr>
      </w:pPr>
    </w:p>
    <w:p w:rsidR="00B64E72" w14:paraId="5C721C40" w14:textId="77777777">
      <w:pPr>
        <w:pStyle w:val="BodyText"/>
        <w:spacing w:before="79" w:line="247" w:lineRule="auto"/>
        <w:ind w:left="1507" w:right="1144" w:hanging="10"/>
      </w:pPr>
      <w:bookmarkStart w:id="387" w:name="For_data_collections_related_to_the_prov"/>
      <w:bookmarkEnd w:id="387"/>
      <w:r>
        <w:t>For data collections related to the provider</w:t>
      </w:r>
      <w:r>
        <w:rPr>
          <w:spacing w:val="-1"/>
        </w:rPr>
        <w:t xml:space="preserve"> </w:t>
      </w:r>
      <w:r>
        <w:t>disclosure</w:t>
      </w:r>
      <w:r>
        <w:rPr>
          <w:spacing w:val="-1"/>
        </w:rPr>
        <w:t xml:space="preserve"> </w:t>
      </w:r>
      <w:r>
        <w:t>on patient protections against balance billing, the three-year average burden decreased to zero hours from 89,791 hours, a total reduction of 89,791 hours. This decrease in burden is associated with removal of the one- time burdens related to agreements made between facilities and providers to provide the disclosure</w:t>
      </w:r>
      <w:r>
        <w:rPr>
          <w:spacing w:val="-5"/>
        </w:rPr>
        <w:t xml:space="preserve"> </w:t>
      </w:r>
      <w:r>
        <w:t>on</w:t>
      </w:r>
      <w:r>
        <w:rPr>
          <w:spacing w:val="-4"/>
        </w:rPr>
        <w:t xml:space="preserve"> </w:t>
      </w:r>
      <w:r>
        <w:t>behalf</w:t>
      </w:r>
      <w:r>
        <w:rPr>
          <w:spacing w:val="-4"/>
        </w:rPr>
        <w:t xml:space="preserve"> </w:t>
      </w:r>
      <w:r>
        <w:t>of</w:t>
      </w:r>
      <w:r>
        <w:rPr>
          <w:spacing w:val="-4"/>
        </w:rPr>
        <w:t xml:space="preserve"> </w:t>
      </w:r>
      <w:r>
        <w:t>the</w:t>
      </w:r>
      <w:r>
        <w:rPr>
          <w:spacing w:val="-5"/>
        </w:rPr>
        <w:t xml:space="preserve"> </w:t>
      </w:r>
      <w:r>
        <w:t>providers,</w:t>
      </w:r>
      <w:r>
        <w:rPr>
          <w:spacing w:val="-4"/>
        </w:rPr>
        <w:t xml:space="preserve"> </w:t>
      </w:r>
      <w:r>
        <w:t>the</w:t>
      </w:r>
      <w:r>
        <w:rPr>
          <w:spacing w:val="-3"/>
        </w:rPr>
        <w:t xml:space="preserve"> </w:t>
      </w:r>
      <w:r>
        <w:t>requirements</w:t>
      </w:r>
      <w:r>
        <w:rPr>
          <w:spacing w:val="-4"/>
        </w:rPr>
        <w:t xml:space="preserve"> </w:t>
      </w:r>
      <w:r>
        <w:t>that</w:t>
      </w:r>
      <w:r>
        <w:rPr>
          <w:spacing w:val="-4"/>
        </w:rPr>
        <w:t xml:space="preserve"> </w:t>
      </w:r>
      <w:r>
        <w:t>facilities</w:t>
      </w:r>
      <w:r>
        <w:rPr>
          <w:spacing w:val="-4"/>
        </w:rPr>
        <w:t xml:space="preserve"> </w:t>
      </w:r>
      <w:r>
        <w:t>publicly</w:t>
      </w:r>
      <w:r>
        <w:rPr>
          <w:spacing w:val="-4"/>
        </w:rPr>
        <w:t xml:space="preserve"> </w:t>
      </w:r>
      <w:r>
        <w:t>post</w:t>
      </w:r>
      <w:r>
        <w:rPr>
          <w:spacing w:val="-4"/>
        </w:rPr>
        <w:t xml:space="preserve"> </w:t>
      </w:r>
      <w:r>
        <w:t>and</w:t>
      </w:r>
      <w:r>
        <w:rPr>
          <w:spacing w:val="-4"/>
        </w:rPr>
        <w:t xml:space="preserve"> </w:t>
      </w:r>
      <w:r>
        <w:t>make the disclosure publicly available through a public website, and for States to develop language to assist provi</w:t>
      </w:r>
      <w:r>
        <w:t>ders and facilities in fulfilling this disclosure requirement with respect to applicable state law protections.</w:t>
      </w:r>
    </w:p>
    <w:p w:rsidR="00B64E72" w14:paraId="20B2A7CE" w14:textId="77777777">
      <w:pPr>
        <w:pStyle w:val="BodyText"/>
        <w:spacing w:before="23"/>
      </w:pPr>
    </w:p>
    <w:p w:rsidR="00B64E72" w14:paraId="00DC5A8A" w14:textId="77777777">
      <w:pPr>
        <w:pStyle w:val="BodyText"/>
        <w:spacing w:line="247" w:lineRule="auto"/>
        <w:ind w:left="1507" w:right="1099" w:hanging="10"/>
      </w:pPr>
      <w:bookmarkStart w:id="388" w:name="For_the_data_collection_related_to_notic"/>
      <w:bookmarkEnd w:id="388"/>
      <w:r>
        <w:t>For the data collection related to notice and consent to waive balance billing protections, the three-year average burden has increased to approximately 4,934,425 hours from 3,916,750 hours,</w:t>
      </w:r>
      <w:r>
        <w:rPr>
          <w:spacing w:val="-3"/>
        </w:rPr>
        <w:t xml:space="preserve"> </w:t>
      </w:r>
      <w:r>
        <w:t>a</w:t>
      </w:r>
      <w:r>
        <w:rPr>
          <w:spacing w:val="-4"/>
        </w:rPr>
        <w:t xml:space="preserve"> </w:t>
      </w:r>
      <w:r>
        <w:t>total</w:t>
      </w:r>
      <w:r>
        <w:rPr>
          <w:spacing w:val="-3"/>
        </w:rPr>
        <w:t xml:space="preserve"> </w:t>
      </w:r>
      <w:r>
        <w:t>increase</w:t>
      </w:r>
      <w:r>
        <w:rPr>
          <w:spacing w:val="-4"/>
        </w:rPr>
        <w:t xml:space="preserve"> </w:t>
      </w:r>
      <w:r>
        <w:t>of approximately</w:t>
      </w:r>
      <w:r>
        <w:rPr>
          <w:spacing w:val="-3"/>
        </w:rPr>
        <w:t xml:space="preserve"> </w:t>
      </w:r>
      <w:r>
        <w:t>1,017,675</w:t>
      </w:r>
      <w:r>
        <w:rPr>
          <w:spacing w:val="-1"/>
        </w:rPr>
        <w:t xml:space="preserve"> </w:t>
      </w:r>
      <w:r>
        <w:t>hours.</w:t>
      </w:r>
      <w:r>
        <w:rPr>
          <w:spacing w:val="-3"/>
        </w:rPr>
        <w:t xml:space="preserve"> </w:t>
      </w:r>
      <w:r>
        <w:t>This</w:t>
      </w:r>
      <w:r>
        <w:rPr>
          <w:spacing w:val="-2"/>
        </w:rPr>
        <w:t xml:space="preserve"> </w:t>
      </w:r>
      <w:r>
        <w:t>change</w:t>
      </w:r>
      <w:r>
        <w:rPr>
          <w:spacing w:val="-4"/>
        </w:rPr>
        <w:t xml:space="preserve"> </w:t>
      </w:r>
      <w:r>
        <w:t>in</w:t>
      </w:r>
      <w:r>
        <w:rPr>
          <w:spacing w:val="-3"/>
        </w:rPr>
        <w:t xml:space="preserve"> </w:t>
      </w:r>
      <w:r>
        <w:t>burden</w:t>
      </w:r>
      <w:r>
        <w:rPr>
          <w:spacing w:val="-3"/>
        </w:rPr>
        <w:t xml:space="preserve"> </w:t>
      </w:r>
      <w:r>
        <w:t>is</w:t>
      </w:r>
      <w:r>
        <w:rPr>
          <w:spacing w:val="-3"/>
        </w:rPr>
        <w:t xml:space="preserve"> </w:t>
      </w:r>
      <w:r>
        <w:t>a</w:t>
      </w:r>
      <w:r>
        <w:rPr>
          <w:spacing w:val="-3"/>
        </w:rPr>
        <w:t xml:space="preserve"> </w:t>
      </w:r>
      <w:r>
        <w:t>result</w:t>
      </w:r>
      <w:r>
        <w:rPr>
          <w:spacing w:val="-3"/>
        </w:rPr>
        <w:t xml:space="preserve"> </w:t>
      </w:r>
      <w:r>
        <w:t>of the removal of one-time burden of 50,976 hours, incurred in 2021 by emergency departments and facilities to develop the notice and consent form, and has subsequently</w:t>
      </w:r>
      <w:r>
        <w:rPr>
          <w:spacing w:val="40"/>
        </w:rPr>
        <w:t xml:space="preserve"> </w:t>
      </w:r>
      <w:r>
        <w:t>been replaced by ongoing costs associated with providing the notice and consent form.</w:t>
      </w:r>
    </w:p>
    <w:p w:rsidR="00B64E72" w14:paraId="208A054D" w14:textId="77777777">
      <w:pPr>
        <w:pStyle w:val="BodyText"/>
        <w:spacing w:before="21"/>
      </w:pPr>
    </w:p>
    <w:p w:rsidR="00B64E72" w14:paraId="69FA120B" w14:textId="77777777">
      <w:pPr>
        <w:pStyle w:val="BodyText"/>
        <w:spacing w:line="247" w:lineRule="auto"/>
        <w:ind w:left="1507" w:right="1087" w:hanging="10"/>
      </w:pPr>
      <w:bookmarkStart w:id="389" w:name="For_the_data_collection-related_plan_and"/>
      <w:bookmarkEnd w:id="389"/>
      <w:r>
        <w:t>For the data collection-related plan and issuer disclosure on patient protections against balance billing, the three-year average burden has increased to 279,389 hours from approximately 187,285 hours, a total increase of approximately 92,104 hours. This change</w:t>
      </w:r>
      <w:r>
        <w:rPr>
          <w:spacing w:val="40"/>
        </w:rPr>
        <w:t xml:space="preserve"> </w:t>
      </w:r>
      <w:r>
        <w:t>in burden is a result of the removal of one-time burden of 2,984 hours, incurred in 2021 by plans</w:t>
      </w:r>
      <w:r>
        <w:rPr>
          <w:spacing w:val="-3"/>
        </w:rPr>
        <w:t xml:space="preserve"> </w:t>
      </w:r>
      <w:r>
        <w:t>and</w:t>
      </w:r>
      <w:r>
        <w:rPr>
          <w:spacing w:val="-3"/>
        </w:rPr>
        <w:t xml:space="preserve"> </w:t>
      </w:r>
      <w:r>
        <w:t>issuers</w:t>
      </w:r>
      <w:r>
        <w:rPr>
          <w:spacing w:val="-3"/>
        </w:rPr>
        <w:t xml:space="preserve"> </w:t>
      </w:r>
      <w:r>
        <w:t>to</w:t>
      </w:r>
      <w:r>
        <w:rPr>
          <w:spacing w:val="-3"/>
        </w:rPr>
        <w:t xml:space="preserve"> </w:t>
      </w:r>
      <w:r>
        <w:t>develop</w:t>
      </w:r>
      <w:r>
        <w:rPr>
          <w:spacing w:val="-3"/>
        </w:rPr>
        <w:t xml:space="preserve"> </w:t>
      </w:r>
      <w:r>
        <w:t>the</w:t>
      </w:r>
      <w:r>
        <w:rPr>
          <w:spacing w:val="-3"/>
        </w:rPr>
        <w:t xml:space="preserve"> </w:t>
      </w:r>
      <w:r>
        <w:t>notice,</w:t>
      </w:r>
      <w:r>
        <w:rPr>
          <w:spacing w:val="-3"/>
        </w:rPr>
        <w:t xml:space="preserve"> </w:t>
      </w:r>
      <w:r>
        <w:t>and</w:t>
      </w:r>
      <w:r>
        <w:rPr>
          <w:spacing w:val="-3"/>
        </w:rPr>
        <w:t xml:space="preserve"> </w:t>
      </w:r>
      <w:r>
        <w:t>has</w:t>
      </w:r>
      <w:r>
        <w:rPr>
          <w:spacing w:val="-3"/>
        </w:rPr>
        <w:t xml:space="preserve"> </w:t>
      </w:r>
      <w:r>
        <w:t>subsequently</w:t>
      </w:r>
      <w:r>
        <w:rPr>
          <w:spacing w:val="-3"/>
        </w:rPr>
        <w:t xml:space="preserve"> </w:t>
      </w:r>
      <w:r>
        <w:t>been</w:t>
      </w:r>
      <w:r>
        <w:rPr>
          <w:spacing w:val="-3"/>
        </w:rPr>
        <w:t xml:space="preserve"> </w:t>
      </w:r>
      <w:r>
        <w:t>replaced</w:t>
      </w:r>
      <w:r>
        <w:rPr>
          <w:spacing w:val="-1"/>
        </w:rPr>
        <w:t xml:space="preserve"> </w:t>
      </w:r>
      <w:r>
        <w:t>by</w:t>
      </w:r>
      <w:r>
        <w:rPr>
          <w:spacing w:val="-3"/>
        </w:rPr>
        <w:t xml:space="preserve"> </w:t>
      </w:r>
      <w:r>
        <w:t>ongoing</w:t>
      </w:r>
      <w:r>
        <w:rPr>
          <w:spacing w:val="-3"/>
        </w:rPr>
        <w:t xml:space="preserve"> </w:t>
      </w:r>
      <w:r>
        <w:t>costs associated with providing the notice along with the explanation of benefits.</w:t>
      </w:r>
    </w:p>
    <w:p w:rsidR="00B64E72" w14:paraId="399328BE" w14:textId="77777777">
      <w:pPr>
        <w:pStyle w:val="BodyText"/>
        <w:spacing w:before="20"/>
      </w:pPr>
    </w:p>
    <w:p w:rsidR="00B64E72" w14:paraId="5D8EE307" w14:textId="77777777">
      <w:pPr>
        <w:pStyle w:val="BodyText"/>
        <w:spacing w:line="249" w:lineRule="auto"/>
        <w:ind w:left="1507" w:right="1369" w:hanging="10"/>
      </w:pPr>
      <w:bookmarkStart w:id="390" w:name="In_aggregate,_the_change_in_burden_assoc"/>
      <w:bookmarkEnd w:id="390"/>
      <w:r>
        <w:t>In</w:t>
      </w:r>
      <w:r>
        <w:rPr>
          <w:spacing w:val="-2"/>
        </w:rPr>
        <w:t xml:space="preserve"> </w:t>
      </w:r>
      <w:r>
        <w:t>aggregate,</w:t>
      </w:r>
      <w:r>
        <w:rPr>
          <w:spacing w:val="-4"/>
        </w:rPr>
        <w:t xml:space="preserve"> </w:t>
      </w:r>
      <w:r>
        <w:t>the</w:t>
      </w:r>
      <w:r>
        <w:rPr>
          <w:spacing w:val="-3"/>
        </w:rPr>
        <w:t xml:space="preserve"> </w:t>
      </w:r>
      <w:r>
        <w:t>change</w:t>
      </w:r>
      <w:r>
        <w:rPr>
          <w:spacing w:val="-3"/>
        </w:rPr>
        <w:t xml:space="preserve"> </w:t>
      </w:r>
      <w:r>
        <w:t>in</w:t>
      </w:r>
      <w:r>
        <w:rPr>
          <w:spacing w:val="-4"/>
        </w:rPr>
        <w:t xml:space="preserve"> </w:t>
      </w:r>
      <w:r>
        <w:t>burden</w:t>
      </w:r>
      <w:r>
        <w:rPr>
          <w:spacing w:val="-4"/>
        </w:rPr>
        <w:t xml:space="preserve"> </w:t>
      </w:r>
      <w:r>
        <w:t>associated</w:t>
      </w:r>
      <w:r>
        <w:rPr>
          <w:spacing w:val="-3"/>
        </w:rPr>
        <w:t xml:space="preserve"> </w:t>
      </w:r>
      <w:r>
        <w:t>with</w:t>
      </w:r>
      <w:r>
        <w:rPr>
          <w:spacing w:val="-4"/>
        </w:rPr>
        <w:t xml:space="preserve"> </w:t>
      </w:r>
      <w:r>
        <w:t>changes</w:t>
      </w:r>
      <w:r>
        <w:rPr>
          <w:spacing w:val="-4"/>
        </w:rPr>
        <w:t xml:space="preserve"> </w:t>
      </w:r>
      <w:r>
        <w:t>in</w:t>
      </w:r>
      <w:r>
        <w:rPr>
          <w:spacing w:val="-4"/>
        </w:rPr>
        <w:t xml:space="preserve"> </w:t>
      </w:r>
      <w:r>
        <w:t>this</w:t>
      </w:r>
      <w:r>
        <w:rPr>
          <w:spacing w:val="-1"/>
        </w:rPr>
        <w:t xml:space="preserve"> </w:t>
      </w:r>
      <w:r>
        <w:t>information</w:t>
      </w:r>
      <w:r>
        <w:rPr>
          <w:spacing w:val="-4"/>
        </w:rPr>
        <w:t xml:space="preserve"> </w:t>
      </w:r>
      <w:r>
        <w:t>collection request is an increase in burden to approximately 6,006,654 hours from approximately 4,933,110 hours, an increase of 1,073,545 hours.</w:t>
      </w:r>
    </w:p>
    <w:p w:rsidR="00B64E72" w14:paraId="4DA873DC" w14:textId="77777777">
      <w:pPr>
        <w:pStyle w:val="BodyText"/>
        <w:spacing w:before="20"/>
      </w:pPr>
    </w:p>
    <w:p w:rsidR="00B64E72" w14:paraId="5271A37A" w14:textId="77777777">
      <w:pPr>
        <w:pStyle w:val="ListParagraph"/>
        <w:numPr>
          <w:ilvl w:val="1"/>
          <w:numId w:val="3"/>
        </w:numPr>
        <w:tabs>
          <w:tab w:val="left" w:pos="1488"/>
        </w:tabs>
        <w:rPr>
          <w:sz w:val="24"/>
          <w:u w:val="none"/>
        </w:rPr>
      </w:pPr>
      <w:bookmarkStart w:id="391" w:name="16._Publication/Tabulation_Dates__"/>
      <w:bookmarkEnd w:id="391"/>
      <w:r>
        <w:rPr>
          <w:sz w:val="24"/>
        </w:rPr>
        <w:t>Publication/Tabulation</w:t>
      </w:r>
      <w:r>
        <w:rPr>
          <w:spacing w:val="-3"/>
          <w:sz w:val="24"/>
        </w:rPr>
        <w:t xml:space="preserve"> </w:t>
      </w:r>
      <w:r>
        <w:rPr>
          <w:spacing w:val="-2"/>
          <w:sz w:val="24"/>
        </w:rPr>
        <w:t>Dates</w:t>
      </w:r>
    </w:p>
    <w:p w:rsidR="00B64E72" w14:paraId="6C995004" w14:textId="77777777">
      <w:pPr>
        <w:pStyle w:val="BodyText"/>
        <w:spacing w:before="43"/>
      </w:pPr>
    </w:p>
    <w:p w:rsidR="00B64E72" w14:paraId="509F9B58" w14:textId="77777777">
      <w:pPr>
        <w:pStyle w:val="BodyText"/>
        <w:spacing w:line="247" w:lineRule="auto"/>
        <w:ind w:left="1507" w:right="2088" w:hanging="10"/>
      </w:pPr>
      <w:bookmarkStart w:id="392" w:name="The_results_of_QPA_audits_are_publicly_a"/>
      <w:bookmarkEnd w:id="392"/>
      <w:r>
        <w:t xml:space="preserve">The results of QPA audits are publicly available at </w:t>
      </w:r>
      <w:bookmarkStart w:id="393" w:name="https://www.cms.gov/marketplace/private-"/>
      <w:bookmarkEnd w:id="393"/>
      <w:hyperlink r:id="rId25">
        <w:r>
          <w:rPr>
            <w:color w:val="0462C1"/>
            <w:spacing w:val="-2"/>
            <w:u w:val="single" w:color="0462C1"/>
          </w:rPr>
          <w:t>https://www.cms.gov/marketplace/private-health-insurance/consumer-protections-</w:t>
        </w:r>
      </w:hyperlink>
      <w:r>
        <w:rPr>
          <w:color w:val="0462C1"/>
          <w:spacing w:val="-2"/>
        </w:rPr>
        <w:t xml:space="preserve"> </w:t>
      </w:r>
      <w:hyperlink r:id="rId25">
        <w:r>
          <w:rPr>
            <w:color w:val="0462C1"/>
            <w:spacing w:val="-2"/>
            <w:u w:val="single" w:color="0462C1"/>
          </w:rPr>
          <w:t>enforcement</w:t>
        </w:r>
        <w:r>
          <w:rPr>
            <w:spacing w:val="-2"/>
          </w:rPr>
          <w:t>.</w:t>
        </w:r>
      </w:hyperlink>
    </w:p>
    <w:p w:rsidR="00B64E72" w14:paraId="16175C68" w14:textId="77777777">
      <w:pPr>
        <w:spacing w:before="7"/>
        <w:ind w:left="1618"/>
        <w:rPr>
          <w:sz w:val="24"/>
        </w:rPr>
      </w:pPr>
      <w:bookmarkStart w:id="394" w:name="__.__"/>
      <w:bookmarkEnd w:id="394"/>
      <w:r>
        <w:rPr>
          <w:spacing w:val="-10"/>
          <w:sz w:val="24"/>
        </w:rPr>
        <w:t>.</w:t>
      </w:r>
    </w:p>
    <w:p w:rsidR="00B64E72" w14:paraId="1940C8AB" w14:textId="77777777">
      <w:pPr>
        <w:pStyle w:val="BodyText"/>
        <w:spacing w:before="33"/>
      </w:pPr>
    </w:p>
    <w:p w:rsidR="00B64E72" w14:paraId="655EF527" w14:textId="77777777">
      <w:pPr>
        <w:pStyle w:val="ListParagraph"/>
        <w:numPr>
          <w:ilvl w:val="1"/>
          <w:numId w:val="3"/>
        </w:numPr>
        <w:tabs>
          <w:tab w:val="left" w:pos="1488"/>
        </w:tabs>
        <w:rPr>
          <w:sz w:val="24"/>
          <w:u w:val="none"/>
        </w:rPr>
      </w:pPr>
      <w:bookmarkStart w:id="395" w:name="17._Expiration_Date__"/>
      <w:bookmarkStart w:id="396" w:name="___"/>
      <w:bookmarkEnd w:id="395"/>
      <w:bookmarkEnd w:id="396"/>
      <w:r>
        <w:rPr>
          <w:sz w:val="24"/>
        </w:rPr>
        <w:t>Expiration</w:t>
      </w:r>
      <w:r>
        <w:rPr>
          <w:spacing w:val="-2"/>
          <w:sz w:val="24"/>
        </w:rPr>
        <w:t xml:space="preserve"> </w:t>
      </w:r>
      <w:r>
        <w:rPr>
          <w:spacing w:val="-4"/>
          <w:sz w:val="24"/>
        </w:rPr>
        <w:t>Date</w:t>
      </w:r>
    </w:p>
    <w:p w:rsidR="00B64E72" w14:paraId="06EFB961" w14:textId="77777777">
      <w:pPr>
        <w:pStyle w:val="BodyText"/>
        <w:spacing w:before="46"/>
      </w:pPr>
    </w:p>
    <w:p w:rsidR="00B64E72" w14:paraId="35A77A68" w14:textId="77777777">
      <w:pPr>
        <w:pStyle w:val="BodyText"/>
        <w:spacing w:before="1" w:line="247" w:lineRule="auto"/>
        <w:ind w:left="1507" w:right="1369" w:hanging="10"/>
      </w:pPr>
      <w:bookmarkStart w:id="397" w:name="The_expiration_date_will_be_displayed_on"/>
      <w:bookmarkEnd w:id="397"/>
      <w:r>
        <w:t>The</w:t>
      </w:r>
      <w:r>
        <w:rPr>
          <w:spacing w:val="-5"/>
        </w:rPr>
        <w:t xml:space="preserve"> </w:t>
      </w:r>
      <w:r>
        <w:t>expiration</w:t>
      </w:r>
      <w:r>
        <w:rPr>
          <w:spacing w:val="-3"/>
        </w:rPr>
        <w:t xml:space="preserve"> </w:t>
      </w:r>
      <w:r>
        <w:t>date</w:t>
      </w:r>
      <w:r>
        <w:rPr>
          <w:spacing w:val="-4"/>
        </w:rPr>
        <w:t xml:space="preserve"> </w:t>
      </w:r>
      <w:r>
        <w:t>will</w:t>
      </w:r>
      <w:r>
        <w:rPr>
          <w:spacing w:val="-3"/>
        </w:rPr>
        <w:t xml:space="preserve"> </w:t>
      </w:r>
      <w:r>
        <w:t>be</w:t>
      </w:r>
      <w:r>
        <w:rPr>
          <w:spacing w:val="-4"/>
        </w:rPr>
        <w:t xml:space="preserve"> </w:t>
      </w:r>
      <w:r>
        <w:t>displayed</w:t>
      </w:r>
      <w:r>
        <w:rPr>
          <w:spacing w:val="-3"/>
        </w:rPr>
        <w:t xml:space="preserve"> </w:t>
      </w:r>
      <w:r>
        <w:t>on</w:t>
      </w:r>
      <w:r>
        <w:rPr>
          <w:spacing w:val="-3"/>
        </w:rPr>
        <w:t xml:space="preserve"> </w:t>
      </w:r>
      <w:r>
        <w:t>the</w:t>
      </w:r>
      <w:r>
        <w:rPr>
          <w:spacing w:val="-3"/>
        </w:rPr>
        <w:t xml:space="preserve"> </w:t>
      </w:r>
      <w:r>
        <w:t>first</w:t>
      </w:r>
      <w:r>
        <w:rPr>
          <w:spacing w:val="-1"/>
        </w:rPr>
        <w:t xml:space="preserve"> </w:t>
      </w:r>
      <w:r>
        <w:t>page</w:t>
      </w:r>
      <w:r>
        <w:rPr>
          <w:spacing w:val="-4"/>
        </w:rPr>
        <w:t xml:space="preserve"> </w:t>
      </w:r>
      <w:r>
        <w:t>of</w:t>
      </w:r>
      <w:r>
        <w:rPr>
          <w:spacing w:val="-3"/>
        </w:rPr>
        <w:t xml:space="preserve"> </w:t>
      </w:r>
      <w:r>
        <w:t>each</w:t>
      </w:r>
      <w:r>
        <w:rPr>
          <w:spacing w:val="-3"/>
        </w:rPr>
        <w:t xml:space="preserve"> </w:t>
      </w:r>
      <w:r>
        <w:t>instrument</w:t>
      </w:r>
      <w:r>
        <w:rPr>
          <w:spacing w:val="-3"/>
        </w:rPr>
        <w:t xml:space="preserve"> </w:t>
      </w:r>
      <w:r>
        <w:t>(top,</w:t>
      </w:r>
      <w:r>
        <w:rPr>
          <w:spacing w:val="-3"/>
        </w:rPr>
        <w:t xml:space="preserve"> </w:t>
      </w:r>
      <w:r>
        <w:t xml:space="preserve">right-hand </w:t>
      </w:r>
      <w:r>
        <w:rPr>
          <w:spacing w:val="-2"/>
        </w:rPr>
        <w:t>corner).</w:t>
      </w:r>
    </w:p>
    <w:p w:rsidR="00B64E72" w14:paraId="750FBC26" w14:textId="77777777">
      <w:pPr>
        <w:pStyle w:val="BodyText"/>
        <w:spacing w:line="247" w:lineRule="auto"/>
        <w:sectPr>
          <w:pgSz w:w="12240" w:h="15840"/>
          <w:pgMar w:top="1360" w:right="360" w:bottom="1280" w:left="360" w:header="0" w:footer="1094" w:gutter="0"/>
          <w:cols w:space="720"/>
        </w:sectPr>
      </w:pPr>
    </w:p>
    <w:p w:rsidR="00B64E72" w14:paraId="77B1EBDF" w14:textId="77777777">
      <w:pPr>
        <w:spacing w:before="205"/>
        <w:ind w:left="1" w:right="1"/>
        <w:jc w:val="center"/>
        <w:rPr>
          <w:b/>
          <w:sz w:val="24"/>
        </w:rPr>
      </w:pPr>
      <w:bookmarkStart w:id="398" w:name="ATTACHMENTS:___"/>
      <w:bookmarkEnd w:id="398"/>
      <w:r>
        <w:rPr>
          <w:b/>
          <w:spacing w:val="-2"/>
          <w:sz w:val="24"/>
        </w:rPr>
        <w:t>ATTACHMENTS:</w:t>
      </w:r>
    </w:p>
    <w:p w:rsidR="00B64E72" w14:paraId="7FB2C3C4" w14:textId="77777777">
      <w:pPr>
        <w:pStyle w:val="BodyText"/>
        <w:rPr>
          <w:b/>
        </w:rPr>
      </w:pPr>
    </w:p>
    <w:p w:rsidR="00B64E72" w14:paraId="080D3CDA" w14:textId="77777777">
      <w:pPr>
        <w:pStyle w:val="BodyText"/>
        <w:rPr>
          <w:b/>
        </w:rPr>
      </w:pPr>
    </w:p>
    <w:p w:rsidR="00B64E72" w14:paraId="7EE43A67" w14:textId="77777777">
      <w:pPr>
        <w:pStyle w:val="BodyText"/>
        <w:spacing w:before="89"/>
        <w:rPr>
          <w:b/>
        </w:rPr>
      </w:pPr>
    </w:p>
    <w:p w:rsidR="00B64E72" w14:paraId="14A17F00" w14:textId="77777777">
      <w:pPr>
        <w:pStyle w:val="ListParagraph"/>
        <w:numPr>
          <w:ilvl w:val="0"/>
          <w:numId w:val="1"/>
        </w:numPr>
        <w:tabs>
          <w:tab w:val="left" w:pos="1531"/>
        </w:tabs>
        <w:spacing w:line="247" w:lineRule="auto"/>
        <w:ind w:right="1260"/>
        <w:rPr>
          <w:b/>
          <w:sz w:val="24"/>
          <w:u w:val="none"/>
        </w:rPr>
      </w:pPr>
      <w:bookmarkStart w:id="399" w:name="__"/>
      <w:bookmarkStart w:id="400" w:name="1."/>
      <w:bookmarkStart w:id="401" w:name="_Appendix_I:_Model_Disclosure_Notice_Reg"/>
      <w:bookmarkEnd w:id="399"/>
      <w:bookmarkEnd w:id="400"/>
      <w:bookmarkEnd w:id="401"/>
      <w:r>
        <w:rPr>
          <w:b/>
          <w:sz w:val="24"/>
          <w:u w:val="none"/>
        </w:rPr>
        <w:t>Ap</w:t>
      </w:r>
      <w:r>
        <w:rPr>
          <w:b/>
          <w:sz w:val="24"/>
          <w:u w:val="none"/>
        </w:rPr>
        <w:t>pendix</w:t>
      </w:r>
      <w:r>
        <w:rPr>
          <w:b/>
          <w:spacing w:val="-4"/>
          <w:sz w:val="24"/>
          <w:u w:val="none"/>
        </w:rPr>
        <w:t xml:space="preserve"> </w:t>
      </w:r>
      <w:r>
        <w:rPr>
          <w:b/>
          <w:sz w:val="24"/>
          <w:u w:val="none"/>
        </w:rPr>
        <w:t>I:</w:t>
      </w:r>
      <w:r>
        <w:rPr>
          <w:b/>
          <w:spacing w:val="-4"/>
          <w:sz w:val="24"/>
          <w:u w:val="none"/>
        </w:rPr>
        <w:t xml:space="preserve"> </w:t>
      </w:r>
      <w:r>
        <w:rPr>
          <w:b/>
          <w:sz w:val="24"/>
          <w:u w:val="none"/>
        </w:rPr>
        <w:t>Model</w:t>
      </w:r>
      <w:r>
        <w:rPr>
          <w:b/>
          <w:spacing w:val="-4"/>
          <w:sz w:val="24"/>
          <w:u w:val="none"/>
        </w:rPr>
        <w:t xml:space="preserve"> </w:t>
      </w:r>
      <w:r>
        <w:rPr>
          <w:b/>
          <w:sz w:val="24"/>
          <w:u w:val="none"/>
        </w:rPr>
        <w:t>Disclosure</w:t>
      </w:r>
      <w:r>
        <w:rPr>
          <w:b/>
          <w:spacing w:val="-5"/>
          <w:sz w:val="24"/>
          <w:u w:val="none"/>
        </w:rPr>
        <w:t xml:space="preserve"> </w:t>
      </w:r>
      <w:r>
        <w:rPr>
          <w:b/>
          <w:sz w:val="24"/>
          <w:u w:val="none"/>
        </w:rPr>
        <w:t>Notice</w:t>
      </w:r>
      <w:r>
        <w:rPr>
          <w:b/>
          <w:spacing w:val="-6"/>
          <w:sz w:val="24"/>
          <w:u w:val="none"/>
        </w:rPr>
        <w:t xml:space="preserve"> </w:t>
      </w:r>
      <w:r>
        <w:rPr>
          <w:b/>
          <w:sz w:val="24"/>
          <w:u w:val="none"/>
        </w:rPr>
        <w:t>Regarding</w:t>
      </w:r>
      <w:r>
        <w:rPr>
          <w:b/>
          <w:spacing w:val="-4"/>
          <w:sz w:val="24"/>
          <w:u w:val="none"/>
        </w:rPr>
        <w:t xml:space="preserve"> </w:t>
      </w:r>
      <w:r>
        <w:rPr>
          <w:b/>
          <w:sz w:val="24"/>
          <w:u w:val="none"/>
        </w:rPr>
        <w:t>Patient</w:t>
      </w:r>
      <w:r>
        <w:rPr>
          <w:b/>
          <w:spacing w:val="-4"/>
          <w:sz w:val="24"/>
          <w:u w:val="none"/>
        </w:rPr>
        <w:t xml:space="preserve"> </w:t>
      </w:r>
      <w:r>
        <w:rPr>
          <w:b/>
          <w:sz w:val="24"/>
          <w:u w:val="none"/>
        </w:rPr>
        <w:t>Protections</w:t>
      </w:r>
      <w:r>
        <w:rPr>
          <w:b/>
          <w:spacing w:val="-4"/>
          <w:sz w:val="24"/>
          <w:u w:val="none"/>
        </w:rPr>
        <w:t xml:space="preserve"> </w:t>
      </w:r>
      <w:r>
        <w:rPr>
          <w:b/>
          <w:sz w:val="24"/>
          <w:u w:val="none"/>
        </w:rPr>
        <w:t>Against</w:t>
      </w:r>
      <w:r>
        <w:rPr>
          <w:b/>
          <w:spacing w:val="-4"/>
          <w:sz w:val="24"/>
          <w:u w:val="none"/>
        </w:rPr>
        <w:t xml:space="preserve"> </w:t>
      </w:r>
      <w:r>
        <w:rPr>
          <w:b/>
          <w:sz w:val="24"/>
          <w:u w:val="none"/>
        </w:rPr>
        <w:t xml:space="preserve">Surprise </w:t>
      </w:r>
      <w:r>
        <w:rPr>
          <w:b/>
          <w:spacing w:val="-2"/>
          <w:sz w:val="24"/>
          <w:u w:val="none"/>
        </w:rPr>
        <w:t>Billing</w:t>
      </w:r>
    </w:p>
    <w:p w:rsidR="00B64E72" w14:paraId="1291E6F7" w14:textId="77777777">
      <w:pPr>
        <w:pStyle w:val="BodyText"/>
        <w:spacing w:before="17"/>
        <w:rPr>
          <w:b/>
        </w:rPr>
      </w:pPr>
    </w:p>
    <w:p w:rsidR="00B64E72" w14:paraId="02563B8B" w14:textId="77777777">
      <w:pPr>
        <w:pStyle w:val="ListParagraph"/>
        <w:numPr>
          <w:ilvl w:val="0"/>
          <w:numId w:val="1"/>
        </w:numPr>
        <w:tabs>
          <w:tab w:val="left" w:pos="1531"/>
        </w:tabs>
        <w:rPr>
          <w:b/>
          <w:sz w:val="24"/>
          <w:u w:val="none"/>
        </w:rPr>
      </w:pPr>
      <w:bookmarkStart w:id="402" w:name="_"/>
      <w:bookmarkStart w:id="403" w:name="2."/>
      <w:bookmarkStart w:id="404" w:name="_Appendix_II:_Standard_Notice_and_Consen"/>
      <w:bookmarkEnd w:id="402"/>
      <w:bookmarkEnd w:id="403"/>
      <w:bookmarkEnd w:id="404"/>
      <w:r>
        <w:rPr>
          <w:b/>
          <w:sz w:val="24"/>
          <w:u w:val="none"/>
        </w:rPr>
        <w:t>Appendix</w:t>
      </w:r>
      <w:r>
        <w:rPr>
          <w:b/>
          <w:spacing w:val="-2"/>
          <w:sz w:val="24"/>
          <w:u w:val="none"/>
        </w:rPr>
        <w:t xml:space="preserve"> </w:t>
      </w:r>
      <w:r>
        <w:rPr>
          <w:b/>
          <w:sz w:val="24"/>
          <w:u w:val="none"/>
        </w:rPr>
        <w:t>II:</w:t>
      </w:r>
      <w:r>
        <w:rPr>
          <w:b/>
          <w:spacing w:val="-1"/>
          <w:sz w:val="24"/>
          <w:u w:val="none"/>
        </w:rPr>
        <w:t xml:space="preserve"> </w:t>
      </w:r>
      <w:r>
        <w:rPr>
          <w:b/>
          <w:sz w:val="24"/>
          <w:u w:val="none"/>
        </w:rPr>
        <w:t>Standard</w:t>
      </w:r>
      <w:r>
        <w:rPr>
          <w:b/>
          <w:spacing w:val="-3"/>
          <w:sz w:val="24"/>
          <w:u w:val="none"/>
        </w:rPr>
        <w:t xml:space="preserve"> </w:t>
      </w:r>
      <w:r>
        <w:rPr>
          <w:b/>
          <w:sz w:val="24"/>
          <w:u w:val="none"/>
        </w:rPr>
        <w:t>Notice</w:t>
      </w:r>
      <w:r>
        <w:rPr>
          <w:b/>
          <w:spacing w:val="-3"/>
          <w:sz w:val="24"/>
          <w:u w:val="none"/>
        </w:rPr>
        <w:t xml:space="preserve"> </w:t>
      </w:r>
      <w:r>
        <w:rPr>
          <w:b/>
          <w:sz w:val="24"/>
          <w:u w:val="none"/>
        </w:rPr>
        <w:t>and</w:t>
      </w:r>
      <w:r>
        <w:rPr>
          <w:b/>
          <w:spacing w:val="-1"/>
          <w:sz w:val="24"/>
          <w:u w:val="none"/>
        </w:rPr>
        <w:t xml:space="preserve"> </w:t>
      </w:r>
      <w:r>
        <w:rPr>
          <w:b/>
          <w:sz w:val="24"/>
          <w:u w:val="none"/>
        </w:rPr>
        <w:t>Consent</w:t>
      </w:r>
      <w:r>
        <w:rPr>
          <w:b/>
          <w:spacing w:val="-1"/>
          <w:sz w:val="24"/>
          <w:u w:val="none"/>
        </w:rPr>
        <w:t xml:space="preserve"> </w:t>
      </w:r>
      <w:r>
        <w:rPr>
          <w:b/>
          <w:sz w:val="24"/>
          <w:u w:val="none"/>
        </w:rPr>
        <w:t>Documents</w:t>
      </w:r>
      <w:r>
        <w:rPr>
          <w:b/>
          <w:spacing w:val="-1"/>
          <w:sz w:val="24"/>
          <w:u w:val="none"/>
        </w:rPr>
        <w:t xml:space="preserve"> </w:t>
      </w:r>
      <w:r>
        <w:rPr>
          <w:b/>
          <w:sz w:val="24"/>
          <w:u w:val="none"/>
        </w:rPr>
        <w:t>Under</w:t>
      </w:r>
      <w:r>
        <w:rPr>
          <w:b/>
          <w:spacing w:val="-2"/>
          <w:sz w:val="24"/>
          <w:u w:val="none"/>
        </w:rPr>
        <w:t xml:space="preserve"> </w:t>
      </w:r>
      <w:r>
        <w:rPr>
          <w:b/>
          <w:sz w:val="24"/>
          <w:u w:val="none"/>
        </w:rPr>
        <w:t>the</w:t>
      </w:r>
      <w:r>
        <w:rPr>
          <w:b/>
          <w:spacing w:val="-1"/>
          <w:sz w:val="24"/>
          <w:u w:val="none"/>
        </w:rPr>
        <w:t xml:space="preserve"> </w:t>
      </w:r>
      <w:r>
        <w:rPr>
          <w:b/>
          <w:sz w:val="24"/>
          <w:u w:val="none"/>
        </w:rPr>
        <w:t>No</w:t>
      </w:r>
      <w:r>
        <w:rPr>
          <w:b/>
          <w:spacing w:val="-1"/>
          <w:sz w:val="24"/>
          <w:u w:val="none"/>
        </w:rPr>
        <w:t xml:space="preserve"> </w:t>
      </w:r>
      <w:r>
        <w:rPr>
          <w:b/>
          <w:sz w:val="24"/>
          <w:u w:val="none"/>
        </w:rPr>
        <w:t>Surprises</w:t>
      </w:r>
      <w:r>
        <w:rPr>
          <w:b/>
          <w:spacing w:val="-1"/>
          <w:sz w:val="24"/>
          <w:u w:val="none"/>
        </w:rPr>
        <w:t xml:space="preserve"> </w:t>
      </w:r>
      <w:r>
        <w:rPr>
          <w:b/>
          <w:spacing w:val="-5"/>
          <w:sz w:val="24"/>
          <w:u w:val="none"/>
        </w:rPr>
        <w:t>Act</w:t>
      </w:r>
    </w:p>
    <w:sectPr>
      <w:pgSz w:w="12240" w:h="15840"/>
      <w:pgMar w:top="1820" w:right="360" w:bottom="1280" w:left="360" w:header="0" w:footer="109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4E72" w14:paraId="46052A13"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6695693</wp:posOffset>
              </wp:positionH>
              <wp:positionV relativeFrom="page">
                <wp:posOffset>9223789</wp:posOffset>
              </wp:positionV>
              <wp:extent cx="2159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900" cy="194310"/>
                      </a:xfrm>
                      <a:prstGeom prst="rect">
                        <a:avLst/>
                      </a:prstGeom>
                    </wps:spPr>
                    <wps:txbx>
                      <w:txbxContent>
                        <w:p w:rsidR="00B64E72" w14:textId="77777777">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7pt;height:15.3pt;margin-top:726.3pt;margin-left:527.2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B64E72" w14:paraId="083C0676" w14:textId="77777777">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B5688F"/>
    <w:multiLevelType w:val="hybridMultilevel"/>
    <w:tmpl w:val="EFAC4068"/>
    <w:lvl w:ilvl="0">
      <w:start w:val="1"/>
      <w:numFmt w:val="decimal"/>
      <w:lvlText w:val="%1."/>
      <w:lvlJc w:val="left"/>
      <w:pPr>
        <w:ind w:left="223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168" w:hanging="360"/>
      </w:pPr>
      <w:rPr>
        <w:rFonts w:hint="default"/>
        <w:lang w:val="en-US" w:eastAsia="en-US" w:bidi="ar-SA"/>
      </w:rPr>
    </w:lvl>
    <w:lvl w:ilvl="2">
      <w:start w:val="0"/>
      <w:numFmt w:val="bullet"/>
      <w:lvlText w:val="•"/>
      <w:lvlJc w:val="left"/>
      <w:pPr>
        <w:ind w:left="4096" w:hanging="360"/>
      </w:pPr>
      <w:rPr>
        <w:rFonts w:hint="default"/>
        <w:lang w:val="en-US" w:eastAsia="en-US" w:bidi="ar-SA"/>
      </w:rPr>
    </w:lvl>
    <w:lvl w:ilvl="3">
      <w:start w:val="0"/>
      <w:numFmt w:val="bullet"/>
      <w:lvlText w:val="•"/>
      <w:lvlJc w:val="left"/>
      <w:pPr>
        <w:ind w:left="5024" w:hanging="360"/>
      </w:pPr>
      <w:rPr>
        <w:rFonts w:hint="default"/>
        <w:lang w:val="en-US" w:eastAsia="en-US" w:bidi="ar-SA"/>
      </w:rPr>
    </w:lvl>
    <w:lvl w:ilvl="4">
      <w:start w:val="0"/>
      <w:numFmt w:val="bullet"/>
      <w:lvlText w:val="•"/>
      <w:lvlJc w:val="left"/>
      <w:pPr>
        <w:ind w:left="5952" w:hanging="360"/>
      </w:pPr>
      <w:rPr>
        <w:rFonts w:hint="default"/>
        <w:lang w:val="en-US" w:eastAsia="en-US" w:bidi="ar-SA"/>
      </w:rPr>
    </w:lvl>
    <w:lvl w:ilvl="5">
      <w:start w:val="0"/>
      <w:numFmt w:val="bullet"/>
      <w:lvlText w:val="•"/>
      <w:lvlJc w:val="left"/>
      <w:pPr>
        <w:ind w:left="6880" w:hanging="360"/>
      </w:pPr>
      <w:rPr>
        <w:rFonts w:hint="default"/>
        <w:lang w:val="en-US" w:eastAsia="en-US" w:bidi="ar-SA"/>
      </w:rPr>
    </w:lvl>
    <w:lvl w:ilvl="6">
      <w:start w:val="0"/>
      <w:numFmt w:val="bullet"/>
      <w:lvlText w:val="•"/>
      <w:lvlJc w:val="left"/>
      <w:pPr>
        <w:ind w:left="7808" w:hanging="360"/>
      </w:pPr>
      <w:rPr>
        <w:rFonts w:hint="default"/>
        <w:lang w:val="en-US" w:eastAsia="en-US" w:bidi="ar-SA"/>
      </w:rPr>
    </w:lvl>
    <w:lvl w:ilvl="7">
      <w:start w:val="0"/>
      <w:numFmt w:val="bullet"/>
      <w:lvlText w:val="•"/>
      <w:lvlJc w:val="left"/>
      <w:pPr>
        <w:ind w:left="8736" w:hanging="360"/>
      </w:pPr>
      <w:rPr>
        <w:rFonts w:hint="default"/>
        <w:lang w:val="en-US" w:eastAsia="en-US" w:bidi="ar-SA"/>
      </w:rPr>
    </w:lvl>
    <w:lvl w:ilvl="8">
      <w:start w:val="0"/>
      <w:numFmt w:val="bullet"/>
      <w:lvlText w:val="•"/>
      <w:lvlJc w:val="left"/>
      <w:pPr>
        <w:ind w:left="9664" w:hanging="360"/>
      </w:pPr>
      <w:rPr>
        <w:rFonts w:hint="default"/>
        <w:lang w:val="en-US" w:eastAsia="en-US" w:bidi="ar-SA"/>
      </w:rPr>
    </w:lvl>
  </w:abstractNum>
  <w:abstractNum w:abstractNumId="1">
    <w:nsid w:val="12EE5DA8"/>
    <w:multiLevelType w:val="hybridMultilevel"/>
    <w:tmpl w:val="70643A94"/>
    <w:lvl w:ilvl="0">
      <w:start w:val="1"/>
      <w:numFmt w:val="decimal"/>
      <w:lvlText w:val="%1."/>
      <w:lvlJc w:val="left"/>
      <w:pPr>
        <w:ind w:left="1531"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2538" w:hanging="360"/>
      </w:pPr>
      <w:rPr>
        <w:rFonts w:hint="default"/>
        <w:lang w:val="en-US" w:eastAsia="en-US" w:bidi="ar-SA"/>
      </w:rPr>
    </w:lvl>
    <w:lvl w:ilvl="2">
      <w:start w:val="0"/>
      <w:numFmt w:val="bullet"/>
      <w:lvlText w:val="•"/>
      <w:lvlJc w:val="left"/>
      <w:pPr>
        <w:ind w:left="3536" w:hanging="360"/>
      </w:pPr>
      <w:rPr>
        <w:rFonts w:hint="default"/>
        <w:lang w:val="en-US" w:eastAsia="en-US" w:bidi="ar-SA"/>
      </w:rPr>
    </w:lvl>
    <w:lvl w:ilvl="3">
      <w:start w:val="0"/>
      <w:numFmt w:val="bullet"/>
      <w:lvlText w:val="•"/>
      <w:lvlJc w:val="left"/>
      <w:pPr>
        <w:ind w:left="4534" w:hanging="360"/>
      </w:pPr>
      <w:rPr>
        <w:rFonts w:hint="default"/>
        <w:lang w:val="en-US" w:eastAsia="en-US" w:bidi="ar-SA"/>
      </w:rPr>
    </w:lvl>
    <w:lvl w:ilvl="4">
      <w:start w:val="0"/>
      <w:numFmt w:val="bullet"/>
      <w:lvlText w:val="•"/>
      <w:lvlJc w:val="left"/>
      <w:pPr>
        <w:ind w:left="5532" w:hanging="360"/>
      </w:pPr>
      <w:rPr>
        <w:rFonts w:hint="default"/>
        <w:lang w:val="en-US" w:eastAsia="en-US" w:bidi="ar-SA"/>
      </w:rPr>
    </w:lvl>
    <w:lvl w:ilvl="5">
      <w:start w:val="0"/>
      <w:numFmt w:val="bullet"/>
      <w:lvlText w:val="•"/>
      <w:lvlJc w:val="left"/>
      <w:pPr>
        <w:ind w:left="6530" w:hanging="360"/>
      </w:pPr>
      <w:rPr>
        <w:rFonts w:hint="default"/>
        <w:lang w:val="en-US" w:eastAsia="en-US" w:bidi="ar-SA"/>
      </w:rPr>
    </w:lvl>
    <w:lvl w:ilvl="6">
      <w:start w:val="0"/>
      <w:numFmt w:val="bullet"/>
      <w:lvlText w:val="•"/>
      <w:lvlJc w:val="left"/>
      <w:pPr>
        <w:ind w:left="7528" w:hanging="360"/>
      </w:pPr>
      <w:rPr>
        <w:rFonts w:hint="default"/>
        <w:lang w:val="en-US" w:eastAsia="en-US" w:bidi="ar-SA"/>
      </w:rPr>
    </w:lvl>
    <w:lvl w:ilvl="7">
      <w:start w:val="0"/>
      <w:numFmt w:val="bullet"/>
      <w:lvlText w:val="•"/>
      <w:lvlJc w:val="left"/>
      <w:pPr>
        <w:ind w:left="8526" w:hanging="360"/>
      </w:pPr>
      <w:rPr>
        <w:rFonts w:hint="default"/>
        <w:lang w:val="en-US" w:eastAsia="en-US" w:bidi="ar-SA"/>
      </w:rPr>
    </w:lvl>
    <w:lvl w:ilvl="8">
      <w:start w:val="0"/>
      <w:numFmt w:val="bullet"/>
      <w:lvlText w:val="•"/>
      <w:lvlJc w:val="left"/>
      <w:pPr>
        <w:ind w:left="9524" w:hanging="360"/>
      </w:pPr>
      <w:rPr>
        <w:rFonts w:hint="default"/>
        <w:lang w:val="en-US" w:eastAsia="en-US" w:bidi="ar-SA"/>
      </w:rPr>
    </w:lvl>
  </w:abstractNum>
  <w:abstractNum w:abstractNumId="2">
    <w:nsid w:val="36121AF1"/>
    <w:multiLevelType w:val="hybridMultilevel"/>
    <w:tmpl w:val="72F49E50"/>
    <w:lvl w:ilvl="0">
      <w:start w:val="1"/>
      <w:numFmt w:val="upperLetter"/>
      <w:lvlText w:val="%1."/>
      <w:lvlJc w:val="left"/>
      <w:pPr>
        <w:ind w:left="1368" w:hanging="293"/>
        <w:jc w:val="left"/>
      </w:pPr>
      <w:rPr>
        <w:rFonts w:ascii="Times New Roman" w:eastAsia="Times New Roman" w:hAnsi="Times New Roman" w:cs="Times New Roman" w:hint="default"/>
        <w:b/>
        <w:bCs/>
        <w:i w:val="0"/>
        <w:iCs w:val="0"/>
        <w:spacing w:val="-1"/>
        <w:w w:val="91"/>
        <w:sz w:val="24"/>
        <w:szCs w:val="24"/>
        <w:u w:val="single" w:color="000000"/>
        <w:lang w:val="en-US" w:eastAsia="en-US" w:bidi="ar-SA"/>
      </w:rPr>
    </w:lvl>
    <w:lvl w:ilvl="1">
      <w:start w:val="1"/>
      <w:numFmt w:val="decimal"/>
      <w:lvlText w:val="%2."/>
      <w:lvlJc w:val="left"/>
      <w:pPr>
        <w:ind w:left="1488" w:hanging="4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223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340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720" w:hanging="360"/>
      </w:pPr>
      <w:rPr>
        <w:rFonts w:hint="default"/>
        <w:lang w:val="en-US" w:eastAsia="en-US" w:bidi="ar-SA"/>
      </w:rPr>
    </w:lvl>
    <w:lvl w:ilvl="6">
      <w:start w:val="0"/>
      <w:numFmt w:val="bullet"/>
      <w:lvlText w:val="•"/>
      <w:lvlJc w:val="left"/>
      <w:pPr>
        <w:ind w:left="6880"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9200" w:hanging="360"/>
      </w:pPr>
      <w:rPr>
        <w:rFonts w:hint="default"/>
        <w:lang w:val="en-US" w:eastAsia="en-US" w:bidi="ar-SA"/>
      </w:rPr>
    </w:lvl>
  </w:abstractNum>
  <w:num w:numId="1" w16cid:durableId="1253080985">
    <w:abstractNumId w:val="1"/>
  </w:num>
  <w:num w:numId="2" w16cid:durableId="1778406869">
    <w:abstractNumId w:val="0"/>
  </w:num>
  <w:num w:numId="3" w16cid:durableId="1527861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E72"/>
    <w:rsid w:val="004F58A6"/>
    <w:rsid w:val="00B64E72"/>
    <w:rsid w:val="00F502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A21B79"/>
  <w15:docId w15:val="{3E2D22DE-0799-41E6-81C2-45CAF2D1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22" w:right="1369" w:hanging="1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88" w:hanging="420"/>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mmonwealthfund.org/sites/default/files/2021-03/Hoadley_state_balance_billing_protections_table_02052021.pdf" TargetMode="External" /><Relationship Id="rId11" Type="http://schemas.openxmlformats.org/officeDocument/2006/relationships/hyperlink" Target="https://datatools.ahrq.gov/hcup-fast-stats?count=2&amp;tab=hcupfsis&amp;type=subtab" TargetMode="External" /><Relationship Id="rId12" Type="http://schemas.openxmlformats.org/officeDocument/2006/relationships/hyperlink" Target="https://www.healthsystemtracker.org/brief/surprise-bills-vary-by-diagnosis-and-type-of-admission/" TargetMode="External" /><Relationship Id="rId13" Type="http://schemas.openxmlformats.org/officeDocument/2006/relationships/hyperlink" Target="http://www.cdc.gov/nchs/data/ahcd/namcs_summary/2016_namcs_web_tables.pdf" TargetMode="External" /><Relationship Id="rId14" Type="http://schemas.openxmlformats.org/officeDocument/2006/relationships/hyperlink" Target="https://www.dol.gov/sites/dolgov/files/EBSA/researchers/data/health-and-welfare/health-insurance-coverage-bulletin-2020.pdf" TargetMode="External" /><Relationship Id="rId15" Type="http://schemas.openxmlformats.org/officeDocument/2006/relationships/hyperlink" Target="https://healthcostinstitute.org/emergency-room/air-ambulances-10-year-trends-in-costs-and-use.%20In%202017" TargetMode="External" /><Relationship Id="rId16" Type="http://schemas.openxmlformats.org/officeDocument/2006/relationships/hyperlink" Target="https://www.gao.gov/assets/gao-19-292.pdf" TargetMode="External" /><Relationship Id="rId17" Type="http://schemas.openxmlformats.org/officeDocument/2006/relationships/hyperlink" Target="http://www.census.gov/data/tables/2022/econ/gus/2022-governments.html)" TargetMode="External" /><Relationship Id="rId18" Type="http://schemas.openxmlformats.org/officeDocument/2006/relationships/hyperlink" Target="http://www.aha.org/statistics/fast-facts-us-hospitals" TargetMode="External" /><Relationship Id="rId19" Type="http://schemas.openxmlformats.org/officeDocument/2006/relationships/hyperlink" Target="http://www.emnet-usa.org/research/studies/nedi/nedi2018/" TargetMode="External" /><Relationship Id="rId2" Type="http://schemas.openxmlformats.org/officeDocument/2006/relationships/webSettings" Target="webSettings.xml" /><Relationship Id="rId20" Type="http://schemas.openxmlformats.org/officeDocument/2006/relationships/hyperlink" Target="https://www.cdc.gov/nchs/fastats/physician-visits.htm" TargetMode="External" /><Relationship Id="rId21" Type="http://schemas.openxmlformats.org/officeDocument/2006/relationships/hyperlink" Target="https://www.kff.org/health-costs/poll-finding/data-note-public-worries-about-and-experience-with-surprise-medical-bills/" TargetMode="External" /><Relationship Id="rId22" Type="http://schemas.openxmlformats.org/officeDocument/2006/relationships/hyperlink" Target="https://www.ntia.doc.gov/blog/2020/more-half-american-households-used-internet-health-related-activities-2019-ntia-data-show" TargetMode="External" /><Relationship Id="rId23" Type="http://schemas.openxmlformats.org/officeDocument/2006/relationships/hyperlink" Target="http://www.opm.gov/policy-data-oversight/pay-" TargetMode="External" /><Relationship Id="rId24" Type="http://schemas.openxmlformats.org/officeDocument/2006/relationships/hyperlink" Target="https://www.opm.gov/policy-data-oversight/pay-leave/salaries-wages/salary-tables/pdf/2022/DCB.pdf" TargetMode="External" /><Relationship Id="rId25" Type="http://schemas.openxmlformats.org/officeDocument/2006/relationships/hyperlink" Target="https://www.cms.gov/marketplace/private-health-insurance/consumer-protections-enforcement"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cms.gov/CCIIO/Programs-and-Initiatives/Other-Insurance-Protections/CAA" TargetMode="External" /><Relationship Id="rId6" Type="http://schemas.openxmlformats.org/officeDocument/2006/relationships/hyperlink" Target="https://www.census.gov/data/tables/2017/econ/susb/2017-susb-annual.html" TargetMode="External" /><Relationship Id="rId7" Type="http://schemas.openxmlformats.org/officeDocument/2006/relationships/hyperlink" Target="https://www.bls.gov/oes/current/oes_nat.htm" TargetMode="External" /><Relationship Id="rId8" Type="http://schemas.openxmlformats.org/officeDocument/2006/relationships/hyperlink" Target="https://www.bls.gov/oes/2017/may/oes_stru.htm" TargetMode="External" /><Relationship Id="rId9" Type="http://schemas.openxmlformats.org/officeDocument/2006/relationships/hyperlink" Target="https://www.cms.gov/CCIIO/Resources/Data-Resources/ml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12978</Words>
  <Characters>73980</Characters>
  <Application>Microsoft Office Word</Application>
  <DocSecurity>0</DocSecurity>
  <Lines>616</Lines>
  <Paragraphs>173</Paragraphs>
  <ScaleCrop>false</ScaleCrop>
  <Company>Center For Medicaid Services</Company>
  <LinksUpToDate>false</LinksUpToDate>
  <CharactersWithSpaces>86785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PRA Renewal</dc:title>
  <dc:subject>Health Reimbursement Arrangements</dc:subject>
  <dc:creator>CMS/CCIIO</dc:creator>
  <cp:keywords>Account-Based Group Health Plans</cp:keywords>
  <cp:lastModifiedBy>Parham, William (CMS/OSORA)</cp:lastModifiedBy>
  <cp:revision>2</cp:revision>
  <dcterms:created xsi:type="dcterms:W3CDTF">2025-06-06T14:42:00Z</dcterms:created>
  <dcterms:modified xsi:type="dcterms:W3CDTF">2025-06-06T14:44:00Z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for Microsoft 365</vt:lpwstr>
  </property>
  <property fmtid="{D5CDD505-2E9C-101B-9397-08002B2CF9AE}" pid="4" name="LastSaved">
    <vt:filetime>2025-06-06T00:00:00Z</vt:filetime>
  </property>
  <property fmtid="{D5CDD505-2E9C-101B-9397-08002B2CF9AE}" pid="5" name="Producer">
    <vt:lpwstr>Microsoft® Word for Microsoft 365</vt:lpwstr>
  </property>
</Properties>
</file>