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7BED" w:rsidP="00C17BED" w14:paraId="2F4746EE" w14:textId="77777777">
      <w:pPr>
        <w:tabs>
          <w:tab w:val="left" w:pos="360"/>
          <w:tab w:val="left" w:pos="450"/>
          <w:tab w:val="left" w:pos="720"/>
        </w:tabs>
        <w:suppressAutoHyphens/>
        <w:spacing w:line="240" w:lineRule="atLeast"/>
        <w:jc w:val="center"/>
        <w:rPr>
          <w:b/>
          <w:bCs/>
          <w:sz w:val="22"/>
          <w:szCs w:val="22"/>
        </w:rPr>
      </w:pPr>
      <w:r w:rsidRPr="00C17BED">
        <w:rPr>
          <w:b/>
          <w:bCs/>
          <w:sz w:val="22"/>
          <w:szCs w:val="22"/>
        </w:rPr>
        <w:t>SUPPORTING STATEMENT FOR</w:t>
      </w:r>
      <w:r>
        <w:rPr>
          <w:b/>
          <w:bCs/>
          <w:sz w:val="22"/>
          <w:szCs w:val="22"/>
        </w:rPr>
        <w:t xml:space="preserve"> </w:t>
      </w:r>
      <w:r w:rsidRPr="00C17BED">
        <w:rPr>
          <w:b/>
          <w:bCs/>
          <w:sz w:val="22"/>
          <w:szCs w:val="22"/>
        </w:rPr>
        <w:t xml:space="preserve">FORM CMS-2552-10 </w:t>
      </w:r>
    </w:p>
    <w:p w:rsidR="00D2358D" w:rsidRPr="00C17BED" w:rsidP="00C17BED" w14:paraId="1772AF0E" w14:textId="61DB25D5">
      <w:pPr>
        <w:tabs>
          <w:tab w:val="left" w:pos="360"/>
          <w:tab w:val="left" w:pos="450"/>
          <w:tab w:val="left" w:pos="720"/>
        </w:tabs>
        <w:suppressAutoHyphens/>
        <w:spacing w:line="240" w:lineRule="atLeast"/>
        <w:jc w:val="center"/>
        <w:rPr>
          <w:b/>
          <w:bCs/>
          <w:sz w:val="22"/>
          <w:szCs w:val="22"/>
        </w:rPr>
      </w:pPr>
      <w:r w:rsidRPr="00C17BED">
        <w:rPr>
          <w:b/>
          <w:bCs/>
          <w:sz w:val="22"/>
          <w:szCs w:val="22"/>
        </w:rPr>
        <w:t>HOSPITAL AND HOSPITAL HEALTH CARE COMPLEX COST REPORT</w:t>
      </w:r>
    </w:p>
    <w:p w:rsidR="00D3779E" w:rsidRPr="00406C63" w:rsidP="005971BA" w14:paraId="662504A2" w14:textId="77777777">
      <w:pPr>
        <w:widowControl/>
        <w:tabs>
          <w:tab w:val="left" w:pos="720"/>
          <w:tab w:val="center" w:pos="4752"/>
          <w:tab w:val="left" w:pos="5040"/>
          <w:tab w:val="left" w:pos="5760"/>
          <w:tab w:val="left" w:pos="6480"/>
          <w:tab w:val="left" w:pos="7200"/>
          <w:tab w:val="left" w:pos="7920"/>
          <w:tab w:val="left" w:pos="8640"/>
          <w:tab w:val="left" w:pos="9360"/>
        </w:tabs>
        <w:jc w:val="center"/>
        <w:rPr>
          <w:sz w:val="29"/>
          <w:szCs w:val="29"/>
        </w:rPr>
      </w:pPr>
    </w:p>
    <w:p w:rsidR="00D2358D" w:rsidRPr="00406C63" w:rsidP="005410B1" w14:paraId="25B25C1E" w14:textId="77777777">
      <w:pPr>
        <w:pStyle w:val="Heading1"/>
        <w:tabs>
          <w:tab w:val="left" w:pos="360"/>
        </w:tabs>
        <w:rPr>
          <w:sz w:val="22"/>
          <w:szCs w:val="22"/>
          <w:u w:val="single"/>
        </w:rPr>
      </w:pPr>
      <w:r w:rsidRPr="00406C63">
        <w:rPr>
          <w:sz w:val="22"/>
          <w:szCs w:val="22"/>
        </w:rPr>
        <w:t>A.</w:t>
      </w:r>
      <w:r w:rsidRPr="00406C63">
        <w:rPr>
          <w:sz w:val="22"/>
          <w:szCs w:val="22"/>
        </w:rPr>
        <w:tab/>
      </w:r>
      <w:r w:rsidRPr="00406C63">
        <w:rPr>
          <w:sz w:val="22"/>
          <w:szCs w:val="22"/>
          <w:u w:val="single"/>
        </w:rPr>
        <w:t>Background</w:t>
      </w:r>
    </w:p>
    <w:p w:rsidR="00D2358D" w:rsidRPr="00406C63" w:rsidP="005410B1" w14:paraId="4684AEEF" w14:textId="77777777">
      <w:pPr>
        <w:widowControl/>
        <w:tabs>
          <w:tab w:val="left" w:pos="360"/>
        </w:tabs>
        <w:rPr>
          <w:sz w:val="22"/>
          <w:szCs w:val="22"/>
        </w:rPr>
      </w:pPr>
    </w:p>
    <w:p w:rsidR="0050754B" w:rsidRPr="00C17BED" w:rsidP="005410B1" w14:paraId="78811002" w14:textId="67C6C9C0">
      <w:pPr>
        <w:rPr>
          <w:sz w:val="22"/>
          <w:szCs w:val="22"/>
        </w:rPr>
      </w:pPr>
      <w:r w:rsidRPr="00C17BED">
        <w:rPr>
          <w:sz w:val="22"/>
          <w:szCs w:val="22"/>
        </w:rPr>
        <w:t xml:space="preserve">CMS is requesting the Office of Management and Budget review and approve this </w:t>
      </w:r>
      <w:r w:rsidR="007272FD">
        <w:rPr>
          <w:sz w:val="22"/>
          <w:szCs w:val="22"/>
        </w:rPr>
        <w:t>revision</w:t>
      </w:r>
      <w:r w:rsidRPr="00C17BED">
        <w:rPr>
          <w:sz w:val="22"/>
          <w:szCs w:val="22"/>
        </w:rPr>
        <w:t xml:space="preserve"> to the Form CMS-2552-10, Hospital and Hospital Health Care Complex Cost Report</w:t>
      </w:r>
      <w:r w:rsidR="00BA5817">
        <w:rPr>
          <w:sz w:val="22"/>
          <w:szCs w:val="22"/>
        </w:rPr>
        <w:t xml:space="preserve"> (hospital cost report)</w:t>
      </w:r>
      <w:r w:rsidRPr="00C17BED">
        <w:rPr>
          <w:sz w:val="22"/>
          <w:szCs w:val="22"/>
        </w:rPr>
        <w:t xml:space="preserve">.  </w:t>
      </w:r>
      <w:r w:rsidR="00C4559B">
        <w:rPr>
          <w:sz w:val="22"/>
          <w:szCs w:val="22"/>
        </w:rPr>
        <w:t xml:space="preserve">Hospitals </w:t>
      </w:r>
      <w:r w:rsidRPr="00C17BED" w:rsidR="00C4559B">
        <w:rPr>
          <w:sz w:val="22"/>
          <w:szCs w:val="22"/>
        </w:rPr>
        <w:t>participating in the Medicare program</w:t>
      </w:r>
      <w:r w:rsidR="00C4559B">
        <w:rPr>
          <w:sz w:val="22"/>
          <w:szCs w:val="22"/>
        </w:rPr>
        <w:t xml:space="preserve"> </w:t>
      </w:r>
      <w:r w:rsidR="00BA5817">
        <w:rPr>
          <w:sz w:val="22"/>
          <w:szCs w:val="22"/>
        </w:rPr>
        <w:t>submit</w:t>
      </w:r>
      <w:r w:rsidR="00C4559B">
        <w:rPr>
          <w:sz w:val="22"/>
          <w:szCs w:val="22"/>
        </w:rPr>
        <w:t xml:space="preserve"> t</w:t>
      </w:r>
      <w:r w:rsidRPr="00C17BED">
        <w:rPr>
          <w:sz w:val="22"/>
          <w:szCs w:val="22"/>
        </w:rPr>
        <w:t xml:space="preserve">hese cost reports annually to determine the reasonable costs incurred to provide medical services to beneficiaries. </w:t>
      </w:r>
    </w:p>
    <w:p w:rsidR="0050754B" w:rsidRPr="00C17BED" w:rsidP="005410B1" w14:paraId="0A502819" w14:textId="77777777">
      <w:pPr>
        <w:rPr>
          <w:sz w:val="24"/>
        </w:rPr>
      </w:pPr>
    </w:p>
    <w:p w:rsidR="00130589" w:rsidP="005410B1" w14:paraId="1231945E" w14:textId="3C96FEBD">
      <w:pPr>
        <w:pStyle w:val="Default"/>
        <w:rPr>
          <w:rFonts w:ascii="Times New Roman" w:hAnsi="Times New Roman" w:cs="Times New Roman"/>
          <w:sz w:val="22"/>
          <w:szCs w:val="22"/>
        </w:rPr>
      </w:pPr>
      <w:r w:rsidRPr="00C17BED">
        <w:rPr>
          <w:rFonts w:ascii="Times New Roman" w:hAnsi="Times New Roman" w:cs="Times New Roman"/>
          <w:sz w:val="22"/>
          <w:szCs w:val="22"/>
        </w:rPr>
        <w:t xml:space="preserve">The revisions made to the hospital cost report </w:t>
      </w:r>
      <w:r w:rsidR="00BA5817">
        <w:rPr>
          <w:rFonts w:ascii="Times New Roman" w:hAnsi="Times New Roman" w:cs="Times New Roman"/>
          <w:sz w:val="22"/>
          <w:szCs w:val="22"/>
        </w:rPr>
        <w:t xml:space="preserve">update the forms and instructions currently in use to </w:t>
      </w:r>
      <w:r w:rsidR="00510698">
        <w:rPr>
          <w:rFonts w:ascii="Times New Roman" w:hAnsi="Times New Roman" w:cs="Times New Roman"/>
          <w:sz w:val="22"/>
          <w:szCs w:val="22"/>
        </w:rPr>
        <w:t>subsume</w:t>
      </w:r>
      <w:r w:rsidR="0024519F">
        <w:rPr>
          <w:rFonts w:ascii="Times New Roman" w:hAnsi="Times New Roman" w:cs="Times New Roman"/>
          <w:sz w:val="22"/>
          <w:szCs w:val="22"/>
        </w:rPr>
        <w:t xml:space="preserve"> the</w:t>
      </w:r>
      <w:r w:rsidR="00AC373A">
        <w:rPr>
          <w:rFonts w:ascii="Times New Roman" w:hAnsi="Times New Roman" w:cs="Times New Roman"/>
          <w:sz w:val="22"/>
          <w:szCs w:val="22"/>
        </w:rPr>
        <w:t xml:space="preserve"> </w:t>
      </w:r>
      <w:r w:rsidRPr="00510698" w:rsidR="00AC373A">
        <w:rPr>
          <w:rFonts w:ascii="Times New Roman" w:hAnsi="Times New Roman" w:cs="Times New Roman"/>
          <w:sz w:val="22"/>
          <w:szCs w:val="22"/>
        </w:rPr>
        <w:t>Supplemental to Form CMS-2552-10 Payment Adjustment for Establishing and Maintaining Access</w:t>
      </w:r>
      <w:r w:rsidR="00AC373A">
        <w:rPr>
          <w:rFonts w:ascii="Times New Roman" w:hAnsi="Times New Roman" w:cs="Times New Roman"/>
          <w:sz w:val="22"/>
          <w:szCs w:val="22"/>
        </w:rPr>
        <w:t xml:space="preserve"> </w:t>
      </w:r>
      <w:r w:rsidRPr="00510698" w:rsidR="00AC373A">
        <w:rPr>
          <w:rFonts w:ascii="Times New Roman" w:hAnsi="Times New Roman" w:cs="Times New Roman"/>
          <w:sz w:val="22"/>
          <w:szCs w:val="22"/>
        </w:rPr>
        <w:t>to Buffer Stock of Essential Medicines</w:t>
      </w:r>
      <w:r w:rsidR="00AC373A">
        <w:rPr>
          <w:rFonts w:ascii="Times New Roman" w:hAnsi="Times New Roman" w:cs="Times New Roman"/>
          <w:sz w:val="22"/>
          <w:szCs w:val="22"/>
        </w:rPr>
        <w:t>, approved with OMB control number 0938</w:t>
      </w:r>
      <w:r w:rsidR="00221FAD">
        <w:rPr>
          <w:rFonts w:ascii="Times New Roman" w:hAnsi="Times New Roman" w:cs="Times New Roman"/>
          <w:sz w:val="22"/>
          <w:szCs w:val="22"/>
        </w:rPr>
        <w:noBreakHyphen/>
      </w:r>
      <w:r w:rsidR="00AC373A">
        <w:rPr>
          <w:rFonts w:ascii="Times New Roman" w:hAnsi="Times New Roman" w:cs="Times New Roman"/>
          <w:sz w:val="22"/>
          <w:szCs w:val="22"/>
        </w:rPr>
        <w:t>1473</w:t>
      </w:r>
      <w:r w:rsidR="007272FD">
        <w:rPr>
          <w:rFonts w:ascii="Times New Roman" w:hAnsi="Times New Roman" w:cs="Times New Roman"/>
          <w:sz w:val="22"/>
          <w:szCs w:val="22"/>
        </w:rPr>
        <w:t xml:space="preserve"> </w:t>
      </w:r>
      <w:r w:rsidR="00221FAD">
        <w:rPr>
          <w:rFonts w:ascii="Times New Roman" w:hAnsi="Times New Roman" w:cs="Times New Roman"/>
          <w:sz w:val="22"/>
          <w:szCs w:val="22"/>
        </w:rPr>
        <w:t>(expiration date 11/30/2027)</w:t>
      </w:r>
      <w:r w:rsidR="00AC373A">
        <w:rPr>
          <w:rFonts w:ascii="Times New Roman" w:hAnsi="Times New Roman" w:cs="Times New Roman"/>
          <w:sz w:val="22"/>
          <w:szCs w:val="22"/>
        </w:rPr>
        <w:t>, and</w:t>
      </w:r>
      <w:r w:rsidR="00C4559B">
        <w:rPr>
          <w:rFonts w:ascii="Times New Roman" w:hAnsi="Times New Roman" w:cs="Times New Roman"/>
          <w:sz w:val="22"/>
          <w:szCs w:val="22"/>
        </w:rPr>
        <w:t xml:space="preserve"> the </w:t>
      </w:r>
      <w:r w:rsidRPr="00C4559B" w:rsidR="00C4559B">
        <w:rPr>
          <w:rFonts w:ascii="Times New Roman" w:hAnsi="Times New Roman" w:cs="Times New Roman"/>
          <w:sz w:val="22"/>
          <w:szCs w:val="22"/>
        </w:rPr>
        <w:t>Supplemental to Form CMS-2552-10,</w:t>
      </w:r>
      <w:r w:rsidR="00510698">
        <w:rPr>
          <w:rFonts w:ascii="Times New Roman" w:hAnsi="Times New Roman" w:cs="Times New Roman"/>
          <w:sz w:val="22"/>
          <w:szCs w:val="22"/>
        </w:rPr>
        <w:t xml:space="preserve"> </w:t>
      </w:r>
      <w:r w:rsidRPr="00C4559B" w:rsidR="00C4559B">
        <w:rPr>
          <w:rFonts w:ascii="Times New Roman" w:hAnsi="Times New Roman" w:cs="Times New Roman"/>
          <w:sz w:val="22"/>
          <w:szCs w:val="22"/>
        </w:rPr>
        <w:t>Payment Adjustment</w:t>
      </w:r>
      <w:r w:rsidR="001748E9">
        <w:rPr>
          <w:rFonts w:ascii="Times New Roman" w:hAnsi="Times New Roman" w:cs="Times New Roman"/>
          <w:sz w:val="22"/>
          <w:szCs w:val="22"/>
        </w:rPr>
        <w:t>s</w:t>
      </w:r>
      <w:r w:rsidRPr="00C4559B" w:rsidR="00C4559B">
        <w:rPr>
          <w:rFonts w:ascii="Times New Roman" w:hAnsi="Times New Roman" w:cs="Times New Roman"/>
          <w:sz w:val="22"/>
          <w:szCs w:val="22"/>
        </w:rPr>
        <w:t xml:space="preserve"> for Domestic NIOSH-Approved Surgical</w:t>
      </w:r>
      <w:r w:rsidR="00C4559B">
        <w:rPr>
          <w:rFonts w:ascii="Times New Roman" w:hAnsi="Times New Roman" w:cs="Times New Roman"/>
          <w:sz w:val="22"/>
          <w:szCs w:val="22"/>
        </w:rPr>
        <w:t xml:space="preserve"> </w:t>
      </w:r>
      <w:r w:rsidRPr="00C4559B" w:rsidR="00C4559B">
        <w:rPr>
          <w:rFonts w:ascii="Times New Roman" w:hAnsi="Times New Roman" w:cs="Times New Roman"/>
          <w:sz w:val="22"/>
          <w:szCs w:val="22"/>
        </w:rPr>
        <w:t>N95 Respirators</w:t>
      </w:r>
      <w:r w:rsidR="00510698">
        <w:rPr>
          <w:rFonts w:ascii="Times New Roman" w:hAnsi="Times New Roman" w:cs="Times New Roman"/>
          <w:sz w:val="22"/>
          <w:szCs w:val="22"/>
        </w:rPr>
        <w:t>, approved with OMB control number 0938</w:t>
      </w:r>
      <w:r w:rsidR="00221FAD">
        <w:rPr>
          <w:rFonts w:ascii="Times New Roman" w:hAnsi="Times New Roman" w:cs="Times New Roman"/>
          <w:sz w:val="22"/>
          <w:szCs w:val="22"/>
        </w:rPr>
        <w:noBreakHyphen/>
      </w:r>
      <w:r w:rsidR="00510698">
        <w:rPr>
          <w:rFonts w:ascii="Times New Roman" w:hAnsi="Times New Roman" w:cs="Times New Roman"/>
          <w:sz w:val="22"/>
          <w:szCs w:val="22"/>
        </w:rPr>
        <w:t>1425</w:t>
      </w:r>
      <w:r w:rsidR="00221FAD">
        <w:rPr>
          <w:rFonts w:ascii="Times New Roman" w:hAnsi="Times New Roman" w:cs="Times New Roman"/>
          <w:sz w:val="22"/>
          <w:szCs w:val="22"/>
        </w:rPr>
        <w:t xml:space="preserve"> (expiration date 02/28/2025)</w:t>
      </w:r>
      <w:r w:rsidRPr="00C17BED">
        <w:rPr>
          <w:rFonts w:ascii="Times New Roman" w:eastAsia="Times New Roman" w:hAnsi="Times New Roman" w:cs="Times New Roman"/>
          <w:sz w:val="22"/>
          <w:szCs w:val="22"/>
        </w:rPr>
        <w:t>.</w:t>
      </w:r>
    </w:p>
    <w:p w:rsidR="00AF755A" w:rsidP="005410B1" w14:paraId="0C9A4683" w14:textId="158FD1E8">
      <w:pPr>
        <w:pStyle w:val="Default"/>
        <w:rPr>
          <w:sz w:val="22"/>
          <w:szCs w:val="22"/>
        </w:rPr>
      </w:pPr>
    </w:p>
    <w:p w:rsidR="00AF755A" w:rsidRPr="00406C63" w:rsidP="005410B1" w14:paraId="3534F9A4" w14:textId="589BC568">
      <w:pPr>
        <w:rPr>
          <w:sz w:val="22"/>
          <w:szCs w:val="22"/>
        </w:rPr>
      </w:pPr>
      <w:r w:rsidRPr="00406C63">
        <w:rPr>
          <w:sz w:val="22"/>
          <w:szCs w:val="22"/>
        </w:rPr>
        <w:t xml:space="preserve">In this Paperwork Reduction Act (PRA) package, the </w:t>
      </w:r>
      <w:r w:rsidR="00BA5817">
        <w:rPr>
          <w:sz w:val="22"/>
          <w:szCs w:val="22"/>
        </w:rPr>
        <w:t xml:space="preserve">revisions amend the </w:t>
      </w:r>
      <w:r w:rsidRPr="00406C63">
        <w:rPr>
          <w:sz w:val="22"/>
          <w:szCs w:val="22"/>
        </w:rPr>
        <w:t>Form CMS-2552-1</w:t>
      </w:r>
      <w:r w:rsidR="00BA5817">
        <w:rPr>
          <w:sz w:val="22"/>
          <w:szCs w:val="22"/>
        </w:rPr>
        <w:t>0 to</w:t>
      </w:r>
      <w:r w:rsidRPr="00406C63">
        <w:rPr>
          <w:sz w:val="22"/>
          <w:szCs w:val="22"/>
        </w:rPr>
        <w:t>:</w:t>
      </w:r>
    </w:p>
    <w:p w:rsidR="00AF755A" w:rsidRPr="00AF755A" w:rsidP="005410B1" w14:paraId="4C59C738" w14:textId="51204256">
      <w:pPr>
        <w:ind w:left="360"/>
        <w:rPr>
          <w:sz w:val="22"/>
          <w:szCs w:val="22"/>
        </w:rPr>
      </w:pPr>
    </w:p>
    <w:p w:rsidR="00505C46" w:rsidP="005410B1" w14:paraId="4EA5A67A" w14:textId="2490C1DD">
      <w:pPr>
        <w:pStyle w:val="ListParagraph"/>
        <w:numPr>
          <w:ilvl w:val="0"/>
          <w:numId w:val="11"/>
        </w:numPr>
        <w:rPr>
          <w:sz w:val="22"/>
          <w:szCs w:val="22"/>
        </w:rPr>
      </w:pPr>
      <w:r>
        <w:rPr>
          <w:sz w:val="22"/>
          <w:szCs w:val="22"/>
        </w:rPr>
        <w:t>add</w:t>
      </w:r>
      <w:r w:rsidRPr="00AF755A">
        <w:rPr>
          <w:sz w:val="22"/>
          <w:szCs w:val="22"/>
        </w:rPr>
        <w:t xml:space="preserve"> Worksheet </w:t>
      </w:r>
      <w:r>
        <w:rPr>
          <w:sz w:val="22"/>
          <w:szCs w:val="22"/>
        </w:rPr>
        <w:t xml:space="preserve">E-90, </w:t>
      </w:r>
      <w:r w:rsidRPr="00505C46">
        <w:rPr>
          <w:sz w:val="22"/>
          <w:szCs w:val="22"/>
        </w:rPr>
        <w:t xml:space="preserve">Payment Adjustment </w:t>
      </w:r>
      <w:r w:rsidRPr="00505C46">
        <w:rPr>
          <w:sz w:val="22"/>
          <w:szCs w:val="22"/>
        </w:rPr>
        <w:t>For</w:t>
      </w:r>
      <w:r w:rsidRPr="00505C46">
        <w:rPr>
          <w:sz w:val="22"/>
          <w:szCs w:val="22"/>
        </w:rPr>
        <w:t xml:space="preserve"> Establishing </w:t>
      </w:r>
      <w:r w:rsidRPr="00505C46">
        <w:rPr>
          <w:sz w:val="22"/>
          <w:szCs w:val="22"/>
        </w:rPr>
        <w:t>And</w:t>
      </w:r>
      <w:r w:rsidRPr="00505C46">
        <w:rPr>
          <w:sz w:val="22"/>
          <w:szCs w:val="22"/>
        </w:rPr>
        <w:t xml:space="preserve"> Maintaining Access </w:t>
      </w:r>
      <w:r>
        <w:rPr>
          <w:sz w:val="22"/>
          <w:szCs w:val="22"/>
        </w:rPr>
        <w:t>t</w:t>
      </w:r>
      <w:r w:rsidRPr="00505C46">
        <w:rPr>
          <w:sz w:val="22"/>
          <w:szCs w:val="22"/>
        </w:rPr>
        <w:t xml:space="preserve">o </w:t>
      </w:r>
      <w:r>
        <w:rPr>
          <w:sz w:val="22"/>
          <w:szCs w:val="22"/>
        </w:rPr>
        <w:t>a</w:t>
      </w:r>
      <w:r w:rsidRPr="00505C46">
        <w:rPr>
          <w:sz w:val="22"/>
          <w:szCs w:val="22"/>
        </w:rPr>
        <w:t xml:space="preserve"> Buffer Stock </w:t>
      </w:r>
      <w:r w:rsidRPr="00505C46">
        <w:rPr>
          <w:sz w:val="22"/>
          <w:szCs w:val="22"/>
        </w:rPr>
        <w:t>Of</w:t>
      </w:r>
      <w:r w:rsidRPr="00505C46">
        <w:rPr>
          <w:sz w:val="22"/>
          <w:szCs w:val="22"/>
        </w:rPr>
        <w:t xml:space="preserve"> Essential Medicines</w:t>
      </w:r>
    </w:p>
    <w:p w:rsidR="00505C46" w:rsidP="005410B1" w14:paraId="43F06D63" w14:textId="5D2FC708">
      <w:pPr>
        <w:pStyle w:val="ListParagraph"/>
        <w:numPr>
          <w:ilvl w:val="0"/>
          <w:numId w:val="11"/>
        </w:numPr>
        <w:rPr>
          <w:sz w:val="22"/>
          <w:szCs w:val="22"/>
        </w:rPr>
      </w:pPr>
      <w:r>
        <w:rPr>
          <w:sz w:val="22"/>
          <w:szCs w:val="22"/>
        </w:rPr>
        <w:t>add</w:t>
      </w:r>
      <w:r w:rsidRPr="00AF755A">
        <w:rPr>
          <w:sz w:val="22"/>
          <w:szCs w:val="22"/>
        </w:rPr>
        <w:t xml:space="preserve"> Worksheet </w:t>
      </w:r>
      <w:r>
        <w:rPr>
          <w:sz w:val="22"/>
          <w:szCs w:val="22"/>
        </w:rPr>
        <w:t xml:space="preserve">E-95, </w:t>
      </w:r>
      <w:r w:rsidRPr="00505C46">
        <w:rPr>
          <w:sz w:val="22"/>
          <w:szCs w:val="22"/>
        </w:rPr>
        <w:t xml:space="preserve">Payment Adjustments </w:t>
      </w:r>
      <w:r w:rsidRPr="00505C46">
        <w:rPr>
          <w:sz w:val="22"/>
          <w:szCs w:val="22"/>
        </w:rPr>
        <w:t>For</w:t>
      </w:r>
      <w:r w:rsidRPr="00505C46">
        <w:rPr>
          <w:sz w:val="22"/>
          <w:szCs w:val="22"/>
        </w:rPr>
        <w:t xml:space="preserve"> Domestic NIOSH-Approved</w:t>
      </w:r>
      <w:r>
        <w:rPr>
          <w:sz w:val="22"/>
          <w:szCs w:val="22"/>
        </w:rPr>
        <w:t xml:space="preserve"> </w:t>
      </w:r>
      <w:r w:rsidRPr="00505C46">
        <w:rPr>
          <w:sz w:val="22"/>
          <w:szCs w:val="22"/>
        </w:rPr>
        <w:t>Surgical N-95 Respirators</w:t>
      </w:r>
    </w:p>
    <w:p w:rsidR="0054756A" w:rsidP="005410B1" w14:paraId="35A06EB4" w14:textId="77777777">
      <w:pPr>
        <w:ind w:left="1440"/>
        <w:rPr>
          <w:sz w:val="22"/>
          <w:szCs w:val="22"/>
        </w:rPr>
      </w:pPr>
    </w:p>
    <w:p w:rsidR="007A5074" w:rsidRPr="00406C63" w:rsidP="005410B1" w14:paraId="663E0631" w14:textId="77777777">
      <w:pPr>
        <w:ind w:left="1440"/>
        <w:rPr>
          <w:sz w:val="22"/>
          <w:szCs w:val="22"/>
        </w:rPr>
      </w:pPr>
    </w:p>
    <w:p w:rsidR="00D2358D" w:rsidRPr="00406C63" w:rsidP="005410B1" w14:paraId="63A896AF" w14:textId="77777777">
      <w:pPr>
        <w:pStyle w:val="Heading1"/>
        <w:tabs>
          <w:tab w:val="left" w:pos="360"/>
        </w:tabs>
        <w:rPr>
          <w:sz w:val="22"/>
          <w:szCs w:val="22"/>
        </w:rPr>
      </w:pPr>
      <w:r w:rsidRPr="00406C63">
        <w:rPr>
          <w:sz w:val="22"/>
          <w:szCs w:val="22"/>
        </w:rPr>
        <w:t>B.</w:t>
      </w:r>
      <w:r w:rsidRPr="00406C63">
        <w:rPr>
          <w:sz w:val="22"/>
          <w:szCs w:val="22"/>
        </w:rPr>
        <w:tab/>
      </w:r>
      <w:r w:rsidRPr="00406C63">
        <w:rPr>
          <w:sz w:val="22"/>
          <w:szCs w:val="22"/>
          <w:u w:val="single"/>
        </w:rPr>
        <w:t>Justification</w:t>
      </w:r>
    </w:p>
    <w:p w:rsidR="00D2358D" w:rsidRPr="00406C63" w:rsidP="005410B1" w14:paraId="55A99BD4" w14:textId="77777777">
      <w:pPr>
        <w:widowControl/>
        <w:tabs>
          <w:tab w:val="left" w:pos="540"/>
        </w:tabs>
        <w:rPr>
          <w:sz w:val="22"/>
          <w:szCs w:val="22"/>
        </w:rPr>
      </w:pPr>
    </w:p>
    <w:p w:rsidR="00D2358D" w:rsidRPr="00406C63" w:rsidP="005410B1" w14:paraId="66CBFAAA" w14:textId="77777777">
      <w:pPr>
        <w:pStyle w:val="Heading2"/>
        <w:numPr>
          <w:ilvl w:val="0"/>
          <w:numId w:val="7"/>
        </w:numPr>
        <w:rPr>
          <w:sz w:val="22"/>
          <w:szCs w:val="22"/>
          <w:u w:val="single"/>
        </w:rPr>
      </w:pPr>
      <w:r w:rsidRPr="00406C63">
        <w:rPr>
          <w:sz w:val="22"/>
          <w:szCs w:val="22"/>
          <w:u w:val="single"/>
        </w:rPr>
        <w:t>Need and Legal Basis</w:t>
      </w:r>
    </w:p>
    <w:p w:rsidR="00D2358D" w:rsidRPr="00406C63" w:rsidP="005410B1" w14:paraId="3A5C461E" w14:textId="77777777">
      <w:pPr>
        <w:widowControl/>
        <w:tabs>
          <w:tab w:val="left" w:pos="540"/>
        </w:tabs>
        <w:ind w:left="810"/>
        <w:rPr>
          <w:sz w:val="22"/>
          <w:szCs w:val="22"/>
        </w:rPr>
      </w:pPr>
    </w:p>
    <w:p w:rsidR="00B955B1" w:rsidP="00B955B1" w14:paraId="6FFE8BDE" w14:textId="769B5FE7">
      <w:pPr>
        <w:widowControl/>
        <w:tabs>
          <w:tab w:val="left" w:pos="540"/>
        </w:tabs>
        <w:ind w:left="720"/>
        <w:rPr>
          <w:sz w:val="22"/>
          <w:szCs w:val="22"/>
        </w:rPr>
      </w:pPr>
      <w:r>
        <w:rPr>
          <w:sz w:val="22"/>
          <w:szCs w:val="22"/>
        </w:rPr>
        <w:t xml:space="preserve">We propose to subsume </w:t>
      </w:r>
      <w:r w:rsidR="007043FE">
        <w:rPr>
          <w:sz w:val="22"/>
          <w:szCs w:val="22"/>
        </w:rPr>
        <w:t>two</w:t>
      </w:r>
      <w:r>
        <w:rPr>
          <w:sz w:val="22"/>
          <w:szCs w:val="22"/>
        </w:rPr>
        <w:t xml:space="preserve"> supplemental payment adjustment worksheets, the OMB #0938-1473 and the OMB #0938-1425, into the OMB #0938-0050 to facilitate calculating the payment adjustments within the hospital cost report.</w:t>
      </w:r>
    </w:p>
    <w:p w:rsidR="00B955B1" w:rsidP="00B955B1" w14:paraId="0E83C3E3" w14:textId="77777777">
      <w:pPr>
        <w:widowControl/>
        <w:tabs>
          <w:tab w:val="left" w:pos="540"/>
        </w:tabs>
        <w:rPr>
          <w:sz w:val="22"/>
          <w:szCs w:val="22"/>
        </w:rPr>
      </w:pPr>
    </w:p>
    <w:p w:rsidR="000C28C2" w:rsidP="005410B1" w14:paraId="6072C667" w14:textId="44A87B02">
      <w:pPr>
        <w:widowControl/>
        <w:tabs>
          <w:tab w:val="left" w:pos="540"/>
        </w:tabs>
        <w:ind w:left="720"/>
        <w:rPr>
          <w:sz w:val="22"/>
          <w:szCs w:val="22"/>
        </w:rPr>
      </w:pPr>
      <w:r>
        <w:rPr>
          <w:sz w:val="22"/>
          <w:szCs w:val="22"/>
        </w:rPr>
        <w:t>I</w:t>
      </w:r>
      <w:r w:rsidRPr="005E0647">
        <w:rPr>
          <w:sz w:val="22"/>
          <w:szCs w:val="22"/>
        </w:rPr>
        <w:t xml:space="preserve">n the FY 2025 Hospital Inpatient Prospective Payment System for Acute Care Hospitals and the Long-Term Care Hospital Prospective Payment System final rule, </w:t>
      </w:r>
      <w:r>
        <w:rPr>
          <w:sz w:val="22"/>
          <w:szCs w:val="22"/>
        </w:rPr>
        <w:t xml:space="preserve">CMS finalized an IPPS payment adjustment, </w:t>
      </w:r>
      <w:r w:rsidRPr="005E0647">
        <w:rPr>
          <w:sz w:val="22"/>
          <w:szCs w:val="22"/>
        </w:rPr>
        <w:t>under section 1886(d)(5)(I) of the Act</w:t>
      </w:r>
      <w:r w:rsidR="00945A42">
        <w:rPr>
          <w:sz w:val="22"/>
          <w:szCs w:val="22"/>
        </w:rPr>
        <w:t>,</w:t>
      </w:r>
      <w:r w:rsidRPr="005E0647">
        <w:rPr>
          <w:sz w:val="22"/>
          <w:szCs w:val="22"/>
        </w:rPr>
        <w:t xml:space="preserve"> </w:t>
      </w:r>
      <w:r>
        <w:rPr>
          <w:sz w:val="22"/>
          <w:szCs w:val="22"/>
        </w:rPr>
        <w:t xml:space="preserve">for </w:t>
      </w:r>
      <w:r w:rsidRPr="005E0647">
        <w:rPr>
          <w:sz w:val="22"/>
          <w:szCs w:val="22"/>
        </w:rPr>
        <w:t xml:space="preserve">small, independent hospitals that incur additional resource costs to establish and maintain access to a 6-month buffer stock of one or more essential medicine(s). </w:t>
      </w:r>
      <w:r>
        <w:rPr>
          <w:sz w:val="22"/>
          <w:szCs w:val="22"/>
        </w:rPr>
        <w:t xml:space="preserve"> </w:t>
      </w:r>
      <w:r w:rsidR="00945A42">
        <w:rPr>
          <w:sz w:val="22"/>
          <w:szCs w:val="22"/>
        </w:rPr>
        <w:t>T</w:t>
      </w:r>
      <w:r w:rsidRPr="005E0647" w:rsidR="00945A42">
        <w:rPr>
          <w:sz w:val="22"/>
          <w:szCs w:val="22"/>
        </w:rPr>
        <w:t xml:space="preserve">he </w:t>
      </w:r>
      <w:r w:rsidR="00945A42">
        <w:rPr>
          <w:sz w:val="22"/>
          <w:szCs w:val="22"/>
        </w:rPr>
        <w:t>Hospital and Hospital Healthcare Complex Cost Report, F</w:t>
      </w:r>
      <w:r w:rsidRPr="005E0647" w:rsidR="00945A42">
        <w:rPr>
          <w:sz w:val="22"/>
          <w:szCs w:val="22"/>
        </w:rPr>
        <w:t xml:space="preserve">orm CMS- 2552-10 (OMB #0938-0050) does not currently capture the necessary data to calculate this payment adjustment; therefore, hospitals </w:t>
      </w:r>
      <w:r w:rsidR="00945A42">
        <w:rPr>
          <w:sz w:val="22"/>
          <w:szCs w:val="22"/>
        </w:rPr>
        <w:t xml:space="preserve">must complete </w:t>
      </w:r>
      <w:r w:rsidR="00D63F14">
        <w:rPr>
          <w:sz w:val="22"/>
          <w:szCs w:val="22"/>
        </w:rPr>
        <w:t xml:space="preserve">the </w:t>
      </w:r>
      <w:r w:rsidRPr="00D63F14" w:rsidR="00D63F14">
        <w:rPr>
          <w:sz w:val="22"/>
          <w:szCs w:val="22"/>
        </w:rPr>
        <w:t>Supplemental to Form CMS-2552-10</w:t>
      </w:r>
      <w:r w:rsidR="00945A42">
        <w:rPr>
          <w:sz w:val="22"/>
          <w:szCs w:val="22"/>
        </w:rPr>
        <w:t xml:space="preserve"> - </w:t>
      </w:r>
      <w:r w:rsidRPr="00D63F14" w:rsidR="00D63F14">
        <w:rPr>
          <w:sz w:val="22"/>
          <w:szCs w:val="22"/>
        </w:rPr>
        <w:t>Payment Adjustment for Establishing and Maintaining Access</w:t>
      </w:r>
      <w:r w:rsidR="00D63F14">
        <w:rPr>
          <w:sz w:val="22"/>
          <w:szCs w:val="22"/>
        </w:rPr>
        <w:t xml:space="preserve"> </w:t>
      </w:r>
      <w:r w:rsidRPr="00D63F14" w:rsidR="00D63F14">
        <w:rPr>
          <w:sz w:val="22"/>
          <w:szCs w:val="22"/>
        </w:rPr>
        <w:t>to Buffer Stock of Essential Medicines</w:t>
      </w:r>
      <w:r w:rsidR="00D63F14">
        <w:rPr>
          <w:sz w:val="22"/>
          <w:szCs w:val="22"/>
        </w:rPr>
        <w:t xml:space="preserve"> </w:t>
      </w:r>
      <w:r w:rsidR="00945A42">
        <w:rPr>
          <w:sz w:val="22"/>
          <w:szCs w:val="22"/>
        </w:rPr>
        <w:t>(</w:t>
      </w:r>
      <w:r w:rsidR="00D63F14">
        <w:rPr>
          <w:sz w:val="22"/>
          <w:szCs w:val="22"/>
        </w:rPr>
        <w:t>OMB control number 0938-1473</w:t>
      </w:r>
      <w:r w:rsidR="00945A42">
        <w:rPr>
          <w:sz w:val="22"/>
          <w:szCs w:val="22"/>
        </w:rPr>
        <w:t xml:space="preserve">) to calculate the payment adjustment.  </w:t>
      </w:r>
    </w:p>
    <w:p w:rsidR="001936CB" w:rsidP="005410B1" w14:paraId="344FED68" w14:textId="7953902F">
      <w:pPr>
        <w:widowControl/>
        <w:tabs>
          <w:tab w:val="left" w:pos="540"/>
        </w:tabs>
        <w:ind w:left="720"/>
        <w:rPr>
          <w:sz w:val="22"/>
          <w:szCs w:val="22"/>
        </w:rPr>
      </w:pPr>
    </w:p>
    <w:p w:rsidR="00BA5817" w:rsidP="005410B1" w14:paraId="2E4C861B" w14:textId="57ACE247">
      <w:pPr>
        <w:widowControl/>
        <w:tabs>
          <w:tab w:val="left" w:pos="540"/>
        </w:tabs>
        <w:ind w:left="720"/>
        <w:rPr>
          <w:sz w:val="22"/>
          <w:szCs w:val="22"/>
        </w:rPr>
      </w:pPr>
      <w:r>
        <w:rPr>
          <w:sz w:val="22"/>
          <w:szCs w:val="22"/>
        </w:rPr>
        <w:t xml:space="preserve">In the FY 2023 </w:t>
      </w:r>
      <w:r w:rsidRPr="00A73F5F">
        <w:rPr>
          <w:sz w:val="22"/>
          <w:szCs w:val="22"/>
        </w:rPr>
        <w:t>Medicare Hospital Outpatient Prospective Payment System and Ambulatory Surgical Center Payment System Final Rule</w:t>
      </w:r>
      <w:r>
        <w:rPr>
          <w:sz w:val="22"/>
          <w:szCs w:val="22"/>
        </w:rPr>
        <w:t xml:space="preserve">, CMS finalized </w:t>
      </w:r>
      <w:r w:rsidRPr="00A73F5F">
        <w:rPr>
          <w:sz w:val="22"/>
          <w:szCs w:val="22"/>
        </w:rPr>
        <w:t>payment adjustment</w:t>
      </w:r>
      <w:r w:rsidR="00B955B1">
        <w:rPr>
          <w:sz w:val="22"/>
          <w:szCs w:val="22"/>
        </w:rPr>
        <w:t>s</w:t>
      </w:r>
      <w:r w:rsidRPr="00A73F5F">
        <w:rPr>
          <w:sz w:val="22"/>
          <w:szCs w:val="22"/>
        </w:rPr>
        <w:t xml:space="preserve"> under the IPPS and OPPS </w:t>
      </w:r>
      <w:r>
        <w:rPr>
          <w:sz w:val="22"/>
          <w:szCs w:val="22"/>
        </w:rPr>
        <w:t xml:space="preserve">for </w:t>
      </w:r>
      <w:r w:rsidRPr="00A73F5F">
        <w:rPr>
          <w:sz w:val="22"/>
          <w:szCs w:val="22"/>
        </w:rPr>
        <w:t>the additional marginal resource costs hospitals in</w:t>
      </w:r>
      <w:r>
        <w:rPr>
          <w:sz w:val="22"/>
          <w:szCs w:val="22"/>
        </w:rPr>
        <w:t>cur when</w:t>
      </w:r>
      <w:r w:rsidRPr="00A73F5F">
        <w:rPr>
          <w:sz w:val="22"/>
          <w:szCs w:val="22"/>
        </w:rPr>
        <w:t xml:space="preserve"> procuring domestically</w:t>
      </w:r>
      <w:r>
        <w:rPr>
          <w:sz w:val="22"/>
          <w:szCs w:val="22"/>
        </w:rPr>
        <w:t xml:space="preserve"> </w:t>
      </w:r>
      <w:r w:rsidRPr="00A73F5F">
        <w:rPr>
          <w:sz w:val="22"/>
          <w:szCs w:val="22"/>
        </w:rPr>
        <w:t xml:space="preserve">made NIOSH-approved surgical N95 respirators. </w:t>
      </w:r>
      <w:r>
        <w:rPr>
          <w:sz w:val="22"/>
          <w:szCs w:val="22"/>
        </w:rPr>
        <w:t xml:space="preserve"> T</w:t>
      </w:r>
      <w:r w:rsidRPr="005E0647">
        <w:rPr>
          <w:sz w:val="22"/>
          <w:szCs w:val="22"/>
        </w:rPr>
        <w:t xml:space="preserve">he </w:t>
      </w:r>
      <w:r>
        <w:rPr>
          <w:sz w:val="22"/>
          <w:szCs w:val="22"/>
        </w:rPr>
        <w:t>hospital cost report</w:t>
      </w:r>
      <w:r w:rsidRPr="005E0647">
        <w:rPr>
          <w:sz w:val="22"/>
          <w:szCs w:val="22"/>
        </w:rPr>
        <w:t xml:space="preserve"> does not currently capture the necessary data to calculate this payment adjustment; therefore, hospitals </w:t>
      </w:r>
      <w:r>
        <w:rPr>
          <w:sz w:val="22"/>
          <w:szCs w:val="22"/>
        </w:rPr>
        <w:t xml:space="preserve">must complete the </w:t>
      </w:r>
      <w:r w:rsidRPr="00D63F14">
        <w:rPr>
          <w:sz w:val="22"/>
          <w:szCs w:val="22"/>
        </w:rPr>
        <w:t>Supplemental to Form CMS-2552-10</w:t>
      </w:r>
      <w:r>
        <w:rPr>
          <w:sz w:val="22"/>
          <w:szCs w:val="22"/>
        </w:rPr>
        <w:t xml:space="preserve"> - </w:t>
      </w:r>
      <w:r w:rsidRPr="00D63F14">
        <w:rPr>
          <w:sz w:val="22"/>
          <w:szCs w:val="22"/>
        </w:rPr>
        <w:t>Payment Adjustment</w:t>
      </w:r>
      <w:r w:rsidR="001748E9">
        <w:rPr>
          <w:sz w:val="22"/>
          <w:szCs w:val="22"/>
        </w:rPr>
        <w:t>s</w:t>
      </w:r>
      <w:r w:rsidRPr="00D63F14">
        <w:rPr>
          <w:sz w:val="22"/>
          <w:szCs w:val="22"/>
        </w:rPr>
        <w:t xml:space="preserve"> for </w:t>
      </w:r>
      <w:r>
        <w:rPr>
          <w:sz w:val="22"/>
          <w:szCs w:val="22"/>
        </w:rPr>
        <w:t xml:space="preserve">Domestic </w:t>
      </w:r>
      <w:r>
        <w:rPr>
          <w:sz w:val="22"/>
          <w:szCs w:val="22"/>
        </w:rPr>
        <w:t>NIOSH</w:t>
      </w:r>
      <w:r w:rsidR="005410B1">
        <w:rPr>
          <w:sz w:val="22"/>
          <w:szCs w:val="22"/>
        </w:rPr>
        <w:noBreakHyphen/>
      </w:r>
      <w:r>
        <w:rPr>
          <w:sz w:val="22"/>
          <w:szCs w:val="22"/>
        </w:rPr>
        <w:t>Approved Surgical N95 Respirators (OMB control number 0938-1425) to calculate the payment adjustment</w:t>
      </w:r>
      <w:r w:rsidR="001748E9">
        <w:rPr>
          <w:sz w:val="22"/>
          <w:szCs w:val="22"/>
        </w:rPr>
        <w:t>s</w:t>
      </w:r>
      <w:r>
        <w:rPr>
          <w:sz w:val="22"/>
          <w:szCs w:val="22"/>
        </w:rPr>
        <w:t xml:space="preserve">.  </w:t>
      </w:r>
    </w:p>
    <w:p w:rsidR="00BA5817" w:rsidP="005410B1" w14:paraId="4147E725" w14:textId="77777777">
      <w:pPr>
        <w:widowControl/>
        <w:tabs>
          <w:tab w:val="left" w:pos="540"/>
        </w:tabs>
        <w:ind w:left="720"/>
        <w:rPr>
          <w:sz w:val="22"/>
          <w:szCs w:val="22"/>
        </w:rPr>
      </w:pPr>
    </w:p>
    <w:p w:rsidR="00BA5817" w:rsidP="005410B1" w14:paraId="62F2607B" w14:textId="77777777">
      <w:pPr>
        <w:widowControl/>
        <w:tabs>
          <w:tab w:val="left" w:pos="540"/>
        </w:tabs>
        <w:ind w:left="720"/>
        <w:rPr>
          <w:sz w:val="22"/>
          <w:szCs w:val="22"/>
        </w:rPr>
      </w:pPr>
    </w:p>
    <w:p w:rsidR="00D2358D" w:rsidRPr="00406C63" w:rsidP="005410B1" w14:paraId="1291EEA8" w14:textId="77777777">
      <w:pPr>
        <w:pStyle w:val="Heading2"/>
        <w:numPr>
          <w:ilvl w:val="0"/>
          <w:numId w:val="7"/>
        </w:numPr>
        <w:rPr>
          <w:sz w:val="22"/>
          <w:szCs w:val="22"/>
          <w:u w:val="single"/>
        </w:rPr>
      </w:pPr>
      <w:r w:rsidRPr="00406C63">
        <w:rPr>
          <w:sz w:val="22"/>
          <w:szCs w:val="22"/>
          <w:u w:val="single"/>
        </w:rPr>
        <w:t>Information Users</w:t>
      </w:r>
    </w:p>
    <w:p w:rsidR="00D2358D" w:rsidRPr="00406C63" w:rsidP="005410B1" w14:paraId="037D614D" w14:textId="77777777">
      <w:pPr>
        <w:widowControl/>
        <w:tabs>
          <w:tab w:val="left" w:pos="540"/>
        </w:tabs>
        <w:ind w:left="810"/>
        <w:rPr>
          <w:sz w:val="22"/>
          <w:szCs w:val="22"/>
        </w:rPr>
      </w:pPr>
    </w:p>
    <w:p w:rsidR="00C17BED" w:rsidRPr="00C17BED" w:rsidP="005410B1" w14:paraId="0458A42C" w14:textId="77777777">
      <w:pPr>
        <w:tabs>
          <w:tab w:val="left" w:pos="540"/>
        </w:tabs>
        <w:spacing w:line="242" w:lineRule="auto"/>
        <w:ind w:left="720"/>
        <w:rPr>
          <w:sz w:val="22"/>
          <w:szCs w:val="22"/>
        </w:rPr>
      </w:pPr>
      <w:r w:rsidRPr="00C17BED">
        <w:rPr>
          <w:sz w:val="22"/>
          <w:szCs w:val="22"/>
        </w:rPr>
        <w:t>The primary function of the Medicare cost report (MCR) is to determine the reimbursement of providers for services rendered to program beneficiaries.  The Medicare Audit Contractor (MAC) uses the cost report to make settlement with the provider for the fiscal period covered by the cost report.  Furthermore, the MAC uses the cost report to determine the necessity and scope of an audit of the records of the provider.  Section 1874A of the Act describes the functions of the contractor.</w:t>
      </w:r>
    </w:p>
    <w:p w:rsidR="00C17BED" w:rsidRPr="00C17BED" w:rsidP="005410B1" w14:paraId="3734DC58" w14:textId="77777777">
      <w:pPr>
        <w:tabs>
          <w:tab w:val="left" w:pos="-1152"/>
          <w:tab w:val="left" w:pos="-720"/>
          <w:tab w:val="left" w:pos="0"/>
          <w:tab w:val="left" w:pos="360"/>
        </w:tabs>
        <w:rPr>
          <w:sz w:val="22"/>
          <w:szCs w:val="22"/>
        </w:rPr>
      </w:pPr>
    </w:p>
    <w:p w:rsidR="006760E5" w:rsidP="005410B1" w14:paraId="22093089" w14:textId="31037FBB">
      <w:pPr>
        <w:tabs>
          <w:tab w:val="left" w:pos="540"/>
        </w:tabs>
        <w:spacing w:line="242" w:lineRule="auto"/>
        <w:ind w:left="720"/>
        <w:rPr>
          <w:sz w:val="22"/>
          <w:szCs w:val="22"/>
        </w:rPr>
      </w:pPr>
      <w:r w:rsidRPr="00C17BED">
        <w:rPr>
          <w:sz w:val="22"/>
          <w:szCs w:val="22"/>
        </w:rPr>
        <w:t xml:space="preserve">CMS </w:t>
      </w:r>
      <w:r w:rsidR="00A871EE">
        <w:rPr>
          <w:sz w:val="22"/>
          <w:szCs w:val="22"/>
        </w:rPr>
        <w:t xml:space="preserve">also </w:t>
      </w:r>
      <w:r w:rsidRPr="00C17BED">
        <w:rPr>
          <w:sz w:val="22"/>
          <w:szCs w:val="22"/>
        </w:rPr>
        <w:t>uses the data collected on the MCR to project future Medicare expenditures, determine adequate deductibles and premiums,</w:t>
      </w:r>
      <w:r w:rsidR="000708D2">
        <w:rPr>
          <w:sz w:val="22"/>
          <w:szCs w:val="22"/>
        </w:rPr>
        <w:t xml:space="preserve"> support payment refinement activities, </w:t>
      </w:r>
      <w:r w:rsidRPr="00C17BED">
        <w:rPr>
          <w:sz w:val="22"/>
          <w:szCs w:val="22"/>
        </w:rPr>
        <w:t>and develop and update provider market baskets (input price indexes) mandated for use in updating Medicare payment rates.  CMS also uses the data to offer public use data files.  In addition, the data is available to Congress, researchers, universities, and other interested parties.</w:t>
      </w:r>
      <w:r w:rsidRPr="00406C63" w:rsidR="00D2358D">
        <w:rPr>
          <w:sz w:val="22"/>
          <w:szCs w:val="22"/>
        </w:rPr>
        <w:t xml:space="preserve">  </w:t>
      </w:r>
    </w:p>
    <w:p w:rsidR="00C17BED" w:rsidRPr="00406C63" w:rsidP="006223D1" w14:paraId="07B30D20" w14:textId="77777777">
      <w:pPr>
        <w:tabs>
          <w:tab w:val="left" w:pos="540"/>
        </w:tabs>
        <w:spacing w:line="242" w:lineRule="auto"/>
        <w:ind w:left="720"/>
        <w:rPr>
          <w:sz w:val="22"/>
          <w:szCs w:val="22"/>
        </w:rPr>
      </w:pPr>
    </w:p>
    <w:p w:rsidR="00D2358D" w:rsidP="006223D1" w14:paraId="633241D6" w14:textId="5C78D72D">
      <w:pPr>
        <w:tabs>
          <w:tab w:val="left" w:pos="540"/>
        </w:tabs>
        <w:ind w:left="720"/>
        <w:rPr>
          <w:sz w:val="22"/>
          <w:szCs w:val="22"/>
        </w:rPr>
      </w:pPr>
      <w:r w:rsidRPr="00406C63">
        <w:rPr>
          <w:sz w:val="22"/>
          <w:szCs w:val="22"/>
        </w:rPr>
        <w:t>Hospitals must follow the principles of cost reimbursement</w:t>
      </w:r>
      <w:r w:rsidRPr="00406C63" w:rsidR="00131BB9">
        <w:rPr>
          <w:sz w:val="22"/>
          <w:szCs w:val="22"/>
        </w:rPr>
        <w:t>,</w:t>
      </w:r>
      <w:r w:rsidRPr="00406C63">
        <w:rPr>
          <w:sz w:val="22"/>
          <w:szCs w:val="22"/>
        </w:rPr>
        <w:t xml:space="preserve"> </w:t>
      </w:r>
      <w:r w:rsidRPr="00406C63" w:rsidR="00131BB9">
        <w:rPr>
          <w:sz w:val="22"/>
          <w:szCs w:val="22"/>
        </w:rPr>
        <w:t>which</w:t>
      </w:r>
      <w:r w:rsidRPr="00406C63">
        <w:rPr>
          <w:sz w:val="22"/>
          <w:szCs w:val="22"/>
        </w:rPr>
        <w:t xml:space="preserve"> require that hospitals maintain sufficient financial records and statistical data for proper determination of costs.</w:t>
      </w:r>
    </w:p>
    <w:p w:rsidR="00D2358D" w:rsidRPr="00406C63" w:rsidP="00E86715" w14:paraId="1A148FC7" w14:textId="77777777">
      <w:pPr>
        <w:widowControl/>
        <w:tabs>
          <w:tab w:val="left" w:pos="540"/>
        </w:tabs>
        <w:ind w:left="810" w:hanging="432"/>
        <w:rPr>
          <w:sz w:val="22"/>
          <w:szCs w:val="22"/>
        </w:rPr>
      </w:pPr>
    </w:p>
    <w:p w:rsidR="00D2358D" w:rsidRPr="00406C63" w:rsidP="006223D1" w14:paraId="21DC8163" w14:textId="77777777">
      <w:pPr>
        <w:pStyle w:val="Heading2"/>
        <w:numPr>
          <w:ilvl w:val="0"/>
          <w:numId w:val="7"/>
        </w:numPr>
        <w:rPr>
          <w:sz w:val="22"/>
          <w:szCs w:val="22"/>
          <w:u w:val="single"/>
        </w:rPr>
      </w:pPr>
      <w:r w:rsidRPr="00406C63">
        <w:rPr>
          <w:sz w:val="22"/>
          <w:szCs w:val="22"/>
          <w:u w:val="single"/>
        </w:rPr>
        <w:t xml:space="preserve">Use of Information Technology </w:t>
      </w:r>
    </w:p>
    <w:p w:rsidR="00D2358D" w:rsidRPr="00406C63" w:rsidP="009763CD" w14:paraId="235C805E" w14:textId="77777777">
      <w:pPr>
        <w:tabs>
          <w:tab w:val="left" w:pos="540"/>
        </w:tabs>
        <w:ind w:left="810"/>
        <w:rPr>
          <w:sz w:val="22"/>
          <w:szCs w:val="22"/>
        </w:rPr>
      </w:pPr>
    </w:p>
    <w:p w:rsidR="00B260F7" w:rsidRPr="00B260F7" w:rsidP="00B260F7" w14:paraId="42AECE34" w14:textId="42F7E8B1">
      <w:pPr>
        <w:tabs>
          <w:tab w:val="left" w:pos="540"/>
        </w:tabs>
        <w:ind w:left="720"/>
        <w:rPr>
          <w:sz w:val="22"/>
          <w:szCs w:val="22"/>
        </w:rPr>
      </w:pPr>
      <w:r w:rsidRPr="00406C63">
        <w:rPr>
          <w:sz w:val="22"/>
          <w:szCs w:val="22"/>
        </w:rPr>
        <w:t>CMS regulations at 42 CFR § 413.24(f)(4)</w:t>
      </w:r>
      <w:r w:rsidRPr="00406C63" w:rsidR="00F55FFB">
        <w:rPr>
          <w:sz w:val="22"/>
          <w:szCs w:val="22"/>
        </w:rPr>
        <w:t>(ii)</w:t>
      </w:r>
      <w:r w:rsidRPr="00406C63">
        <w:rPr>
          <w:sz w:val="22"/>
          <w:szCs w:val="22"/>
        </w:rPr>
        <w:t xml:space="preserve"> require that each hospital submit an annual cost report to their </w:t>
      </w:r>
      <w:r w:rsidRPr="00406C63" w:rsidR="00F55FFB">
        <w:rPr>
          <w:sz w:val="22"/>
          <w:szCs w:val="22"/>
        </w:rPr>
        <w:t xml:space="preserve">contractor </w:t>
      </w:r>
      <w:r w:rsidRPr="00406C63">
        <w:rPr>
          <w:sz w:val="22"/>
          <w:szCs w:val="22"/>
        </w:rPr>
        <w:t>in a standard (ASCII) electronic cost report (ECR) format</w:t>
      </w:r>
      <w:r>
        <w:rPr>
          <w:sz w:val="22"/>
          <w:szCs w:val="22"/>
        </w:rPr>
        <w:t xml:space="preserve"> which includes the electronic signature of </w:t>
      </w:r>
      <w:r w:rsidRPr="00B260F7">
        <w:rPr>
          <w:sz w:val="22"/>
          <w:szCs w:val="22"/>
        </w:rPr>
        <w:t>the administrator or chief financial officer certifying the accuracy of the electronic file.</w:t>
      </w:r>
    </w:p>
    <w:p w:rsidR="00D2358D" w:rsidRPr="00406C63" w:rsidP="009763CD" w14:paraId="7F7C86C3" w14:textId="77777777">
      <w:pPr>
        <w:tabs>
          <w:tab w:val="left" w:pos="540"/>
        </w:tabs>
        <w:ind w:left="810"/>
        <w:rPr>
          <w:sz w:val="22"/>
          <w:szCs w:val="22"/>
        </w:rPr>
      </w:pPr>
    </w:p>
    <w:p w:rsidR="00D2358D" w:rsidRPr="00406C63" w:rsidP="006223D1" w14:paraId="674AE9F6" w14:textId="77777777">
      <w:pPr>
        <w:pStyle w:val="Heading2"/>
        <w:numPr>
          <w:ilvl w:val="0"/>
          <w:numId w:val="7"/>
        </w:numPr>
        <w:rPr>
          <w:sz w:val="22"/>
          <w:szCs w:val="22"/>
          <w:u w:val="single"/>
        </w:rPr>
      </w:pPr>
      <w:r w:rsidRPr="00406C63">
        <w:rPr>
          <w:sz w:val="22"/>
          <w:szCs w:val="22"/>
          <w:u w:val="single"/>
        </w:rPr>
        <w:t>Duplication of Efforts</w:t>
      </w:r>
    </w:p>
    <w:p w:rsidR="00D2358D" w:rsidRPr="00406C63" w:rsidP="009763CD" w14:paraId="3FFE7DC6" w14:textId="77777777">
      <w:pPr>
        <w:tabs>
          <w:tab w:val="left" w:pos="540"/>
        </w:tabs>
        <w:ind w:left="810"/>
        <w:rPr>
          <w:sz w:val="22"/>
          <w:szCs w:val="22"/>
        </w:rPr>
      </w:pPr>
    </w:p>
    <w:p w:rsidR="00D2358D" w:rsidRPr="00406C63" w:rsidP="006223D1" w14:paraId="212BF4FD" w14:textId="7D9AC156">
      <w:pPr>
        <w:tabs>
          <w:tab w:val="left" w:pos="540"/>
        </w:tabs>
        <w:ind w:left="720"/>
        <w:rPr>
          <w:sz w:val="22"/>
          <w:szCs w:val="22"/>
        </w:rPr>
      </w:pPr>
      <w:r w:rsidRPr="00406C63">
        <w:rPr>
          <w:sz w:val="22"/>
          <w:szCs w:val="22"/>
        </w:rPr>
        <w:t>This information collection does not duplicate any other effort</w:t>
      </w:r>
      <w:r w:rsidR="00E95674">
        <w:rPr>
          <w:sz w:val="22"/>
          <w:szCs w:val="22"/>
        </w:rPr>
        <w:t xml:space="preserve">; subsuming the </w:t>
      </w:r>
      <w:r w:rsidR="005C3B68">
        <w:rPr>
          <w:sz w:val="22"/>
          <w:szCs w:val="22"/>
        </w:rPr>
        <w:t>supplemental payment adjustment worksheets</w:t>
      </w:r>
      <w:r w:rsidR="00E95674">
        <w:rPr>
          <w:sz w:val="22"/>
          <w:szCs w:val="22"/>
        </w:rPr>
        <w:t xml:space="preserve"> into the OMB #0938-0050 eliminates the need for hospitals to complete the </w:t>
      </w:r>
      <w:r w:rsidR="004A463B">
        <w:rPr>
          <w:sz w:val="22"/>
          <w:szCs w:val="22"/>
        </w:rPr>
        <w:t>OMB #0938-1473 and the OMB #0938-1425.</w:t>
      </w:r>
      <w:r w:rsidR="00E95674">
        <w:rPr>
          <w:sz w:val="22"/>
          <w:szCs w:val="22"/>
        </w:rPr>
        <w:t xml:space="preserve">  Th</w:t>
      </w:r>
      <w:r w:rsidRPr="00406C63">
        <w:rPr>
          <w:sz w:val="22"/>
          <w:szCs w:val="22"/>
        </w:rPr>
        <w:t>e information cannot be obtained from any other source.</w:t>
      </w:r>
    </w:p>
    <w:p w:rsidR="00D2358D" w:rsidRPr="00406C63" w:rsidP="009763CD" w14:paraId="2E626281" w14:textId="77777777">
      <w:pPr>
        <w:tabs>
          <w:tab w:val="left" w:pos="540"/>
        </w:tabs>
        <w:ind w:left="810"/>
        <w:rPr>
          <w:sz w:val="22"/>
          <w:szCs w:val="22"/>
        </w:rPr>
      </w:pPr>
    </w:p>
    <w:p w:rsidR="00D2358D" w:rsidRPr="00406C63" w:rsidP="006223D1" w14:paraId="0F69CB7A" w14:textId="77777777">
      <w:pPr>
        <w:pStyle w:val="Heading2"/>
        <w:numPr>
          <w:ilvl w:val="0"/>
          <w:numId w:val="7"/>
        </w:numPr>
        <w:rPr>
          <w:sz w:val="22"/>
          <w:szCs w:val="22"/>
          <w:u w:val="single"/>
        </w:rPr>
      </w:pPr>
      <w:r w:rsidRPr="00406C63">
        <w:rPr>
          <w:sz w:val="22"/>
          <w:szCs w:val="22"/>
          <w:u w:val="single"/>
        </w:rPr>
        <w:t>Small Businesses</w:t>
      </w:r>
    </w:p>
    <w:p w:rsidR="00D2358D" w:rsidRPr="00406C63" w:rsidP="009763CD" w14:paraId="68AFCE46" w14:textId="77777777">
      <w:pPr>
        <w:tabs>
          <w:tab w:val="left" w:pos="540"/>
        </w:tabs>
        <w:ind w:left="810"/>
        <w:rPr>
          <w:sz w:val="22"/>
          <w:szCs w:val="22"/>
        </w:rPr>
      </w:pPr>
    </w:p>
    <w:p w:rsidR="00B260F7" w:rsidRPr="00B260F7" w:rsidP="00B260F7" w14:paraId="1385D31B" w14:textId="7712F8CD">
      <w:pPr>
        <w:tabs>
          <w:tab w:val="left" w:pos="540"/>
        </w:tabs>
        <w:ind w:left="720"/>
        <w:rPr>
          <w:sz w:val="22"/>
          <w:szCs w:val="22"/>
        </w:rPr>
      </w:pPr>
      <w:r w:rsidRPr="00B260F7">
        <w:rPr>
          <w:sz w:val="22"/>
          <w:szCs w:val="22"/>
        </w:rPr>
        <w:t>These cost reporting forms</w:t>
      </w:r>
      <w:r w:rsidR="00E95674">
        <w:rPr>
          <w:sz w:val="22"/>
          <w:szCs w:val="22"/>
        </w:rPr>
        <w:t>,</w:t>
      </w:r>
      <w:r w:rsidRPr="00B260F7">
        <w:rPr>
          <w:sz w:val="22"/>
          <w:szCs w:val="22"/>
        </w:rPr>
        <w:t xml:space="preserve"> </w:t>
      </w:r>
      <w:r w:rsidR="00E95674">
        <w:rPr>
          <w:sz w:val="22"/>
          <w:szCs w:val="22"/>
        </w:rPr>
        <w:t>designed t</w:t>
      </w:r>
      <w:r w:rsidRPr="00B260F7">
        <w:rPr>
          <w:sz w:val="22"/>
          <w:szCs w:val="22"/>
        </w:rPr>
        <w:t>o minimiz</w:t>
      </w:r>
      <w:r w:rsidR="00E95674">
        <w:rPr>
          <w:sz w:val="22"/>
          <w:szCs w:val="22"/>
        </w:rPr>
        <w:t>e</w:t>
      </w:r>
      <w:r w:rsidRPr="00B260F7">
        <w:rPr>
          <w:sz w:val="22"/>
          <w:szCs w:val="22"/>
        </w:rPr>
        <w:t xml:space="preserve"> the reporting burden for small hospitals</w:t>
      </w:r>
      <w:r w:rsidR="00E95674">
        <w:rPr>
          <w:sz w:val="22"/>
          <w:szCs w:val="22"/>
        </w:rPr>
        <w:t xml:space="preserve">, require submission </w:t>
      </w:r>
      <w:r w:rsidRPr="00B260F7">
        <w:rPr>
          <w:sz w:val="22"/>
          <w:szCs w:val="22"/>
        </w:rPr>
        <w:t xml:space="preserve">as infrequently as possible (annually) and </w:t>
      </w:r>
      <w:r w:rsidR="00E95674">
        <w:rPr>
          <w:sz w:val="22"/>
          <w:szCs w:val="22"/>
        </w:rPr>
        <w:t>require only</w:t>
      </w:r>
      <w:r w:rsidRPr="00B260F7">
        <w:rPr>
          <w:sz w:val="22"/>
          <w:szCs w:val="22"/>
        </w:rPr>
        <w:t xml:space="preserve"> those data items necessary to determine the appropriate reimbursement rates.</w:t>
      </w:r>
    </w:p>
    <w:p w:rsidR="00D2358D" w:rsidRPr="00406C63" w:rsidP="009763CD" w14:paraId="1E6E5E9F" w14:textId="77777777">
      <w:pPr>
        <w:tabs>
          <w:tab w:val="left" w:pos="540"/>
        </w:tabs>
        <w:ind w:left="810"/>
        <w:rPr>
          <w:sz w:val="22"/>
          <w:szCs w:val="22"/>
        </w:rPr>
      </w:pPr>
    </w:p>
    <w:p w:rsidR="00D2358D" w:rsidRPr="00406C63" w:rsidP="006223D1" w14:paraId="0B30B64F" w14:textId="77777777">
      <w:pPr>
        <w:pStyle w:val="Heading2"/>
        <w:numPr>
          <w:ilvl w:val="0"/>
          <w:numId w:val="7"/>
        </w:numPr>
        <w:rPr>
          <w:sz w:val="22"/>
          <w:szCs w:val="22"/>
          <w:u w:val="single"/>
        </w:rPr>
      </w:pPr>
      <w:r w:rsidRPr="00406C63">
        <w:rPr>
          <w:sz w:val="22"/>
          <w:szCs w:val="22"/>
          <w:u w:val="single"/>
        </w:rPr>
        <w:t>Less Frequent Collection</w:t>
      </w:r>
    </w:p>
    <w:p w:rsidR="00D2358D" w:rsidRPr="00406C63" w:rsidP="009763CD" w14:paraId="66CE9F2E" w14:textId="77777777">
      <w:pPr>
        <w:tabs>
          <w:tab w:val="left" w:pos="540"/>
        </w:tabs>
        <w:ind w:left="810"/>
        <w:rPr>
          <w:sz w:val="22"/>
          <w:szCs w:val="22"/>
        </w:rPr>
      </w:pPr>
    </w:p>
    <w:p w:rsidR="007A5074" w:rsidP="006223D1" w14:paraId="7D745624" w14:textId="77777777">
      <w:pPr>
        <w:tabs>
          <w:tab w:val="left" w:pos="540"/>
        </w:tabs>
        <w:ind w:left="720"/>
        <w:rPr>
          <w:sz w:val="22"/>
          <w:szCs w:val="22"/>
        </w:rPr>
      </w:pPr>
      <w:r w:rsidRPr="00406C63">
        <w:rPr>
          <w:sz w:val="22"/>
          <w:szCs w:val="22"/>
        </w:rPr>
        <w:t xml:space="preserve">Under the authority of 1861(v)(1)(F) of the Act, as defined in regulations at 42 CFR 413.20 and 413.24, </w:t>
      </w:r>
      <w:r w:rsidRPr="00406C63" w:rsidR="00197398">
        <w:rPr>
          <w:sz w:val="22"/>
          <w:szCs w:val="22"/>
        </w:rPr>
        <w:t xml:space="preserve">CMS requires </w:t>
      </w:r>
      <w:r w:rsidRPr="00406C63">
        <w:rPr>
          <w:sz w:val="22"/>
          <w:szCs w:val="22"/>
        </w:rPr>
        <w:t>that each</w:t>
      </w:r>
      <w:r w:rsidRPr="00406C63" w:rsidR="00197398">
        <w:rPr>
          <w:sz w:val="22"/>
          <w:szCs w:val="22"/>
        </w:rPr>
        <w:t xml:space="preserve"> hospital submit the cost report</w:t>
      </w:r>
      <w:r w:rsidRPr="00406C63">
        <w:rPr>
          <w:sz w:val="22"/>
          <w:szCs w:val="22"/>
        </w:rPr>
        <w:t xml:space="preserve"> on an annual basis</w:t>
      </w:r>
      <w:r w:rsidRPr="00406C63" w:rsidR="002E7390">
        <w:rPr>
          <w:sz w:val="22"/>
          <w:szCs w:val="22"/>
        </w:rPr>
        <w:t xml:space="preserve"> with the reporting period</w:t>
      </w:r>
      <w:r w:rsidRPr="00406C63" w:rsidR="00197398">
        <w:rPr>
          <w:sz w:val="22"/>
          <w:szCs w:val="22"/>
        </w:rPr>
        <w:t xml:space="preserve"> b</w:t>
      </w:r>
      <w:r w:rsidRPr="00406C63">
        <w:rPr>
          <w:sz w:val="22"/>
          <w:szCs w:val="22"/>
        </w:rPr>
        <w:t>ase</w:t>
      </w:r>
      <w:r w:rsidRPr="00406C63" w:rsidR="002E7390">
        <w:rPr>
          <w:sz w:val="22"/>
          <w:szCs w:val="22"/>
        </w:rPr>
        <w:t>d</w:t>
      </w:r>
      <w:r w:rsidRPr="00406C63">
        <w:rPr>
          <w:sz w:val="22"/>
          <w:szCs w:val="22"/>
        </w:rPr>
        <w:t xml:space="preserve"> on the</w:t>
      </w:r>
      <w:r w:rsidRPr="00406C63" w:rsidR="00197398">
        <w:rPr>
          <w:sz w:val="22"/>
          <w:szCs w:val="22"/>
        </w:rPr>
        <w:t xml:space="preserve"> hospital’s accounting period, which is generally 12</w:t>
      </w:r>
      <w:r w:rsidRPr="00406C63" w:rsidR="00000A0E">
        <w:rPr>
          <w:sz w:val="22"/>
          <w:szCs w:val="22"/>
        </w:rPr>
        <w:t xml:space="preserve"> consecutive calendar </w:t>
      </w:r>
      <w:r w:rsidRPr="00406C63" w:rsidR="00197398">
        <w:rPr>
          <w:sz w:val="22"/>
          <w:szCs w:val="22"/>
        </w:rPr>
        <w:t>month</w:t>
      </w:r>
      <w:r w:rsidRPr="00406C63" w:rsidR="00000A0E">
        <w:rPr>
          <w:sz w:val="22"/>
          <w:szCs w:val="22"/>
        </w:rPr>
        <w:t>s.  A less frequent collection would impede the annual rate setting process and adversely affect provider payments.</w:t>
      </w:r>
    </w:p>
    <w:p w:rsidR="00D2358D" w:rsidRPr="00406C63" w:rsidP="006223D1" w14:paraId="1FBDA78A" w14:textId="74806A20">
      <w:pPr>
        <w:tabs>
          <w:tab w:val="left" w:pos="540"/>
        </w:tabs>
        <w:ind w:left="720"/>
        <w:rPr>
          <w:sz w:val="22"/>
          <w:szCs w:val="22"/>
        </w:rPr>
      </w:pPr>
      <w:r w:rsidRPr="00406C63">
        <w:rPr>
          <w:sz w:val="22"/>
          <w:szCs w:val="22"/>
        </w:rPr>
        <w:t xml:space="preserve"> </w:t>
      </w:r>
      <w:r w:rsidRPr="00406C63" w:rsidR="00E44890">
        <w:rPr>
          <w:sz w:val="22"/>
          <w:szCs w:val="22"/>
        </w:rPr>
        <w:t xml:space="preserve"> </w:t>
      </w:r>
    </w:p>
    <w:p w:rsidR="00D2358D" w:rsidRPr="00406C63" w:rsidP="006223D1" w14:paraId="78EB1425" w14:textId="77777777">
      <w:pPr>
        <w:pStyle w:val="Heading2"/>
        <w:numPr>
          <w:ilvl w:val="0"/>
          <w:numId w:val="7"/>
        </w:numPr>
        <w:rPr>
          <w:sz w:val="22"/>
          <w:szCs w:val="22"/>
          <w:u w:val="single"/>
        </w:rPr>
      </w:pPr>
      <w:r w:rsidRPr="00406C63">
        <w:rPr>
          <w:sz w:val="22"/>
          <w:szCs w:val="22"/>
          <w:u w:val="single"/>
        </w:rPr>
        <w:t>Special Circumstances</w:t>
      </w:r>
    </w:p>
    <w:p w:rsidR="00D2358D" w:rsidRPr="00406C63" w:rsidP="009763CD" w14:paraId="6D70C227" w14:textId="77777777">
      <w:pPr>
        <w:tabs>
          <w:tab w:val="left" w:pos="540"/>
        </w:tabs>
        <w:ind w:left="810"/>
        <w:rPr>
          <w:sz w:val="22"/>
          <w:szCs w:val="22"/>
        </w:rPr>
      </w:pPr>
    </w:p>
    <w:p w:rsidR="00D2358D" w:rsidP="006223D1" w14:paraId="19D555F8" w14:textId="33EAE8D1">
      <w:pPr>
        <w:tabs>
          <w:tab w:val="left" w:pos="540"/>
        </w:tabs>
        <w:ind w:left="720"/>
        <w:rPr>
          <w:sz w:val="22"/>
          <w:szCs w:val="22"/>
        </w:rPr>
      </w:pPr>
      <w:r w:rsidRPr="00406C63">
        <w:rPr>
          <w:sz w:val="22"/>
          <w:szCs w:val="22"/>
        </w:rPr>
        <w:t>This information collection complies with all general information collection guidelines as described in 5 CFR 1320.6</w:t>
      </w:r>
      <w:r w:rsidRPr="00535CD7" w:rsidR="00535CD7">
        <w:t xml:space="preserve"> </w:t>
      </w:r>
      <w:r w:rsidRPr="00535CD7" w:rsidR="00535CD7">
        <w:rPr>
          <w:sz w:val="22"/>
          <w:szCs w:val="22"/>
        </w:rPr>
        <w:t>without the existence of special circumstances</w:t>
      </w:r>
      <w:r w:rsidRPr="00406C63">
        <w:rPr>
          <w:sz w:val="22"/>
          <w:szCs w:val="22"/>
        </w:rPr>
        <w:t>.</w:t>
      </w:r>
    </w:p>
    <w:p w:rsidR="000607A9" w:rsidRPr="000607A9" w:rsidP="002152D5" w14:paraId="0EED14A7" w14:textId="77777777">
      <w:pPr>
        <w:tabs>
          <w:tab w:val="left" w:pos="540"/>
        </w:tabs>
        <w:rPr>
          <w:sz w:val="22"/>
          <w:szCs w:val="22"/>
        </w:rPr>
      </w:pPr>
    </w:p>
    <w:p w:rsidR="000607A9" w:rsidRPr="000607A9" w:rsidP="000607A9" w14:paraId="383E0A5C" w14:textId="54FE7A76">
      <w:pPr>
        <w:tabs>
          <w:tab w:val="left" w:pos="540"/>
        </w:tabs>
        <w:ind w:left="720"/>
        <w:rPr>
          <w:sz w:val="22"/>
          <w:szCs w:val="22"/>
        </w:rPr>
      </w:pPr>
      <w:r>
        <w:rPr>
          <w:sz w:val="22"/>
          <w:szCs w:val="22"/>
        </w:rPr>
        <w:t>N</w:t>
      </w:r>
      <w:r w:rsidRPr="000607A9">
        <w:rPr>
          <w:sz w:val="22"/>
          <w:szCs w:val="22"/>
        </w:rPr>
        <w:t xml:space="preserve">o special circumstances </w:t>
      </w:r>
      <w:r>
        <w:rPr>
          <w:sz w:val="22"/>
          <w:szCs w:val="22"/>
        </w:rPr>
        <w:t xml:space="preserve">exist </w:t>
      </w:r>
      <w:r w:rsidRPr="000607A9">
        <w:rPr>
          <w:sz w:val="22"/>
          <w:szCs w:val="22"/>
        </w:rPr>
        <w:t>that would require an information collection to be conducted in a manner that requires respondents to:</w:t>
      </w:r>
    </w:p>
    <w:p w:rsidR="000607A9" w:rsidRPr="000607A9" w:rsidP="007043FE" w14:paraId="3F202E09" w14:textId="77777777">
      <w:pPr>
        <w:ind w:left="720"/>
        <w:rPr>
          <w:sz w:val="22"/>
          <w:szCs w:val="22"/>
        </w:rPr>
      </w:pPr>
    </w:p>
    <w:p w:rsidR="000607A9" w:rsidRPr="000607A9" w:rsidP="007043FE" w14:paraId="5092D51A" w14:textId="77777777">
      <w:pPr>
        <w:ind w:left="1080" w:hanging="360"/>
        <w:rPr>
          <w:sz w:val="22"/>
          <w:szCs w:val="22"/>
        </w:rPr>
      </w:pPr>
      <w:r w:rsidRPr="000607A9">
        <w:rPr>
          <w:sz w:val="22"/>
          <w:szCs w:val="22"/>
        </w:rPr>
        <w:t>•</w:t>
      </w:r>
      <w:r w:rsidRPr="000607A9">
        <w:rPr>
          <w:sz w:val="22"/>
          <w:szCs w:val="22"/>
        </w:rPr>
        <w:tab/>
        <w:t xml:space="preserve">Report information to the agency more often than </w:t>
      </w:r>
      <w:r w:rsidRPr="000607A9">
        <w:rPr>
          <w:sz w:val="22"/>
          <w:szCs w:val="22"/>
        </w:rPr>
        <w:t>quarterly;</w:t>
      </w:r>
    </w:p>
    <w:p w:rsidR="000607A9" w:rsidRPr="000607A9" w:rsidP="007043FE" w14:paraId="2C062B60" w14:textId="63375DD2">
      <w:pPr>
        <w:tabs>
          <w:tab w:val="left" w:pos="1080"/>
        </w:tabs>
        <w:ind w:left="1080" w:hanging="360"/>
        <w:rPr>
          <w:sz w:val="22"/>
          <w:szCs w:val="22"/>
        </w:rPr>
      </w:pPr>
      <w:r w:rsidRPr="000607A9">
        <w:rPr>
          <w:sz w:val="22"/>
          <w:szCs w:val="22"/>
        </w:rPr>
        <w:t>•</w:t>
      </w:r>
      <w:r w:rsidRPr="000607A9">
        <w:rPr>
          <w:sz w:val="22"/>
          <w:szCs w:val="22"/>
        </w:rPr>
        <w:tab/>
        <w:t>Prepare a written response to a collection of information in fewer than 30 days</w:t>
      </w:r>
      <w:r w:rsidR="00D03F2A">
        <w:rPr>
          <w:sz w:val="22"/>
          <w:szCs w:val="22"/>
        </w:rPr>
        <w:t xml:space="preserve"> </w:t>
      </w:r>
      <w:r w:rsidRPr="000607A9">
        <w:rPr>
          <w:sz w:val="22"/>
          <w:szCs w:val="22"/>
        </w:rPr>
        <w:t xml:space="preserve">after receipt of </w:t>
      </w:r>
      <w:r w:rsidRPr="000607A9">
        <w:rPr>
          <w:sz w:val="22"/>
          <w:szCs w:val="22"/>
        </w:rPr>
        <w:t>it;</w:t>
      </w:r>
    </w:p>
    <w:p w:rsidR="000607A9" w:rsidRPr="000607A9" w:rsidP="007043FE" w14:paraId="03BACF0E" w14:textId="77777777">
      <w:pPr>
        <w:tabs>
          <w:tab w:val="left" w:pos="1080"/>
        </w:tabs>
        <w:ind w:left="1080" w:hanging="360"/>
        <w:rPr>
          <w:sz w:val="22"/>
          <w:szCs w:val="22"/>
        </w:rPr>
      </w:pPr>
      <w:r w:rsidRPr="000607A9">
        <w:rPr>
          <w:sz w:val="22"/>
          <w:szCs w:val="22"/>
        </w:rPr>
        <w:t>•</w:t>
      </w:r>
      <w:r w:rsidRPr="000607A9">
        <w:rPr>
          <w:sz w:val="22"/>
          <w:szCs w:val="22"/>
        </w:rPr>
        <w:tab/>
        <w:t xml:space="preserve">Submit more than an original and two copies of any </w:t>
      </w:r>
      <w:r w:rsidRPr="000607A9">
        <w:rPr>
          <w:sz w:val="22"/>
          <w:szCs w:val="22"/>
        </w:rPr>
        <w:t>document;</w:t>
      </w:r>
    </w:p>
    <w:p w:rsidR="000607A9" w:rsidRPr="000607A9" w:rsidP="007043FE" w14:paraId="30A60302" w14:textId="159E93AB">
      <w:pPr>
        <w:tabs>
          <w:tab w:val="left" w:pos="1080"/>
        </w:tabs>
        <w:ind w:left="1080" w:hanging="360"/>
        <w:rPr>
          <w:sz w:val="22"/>
          <w:szCs w:val="22"/>
        </w:rPr>
      </w:pPr>
      <w:r w:rsidRPr="000607A9">
        <w:rPr>
          <w:sz w:val="22"/>
          <w:szCs w:val="22"/>
        </w:rPr>
        <w:t>•</w:t>
      </w:r>
      <w:r w:rsidRPr="000607A9">
        <w:rPr>
          <w:sz w:val="22"/>
          <w:szCs w:val="22"/>
        </w:rPr>
        <w:tab/>
        <w:t>Retain records, other than health, medical, government contract, grant-in-aid, or</w:t>
      </w:r>
      <w:r w:rsidR="00D03F2A">
        <w:rPr>
          <w:sz w:val="22"/>
          <w:szCs w:val="22"/>
        </w:rPr>
        <w:t xml:space="preserve"> </w:t>
      </w:r>
      <w:r w:rsidRPr="000607A9">
        <w:rPr>
          <w:sz w:val="22"/>
          <w:szCs w:val="22"/>
        </w:rPr>
        <w:t xml:space="preserve">tax records for more than three </w:t>
      </w:r>
      <w:r w:rsidRPr="000607A9">
        <w:rPr>
          <w:sz w:val="22"/>
          <w:szCs w:val="22"/>
        </w:rPr>
        <w:t>years;</w:t>
      </w:r>
    </w:p>
    <w:p w:rsidR="000607A9" w:rsidRPr="000607A9" w:rsidP="007043FE" w14:paraId="6BCE4308" w14:textId="77777777">
      <w:pPr>
        <w:tabs>
          <w:tab w:val="left" w:pos="1080"/>
        </w:tabs>
        <w:ind w:left="1080" w:hanging="360"/>
        <w:rPr>
          <w:sz w:val="22"/>
          <w:szCs w:val="22"/>
        </w:rPr>
      </w:pPr>
      <w:r w:rsidRPr="000607A9">
        <w:rPr>
          <w:sz w:val="22"/>
          <w:szCs w:val="22"/>
        </w:rPr>
        <w:t>•</w:t>
      </w:r>
      <w:r w:rsidRPr="000607A9">
        <w:rPr>
          <w:sz w:val="22"/>
          <w:szCs w:val="22"/>
        </w:rPr>
        <w:tab/>
        <w:t xml:space="preserve">Collect data in connection with a statistical survey that is not designed to produce </w:t>
      </w:r>
      <w:r w:rsidRPr="000607A9">
        <w:rPr>
          <w:sz w:val="22"/>
          <w:szCs w:val="22"/>
        </w:rPr>
        <w:tab/>
        <w:t>valid and reliable results that can be generalized to the universe of study,</w:t>
      </w:r>
    </w:p>
    <w:p w:rsidR="000607A9" w:rsidRPr="000607A9" w:rsidP="007043FE" w14:paraId="62EE8BE8" w14:textId="7F93D68B">
      <w:pPr>
        <w:tabs>
          <w:tab w:val="left" w:pos="1080"/>
        </w:tabs>
        <w:ind w:left="1080" w:hanging="360"/>
        <w:rPr>
          <w:sz w:val="22"/>
          <w:szCs w:val="22"/>
        </w:rPr>
      </w:pPr>
      <w:r w:rsidRPr="000607A9">
        <w:rPr>
          <w:sz w:val="22"/>
          <w:szCs w:val="22"/>
        </w:rPr>
        <w:t>•</w:t>
      </w:r>
      <w:r w:rsidRPr="000607A9">
        <w:rPr>
          <w:sz w:val="22"/>
          <w:szCs w:val="22"/>
        </w:rPr>
        <w:tab/>
        <w:t xml:space="preserve">Use a statistical data classification that has not been reviewed and approved by </w:t>
      </w:r>
      <w:r w:rsidRPr="000607A9">
        <w:rPr>
          <w:sz w:val="22"/>
          <w:szCs w:val="22"/>
        </w:rPr>
        <w:t>OMB;</w:t>
      </w:r>
    </w:p>
    <w:p w:rsidR="000607A9" w:rsidRPr="000607A9" w:rsidP="007043FE" w14:paraId="747A22D0" w14:textId="1F5F0865">
      <w:pPr>
        <w:tabs>
          <w:tab w:val="left" w:pos="1080"/>
        </w:tabs>
        <w:ind w:left="1080" w:hanging="360"/>
        <w:rPr>
          <w:sz w:val="22"/>
          <w:szCs w:val="22"/>
        </w:rPr>
      </w:pPr>
      <w:r w:rsidRPr="000607A9">
        <w:rPr>
          <w:sz w:val="22"/>
          <w:szCs w:val="22"/>
        </w:rPr>
        <w:t>•</w:t>
      </w:r>
      <w:r w:rsidRPr="000607A9">
        <w:rPr>
          <w:sz w:val="22"/>
          <w:szCs w:val="22"/>
        </w:rPr>
        <w:tab/>
        <w:t>Include a pledge of confidentiality that is not supported by authority established in statute or regulation that is not supported by disclosure and data security policies that are</w:t>
      </w:r>
      <w:r w:rsidR="00D03F2A">
        <w:rPr>
          <w:sz w:val="22"/>
          <w:szCs w:val="22"/>
        </w:rPr>
        <w:t xml:space="preserve"> </w:t>
      </w:r>
      <w:r w:rsidRPr="000607A9">
        <w:rPr>
          <w:sz w:val="22"/>
          <w:szCs w:val="22"/>
        </w:rPr>
        <w:t>consistent with the pledge, or which unnecessarily impedes sharing of data with other agencies for compatible confidential use; or</w:t>
      </w:r>
    </w:p>
    <w:p w:rsidR="00B33D6F" w:rsidRPr="00406C63" w:rsidP="007043FE" w14:paraId="44E1B724" w14:textId="71278C5E">
      <w:pPr>
        <w:tabs>
          <w:tab w:val="left" w:pos="1080"/>
        </w:tabs>
        <w:ind w:left="1080" w:hanging="360"/>
        <w:rPr>
          <w:sz w:val="22"/>
          <w:szCs w:val="22"/>
        </w:rPr>
      </w:pPr>
      <w:r w:rsidRPr="000607A9">
        <w:rPr>
          <w:sz w:val="22"/>
          <w:szCs w:val="22"/>
        </w:rPr>
        <w:t>•</w:t>
      </w:r>
      <w:r w:rsidRPr="000607A9">
        <w:rPr>
          <w:sz w:val="22"/>
          <w:szCs w:val="22"/>
        </w:rPr>
        <w:tab/>
        <w:t>Submit proprietary trade secret, or other confidential information unless the agency can demonstrate that it has instituted procedures to protect the information's confidentiality to the extent permitted by law.</w:t>
      </w:r>
    </w:p>
    <w:p w:rsidR="000607A9" w:rsidRPr="00406C63" w:rsidP="009763CD" w14:paraId="13712348" w14:textId="77777777">
      <w:pPr>
        <w:tabs>
          <w:tab w:val="left" w:pos="540"/>
        </w:tabs>
        <w:ind w:left="810"/>
        <w:rPr>
          <w:sz w:val="22"/>
          <w:szCs w:val="22"/>
        </w:rPr>
      </w:pPr>
    </w:p>
    <w:p w:rsidR="00D2358D" w:rsidRPr="00406C63" w:rsidP="006223D1" w14:paraId="193A1717" w14:textId="77777777">
      <w:pPr>
        <w:pStyle w:val="Heading2"/>
        <w:numPr>
          <w:ilvl w:val="0"/>
          <w:numId w:val="7"/>
        </w:numPr>
        <w:rPr>
          <w:sz w:val="22"/>
          <w:szCs w:val="22"/>
          <w:u w:val="single"/>
        </w:rPr>
      </w:pPr>
      <w:r w:rsidRPr="00406C63">
        <w:rPr>
          <w:sz w:val="22"/>
          <w:szCs w:val="22"/>
          <w:u w:val="single"/>
        </w:rPr>
        <w:t>Federal Register</w:t>
      </w:r>
      <w:r w:rsidRPr="00406C63" w:rsidR="004271EC">
        <w:rPr>
          <w:sz w:val="22"/>
          <w:szCs w:val="22"/>
          <w:u w:val="single"/>
        </w:rPr>
        <w:t xml:space="preserve"> Notice</w:t>
      </w:r>
    </w:p>
    <w:p w:rsidR="00D2358D" w:rsidRPr="00406C63" w:rsidP="009763CD" w14:paraId="64948314" w14:textId="77777777">
      <w:pPr>
        <w:tabs>
          <w:tab w:val="left" w:pos="540"/>
        </w:tabs>
        <w:ind w:left="810"/>
        <w:rPr>
          <w:sz w:val="22"/>
          <w:szCs w:val="22"/>
        </w:rPr>
      </w:pPr>
    </w:p>
    <w:p w:rsidR="00D2358D" w:rsidP="006223D1" w14:paraId="3075792C" w14:textId="1A27973B">
      <w:pPr>
        <w:tabs>
          <w:tab w:val="left" w:pos="540"/>
        </w:tabs>
        <w:ind w:left="720"/>
        <w:rPr>
          <w:sz w:val="22"/>
          <w:szCs w:val="22"/>
        </w:rPr>
      </w:pPr>
      <w:r w:rsidRPr="00406C63">
        <w:rPr>
          <w:sz w:val="22"/>
          <w:szCs w:val="22"/>
        </w:rPr>
        <w:t xml:space="preserve">The 60-day </w:t>
      </w:r>
      <w:r w:rsidRPr="00046801">
        <w:rPr>
          <w:sz w:val="22"/>
          <w:szCs w:val="22"/>
        </w:rPr>
        <w:t>Federal Register notice was published on</w:t>
      </w:r>
      <w:r w:rsidRPr="00046801" w:rsidR="00905213">
        <w:rPr>
          <w:sz w:val="22"/>
          <w:szCs w:val="22"/>
        </w:rPr>
        <w:t xml:space="preserve"> </w:t>
      </w:r>
      <w:r w:rsidRPr="00046801" w:rsidR="00046801">
        <w:rPr>
          <w:sz w:val="22"/>
          <w:szCs w:val="22"/>
        </w:rPr>
        <w:t>03/26/20</w:t>
      </w:r>
      <w:r w:rsidR="00046801">
        <w:rPr>
          <w:sz w:val="22"/>
          <w:szCs w:val="22"/>
        </w:rPr>
        <w:t>25 (</w:t>
      </w:r>
      <w:r w:rsidRPr="00046801" w:rsidR="00046801">
        <w:rPr>
          <w:sz w:val="22"/>
          <w:szCs w:val="22"/>
        </w:rPr>
        <w:t>90 FR 13751</w:t>
      </w:r>
      <w:r w:rsidR="00046801">
        <w:rPr>
          <w:sz w:val="22"/>
          <w:szCs w:val="22"/>
        </w:rPr>
        <w:t>)</w:t>
      </w:r>
    </w:p>
    <w:p w:rsidR="00046801" w:rsidRPr="00406C63" w:rsidP="006223D1" w14:paraId="15791A7F" w14:textId="4AE8BF25">
      <w:pPr>
        <w:tabs>
          <w:tab w:val="left" w:pos="540"/>
        </w:tabs>
        <w:ind w:left="720"/>
        <w:rPr>
          <w:sz w:val="22"/>
          <w:szCs w:val="22"/>
        </w:rPr>
      </w:pPr>
      <w:r>
        <w:rPr>
          <w:sz w:val="22"/>
          <w:szCs w:val="22"/>
        </w:rPr>
        <w:t>The 30-day Federal Register notice was published on 06/11/2025</w:t>
      </w:r>
      <w:r>
        <w:rPr>
          <w:sz w:val="22"/>
          <w:szCs w:val="22"/>
        </w:rPr>
        <w:tab/>
        <w:t xml:space="preserve"> (</w:t>
      </w:r>
      <w:r w:rsidRPr="00046801">
        <w:rPr>
          <w:sz w:val="22"/>
          <w:szCs w:val="22"/>
        </w:rPr>
        <w:t>90 FR 24632</w:t>
      </w:r>
      <w:r>
        <w:rPr>
          <w:sz w:val="22"/>
          <w:szCs w:val="22"/>
        </w:rPr>
        <w:t>)</w:t>
      </w:r>
    </w:p>
    <w:p w:rsidR="00D2358D" w:rsidRPr="00406C63" w:rsidP="009763CD" w14:paraId="25B65DD5" w14:textId="77777777">
      <w:pPr>
        <w:tabs>
          <w:tab w:val="left" w:pos="540"/>
        </w:tabs>
        <w:ind w:left="810"/>
        <w:rPr>
          <w:sz w:val="22"/>
          <w:szCs w:val="22"/>
        </w:rPr>
      </w:pPr>
    </w:p>
    <w:p w:rsidR="00D2358D" w:rsidRPr="00406C63" w:rsidP="006223D1" w14:paraId="603A8DD7" w14:textId="77777777">
      <w:pPr>
        <w:pStyle w:val="Heading2"/>
        <w:numPr>
          <w:ilvl w:val="0"/>
          <w:numId w:val="7"/>
        </w:numPr>
        <w:rPr>
          <w:sz w:val="22"/>
          <w:szCs w:val="22"/>
          <w:u w:val="single"/>
        </w:rPr>
      </w:pPr>
      <w:r w:rsidRPr="00406C63">
        <w:rPr>
          <w:sz w:val="22"/>
          <w:szCs w:val="22"/>
          <w:u w:val="single"/>
        </w:rPr>
        <w:t>Payments/Gifts to Respondents</w:t>
      </w:r>
    </w:p>
    <w:p w:rsidR="00D2358D" w:rsidRPr="00406C63" w:rsidP="009763CD" w14:paraId="41606CAA" w14:textId="77777777">
      <w:pPr>
        <w:tabs>
          <w:tab w:val="left" w:pos="540"/>
        </w:tabs>
        <w:ind w:left="810"/>
        <w:rPr>
          <w:sz w:val="22"/>
          <w:szCs w:val="22"/>
        </w:rPr>
      </w:pPr>
    </w:p>
    <w:p w:rsidR="00D2358D" w:rsidP="001748E9" w14:paraId="3E1831AE" w14:textId="1E71A532">
      <w:pPr>
        <w:tabs>
          <w:tab w:val="left" w:pos="540"/>
        </w:tabs>
        <w:ind w:left="720"/>
        <w:rPr>
          <w:sz w:val="22"/>
          <w:szCs w:val="22"/>
        </w:rPr>
      </w:pPr>
      <w:r w:rsidRPr="00406C63">
        <w:rPr>
          <w:sz w:val="22"/>
          <w:szCs w:val="22"/>
        </w:rPr>
        <w:t>CMS makes no payments or gifts to respondents for completion of this data collection.</w:t>
      </w:r>
      <w:r w:rsidRPr="00406C63" w:rsidR="003D13B0">
        <w:rPr>
          <w:sz w:val="22"/>
          <w:szCs w:val="22"/>
        </w:rPr>
        <w:t xml:space="preserve"> </w:t>
      </w:r>
      <w:r w:rsidRPr="00406C63">
        <w:rPr>
          <w:sz w:val="22"/>
          <w:szCs w:val="22"/>
        </w:rPr>
        <w:t xml:space="preserve"> </w:t>
      </w:r>
      <w:r w:rsidRPr="00406C63" w:rsidR="0056790B">
        <w:rPr>
          <w:sz w:val="22"/>
          <w:szCs w:val="22"/>
        </w:rPr>
        <w:t xml:space="preserve">CMS issues </w:t>
      </w:r>
      <w:r w:rsidRPr="00406C63" w:rsidR="0056790B">
        <w:rPr>
          <w:sz w:val="22"/>
          <w:szCs w:val="22"/>
        </w:rPr>
        <w:t>claims</w:t>
      </w:r>
      <w:r w:rsidRPr="00406C63">
        <w:rPr>
          <w:sz w:val="22"/>
          <w:szCs w:val="22"/>
        </w:rPr>
        <w:t xml:space="preserve"> payments for </w:t>
      </w:r>
      <w:r w:rsidRPr="00406C63" w:rsidR="00F55FFB">
        <w:rPr>
          <w:sz w:val="22"/>
          <w:szCs w:val="22"/>
        </w:rPr>
        <w:t xml:space="preserve">covered </w:t>
      </w:r>
      <w:r w:rsidRPr="00406C63">
        <w:rPr>
          <w:sz w:val="22"/>
          <w:szCs w:val="22"/>
        </w:rPr>
        <w:t xml:space="preserve">services </w:t>
      </w:r>
      <w:r w:rsidRPr="00406C63" w:rsidR="00F55FFB">
        <w:rPr>
          <w:sz w:val="22"/>
          <w:szCs w:val="22"/>
        </w:rPr>
        <w:t xml:space="preserve">provided </w:t>
      </w:r>
      <w:r w:rsidRPr="00406C63">
        <w:rPr>
          <w:sz w:val="22"/>
          <w:szCs w:val="22"/>
        </w:rPr>
        <w:t xml:space="preserve">to </w:t>
      </w:r>
      <w:r w:rsidRPr="00406C63" w:rsidR="00F55FFB">
        <w:rPr>
          <w:sz w:val="22"/>
          <w:szCs w:val="22"/>
        </w:rPr>
        <w:t xml:space="preserve">Medicare </w:t>
      </w:r>
      <w:r w:rsidRPr="00406C63">
        <w:rPr>
          <w:sz w:val="22"/>
          <w:szCs w:val="22"/>
        </w:rPr>
        <w:t>beneficiaries.</w:t>
      </w:r>
      <w:r w:rsidRPr="00406C63" w:rsidR="003D13B0">
        <w:rPr>
          <w:sz w:val="22"/>
          <w:szCs w:val="22"/>
        </w:rPr>
        <w:t xml:space="preserve"> </w:t>
      </w:r>
      <w:r w:rsidRPr="00406C63">
        <w:rPr>
          <w:sz w:val="22"/>
          <w:szCs w:val="22"/>
        </w:rPr>
        <w:t xml:space="preserve"> These reports collect the data to determine accurate payments to a hospital.</w:t>
      </w:r>
      <w:r w:rsidRPr="00406C63" w:rsidR="003D13B0">
        <w:rPr>
          <w:sz w:val="22"/>
          <w:szCs w:val="22"/>
        </w:rPr>
        <w:t xml:space="preserve"> </w:t>
      </w:r>
      <w:r w:rsidRPr="00406C63">
        <w:rPr>
          <w:sz w:val="22"/>
          <w:szCs w:val="22"/>
        </w:rPr>
        <w:t xml:space="preserve"> If the hospital fails to submit the cost report, the </w:t>
      </w:r>
      <w:r w:rsidR="00A871EE">
        <w:rPr>
          <w:sz w:val="22"/>
          <w:szCs w:val="22"/>
        </w:rPr>
        <w:t>MAC</w:t>
      </w:r>
      <w:r w:rsidRPr="00406C63" w:rsidR="0056790B">
        <w:rPr>
          <w:sz w:val="22"/>
          <w:szCs w:val="22"/>
        </w:rPr>
        <w:t xml:space="preserve"> </w:t>
      </w:r>
      <w:r w:rsidRPr="00406C63">
        <w:rPr>
          <w:sz w:val="22"/>
          <w:szCs w:val="22"/>
        </w:rPr>
        <w:t xml:space="preserve">imposes a penalty by suspending claims payments until the </w:t>
      </w:r>
      <w:r w:rsidRPr="00406C63" w:rsidR="0056790B">
        <w:rPr>
          <w:sz w:val="22"/>
          <w:szCs w:val="22"/>
        </w:rPr>
        <w:t xml:space="preserve">hospital submits the cost </w:t>
      </w:r>
      <w:r w:rsidRPr="00406C63">
        <w:rPr>
          <w:sz w:val="22"/>
          <w:szCs w:val="22"/>
        </w:rPr>
        <w:t xml:space="preserve">report. </w:t>
      </w:r>
      <w:r w:rsidRPr="00406C63" w:rsidR="003D13B0">
        <w:rPr>
          <w:sz w:val="22"/>
          <w:szCs w:val="22"/>
        </w:rPr>
        <w:t xml:space="preserve"> </w:t>
      </w:r>
      <w:r w:rsidRPr="00406C63">
        <w:rPr>
          <w:sz w:val="22"/>
          <w:szCs w:val="22"/>
        </w:rPr>
        <w:t>Once the</w:t>
      </w:r>
      <w:r w:rsidRPr="00406C63" w:rsidR="0056790B">
        <w:rPr>
          <w:sz w:val="22"/>
          <w:szCs w:val="22"/>
        </w:rPr>
        <w:t xml:space="preserve"> hospital submits the cost</w:t>
      </w:r>
      <w:r w:rsidRPr="00406C63">
        <w:rPr>
          <w:sz w:val="22"/>
          <w:szCs w:val="22"/>
        </w:rPr>
        <w:t xml:space="preserve"> report, the </w:t>
      </w:r>
      <w:r w:rsidRPr="00406C63" w:rsidR="0056790B">
        <w:rPr>
          <w:sz w:val="22"/>
          <w:szCs w:val="22"/>
        </w:rPr>
        <w:t>contractor</w:t>
      </w:r>
      <w:r w:rsidRPr="00406C63">
        <w:rPr>
          <w:sz w:val="22"/>
          <w:szCs w:val="22"/>
        </w:rPr>
        <w:t xml:space="preserve"> releases the suspended payments.</w:t>
      </w:r>
      <w:r w:rsidRPr="00406C63" w:rsidR="003D13B0">
        <w:rPr>
          <w:sz w:val="22"/>
          <w:szCs w:val="22"/>
        </w:rPr>
        <w:t xml:space="preserve"> </w:t>
      </w:r>
      <w:r w:rsidRPr="00406C63">
        <w:rPr>
          <w:sz w:val="22"/>
          <w:szCs w:val="22"/>
        </w:rPr>
        <w:t xml:space="preserve"> </w:t>
      </w:r>
      <w:r w:rsidRPr="00406C63" w:rsidR="0056790B">
        <w:rPr>
          <w:sz w:val="22"/>
          <w:szCs w:val="22"/>
        </w:rPr>
        <w:t>A</w:t>
      </w:r>
      <w:r w:rsidRPr="00406C63">
        <w:rPr>
          <w:sz w:val="22"/>
          <w:szCs w:val="22"/>
        </w:rPr>
        <w:t xml:space="preserve"> hospital </w:t>
      </w:r>
      <w:r w:rsidRPr="00406C63" w:rsidR="0056790B">
        <w:rPr>
          <w:sz w:val="22"/>
          <w:szCs w:val="22"/>
        </w:rPr>
        <w:t>that submits</w:t>
      </w:r>
      <w:r w:rsidRPr="00406C63">
        <w:rPr>
          <w:sz w:val="22"/>
          <w:szCs w:val="22"/>
        </w:rPr>
        <w:t xml:space="preserve"> the </w:t>
      </w:r>
      <w:r w:rsidRPr="00406C63" w:rsidR="0056790B">
        <w:rPr>
          <w:sz w:val="22"/>
          <w:szCs w:val="22"/>
        </w:rPr>
        <w:t xml:space="preserve">cost </w:t>
      </w:r>
      <w:r w:rsidRPr="00406C63">
        <w:rPr>
          <w:sz w:val="22"/>
          <w:szCs w:val="22"/>
        </w:rPr>
        <w:t>report timely</w:t>
      </w:r>
      <w:r w:rsidRPr="00406C63" w:rsidR="0056790B">
        <w:rPr>
          <w:sz w:val="22"/>
          <w:szCs w:val="22"/>
        </w:rPr>
        <w:t xml:space="preserve"> experiences</w:t>
      </w:r>
      <w:r w:rsidRPr="00406C63">
        <w:rPr>
          <w:sz w:val="22"/>
          <w:szCs w:val="22"/>
        </w:rPr>
        <w:t xml:space="preserve"> no interruption in claims payments.</w:t>
      </w:r>
    </w:p>
    <w:p w:rsidR="007A5074" w:rsidRPr="00406C63" w:rsidP="009763CD" w14:paraId="3954D602" w14:textId="77777777">
      <w:pPr>
        <w:tabs>
          <w:tab w:val="left" w:pos="540"/>
        </w:tabs>
        <w:ind w:left="810"/>
        <w:rPr>
          <w:sz w:val="22"/>
          <w:szCs w:val="22"/>
        </w:rPr>
      </w:pPr>
    </w:p>
    <w:p w:rsidR="00D2358D" w:rsidRPr="00406C63" w:rsidP="006223D1" w14:paraId="4136BD92" w14:textId="77777777">
      <w:pPr>
        <w:pStyle w:val="Heading2"/>
        <w:numPr>
          <w:ilvl w:val="0"/>
          <w:numId w:val="7"/>
        </w:numPr>
        <w:rPr>
          <w:sz w:val="22"/>
          <w:szCs w:val="22"/>
          <w:u w:val="single"/>
        </w:rPr>
      </w:pPr>
      <w:r w:rsidRPr="00406C63">
        <w:rPr>
          <w:sz w:val="22"/>
          <w:szCs w:val="22"/>
          <w:u w:val="single"/>
        </w:rPr>
        <w:t>Confidentiality</w:t>
      </w:r>
    </w:p>
    <w:p w:rsidR="00D2358D" w:rsidRPr="00406C63" w:rsidP="009763CD" w14:paraId="6C137050" w14:textId="77777777">
      <w:pPr>
        <w:tabs>
          <w:tab w:val="left" w:pos="540"/>
        </w:tabs>
        <w:ind w:left="810"/>
        <w:rPr>
          <w:sz w:val="22"/>
          <w:szCs w:val="22"/>
        </w:rPr>
      </w:pPr>
    </w:p>
    <w:p w:rsidR="00D2358D" w:rsidRPr="00406C63" w:rsidP="006223D1" w14:paraId="40C8AAF1" w14:textId="25523903">
      <w:pPr>
        <w:tabs>
          <w:tab w:val="left" w:pos="540"/>
        </w:tabs>
        <w:ind w:left="720"/>
        <w:rPr>
          <w:sz w:val="22"/>
          <w:szCs w:val="22"/>
        </w:rPr>
      </w:pPr>
      <w:r w:rsidRPr="00406C63">
        <w:rPr>
          <w:sz w:val="22"/>
          <w:szCs w:val="22"/>
        </w:rPr>
        <w:t>Confidentiality is not assured.  C</w:t>
      </w:r>
      <w:r w:rsidR="003711D4">
        <w:rPr>
          <w:sz w:val="22"/>
          <w:szCs w:val="22"/>
        </w:rPr>
        <w:t>ost reports</w:t>
      </w:r>
      <w:r w:rsidRPr="00406C63" w:rsidR="0095256C">
        <w:rPr>
          <w:sz w:val="22"/>
          <w:szCs w:val="22"/>
        </w:rPr>
        <w:t xml:space="preserve"> </w:t>
      </w:r>
      <w:r w:rsidRPr="00406C63">
        <w:rPr>
          <w:sz w:val="22"/>
          <w:szCs w:val="22"/>
        </w:rPr>
        <w:t>are subject to disclosure under the Freedom of Information Act</w:t>
      </w:r>
      <w:r w:rsidR="00A871EE">
        <w:rPr>
          <w:sz w:val="22"/>
          <w:szCs w:val="22"/>
        </w:rPr>
        <w:t xml:space="preserve"> (FOIA)</w:t>
      </w:r>
      <w:r w:rsidRPr="00406C63">
        <w:rPr>
          <w:sz w:val="22"/>
          <w:szCs w:val="22"/>
        </w:rPr>
        <w:t>.</w:t>
      </w:r>
    </w:p>
    <w:p w:rsidR="00D2358D" w:rsidRPr="00406C63" w:rsidP="009763CD" w14:paraId="6D52BF62" w14:textId="77777777">
      <w:pPr>
        <w:tabs>
          <w:tab w:val="left" w:pos="540"/>
        </w:tabs>
        <w:ind w:left="810"/>
        <w:rPr>
          <w:sz w:val="22"/>
          <w:szCs w:val="22"/>
        </w:rPr>
      </w:pPr>
    </w:p>
    <w:p w:rsidR="00D2358D" w:rsidRPr="00406C63" w:rsidP="006223D1" w14:paraId="1A84F8A8" w14:textId="77777777">
      <w:pPr>
        <w:pStyle w:val="Heading2"/>
        <w:numPr>
          <w:ilvl w:val="0"/>
          <w:numId w:val="7"/>
        </w:numPr>
        <w:rPr>
          <w:sz w:val="22"/>
          <w:szCs w:val="22"/>
          <w:u w:val="single"/>
        </w:rPr>
      </w:pPr>
      <w:r w:rsidRPr="00406C63">
        <w:rPr>
          <w:sz w:val="22"/>
          <w:szCs w:val="22"/>
          <w:u w:val="single"/>
        </w:rPr>
        <w:t>Sensitive Questions</w:t>
      </w:r>
    </w:p>
    <w:p w:rsidR="00D2358D" w:rsidRPr="00406C63" w:rsidP="009763CD" w14:paraId="7A4407CA" w14:textId="77777777">
      <w:pPr>
        <w:tabs>
          <w:tab w:val="left" w:pos="540"/>
        </w:tabs>
        <w:ind w:left="810"/>
        <w:rPr>
          <w:sz w:val="22"/>
          <w:szCs w:val="22"/>
        </w:rPr>
      </w:pPr>
    </w:p>
    <w:p w:rsidR="009A635C" w:rsidRPr="00406C63" w:rsidP="006223D1" w14:paraId="1EEBCA85" w14:textId="77777777">
      <w:pPr>
        <w:tabs>
          <w:tab w:val="left" w:pos="540"/>
        </w:tabs>
        <w:ind w:left="720"/>
        <w:rPr>
          <w:sz w:val="22"/>
          <w:szCs w:val="22"/>
        </w:rPr>
      </w:pPr>
      <w:r w:rsidRPr="00406C63">
        <w:rPr>
          <w:sz w:val="22"/>
          <w:szCs w:val="22"/>
        </w:rPr>
        <w:t>There are no questions of a sensitive nature.</w:t>
      </w:r>
    </w:p>
    <w:p w:rsidR="009A635C" w:rsidRPr="00406C63" w:rsidP="009763CD" w14:paraId="56C506CA" w14:textId="77777777">
      <w:pPr>
        <w:tabs>
          <w:tab w:val="left" w:pos="540"/>
        </w:tabs>
        <w:ind w:left="810"/>
        <w:rPr>
          <w:sz w:val="22"/>
          <w:szCs w:val="22"/>
        </w:rPr>
      </w:pPr>
    </w:p>
    <w:p w:rsidR="00D2358D" w:rsidRPr="00406C63" w:rsidP="006223D1" w14:paraId="5FA24F3E" w14:textId="7A2E359E">
      <w:pPr>
        <w:pStyle w:val="Heading2"/>
        <w:numPr>
          <w:ilvl w:val="0"/>
          <w:numId w:val="7"/>
        </w:numPr>
        <w:rPr>
          <w:sz w:val="22"/>
          <w:szCs w:val="22"/>
          <w:u w:val="single"/>
        </w:rPr>
      </w:pPr>
      <w:r w:rsidRPr="00406C63">
        <w:rPr>
          <w:sz w:val="22"/>
          <w:szCs w:val="22"/>
          <w:u w:val="single"/>
        </w:rPr>
        <w:t xml:space="preserve">Burden Estimates (Hours &amp; </w:t>
      </w:r>
      <w:r w:rsidRPr="00406C63" w:rsidR="004271EC">
        <w:rPr>
          <w:sz w:val="22"/>
          <w:szCs w:val="22"/>
          <w:u w:val="single"/>
        </w:rPr>
        <w:t>Cost</w:t>
      </w:r>
      <w:r w:rsidRPr="00406C63">
        <w:rPr>
          <w:sz w:val="22"/>
          <w:szCs w:val="22"/>
          <w:u w:val="single"/>
        </w:rPr>
        <w:t>)</w:t>
      </w:r>
    </w:p>
    <w:p w:rsidR="00D2358D" w:rsidP="00AB1072" w14:paraId="70C6F1E2" w14:textId="1AEB6491">
      <w:pPr>
        <w:ind w:left="1152" w:hanging="432"/>
        <w:rPr>
          <w:sz w:val="22"/>
          <w:szCs w:val="22"/>
        </w:rPr>
      </w:pPr>
    </w:p>
    <w:tbl>
      <w:tblPr>
        <w:tblStyle w:val="TableGrid"/>
        <w:tblCaption w:val="Burden Estimates"/>
        <w:tblDescription w:val="This table presents the hours and wages burden estimates for the OMB. No. 0938-0500."/>
        <w:tblW w:w="8280" w:type="dxa"/>
        <w:tblInd w:w="805" w:type="dxa"/>
        <w:tblBorders>
          <w:insideH w:val="none" w:sz="0" w:space="0" w:color="auto"/>
          <w:insideV w:val="none" w:sz="0" w:space="0" w:color="auto"/>
        </w:tblBorders>
        <w:tblLayout w:type="fixed"/>
        <w:tblLook w:val="06A0"/>
      </w:tblPr>
      <w:tblGrid>
        <w:gridCol w:w="623"/>
        <w:gridCol w:w="3694"/>
        <w:gridCol w:w="2073"/>
        <w:gridCol w:w="1890"/>
      </w:tblGrid>
      <w:tr w14:paraId="112EFDC5" w14:textId="77777777" w:rsidTr="00E809D8">
        <w:tblPrEx>
          <w:tblW w:w="8280" w:type="dxa"/>
          <w:tblInd w:w="805" w:type="dxa"/>
          <w:tblBorders>
            <w:insideH w:val="none" w:sz="0" w:space="0" w:color="auto"/>
            <w:insideV w:val="none" w:sz="0" w:space="0" w:color="auto"/>
          </w:tblBorders>
          <w:tblLayout w:type="fixed"/>
          <w:tblLook w:val="06A0"/>
        </w:tblPrEx>
        <w:trPr>
          <w:trHeight w:val="62"/>
          <w:tblHeader/>
        </w:trPr>
        <w:tc>
          <w:tcPr>
            <w:tcW w:w="8280" w:type="dxa"/>
            <w:gridSpan w:val="4"/>
          </w:tcPr>
          <w:p w:rsidR="00016E1B" w:rsidRPr="00406C63" w:rsidP="00745107" w14:paraId="353D7144" w14:textId="77777777">
            <w:pPr>
              <w:rPr>
                <w:sz w:val="14"/>
                <w:szCs w:val="14"/>
              </w:rPr>
            </w:pPr>
          </w:p>
        </w:tc>
      </w:tr>
      <w:tr w14:paraId="7382838F" w14:textId="77777777" w:rsidTr="00E809D8">
        <w:tblPrEx>
          <w:tblW w:w="8280" w:type="dxa"/>
          <w:tblInd w:w="805" w:type="dxa"/>
          <w:tblLayout w:type="fixed"/>
          <w:tblLook w:val="06A0"/>
        </w:tblPrEx>
        <w:tc>
          <w:tcPr>
            <w:tcW w:w="6390" w:type="dxa"/>
            <w:gridSpan w:val="3"/>
          </w:tcPr>
          <w:p w:rsidR="00016E1B" w:rsidRPr="00406C63" w:rsidP="00745107" w14:paraId="52CA2DA8" w14:textId="1E4AE8B6">
            <w:pPr>
              <w:rPr>
                <w:sz w:val="22"/>
                <w:szCs w:val="22"/>
              </w:rPr>
            </w:pPr>
            <w:r w:rsidRPr="00406C63">
              <w:rPr>
                <w:sz w:val="22"/>
                <w:szCs w:val="22"/>
              </w:rPr>
              <w:t xml:space="preserve">Number of hospital facilities (as of </w:t>
            </w:r>
            <w:r w:rsidR="009B6B40">
              <w:rPr>
                <w:sz w:val="22"/>
                <w:szCs w:val="22"/>
              </w:rPr>
              <w:t>1</w:t>
            </w:r>
            <w:r w:rsidR="00AA35CD">
              <w:rPr>
                <w:sz w:val="22"/>
                <w:szCs w:val="22"/>
              </w:rPr>
              <w:t>2</w:t>
            </w:r>
            <w:r w:rsidRPr="00406C63">
              <w:rPr>
                <w:sz w:val="22"/>
                <w:szCs w:val="22"/>
              </w:rPr>
              <w:t>/</w:t>
            </w:r>
            <w:r w:rsidR="009B6B40">
              <w:rPr>
                <w:sz w:val="22"/>
                <w:szCs w:val="22"/>
              </w:rPr>
              <w:t>27</w:t>
            </w:r>
            <w:r w:rsidRPr="00406C63">
              <w:rPr>
                <w:sz w:val="22"/>
                <w:szCs w:val="22"/>
              </w:rPr>
              <w:t>/202</w:t>
            </w:r>
            <w:r w:rsidR="009B6B40">
              <w:rPr>
                <w:sz w:val="22"/>
                <w:szCs w:val="22"/>
              </w:rPr>
              <w:t>4</w:t>
            </w:r>
            <w:r w:rsidRPr="00406C63">
              <w:rPr>
                <w:sz w:val="22"/>
                <w:szCs w:val="22"/>
              </w:rPr>
              <w:t>)</w:t>
            </w:r>
          </w:p>
        </w:tc>
        <w:tc>
          <w:tcPr>
            <w:tcW w:w="1890" w:type="dxa"/>
          </w:tcPr>
          <w:p w:rsidR="00016E1B" w:rsidRPr="00406C63" w:rsidP="00745107" w14:paraId="31465DA0" w14:textId="647DF836">
            <w:pPr>
              <w:jc w:val="right"/>
              <w:rPr>
                <w:sz w:val="22"/>
                <w:szCs w:val="22"/>
              </w:rPr>
            </w:pPr>
            <w:r w:rsidRPr="00406C63">
              <w:rPr>
                <w:sz w:val="22"/>
                <w:szCs w:val="22"/>
              </w:rPr>
              <w:t>6,0</w:t>
            </w:r>
            <w:r w:rsidR="00E809D8">
              <w:rPr>
                <w:sz w:val="22"/>
                <w:szCs w:val="22"/>
              </w:rPr>
              <w:t>44</w:t>
            </w:r>
          </w:p>
        </w:tc>
      </w:tr>
      <w:tr w14:paraId="5D4EECF2" w14:textId="77777777" w:rsidTr="00E809D8">
        <w:tblPrEx>
          <w:tblW w:w="8280" w:type="dxa"/>
          <w:tblInd w:w="805" w:type="dxa"/>
          <w:tblLayout w:type="fixed"/>
          <w:tblLook w:val="06A0"/>
        </w:tblPrEx>
        <w:tc>
          <w:tcPr>
            <w:tcW w:w="8280" w:type="dxa"/>
            <w:gridSpan w:val="4"/>
          </w:tcPr>
          <w:p w:rsidR="00016E1B" w:rsidRPr="00406C63" w:rsidP="00745107" w14:paraId="70FE0D3E" w14:textId="77777777">
            <w:pPr>
              <w:rPr>
                <w:sz w:val="14"/>
                <w:szCs w:val="14"/>
              </w:rPr>
            </w:pPr>
          </w:p>
        </w:tc>
      </w:tr>
      <w:tr w14:paraId="3196CA7C" w14:textId="77777777" w:rsidTr="00E809D8">
        <w:tblPrEx>
          <w:tblW w:w="8280" w:type="dxa"/>
          <w:tblInd w:w="805" w:type="dxa"/>
          <w:tblLayout w:type="fixed"/>
          <w:tblLook w:val="06A0"/>
        </w:tblPrEx>
        <w:tc>
          <w:tcPr>
            <w:tcW w:w="6390" w:type="dxa"/>
            <w:gridSpan w:val="3"/>
          </w:tcPr>
          <w:p w:rsidR="00016E1B" w:rsidRPr="00406C63" w:rsidP="00745107" w14:paraId="37E4EFA2" w14:textId="77777777">
            <w:pPr>
              <w:rPr>
                <w:sz w:val="22"/>
                <w:szCs w:val="22"/>
              </w:rPr>
            </w:pPr>
            <w:r w:rsidRPr="00406C63">
              <w:rPr>
                <w:sz w:val="22"/>
                <w:szCs w:val="22"/>
              </w:rPr>
              <w:t>Hours burden per facility to complete the cost report:</w:t>
            </w:r>
          </w:p>
        </w:tc>
        <w:tc>
          <w:tcPr>
            <w:tcW w:w="1890" w:type="dxa"/>
          </w:tcPr>
          <w:p w:rsidR="00016E1B" w:rsidRPr="00406C63" w:rsidP="00745107" w14:paraId="64C9ED05" w14:textId="0198A477">
            <w:pPr>
              <w:jc w:val="right"/>
              <w:rPr>
                <w:sz w:val="22"/>
                <w:szCs w:val="22"/>
              </w:rPr>
            </w:pPr>
            <w:r w:rsidRPr="00406C63">
              <w:rPr>
                <w:sz w:val="22"/>
                <w:szCs w:val="22"/>
              </w:rPr>
              <w:t>67</w:t>
            </w:r>
            <w:r w:rsidR="00E809D8">
              <w:rPr>
                <w:sz w:val="22"/>
                <w:szCs w:val="22"/>
              </w:rPr>
              <w:t>5</w:t>
            </w:r>
          </w:p>
        </w:tc>
      </w:tr>
      <w:tr w14:paraId="780312F8" w14:textId="77777777" w:rsidTr="00E809D8">
        <w:tblPrEx>
          <w:tblW w:w="8280" w:type="dxa"/>
          <w:tblInd w:w="805" w:type="dxa"/>
          <w:tblLayout w:type="fixed"/>
          <w:tblLook w:val="06A0"/>
        </w:tblPrEx>
        <w:tc>
          <w:tcPr>
            <w:tcW w:w="623" w:type="dxa"/>
          </w:tcPr>
          <w:p w:rsidR="00016E1B" w:rsidRPr="00406C63" w:rsidP="00745107" w14:paraId="00E2BF95" w14:textId="77777777">
            <w:pPr>
              <w:rPr>
                <w:sz w:val="22"/>
                <w:szCs w:val="22"/>
              </w:rPr>
            </w:pPr>
          </w:p>
        </w:tc>
        <w:tc>
          <w:tcPr>
            <w:tcW w:w="3694" w:type="dxa"/>
          </w:tcPr>
          <w:p w:rsidR="00016E1B" w:rsidRPr="00406C63" w:rsidP="00745107" w14:paraId="15DC6404" w14:textId="77777777">
            <w:pPr>
              <w:rPr>
                <w:sz w:val="22"/>
                <w:szCs w:val="22"/>
              </w:rPr>
            </w:pPr>
            <w:r w:rsidRPr="00406C63">
              <w:rPr>
                <w:sz w:val="22"/>
                <w:szCs w:val="22"/>
              </w:rPr>
              <w:t>Number of hours of reporting</w:t>
            </w:r>
          </w:p>
        </w:tc>
        <w:tc>
          <w:tcPr>
            <w:tcW w:w="2073" w:type="dxa"/>
          </w:tcPr>
          <w:p w:rsidR="00016E1B" w:rsidRPr="00406C63" w:rsidP="00745107" w14:paraId="42F5995D" w14:textId="77777777">
            <w:pPr>
              <w:rPr>
                <w:sz w:val="22"/>
                <w:szCs w:val="22"/>
              </w:rPr>
            </w:pPr>
            <w:r w:rsidRPr="00406C63">
              <w:rPr>
                <w:sz w:val="22"/>
                <w:szCs w:val="22"/>
              </w:rPr>
              <w:t>137</w:t>
            </w:r>
          </w:p>
        </w:tc>
        <w:tc>
          <w:tcPr>
            <w:tcW w:w="1890" w:type="dxa"/>
          </w:tcPr>
          <w:p w:rsidR="00016E1B" w:rsidRPr="00406C63" w:rsidP="00745107" w14:paraId="630954B2" w14:textId="77777777">
            <w:pPr>
              <w:rPr>
                <w:sz w:val="22"/>
                <w:szCs w:val="22"/>
              </w:rPr>
            </w:pPr>
          </w:p>
        </w:tc>
      </w:tr>
      <w:tr w14:paraId="11014310" w14:textId="77777777" w:rsidTr="00E809D8">
        <w:tblPrEx>
          <w:tblW w:w="8280" w:type="dxa"/>
          <w:tblInd w:w="805" w:type="dxa"/>
          <w:tblLayout w:type="fixed"/>
          <w:tblLook w:val="06A0"/>
        </w:tblPrEx>
        <w:tc>
          <w:tcPr>
            <w:tcW w:w="623" w:type="dxa"/>
          </w:tcPr>
          <w:p w:rsidR="00016E1B" w:rsidRPr="00406C63" w:rsidP="00745107" w14:paraId="28FB99EC" w14:textId="77777777">
            <w:pPr>
              <w:rPr>
                <w:sz w:val="22"/>
                <w:szCs w:val="22"/>
              </w:rPr>
            </w:pPr>
          </w:p>
        </w:tc>
        <w:tc>
          <w:tcPr>
            <w:tcW w:w="3694" w:type="dxa"/>
          </w:tcPr>
          <w:p w:rsidR="00016E1B" w:rsidRPr="00406C63" w:rsidP="00745107" w14:paraId="574CC6E1" w14:textId="77777777">
            <w:pPr>
              <w:rPr>
                <w:sz w:val="22"/>
                <w:szCs w:val="22"/>
              </w:rPr>
            </w:pPr>
            <w:r w:rsidRPr="00406C63">
              <w:rPr>
                <w:sz w:val="22"/>
                <w:szCs w:val="22"/>
              </w:rPr>
              <w:t>Number of hours of recordkeeping</w:t>
            </w:r>
          </w:p>
        </w:tc>
        <w:tc>
          <w:tcPr>
            <w:tcW w:w="2073" w:type="dxa"/>
          </w:tcPr>
          <w:p w:rsidR="00016E1B" w:rsidRPr="00406C63" w:rsidP="00745107" w14:paraId="37767EE7" w14:textId="4C9E0EF1">
            <w:pPr>
              <w:rPr>
                <w:sz w:val="22"/>
                <w:szCs w:val="22"/>
              </w:rPr>
            </w:pPr>
            <w:r w:rsidRPr="00406C63">
              <w:rPr>
                <w:sz w:val="22"/>
                <w:szCs w:val="22"/>
              </w:rPr>
              <w:t>53</w:t>
            </w:r>
            <w:r w:rsidR="00E809D8">
              <w:rPr>
                <w:sz w:val="22"/>
                <w:szCs w:val="22"/>
              </w:rPr>
              <w:t>8</w:t>
            </w:r>
          </w:p>
        </w:tc>
        <w:tc>
          <w:tcPr>
            <w:tcW w:w="1890" w:type="dxa"/>
          </w:tcPr>
          <w:p w:rsidR="00016E1B" w:rsidRPr="00406C63" w:rsidP="00745107" w14:paraId="57EF439A" w14:textId="77777777">
            <w:pPr>
              <w:rPr>
                <w:sz w:val="22"/>
                <w:szCs w:val="22"/>
              </w:rPr>
            </w:pPr>
          </w:p>
        </w:tc>
      </w:tr>
      <w:tr w14:paraId="763F7034" w14:textId="77777777" w:rsidTr="00E809D8">
        <w:tblPrEx>
          <w:tblW w:w="8280" w:type="dxa"/>
          <w:tblInd w:w="805" w:type="dxa"/>
          <w:tblLayout w:type="fixed"/>
          <w:tblLook w:val="06A0"/>
        </w:tblPrEx>
        <w:tc>
          <w:tcPr>
            <w:tcW w:w="8280" w:type="dxa"/>
            <w:gridSpan w:val="4"/>
          </w:tcPr>
          <w:p w:rsidR="00016E1B" w:rsidRPr="00406C63" w:rsidP="00745107" w14:paraId="787687AA" w14:textId="77777777">
            <w:pPr>
              <w:rPr>
                <w:sz w:val="14"/>
                <w:szCs w:val="14"/>
              </w:rPr>
            </w:pPr>
          </w:p>
        </w:tc>
      </w:tr>
      <w:tr w14:paraId="2F09EFF8" w14:textId="77777777" w:rsidTr="00E809D8">
        <w:tblPrEx>
          <w:tblW w:w="8280" w:type="dxa"/>
          <w:tblInd w:w="805" w:type="dxa"/>
          <w:tblLayout w:type="fixed"/>
          <w:tblLook w:val="06A0"/>
        </w:tblPrEx>
        <w:tc>
          <w:tcPr>
            <w:tcW w:w="6390" w:type="dxa"/>
            <w:gridSpan w:val="3"/>
          </w:tcPr>
          <w:p w:rsidR="00016E1B" w:rsidRPr="00406C63" w:rsidP="00745107" w14:paraId="7AC06702" w14:textId="1D8F87EC">
            <w:pPr>
              <w:rPr>
                <w:sz w:val="22"/>
                <w:szCs w:val="22"/>
              </w:rPr>
            </w:pPr>
            <w:r w:rsidRPr="00406C63">
              <w:rPr>
                <w:sz w:val="22"/>
                <w:szCs w:val="22"/>
              </w:rPr>
              <w:t>Total hours burden (6,0</w:t>
            </w:r>
            <w:r w:rsidR="00E809D8">
              <w:rPr>
                <w:sz w:val="22"/>
                <w:szCs w:val="22"/>
              </w:rPr>
              <w:t>44</w:t>
            </w:r>
            <w:r w:rsidRPr="00406C63">
              <w:rPr>
                <w:sz w:val="22"/>
                <w:szCs w:val="22"/>
              </w:rPr>
              <w:t xml:space="preserve"> </w:t>
            </w:r>
            <w:r w:rsidR="00E809D8">
              <w:rPr>
                <w:sz w:val="22"/>
                <w:szCs w:val="22"/>
              </w:rPr>
              <w:t xml:space="preserve">hospital </w:t>
            </w:r>
            <w:r w:rsidRPr="00406C63">
              <w:rPr>
                <w:sz w:val="22"/>
                <w:szCs w:val="22"/>
              </w:rPr>
              <w:t>facilities x 67</w:t>
            </w:r>
            <w:r w:rsidR="00E809D8">
              <w:rPr>
                <w:sz w:val="22"/>
                <w:szCs w:val="22"/>
              </w:rPr>
              <w:t>5</w:t>
            </w:r>
            <w:r w:rsidRPr="00406C63">
              <w:rPr>
                <w:sz w:val="22"/>
                <w:szCs w:val="22"/>
              </w:rPr>
              <w:t xml:space="preserve"> hours)</w:t>
            </w:r>
          </w:p>
        </w:tc>
        <w:tc>
          <w:tcPr>
            <w:tcW w:w="1890" w:type="dxa"/>
          </w:tcPr>
          <w:p w:rsidR="00016E1B" w:rsidRPr="00406C63" w:rsidP="00745107" w14:paraId="423CBC20" w14:textId="393C2281">
            <w:pPr>
              <w:jc w:val="right"/>
              <w:rPr>
                <w:sz w:val="22"/>
                <w:szCs w:val="22"/>
              </w:rPr>
            </w:pPr>
            <w:r w:rsidRPr="00406C63">
              <w:rPr>
                <w:sz w:val="22"/>
                <w:szCs w:val="22"/>
              </w:rPr>
              <w:t>4,0</w:t>
            </w:r>
            <w:r w:rsidR="00E809D8">
              <w:rPr>
                <w:sz w:val="22"/>
                <w:szCs w:val="22"/>
              </w:rPr>
              <w:t>7</w:t>
            </w:r>
            <w:r w:rsidRPr="00406C63">
              <w:rPr>
                <w:sz w:val="22"/>
                <w:szCs w:val="22"/>
              </w:rPr>
              <w:t>9,</w:t>
            </w:r>
            <w:r w:rsidR="00E809D8">
              <w:rPr>
                <w:sz w:val="22"/>
                <w:szCs w:val="22"/>
              </w:rPr>
              <w:t>700</w:t>
            </w:r>
          </w:p>
        </w:tc>
      </w:tr>
      <w:tr w14:paraId="7930B87E" w14:textId="77777777" w:rsidTr="00E809D8">
        <w:tblPrEx>
          <w:tblW w:w="8280" w:type="dxa"/>
          <w:tblInd w:w="805" w:type="dxa"/>
          <w:tblLayout w:type="fixed"/>
          <w:tblLook w:val="06A0"/>
        </w:tblPrEx>
        <w:tc>
          <w:tcPr>
            <w:tcW w:w="8280" w:type="dxa"/>
            <w:gridSpan w:val="4"/>
          </w:tcPr>
          <w:p w:rsidR="00016E1B" w:rsidRPr="00406C63" w:rsidP="00745107" w14:paraId="2B47B67E" w14:textId="77777777">
            <w:pPr>
              <w:rPr>
                <w:sz w:val="16"/>
                <w:szCs w:val="16"/>
              </w:rPr>
            </w:pPr>
          </w:p>
        </w:tc>
      </w:tr>
      <w:tr w14:paraId="64C8AA0B" w14:textId="77777777" w:rsidTr="00E809D8">
        <w:tblPrEx>
          <w:tblW w:w="8280" w:type="dxa"/>
          <w:tblInd w:w="805" w:type="dxa"/>
          <w:tblLayout w:type="fixed"/>
          <w:tblLook w:val="06A0"/>
        </w:tblPrEx>
        <w:tc>
          <w:tcPr>
            <w:tcW w:w="6390" w:type="dxa"/>
            <w:gridSpan w:val="3"/>
          </w:tcPr>
          <w:p w:rsidR="00016E1B" w:rsidRPr="00406C63" w:rsidP="00745107" w14:paraId="5D22A6DE" w14:textId="77777777">
            <w:pPr>
              <w:rPr>
                <w:sz w:val="22"/>
                <w:szCs w:val="22"/>
              </w:rPr>
            </w:pPr>
            <w:r w:rsidRPr="00406C63">
              <w:rPr>
                <w:sz w:val="22"/>
                <w:szCs w:val="22"/>
              </w:rPr>
              <w:t>Cost per hospital</w:t>
            </w:r>
          </w:p>
        </w:tc>
        <w:tc>
          <w:tcPr>
            <w:tcW w:w="1890" w:type="dxa"/>
          </w:tcPr>
          <w:p w:rsidR="00016E1B" w:rsidRPr="00406C63" w:rsidP="00745107" w14:paraId="15687E79" w14:textId="65A0F4D1">
            <w:pPr>
              <w:jc w:val="right"/>
              <w:rPr>
                <w:sz w:val="22"/>
                <w:szCs w:val="22"/>
              </w:rPr>
            </w:pPr>
            <w:r w:rsidRPr="0010044A">
              <w:rPr>
                <w:sz w:val="22"/>
                <w:szCs w:val="22"/>
              </w:rPr>
              <w:t>$3</w:t>
            </w:r>
            <w:r w:rsidR="00E809D8">
              <w:rPr>
                <w:sz w:val="22"/>
                <w:szCs w:val="22"/>
              </w:rPr>
              <w:t>7</w:t>
            </w:r>
            <w:r w:rsidRPr="0010044A">
              <w:rPr>
                <w:sz w:val="22"/>
                <w:szCs w:val="22"/>
              </w:rPr>
              <w:t>,6</w:t>
            </w:r>
            <w:r w:rsidR="00E809D8">
              <w:rPr>
                <w:sz w:val="22"/>
                <w:szCs w:val="22"/>
              </w:rPr>
              <w:t>11</w:t>
            </w:r>
            <w:r w:rsidRPr="0010044A">
              <w:rPr>
                <w:sz w:val="22"/>
                <w:szCs w:val="22"/>
              </w:rPr>
              <w:t>.</w:t>
            </w:r>
            <w:r w:rsidR="00E809D8">
              <w:rPr>
                <w:sz w:val="22"/>
                <w:szCs w:val="22"/>
              </w:rPr>
              <w:t>94</w:t>
            </w:r>
          </w:p>
        </w:tc>
      </w:tr>
      <w:tr w14:paraId="348B32B5" w14:textId="77777777" w:rsidTr="00E809D8">
        <w:tblPrEx>
          <w:tblW w:w="8280" w:type="dxa"/>
          <w:tblInd w:w="805" w:type="dxa"/>
          <w:tblLayout w:type="fixed"/>
          <w:tblLook w:val="06A0"/>
        </w:tblPrEx>
        <w:tc>
          <w:tcPr>
            <w:tcW w:w="8280" w:type="dxa"/>
            <w:gridSpan w:val="4"/>
          </w:tcPr>
          <w:p w:rsidR="00016E1B" w:rsidRPr="00406C63" w:rsidP="00745107" w14:paraId="013049C8" w14:textId="77777777">
            <w:pPr>
              <w:rPr>
                <w:sz w:val="14"/>
                <w:szCs w:val="14"/>
              </w:rPr>
            </w:pPr>
          </w:p>
        </w:tc>
      </w:tr>
      <w:tr w14:paraId="794991A1" w14:textId="77777777" w:rsidTr="00E809D8">
        <w:tblPrEx>
          <w:tblW w:w="8280" w:type="dxa"/>
          <w:tblInd w:w="805" w:type="dxa"/>
          <w:tblLayout w:type="fixed"/>
          <w:tblLook w:val="06A0"/>
        </w:tblPrEx>
        <w:tc>
          <w:tcPr>
            <w:tcW w:w="6390" w:type="dxa"/>
            <w:gridSpan w:val="3"/>
          </w:tcPr>
          <w:p w:rsidR="00016E1B" w:rsidRPr="00406C63" w:rsidP="00745107" w14:paraId="5B25144F" w14:textId="61385FAE">
            <w:pPr>
              <w:rPr>
                <w:sz w:val="22"/>
                <w:szCs w:val="22"/>
              </w:rPr>
            </w:pPr>
            <w:r w:rsidRPr="00406C63">
              <w:rPr>
                <w:sz w:val="22"/>
                <w:szCs w:val="22"/>
              </w:rPr>
              <w:t xml:space="preserve">Total annual cost </w:t>
            </w:r>
            <w:r w:rsidRPr="0010044A">
              <w:rPr>
                <w:sz w:val="22"/>
                <w:szCs w:val="22"/>
              </w:rPr>
              <w:t>estimate ($3</w:t>
            </w:r>
            <w:r w:rsidR="00E809D8">
              <w:rPr>
                <w:sz w:val="22"/>
                <w:szCs w:val="22"/>
              </w:rPr>
              <w:t>7</w:t>
            </w:r>
            <w:r w:rsidRPr="0010044A">
              <w:rPr>
                <w:sz w:val="22"/>
                <w:szCs w:val="22"/>
              </w:rPr>
              <w:t>,6</w:t>
            </w:r>
            <w:r w:rsidR="00E809D8">
              <w:rPr>
                <w:sz w:val="22"/>
                <w:szCs w:val="22"/>
              </w:rPr>
              <w:t>11</w:t>
            </w:r>
            <w:r w:rsidRPr="0010044A">
              <w:rPr>
                <w:sz w:val="22"/>
                <w:szCs w:val="22"/>
              </w:rPr>
              <w:t>.</w:t>
            </w:r>
            <w:r w:rsidR="00E809D8">
              <w:rPr>
                <w:sz w:val="22"/>
                <w:szCs w:val="22"/>
              </w:rPr>
              <w:t>94</w:t>
            </w:r>
            <w:r w:rsidRPr="00406C63">
              <w:rPr>
                <w:sz w:val="22"/>
                <w:szCs w:val="22"/>
              </w:rPr>
              <w:t xml:space="preserve"> x 6,0</w:t>
            </w:r>
            <w:r w:rsidR="00E809D8">
              <w:rPr>
                <w:sz w:val="22"/>
                <w:szCs w:val="22"/>
              </w:rPr>
              <w:t>44</w:t>
            </w:r>
            <w:r w:rsidRPr="00406C63">
              <w:rPr>
                <w:sz w:val="22"/>
                <w:szCs w:val="22"/>
              </w:rPr>
              <w:t xml:space="preserve"> hospitals)</w:t>
            </w:r>
            <w:r w:rsidR="00E809D8">
              <w:rPr>
                <w:sz w:val="22"/>
                <w:szCs w:val="22"/>
              </w:rPr>
              <w:t>, rounded</w:t>
            </w:r>
          </w:p>
        </w:tc>
        <w:tc>
          <w:tcPr>
            <w:tcW w:w="1890" w:type="dxa"/>
          </w:tcPr>
          <w:p w:rsidR="00016E1B" w:rsidRPr="00406C63" w:rsidP="00745107" w14:paraId="3888F5C6" w14:textId="12D5DD39">
            <w:pPr>
              <w:jc w:val="right"/>
              <w:rPr>
                <w:sz w:val="22"/>
                <w:szCs w:val="22"/>
              </w:rPr>
            </w:pPr>
            <w:r w:rsidRPr="00406C63">
              <w:rPr>
                <w:sz w:val="22"/>
                <w:szCs w:val="22"/>
              </w:rPr>
              <w:t>$2</w:t>
            </w:r>
            <w:r w:rsidR="00E809D8">
              <w:rPr>
                <w:sz w:val="22"/>
                <w:szCs w:val="22"/>
              </w:rPr>
              <w:t>27</w:t>
            </w:r>
            <w:r w:rsidRPr="00406C63">
              <w:rPr>
                <w:sz w:val="22"/>
                <w:szCs w:val="22"/>
              </w:rPr>
              <w:t>,</w:t>
            </w:r>
            <w:r w:rsidR="00E809D8">
              <w:rPr>
                <w:sz w:val="22"/>
                <w:szCs w:val="22"/>
              </w:rPr>
              <w:t>326</w:t>
            </w:r>
            <w:r w:rsidRPr="00406C63">
              <w:rPr>
                <w:sz w:val="22"/>
                <w:szCs w:val="22"/>
              </w:rPr>
              <w:t>,</w:t>
            </w:r>
            <w:r w:rsidR="00E809D8">
              <w:rPr>
                <w:sz w:val="22"/>
                <w:szCs w:val="22"/>
              </w:rPr>
              <w:t>565</w:t>
            </w:r>
          </w:p>
        </w:tc>
      </w:tr>
      <w:tr w14:paraId="34EBC8C6" w14:textId="77777777" w:rsidTr="00E809D8">
        <w:tblPrEx>
          <w:tblW w:w="8280" w:type="dxa"/>
          <w:tblInd w:w="805" w:type="dxa"/>
          <w:tblLayout w:type="fixed"/>
          <w:tblLook w:val="06A0"/>
        </w:tblPrEx>
        <w:tc>
          <w:tcPr>
            <w:tcW w:w="8280" w:type="dxa"/>
            <w:gridSpan w:val="4"/>
          </w:tcPr>
          <w:p w:rsidR="00016E1B" w:rsidRPr="00406C63" w:rsidP="00745107" w14:paraId="1664D27D" w14:textId="77777777">
            <w:pPr>
              <w:jc w:val="right"/>
              <w:rPr>
                <w:sz w:val="14"/>
                <w:szCs w:val="14"/>
              </w:rPr>
            </w:pPr>
          </w:p>
        </w:tc>
      </w:tr>
      <w:tr w14:paraId="4426C68D" w14:textId="77777777" w:rsidTr="00E809D8">
        <w:tblPrEx>
          <w:tblW w:w="8280" w:type="dxa"/>
          <w:tblInd w:w="805" w:type="dxa"/>
          <w:tblLayout w:type="fixed"/>
          <w:tblLook w:val="06A0"/>
        </w:tblPrEx>
        <w:tc>
          <w:tcPr>
            <w:tcW w:w="8280" w:type="dxa"/>
            <w:gridSpan w:val="4"/>
          </w:tcPr>
          <w:p w:rsidR="00004A5A" w:rsidRPr="00406C63" w:rsidP="00745107" w14:paraId="0321D64C" w14:textId="77777777">
            <w:pPr>
              <w:jc w:val="right"/>
              <w:rPr>
                <w:sz w:val="14"/>
                <w:szCs w:val="14"/>
              </w:rPr>
            </w:pPr>
          </w:p>
        </w:tc>
      </w:tr>
    </w:tbl>
    <w:p w:rsidR="00004A5A" w:rsidP="00004A5A" w14:paraId="5BB0F15C" w14:textId="77777777">
      <w:pPr>
        <w:tabs>
          <w:tab w:val="left" w:pos="540"/>
        </w:tabs>
        <w:spacing w:line="242" w:lineRule="auto"/>
        <w:ind w:left="720"/>
        <w:rPr>
          <w:sz w:val="22"/>
          <w:szCs w:val="22"/>
        </w:rPr>
      </w:pPr>
    </w:p>
    <w:p w:rsidR="005C3B68" w:rsidP="00AB0E84" w14:paraId="371A6EF0" w14:textId="5DDE43D7">
      <w:pPr>
        <w:tabs>
          <w:tab w:val="left" w:pos="540"/>
        </w:tabs>
        <w:spacing w:line="242" w:lineRule="auto"/>
        <w:ind w:left="720"/>
        <w:rPr>
          <w:sz w:val="22"/>
          <w:szCs w:val="22"/>
        </w:rPr>
      </w:pPr>
      <w:r w:rsidRPr="005D6528">
        <w:rPr>
          <w:sz w:val="22"/>
          <w:szCs w:val="22"/>
        </w:rPr>
        <w:t>Burden hours for each hospital estimate the time required (number of hours) to complete ongoing data gathering and recordkeeping tasks, search existing data resources, review instructions, and complete the Form CMS-2552-10</w:t>
      </w:r>
      <w:r w:rsidR="00F722AE">
        <w:rPr>
          <w:sz w:val="22"/>
          <w:szCs w:val="22"/>
        </w:rPr>
        <w:t xml:space="preserve"> (the Medicare hospital cost report)</w:t>
      </w:r>
      <w:r w:rsidRPr="005D6528">
        <w:rPr>
          <w:sz w:val="22"/>
          <w:szCs w:val="22"/>
        </w:rPr>
        <w:t xml:space="preserve">.  </w:t>
      </w:r>
      <w:r w:rsidRPr="00406C63" w:rsidR="00E809D8">
        <w:rPr>
          <w:sz w:val="22"/>
          <w:szCs w:val="22"/>
        </w:rPr>
        <w:t>CMS estimate</w:t>
      </w:r>
      <w:r w:rsidR="00E809D8">
        <w:rPr>
          <w:sz w:val="22"/>
          <w:szCs w:val="22"/>
        </w:rPr>
        <w:t>s</w:t>
      </w:r>
      <w:r w:rsidRPr="00406C63" w:rsidR="00E809D8">
        <w:rPr>
          <w:sz w:val="22"/>
          <w:szCs w:val="22"/>
        </w:rPr>
        <w:t xml:space="preserve"> additional burden for the required recordkeeping and reporting </w:t>
      </w:r>
      <w:r w:rsidR="00E809D8">
        <w:rPr>
          <w:sz w:val="22"/>
          <w:szCs w:val="22"/>
        </w:rPr>
        <w:t>o</w:t>
      </w:r>
      <w:r w:rsidRPr="00406C63" w:rsidR="00E809D8">
        <w:rPr>
          <w:sz w:val="22"/>
          <w:szCs w:val="22"/>
        </w:rPr>
        <w:t xml:space="preserve">nly when the standardized definitions, accounting, statistics and reporting practices defined in 42 CFR 413.20(a) </w:t>
      </w:r>
      <w:r w:rsidR="00E809D8">
        <w:rPr>
          <w:sz w:val="22"/>
          <w:szCs w:val="22"/>
        </w:rPr>
        <w:t xml:space="preserve">require recordkeeping or reporting </w:t>
      </w:r>
      <w:r w:rsidRPr="00406C63" w:rsidR="00E809D8">
        <w:rPr>
          <w:sz w:val="22"/>
          <w:szCs w:val="22"/>
        </w:rPr>
        <w:t>not already maintained by the provider on a fiscal basis.</w:t>
      </w:r>
      <w:r w:rsidR="00E809D8">
        <w:rPr>
          <w:sz w:val="22"/>
          <w:szCs w:val="22"/>
        </w:rPr>
        <w:t xml:space="preserve"> </w:t>
      </w:r>
      <w:r w:rsidR="009D6C25">
        <w:rPr>
          <w:sz w:val="22"/>
          <w:szCs w:val="22"/>
        </w:rPr>
        <w:t xml:space="preserve"> After revising the hospital cost report to add the Worksheet E-90 and the Worksheet E-95, we estimate the average burden hours per provider as 675 hours.  </w:t>
      </w:r>
      <w:r w:rsidRPr="00406C63">
        <w:rPr>
          <w:sz w:val="22"/>
          <w:szCs w:val="22"/>
        </w:rPr>
        <w:t>We recognize this average varies depending on the provider size and complexity.  We invite public comment on the hours estimate as well as the staffing requirements utilized to compile and complete the Medicare cost report.</w:t>
      </w:r>
    </w:p>
    <w:p w:rsidR="005C3B68" w:rsidP="00AB0E84" w14:paraId="0FB877E8" w14:textId="77777777">
      <w:pPr>
        <w:tabs>
          <w:tab w:val="left" w:pos="540"/>
        </w:tabs>
        <w:spacing w:line="242" w:lineRule="auto"/>
        <w:ind w:left="720"/>
        <w:rPr>
          <w:sz w:val="22"/>
          <w:szCs w:val="22"/>
        </w:rPr>
      </w:pPr>
    </w:p>
    <w:p w:rsidR="004A463B" w:rsidP="00AB0E84" w14:paraId="70B079E5" w14:textId="2C7C9A9F">
      <w:pPr>
        <w:tabs>
          <w:tab w:val="left" w:pos="540"/>
        </w:tabs>
        <w:spacing w:line="242" w:lineRule="auto"/>
        <w:ind w:left="720"/>
        <w:rPr>
          <w:sz w:val="22"/>
          <w:szCs w:val="22"/>
        </w:rPr>
      </w:pPr>
      <w:r w:rsidRPr="00406C63">
        <w:rPr>
          <w:sz w:val="22"/>
          <w:szCs w:val="22"/>
        </w:rPr>
        <w:t>The System for Tracking Audit and Reimbursement, an internal CMS data system maintained by the Office of Financial Management (OFM), tracks the current number of Medicare certified hospitals as 6,0</w:t>
      </w:r>
      <w:r>
        <w:rPr>
          <w:sz w:val="22"/>
          <w:szCs w:val="22"/>
        </w:rPr>
        <w:t>44 submitting the</w:t>
      </w:r>
      <w:r w:rsidRPr="00406C63">
        <w:rPr>
          <w:sz w:val="22"/>
          <w:szCs w:val="22"/>
        </w:rPr>
        <w:t xml:space="preserve"> Form CMS-2552-10 annually.  </w:t>
      </w:r>
      <w:r>
        <w:rPr>
          <w:sz w:val="22"/>
          <w:szCs w:val="22"/>
        </w:rPr>
        <w:t xml:space="preserve">After subsuming the OMB #0938-1473 and the OMB #0938-1425 into the OMB #0938-0050, we </w:t>
      </w:r>
      <w:r w:rsidRPr="00406C63">
        <w:rPr>
          <w:sz w:val="22"/>
          <w:szCs w:val="22"/>
        </w:rPr>
        <w:t xml:space="preserve">estimate an average per provider </w:t>
      </w:r>
      <w:r>
        <w:rPr>
          <w:sz w:val="22"/>
          <w:szCs w:val="22"/>
        </w:rPr>
        <w:t xml:space="preserve">change </w:t>
      </w:r>
      <w:r w:rsidRPr="00406C63">
        <w:rPr>
          <w:sz w:val="22"/>
          <w:szCs w:val="22"/>
        </w:rPr>
        <w:t xml:space="preserve">of </w:t>
      </w:r>
      <w:r>
        <w:rPr>
          <w:sz w:val="22"/>
          <w:szCs w:val="22"/>
        </w:rPr>
        <w:t>1</w:t>
      </w:r>
      <w:r w:rsidRPr="00406C63">
        <w:rPr>
          <w:sz w:val="22"/>
          <w:szCs w:val="22"/>
        </w:rPr>
        <w:t xml:space="preserve"> </w:t>
      </w:r>
      <w:r>
        <w:rPr>
          <w:sz w:val="22"/>
          <w:szCs w:val="22"/>
        </w:rPr>
        <w:t xml:space="preserve">additional </w:t>
      </w:r>
      <w:r w:rsidRPr="00406C63">
        <w:rPr>
          <w:sz w:val="22"/>
          <w:szCs w:val="22"/>
        </w:rPr>
        <w:t xml:space="preserve">hour </w:t>
      </w:r>
      <w:r>
        <w:rPr>
          <w:sz w:val="22"/>
          <w:szCs w:val="22"/>
        </w:rPr>
        <w:t xml:space="preserve">(to </w:t>
      </w:r>
      <w:r w:rsidR="00707399">
        <w:rPr>
          <w:sz w:val="22"/>
          <w:szCs w:val="22"/>
        </w:rPr>
        <w:t xml:space="preserve">538 hours) </w:t>
      </w:r>
      <w:r w:rsidRPr="00406C63">
        <w:rPr>
          <w:sz w:val="22"/>
          <w:szCs w:val="22"/>
        </w:rPr>
        <w:t xml:space="preserve">for recordkeeping and </w:t>
      </w:r>
      <w:r>
        <w:rPr>
          <w:sz w:val="22"/>
          <w:szCs w:val="22"/>
        </w:rPr>
        <w:t>0 additional</w:t>
      </w:r>
      <w:r w:rsidRPr="00406C63">
        <w:rPr>
          <w:sz w:val="22"/>
          <w:szCs w:val="22"/>
        </w:rPr>
        <w:t xml:space="preserve"> hour</w:t>
      </w:r>
      <w:r>
        <w:rPr>
          <w:sz w:val="22"/>
          <w:szCs w:val="22"/>
        </w:rPr>
        <w:t>s</w:t>
      </w:r>
      <w:r w:rsidR="00707399">
        <w:rPr>
          <w:sz w:val="22"/>
          <w:szCs w:val="22"/>
        </w:rPr>
        <w:t xml:space="preserve"> (137 hours)</w:t>
      </w:r>
      <w:r w:rsidRPr="00406C63">
        <w:rPr>
          <w:sz w:val="22"/>
          <w:szCs w:val="22"/>
        </w:rPr>
        <w:t xml:space="preserve"> for reporting, for a total average burden per hospital of 67</w:t>
      </w:r>
      <w:r>
        <w:rPr>
          <w:sz w:val="22"/>
          <w:szCs w:val="22"/>
        </w:rPr>
        <w:t>5</w:t>
      </w:r>
      <w:r w:rsidRPr="00406C63">
        <w:rPr>
          <w:sz w:val="22"/>
          <w:szCs w:val="22"/>
        </w:rPr>
        <w:t xml:space="preserve"> hours (53</w:t>
      </w:r>
      <w:r>
        <w:rPr>
          <w:sz w:val="22"/>
          <w:szCs w:val="22"/>
        </w:rPr>
        <w:t>8</w:t>
      </w:r>
      <w:r w:rsidRPr="00406C63">
        <w:rPr>
          <w:sz w:val="22"/>
          <w:szCs w:val="22"/>
        </w:rPr>
        <w:t xml:space="preserve"> hours for recordkeeping </w:t>
      </w:r>
      <w:r w:rsidR="00707399">
        <w:rPr>
          <w:sz w:val="22"/>
          <w:szCs w:val="22"/>
        </w:rPr>
        <w:t>plus</w:t>
      </w:r>
      <w:r w:rsidRPr="00406C63">
        <w:rPr>
          <w:sz w:val="22"/>
          <w:szCs w:val="22"/>
        </w:rPr>
        <w:t xml:space="preserve"> 137 hours for reporting).  </w:t>
      </w:r>
      <w:r w:rsidR="005C3B68">
        <w:rPr>
          <w:sz w:val="22"/>
          <w:szCs w:val="22"/>
        </w:rPr>
        <w:t xml:space="preserve">We note that </w:t>
      </w:r>
      <w:r>
        <w:rPr>
          <w:sz w:val="22"/>
          <w:szCs w:val="22"/>
        </w:rPr>
        <w:t xml:space="preserve">by </w:t>
      </w:r>
      <w:r w:rsidR="005C3B68">
        <w:rPr>
          <w:sz w:val="22"/>
          <w:szCs w:val="22"/>
        </w:rPr>
        <w:t>subsuming the OMB #0938-1473 and the OMB #0938-1425 into the OMB #0938-0050</w:t>
      </w:r>
      <w:r>
        <w:rPr>
          <w:sz w:val="22"/>
          <w:szCs w:val="22"/>
        </w:rPr>
        <w:t>, the cost reporting software efficiently transfers data to the Worksheet E-90 and Worksheet E-95 to calculate the payment adjustments and eliminates the data entry on the OMB #0938-1473 and the OMB #0938-1425.</w:t>
      </w:r>
    </w:p>
    <w:p w:rsidR="004A463B" w:rsidRPr="00406C63" w:rsidP="00AB0E84" w14:paraId="34A76E67" w14:textId="77777777">
      <w:pPr>
        <w:tabs>
          <w:tab w:val="left" w:pos="540"/>
        </w:tabs>
        <w:spacing w:line="242" w:lineRule="auto"/>
        <w:ind w:left="720"/>
        <w:rPr>
          <w:sz w:val="22"/>
          <w:szCs w:val="22"/>
        </w:rPr>
      </w:pPr>
    </w:p>
    <w:p w:rsidR="00707399" w:rsidP="00AB0E84" w14:paraId="50D2AA17" w14:textId="5CED5F69">
      <w:pPr>
        <w:tabs>
          <w:tab w:val="left" w:pos="540"/>
        </w:tabs>
        <w:ind w:left="720"/>
        <w:rPr>
          <w:sz w:val="22"/>
          <w:szCs w:val="22"/>
        </w:rPr>
      </w:pPr>
      <w:r w:rsidRPr="00406C63">
        <w:rPr>
          <w:sz w:val="22"/>
          <w:szCs w:val="22"/>
        </w:rPr>
        <w:t>We calculated the annual burden hours as follows:  6,0</w:t>
      </w:r>
      <w:r w:rsidR="009D6C25">
        <w:rPr>
          <w:sz w:val="22"/>
          <w:szCs w:val="22"/>
        </w:rPr>
        <w:t>44</w:t>
      </w:r>
      <w:r w:rsidRPr="00406C63">
        <w:rPr>
          <w:sz w:val="22"/>
          <w:szCs w:val="22"/>
        </w:rPr>
        <w:t xml:space="preserve"> hospitals multiplied by 67</w:t>
      </w:r>
      <w:r w:rsidR="009D6C25">
        <w:rPr>
          <w:sz w:val="22"/>
          <w:szCs w:val="22"/>
        </w:rPr>
        <w:t>5</w:t>
      </w:r>
      <w:r w:rsidRPr="00406C63">
        <w:rPr>
          <w:sz w:val="22"/>
          <w:szCs w:val="22"/>
        </w:rPr>
        <w:t xml:space="preserve"> hours per hospital equals 4,0</w:t>
      </w:r>
      <w:r w:rsidR="009D6C25">
        <w:rPr>
          <w:sz w:val="22"/>
          <w:szCs w:val="22"/>
        </w:rPr>
        <w:t>7</w:t>
      </w:r>
      <w:r w:rsidRPr="00406C63">
        <w:rPr>
          <w:sz w:val="22"/>
          <w:szCs w:val="22"/>
        </w:rPr>
        <w:t>9,</w:t>
      </w:r>
      <w:r w:rsidR="009D6C25">
        <w:rPr>
          <w:sz w:val="22"/>
          <w:szCs w:val="22"/>
        </w:rPr>
        <w:t>700</w:t>
      </w:r>
      <w:r w:rsidRPr="00406C63">
        <w:rPr>
          <w:sz w:val="22"/>
          <w:szCs w:val="22"/>
        </w:rPr>
        <w:t xml:space="preserve"> annual burden hours.</w:t>
      </w:r>
      <w:r w:rsidR="009D6C25">
        <w:rPr>
          <w:sz w:val="22"/>
          <w:szCs w:val="22"/>
        </w:rPr>
        <w:t xml:space="preserve">  </w:t>
      </w:r>
      <w:r w:rsidRPr="00406C63">
        <w:rPr>
          <w:sz w:val="22"/>
          <w:szCs w:val="22"/>
        </w:rPr>
        <w:t>The 53</w:t>
      </w:r>
      <w:r w:rsidR="009D6C25">
        <w:rPr>
          <w:sz w:val="22"/>
          <w:szCs w:val="22"/>
        </w:rPr>
        <w:t>8</w:t>
      </w:r>
      <w:r w:rsidRPr="00406C63">
        <w:rPr>
          <w:sz w:val="22"/>
          <w:szCs w:val="22"/>
        </w:rPr>
        <w:t xml:space="preserve"> hours for recordkeeping include hours for bookkeeping, accounting and auditing clerk</w:t>
      </w:r>
      <w:r w:rsidR="009B6B40">
        <w:rPr>
          <w:sz w:val="22"/>
          <w:szCs w:val="22"/>
        </w:rPr>
        <w:t>s</w:t>
      </w:r>
      <w:r w:rsidRPr="00406C63">
        <w:rPr>
          <w:sz w:val="22"/>
          <w:szCs w:val="22"/>
        </w:rPr>
        <w:t xml:space="preserve">; the 137 hours for reporting include </w:t>
      </w:r>
      <w:r w:rsidR="009B6B40">
        <w:rPr>
          <w:sz w:val="22"/>
          <w:szCs w:val="22"/>
        </w:rPr>
        <w:t xml:space="preserve">hours for </w:t>
      </w:r>
      <w:r w:rsidR="0084008E">
        <w:rPr>
          <w:sz w:val="22"/>
          <w:szCs w:val="22"/>
        </w:rPr>
        <w:t>accountants and auditors</w:t>
      </w:r>
      <w:r w:rsidRPr="00406C63">
        <w:rPr>
          <w:sz w:val="22"/>
          <w:szCs w:val="22"/>
        </w:rPr>
        <w:t xml:space="preserve">.  </w:t>
      </w:r>
    </w:p>
    <w:p w:rsidR="00707399" w:rsidP="00AB0E84" w14:paraId="31E31B4A" w14:textId="77777777">
      <w:pPr>
        <w:tabs>
          <w:tab w:val="left" w:pos="540"/>
        </w:tabs>
        <w:ind w:left="720"/>
        <w:rPr>
          <w:sz w:val="22"/>
          <w:szCs w:val="22"/>
        </w:rPr>
      </w:pPr>
    </w:p>
    <w:p w:rsidR="00AB0E84" w:rsidRPr="00406C63" w:rsidP="00AB0E84" w14:paraId="25D9311E" w14:textId="6B072DF3">
      <w:pPr>
        <w:tabs>
          <w:tab w:val="left" w:pos="540"/>
        </w:tabs>
        <w:ind w:left="720"/>
        <w:rPr>
          <w:sz w:val="22"/>
          <w:szCs w:val="22"/>
        </w:rPr>
      </w:pPr>
      <w:r w:rsidRPr="00406C63">
        <w:rPr>
          <w:sz w:val="22"/>
          <w:szCs w:val="22"/>
        </w:rPr>
        <w:t>Based on the most recent</w:t>
      </w:r>
      <w:r w:rsidR="001D6742">
        <w:rPr>
          <w:sz w:val="22"/>
          <w:szCs w:val="22"/>
        </w:rPr>
        <w:t xml:space="preserve"> data from</w:t>
      </w:r>
      <w:r w:rsidRPr="00406C63">
        <w:rPr>
          <w:sz w:val="22"/>
          <w:szCs w:val="22"/>
        </w:rPr>
        <w:t xml:space="preserve"> </w:t>
      </w:r>
      <w:r w:rsidR="00707399">
        <w:rPr>
          <w:sz w:val="22"/>
          <w:szCs w:val="22"/>
        </w:rPr>
        <w:t xml:space="preserve">US </w:t>
      </w:r>
      <w:r w:rsidRPr="00406C63">
        <w:rPr>
          <w:sz w:val="22"/>
          <w:szCs w:val="22"/>
        </w:rPr>
        <w:t xml:space="preserve">Bureau of Labor Statistics (BLS) </w:t>
      </w:r>
      <w:r w:rsidR="001D6742">
        <w:rPr>
          <w:sz w:val="22"/>
          <w:szCs w:val="22"/>
        </w:rPr>
        <w:t>Occupational Employment and Wage Statistic</w:t>
      </w:r>
      <w:r w:rsidRPr="00406C63">
        <w:rPr>
          <w:sz w:val="22"/>
          <w:szCs w:val="22"/>
        </w:rPr>
        <w:t xml:space="preserve">, the mean hourly wage for Category 43-3031 </w:t>
      </w:r>
      <w:hyperlink r:id="rId5" w:history="1">
        <w:r w:rsidRPr="00406C63">
          <w:rPr>
            <w:rStyle w:val="Hyperlink"/>
            <w:sz w:val="22"/>
            <w:szCs w:val="22"/>
          </w:rPr>
          <w:t>https://www.bls.gov/oes/current/oes433031.htm</w:t>
        </w:r>
      </w:hyperlink>
      <w:r w:rsidRPr="00406C63">
        <w:rPr>
          <w:rStyle w:val="Hyperlink"/>
          <w:sz w:val="22"/>
          <w:szCs w:val="22"/>
        </w:rPr>
        <w:t xml:space="preserve"> </w:t>
      </w:r>
      <w:r w:rsidRPr="00406C63">
        <w:rPr>
          <w:sz w:val="22"/>
          <w:szCs w:val="22"/>
        </w:rPr>
        <w:t xml:space="preserve"> (bookkeeping, accounting and auditing clerks) is $2</w:t>
      </w:r>
      <w:r w:rsidR="00707399">
        <w:rPr>
          <w:sz w:val="22"/>
          <w:szCs w:val="22"/>
        </w:rPr>
        <w:t>3</w:t>
      </w:r>
      <w:r w:rsidRPr="00406C63">
        <w:rPr>
          <w:sz w:val="22"/>
          <w:szCs w:val="22"/>
        </w:rPr>
        <w:t>.</w:t>
      </w:r>
      <w:r w:rsidR="00707399">
        <w:rPr>
          <w:sz w:val="22"/>
          <w:szCs w:val="22"/>
        </w:rPr>
        <w:t>84</w:t>
      </w:r>
      <w:r w:rsidRPr="00406C63">
        <w:rPr>
          <w:sz w:val="22"/>
          <w:szCs w:val="22"/>
        </w:rPr>
        <w:t>.  We added 100% of the mean hourly wage to account for fringe and overhead benefits, which calculates to $</w:t>
      </w:r>
      <w:r w:rsidR="00707399">
        <w:rPr>
          <w:sz w:val="22"/>
          <w:szCs w:val="22"/>
        </w:rPr>
        <w:t>47</w:t>
      </w:r>
      <w:r w:rsidRPr="00406C63">
        <w:rPr>
          <w:sz w:val="22"/>
          <w:szCs w:val="22"/>
        </w:rPr>
        <w:t>.</w:t>
      </w:r>
      <w:r w:rsidR="00707399">
        <w:rPr>
          <w:sz w:val="22"/>
          <w:szCs w:val="22"/>
        </w:rPr>
        <w:t>68</w:t>
      </w:r>
      <w:r w:rsidRPr="00406C63">
        <w:rPr>
          <w:sz w:val="22"/>
          <w:szCs w:val="22"/>
        </w:rPr>
        <w:t xml:space="preserve"> ($2</w:t>
      </w:r>
      <w:r w:rsidR="00707399">
        <w:rPr>
          <w:sz w:val="22"/>
          <w:szCs w:val="22"/>
        </w:rPr>
        <w:t>3.84</w:t>
      </w:r>
      <w:r w:rsidRPr="00406C63">
        <w:rPr>
          <w:sz w:val="22"/>
          <w:szCs w:val="22"/>
        </w:rPr>
        <w:t xml:space="preserve"> plus $2</w:t>
      </w:r>
      <w:r w:rsidR="00707399">
        <w:rPr>
          <w:sz w:val="22"/>
          <w:szCs w:val="22"/>
        </w:rPr>
        <w:t>3.84</w:t>
      </w:r>
      <w:r w:rsidRPr="00406C63">
        <w:rPr>
          <w:sz w:val="22"/>
          <w:szCs w:val="22"/>
        </w:rPr>
        <w:t>) and multiplied it by 53</w:t>
      </w:r>
      <w:r w:rsidR="00707399">
        <w:rPr>
          <w:sz w:val="22"/>
          <w:szCs w:val="22"/>
        </w:rPr>
        <w:t>8</w:t>
      </w:r>
      <w:r w:rsidRPr="00406C63">
        <w:rPr>
          <w:sz w:val="22"/>
          <w:szCs w:val="22"/>
        </w:rPr>
        <w:t xml:space="preserve"> hours, to </w:t>
      </w:r>
      <w:r w:rsidRPr="00406C63">
        <w:rPr>
          <w:sz w:val="22"/>
          <w:szCs w:val="22"/>
        </w:rPr>
        <w:t>determine the annual recordkeeping costs per hospital to be $</w:t>
      </w:r>
      <w:r w:rsidR="00707399">
        <w:rPr>
          <w:sz w:val="22"/>
          <w:szCs w:val="22"/>
        </w:rPr>
        <w:t>25</w:t>
      </w:r>
      <w:r w:rsidRPr="00406C63">
        <w:rPr>
          <w:sz w:val="22"/>
          <w:szCs w:val="22"/>
        </w:rPr>
        <w:t>,</w:t>
      </w:r>
      <w:r w:rsidR="00707399">
        <w:rPr>
          <w:sz w:val="22"/>
          <w:szCs w:val="22"/>
        </w:rPr>
        <w:t>651</w:t>
      </w:r>
      <w:r w:rsidRPr="00406C63">
        <w:rPr>
          <w:sz w:val="22"/>
          <w:szCs w:val="22"/>
        </w:rPr>
        <w:t>.</w:t>
      </w:r>
      <w:r w:rsidR="00707399">
        <w:rPr>
          <w:sz w:val="22"/>
          <w:szCs w:val="22"/>
        </w:rPr>
        <w:t>84</w:t>
      </w:r>
      <w:r w:rsidRPr="00406C63">
        <w:rPr>
          <w:sz w:val="22"/>
          <w:szCs w:val="22"/>
        </w:rPr>
        <w:t xml:space="preserve"> ($4</w:t>
      </w:r>
      <w:r w:rsidR="00707399">
        <w:rPr>
          <w:sz w:val="22"/>
          <w:szCs w:val="22"/>
        </w:rPr>
        <w:t>7</w:t>
      </w:r>
      <w:r w:rsidRPr="00406C63">
        <w:rPr>
          <w:sz w:val="22"/>
          <w:szCs w:val="22"/>
        </w:rPr>
        <w:t>.</w:t>
      </w:r>
      <w:r w:rsidR="00707399">
        <w:rPr>
          <w:sz w:val="22"/>
          <w:szCs w:val="22"/>
        </w:rPr>
        <w:t>68</w:t>
      </w:r>
      <w:r w:rsidRPr="00406C63">
        <w:rPr>
          <w:sz w:val="22"/>
          <w:szCs w:val="22"/>
        </w:rPr>
        <w:t xml:space="preserve"> per hour multiplied by 53</w:t>
      </w:r>
      <w:r w:rsidR="00707399">
        <w:rPr>
          <w:sz w:val="22"/>
          <w:szCs w:val="22"/>
        </w:rPr>
        <w:t>8</w:t>
      </w:r>
      <w:r w:rsidRPr="00406C63">
        <w:rPr>
          <w:sz w:val="22"/>
          <w:szCs w:val="22"/>
        </w:rPr>
        <w:t xml:space="preserve"> hours).</w:t>
      </w:r>
    </w:p>
    <w:p w:rsidR="00AB0E84" w:rsidRPr="00406C63" w:rsidP="00AB0E84" w14:paraId="183E21D8" w14:textId="77777777">
      <w:pPr>
        <w:tabs>
          <w:tab w:val="left" w:pos="540"/>
        </w:tabs>
        <w:ind w:left="720"/>
        <w:rPr>
          <w:sz w:val="22"/>
          <w:szCs w:val="22"/>
        </w:rPr>
      </w:pPr>
    </w:p>
    <w:p w:rsidR="00AB0E84" w:rsidRPr="00406C63" w:rsidP="00AB0E84" w14:paraId="22A51C0F" w14:textId="3295A996">
      <w:pPr>
        <w:tabs>
          <w:tab w:val="left" w:pos="540"/>
        </w:tabs>
        <w:ind w:left="720"/>
        <w:rPr>
          <w:sz w:val="22"/>
          <w:szCs w:val="22"/>
        </w:rPr>
      </w:pPr>
      <w:r w:rsidRPr="00406C63">
        <w:rPr>
          <w:sz w:val="22"/>
          <w:szCs w:val="22"/>
        </w:rPr>
        <w:t xml:space="preserve">Based on the most recent BLS Occupation Outlook Handbook, the mean hourly wage for Category 13-2011 </w:t>
      </w:r>
      <w:hyperlink r:id="rId6" w:history="1">
        <w:r w:rsidRPr="00406C63">
          <w:rPr>
            <w:rStyle w:val="Hyperlink"/>
            <w:sz w:val="22"/>
            <w:szCs w:val="22"/>
          </w:rPr>
          <w:t>www.bls.gov/oes/current/oes132011.htm</w:t>
        </w:r>
      </w:hyperlink>
      <w:r w:rsidRPr="00406C63">
        <w:rPr>
          <w:sz w:val="22"/>
          <w:szCs w:val="22"/>
        </w:rPr>
        <w:t xml:space="preserve"> (account</w:t>
      </w:r>
      <w:r w:rsidR="0084008E">
        <w:rPr>
          <w:sz w:val="22"/>
          <w:szCs w:val="22"/>
        </w:rPr>
        <w:t>ants and auditors</w:t>
      </w:r>
      <w:r w:rsidRPr="00406C63">
        <w:rPr>
          <w:sz w:val="22"/>
          <w:szCs w:val="22"/>
        </w:rPr>
        <w:t>) is $4</w:t>
      </w:r>
      <w:r w:rsidR="00650ADB">
        <w:rPr>
          <w:sz w:val="22"/>
          <w:szCs w:val="22"/>
        </w:rPr>
        <w:t>3</w:t>
      </w:r>
      <w:r>
        <w:rPr>
          <w:sz w:val="22"/>
          <w:szCs w:val="22"/>
        </w:rPr>
        <w:t>.65</w:t>
      </w:r>
      <w:r w:rsidRPr="00406C63">
        <w:rPr>
          <w:sz w:val="22"/>
          <w:szCs w:val="22"/>
        </w:rPr>
        <w:t>.  We added 100% of the mean hourly wage to account for fringe and overhead benefits, which calculates to $8</w:t>
      </w:r>
      <w:r w:rsidR="00650ADB">
        <w:rPr>
          <w:sz w:val="22"/>
          <w:szCs w:val="22"/>
        </w:rPr>
        <w:t>7.30</w:t>
      </w:r>
      <w:r w:rsidRPr="00406C63">
        <w:rPr>
          <w:sz w:val="22"/>
          <w:szCs w:val="22"/>
        </w:rPr>
        <w:t xml:space="preserve"> ($4</w:t>
      </w:r>
      <w:r w:rsidR="00650ADB">
        <w:rPr>
          <w:sz w:val="22"/>
          <w:szCs w:val="22"/>
        </w:rPr>
        <w:t>3.65</w:t>
      </w:r>
      <w:r w:rsidRPr="00406C63">
        <w:rPr>
          <w:sz w:val="22"/>
          <w:szCs w:val="22"/>
        </w:rPr>
        <w:t xml:space="preserve"> plus $4</w:t>
      </w:r>
      <w:r w:rsidR="00650ADB">
        <w:rPr>
          <w:sz w:val="22"/>
          <w:szCs w:val="22"/>
        </w:rPr>
        <w:t>3.65</w:t>
      </w:r>
      <w:r w:rsidRPr="00406C63">
        <w:rPr>
          <w:sz w:val="22"/>
          <w:szCs w:val="22"/>
        </w:rPr>
        <w:t>) and multiplied it by 137 hours, to determine the annual reporting costs per hospital to be $11,</w:t>
      </w:r>
      <w:r w:rsidR="00650ADB">
        <w:rPr>
          <w:sz w:val="22"/>
          <w:szCs w:val="22"/>
        </w:rPr>
        <w:t>96</w:t>
      </w:r>
      <w:r w:rsidRPr="00406C63">
        <w:rPr>
          <w:sz w:val="22"/>
          <w:szCs w:val="22"/>
        </w:rPr>
        <w:t>0.</w:t>
      </w:r>
      <w:r w:rsidR="00650ADB">
        <w:rPr>
          <w:sz w:val="22"/>
          <w:szCs w:val="22"/>
        </w:rPr>
        <w:t>10</w:t>
      </w:r>
      <w:r w:rsidRPr="00406C63">
        <w:rPr>
          <w:sz w:val="22"/>
          <w:szCs w:val="22"/>
        </w:rPr>
        <w:t xml:space="preserve"> ($87</w:t>
      </w:r>
      <w:r w:rsidR="00650ADB">
        <w:rPr>
          <w:sz w:val="22"/>
          <w:szCs w:val="22"/>
        </w:rPr>
        <w:t xml:space="preserve">.30 </w:t>
      </w:r>
      <w:r w:rsidRPr="00406C63">
        <w:rPr>
          <w:sz w:val="22"/>
          <w:szCs w:val="22"/>
        </w:rPr>
        <w:t xml:space="preserve">per hour multiplied by 137 hours).  </w:t>
      </w:r>
    </w:p>
    <w:p w:rsidR="00AB0E84" w:rsidRPr="00406C63" w:rsidP="00AB0E84" w14:paraId="333234F4" w14:textId="77777777">
      <w:pPr>
        <w:tabs>
          <w:tab w:val="left" w:pos="540"/>
        </w:tabs>
        <w:ind w:left="720"/>
        <w:rPr>
          <w:sz w:val="22"/>
          <w:szCs w:val="22"/>
        </w:rPr>
      </w:pPr>
    </w:p>
    <w:p w:rsidR="001D0947" w:rsidRPr="00406C63" w:rsidP="00AB0E84" w14:paraId="52E69FEA" w14:textId="148CDA49">
      <w:pPr>
        <w:tabs>
          <w:tab w:val="left" w:pos="540"/>
        </w:tabs>
        <w:spacing w:line="242" w:lineRule="auto"/>
        <w:ind w:left="720"/>
        <w:rPr>
          <w:sz w:val="22"/>
          <w:szCs w:val="22"/>
        </w:rPr>
      </w:pPr>
      <w:r w:rsidRPr="00406C63">
        <w:rPr>
          <w:sz w:val="22"/>
          <w:szCs w:val="22"/>
        </w:rPr>
        <w:t xml:space="preserve">We calculated </w:t>
      </w:r>
      <w:r w:rsidR="00650ADB">
        <w:rPr>
          <w:sz w:val="22"/>
          <w:szCs w:val="22"/>
        </w:rPr>
        <w:t>a</w:t>
      </w:r>
      <w:r w:rsidRPr="00406C63">
        <w:rPr>
          <w:sz w:val="22"/>
          <w:szCs w:val="22"/>
        </w:rPr>
        <w:t xml:space="preserve"> total average annual cost per hospital of $3</w:t>
      </w:r>
      <w:r w:rsidR="00650ADB">
        <w:rPr>
          <w:sz w:val="22"/>
          <w:szCs w:val="22"/>
        </w:rPr>
        <w:t>7</w:t>
      </w:r>
      <w:r w:rsidRPr="00406C63">
        <w:rPr>
          <w:sz w:val="22"/>
          <w:szCs w:val="22"/>
        </w:rPr>
        <w:t>,6</w:t>
      </w:r>
      <w:r w:rsidR="00650ADB">
        <w:rPr>
          <w:sz w:val="22"/>
          <w:szCs w:val="22"/>
        </w:rPr>
        <w:t>11.94</w:t>
      </w:r>
      <w:r w:rsidRPr="00406C63">
        <w:rPr>
          <w:sz w:val="22"/>
          <w:szCs w:val="22"/>
        </w:rPr>
        <w:t xml:space="preserve"> by adding the </w:t>
      </w:r>
      <w:r w:rsidR="00650ADB">
        <w:rPr>
          <w:sz w:val="22"/>
          <w:szCs w:val="22"/>
        </w:rPr>
        <w:t xml:space="preserve">per hospital </w:t>
      </w:r>
      <w:r w:rsidRPr="00406C63">
        <w:rPr>
          <w:sz w:val="22"/>
          <w:szCs w:val="22"/>
        </w:rPr>
        <w:t>recordkeeping costs of $2</w:t>
      </w:r>
      <w:r w:rsidR="00650ADB">
        <w:rPr>
          <w:sz w:val="22"/>
          <w:szCs w:val="22"/>
        </w:rPr>
        <w:t>5</w:t>
      </w:r>
      <w:r w:rsidRPr="00406C63">
        <w:rPr>
          <w:sz w:val="22"/>
          <w:szCs w:val="22"/>
        </w:rPr>
        <w:t>,</w:t>
      </w:r>
      <w:r w:rsidR="00650ADB">
        <w:rPr>
          <w:sz w:val="22"/>
          <w:szCs w:val="22"/>
        </w:rPr>
        <w:t>651.84</w:t>
      </w:r>
      <w:r w:rsidRPr="00406C63">
        <w:rPr>
          <w:sz w:val="22"/>
          <w:szCs w:val="22"/>
        </w:rPr>
        <w:t xml:space="preserve"> plus the</w:t>
      </w:r>
      <w:r w:rsidR="00650ADB">
        <w:rPr>
          <w:sz w:val="22"/>
          <w:szCs w:val="22"/>
        </w:rPr>
        <w:t xml:space="preserve"> per hospital</w:t>
      </w:r>
      <w:r w:rsidRPr="00406C63">
        <w:rPr>
          <w:sz w:val="22"/>
          <w:szCs w:val="22"/>
        </w:rPr>
        <w:t xml:space="preserve"> reporting costs of $11,</w:t>
      </w:r>
      <w:r w:rsidR="00650ADB">
        <w:rPr>
          <w:sz w:val="22"/>
          <w:szCs w:val="22"/>
        </w:rPr>
        <w:t>960.10</w:t>
      </w:r>
      <w:r w:rsidRPr="00406C63">
        <w:rPr>
          <w:sz w:val="22"/>
          <w:szCs w:val="22"/>
        </w:rPr>
        <w:t>.  We estimated the total annual cost to be $2</w:t>
      </w:r>
      <w:r w:rsidR="00650ADB">
        <w:rPr>
          <w:sz w:val="22"/>
          <w:szCs w:val="22"/>
        </w:rPr>
        <w:t>27,326,565</w:t>
      </w:r>
      <w:r w:rsidRPr="00406C63">
        <w:rPr>
          <w:sz w:val="22"/>
          <w:szCs w:val="22"/>
        </w:rPr>
        <w:t xml:space="preserve"> (</w:t>
      </w:r>
      <w:r w:rsidR="00650ADB">
        <w:rPr>
          <w:sz w:val="22"/>
          <w:szCs w:val="22"/>
        </w:rPr>
        <w:t xml:space="preserve">6,044 hospitals multiplied by </w:t>
      </w:r>
      <w:r w:rsidRPr="00406C63">
        <w:rPr>
          <w:sz w:val="22"/>
          <w:szCs w:val="22"/>
        </w:rPr>
        <w:t>$3</w:t>
      </w:r>
      <w:r w:rsidR="00650ADB">
        <w:rPr>
          <w:sz w:val="22"/>
          <w:szCs w:val="22"/>
        </w:rPr>
        <w:t>7,611.94</w:t>
      </w:r>
      <w:r w:rsidRPr="00406C63">
        <w:rPr>
          <w:sz w:val="22"/>
          <w:szCs w:val="22"/>
        </w:rPr>
        <w:t xml:space="preserve"> cost per hospital</w:t>
      </w:r>
      <w:r w:rsidR="00650ADB">
        <w:rPr>
          <w:sz w:val="22"/>
          <w:szCs w:val="22"/>
        </w:rPr>
        <w:t>, rounded to whole dollars</w:t>
      </w:r>
      <w:r w:rsidRPr="00406C63">
        <w:rPr>
          <w:sz w:val="22"/>
          <w:szCs w:val="22"/>
        </w:rPr>
        <w:t>).</w:t>
      </w:r>
      <w:r w:rsidR="007B34A1">
        <w:rPr>
          <w:sz w:val="22"/>
          <w:szCs w:val="22"/>
        </w:rPr>
        <w:t xml:space="preserve"> </w:t>
      </w:r>
    </w:p>
    <w:p w:rsidR="00D2358D" w:rsidRPr="00406C63" w:rsidP="001F71DE" w14:paraId="1CB47099" w14:textId="77777777">
      <w:pPr>
        <w:spacing w:before="1"/>
        <w:ind w:left="1080"/>
        <w:rPr>
          <w:sz w:val="22"/>
          <w:szCs w:val="22"/>
        </w:rPr>
      </w:pPr>
    </w:p>
    <w:p w:rsidR="00D2358D" w:rsidRPr="00406C63" w:rsidP="006223D1" w14:paraId="51505FAB" w14:textId="77777777">
      <w:pPr>
        <w:pStyle w:val="Heading2"/>
        <w:numPr>
          <w:ilvl w:val="0"/>
          <w:numId w:val="7"/>
        </w:numPr>
        <w:rPr>
          <w:sz w:val="22"/>
          <w:szCs w:val="22"/>
          <w:u w:val="single"/>
        </w:rPr>
      </w:pPr>
      <w:r w:rsidRPr="00406C63">
        <w:rPr>
          <w:sz w:val="22"/>
          <w:szCs w:val="22"/>
          <w:u w:val="single"/>
        </w:rPr>
        <w:t>Capital Costs</w:t>
      </w:r>
    </w:p>
    <w:p w:rsidR="00D2358D" w:rsidRPr="00406C63" w:rsidP="009763CD" w14:paraId="137304E8" w14:textId="77777777">
      <w:pPr>
        <w:tabs>
          <w:tab w:val="left" w:pos="540"/>
        </w:tabs>
        <w:ind w:left="810"/>
        <w:rPr>
          <w:sz w:val="22"/>
          <w:szCs w:val="22"/>
        </w:rPr>
      </w:pPr>
    </w:p>
    <w:p w:rsidR="00D2358D" w:rsidRPr="00406C63" w:rsidP="006223D1" w14:paraId="3E8FED55" w14:textId="77777777">
      <w:pPr>
        <w:tabs>
          <w:tab w:val="left" w:pos="540"/>
        </w:tabs>
        <w:ind w:left="720"/>
        <w:rPr>
          <w:sz w:val="22"/>
          <w:szCs w:val="22"/>
        </w:rPr>
      </w:pPr>
      <w:r w:rsidRPr="00406C63">
        <w:rPr>
          <w:sz w:val="22"/>
          <w:szCs w:val="22"/>
        </w:rPr>
        <w:t>There are no capital costs.</w:t>
      </w:r>
    </w:p>
    <w:p w:rsidR="00D2358D" w:rsidRPr="00406C63" w:rsidP="009763CD" w14:paraId="3290A06F" w14:textId="77777777">
      <w:pPr>
        <w:tabs>
          <w:tab w:val="left" w:pos="540"/>
        </w:tabs>
        <w:ind w:left="810"/>
        <w:rPr>
          <w:sz w:val="22"/>
          <w:szCs w:val="22"/>
        </w:rPr>
      </w:pPr>
    </w:p>
    <w:p w:rsidR="00D2358D" w:rsidRPr="00406C63" w:rsidP="006223D1" w14:paraId="716791E5" w14:textId="77777777">
      <w:pPr>
        <w:pStyle w:val="Heading2"/>
        <w:numPr>
          <w:ilvl w:val="0"/>
          <w:numId w:val="7"/>
        </w:numPr>
        <w:rPr>
          <w:sz w:val="22"/>
          <w:szCs w:val="22"/>
          <w:u w:val="single"/>
        </w:rPr>
      </w:pPr>
      <w:r w:rsidRPr="00406C63">
        <w:rPr>
          <w:sz w:val="22"/>
          <w:szCs w:val="22"/>
          <w:u w:val="single"/>
        </w:rPr>
        <w:t>Cost to Federal Government</w:t>
      </w:r>
    </w:p>
    <w:p w:rsidR="00DA31ED" w:rsidRPr="00406C63" w:rsidP="007C5A62" w14:paraId="2D54FAA6" w14:textId="77777777">
      <w:pPr>
        <w:tabs>
          <w:tab w:val="left" w:pos="540"/>
        </w:tabs>
        <w:ind w:left="810"/>
        <w:rPr>
          <w:sz w:val="22"/>
          <w:szCs w:val="22"/>
        </w:rPr>
      </w:pPr>
    </w:p>
    <w:tbl>
      <w:tblPr>
        <w:tblStyle w:val="TableGrid"/>
        <w:tblCaption w:val="Costs to Federal Government"/>
        <w:tblDescription w:val="This table presents the costs to the Federal government for the OMB. No. 0938-0500."/>
        <w:tblW w:w="8371" w:type="dxa"/>
        <w:tblInd w:w="810" w:type="dxa"/>
        <w:tblBorders>
          <w:insideH w:val="none" w:sz="0" w:space="0" w:color="auto"/>
          <w:insideV w:val="none" w:sz="0" w:space="0" w:color="auto"/>
        </w:tblBorders>
        <w:tblLook w:val="04A0"/>
      </w:tblPr>
      <w:tblGrid>
        <w:gridCol w:w="265"/>
        <w:gridCol w:w="6570"/>
        <w:gridCol w:w="1536"/>
      </w:tblGrid>
      <w:tr w14:paraId="5232DB53" w14:textId="77777777" w:rsidTr="00862A6A">
        <w:tblPrEx>
          <w:tblW w:w="8371" w:type="dxa"/>
          <w:tblInd w:w="810" w:type="dxa"/>
          <w:tblBorders>
            <w:insideH w:val="none" w:sz="0" w:space="0" w:color="auto"/>
            <w:insideV w:val="none" w:sz="0" w:space="0" w:color="auto"/>
          </w:tblBorders>
          <w:tblLook w:val="04A0"/>
        </w:tblPrEx>
        <w:trPr>
          <w:tblHeader/>
        </w:trPr>
        <w:tc>
          <w:tcPr>
            <w:tcW w:w="265" w:type="dxa"/>
          </w:tcPr>
          <w:p w:rsidR="00DA31ED" w:rsidRPr="00406C63" w:rsidP="00DA31ED" w14:paraId="302080E8" w14:textId="77777777">
            <w:pPr>
              <w:tabs>
                <w:tab w:val="left" w:pos="540"/>
              </w:tabs>
              <w:rPr>
                <w:sz w:val="14"/>
                <w:szCs w:val="14"/>
              </w:rPr>
            </w:pPr>
          </w:p>
        </w:tc>
        <w:tc>
          <w:tcPr>
            <w:tcW w:w="8106" w:type="dxa"/>
            <w:gridSpan w:val="2"/>
          </w:tcPr>
          <w:p w:rsidR="00DA31ED" w:rsidRPr="00B05ED8" w:rsidP="00DA31ED" w14:paraId="69FE0C83" w14:textId="77777777">
            <w:pPr>
              <w:tabs>
                <w:tab w:val="left" w:pos="540"/>
              </w:tabs>
              <w:rPr>
                <w:sz w:val="14"/>
                <w:szCs w:val="14"/>
              </w:rPr>
            </w:pPr>
          </w:p>
        </w:tc>
      </w:tr>
      <w:tr w14:paraId="0CA3AB4C" w14:textId="77777777" w:rsidTr="007C5A62">
        <w:tblPrEx>
          <w:tblW w:w="8371" w:type="dxa"/>
          <w:tblInd w:w="810" w:type="dxa"/>
          <w:tblLook w:val="04A0"/>
        </w:tblPrEx>
        <w:tc>
          <w:tcPr>
            <w:tcW w:w="6835" w:type="dxa"/>
            <w:gridSpan w:val="2"/>
          </w:tcPr>
          <w:p w:rsidR="00DA31ED" w:rsidRPr="00384C7E" w:rsidP="00F04D22" w14:paraId="0414E1E9" w14:textId="41C42E0D">
            <w:pPr>
              <w:tabs>
                <w:tab w:val="left" w:pos="540"/>
              </w:tabs>
              <w:ind w:left="157" w:hanging="157"/>
              <w:rPr>
                <w:sz w:val="22"/>
                <w:szCs w:val="22"/>
              </w:rPr>
            </w:pPr>
            <w:r w:rsidRPr="00384C7E">
              <w:rPr>
                <w:color w:val="000000"/>
                <w:sz w:val="22"/>
                <w:szCs w:val="22"/>
              </w:rPr>
              <w:t>Annual cost to MACs</w:t>
            </w:r>
          </w:p>
        </w:tc>
        <w:tc>
          <w:tcPr>
            <w:tcW w:w="1536" w:type="dxa"/>
          </w:tcPr>
          <w:p w:rsidR="00DA31ED" w:rsidRPr="00B05ED8" w14:paraId="302B6A8F" w14:textId="4B02BB60">
            <w:pPr>
              <w:tabs>
                <w:tab w:val="left" w:pos="540"/>
              </w:tabs>
              <w:jc w:val="right"/>
              <w:rPr>
                <w:sz w:val="22"/>
                <w:szCs w:val="22"/>
              </w:rPr>
            </w:pPr>
            <w:r w:rsidRPr="00B05ED8">
              <w:rPr>
                <w:color w:val="000000"/>
                <w:sz w:val="22"/>
                <w:szCs w:val="22"/>
              </w:rPr>
              <w:t>$</w:t>
            </w:r>
            <w:r w:rsidRPr="00B05ED8" w:rsidR="0016191D">
              <w:rPr>
                <w:color w:val="000000"/>
                <w:sz w:val="22"/>
                <w:szCs w:val="22"/>
              </w:rPr>
              <w:t>6</w:t>
            </w:r>
            <w:r w:rsidR="0084008E">
              <w:rPr>
                <w:color w:val="000000"/>
                <w:sz w:val="22"/>
                <w:szCs w:val="22"/>
              </w:rPr>
              <w:t>4,878,604</w:t>
            </w:r>
          </w:p>
        </w:tc>
      </w:tr>
      <w:tr w14:paraId="5C2BC4F9" w14:textId="77777777" w:rsidTr="007C5A62">
        <w:tblPrEx>
          <w:tblW w:w="8371" w:type="dxa"/>
          <w:tblInd w:w="810" w:type="dxa"/>
          <w:tblLook w:val="04A0"/>
        </w:tblPrEx>
        <w:tc>
          <w:tcPr>
            <w:tcW w:w="8371" w:type="dxa"/>
            <w:gridSpan w:val="3"/>
          </w:tcPr>
          <w:p w:rsidR="00DA31ED" w:rsidRPr="00384C7E" w:rsidP="00DA31ED" w14:paraId="7DEF30B0" w14:textId="77777777">
            <w:pPr>
              <w:tabs>
                <w:tab w:val="left" w:pos="540"/>
              </w:tabs>
              <w:rPr>
                <w:sz w:val="14"/>
                <w:szCs w:val="14"/>
              </w:rPr>
            </w:pPr>
          </w:p>
        </w:tc>
      </w:tr>
      <w:tr w14:paraId="0C7291E0" w14:textId="77777777" w:rsidTr="007C5A62">
        <w:tblPrEx>
          <w:tblW w:w="8371" w:type="dxa"/>
          <w:tblInd w:w="810" w:type="dxa"/>
          <w:tblLook w:val="04A0"/>
        </w:tblPrEx>
        <w:tc>
          <w:tcPr>
            <w:tcW w:w="6835" w:type="dxa"/>
            <w:gridSpan w:val="2"/>
          </w:tcPr>
          <w:p w:rsidR="00DA31ED" w:rsidRPr="00384C7E" w:rsidP="00DE093A" w14:paraId="16307A2C" w14:textId="1E27741A">
            <w:pPr>
              <w:tabs>
                <w:tab w:val="left" w:pos="540"/>
              </w:tabs>
              <w:ind w:left="157" w:hanging="157"/>
              <w:rPr>
                <w:sz w:val="22"/>
                <w:szCs w:val="22"/>
              </w:rPr>
            </w:pPr>
            <w:r w:rsidRPr="00384C7E">
              <w:rPr>
                <w:color w:val="000000"/>
                <w:sz w:val="22"/>
                <w:szCs w:val="22"/>
              </w:rPr>
              <w:t>Annual cost to CMS</w:t>
            </w:r>
            <w:r w:rsidRPr="00384C7E" w:rsidR="00DE093A">
              <w:rPr>
                <w:color w:val="000000"/>
                <w:sz w:val="22"/>
                <w:szCs w:val="22"/>
              </w:rPr>
              <w:t xml:space="preserve">  </w:t>
            </w:r>
          </w:p>
        </w:tc>
        <w:tc>
          <w:tcPr>
            <w:tcW w:w="1536" w:type="dxa"/>
          </w:tcPr>
          <w:p w:rsidR="00DA31ED" w:rsidRPr="00B05ED8" w:rsidP="00787B01" w14:paraId="5CCBAB2C" w14:textId="601F2CF5">
            <w:pPr>
              <w:tabs>
                <w:tab w:val="left" w:pos="540"/>
              </w:tabs>
              <w:ind w:left="72"/>
              <w:jc w:val="right"/>
              <w:rPr>
                <w:sz w:val="22"/>
                <w:szCs w:val="22"/>
              </w:rPr>
            </w:pPr>
            <w:r w:rsidRPr="00B05ED8">
              <w:rPr>
                <w:color w:val="000000"/>
                <w:sz w:val="22"/>
                <w:szCs w:val="22"/>
                <w:u w:val="single"/>
              </w:rPr>
              <w:t>$</w:t>
            </w:r>
            <w:r w:rsidR="00384C7E">
              <w:rPr>
                <w:color w:val="000000"/>
                <w:sz w:val="22"/>
                <w:szCs w:val="22"/>
                <w:u w:val="single"/>
              </w:rPr>
              <w:t>7</w:t>
            </w:r>
            <w:r w:rsidRPr="00B05ED8" w:rsidR="002B214B">
              <w:rPr>
                <w:color w:val="000000"/>
                <w:sz w:val="22"/>
                <w:szCs w:val="22"/>
                <w:u w:val="single"/>
              </w:rPr>
              <w:t>4,</w:t>
            </w:r>
            <w:r w:rsidR="00384C7E">
              <w:rPr>
                <w:color w:val="000000"/>
                <w:sz w:val="22"/>
                <w:szCs w:val="22"/>
                <w:u w:val="single"/>
              </w:rPr>
              <w:t>301</w:t>
            </w:r>
          </w:p>
        </w:tc>
      </w:tr>
      <w:tr w14:paraId="0ACD3721" w14:textId="77777777" w:rsidTr="007C5A62">
        <w:tblPrEx>
          <w:tblW w:w="8371" w:type="dxa"/>
          <w:tblInd w:w="810" w:type="dxa"/>
          <w:tblLook w:val="04A0"/>
        </w:tblPrEx>
        <w:tc>
          <w:tcPr>
            <w:tcW w:w="265" w:type="dxa"/>
          </w:tcPr>
          <w:p w:rsidR="00DA31ED" w:rsidRPr="00406C63" w:rsidP="00DA31ED" w14:paraId="2252FE84" w14:textId="77777777">
            <w:pPr>
              <w:tabs>
                <w:tab w:val="left" w:pos="540"/>
              </w:tabs>
              <w:rPr>
                <w:sz w:val="14"/>
                <w:szCs w:val="14"/>
              </w:rPr>
            </w:pPr>
          </w:p>
        </w:tc>
        <w:tc>
          <w:tcPr>
            <w:tcW w:w="6570" w:type="dxa"/>
          </w:tcPr>
          <w:p w:rsidR="00DA31ED" w:rsidRPr="00406C63" w:rsidP="00DA31ED" w14:paraId="64FAD402" w14:textId="77777777">
            <w:pPr>
              <w:tabs>
                <w:tab w:val="left" w:pos="540"/>
              </w:tabs>
              <w:rPr>
                <w:color w:val="000000"/>
                <w:sz w:val="14"/>
                <w:szCs w:val="14"/>
              </w:rPr>
            </w:pPr>
          </w:p>
        </w:tc>
        <w:tc>
          <w:tcPr>
            <w:tcW w:w="1536" w:type="dxa"/>
          </w:tcPr>
          <w:p w:rsidR="00DA31ED" w:rsidRPr="00B05ED8" w:rsidP="00DA31ED" w14:paraId="05A44A90" w14:textId="77777777">
            <w:pPr>
              <w:tabs>
                <w:tab w:val="left" w:pos="540"/>
              </w:tabs>
              <w:jc w:val="right"/>
              <w:rPr>
                <w:color w:val="000000"/>
                <w:sz w:val="14"/>
                <w:szCs w:val="14"/>
              </w:rPr>
            </w:pPr>
          </w:p>
        </w:tc>
      </w:tr>
      <w:tr w14:paraId="0962A0B7" w14:textId="77777777" w:rsidTr="007C5A62">
        <w:tblPrEx>
          <w:tblW w:w="8371" w:type="dxa"/>
          <w:tblInd w:w="810" w:type="dxa"/>
          <w:tblLook w:val="04A0"/>
        </w:tblPrEx>
        <w:tc>
          <w:tcPr>
            <w:tcW w:w="6835" w:type="dxa"/>
            <w:gridSpan w:val="2"/>
          </w:tcPr>
          <w:p w:rsidR="00DA31ED" w:rsidRPr="00406C63" w:rsidP="00DA31ED" w14:paraId="7DC8A508" w14:textId="77777777">
            <w:pPr>
              <w:tabs>
                <w:tab w:val="left" w:pos="540"/>
              </w:tabs>
              <w:rPr>
                <w:color w:val="000000"/>
                <w:sz w:val="22"/>
                <w:szCs w:val="22"/>
              </w:rPr>
            </w:pPr>
            <w:r w:rsidRPr="00406C63">
              <w:rPr>
                <w:color w:val="000000"/>
                <w:sz w:val="22"/>
                <w:szCs w:val="22"/>
              </w:rPr>
              <w:t>Total Federal cost</w:t>
            </w:r>
          </w:p>
        </w:tc>
        <w:tc>
          <w:tcPr>
            <w:tcW w:w="1536" w:type="dxa"/>
          </w:tcPr>
          <w:p w:rsidR="00DA31ED" w:rsidRPr="00B05ED8" w14:paraId="15701F04" w14:textId="31142202">
            <w:pPr>
              <w:tabs>
                <w:tab w:val="left" w:pos="540"/>
              </w:tabs>
              <w:jc w:val="right"/>
              <w:rPr>
                <w:color w:val="000000"/>
                <w:sz w:val="22"/>
                <w:szCs w:val="22"/>
                <w:u w:val="double"/>
              </w:rPr>
            </w:pPr>
            <w:r w:rsidRPr="00B05ED8">
              <w:rPr>
                <w:color w:val="000000"/>
                <w:sz w:val="22"/>
                <w:szCs w:val="22"/>
                <w:u w:val="double"/>
              </w:rPr>
              <w:t>$</w:t>
            </w:r>
            <w:r w:rsidR="0084008E">
              <w:rPr>
                <w:color w:val="000000"/>
                <w:sz w:val="22"/>
                <w:szCs w:val="22"/>
                <w:u w:val="double"/>
              </w:rPr>
              <w:t>64,9</w:t>
            </w:r>
            <w:r w:rsidR="00384C7E">
              <w:rPr>
                <w:color w:val="000000"/>
                <w:sz w:val="22"/>
                <w:szCs w:val="22"/>
                <w:u w:val="double"/>
              </w:rPr>
              <w:t>5</w:t>
            </w:r>
            <w:r w:rsidR="0084008E">
              <w:rPr>
                <w:color w:val="000000"/>
                <w:sz w:val="22"/>
                <w:szCs w:val="22"/>
                <w:u w:val="double"/>
              </w:rPr>
              <w:t>2,</w:t>
            </w:r>
            <w:r w:rsidR="00384C7E">
              <w:rPr>
                <w:color w:val="000000"/>
                <w:sz w:val="22"/>
                <w:szCs w:val="22"/>
                <w:u w:val="double"/>
              </w:rPr>
              <w:t>905</w:t>
            </w:r>
          </w:p>
        </w:tc>
      </w:tr>
      <w:tr w14:paraId="033104A9" w14:textId="77777777" w:rsidTr="007C5A62">
        <w:tblPrEx>
          <w:tblW w:w="8371" w:type="dxa"/>
          <w:tblInd w:w="810" w:type="dxa"/>
          <w:tblLook w:val="04A0"/>
        </w:tblPrEx>
        <w:tc>
          <w:tcPr>
            <w:tcW w:w="265" w:type="dxa"/>
          </w:tcPr>
          <w:p w:rsidR="00DA31ED" w:rsidRPr="00406C63" w:rsidP="00DA31ED" w14:paraId="27BC522A" w14:textId="77777777">
            <w:pPr>
              <w:tabs>
                <w:tab w:val="left" w:pos="540"/>
              </w:tabs>
              <w:rPr>
                <w:sz w:val="14"/>
                <w:szCs w:val="14"/>
              </w:rPr>
            </w:pPr>
          </w:p>
        </w:tc>
        <w:tc>
          <w:tcPr>
            <w:tcW w:w="6570" w:type="dxa"/>
          </w:tcPr>
          <w:p w:rsidR="00DA31ED" w:rsidRPr="00406C63" w:rsidP="00DA31ED" w14:paraId="7EA8EC3F" w14:textId="77777777">
            <w:pPr>
              <w:tabs>
                <w:tab w:val="left" w:pos="540"/>
              </w:tabs>
              <w:rPr>
                <w:sz w:val="14"/>
                <w:szCs w:val="14"/>
              </w:rPr>
            </w:pPr>
          </w:p>
        </w:tc>
        <w:tc>
          <w:tcPr>
            <w:tcW w:w="1536" w:type="dxa"/>
          </w:tcPr>
          <w:p w:rsidR="00DA31ED" w:rsidRPr="00406C63" w:rsidP="00DA31ED" w14:paraId="317C28AB" w14:textId="77777777">
            <w:pPr>
              <w:tabs>
                <w:tab w:val="left" w:pos="540"/>
              </w:tabs>
              <w:rPr>
                <w:sz w:val="14"/>
                <w:szCs w:val="14"/>
              </w:rPr>
            </w:pPr>
          </w:p>
        </w:tc>
      </w:tr>
    </w:tbl>
    <w:p w:rsidR="00DA31ED" w:rsidRPr="00406C63" w:rsidP="007C5A62" w14:paraId="0A8C8763" w14:textId="77777777">
      <w:pPr>
        <w:tabs>
          <w:tab w:val="left" w:pos="540"/>
        </w:tabs>
        <w:ind w:left="810"/>
        <w:rPr>
          <w:sz w:val="22"/>
          <w:szCs w:val="22"/>
        </w:rPr>
      </w:pPr>
    </w:p>
    <w:p w:rsidR="00F04D22" w:rsidRPr="00406C63" w:rsidP="007C5A62" w14:paraId="4C329917" w14:textId="77777777">
      <w:pPr>
        <w:tabs>
          <w:tab w:val="left" w:pos="540"/>
        </w:tabs>
        <w:ind w:left="810"/>
        <w:rPr>
          <w:sz w:val="22"/>
          <w:szCs w:val="22"/>
        </w:rPr>
      </w:pPr>
    </w:p>
    <w:p w:rsidR="00D2358D" w:rsidRPr="00406C63" w:rsidP="006223D1" w14:paraId="4C27D3B3" w14:textId="77777777">
      <w:pPr>
        <w:pStyle w:val="Heading2"/>
        <w:numPr>
          <w:ilvl w:val="0"/>
          <w:numId w:val="7"/>
        </w:numPr>
        <w:rPr>
          <w:sz w:val="22"/>
          <w:szCs w:val="22"/>
          <w:u w:val="single"/>
        </w:rPr>
      </w:pPr>
      <w:r w:rsidRPr="00406C63">
        <w:rPr>
          <w:sz w:val="22"/>
          <w:szCs w:val="22"/>
          <w:u w:val="single"/>
        </w:rPr>
        <w:t>Changes to Burden</w:t>
      </w:r>
    </w:p>
    <w:p w:rsidR="00D2358D" w:rsidP="007C5A62" w14:paraId="2EF1481B" w14:textId="287AE14E">
      <w:pPr>
        <w:tabs>
          <w:tab w:val="left" w:pos="540"/>
        </w:tabs>
        <w:ind w:left="810"/>
        <w:rPr>
          <w:sz w:val="22"/>
          <w:szCs w:val="22"/>
        </w:rPr>
      </w:pPr>
    </w:p>
    <w:p w:rsidR="00ED3D31" w:rsidP="00ED3D31" w14:paraId="55BCE537" w14:textId="7DBC2A15">
      <w:pPr>
        <w:tabs>
          <w:tab w:val="left" w:pos="540"/>
        </w:tabs>
        <w:ind w:left="720"/>
        <w:rPr>
          <w:sz w:val="22"/>
          <w:szCs w:val="22"/>
        </w:rPr>
      </w:pPr>
      <w:r w:rsidRPr="00406C63">
        <w:rPr>
          <w:sz w:val="22"/>
          <w:szCs w:val="22"/>
        </w:rPr>
        <w:t xml:space="preserve">The changes in burden and cost for the Form CMS-2552-10 result </w:t>
      </w:r>
      <w:r w:rsidR="0084008E">
        <w:rPr>
          <w:sz w:val="22"/>
          <w:szCs w:val="22"/>
        </w:rPr>
        <w:t xml:space="preserve">from </w:t>
      </w:r>
      <w:r w:rsidRPr="00406C63">
        <w:rPr>
          <w:sz w:val="22"/>
          <w:szCs w:val="22"/>
        </w:rPr>
        <w:t>th</w:t>
      </w:r>
      <w:r>
        <w:rPr>
          <w:sz w:val="22"/>
          <w:szCs w:val="22"/>
        </w:rPr>
        <w:t>re</w:t>
      </w:r>
      <w:r w:rsidRPr="00406C63">
        <w:rPr>
          <w:sz w:val="22"/>
          <w:szCs w:val="22"/>
        </w:rPr>
        <w:t>e</w:t>
      </w:r>
      <w:r w:rsidR="00325659">
        <w:rPr>
          <w:sz w:val="22"/>
          <w:szCs w:val="22"/>
        </w:rPr>
        <w:t xml:space="preserve"> </w:t>
      </w:r>
      <w:r>
        <w:rPr>
          <w:sz w:val="22"/>
          <w:szCs w:val="22"/>
        </w:rPr>
        <w:t>factors.</w:t>
      </w:r>
    </w:p>
    <w:p w:rsidR="00ED3D31" w:rsidP="00ED3D31" w14:paraId="5491E86C" w14:textId="77777777">
      <w:pPr>
        <w:tabs>
          <w:tab w:val="left" w:pos="540"/>
        </w:tabs>
        <w:ind w:left="720"/>
        <w:rPr>
          <w:sz w:val="22"/>
          <w:szCs w:val="22"/>
        </w:rPr>
      </w:pPr>
    </w:p>
    <w:p w:rsidR="0016191D" w:rsidP="00ED3D31" w14:paraId="613EDC87" w14:textId="4DCE98FE">
      <w:pPr>
        <w:tabs>
          <w:tab w:val="left" w:pos="540"/>
        </w:tabs>
        <w:ind w:left="720"/>
        <w:rPr>
          <w:sz w:val="22"/>
          <w:szCs w:val="22"/>
        </w:rPr>
      </w:pPr>
      <w:r w:rsidRPr="00ED3D31">
        <w:rPr>
          <w:sz w:val="22"/>
          <w:szCs w:val="22"/>
        </w:rPr>
        <w:t xml:space="preserve">The number of respondents decreased by </w:t>
      </w:r>
      <w:r w:rsidRPr="00ED3D31" w:rsidR="00650ADB">
        <w:rPr>
          <w:sz w:val="22"/>
          <w:szCs w:val="22"/>
        </w:rPr>
        <w:t>31</w:t>
      </w:r>
      <w:r w:rsidRPr="00ED3D31">
        <w:rPr>
          <w:sz w:val="22"/>
          <w:szCs w:val="22"/>
        </w:rPr>
        <w:t xml:space="preserve"> (from 6,0</w:t>
      </w:r>
      <w:r w:rsidRPr="00ED3D31" w:rsidR="00325659">
        <w:rPr>
          <w:sz w:val="22"/>
          <w:szCs w:val="22"/>
        </w:rPr>
        <w:t>75</w:t>
      </w:r>
      <w:r w:rsidRPr="00ED3D31">
        <w:rPr>
          <w:sz w:val="22"/>
          <w:szCs w:val="22"/>
        </w:rPr>
        <w:t xml:space="preserve"> in 20</w:t>
      </w:r>
      <w:r w:rsidRPr="00ED3D31" w:rsidR="00325659">
        <w:rPr>
          <w:sz w:val="22"/>
          <w:szCs w:val="22"/>
        </w:rPr>
        <w:t>22</w:t>
      </w:r>
      <w:r w:rsidRPr="00ED3D31">
        <w:rPr>
          <w:sz w:val="22"/>
          <w:szCs w:val="22"/>
        </w:rPr>
        <w:t xml:space="preserve"> to 6,0</w:t>
      </w:r>
      <w:r w:rsidRPr="00ED3D31" w:rsidR="00650ADB">
        <w:rPr>
          <w:sz w:val="22"/>
          <w:szCs w:val="22"/>
        </w:rPr>
        <w:t>44</w:t>
      </w:r>
      <w:r w:rsidRPr="00ED3D31">
        <w:rPr>
          <w:sz w:val="22"/>
          <w:szCs w:val="22"/>
        </w:rPr>
        <w:t xml:space="preserve"> in 202</w:t>
      </w:r>
      <w:r w:rsidR="0084008E">
        <w:rPr>
          <w:sz w:val="22"/>
          <w:szCs w:val="22"/>
        </w:rPr>
        <w:t>4</w:t>
      </w:r>
      <w:r w:rsidRPr="00ED3D31">
        <w:rPr>
          <w:sz w:val="22"/>
          <w:szCs w:val="22"/>
        </w:rPr>
        <w:t>), the net result of new hospitals certified to participate in the Medicare program and existing hospitals terminated from the Medicare program.</w:t>
      </w:r>
    </w:p>
    <w:p w:rsidR="00ED3D31" w:rsidRPr="00ED3D31" w:rsidP="00ED3D31" w14:paraId="7EB72A4E" w14:textId="77777777">
      <w:pPr>
        <w:tabs>
          <w:tab w:val="left" w:pos="540"/>
        </w:tabs>
        <w:ind w:left="720"/>
        <w:rPr>
          <w:sz w:val="22"/>
          <w:szCs w:val="22"/>
        </w:rPr>
      </w:pPr>
    </w:p>
    <w:p w:rsidR="005026F1" w:rsidP="00262C10" w14:paraId="373390E6" w14:textId="02094475">
      <w:pPr>
        <w:widowControl/>
        <w:tabs>
          <w:tab w:val="left" w:pos="540"/>
        </w:tabs>
        <w:ind w:left="720"/>
        <w:rPr>
          <w:sz w:val="22"/>
          <w:szCs w:val="22"/>
        </w:rPr>
      </w:pPr>
      <w:r w:rsidRPr="00ED3D31">
        <w:rPr>
          <w:sz w:val="22"/>
          <w:szCs w:val="22"/>
        </w:rPr>
        <w:t>The number of total hours per response increased by 1 hour (from 674 in 2022 to 675 in 202</w:t>
      </w:r>
      <w:r w:rsidR="0084008E">
        <w:rPr>
          <w:sz w:val="22"/>
          <w:szCs w:val="22"/>
        </w:rPr>
        <w:t>5</w:t>
      </w:r>
      <w:r w:rsidRPr="00ED3D31">
        <w:rPr>
          <w:sz w:val="22"/>
          <w:szCs w:val="22"/>
        </w:rPr>
        <w:t>)</w:t>
      </w:r>
      <w:r w:rsidR="00ED3D31">
        <w:rPr>
          <w:sz w:val="22"/>
          <w:szCs w:val="22"/>
        </w:rPr>
        <w:t>,</w:t>
      </w:r>
      <w:r w:rsidRPr="00ED3D31">
        <w:rPr>
          <w:sz w:val="22"/>
          <w:szCs w:val="22"/>
        </w:rPr>
        <w:t xml:space="preserve"> </w:t>
      </w:r>
      <w:r w:rsidRPr="00ED3D31" w:rsidR="00ED3D31">
        <w:rPr>
          <w:sz w:val="22"/>
          <w:szCs w:val="22"/>
        </w:rPr>
        <w:t>a result of</w:t>
      </w:r>
      <w:r w:rsidRPr="00ED3D31">
        <w:rPr>
          <w:sz w:val="22"/>
          <w:szCs w:val="22"/>
        </w:rPr>
        <w:t xml:space="preserve"> the hospital cost report subsuming the</w:t>
      </w:r>
      <w:r w:rsidRPr="00ED3D31" w:rsidR="00ED3D31">
        <w:rPr>
          <w:sz w:val="22"/>
          <w:szCs w:val="22"/>
        </w:rPr>
        <w:t xml:space="preserve"> OMB #0938-1473 and the OMB #0938-1425 payment adjustment worksheets.</w:t>
      </w:r>
      <w:r w:rsidR="00ED3D31">
        <w:rPr>
          <w:sz w:val="22"/>
          <w:szCs w:val="22"/>
        </w:rPr>
        <w:t xml:space="preserve">  CMS estimated </w:t>
      </w:r>
      <w:r w:rsidR="007C3AD9">
        <w:rPr>
          <w:sz w:val="22"/>
          <w:szCs w:val="22"/>
        </w:rPr>
        <w:t xml:space="preserve">the burden for a hospital completing the </w:t>
      </w:r>
      <w:r w:rsidR="008174F0">
        <w:rPr>
          <w:sz w:val="22"/>
          <w:szCs w:val="22"/>
        </w:rPr>
        <w:t>OMB #0938-1473</w:t>
      </w:r>
      <w:r w:rsidR="00683A71">
        <w:rPr>
          <w:sz w:val="22"/>
          <w:szCs w:val="22"/>
        </w:rPr>
        <w:t xml:space="preserve"> at</w:t>
      </w:r>
      <w:r w:rsidR="00ED3D31">
        <w:rPr>
          <w:sz w:val="22"/>
          <w:szCs w:val="22"/>
        </w:rPr>
        <w:t xml:space="preserve"> 1.0 hour (0.60 hour</w:t>
      </w:r>
      <w:r w:rsidR="002544DC">
        <w:rPr>
          <w:sz w:val="22"/>
          <w:szCs w:val="22"/>
        </w:rPr>
        <w:t>s</w:t>
      </w:r>
      <w:r w:rsidR="00ED3D31">
        <w:rPr>
          <w:sz w:val="22"/>
          <w:szCs w:val="22"/>
        </w:rPr>
        <w:t xml:space="preserve"> for reporting and 0.40 hours for recordkeeping) for </w:t>
      </w:r>
      <w:r w:rsidR="0084642C">
        <w:rPr>
          <w:sz w:val="22"/>
          <w:szCs w:val="22"/>
        </w:rPr>
        <w:t xml:space="preserve">an estimated 500 </w:t>
      </w:r>
      <w:r w:rsidR="00ED3D31">
        <w:rPr>
          <w:sz w:val="22"/>
          <w:szCs w:val="22"/>
        </w:rPr>
        <w:t>hospitals completing the</w:t>
      </w:r>
      <w:r>
        <w:rPr>
          <w:sz w:val="22"/>
          <w:szCs w:val="22"/>
        </w:rPr>
        <w:t xml:space="preserve"> </w:t>
      </w:r>
      <w:r w:rsidR="00683A71">
        <w:rPr>
          <w:sz w:val="22"/>
          <w:szCs w:val="22"/>
        </w:rPr>
        <w:t xml:space="preserve">OMB #0938-1473.  </w:t>
      </w:r>
      <w:r>
        <w:rPr>
          <w:sz w:val="22"/>
          <w:szCs w:val="22"/>
        </w:rPr>
        <w:t xml:space="preserve">CMS estimated </w:t>
      </w:r>
      <w:r w:rsidR="00683A71">
        <w:rPr>
          <w:sz w:val="22"/>
          <w:szCs w:val="22"/>
        </w:rPr>
        <w:t>the burden for a hospital completing the OMB #0938-1425 at</w:t>
      </w:r>
      <w:r>
        <w:rPr>
          <w:sz w:val="22"/>
          <w:szCs w:val="22"/>
        </w:rPr>
        <w:t xml:space="preserve"> 0.50 hour</w:t>
      </w:r>
      <w:r w:rsidR="00683A71">
        <w:rPr>
          <w:sz w:val="22"/>
          <w:szCs w:val="22"/>
        </w:rPr>
        <w:t>s</w:t>
      </w:r>
      <w:r>
        <w:rPr>
          <w:sz w:val="22"/>
          <w:szCs w:val="22"/>
        </w:rPr>
        <w:t xml:space="preserve"> (0.10 hours per response for reporting and 0.40 hours per response for recordkeeping) for an estimated 4,662 hospitals completing the OMB #0938-1425.</w:t>
      </w:r>
      <w:r w:rsidR="00683A71">
        <w:rPr>
          <w:sz w:val="22"/>
          <w:szCs w:val="22"/>
        </w:rPr>
        <w:t xml:space="preserve">  To estimate the burden of subsuming the two payment adjustment worksheets into the hospital cost report, CMS used the same estimated hours for each payment adjustment worksheet</w:t>
      </w:r>
      <w:r w:rsidR="00262C10">
        <w:rPr>
          <w:sz w:val="22"/>
          <w:szCs w:val="22"/>
        </w:rPr>
        <w:t>, the current estimate of 479 hospitals completing the OMB #0938-1473, and the current estimate of 4,155 hospitals completing the OMB #0938-1425, resulting in an average increase in burden of 1.0 hour for the estimated 6,044 hospitals completing the hospital cost report.</w:t>
      </w:r>
      <w:r w:rsidR="002544DC">
        <w:rPr>
          <w:sz w:val="22"/>
          <w:szCs w:val="22"/>
        </w:rPr>
        <w:t xml:space="preserve">  Subsuming the payment adjustment worksheets eliminates the need for hospitals </w:t>
      </w:r>
      <w:r w:rsidR="002544DC">
        <w:rPr>
          <w:sz w:val="22"/>
          <w:szCs w:val="22"/>
        </w:rPr>
        <w:t xml:space="preserve">claiming the payment adjustments to submit the OMB #0938-1473, with its estimated </w:t>
      </w:r>
      <w:r w:rsidR="002544DC">
        <w:rPr>
          <w:sz w:val="22"/>
          <w:szCs w:val="22"/>
        </w:rPr>
        <w:t>1.0 hour</w:t>
      </w:r>
      <w:r w:rsidR="002544DC">
        <w:rPr>
          <w:sz w:val="22"/>
          <w:szCs w:val="22"/>
        </w:rPr>
        <w:t xml:space="preserve"> burden, and the OMB #0938-1425, with its estimated </w:t>
      </w:r>
      <w:r w:rsidR="002544DC">
        <w:rPr>
          <w:sz w:val="22"/>
          <w:szCs w:val="22"/>
        </w:rPr>
        <w:t>0.50 hour</w:t>
      </w:r>
      <w:r w:rsidR="002544DC">
        <w:rPr>
          <w:sz w:val="22"/>
          <w:szCs w:val="22"/>
        </w:rPr>
        <w:t xml:space="preserve"> burden.</w:t>
      </w:r>
    </w:p>
    <w:p w:rsidR="005026F1" w:rsidP="00ED3D31" w14:paraId="59BF95A1" w14:textId="77777777">
      <w:pPr>
        <w:tabs>
          <w:tab w:val="left" w:pos="540"/>
        </w:tabs>
        <w:ind w:left="720"/>
        <w:rPr>
          <w:sz w:val="22"/>
          <w:szCs w:val="22"/>
        </w:rPr>
      </w:pPr>
    </w:p>
    <w:p w:rsidR="0016191D" w:rsidRPr="00406C63" w:rsidP="0084642C" w14:paraId="7E694B4E" w14:textId="53363D90">
      <w:pPr>
        <w:tabs>
          <w:tab w:val="left" w:pos="540"/>
        </w:tabs>
        <w:ind w:left="720"/>
        <w:rPr>
          <w:sz w:val="22"/>
          <w:szCs w:val="22"/>
        </w:rPr>
      </w:pPr>
      <w:r w:rsidRPr="00391BDD">
        <w:rPr>
          <w:sz w:val="22"/>
          <w:szCs w:val="22"/>
        </w:rPr>
        <w:t xml:space="preserve">The average cost per response increased by $3,244.76 (from $34,367.18 in 2022 to $37,611.94 in 2025) </w:t>
      </w:r>
      <w:r>
        <w:rPr>
          <w:sz w:val="22"/>
          <w:szCs w:val="22"/>
        </w:rPr>
        <w:t>based on the</w:t>
      </w:r>
      <w:r w:rsidRPr="00391BDD">
        <w:rPr>
          <w:sz w:val="22"/>
          <w:szCs w:val="22"/>
        </w:rPr>
        <w:t xml:space="preserve"> increases in the average hourly rates published in the most recent BLS Occupation</w:t>
      </w:r>
      <w:r w:rsidR="001D6742">
        <w:rPr>
          <w:sz w:val="22"/>
          <w:szCs w:val="22"/>
        </w:rPr>
        <w:t>al Employment and Wage Statistics data</w:t>
      </w:r>
      <w:r w:rsidR="00262C10">
        <w:rPr>
          <w:sz w:val="22"/>
          <w:szCs w:val="22"/>
        </w:rPr>
        <w:t>.</w:t>
      </w:r>
    </w:p>
    <w:p w:rsidR="0084642C" w:rsidP="0084642C" w14:paraId="337236A2" w14:textId="77777777">
      <w:pPr>
        <w:adjustRightInd/>
        <w:ind w:right="101"/>
        <w:rPr>
          <w:sz w:val="22"/>
          <w:szCs w:val="22"/>
        </w:rPr>
      </w:pPr>
    </w:p>
    <w:p w:rsidR="00D2358D" w:rsidRPr="00406C63" w:rsidP="006223D1" w14:paraId="4C961F1A" w14:textId="77777777">
      <w:pPr>
        <w:pStyle w:val="Heading2"/>
        <w:numPr>
          <w:ilvl w:val="0"/>
          <w:numId w:val="7"/>
        </w:numPr>
        <w:rPr>
          <w:sz w:val="22"/>
          <w:szCs w:val="22"/>
          <w:u w:val="single"/>
        </w:rPr>
      </w:pPr>
      <w:r w:rsidRPr="00406C63">
        <w:rPr>
          <w:sz w:val="22"/>
          <w:szCs w:val="22"/>
          <w:u w:val="single"/>
        </w:rPr>
        <w:t>Publication/Tabulation Dates</w:t>
      </w:r>
    </w:p>
    <w:p w:rsidR="00D2358D" w:rsidRPr="00406C63" w:rsidP="009763CD" w14:paraId="36340402" w14:textId="77777777">
      <w:pPr>
        <w:tabs>
          <w:tab w:val="left" w:pos="540"/>
        </w:tabs>
        <w:ind w:left="810"/>
        <w:rPr>
          <w:sz w:val="22"/>
          <w:szCs w:val="22"/>
        </w:rPr>
      </w:pPr>
    </w:p>
    <w:p w:rsidR="00D45EEB" w:rsidP="006223D1" w14:paraId="65BDF4D9" w14:textId="583F4084">
      <w:pPr>
        <w:tabs>
          <w:tab w:val="left" w:pos="540"/>
        </w:tabs>
        <w:ind w:left="720"/>
        <w:rPr>
          <w:sz w:val="22"/>
          <w:szCs w:val="22"/>
        </w:rPr>
      </w:pPr>
      <w:r w:rsidRPr="00406C63">
        <w:rPr>
          <w:sz w:val="22"/>
          <w:szCs w:val="22"/>
        </w:rPr>
        <w:t>CMS maintains the cost report data</w:t>
      </w:r>
      <w:r w:rsidR="00EB1390">
        <w:rPr>
          <w:sz w:val="22"/>
          <w:szCs w:val="22"/>
        </w:rPr>
        <w:t xml:space="preserve"> </w:t>
      </w:r>
      <w:r w:rsidRPr="00406C63">
        <w:rPr>
          <w:sz w:val="22"/>
          <w:szCs w:val="22"/>
        </w:rPr>
        <w:t xml:space="preserve">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r:id="rId7" w:history="1">
        <w:r w:rsidRPr="00406C63">
          <w:rPr>
            <w:rStyle w:val="Hyperlink"/>
            <w:sz w:val="22"/>
            <w:szCs w:val="22"/>
          </w:rPr>
          <w:t>https://www.cms.gov/Research-Statistics-Data-and-Systems/Downloadable-Public-Use-Files/Cost-Reports/</w:t>
        </w:r>
      </w:hyperlink>
      <w:r w:rsidRPr="00406C63">
        <w:rPr>
          <w:sz w:val="22"/>
          <w:szCs w:val="22"/>
        </w:rPr>
        <w:t>.</w:t>
      </w:r>
    </w:p>
    <w:p w:rsidR="00EB1390" w:rsidRPr="00406C63" w:rsidP="006223D1" w14:paraId="3CCE7A86" w14:textId="77777777">
      <w:pPr>
        <w:tabs>
          <w:tab w:val="left" w:pos="540"/>
        </w:tabs>
        <w:ind w:left="720"/>
        <w:rPr>
          <w:sz w:val="22"/>
          <w:szCs w:val="22"/>
        </w:rPr>
      </w:pPr>
    </w:p>
    <w:p w:rsidR="00D2358D" w:rsidRPr="00406C63" w:rsidP="006223D1" w14:paraId="210083B1" w14:textId="77777777">
      <w:pPr>
        <w:pStyle w:val="Heading2"/>
        <w:numPr>
          <w:ilvl w:val="0"/>
          <w:numId w:val="7"/>
        </w:numPr>
        <w:rPr>
          <w:sz w:val="22"/>
          <w:szCs w:val="22"/>
          <w:u w:val="single"/>
        </w:rPr>
      </w:pPr>
      <w:r w:rsidRPr="00406C63">
        <w:rPr>
          <w:sz w:val="22"/>
          <w:szCs w:val="22"/>
          <w:u w:val="single"/>
        </w:rPr>
        <w:t>Expiration Date</w:t>
      </w:r>
    </w:p>
    <w:p w:rsidR="00D2358D" w:rsidRPr="00406C63" w:rsidP="009763CD" w14:paraId="2BC8E4C9" w14:textId="77777777">
      <w:pPr>
        <w:tabs>
          <w:tab w:val="left" w:pos="540"/>
        </w:tabs>
        <w:ind w:left="810"/>
        <w:rPr>
          <w:sz w:val="22"/>
          <w:szCs w:val="22"/>
        </w:rPr>
      </w:pPr>
    </w:p>
    <w:p w:rsidR="00D2358D" w:rsidRPr="00406C63" w:rsidP="006223D1" w14:paraId="54FDB16F" w14:textId="045F0139">
      <w:pPr>
        <w:tabs>
          <w:tab w:val="left" w:pos="540"/>
        </w:tabs>
        <w:ind w:left="720"/>
        <w:rPr>
          <w:sz w:val="22"/>
          <w:szCs w:val="22"/>
        </w:rPr>
      </w:pPr>
      <w:r w:rsidRPr="00406C63">
        <w:rPr>
          <w:sz w:val="22"/>
          <w:szCs w:val="22"/>
        </w:rPr>
        <w:t xml:space="preserve">CMS </w:t>
      </w:r>
      <w:r w:rsidR="00ED5D13">
        <w:rPr>
          <w:sz w:val="22"/>
          <w:szCs w:val="22"/>
        </w:rPr>
        <w:t xml:space="preserve">will </w:t>
      </w:r>
      <w:r w:rsidRPr="00406C63">
        <w:rPr>
          <w:sz w:val="22"/>
          <w:szCs w:val="22"/>
        </w:rPr>
        <w:t xml:space="preserve">display the expiration date on the </w:t>
      </w:r>
      <w:r w:rsidR="000A3282">
        <w:rPr>
          <w:sz w:val="22"/>
          <w:szCs w:val="22"/>
        </w:rPr>
        <w:t>information</w:t>
      </w:r>
      <w:r w:rsidRPr="00406C63">
        <w:rPr>
          <w:sz w:val="22"/>
          <w:szCs w:val="22"/>
        </w:rPr>
        <w:t xml:space="preserve"> collection instrument in the upper right corner.</w:t>
      </w:r>
    </w:p>
    <w:p w:rsidR="00D2358D" w:rsidRPr="00406C63" w:rsidP="009763CD" w14:paraId="238CD4EE" w14:textId="77777777">
      <w:pPr>
        <w:tabs>
          <w:tab w:val="left" w:pos="540"/>
        </w:tabs>
        <w:ind w:left="810"/>
        <w:rPr>
          <w:sz w:val="22"/>
          <w:szCs w:val="22"/>
        </w:rPr>
      </w:pPr>
    </w:p>
    <w:p w:rsidR="00D2358D" w:rsidRPr="00406C63" w:rsidP="006223D1" w14:paraId="6CD16DA0" w14:textId="77777777">
      <w:pPr>
        <w:pStyle w:val="Heading2"/>
        <w:numPr>
          <w:ilvl w:val="0"/>
          <w:numId w:val="7"/>
        </w:numPr>
        <w:rPr>
          <w:sz w:val="22"/>
          <w:szCs w:val="22"/>
          <w:u w:val="single"/>
        </w:rPr>
      </w:pPr>
      <w:r w:rsidRPr="00406C63">
        <w:rPr>
          <w:sz w:val="22"/>
          <w:szCs w:val="22"/>
          <w:u w:val="single"/>
        </w:rPr>
        <w:t>Certification Statement</w:t>
      </w:r>
    </w:p>
    <w:p w:rsidR="00D2358D" w:rsidRPr="00406C63" w:rsidP="009763CD" w14:paraId="396771AF" w14:textId="77777777">
      <w:pPr>
        <w:tabs>
          <w:tab w:val="left" w:pos="540"/>
        </w:tabs>
        <w:ind w:left="810"/>
        <w:rPr>
          <w:sz w:val="22"/>
          <w:szCs w:val="22"/>
        </w:rPr>
      </w:pPr>
    </w:p>
    <w:p w:rsidR="00D2358D" w:rsidRPr="00406C63" w:rsidP="00715721" w14:paraId="50812967" w14:textId="77777777">
      <w:pPr>
        <w:tabs>
          <w:tab w:val="left" w:pos="540"/>
        </w:tabs>
        <w:ind w:left="720"/>
        <w:rPr>
          <w:sz w:val="22"/>
          <w:szCs w:val="22"/>
        </w:rPr>
      </w:pPr>
      <w:r w:rsidRPr="00406C63">
        <w:rPr>
          <w:sz w:val="22"/>
          <w:szCs w:val="22"/>
        </w:rPr>
        <w:t>There are no exceptions to the certification statement</w:t>
      </w:r>
      <w:r w:rsidRPr="00406C63" w:rsidR="00423AB2">
        <w:rPr>
          <w:sz w:val="22"/>
          <w:szCs w:val="22"/>
        </w:rPr>
        <w:t>.</w:t>
      </w:r>
    </w:p>
    <w:p w:rsidR="00D2358D" w:rsidRPr="00406C63" w:rsidP="006223D1" w14:paraId="061E44AA" w14:textId="77777777">
      <w:pPr>
        <w:tabs>
          <w:tab w:val="left" w:pos="540"/>
        </w:tabs>
        <w:ind w:left="720"/>
        <w:rPr>
          <w:sz w:val="22"/>
          <w:szCs w:val="22"/>
        </w:rPr>
      </w:pPr>
    </w:p>
    <w:p w:rsidR="00D2358D" w:rsidRPr="00406C63" w:rsidP="009763CD" w14:paraId="523CE4FB" w14:textId="77777777">
      <w:pPr>
        <w:tabs>
          <w:tab w:val="left" w:pos="540"/>
        </w:tabs>
        <w:ind w:left="810"/>
        <w:rPr>
          <w:sz w:val="22"/>
          <w:szCs w:val="22"/>
        </w:rPr>
      </w:pPr>
    </w:p>
    <w:p w:rsidR="00D2358D" w:rsidRPr="00406C63" w:rsidP="00B6281C" w14:paraId="05294602" w14:textId="77777777">
      <w:pPr>
        <w:pStyle w:val="Heading1"/>
        <w:tabs>
          <w:tab w:val="left" w:pos="360"/>
        </w:tabs>
        <w:rPr>
          <w:sz w:val="22"/>
          <w:szCs w:val="22"/>
          <w:u w:val="single"/>
        </w:rPr>
      </w:pPr>
      <w:r w:rsidRPr="00406C63">
        <w:rPr>
          <w:sz w:val="22"/>
          <w:szCs w:val="22"/>
        </w:rPr>
        <w:t>C.</w:t>
      </w:r>
      <w:r w:rsidRPr="00406C63">
        <w:rPr>
          <w:sz w:val="22"/>
          <w:szCs w:val="22"/>
        </w:rPr>
        <w:tab/>
      </w:r>
      <w:r w:rsidRPr="00406C63">
        <w:rPr>
          <w:sz w:val="22"/>
          <w:szCs w:val="22"/>
          <w:u w:val="single"/>
        </w:rPr>
        <w:t>Statistical Methods</w:t>
      </w:r>
    </w:p>
    <w:p w:rsidR="00D2358D" w:rsidRPr="00406C63" w:rsidP="009763CD" w14:paraId="1B6F5F85" w14:textId="77777777">
      <w:pPr>
        <w:ind w:left="360"/>
        <w:rPr>
          <w:sz w:val="22"/>
          <w:szCs w:val="22"/>
        </w:rPr>
      </w:pPr>
    </w:p>
    <w:p w:rsidR="00183DC8" w:rsidRPr="00406C63" w:rsidP="009763CD" w14:paraId="1AB02BEA" w14:textId="6E2EC603">
      <w:pPr>
        <w:ind w:left="360"/>
        <w:rPr>
          <w:sz w:val="22"/>
          <w:szCs w:val="22"/>
        </w:rPr>
      </w:pPr>
      <w:r w:rsidRPr="00406C63">
        <w:rPr>
          <w:sz w:val="22"/>
          <w:szCs w:val="22"/>
        </w:rPr>
        <w:t>There are no statistical methods involved in this collection.</w:t>
      </w:r>
    </w:p>
    <w:sectPr w:rsidSect="00D2358D">
      <w:footerReference w:type="default" r:id="rId8"/>
      <w:endnotePr>
        <w:numFmt w:val="decimal"/>
      </w:endnotePr>
      <w:pgSz w:w="12240" w:h="15840"/>
      <w:pgMar w:top="1440" w:right="1440" w:bottom="1170" w:left="1530" w:header="1440" w:footer="109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623" w:rsidRPr="00406C63" w14:paraId="069ECA48" w14:textId="77777777">
    <w:pPr>
      <w:spacing w:line="240" w:lineRule="exact"/>
      <w:rPr>
        <w:sz w:val="18"/>
        <w:szCs w:val="18"/>
      </w:rPr>
    </w:pPr>
  </w:p>
  <w:p w:rsidR="00AD6623" w:rsidRPr="00406C63" w14:paraId="14C2D6A5" w14:textId="64EC80D6">
    <w:pPr>
      <w:framePr w:w="9505" w:wrap="notBeside" w:vAnchor="text" w:hAnchor="text" w:x="1" w:y="1"/>
      <w:jc w:val="center"/>
      <w:rPr>
        <w:sz w:val="22"/>
        <w:szCs w:val="22"/>
      </w:rPr>
    </w:pPr>
    <w:r w:rsidRPr="00406C63">
      <w:rPr>
        <w:sz w:val="22"/>
        <w:szCs w:val="22"/>
      </w:rPr>
      <w:fldChar w:fldCharType="begin"/>
    </w:r>
    <w:r w:rsidRPr="00406C63">
      <w:rPr>
        <w:sz w:val="22"/>
        <w:szCs w:val="22"/>
      </w:rPr>
      <w:instrText xml:space="preserve">PAGE </w:instrText>
    </w:r>
    <w:r w:rsidRPr="00406C63">
      <w:rPr>
        <w:sz w:val="22"/>
        <w:szCs w:val="22"/>
      </w:rPr>
      <w:fldChar w:fldCharType="separate"/>
    </w:r>
    <w:r w:rsidRPr="00406C63" w:rsidR="0045530B">
      <w:rPr>
        <w:noProof/>
        <w:sz w:val="22"/>
        <w:szCs w:val="22"/>
      </w:rPr>
      <w:t>8</w:t>
    </w:r>
    <w:r w:rsidRPr="00406C63">
      <w:rPr>
        <w:sz w:val="22"/>
        <w:szCs w:val="22"/>
      </w:rPr>
      <w:fldChar w:fldCharType="end"/>
    </w:r>
  </w:p>
  <w:p w:rsidR="00AD6623" w:rsidRPr="00406C63" w14:paraId="11B12B0C" w14:textId="77777777">
    <w:pPr>
      <w:ind w:right="144"/>
      <w:rPr>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12111"/>
    <w:multiLevelType w:val="hybridMultilevel"/>
    <w:tmpl w:val="62048CFE"/>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10013B7D"/>
    <w:multiLevelType w:val="hybridMultilevel"/>
    <w:tmpl w:val="B53AE1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90ED6"/>
    <w:multiLevelType w:val="hybridMultilevel"/>
    <w:tmpl w:val="C3DA1D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622963"/>
    <w:multiLevelType w:val="hybridMultilevel"/>
    <w:tmpl w:val="A5CC2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531939"/>
    <w:multiLevelType w:val="hybridMultilevel"/>
    <w:tmpl w:val="54827C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5EC4FB6"/>
    <w:multiLevelType w:val="hybridMultilevel"/>
    <w:tmpl w:val="ADCC0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8543128"/>
    <w:multiLevelType w:val="hybridMultilevel"/>
    <w:tmpl w:val="0E16C3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9AC1D46"/>
    <w:multiLevelType w:val="hybridMultilevel"/>
    <w:tmpl w:val="9A94B740"/>
    <w:lvl w:ilvl="0">
      <w:start w:val="1"/>
      <w:numFmt w:val="bullet"/>
      <w:lvlText w:val=""/>
      <w:lvlJc w:val="left"/>
      <w:pPr>
        <w:ind w:left="72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5B2148"/>
    <w:multiLevelType w:val="hybridMultilevel"/>
    <w:tmpl w:val="426CB5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6F00D28"/>
    <w:multiLevelType w:val="hybridMultilevel"/>
    <w:tmpl w:val="27B6B9D4"/>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67C676F"/>
    <w:multiLevelType w:val="hybridMultilevel"/>
    <w:tmpl w:val="C498765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E672987"/>
    <w:multiLevelType w:val="hybridMultilevel"/>
    <w:tmpl w:val="424E1A4C"/>
    <w:lvl w:ilvl="0">
      <w:start w:val="1"/>
      <w:numFmt w:val="upperLetter"/>
      <w:lvlText w:val="%1."/>
      <w:lvlJc w:val="left"/>
      <w:pPr>
        <w:ind w:left="820" w:hanging="720"/>
        <w:jc w:val="right"/>
      </w:pPr>
      <w:rPr>
        <w:rFonts w:ascii="Times New Roman" w:eastAsia="Times New Roman" w:hAnsi="Times New Roman" w:cs="Times New Roman" w:hint="default"/>
        <w:b/>
        <w:bCs/>
        <w:spacing w:val="-1"/>
        <w:w w:val="99"/>
        <w:sz w:val="24"/>
        <w:szCs w:val="24"/>
      </w:rPr>
    </w:lvl>
    <w:lvl w:ilvl="1">
      <w:start w:val="1"/>
      <w:numFmt w:val="decimal"/>
      <w:lvlText w:val="%2."/>
      <w:lvlJc w:val="left"/>
      <w:pPr>
        <w:ind w:left="820" w:hanging="360"/>
        <w:jc w:val="right"/>
      </w:pPr>
      <w:rPr>
        <w:rFonts w:ascii="Times New Roman" w:eastAsia="Times New Roman" w:hAnsi="Times New Roman" w:cs="Times New Roman" w:hint="default"/>
        <w:spacing w:val="-3"/>
        <w:w w:val="99"/>
        <w:sz w:val="24"/>
        <w:szCs w:val="24"/>
      </w:rPr>
    </w:lvl>
    <w:lvl w:ilvl="2">
      <w:start w:val="1"/>
      <w:numFmt w:val="bullet"/>
      <w:lvlText w:val=""/>
      <w:lvlJc w:val="left"/>
      <w:pPr>
        <w:ind w:left="820" w:hanging="260"/>
      </w:pPr>
      <w:rPr>
        <w:rFonts w:ascii="Symbol" w:hAnsi="Symbol" w:hint="default"/>
        <w:w w:val="100"/>
        <w:sz w:val="24"/>
        <w:szCs w:val="24"/>
      </w:rPr>
    </w:lvl>
    <w:lvl w:ilvl="3">
      <w:start w:val="0"/>
      <w:numFmt w:val="bullet"/>
      <w:lvlText w:val="•"/>
      <w:lvlJc w:val="left"/>
      <w:pPr>
        <w:ind w:left="3436" w:hanging="260"/>
      </w:pPr>
      <w:rPr>
        <w:rFonts w:hint="default"/>
      </w:rPr>
    </w:lvl>
    <w:lvl w:ilvl="4">
      <w:start w:val="0"/>
      <w:numFmt w:val="bullet"/>
      <w:lvlText w:val="•"/>
      <w:lvlJc w:val="left"/>
      <w:pPr>
        <w:ind w:left="4308" w:hanging="260"/>
      </w:pPr>
      <w:rPr>
        <w:rFonts w:hint="default"/>
      </w:rPr>
    </w:lvl>
    <w:lvl w:ilvl="5">
      <w:start w:val="0"/>
      <w:numFmt w:val="bullet"/>
      <w:lvlText w:val="•"/>
      <w:lvlJc w:val="left"/>
      <w:pPr>
        <w:ind w:left="5180" w:hanging="260"/>
      </w:pPr>
      <w:rPr>
        <w:rFonts w:hint="default"/>
      </w:rPr>
    </w:lvl>
    <w:lvl w:ilvl="6">
      <w:start w:val="0"/>
      <w:numFmt w:val="bullet"/>
      <w:lvlText w:val="•"/>
      <w:lvlJc w:val="left"/>
      <w:pPr>
        <w:ind w:left="6052" w:hanging="260"/>
      </w:pPr>
      <w:rPr>
        <w:rFonts w:hint="default"/>
      </w:rPr>
    </w:lvl>
    <w:lvl w:ilvl="7">
      <w:start w:val="0"/>
      <w:numFmt w:val="bullet"/>
      <w:lvlText w:val="•"/>
      <w:lvlJc w:val="left"/>
      <w:pPr>
        <w:ind w:left="6924" w:hanging="260"/>
      </w:pPr>
      <w:rPr>
        <w:rFonts w:hint="default"/>
      </w:rPr>
    </w:lvl>
    <w:lvl w:ilvl="8">
      <w:start w:val="0"/>
      <w:numFmt w:val="bullet"/>
      <w:lvlText w:val="•"/>
      <w:lvlJc w:val="left"/>
      <w:pPr>
        <w:ind w:left="7796" w:hanging="260"/>
      </w:pPr>
      <w:rPr>
        <w:rFonts w:hint="default"/>
      </w:rPr>
    </w:lvl>
  </w:abstractNum>
  <w:num w:numId="1" w16cid:durableId="436756459">
    <w:abstractNumId w:val="6"/>
  </w:num>
  <w:num w:numId="2" w16cid:durableId="1502116313">
    <w:abstractNumId w:val="11"/>
  </w:num>
  <w:num w:numId="3" w16cid:durableId="1863782546">
    <w:abstractNumId w:val="0"/>
  </w:num>
  <w:num w:numId="4" w16cid:durableId="1245189907">
    <w:abstractNumId w:val="8"/>
  </w:num>
  <w:num w:numId="5" w16cid:durableId="635987254">
    <w:abstractNumId w:val="9"/>
  </w:num>
  <w:num w:numId="6" w16cid:durableId="1511527594">
    <w:abstractNumId w:val="7"/>
  </w:num>
  <w:num w:numId="7" w16cid:durableId="956569599">
    <w:abstractNumId w:val="1"/>
  </w:num>
  <w:num w:numId="8" w16cid:durableId="423115751">
    <w:abstractNumId w:val="5"/>
  </w:num>
  <w:num w:numId="9" w16cid:durableId="266933091">
    <w:abstractNumId w:val="2"/>
  </w:num>
  <w:num w:numId="10" w16cid:durableId="161316514">
    <w:abstractNumId w:val="4"/>
  </w:num>
  <w:num w:numId="11" w16cid:durableId="520125933">
    <w:abstractNumId w:val="3"/>
  </w:num>
  <w:num w:numId="12" w16cid:durableId="947543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8D"/>
    <w:rsid w:val="0000038A"/>
    <w:rsid w:val="00000A0E"/>
    <w:rsid w:val="00001F82"/>
    <w:rsid w:val="0000222F"/>
    <w:rsid w:val="000036E1"/>
    <w:rsid w:val="00004A5A"/>
    <w:rsid w:val="00007A6B"/>
    <w:rsid w:val="00010D83"/>
    <w:rsid w:val="0001347B"/>
    <w:rsid w:val="00015C3C"/>
    <w:rsid w:val="00016E1B"/>
    <w:rsid w:val="0002185D"/>
    <w:rsid w:val="00022288"/>
    <w:rsid w:val="00023582"/>
    <w:rsid w:val="0003569F"/>
    <w:rsid w:val="00036612"/>
    <w:rsid w:val="00036B05"/>
    <w:rsid w:val="00037D7C"/>
    <w:rsid w:val="00041240"/>
    <w:rsid w:val="00045FDA"/>
    <w:rsid w:val="00046801"/>
    <w:rsid w:val="00052F6E"/>
    <w:rsid w:val="000606EF"/>
    <w:rsid w:val="000607A9"/>
    <w:rsid w:val="000635B2"/>
    <w:rsid w:val="000704EB"/>
    <w:rsid w:val="000708D2"/>
    <w:rsid w:val="00074008"/>
    <w:rsid w:val="00080F99"/>
    <w:rsid w:val="00081B2D"/>
    <w:rsid w:val="00087971"/>
    <w:rsid w:val="000A0BD8"/>
    <w:rsid w:val="000A3282"/>
    <w:rsid w:val="000A4E48"/>
    <w:rsid w:val="000A4E4A"/>
    <w:rsid w:val="000B41E7"/>
    <w:rsid w:val="000B647D"/>
    <w:rsid w:val="000B6A38"/>
    <w:rsid w:val="000C28C2"/>
    <w:rsid w:val="000C7102"/>
    <w:rsid w:val="000D2892"/>
    <w:rsid w:val="000D32E4"/>
    <w:rsid w:val="000D4F3F"/>
    <w:rsid w:val="000D59B8"/>
    <w:rsid w:val="000E71BF"/>
    <w:rsid w:val="000E79FF"/>
    <w:rsid w:val="000F13CF"/>
    <w:rsid w:val="000F1E7B"/>
    <w:rsid w:val="000F4469"/>
    <w:rsid w:val="000F6FE8"/>
    <w:rsid w:val="0010044A"/>
    <w:rsid w:val="001005B6"/>
    <w:rsid w:val="001071F2"/>
    <w:rsid w:val="00117C9E"/>
    <w:rsid w:val="00121004"/>
    <w:rsid w:val="0012385F"/>
    <w:rsid w:val="001248EE"/>
    <w:rsid w:val="00125D32"/>
    <w:rsid w:val="00127259"/>
    <w:rsid w:val="00130589"/>
    <w:rsid w:val="001315A6"/>
    <w:rsid w:val="00131952"/>
    <w:rsid w:val="00131BB9"/>
    <w:rsid w:val="00132364"/>
    <w:rsid w:val="0013687F"/>
    <w:rsid w:val="001510D7"/>
    <w:rsid w:val="001529A4"/>
    <w:rsid w:val="0016191D"/>
    <w:rsid w:val="001654BA"/>
    <w:rsid w:val="00170BE8"/>
    <w:rsid w:val="0017394F"/>
    <w:rsid w:val="001748E9"/>
    <w:rsid w:val="00176194"/>
    <w:rsid w:val="00177C07"/>
    <w:rsid w:val="00180F73"/>
    <w:rsid w:val="001820DC"/>
    <w:rsid w:val="00183DC8"/>
    <w:rsid w:val="00190F04"/>
    <w:rsid w:val="001918FB"/>
    <w:rsid w:val="001936CB"/>
    <w:rsid w:val="00194F29"/>
    <w:rsid w:val="00197398"/>
    <w:rsid w:val="001A0607"/>
    <w:rsid w:val="001A1DC4"/>
    <w:rsid w:val="001A2B1B"/>
    <w:rsid w:val="001A4645"/>
    <w:rsid w:val="001A6DE4"/>
    <w:rsid w:val="001A79D6"/>
    <w:rsid w:val="001B5EEC"/>
    <w:rsid w:val="001D0947"/>
    <w:rsid w:val="001D6742"/>
    <w:rsid w:val="001E7665"/>
    <w:rsid w:val="001F3198"/>
    <w:rsid w:val="001F71DE"/>
    <w:rsid w:val="001F790E"/>
    <w:rsid w:val="001F7C99"/>
    <w:rsid w:val="00206F49"/>
    <w:rsid w:val="0021422E"/>
    <w:rsid w:val="00214315"/>
    <w:rsid w:val="002152D5"/>
    <w:rsid w:val="00216C19"/>
    <w:rsid w:val="00221FAD"/>
    <w:rsid w:val="0022231F"/>
    <w:rsid w:val="00230BB7"/>
    <w:rsid w:val="00242F2D"/>
    <w:rsid w:val="00243140"/>
    <w:rsid w:val="00243C64"/>
    <w:rsid w:val="0024519F"/>
    <w:rsid w:val="00250349"/>
    <w:rsid w:val="002544DC"/>
    <w:rsid w:val="002550A2"/>
    <w:rsid w:val="002566CD"/>
    <w:rsid w:val="00260218"/>
    <w:rsid w:val="002628E3"/>
    <w:rsid w:val="00262C10"/>
    <w:rsid w:val="00267B40"/>
    <w:rsid w:val="002737BF"/>
    <w:rsid w:val="00285F2E"/>
    <w:rsid w:val="00291AE6"/>
    <w:rsid w:val="002959CE"/>
    <w:rsid w:val="002A0AD7"/>
    <w:rsid w:val="002A486E"/>
    <w:rsid w:val="002A549D"/>
    <w:rsid w:val="002A5982"/>
    <w:rsid w:val="002B0A40"/>
    <w:rsid w:val="002B214B"/>
    <w:rsid w:val="002B284F"/>
    <w:rsid w:val="002B5DC8"/>
    <w:rsid w:val="002B6B1A"/>
    <w:rsid w:val="002C4985"/>
    <w:rsid w:val="002C67E0"/>
    <w:rsid w:val="002D5454"/>
    <w:rsid w:val="002D73C1"/>
    <w:rsid w:val="002D7E21"/>
    <w:rsid w:val="002E2553"/>
    <w:rsid w:val="002E336C"/>
    <w:rsid w:val="002E3D83"/>
    <w:rsid w:val="002E3FDF"/>
    <w:rsid w:val="002E5535"/>
    <w:rsid w:val="002E5C59"/>
    <w:rsid w:val="002E7390"/>
    <w:rsid w:val="002F02FB"/>
    <w:rsid w:val="002F0C83"/>
    <w:rsid w:val="002F0DB9"/>
    <w:rsid w:val="002F71CD"/>
    <w:rsid w:val="00302E43"/>
    <w:rsid w:val="00306488"/>
    <w:rsid w:val="0030797B"/>
    <w:rsid w:val="003119E3"/>
    <w:rsid w:val="003121E7"/>
    <w:rsid w:val="00316857"/>
    <w:rsid w:val="003170D8"/>
    <w:rsid w:val="00317BFF"/>
    <w:rsid w:val="0032142D"/>
    <w:rsid w:val="0032492C"/>
    <w:rsid w:val="00325659"/>
    <w:rsid w:val="00326992"/>
    <w:rsid w:val="003311C5"/>
    <w:rsid w:val="003330F7"/>
    <w:rsid w:val="0034645A"/>
    <w:rsid w:val="00346750"/>
    <w:rsid w:val="00354E2C"/>
    <w:rsid w:val="00362047"/>
    <w:rsid w:val="00364847"/>
    <w:rsid w:val="00366DB3"/>
    <w:rsid w:val="003711D4"/>
    <w:rsid w:val="00371D22"/>
    <w:rsid w:val="00372C72"/>
    <w:rsid w:val="0037560B"/>
    <w:rsid w:val="00375A6E"/>
    <w:rsid w:val="00376D84"/>
    <w:rsid w:val="0037756B"/>
    <w:rsid w:val="00384C7E"/>
    <w:rsid w:val="003856F8"/>
    <w:rsid w:val="00390C5E"/>
    <w:rsid w:val="00391BDD"/>
    <w:rsid w:val="00391EDF"/>
    <w:rsid w:val="00396924"/>
    <w:rsid w:val="003973C8"/>
    <w:rsid w:val="003A02A3"/>
    <w:rsid w:val="003A0FC2"/>
    <w:rsid w:val="003A403D"/>
    <w:rsid w:val="003A4747"/>
    <w:rsid w:val="003A53A6"/>
    <w:rsid w:val="003B1547"/>
    <w:rsid w:val="003B3358"/>
    <w:rsid w:val="003B550B"/>
    <w:rsid w:val="003B58C9"/>
    <w:rsid w:val="003B6EE2"/>
    <w:rsid w:val="003C34D2"/>
    <w:rsid w:val="003C4326"/>
    <w:rsid w:val="003D13B0"/>
    <w:rsid w:val="003D3B86"/>
    <w:rsid w:val="003D788F"/>
    <w:rsid w:val="003E02A9"/>
    <w:rsid w:val="003E102A"/>
    <w:rsid w:val="003E26E3"/>
    <w:rsid w:val="003E3163"/>
    <w:rsid w:val="003E361E"/>
    <w:rsid w:val="003E4C53"/>
    <w:rsid w:val="003E7691"/>
    <w:rsid w:val="003F00B3"/>
    <w:rsid w:val="00401379"/>
    <w:rsid w:val="00401FB6"/>
    <w:rsid w:val="00405F60"/>
    <w:rsid w:val="00406C63"/>
    <w:rsid w:val="00407F32"/>
    <w:rsid w:val="00410001"/>
    <w:rsid w:val="00410D5F"/>
    <w:rsid w:val="00423AB2"/>
    <w:rsid w:val="00423C0F"/>
    <w:rsid w:val="00427069"/>
    <w:rsid w:val="004271EC"/>
    <w:rsid w:val="004353B3"/>
    <w:rsid w:val="004377A7"/>
    <w:rsid w:val="00442140"/>
    <w:rsid w:val="00446808"/>
    <w:rsid w:val="00447BB9"/>
    <w:rsid w:val="00453B81"/>
    <w:rsid w:val="0045530B"/>
    <w:rsid w:val="004638BD"/>
    <w:rsid w:val="00463F32"/>
    <w:rsid w:val="00465BA4"/>
    <w:rsid w:val="0046735A"/>
    <w:rsid w:val="004760AA"/>
    <w:rsid w:val="00476A45"/>
    <w:rsid w:val="004816CF"/>
    <w:rsid w:val="004840F9"/>
    <w:rsid w:val="00494C0B"/>
    <w:rsid w:val="004A33B5"/>
    <w:rsid w:val="004A3DBB"/>
    <w:rsid w:val="004A463B"/>
    <w:rsid w:val="004B05F5"/>
    <w:rsid w:val="004B06B3"/>
    <w:rsid w:val="004B49BE"/>
    <w:rsid w:val="004B5DF0"/>
    <w:rsid w:val="004B7D7F"/>
    <w:rsid w:val="004C598C"/>
    <w:rsid w:val="004C6BC4"/>
    <w:rsid w:val="004D2047"/>
    <w:rsid w:val="004D7529"/>
    <w:rsid w:val="004D75DF"/>
    <w:rsid w:val="004E13B9"/>
    <w:rsid w:val="004E2AF3"/>
    <w:rsid w:val="005006B5"/>
    <w:rsid w:val="005026F1"/>
    <w:rsid w:val="00502D03"/>
    <w:rsid w:val="00504765"/>
    <w:rsid w:val="00505C46"/>
    <w:rsid w:val="0050754B"/>
    <w:rsid w:val="0050789B"/>
    <w:rsid w:val="00510698"/>
    <w:rsid w:val="005120A6"/>
    <w:rsid w:val="0051602E"/>
    <w:rsid w:val="005166B2"/>
    <w:rsid w:val="005170AA"/>
    <w:rsid w:val="00517B2C"/>
    <w:rsid w:val="00520910"/>
    <w:rsid w:val="005257FD"/>
    <w:rsid w:val="00525ED3"/>
    <w:rsid w:val="00526338"/>
    <w:rsid w:val="00531FBE"/>
    <w:rsid w:val="005325F6"/>
    <w:rsid w:val="00535303"/>
    <w:rsid w:val="00535CD7"/>
    <w:rsid w:val="005410B1"/>
    <w:rsid w:val="00543BC8"/>
    <w:rsid w:val="00546F3B"/>
    <w:rsid w:val="0054756A"/>
    <w:rsid w:val="005523DA"/>
    <w:rsid w:val="00552B74"/>
    <w:rsid w:val="00562CAE"/>
    <w:rsid w:val="00564345"/>
    <w:rsid w:val="00565BD4"/>
    <w:rsid w:val="0056733C"/>
    <w:rsid w:val="0056790B"/>
    <w:rsid w:val="00573522"/>
    <w:rsid w:val="005765F3"/>
    <w:rsid w:val="005776F1"/>
    <w:rsid w:val="005805AC"/>
    <w:rsid w:val="00581DD0"/>
    <w:rsid w:val="00583879"/>
    <w:rsid w:val="005862F9"/>
    <w:rsid w:val="005877D5"/>
    <w:rsid w:val="00592198"/>
    <w:rsid w:val="005945D4"/>
    <w:rsid w:val="005971BA"/>
    <w:rsid w:val="005A2184"/>
    <w:rsid w:val="005A2CDE"/>
    <w:rsid w:val="005A576D"/>
    <w:rsid w:val="005B0322"/>
    <w:rsid w:val="005B7BAF"/>
    <w:rsid w:val="005B7FC4"/>
    <w:rsid w:val="005C079C"/>
    <w:rsid w:val="005C0DB6"/>
    <w:rsid w:val="005C1242"/>
    <w:rsid w:val="005C19CB"/>
    <w:rsid w:val="005C3B68"/>
    <w:rsid w:val="005C3D75"/>
    <w:rsid w:val="005C4845"/>
    <w:rsid w:val="005C6C42"/>
    <w:rsid w:val="005D6329"/>
    <w:rsid w:val="005D6528"/>
    <w:rsid w:val="005E0647"/>
    <w:rsid w:val="005E3426"/>
    <w:rsid w:val="005E675B"/>
    <w:rsid w:val="005F1AC4"/>
    <w:rsid w:val="005F3CA3"/>
    <w:rsid w:val="005F5326"/>
    <w:rsid w:val="006007F2"/>
    <w:rsid w:val="00600E0D"/>
    <w:rsid w:val="00610667"/>
    <w:rsid w:val="00610994"/>
    <w:rsid w:val="0061764C"/>
    <w:rsid w:val="006223D1"/>
    <w:rsid w:val="00627B40"/>
    <w:rsid w:val="00631939"/>
    <w:rsid w:val="00636C83"/>
    <w:rsid w:val="00644F37"/>
    <w:rsid w:val="00650ADB"/>
    <w:rsid w:val="0065243F"/>
    <w:rsid w:val="00653946"/>
    <w:rsid w:val="00653E6E"/>
    <w:rsid w:val="00654791"/>
    <w:rsid w:val="006625DC"/>
    <w:rsid w:val="00662731"/>
    <w:rsid w:val="006664DE"/>
    <w:rsid w:val="006713D7"/>
    <w:rsid w:val="00672704"/>
    <w:rsid w:val="006750A9"/>
    <w:rsid w:val="006760E5"/>
    <w:rsid w:val="00676EEE"/>
    <w:rsid w:val="00682889"/>
    <w:rsid w:val="00683A71"/>
    <w:rsid w:val="00683FA4"/>
    <w:rsid w:val="0068505C"/>
    <w:rsid w:val="00685B24"/>
    <w:rsid w:val="00697C20"/>
    <w:rsid w:val="006A09E4"/>
    <w:rsid w:val="006A5810"/>
    <w:rsid w:val="006B59DA"/>
    <w:rsid w:val="006B5F7F"/>
    <w:rsid w:val="006C4AFE"/>
    <w:rsid w:val="006E59A6"/>
    <w:rsid w:val="006F0319"/>
    <w:rsid w:val="007032D5"/>
    <w:rsid w:val="007043FE"/>
    <w:rsid w:val="00707399"/>
    <w:rsid w:val="00715721"/>
    <w:rsid w:val="00716E65"/>
    <w:rsid w:val="007229F5"/>
    <w:rsid w:val="00722CBE"/>
    <w:rsid w:val="00723879"/>
    <w:rsid w:val="007253B7"/>
    <w:rsid w:val="007272FD"/>
    <w:rsid w:val="0073187E"/>
    <w:rsid w:val="00732E15"/>
    <w:rsid w:val="00733F7F"/>
    <w:rsid w:val="00736675"/>
    <w:rsid w:val="00740B30"/>
    <w:rsid w:val="00740CE3"/>
    <w:rsid w:val="007431AC"/>
    <w:rsid w:val="00745107"/>
    <w:rsid w:val="00747E71"/>
    <w:rsid w:val="00750722"/>
    <w:rsid w:val="007528B8"/>
    <w:rsid w:val="00762E76"/>
    <w:rsid w:val="00771A39"/>
    <w:rsid w:val="00782A2A"/>
    <w:rsid w:val="00785375"/>
    <w:rsid w:val="00787B01"/>
    <w:rsid w:val="00790C39"/>
    <w:rsid w:val="007915B8"/>
    <w:rsid w:val="007922FA"/>
    <w:rsid w:val="00795F09"/>
    <w:rsid w:val="007A315D"/>
    <w:rsid w:val="007A5074"/>
    <w:rsid w:val="007B0396"/>
    <w:rsid w:val="007B1597"/>
    <w:rsid w:val="007B34A1"/>
    <w:rsid w:val="007B44B2"/>
    <w:rsid w:val="007C2CA0"/>
    <w:rsid w:val="007C3AD9"/>
    <w:rsid w:val="007C5A62"/>
    <w:rsid w:val="007C7137"/>
    <w:rsid w:val="007D6B5E"/>
    <w:rsid w:val="007E3820"/>
    <w:rsid w:val="007E67BA"/>
    <w:rsid w:val="007E6A8D"/>
    <w:rsid w:val="007E6C98"/>
    <w:rsid w:val="007F4992"/>
    <w:rsid w:val="007F66FF"/>
    <w:rsid w:val="007F6A0B"/>
    <w:rsid w:val="007F6E84"/>
    <w:rsid w:val="00805468"/>
    <w:rsid w:val="0080683C"/>
    <w:rsid w:val="008174F0"/>
    <w:rsid w:val="00817547"/>
    <w:rsid w:val="00823683"/>
    <w:rsid w:val="00826B30"/>
    <w:rsid w:val="00830D5F"/>
    <w:rsid w:val="0083115C"/>
    <w:rsid w:val="00831A70"/>
    <w:rsid w:val="00832B42"/>
    <w:rsid w:val="0084008E"/>
    <w:rsid w:val="008415E3"/>
    <w:rsid w:val="00842C8B"/>
    <w:rsid w:val="00845AC5"/>
    <w:rsid w:val="0084642C"/>
    <w:rsid w:val="00846D8F"/>
    <w:rsid w:val="00852574"/>
    <w:rsid w:val="00855084"/>
    <w:rsid w:val="00856443"/>
    <w:rsid w:val="0085724A"/>
    <w:rsid w:val="00862A6A"/>
    <w:rsid w:val="00866871"/>
    <w:rsid w:val="00870D49"/>
    <w:rsid w:val="00871577"/>
    <w:rsid w:val="00876EA9"/>
    <w:rsid w:val="00877DF3"/>
    <w:rsid w:val="00892CE4"/>
    <w:rsid w:val="008A22BB"/>
    <w:rsid w:val="008B1108"/>
    <w:rsid w:val="008B2480"/>
    <w:rsid w:val="008D00A2"/>
    <w:rsid w:val="008D7460"/>
    <w:rsid w:val="008E0B57"/>
    <w:rsid w:val="008E3F4C"/>
    <w:rsid w:val="008E7F03"/>
    <w:rsid w:val="008F3F92"/>
    <w:rsid w:val="0090121D"/>
    <w:rsid w:val="009042F5"/>
    <w:rsid w:val="00905213"/>
    <w:rsid w:val="00905BAA"/>
    <w:rsid w:val="00906455"/>
    <w:rsid w:val="00906673"/>
    <w:rsid w:val="00913711"/>
    <w:rsid w:val="009156AE"/>
    <w:rsid w:val="00915742"/>
    <w:rsid w:val="0091674F"/>
    <w:rsid w:val="00922056"/>
    <w:rsid w:val="00925590"/>
    <w:rsid w:val="00932DB2"/>
    <w:rsid w:val="00933C47"/>
    <w:rsid w:val="00935482"/>
    <w:rsid w:val="0093790C"/>
    <w:rsid w:val="00940D7A"/>
    <w:rsid w:val="00945A42"/>
    <w:rsid w:val="009472BB"/>
    <w:rsid w:val="0095256C"/>
    <w:rsid w:val="0095333D"/>
    <w:rsid w:val="00956363"/>
    <w:rsid w:val="009627BE"/>
    <w:rsid w:val="0096349A"/>
    <w:rsid w:val="0097090C"/>
    <w:rsid w:val="00971A6A"/>
    <w:rsid w:val="0097314A"/>
    <w:rsid w:val="0097437C"/>
    <w:rsid w:val="009745ED"/>
    <w:rsid w:val="009762C1"/>
    <w:rsid w:val="009763CD"/>
    <w:rsid w:val="009A01F3"/>
    <w:rsid w:val="009A0528"/>
    <w:rsid w:val="009A15EE"/>
    <w:rsid w:val="009A635C"/>
    <w:rsid w:val="009B6AFA"/>
    <w:rsid w:val="009B6B40"/>
    <w:rsid w:val="009C223F"/>
    <w:rsid w:val="009C2800"/>
    <w:rsid w:val="009D1D37"/>
    <w:rsid w:val="009D6C25"/>
    <w:rsid w:val="009E1C91"/>
    <w:rsid w:val="009F08D5"/>
    <w:rsid w:val="00A035A2"/>
    <w:rsid w:val="00A064A8"/>
    <w:rsid w:val="00A1106B"/>
    <w:rsid w:val="00A1211F"/>
    <w:rsid w:val="00A12FFD"/>
    <w:rsid w:val="00A218C4"/>
    <w:rsid w:val="00A21C53"/>
    <w:rsid w:val="00A27B08"/>
    <w:rsid w:val="00A40D62"/>
    <w:rsid w:val="00A452AF"/>
    <w:rsid w:val="00A5160B"/>
    <w:rsid w:val="00A51C26"/>
    <w:rsid w:val="00A53FC5"/>
    <w:rsid w:val="00A632DB"/>
    <w:rsid w:val="00A6458C"/>
    <w:rsid w:val="00A70FBC"/>
    <w:rsid w:val="00A73F5F"/>
    <w:rsid w:val="00A8214F"/>
    <w:rsid w:val="00A82185"/>
    <w:rsid w:val="00A82D7E"/>
    <w:rsid w:val="00A85587"/>
    <w:rsid w:val="00A86E43"/>
    <w:rsid w:val="00A86E64"/>
    <w:rsid w:val="00A871EE"/>
    <w:rsid w:val="00A878C1"/>
    <w:rsid w:val="00A87F01"/>
    <w:rsid w:val="00A91030"/>
    <w:rsid w:val="00A92DB2"/>
    <w:rsid w:val="00A93AAC"/>
    <w:rsid w:val="00A94C49"/>
    <w:rsid w:val="00AA35CD"/>
    <w:rsid w:val="00AB0E84"/>
    <w:rsid w:val="00AB1072"/>
    <w:rsid w:val="00AB3A82"/>
    <w:rsid w:val="00AC373A"/>
    <w:rsid w:val="00AC5A5A"/>
    <w:rsid w:val="00AD38C9"/>
    <w:rsid w:val="00AD561D"/>
    <w:rsid w:val="00AD6623"/>
    <w:rsid w:val="00AD6ABA"/>
    <w:rsid w:val="00AE060F"/>
    <w:rsid w:val="00AE2D15"/>
    <w:rsid w:val="00AE461B"/>
    <w:rsid w:val="00AE5C76"/>
    <w:rsid w:val="00AE5CBF"/>
    <w:rsid w:val="00AE7ED6"/>
    <w:rsid w:val="00AF0257"/>
    <w:rsid w:val="00AF02A4"/>
    <w:rsid w:val="00AF755A"/>
    <w:rsid w:val="00B05ED8"/>
    <w:rsid w:val="00B100EF"/>
    <w:rsid w:val="00B110B6"/>
    <w:rsid w:val="00B14D3A"/>
    <w:rsid w:val="00B23DB9"/>
    <w:rsid w:val="00B24CBF"/>
    <w:rsid w:val="00B260F7"/>
    <w:rsid w:val="00B26369"/>
    <w:rsid w:val="00B273D4"/>
    <w:rsid w:val="00B33D6F"/>
    <w:rsid w:val="00B40A4E"/>
    <w:rsid w:val="00B413EC"/>
    <w:rsid w:val="00B515E4"/>
    <w:rsid w:val="00B5694B"/>
    <w:rsid w:val="00B6281C"/>
    <w:rsid w:val="00B62A53"/>
    <w:rsid w:val="00B70F8B"/>
    <w:rsid w:val="00B73B73"/>
    <w:rsid w:val="00B75658"/>
    <w:rsid w:val="00B85A6A"/>
    <w:rsid w:val="00B955B1"/>
    <w:rsid w:val="00B9677A"/>
    <w:rsid w:val="00BA5817"/>
    <w:rsid w:val="00BB23D5"/>
    <w:rsid w:val="00BB316E"/>
    <w:rsid w:val="00BB535D"/>
    <w:rsid w:val="00BB5583"/>
    <w:rsid w:val="00BC2039"/>
    <w:rsid w:val="00BC667F"/>
    <w:rsid w:val="00BD4CDC"/>
    <w:rsid w:val="00BD5F2D"/>
    <w:rsid w:val="00BD6CBC"/>
    <w:rsid w:val="00BE0B15"/>
    <w:rsid w:val="00BE1458"/>
    <w:rsid w:val="00BE1A39"/>
    <w:rsid w:val="00BE2670"/>
    <w:rsid w:val="00BE5584"/>
    <w:rsid w:val="00BF22B5"/>
    <w:rsid w:val="00C0044C"/>
    <w:rsid w:val="00C013DC"/>
    <w:rsid w:val="00C01F93"/>
    <w:rsid w:val="00C03E50"/>
    <w:rsid w:val="00C042D9"/>
    <w:rsid w:val="00C04C76"/>
    <w:rsid w:val="00C10692"/>
    <w:rsid w:val="00C15FA9"/>
    <w:rsid w:val="00C17BED"/>
    <w:rsid w:val="00C2350A"/>
    <w:rsid w:val="00C24D82"/>
    <w:rsid w:val="00C27377"/>
    <w:rsid w:val="00C30E70"/>
    <w:rsid w:val="00C40160"/>
    <w:rsid w:val="00C40FAB"/>
    <w:rsid w:val="00C4559B"/>
    <w:rsid w:val="00C45778"/>
    <w:rsid w:val="00C55202"/>
    <w:rsid w:val="00C56944"/>
    <w:rsid w:val="00C746DE"/>
    <w:rsid w:val="00C7571E"/>
    <w:rsid w:val="00C82BB0"/>
    <w:rsid w:val="00C82ED9"/>
    <w:rsid w:val="00C86BCD"/>
    <w:rsid w:val="00C9636C"/>
    <w:rsid w:val="00C97734"/>
    <w:rsid w:val="00CA350B"/>
    <w:rsid w:val="00CB179E"/>
    <w:rsid w:val="00CB43C1"/>
    <w:rsid w:val="00CB7394"/>
    <w:rsid w:val="00CC0CA4"/>
    <w:rsid w:val="00CC3BD1"/>
    <w:rsid w:val="00CC573F"/>
    <w:rsid w:val="00CD53C1"/>
    <w:rsid w:val="00CE0CB0"/>
    <w:rsid w:val="00CE267E"/>
    <w:rsid w:val="00CE3B41"/>
    <w:rsid w:val="00CE4CDE"/>
    <w:rsid w:val="00CE6FE0"/>
    <w:rsid w:val="00CF06E0"/>
    <w:rsid w:val="00D0302A"/>
    <w:rsid w:val="00D03F2A"/>
    <w:rsid w:val="00D052F9"/>
    <w:rsid w:val="00D05A6F"/>
    <w:rsid w:val="00D072A5"/>
    <w:rsid w:val="00D17967"/>
    <w:rsid w:val="00D223CD"/>
    <w:rsid w:val="00D22531"/>
    <w:rsid w:val="00D2358D"/>
    <w:rsid w:val="00D26057"/>
    <w:rsid w:val="00D261B5"/>
    <w:rsid w:val="00D30F1E"/>
    <w:rsid w:val="00D33939"/>
    <w:rsid w:val="00D3779E"/>
    <w:rsid w:val="00D41028"/>
    <w:rsid w:val="00D42C07"/>
    <w:rsid w:val="00D452A1"/>
    <w:rsid w:val="00D45A6B"/>
    <w:rsid w:val="00D45C63"/>
    <w:rsid w:val="00D45EEB"/>
    <w:rsid w:val="00D477B9"/>
    <w:rsid w:val="00D60002"/>
    <w:rsid w:val="00D6273F"/>
    <w:rsid w:val="00D63F14"/>
    <w:rsid w:val="00D65FF6"/>
    <w:rsid w:val="00D6753A"/>
    <w:rsid w:val="00D75038"/>
    <w:rsid w:val="00D85B8D"/>
    <w:rsid w:val="00D9051F"/>
    <w:rsid w:val="00D90BBC"/>
    <w:rsid w:val="00D92139"/>
    <w:rsid w:val="00D950A2"/>
    <w:rsid w:val="00D95229"/>
    <w:rsid w:val="00D965BD"/>
    <w:rsid w:val="00D9772E"/>
    <w:rsid w:val="00DA31ED"/>
    <w:rsid w:val="00DB044F"/>
    <w:rsid w:val="00DC0380"/>
    <w:rsid w:val="00DE093A"/>
    <w:rsid w:val="00DE21BB"/>
    <w:rsid w:val="00DF6881"/>
    <w:rsid w:val="00DF758B"/>
    <w:rsid w:val="00DF76BF"/>
    <w:rsid w:val="00E0574F"/>
    <w:rsid w:val="00E062BF"/>
    <w:rsid w:val="00E112E2"/>
    <w:rsid w:val="00E218E7"/>
    <w:rsid w:val="00E21A48"/>
    <w:rsid w:val="00E27EF2"/>
    <w:rsid w:val="00E30E9A"/>
    <w:rsid w:val="00E35BA3"/>
    <w:rsid w:val="00E3604E"/>
    <w:rsid w:val="00E376D9"/>
    <w:rsid w:val="00E44890"/>
    <w:rsid w:val="00E557D9"/>
    <w:rsid w:val="00E56E2B"/>
    <w:rsid w:val="00E63955"/>
    <w:rsid w:val="00E65608"/>
    <w:rsid w:val="00E715E4"/>
    <w:rsid w:val="00E752CC"/>
    <w:rsid w:val="00E8030E"/>
    <w:rsid w:val="00E809D8"/>
    <w:rsid w:val="00E84312"/>
    <w:rsid w:val="00E86715"/>
    <w:rsid w:val="00E95674"/>
    <w:rsid w:val="00E9587D"/>
    <w:rsid w:val="00EA20C0"/>
    <w:rsid w:val="00EB1390"/>
    <w:rsid w:val="00EC2E44"/>
    <w:rsid w:val="00EC3DC4"/>
    <w:rsid w:val="00EC434D"/>
    <w:rsid w:val="00ED3D31"/>
    <w:rsid w:val="00ED540D"/>
    <w:rsid w:val="00ED5D13"/>
    <w:rsid w:val="00EE3107"/>
    <w:rsid w:val="00EF3803"/>
    <w:rsid w:val="00F00589"/>
    <w:rsid w:val="00F04D22"/>
    <w:rsid w:val="00F0569A"/>
    <w:rsid w:val="00F13EA8"/>
    <w:rsid w:val="00F1769B"/>
    <w:rsid w:val="00F22713"/>
    <w:rsid w:val="00F27B4B"/>
    <w:rsid w:val="00F31412"/>
    <w:rsid w:val="00F32AD4"/>
    <w:rsid w:val="00F40DC2"/>
    <w:rsid w:val="00F431DB"/>
    <w:rsid w:val="00F444E4"/>
    <w:rsid w:val="00F46907"/>
    <w:rsid w:val="00F46E86"/>
    <w:rsid w:val="00F505E5"/>
    <w:rsid w:val="00F50AB4"/>
    <w:rsid w:val="00F52D5C"/>
    <w:rsid w:val="00F53679"/>
    <w:rsid w:val="00F55F44"/>
    <w:rsid w:val="00F55FFB"/>
    <w:rsid w:val="00F66042"/>
    <w:rsid w:val="00F67359"/>
    <w:rsid w:val="00F7078C"/>
    <w:rsid w:val="00F722AE"/>
    <w:rsid w:val="00F7495E"/>
    <w:rsid w:val="00F7632F"/>
    <w:rsid w:val="00F77095"/>
    <w:rsid w:val="00F828C6"/>
    <w:rsid w:val="00F82C44"/>
    <w:rsid w:val="00F85878"/>
    <w:rsid w:val="00F86F3D"/>
    <w:rsid w:val="00F94DB1"/>
    <w:rsid w:val="00FA0D1F"/>
    <w:rsid w:val="00FA2326"/>
    <w:rsid w:val="00FA2B37"/>
    <w:rsid w:val="00FA3A62"/>
    <w:rsid w:val="00FA5580"/>
    <w:rsid w:val="00FC6046"/>
    <w:rsid w:val="00FD0ACC"/>
    <w:rsid w:val="00FD483D"/>
    <w:rsid w:val="00FD59C4"/>
    <w:rsid w:val="00FD6ECA"/>
    <w:rsid w:val="00FD7002"/>
    <w:rsid w:val="00FE3C98"/>
    <w:rsid w:val="00FE7530"/>
    <w:rsid w:val="00FF0AEE"/>
    <w:rsid w:val="00FF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2C9935"/>
  <w15:chartTrackingRefBased/>
  <w15:docId w15:val="{1F3F2C6D-F559-4A5C-A1C0-20DC3AF7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58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B6281C"/>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223D1"/>
    <w:pPr>
      <w:keepNext/>
      <w:keepLines/>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58D"/>
    <w:pPr>
      <w:ind w:left="720"/>
    </w:pPr>
  </w:style>
  <w:style w:type="paragraph" w:styleId="BalloonText">
    <w:name w:val="Balloon Text"/>
    <w:basedOn w:val="Normal"/>
    <w:link w:val="BalloonTextChar"/>
    <w:uiPriority w:val="99"/>
    <w:semiHidden/>
    <w:unhideWhenUsed/>
    <w:rsid w:val="00E06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BF"/>
    <w:rPr>
      <w:rFonts w:ascii="Segoe UI" w:eastAsia="Times New Roman" w:hAnsi="Segoe UI" w:cs="Segoe UI"/>
      <w:sz w:val="18"/>
      <w:szCs w:val="18"/>
    </w:rPr>
  </w:style>
  <w:style w:type="character" w:styleId="CommentReference">
    <w:name w:val="annotation reference"/>
    <w:basedOn w:val="DefaultParagraphFont"/>
    <w:uiPriority w:val="99"/>
    <w:unhideWhenUsed/>
    <w:rsid w:val="005F3CA3"/>
    <w:rPr>
      <w:sz w:val="16"/>
      <w:szCs w:val="16"/>
    </w:rPr>
  </w:style>
  <w:style w:type="paragraph" w:styleId="CommentText">
    <w:name w:val="annotation text"/>
    <w:basedOn w:val="Normal"/>
    <w:link w:val="CommentTextChar"/>
    <w:uiPriority w:val="99"/>
    <w:unhideWhenUsed/>
    <w:rsid w:val="005F3CA3"/>
    <w:rPr>
      <w:szCs w:val="20"/>
    </w:rPr>
  </w:style>
  <w:style w:type="character" w:customStyle="1" w:styleId="CommentTextChar">
    <w:name w:val="Comment Text Char"/>
    <w:basedOn w:val="DefaultParagraphFont"/>
    <w:link w:val="CommentText"/>
    <w:uiPriority w:val="99"/>
    <w:rsid w:val="005F3C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A3"/>
    <w:rPr>
      <w:b/>
      <w:bCs/>
    </w:rPr>
  </w:style>
  <w:style w:type="character" w:customStyle="1" w:styleId="CommentSubjectChar">
    <w:name w:val="Comment Subject Char"/>
    <w:basedOn w:val="CommentTextChar"/>
    <w:link w:val="CommentSubject"/>
    <w:uiPriority w:val="99"/>
    <w:semiHidden/>
    <w:rsid w:val="005F3CA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90C5E"/>
    <w:rPr>
      <w:color w:val="0563C1" w:themeColor="hyperlink"/>
      <w:u w:val="single"/>
    </w:rPr>
  </w:style>
  <w:style w:type="paragraph" w:styleId="Revision">
    <w:name w:val="Revision"/>
    <w:hidden/>
    <w:uiPriority w:val="99"/>
    <w:semiHidden/>
    <w:rsid w:val="003C4326"/>
    <w:pPr>
      <w:spacing w:after="0" w:line="240" w:lineRule="auto"/>
    </w:pPr>
    <w:rPr>
      <w:rFonts w:ascii="Times New Roman" w:eastAsia="Times New Roman" w:hAnsi="Times New Roman" w:cs="Times New Roman"/>
      <w:sz w:val="20"/>
      <w:szCs w:val="24"/>
    </w:rPr>
  </w:style>
  <w:style w:type="table" w:styleId="TableGrid">
    <w:name w:val="Table Grid"/>
    <w:basedOn w:val="TableNormal"/>
    <w:uiPriority w:val="39"/>
    <w:rsid w:val="002A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604E"/>
    <w:rPr>
      <w:color w:val="954F72" w:themeColor="followedHyperlink"/>
      <w:u w:val="single"/>
    </w:rPr>
  </w:style>
  <w:style w:type="character" w:customStyle="1" w:styleId="Heading1Char">
    <w:name w:val="Heading 1 Char"/>
    <w:basedOn w:val="DefaultParagraphFont"/>
    <w:link w:val="Heading1"/>
    <w:uiPriority w:val="9"/>
    <w:rsid w:val="00B6281C"/>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6223D1"/>
    <w:rPr>
      <w:rFonts w:ascii="Times New Roman" w:hAnsi="Times New Roman" w:eastAsiaTheme="majorEastAsia" w:cstheme="majorBidi"/>
      <w:sz w:val="24"/>
      <w:szCs w:val="26"/>
    </w:rPr>
  </w:style>
  <w:style w:type="paragraph" w:styleId="Header">
    <w:name w:val="header"/>
    <w:basedOn w:val="Normal"/>
    <w:link w:val="HeaderChar"/>
    <w:uiPriority w:val="99"/>
    <w:unhideWhenUsed/>
    <w:rsid w:val="001F790E"/>
    <w:pPr>
      <w:tabs>
        <w:tab w:val="center" w:pos="4680"/>
        <w:tab w:val="right" w:pos="9360"/>
      </w:tabs>
    </w:pPr>
  </w:style>
  <w:style w:type="character" w:customStyle="1" w:styleId="HeaderChar">
    <w:name w:val="Header Char"/>
    <w:basedOn w:val="DefaultParagraphFont"/>
    <w:link w:val="Header"/>
    <w:uiPriority w:val="99"/>
    <w:rsid w:val="001F790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F790E"/>
    <w:pPr>
      <w:tabs>
        <w:tab w:val="center" w:pos="4680"/>
        <w:tab w:val="right" w:pos="9360"/>
      </w:tabs>
    </w:pPr>
  </w:style>
  <w:style w:type="character" w:customStyle="1" w:styleId="FooterChar">
    <w:name w:val="Footer Char"/>
    <w:basedOn w:val="DefaultParagraphFont"/>
    <w:link w:val="Footer"/>
    <w:uiPriority w:val="99"/>
    <w:rsid w:val="001F790E"/>
    <w:rPr>
      <w:rFonts w:ascii="Times New Roman" w:eastAsia="Times New Roman" w:hAnsi="Times New Roman" w:cs="Times New Roman"/>
      <w:sz w:val="20"/>
      <w:szCs w:val="24"/>
    </w:rPr>
  </w:style>
  <w:style w:type="paragraph" w:customStyle="1" w:styleId="Default">
    <w:name w:val="Default"/>
    <w:rsid w:val="00C17BE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B044F"/>
    <w:rPr>
      <w:szCs w:val="20"/>
    </w:rPr>
  </w:style>
  <w:style w:type="character" w:customStyle="1" w:styleId="EndnoteTextChar">
    <w:name w:val="Endnote Text Char"/>
    <w:basedOn w:val="DefaultParagraphFont"/>
    <w:link w:val="EndnoteText"/>
    <w:uiPriority w:val="99"/>
    <w:semiHidden/>
    <w:rsid w:val="00DB044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04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3031.htm" TargetMode="External" /><Relationship Id="rId6" Type="http://schemas.openxmlformats.org/officeDocument/2006/relationships/hyperlink" Target="http://www.bls.gov/oes/current/oes132011.htm" TargetMode="External" /><Relationship Id="rId7" Type="http://schemas.openxmlformats.org/officeDocument/2006/relationships/hyperlink" Target="https://www.cms.gov/Research-Statistics-Data-and-Systems/Downloadable-Public-Use-Files/Cost-Report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7131E-1274-4694-963A-D257EC8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 FEINSTEIN</dc:creator>
  <cp:lastModifiedBy>Parham, William (CMS/OSORA)</cp:lastModifiedBy>
  <cp:revision>2</cp:revision>
  <cp:lastPrinted>2019-07-26T20:29:00Z</cp:lastPrinted>
  <dcterms:created xsi:type="dcterms:W3CDTF">2025-06-11T19:08:00Z</dcterms:created>
  <dcterms:modified xsi:type="dcterms:W3CDTF">2025-06-11T19:08:00Z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