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A0D9C" w14:paraId="2CAEDF5B" w14:textId="77777777">
      <w:pPr>
        <w:spacing w:after="3" w:line="252" w:lineRule="auto"/>
        <w:ind w:left="375" w:right="686"/>
        <w:jc w:val="center"/>
      </w:pPr>
      <w:r>
        <w:t xml:space="preserve">Supporting Statement – Part A  </w:t>
      </w:r>
    </w:p>
    <w:p w:rsidR="00DA0D9C" w14:paraId="4BBB70C3" w14:textId="77777777">
      <w:pPr>
        <w:spacing w:after="3" w:line="252" w:lineRule="auto"/>
        <w:ind w:left="375" w:right="694"/>
        <w:jc w:val="center"/>
      </w:pPr>
      <w:r>
        <w:t xml:space="preserve">Medicare Advantage Model of Care Submission Requirements  </w:t>
      </w:r>
    </w:p>
    <w:p w:rsidR="00DA0D9C" w14:paraId="70E1C659" w14:textId="77777777">
      <w:pPr>
        <w:spacing w:after="3" w:line="252" w:lineRule="auto"/>
        <w:ind w:left="375" w:right="708"/>
        <w:jc w:val="center"/>
      </w:pPr>
      <w:r>
        <w:t xml:space="preserve">CMS-10565, OMB 0938-1296  </w:t>
      </w:r>
    </w:p>
    <w:p w:rsidR="00DA0D9C" w14:paraId="2083388C" w14:textId="77777777">
      <w:pPr>
        <w:spacing w:after="0" w:line="259" w:lineRule="auto"/>
        <w:ind w:left="533" w:right="0" w:firstLine="0"/>
      </w:pPr>
      <w:r>
        <w:t xml:space="preserve">  </w:t>
      </w:r>
    </w:p>
    <w:p w:rsidR="00DA0D9C" w14:paraId="651D2235" w14:textId="77777777">
      <w:pPr>
        <w:pStyle w:val="Heading1"/>
      </w:pPr>
      <w:r>
        <w:t xml:space="preserve">Background  </w:t>
      </w:r>
    </w:p>
    <w:p w:rsidR="00DA0D9C" w14:paraId="29B632CE" w14:textId="77777777">
      <w:pPr>
        <w:spacing w:after="0" w:line="259" w:lineRule="auto"/>
        <w:ind w:left="533" w:right="0" w:firstLine="0"/>
      </w:pPr>
      <w:r>
        <w:rPr>
          <w:b/>
          <w:sz w:val="22"/>
        </w:rPr>
        <w:t xml:space="preserve"> </w:t>
      </w:r>
      <w:r>
        <w:rPr>
          <w:sz w:val="23"/>
        </w:rPr>
        <w:t xml:space="preserve"> </w:t>
      </w:r>
      <w:r>
        <w:t xml:space="preserve"> </w:t>
      </w:r>
    </w:p>
    <w:p w:rsidR="00CD49E4" w:rsidP="00CD49E4" w14:paraId="4D2F20E7" w14:textId="77777777">
      <w:pPr>
        <w:ind w:left="542" w:right="862"/>
      </w:pPr>
      <w:r>
        <w:t xml:space="preserve">CMS is requesting a reinstatement with changes approval request for this collection previously approved under OMB control number 0938-1296. The approval lapsed due to administrative issues. For a complete list of revisions, please see section 15 and the CMS-10565, OMB 09381296 Crosswalk Document.   </w:t>
      </w:r>
    </w:p>
    <w:p w:rsidR="00CD49E4" w14:paraId="49E653D7" w14:textId="77777777">
      <w:pPr>
        <w:ind w:left="542" w:right="862"/>
      </w:pPr>
    </w:p>
    <w:p w:rsidR="00DA0D9C" w14:paraId="4DC7E3B9" w14:textId="240E0BC5">
      <w:pPr>
        <w:ind w:left="542" w:right="862"/>
      </w:pPr>
      <w:r>
        <w:t xml:space="preserve">Under section 1859(f)(1) of the Social Security Act (the Act), Medicare Advantage (MA) special needs plans (SNPs) </w:t>
      </w:r>
      <w:r>
        <w:t>are able to</w:t>
      </w:r>
      <w:r>
        <w:t xml:space="preserve"> restrict enrollment to MA beneficiaries who are: (1)  </w:t>
      </w:r>
    </w:p>
    <w:p w:rsidR="00DA0D9C" w14:paraId="087816B6" w14:textId="77777777">
      <w:pPr>
        <w:ind w:left="542" w:right="862"/>
      </w:pPr>
      <w:r>
        <w:t xml:space="preserve">Institutionalized individuals, who are currently defined in 42 CFR § 422.2 as those residing or expecting to reside for 90 days or longer in a long-term care facility, and institutionalized equivalent individuals who reside in the community but need an institutional level of care when certain conditions are met; (2) individuals entitled to medical assistance under a State plan under Title XIX; or (3) other individuals with certain severe or disabling chronic conditions who would benefit from enrollment in a SNP. As outlined at 42 CFR § 422.2, SNPs are a specific type of MA coordinated care plan that provide targeted care to individuals with unique special needs, and are defined as:   </w:t>
      </w:r>
    </w:p>
    <w:p w:rsidR="00DA0D9C" w14:paraId="020C0A2E" w14:textId="77777777">
      <w:pPr>
        <w:spacing w:after="0" w:line="259" w:lineRule="auto"/>
        <w:ind w:left="538" w:right="0" w:firstLine="0"/>
      </w:pPr>
      <w:r>
        <w:t xml:space="preserve"> </w:t>
      </w:r>
    </w:p>
    <w:p w:rsidR="00DA0D9C" w14:paraId="22EF33D2" w14:textId="77777777">
      <w:pPr>
        <w:numPr>
          <w:ilvl w:val="0"/>
          <w:numId w:val="1"/>
        </w:numPr>
        <w:ind w:right="862" w:hanging="259"/>
      </w:pPr>
      <w:r>
        <w:t xml:space="preserve">Institutionalized or institutionalized-equivalent beneficiaries (I-SNPs)  </w:t>
      </w:r>
    </w:p>
    <w:p w:rsidR="00DA0D9C" w14:paraId="4DA3C01B" w14:textId="77777777">
      <w:pPr>
        <w:numPr>
          <w:ilvl w:val="0"/>
          <w:numId w:val="1"/>
        </w:numPr>
        <w:ind w:right="862" w:hanging="259"/>
      </w:pPr>
      <w:r>
        <w:t>Dual eligible beneficiaries who are eligible for both Medicare and Medicaid (D-SNPs), and 3)</w:t>
      </w:r>
      <w:r>
        <w:rPr>
          <w:rFonts w:ascii="Arial" w:eastAsia="Arial" w:hAnsi="Arial" w:cs="Arial"/>
        </w:rPr>
        <w:t xml:space="preserve"> </w:t>
      </w:r>
      <w:r>
        <w:t xml:space="preserve">Beneficiaries who have a severe or disabling chronic condition(s) (C-SNPs).  </w:t>
      </w:r>
    </w:p>
    <w:p w:rsidR="00DA0D9C" w14:paraId="1E0D9ADC" w14:textId="77777777">
      <w:pPr>
        <w:spacing w:after="0" w:line="259" w:lineRule="auto"/>
        <w:ind w:left="533" w:right="0" w:firstLine="0"/>
      </w:pPr>
      <w:r>
        <w:t xml:space="preserve">  </w:t>
      </w:r>
    </w:p>
    <w:p w:rsidR="00DA0D9C" w14:paraId="0AFAB59A" w14:textId="77777777">
      <w:pPr>
        <w:ind w:left="542" w:right="862"/>
      </w:pPr>
      <w:r>
        <w:t xml:space="preserve">Section 1859(f)(7) of the Act requires that all MA SNPs be approved by the National Committee for Quality Assurance (NCQA). As a component of the MA application and renewal process, SNPs are required to submit Models of Care (MOCs) through the Health Plan Management  </w:t>
      </w:r>
    </w:p>
    <w:p w:rsidR="00DA0D9C" w14:paraId="4F1599F4" w14:textId="77777777">
      <w:pPr>
        <w:ind w:left="542" w:right="862"/>
      </w:pPr>
      <w:r>
        <w:t xml:space="preserve">System (HPMS). A MOC is a narrative submitted to the Centers for Medicare &amp; Medicaid Services (CMS) by the SNP that describes the basic quality framework used to meet the individual needs of its enrollees and the infrastructure to promote care management and coordination. SNP MOCs are also considered a vital tool for quality improvement.   </w:t>
      </w:r>
    </w:p>
    <w:p w:rsidR="00DA0D9C" w14:paraId="0AC00AA6" w14:textId="77777777">
      <w:pPr>
        <w:spacing w:after="0" w:line="259" w:lineRule="auto"/>
        <w:ind w:left="533" w:right="0" w:firstLine="0"/>
      </w:pPr>
      <w:r>
        <w:t xml:space="preserve">  </w:t>
      </w:r>
    </w:p>
    <w:p w:rsidR="00DA0D9C" w14:paraId="04653017" w14:textId="77777777">
      <w:pPr>
        <w:ind w:left="542" w:right="862"/>
      </w:pPr>
      <w:r>
        <w:t xml:space="preserve">MOC approval is based on NCQA’s evaluation using scoring guidelines developed by NCQA and CMS for the Secretary of the Department of Health and Human Services. The MOC elements cover the following areas: MOC 1: Description of the Overall SNP Population; MOC </w:t>
      </w:r>
    </w:p>
    <w:p w:rsidR="00DA0D9C" w14:paraId="38F29528" w14:textId="77777777">
      <w:pPr>
        <w:ind w:left="542" w:right="862"/>
      </w:pPr>
      <w:r>
        <w:t xml:space="preserve">2: Care Coordination; MOC 3: Provider Network; and MOC 4: Quality Measurement &amp;  </w:t>
      </w:r>
    </w:p>
    <w:p w:rsidR="00DA0D9C" w14:paraId="4D50FF37" w14:textId="77777777">
      <w:pPr>
        <w:ind w:left="542" w:right="862"/>
      </w:pPr>
      <w:r>
        <w:t xml:space="preserve">Performance Improvement. Based on the SNP type and MOC scores, </w:t>
      </w:r>
      <w:r>
        <w:t>with the exception of</w:t>
      </w:r>
      <w:r>
        <w:t xml:space="preserve"> CSNPs, all other SNPs receive an approval for a period of one, two, or three years. C-SNPs may only receive a one-year approval.    </w:t>
      </w:r>
    </w:p>
    <w:p w:rsidR="00DA0D9C" w14:paraId="375BB919" w14:textId="77777777">
      <w:pPr>
        <w:spacing w:after="0" w:line="259" w:lineRule="auto"/>
        <w:ind w:left="533" w:right="0" w:firstLine="0"/>
      </w:pPr>
      <w:r>
        <w:t xml:space="preserve">  </w:t>
      </w:r>
    </w:p>
    <w:p w:rsidR="00DA0D9C" w14:paraId="54D8BEEF" w14:textId="77777777">
      <w:pPr>
        <w:ind w:left="542" w:right="862"/>
      </w:pPr>
      <w:r>
        <w:t xml:space="preserve">There are two types of MOC submissions:  </w:t>
      </w:r>
    </w:p>
    <w:p w:rsidR="00DA0D9C" w14:paraId="1A21C246" w14:textId="77777777">
      <w:pPr>
        <w:spacing w:after="0" w:line="259" w:lineRule="auto"/>
        <w:ind w:left="533" w:right="0" w:firstLine="0"/>
      </w:pPr>
      <w:r>
        <w:rPr>
          <w:sz w:val="23"/>
        </w:rPr>
        <w:t xml:space="preserve"> </w:t>
      </w:r>
      <w:r>
        <w:t xml:space="preserve"> </w:t>
      </w:r>
    </w:p>
    <w:p w:rsidR="00DA0D9C" w14:paraId="1C26BD0A" w14:textId="77777777">
      <w:pPr>
        <w:pStyle w:val="Heading2"/>
        <w:ind w:left="511"/>
      </w:pPr>
      <w:r>
        <w:t xml:space="preserve">Initial and Renewal Submission   </w:t>
      </w:r>
    </w:p>
    <w:p w:rsidR="00DA0D9C" w14:paraId="152EF8A9" w14:textId="77777777">
      <w:pPr>
        <w:spacing w:after="0" w:line="259" w:lineRule="auto"/>
        <w:ind w:left="533" w:right="0" w:firstLine="0"/>
      </w:pPr>
      <w:r>
        <w:rPr>
          <w:i/>
          <w:sz w:val="23"/>
        </w:rPr>
        <w:t xml:space="preserve"> </w:t>
      </w:r>
      <w:r>
        <w:t xml:space="preserve"> </w:t>
      </w:r>
    </w:p>
    <w:p w:rsidR="00DA0D9C" w14:paraId="46061E92" w14:textId="77777777">
      <w:pPr>
        <w:ind w:left="542" w:right="862"/>
      </w:pPr>
      <w:r>
        <w:t xml:space="preserve">At the time SNP applications are due, an MA organization (MAO) wishing to offer a new SNP or renew an existing SNP, will submit a MOC with their SNP application in the Application module in HPMS for NCQA review and approval. Per section 1859(f)(5)(B)(iv) of the Act, CSNPs must renew their MOCs annually. I-SNPs and D-SNPs however receive an approval for a period of one, two, or three years, based on their MOC scores, and pending no substantial changes to the MOC.   </w:t>
      </w:r>
    </w:p>
    <w:p w:rsidR="00DA0D9C" w14:paraId="73CFA333" w14:textId="77777777">
      <w:pPr>
        <w:spacing w:after="0" w:line="259" w:lineRule="auto"/>
        <w:ind w:left="533" w:right="0" w:firstLine="0"/>
      </w:pPr>
      <w:r>
        <w:t xml:space="preserve">  </w:t>
      </w:r>
    </w:p>
    <w:p w:rsidR="00DA0D9C" w14:paraId="7FB4C566" w14:textId="77777777">
      <w:pPr>
        <w:pStyle w:val="Heading2"/>
        <w:ind w:left="511"/>
      </w:pPr>
      <w:r>
        <w:t xml:space="preserve">Off-Cycle Submission   </w:t>
      </w:r>
    </w:p>
    <w:p w:rsidR="00DA0D9C" w14:paraId="5505CD38" w14:textId="77777777">
      <w:pPr>
        <w:spacing w:after="0" w:line="259" w:lineRule="auto"/>
        <w:ind w:left="533" w:right="0" w:firstLine="0"/>
      </w:pPr>
      <w:r>
        <w:rPr>
          <w:i/>
          <w:sz w:val="23"/>
        </w:rPr>
        <w:t xml:space="preserve"> </w:t>
      </w:r>
      <w:r>
        <w:t xml:space="preserve"> </w:t>
      </w:r>
    </w:p>
    <w:p w:rsidR="00DA0D9C" w14:paraId="5A9EBE3A" w14:textId="77777777">
      <w:pPr>
        <w:ind w:left="542" w:right="862"/>
      </w:pPr>
      <w:r>
        <w:t xml:space="preserve">A D-SNP or I-SNP that decides to make substantial changes in policies or procedures to its existing approved MOC must submit a summary of their off-cycle MOC changes, along with the red-lined MOC, in the MOC module in HPMS for NCQA review and approval. Substantial changes are those that have a significant impact on care management approaches, enrollee benefits, and/or SNP operations. Note that minor adjustments to refine or improve existing processes are generally not considered substantial revisions and do not require an off-cycle MOC submission.    </w:t>
      </w:r>
    </w:p>
    <w:p w:rsidR="00DA0D9C" w14:paraId="16F48B98" w14:textId="77777777">
      <w:pPr>
        <w:spacing w:after="0" w:line="259" w:lineRule="auto"/>
        <w:ind w:left="533" w:right="0" w:firstLine="0"/>
      </w:pPr>
      <w:r>
        <w:t xml:space="preserve">  </w:t>
      </w:r>
    </w:p>
    <w:p w:rsidR="00DA0D9C" w14:paraId="3E9BF580" w14:textId="77777777">
      <w:pPr>
        <w:ind w:left="542" w:right="862"/>
      </w:pPr>
      <w:r>
        <w:t xml:space="preserve">MOC changes are at the discretion of SNPs, and it is the responsibility of SNPs to notify CMS of substantive changes and electronically submit a summary of changes to their MOC in HPMS. Furthermore, SNPs may not implement any changes until NCQA has approved the changes.  </w:t>
      </w:r>
    </w:p>
    <w:p w:rsidR="00DA0D9C" w14:paraId="0025FA95" w14:textId="77777777">
      <w:pPr>
        <w:spacing w:after="0" w:line="259" w:lineRule="auto"/>
        <w:ind w:left="533" w:right="0" w:firstLine="0"/>
      </w:pPr>
      <w:r>
        <w:t xml:space="preserve">  </w:t>
      </w:r>
    </w:p>
    <w:p w:rsidR="00DA0D9C" w14:paraId="4C0AD9C1" w14:textId="35DBD2B4">
      <w:pPr>
        <w:ind w:left="542" w:right="862"/>
      </w:pPr>
      <w:r>
        <w:t>In this re</w:t>
      </w:r>
      <w:r w:rsidR="00CD49E4">
        <w:t>instatement</w:t>
      </w:r>
      <w:r>
        <w:t xml:space="preserve"> PRA package, CMS outlines the burden for the existing MOC requirements as well as recent codifications to the Medicare Advantage regulations described below. CMS also revised a section of Attachment A, Model of Care Matrix Document to align with Executive Order 14168, but there is no associated burden for this action.     </w:t>
      </w:r>
    </w:p>
    <w:p w:rsidR="00DA0D9C" w14:paraId="5750A0B9" w14:textId="77777777">
      <w:pPr>
        <w:spacing w:after="0" w:line="259" w:lineRule="auto"/>
        <w:ind w:left="533" w:right="0" w:firstLine="0"/>
      </w:pPr>
      <w:r>
        <w:rPr>
          <w:sz w:val="22"/>
        </w:rPr>
        <w:t xml:space="preserve"> </w:t>
      </w:r>
      <w:r>
        <w:t xml:space="preserve"> </w:t>
      </w:r>
    </w:p>
    <w:p w:rsidR="00DA0D9C" w14:paraId="4B32B8BE" w14:textId="77777777">
      <w:pPr>
        <w:ind w:left="542" w:right="862"/>
      </w:pPr>
      <w:r>
        <w:t xml:space="preserve">On April 23, 2024, CMS issued a final rule (89 FR 30846) CMS-4201-F3 and CMS-4205-F codifying the guidelines for off-cycle MOC submissions. We clarified that SNPs may submit updates and corrections to their NCQA-approved MOC between June 1st and November 30th of each calendar year when a SNP needs to modify its processes and strategies for providing care </w:t>
      </w:r>
      <w:r>
        <w:t>in the midst of</w:t>
      </w:r>
      <w:r>
        <w:t xml:space="preserve"> its approved MOC timeframe or when CMS deems it necessary to ensure compliance with applicable standards and requirements. As outlined at 42 CFR §  </w:t>
      </w:r>
    </w:p>
    <w:p w:rsidR="00DA0D9C" w14:paraId="73E61B33" w14:textId="77777777">
      <w:pPr>
        <w:ind w:left="542" w:right="862"/>
      </w:pPr>
      <w:r>
        <w:t>422.101(f)(3)(iv)(B)(1) through (5), SNPs may modify their MOCs when there are substantial changes in policies or procedures pertinent to any of the following:</w:t>
      </w:r>
      <w:r>
        <w:rPr>
          <w:sz w:val="22"/>
        </w:rPr>
        <w:t xml:space="preserve"> </w:t>
      </w:r>
      <w:r>
        <w:t xml:space="preserve"> </w:t>
      </w:r>
    </w:p>
    <w:p w:rsidR="00DA0D9C" w14:paraId="5DAE6CFC" w14:textId="77777777">
      <w:pPr>
        <w:spacing w:after="0" w:line="259" w:lineRule="auto"/>
        <w:ind w:left="533" w:right="0" w:firstLine="0"/>
      </w:pPr>
      <w:r>
        <w:t xml:space="preserve">  </w:t>
      </w:r>
    </w:p>
    <w:p w:rsidR="00DA0D9C" w14:paraId="0797EA53" w14:textId="77777777">
      <w:pPr>
        <w:ind w:left="542" w:right="862"/>
      </w:pPr>
      <w:r>
        <w:t>(1)</w:t>
      </w:r>
      <w:r>
        <w:rPr>
          <w:sz w:val="22"/>
        </w:rPr>
        <w:t>(</w:t>
      </w:r>
      <w:r>
        <w:rPr>
          <w:sz w:val="22"/>
        </w:rPr>
        <w:t>i</w:t>
      </w:r>
      <w:r>
        <w:rPr>
          <w:sz w:val="22"/>
        </w:rPr>
        <w:t>)</w:t>
      </w:r>
      <w:r>
        <w:t xml:space="preserve"> The health risk assessment (HRA) process.</w:t>
      </w:r>
      <w:r>
        <w:rPr>
          <w:sz w:val="22"/>
        </w:rPr>
        <w:t xml:space="preserve"> </w:t>
      </w:r>
      <w:r>
        <w:t xml:space="preserve"> </w:t>
      </w:r>
    </w:p>
    <w:p w:rsidR="00DA0D9C" w14:paraId="6A051F68" w14:textId="77777777">
      <w:pPr>
        <w:numPr>
          <w:ilvl w:val="0"/>
          <w:numId w:val="2"/>
        </w:numPr>
        <w:ind w:right="862" w:hanging="384"/>
      </w:pPr>
      <w:r>
        <w:t>Revising processes to develop and update the Individualized Care Plan (ICP).</w:t>
      </w:r>
      <w:r>
        <w:rPr>
          <w:sz w:val="22"/>
        </w:rPr>
        <w:t xml:space="preserve"> </w:t>
      </w:r>
      <w:r>
        <w:t xml:space="preserve"> </w:t>
      </w:r>
    </w:p>
    <w:p w:rsidR="00DA0D9C" w14:paraId="6192CDE4" w14:textId="77777777">
      <w:pPr>
        <w:numPr>
          <w:ilvl w:val="0"/>
          <w:numId w:val="2"/>
        </w:numPr>
        <w:ind w:right="862" w:hanging="384"/>
      </w:pPr>
      <w:r>
        <w:t>The integrated care team process.</w:t>
      </w:r>
      <w:r>
        <w:rPr>
          <w:sz w:val="22"/>
        </w:rPr>
        <w:t xml:space="preserve"> </w:t>
      </w:r>
      <w:r>
        <w:t xml:space="preserve"> </w:t>
      </w:r>
    </w:p>
    <w:p w:rsidR="00DA0D9C" w14:paraId="57F1A05C" w14:textId="77777777">
      <w:pPr>
        <w:numPr>
          <w:ilvl w:val="0"/>
          <w:numId w:val="2"/>
        </w:numPr>
        <w:ind w:right="862" w:hanging="384"/>
      </w:pPr>
      <w:r>
        <w:t>Risk stratification methodology.</w:t>
      </w:r>
      <w:r>
        <w:rPr>
          <w:sz w:val="22"/>
        </w:rPr>
        <w:t xml:space="preserve"> (v)</w:t>
      </w:r>
      <w:r>
        <w:t xml:space="preserve"> Care transition protocols.</w:t>
      </w:r>
      <w:r>
        <w:rPr>
          <w:sz w:val="22"/>
        </w:rPr>
        <w:t xml:space="preserve"> </w:t>
      </w:r>
      <w:r>
        <w:t xml:space="preserve"> </w:t>
      </w:r>
    </w:p>
    <w:p w:rsidR="00DA0D9C" w14:paraId="6BA1BEEA" w14:textId="77777777">
      <w:pPr>
        <w:ind w:left="542" w:right="1227"/>
      </w:pPr>
      <w:r>
        <w:rPr>
          <w:sz w:val="22"/>
        </w:rPr>
        <w:t>(2)</w:t>
      </w:r>
      <w:r>
        <w:t xml:space="preserve"> Target population changes that warrant modifications to care management approaches.</w:t>
      </w:r>
      <w:r>
        <w:rPr>
          <w:sz w:val="22"/>
        </w:rPr>
        <w:t xml:space="preserve">  (3)</w:t>
      </w:r>
      <w:r>
        <w:t xml:space="preserve"> Changes in a SNP's plan benefit package between consecutive contract years that can considerably impact critical functions necessary to maintain member well-being and are related SNP operations.</w:t>
      </w:r>
      <w:r>
        <w:rPr>
          <w:sz w:val="22"/>
        </w:rPr>
        <w:t xml:space="preserve"> </w:t>
      </w:r>
      <w:r>
        <w:t xml:space="preserve"> </w:t>
      </w:r>
    </w:p>
    <w:p w:rsidR="00DA0D9C" w14:paraId="3725FA83" w14:textId="77777777">
      <w:pPr>
        <w:numPr>
          <w:ilvl w:val="0"/>
          <w:numId w:val="3"/>
        </w:numPr>
        <w:ind w:left="846" w:right="862" w:hanging="314"/>
      </w:pPr>
      <w:r>
        <w:t>Changes in level of authority or oversight for personnel conducting care coordination activities (for example, medical provider to non-medical provider, clinical vs. non-clinical personnel).</w:t>
      </w:r>
      <w:r>
        <w:rPr>
          <w:sz w:val="22"/>
        </w:rPr>
        <w:t xml:space="preserve"> </w:t>
      </w:r>
      <w:r>
        <w:t xml:space="preserve"> </w:t>
      </w:r>
    </w:p>
    <w:p w:rsidR="00DA0D9C" w14:paraId="470855D2" w14:textId="77777777">
      <w:pPr>
        <w:numPr>
          <w:ilvl w:val="0"/>
          <w:numId w:val="3"/>
        </w:numPr>
        <w:ind w:left="846" w:right="862" w:hanging="314"/>
      </w:pPr>
      <w:r>
        <w:t>Changes to quality metrics used to measure performance.</w:t>
      </w:r>
      <w:r>
        <w:rPr>
          <w:sz w:val="22"/>
        </w:rPr>
        <w:t xml:space="preserve"> </w:t>
      </w:r>
      <w:r>
        <w:t xml:space="preserve"> </w:t>
      </w:r>
    </w:p>
    <w:p w:rsidR="00DA0D9C" w14:paraId="25D13826" w14:textId="77777777">
      <w:pPr>
        <w:spacing w:after="0" w:line="259" w:lineRule="auto"/>
        <w:ind w:left="533" w:right="0" w:firstLine="0"/>
      </w:pPr>
      <w:r>
        <w:t xml:space="preserve">  </w:t>
      </w:r>
    </w:p>
    <w:p w:rsidR="00DA0D9C" w14:paraId="6663E1FE" w14:textId="77777777">
      <w:pPr>
        <w:ind w:left="542" w:right="862"/>
      </w:pPr>
      <w:r>
        <w:t xml:space="preserve">Also in the final rule, CMS modified § 422.101(f)(3)(iii) to include, in addition to the existing requirement that each element of the MOC meet a minimum benchmark score of 50 percent, each MOC must now meet an aggregate minimum benchmark of 70 percent. The requirement to meet an aggregate minimum benchmark of 70% is a codification to existing practice for reviewing and scoring MOC submissions. We further codified MOC approval periods based on SNP types and scores rendered by NCQA, and conditions for resubmission when the minimum benchmarks specified in this section are not met:   </w:t>
      </w:r>
    </w:p>
    <w:p w:rsidR="00DA0D9C" w14:paraId="20E1C576" w14:textId="77777777">
      <w:pPr>
        <w:spacing w:after="6" w:line="259" w:lineRule="auto"/>
        <w:ind w:left="533" w:right="0" w:firstLine="0"/>
      </w:pPr>
      <w:r>
        <w:t xml:space="preserve">  </w:t>
      </w:r>
    </w:p>
    <w:p w:rsidR="00DA0D9C" w14:paraId="106100D5" w14:textId="77777777">
      <w:pPr>
        <w:numPr>
          <w:ilvl w:val="1"/>
          <w:numId w:val="3"/>
        </w:numPr>
        <w:ind w:right="862" w:hanging="391"/>
      </w:pPr>
      <w:r>
        <w:t xml:space="preserve">A MOC for a C-SNP that receives a passing score is approved for 1 year.   </w:t>
      </w:r>
    </w:p>
    <w:p w:rsidR="00DA0D9C" w14:paraId="7469B15C" w14:textId="77777777">
      <w:pPr>
        <w:spacing w:after="8" w:line="259" w:lineRule="auto"/>
        <w:ind w:left="533" w:right="0" w:firstLine="0"/>
      </w:pPr>
      <w:r>
        <w:rPr>
          <w:sz w:val="22"/>
        </w:rPr>
        <w:t xml:space="preserve"> </w:t>
      </w:r>
      <w:r>
        <w:t xml:space="preserve"> </w:t>
      </w:r>
    </w:p>
    <w:p w:rsidR="00DA0D9C" w14:paraId="15C6094A" w14:textId="77777777">
      <w:pPr>
        <w:numPr>
          <w:ilvl w:val="1"/>
          <w:numId w:val="3"/>
        </w:numPr>
        <w:ind w:right="862" w:hanging="391"/>
      </w:pPr>
      <w:r>
        <w:t xml:space="preserve">A MOC for an I-SNP or D-SNP that receives an aggregate minimum benchmark score of 85 percent or greater is approved for 3 years. An MOC for an I-SNP or D-SNP that receives a score of 75 percent to 84 percent is approved for 2 years. An MOC for an I-SNP or DSNP that receives a score of 70 percent to 74 percent is approved for 1 year.   </w:t>
      </w:r>
    </w:p>
    <w:p w:rsidR="00DA0D9C" w14:paraId="695F20E4" w14:textId="77777777">
      <w:pPr>
        <w:spacing w:after="6" w:line="259" w:lineRule="auto"/>
        <w:ind w:left="533" w:right="0" w:firstLine="0"/>
      </w:pPr>
      <w:r>
        <w:t xml:space="preserve">  </w:t>
      </w:r>
    </w:p>
    <w:p w:rsidR="00DA0D9C" w14:paraId="017DAFD6" w14:textId="77777777">
      <w:pPr>
        <w:numPr>
          <w:ilvl w:val="1"/>
          <w:numId w:val="3"/>
        </w:numPr>
        <w:ind w:right="862" w:hanging="391"/>
      </w:pPr>
      <w:r>
        <w:t xml:space="preserve">For a MOC that fails to meet a minimum element benchmark score of 50 percent or an MOC that fails to meet the aggregate minimum benchmark of 70 percent, the MA organization is permitted a one-time opportunity to resubmit the corrected MOC for reevaluation; and an MOC that is corrected and resubmitted using this cure period is approved for only 1 year.  </w:t>
      </w:r>
    </w:p>
    <w:p w:rsidR="00DA0D9C" w14:paraId="4DCF5286" w14:textId="77777777">
      <w:pPr>
        <w:spacing w:after="0" w:line="259" w:lineRule="auto"/>
        <w:ind w:left="533" w:right="0" w:firstLine="0"/>
      </w:pPr>
      <w:r>
        <w:t xml:space="preserve">  </w:t>
      </w:r>
    </w:p>
    <w:p w:rsidR="00DA0D9C" w14:paraId="259DB7D9" w14:textId="77777777">
      <w:pPr>
        <w:ind w:left="542" w:right="862"/>
      </w:pPr>
      <w:r>
        <w:t xml:space="preserve">In addition to the regulatory codifications, CMS made changes to the MOC matrix requirements </w:t>
      </w:r>
      <w:r>
        <w:t>in order to</w:t>
      </w:r>
      <w:r>
        <w:t xml:space="preserve"> streamline and/or consolidate the language, eliminate redundancies, and provide clarifications to reduce ambiguities. We also re-ordered some of the requirements for a more logical flow. And eliminated MOC Matix B as all MOC requirements for an initial, renewal and off-cycle submissions are now included in Attachment A, Model of Care Matrix Document. CMS summarizes below the changes made to each of the MOC Elements:   </w:t>
      </w:r>
    </w:p>
    <w:p w:rsidR="00DA0D9C" w:rsidP="00CD49E4" w14:paraId="666F35A4" w14:textId="7D7AD614">
      <w:pPr>
        <w:spacing w:after="0" w:line="259" w:lineRule="auto"/>
        <w:ind w:left="533" w:right="0" w:firstLine="0"/>
      </w:pPr>
      <w:r>
        <w:t xml:space="preserve">   </w:t>
      </w:r>
      <w:r>
        <w:rPr>
          <w:b/>
        </w:rPr>
        <w:t xml:space="preserve"> </w:t>
      </w:r>
      <w:r>
        <w:rPr>
          <w:sz w:val="22"/>
        </w:rPr>
        <w:t xml:space="preserve"> </w:t>
      </w:r>
      <w:r>
        <w:t xml:space="preserve"> </w:t>
      </w:r>
    </w:p>
    <w:p w:rsidR="00DA0D9C" w14:paraId="5369D2FB" w14:textId="77777777">
      <w:pPr>
        <w:pStyle w:val="Heading1"/>
        <w:tabs>
          <w:tab w:val="center" w:pos="644"/>
          <w:tab w:val="center" w:pos="1920"/>
        </w:tabs>
        <w:ind w:left="0" w:firstLine="0"/>
      </w:pPr>
      <w:r>
        <w:rPr>
          <w:rFonts w:ascii="Calibri" w:eastAsia="Calibri" w:hAnsi="Calibri" w:cs="Calibri"/>
          <w:b w:val="0"/>
          <w:sz w:val="22"/>
        </w:rPr>
        <w:t xml:space="preserve"> </w:t>
      </w:r>
      <w:r>
        <w:rPr>
          <w:rFonts w:ascii="Calibri" w:eastAsia="Calibri" w:hAnsi="Calibri" w:cs="Calibri"/>
          <w:b w:val="0"/>
          <w:sz w:val="22"/>
        </w:rPr>
        <w:tab/>
      </w:r>
      <w:r>
        <w:t>A.</w:t>
      </w:r>
      <w:r>
        <w:rPr>
          <w:rFonts w:ascii="Arial" w:eastAsia="Arial" w:hAnsi="Arial" w:cs="Arial"/>
        </w:rPr>
        <w:t xml:space="preserve">  </w:t>
      </w:r>
      <w:r>
        <w:rPr>
          <w:rFonts w:ascii="Arial" w:eastAsia="Arial" w:hAnsi="Arial" w:cs="Arial"/>
        </w:rPr>
        <w:tab/>
      </w:r>
      <w:r>
        <w:t xml:space="preserve">Justification  </w:t>
      </w:r>
    </w:p>
    <w:p w:rsidR="00DA0D9C" w14:paraId="1DCFD16F" w14:textId="77777777">
      <w:pPr>
        <w:spacing w:after="55" w:line="259" w:lineRule="auto"/>
        <w:ind w:left="533" w:right="0" w:firstLine="0"/>
      </w:pPr>
      <w:r>
        <w:rPr>
          <w:b/>
          <w:sz w:val="22"/>
        </w:rPr>
        <w:t xml:space="preserve"> </w:t>
      </w:r>
      <w:r>
        <w:t xml:space="preserve"> </w:t>
      </w:r>
    </w:p>
    <w:p w:rsidR="00DA0D9C" w14:paraId="48A25887" w14:textId="77777777">
      <w:pPr>
        <w:pStyle w:val="Heading2"/>
        <w:tabs>
          <w:tab w:val="center" w:pos="618"/>
          <w:tab w:val="center" w:pos="2328"/>
        </w:tabs>
        <w:spacing w:after="22" w:line="265" w:lineRule="auto"/>
        <w:ind w:left="-15" w:firstLine="0"/>
      </w:pPr>
      <w:r>
        <w:rPr>
          <w:rFonts w:ascii="Calibri" w:eastAsia="Calibri" w:hAnsi="Calibri" w:cs="Calibri"/>
          <w:i w:val="0"/>
          <w:sz w:val="22"/>
        </w:rPr>
        <w:t xml:space="preserve"> </w:t>
      </w:r>
      <w:r>
        <w:rPr>
          <w:rFonts w:ascii="Calibri" w:eastAsia="Calibri" w:hAnsi="Calibri" w:cs="Calibri"/>
          <w:i w:val="0"/>
          <w:sz w:val="22"/>
        </w:rPr>
        <w:tab/>
      </w:r>
      <w:r>
        <w:rPr>
          <w:i w:val="0"/>
        </w:rPr>
        <w:t>1.</w:t>
      </w:r>
      <w:r>
        <w:rPr>
          <w:rFonts w:ascii="Arial" w:eastAsia="Arial" w:hAnsi="Arial" w:cs="Arial"/>
          <w:i w:val="0"/>
        </w:rPr>
        <w:t xml:space="preserve">  </w:t>
      </w:r>
      <w:r>
        <w:rPr>
          <w:rFonts w:ascii="Arial" w:eastAsia="Arial" w:hAnsi="Arial" w:cs="Arial"/>
          <w:i w:val="0"/>
        </w:rPr>
        <w:tab/>
      </w:r>
      <w:r>
        <w:rPr>
          <w:i w:val="0"/>
          <w:u w:val="single" w:color="000000"/>
        </w:rPr>
        <w:t>Need and Legal Basis</w:t>
      </w:r>
      <w:r>
        <w:rPr>
          <w:i w:val="0"/>
        </w:rPr>
        <w:t xml:space="preserve"> </w:t>
      </w:r>
      <w:r>
        <w:t xml:space="preserve"> </w:t>
      </w:r>
    </w:p>
    <w:p w:rsidR="00DA0D9C" w14:paraId="172B1EA5" w14:textId="77777777">
      <w:pPr>
        <w:spacing w:after="64" w:line="259" w:lineRule="auto"/>
        <w:ind w:left="533" w:right="0" w:firstLine="0"/>
      </w:pPr>
      <w:r>
        <w:rPr>
          <w:sz w:val="16"/>
        </w:rPr>
        <w:t xml:space="preserve"> </w:t>
      </w:r>
      <w:r>
        <w:t xml:space="preserve"> </w:t>
      </w:r>
    </w:p>
    <w:p w:rsidR="00DA0D9C" w14:paraId="6C434D1F" w14:textId="77777777">
      <w:pPr>
        <w:ind w:left="542" w:right="862"/>
      </w:pPr>
      <w:r>
        <w:t>Section 1859(f)(7) of the Act and 42 CFR § 422.101(f)(3) requires that all SNP MOCs be approved by NCQA. This approval is based on NCQA’s evaluation of SNPs’ MOC narratives using MOC scoring guidelines. Section 50311 of the BBA of 2018 modified the MOC requirements for C-SNPs in section 1859 (f)(5)(</w:t>
      </w:r>
      <w:r>
        <w:t>B)(</w:t>
      </w:r>
      <w:r>
        <w:t xml:space="preserve"> </w:t>
      </w:r>
      <w:r>
        <w:t>i</w:t>
      </w:r>
      <w:r>
        <w:t xml:space="preserve">-v) of the Act, requiring them to submit on an annual basis. The BBA mandated additional changes for C-SNPs related to care management, HRAs, individualized care plans, a minimum benchmark for scoring, etc., for which CMS has applied these requirements to all SNP types. </w:t>
      </w:r>
      <w:r>
        <w:rPr>
          <w:sz w:val="23"/>
        </w:rPr>
        <w:t xml:space="preserve"> </w:t>
      </w:r>
      <w:r>
        <w:t xml:space="preserve"> </w:t>
      </w:r>
    </w:p>
    <w:p w:rsidR="00DA0D9C" w14:paraId="6CF28C67" w14:textId="77777777">
      <w:pPr>
        <w:spacing w:after="27" w:line="259" w:lineRule="auto"/>
        <w:ind w:left="533" w:right="0" w:firstLine="0"/>
      </w:pPr>
      <w:r>
        <w:t xml:space="preserve"> </w:t>
      </w:r>
      <w:r>
        <w:rPr>
          <w:sz w:val="23"/>
        </w:rPr>
        <w:t xml:space="preserve"> </w:t>
      </w:r>
      <w:r>
        <w:t xml:space="preserve"> </w:t>
      </w:r>
    </w:p>
    <w:p w:rsidR="00DA0D9C" w14:paraId="30014C39" w14:textId="77777777">
      <w:pPr>
        <w:pStyle w:val="Heading2"/>
        <w:tabs>
          <w:tab w:val="center" w:pos="618"/>
          <w:tab w:val="center" w:pos="2150"/>
        </w:tabs>
        <w:spacing w:after="22" w:line="265" w:lineRule="auto"/>
        <w:ind w:left="-15" w:firstLine="0"/>
      </w:pPr>
      <w:r>
        <w:rPr>
          <w:rFonts w:ascii="Calibri" w:eastAsia="Calibri" w:hAnsi="Calibri" w:cs="Calibri"/>
          <w:i w:val="0"/>
          <w:sz w:val="22"/>
        </w:rPr>
        <w:t xml:space="preserve"> </w:t>
      </w:r>
      <w:r>
        <w:rPr>
          <w:rFonts w:ascii="Calibri" w:eastAsia="Calibri" w:hAnsi="Calibri" w:cs="Calibri"/>
          <w:i w:val="0"/>
          <w:sz w:val="22"/>
        </w:rPr>
        <w:tab/>
      </w:r>
      <w:r>
        <w:rPr>
          <w:i w:val="0"/>
        </w:rPr>
        <w:t>2.</w:t>
      </w:r>
      <w:r>
        <w:rPr>
          <w:rFonts w:ascii="Arial" w:eastAsia="Arial" w:hAnsi="Arial" w:cs="Arial"/>
          <w:i w:val="0"/>
        </w:rPr>
        <w:t xml:space="preserve">  </w:t>
      </w:r>
      <w:r>
        <w:rPr>
          <w:rFonts w:ascii="Arial" w:eastAsia="Arial" w:hAnsi="Arial" w:cs="Arial"/>
          <w:i w:val="0"/>
        </w:rPr>
        <w:tab/>
      </w:r>
      <w:r>
        <w:rPr>
          <w:i w:val="0"/>
          <w:u w:val="single" w:color="000000"/>
        </w:rPr>
        <w:t>Information Users</w:t>
      </w:r>
      <w:r>
        <w:rPr>
          <w:i w:val="0"/>
        </w:rPr>
        <w:t xml:space="preserve"> </w:t>
      </w:r>
      <w:r>
        <w:t xml:space="preserve"> </w:t>
      </w:r>
    </w:p>
    <w:p w:rsidR="00DA0D9C" w14:paraId="3CD5E379" w14:textId="77777777">
      <w:pPr>
        <w:spacing w:after="0" w:line="259" w:lineRule="auto"/>
        <w:ind w:left="0" w:right="0" w:firstLine="0"/>
      </w:pPr>
      <w:r>
        <w:t xml:space="preserve">  </w:t>
      </w:r>
    </w:p>
    <w:p w:rsidR="00DA0D9C" w:rsidP="00BA037F" w14:paraId="74847EB5" w14:textId="77777777">
      <w:pPr>
        <w:spacing w:after="3" w:line="252" w:lineRule="auto"/>
        <w:ind w:left="375" w:right="689"/>
      </w:pPr>
      <w:r>
        <w:t xml:space="preserve">NCQA and CMS will use information collected in the SNP Application HPMS module to review and approve MOC narratives </w:t>
      </w:r>
      <w:r>
        <w:t>in order for</w:t>
      </w:r>
      <w:r>
        <w:t xml:space="preserve"> an MAO to offer a new SNP in the upcoming calendar year(s). This information is used by CMS as part of the MA SNP application process. NCQA and CMS will use information collected in the Renewal Submission section of the HPMS MOC module </w:t>
      </w:r>
      <w:r>
        <w:t xml:space="preserve">to review and approve the MOC narrative for the SNP to receive a new approval period and operate in the upcoming calendar year(s).  </w:t>
      </w:r>
    </w:p>
    <w:p w:rsidR="00DA0D9C" w14:paraId="19FDD939" w14:textId="77777777">
      <w:pPr>
        <w:spacing w:after="0" w:line="259" w:lineRule="auto"/>
        <w:ind w:left="533" w:right="0" w:firstLine="0"/>
      </w:pPr>
      <w:r>
        <w:t xml:space="preserve">  </w:t>
      </w:r>
    </w:p>
    <w:p w:rsidR="00DA0D9C" w14:paraId="3A830FBD" w14:textId="77777777">
      <w:pPr>
        <w:ind w:left="542" w:right="862"/>
      </w:pPr>
      <w:r>
        <w:t xml:space="preserve">Results of the Initial and Renewal MOC review will be made publicly available. NCQA and CMS will use information in the Off-Cycle Submission section of the HPMS MOC module to review changes SNPs wish to make to an approved MOC during their approval period. It is the responsibility of SNPs to notify CMS of substantial changes to their MOC in HPMS. Substantial changes are those that have a significant impact on care management approaches, enrollee benefits, and/or SNP operations. NCQA will conduct a review for CMS to determine if the changes made to a MOC are consistent with the MOC scoring guidelines before SNPs may implement the changes.  </w:t>
      </w:r>
    </w:p>
    <w:p w:rsidR="00DA0D9C" w14:paraId="50FF89B2" w14:textId="77777777">
      <w:pPr>
        <w:spacing w:after="31" w:line="259" w:lineRule="auto"/>
        <w:ind w:left="533" w:right="0" w:firstLine="0"/>
      </w:pPr>
      <w:r>
        <w:t xml:space="preserve">  </w:t>
      </w:r>
    </w:p>
    <w:p w:rsidR="00DA0D9C" w14:paraId="765248CD" w14:textId="77777777">
      <w:pPr>
        <w:pStyle w:val="Heading2"/>
        <w:tabs>
          <w:tab w:val="center" w:pos="618"/>
          <w:tab w:val="center" w:pos="2701"/>
        </w:tabs>
        <w:spacing w:after="22" w:line="265" w:lineRule="auto"/>
        <w:ind w:left="-15" w:firstLine="0"/>
      </w:pPr>
      <w:r>
        <w:rPr>
          <w:rFonts w:ascii="Calibri" w:eastAsia="Calibri" w:hAnsi="Calibri" w:cs="Calibri"/>
          <w:i w:val="0"/>
          <w:sz w:val="22"/>
        </w:rPr>
        <w:t xml:space="preserve"> </w:t>
      </w:r>
      <w:r>
        <w:rPr>
          <w:rFonts w:ascii="Calibri" w:eastAsia="Calibri" w:hAnsi="Calibri" w:cs="Calibri"/>
          <w:i w:val="0"/>
          <w:sz w:val="22"/>
        </w:rPr>
        <w:tab/>
      </w:r>
      <w:r>
        <w:rPr>
          <w:i w:val="0"/>
        </w:rPr>
        <w:t>3.</w:t>
      </w:r>
      <w:r>
        <w:rPr>
          <w:rFonts w:ascii="Arial" w:eastAsia="Arial" w:hAnsi="Arial" w:cs="Arial"/>
          <w:i w:val="0"/>
        </w:rPr>
        <w:t xml:space="preserve">  </w:t>
      </w:r>
      <w:r>
        <w:rPr>
          <w:rFonts w:ascii="Arial" w:eastAsia="Arial" w:hAnsi="Arial" w:cs="Arial"/>
          <w:i w:val="0"/>
        </w:rPr>
        <w:tab/>
      </w:r>
      <w:r>
        <w:rPr>
          <w:i w:val="0"/>
          <w:u w:val="single" w:color="000000"/>
        </w:rPr>
        <w:t>Use of Information Technology</w:t>
      </w:r>
      <w:r>
        <w:rPr>
          <w:i w:val="0"/>
        </w:rPr>
        <w:t xml:space="preserve"> </w:t>
      </w:r>
      <w:r>
        <w:t xml:space="preserve"> </w:t>
      </w:r>
    </w:p>
    <w:p w:rsidR="00DA0D9C" w14:paraId="4DBFEA31" w14:textId="77777777">
      <w:pPr>
        <w:spacing w:after="74" w:line="259" w:lineRule="auto"/>
        <w:ind w:left="533" w:right="0" w:firstLine="0"/>
      </w:pPr>
      <w:r>
        <w:rPr>
          <w:sz w:val="15"/>
        </w:rPr>
        <w:t xml:space="preserve"> </w:t>
      </w:r>
      <w:r>
        <w:t xml:space="preserve"> </w:t>
      </w:r>
    </w:p>
    <w:p w:rsidR="00DA0D9C" w14:paraId="56882E3E" w14:textId="77777777">
      <w:pPr>
        <w:ind w:left="542" w:right="862"/>
      </w:pPr>
      <w:r>
        <w:t xml:space="preserve">SNPs will submit initial and renewal MOCs as well as summaries of any substantive off-cycle MOC changes to CMS through HPMS. This is the platform that CMS uses to coordinate communication and the collection of information from MAOs.  </w:t>
      </w:r>
    </w:p>
    <w:p w:rsidR="00DA0D9C" w14:paraId="4162F590" w14:textId="77777777">
      <w:pPr>
        <w:spacing w:after="0" w:line="259" w:lineRule="auto"/>
        <w:ind w:left="533" w:right="0" w:firstLine="0"/>
      </w:pPr>
      <w:r>
        <w:rPr>
          <w:sz w:val="23"/>
        </w:rPr>
        <w:t xml:space="preserve"> </w:t>
      </w:r>
      <w:r>
        <w:t xml:space="preserve"> </w:t>
      </w:r>
    </w:p>
    <w:p w:rsidR="00DA0D9C" w14:paraId="0C736484" w14:textId="77777777">
      <w:pPr>
        <w:ind w:left="542" w:right="862"/>
      </w:pPr>
      <w:r>
        <w:t xml:space="preserve">No signatures are required for these submissions.  </w:t>
      </w:r>
    </w:p>
    <w:p w:rsidR="00DA0D9C" w14:paraId="41E3CF34" w14:textId="77777777">
      <w:pPr>
        <w:spacing w:after="37" w:line="259" w:lineRule="auto"/>
        <w:ind w:left="533" w:right="0" w:firstLine="0"/>
      </w:pPr>
      <w:r>
        <w:rPr>
          <w:sz w:val="23"/>
        </w:rPr>
        <w:t xml:space="preserve"> </w:t>
      </w:r>
      <w:r>
        <w:t xml:space="preserve"> </w:t>
      </w:r>
    </w:p>
    <w:p w:rsidR="00DA0D9C" w14:paraId="5B90E105" w14:textId="77777777">
      <w:pPr>
        <w:pStyle w:val="Heading2"/>
        <w:tabs>
          <w:tab w:val="center" w:pos="618"/>
          <w:tab w:val="center" w:pos="2233"/>
        </w:tabs>
        <w:spacing w:after="22" w:line="265" w:lineRule="auto"/>
        <w:ind w:left="-15" w:firstLine="0"/>
      </w:pPr>
      <w:r>
        <w:rPr>
          <w:rFonts w:ascii="Calibri" w:eastAsia="Calibri" w:hAnsi="Calibri" w:cs="Calibri"/>
          <w:i w:val="0"/>
          <w:sz w:val="22"/>
        </w:rPr>
        <w:t xml:space="preserve"> </w:t>
      </w:r>
      <w:r>
        <w:rPr>
          <w:rFonts w:ascii="Calibri" w:eastAsia="Calibri" w:hAnsi="Calibri" w:cs="Calibri"/>
          <w:i w:val="0"/>
          <w:sz w:val="22"/>
        </w:rPr>
        <w:tab/>
      </w:r>
      <w:r>
        <w:rPr>
          <w:i w:val="0"/>
        </w:rPr>
        <w:t>4.</w:t>
      </w:r>
      <w:r>
        <w:rPr>
          <w:rFonts w:ascii="Arial" w:eastAsia="Arial" w:hAnsi="Arial" w:cs="Arial"/>
          <w:i w:val="0"/>
        </w:rPr>
        <w:t xml:space="preserve">  </w:t>
      </w:r>
      <w:r>
        <w:rPr>
          <w:rFonts w:ascii="Arial" w:eastAsia="Arial" w:hAnsi="Arial" w:cs="Arial"/>
          <w:i w:val="0"/>
        </w:rPr>
        <w:tab/>
      </w:r>
      <w:r>
        <w:rPr>
          <w:i w:val="0"/>
          <w:u w:val="single" w:color="000000"/>
        </w:rPr>
        <w:t>Duplication of Efforts</w:t>
      </w:r>
      <w:r>
        <w:rPr>
          <w:i w:val="0"/>
        </w:rPr>
        <w:t xml:space="preserve"> </w:t>
      </w:r>
      <w:r>
        <w:t xml:space="preserve"> </w:t>
      </w:r>
    </w:p>
    <w:p w:rsidR="00DA0D9C" w14:paraId="60156291" w14:textId="77777777">
      <w:pPr>
        <w:spacing w:after="72" w:line="259" w:lineRule="auto"/>
        <w:ind w:left="533" w:right="0" w:firstLine="0"/>
      </w:pPr>
      <w:r>
        <w:rPr>
          <w:sz w:val="15"/>
        </w:rPr>
        <w:t xml:space="preserve"> </w:t>
      </w:r>
      <w:r>
        <w:t xml:space="preserve"> </w:t>
      </w:r>
    </w:p>
    <w:p w:rsidR="00DA0D9C" w14:paraId="2F734824" w14:textId="77777777">
      <w:pPr>
        <w:ind w:left="542" w:right="862"/>
      </w:pPr>
      <w:r>
        <w:t xml:space="preserve">This information collection does not duplicate any other effort, and the information cannot be obtained from any other source.  </w:t>
      </w:r>
    </w:p>
    <w:p w:rsidR="00DA0D9C" w14:paraId="74A36365" w14:textId="77777777">
      <w:pPr>
        <w:spacing w:after="37" w:line="259" w:lineRule="auto"/>
        <w:ind w:left="533" w:right="0" w:firstLine="0"/>
      </w:pPr>
      <w:r>
        <w:rPr>
          <w:sz w:val="23"/>
        </w:rPr>
        <w:t xml:space="preserve"> </w:t>
      </w:r>
      <w:r>
        <w:t xml:space="preserve"> </w:t>
      </w:r>
    </w:p>
    <w:p w:rsidR="00DA0D9C" w14:paraId="3B28FD1F" w14:textId="77777777">
      <w:pPr>
        <w:pStyle w:val="Heading2"/>
        <w:tabs>
          <w:tab w:val="center" w:pos="618"/>
          <w:tab w:val="center" w:pos="2013"/>
        </w:tabs>
        <w:spacing w:after="22" w:line="265" w:lineRule="auto"/>
        <w:ind w:left="-15" w:firstLine="0"/>
      </w:pPr>
      <w:r>
        <w:rPr>
          <w:rFonts w:ascii="Calibri" w:eastAsia="Calibri" w:hAnsi="Calibri" w:cs="Calibri"/>
          <w:i w:val="0"/>
          <w:sz w:val="22"/>
        </w:rPr>
        <w:t xml:space="preserve"> </w:t>
      </w:r>
      <w:r>
        <w:rPr>
          <w:rFonts w:ascii="Calibri" w:eastAsia="Calibri" w:hAnsi="Calibri" w:cs="Calibri"/>
          <w:i w:val="0"/>
          <w:sz w:val="22"/>
        </w:rPr>
        <w:tab/>
      </w:r>
      <w:r>
        <w:rPr>
          <w:i w:val="0"/>
        </w:rPr>
        <w:t>5.</w:t>
      </w:r>
      <w:r>
        <w:rPr>
          <w:rFonts w:ascii="Arial" w:eastAsia="Arial" w:hAnsi="Arial" w:cs="Arial"/>
          <w:i w:val="0"/>
        </w:rPr>
        <w:t xml:space="preserve">  </w:t>
      </w:r>
      <w:r>
        <w:rPr>
          <w:rFonts w:ascii="Arial" w:eastAsia="Arial" w:hAnsi="Arial" w:cs="Arial"/>
          <w:i w:val="0"/>
        </w:rPr>
        <w:tab/>
      </w:r>
      <w:r>
        <w:rPr>
          <w:i w:val="0"/>
          <w:u w:val="single" w:color="000000"/>
        </w:rPr>
        <w:t>Small Businesses</w:t>
      </w:r>
      <w:r>
        <w:rPr>
          <w:i w:val="0"/>
        </w:rPr>
        <w:t xml:space="preserve"> </w:t>
      </w:r>
      <w:r>
        <w:t xml:space="preserve"> </w:t>
      </w:r>
    </w:p>
    <w:p w:rsidR="00DA0D9C" w14:paraId="2E83699A" w14:textId="77777777">
      <w:pPr>
        <w:spacing w:after="62" w:line="259" w:lineRule="auto"/>
        <w:ind w:left="533" w:right="0" w:firstLine="0"/>
      </w:pPr>
      <w:r>
        <w:rPr>
          <w:sz w:val="16"/>
        </w:rPr>
        <w:t xml:space="preserve"> </w:t>
      </w:r>
      <w:r>
        <w:t xml:space="preserve"> </w:t>
      </w:r>
    </w:p>
    <w:p w:rsidR="00DA0D9C" w14:paraId="0276FC89" w14:textId="77777777">
      <w:pPr>
        <w:spacing w:after="1" w:line="238" w:lineRule="auto"/>
        <w:ind w:left="523" w:right="824" w:hanging="22"/>
        <w:jc w:val="both"/>
      </w:pPr>
      <w:r>
        <w:t xml:space="preserve">The collection of information will have a minimal impact on small businesses because applicants must possess an insurance license and be able to accept substantial financial risk. Generally, state statutory licensure requirements effectively preclude small businesses from being licensed to bear risk needed to serve Medicare enrollees.  </w:t>
      </w:r>
    </w:p>
    <w:p w:rsidR="00DA0D9C" w14:paraId="29C2C11A" w14:textId="77777777">
      <w:pPr>
        <w:spacing w:after="31" w:line="259" w:lineRule="auto"/>
        <w:ind w:left="533" w:right="0" w:firstLine="0"/>
      </w:pPr>
      <w:r>
        <w:t xml:space="preserve">  </w:t>
      </w:r>
    </w:p>
    <w:p w:rsidR="00DA0D9C" w14:paraId="2F76D82B" w14:textId="77777777">
      <w:pPr>
        <w:tabs>
          <w:tab w:val="center" w:pos="618"/>
          <w:tab w:val="center" w:pos="2382"/>
        </w:tabs>
        <w:spacing w:after="22" w:line="265" w:lineRule="auto"/>
        <w:ind w:left="-15" w:right="0" w:firstLine="0"/>
      </w:pPr>
      <w:r>
        <w:rPr>
          <w:rFonts w:ascii="Calibri" w:eastAsia="Calibri" w:hAnsi="Calibri" w:cs="Calibri"/>
          <w:sz w:val="22"/>
        </w:rPr>
        <w:t xml:space="preserve"> </w:t>
      </w:r>
      <w:r>
        <w:rPr>
          <w:rFonts w:ascii="Calibri" w:eastAsia="Calibri" w:hAnsi="Calibri" w:cs="Calibri"/>
          <w:sz w:val="22"/>
        </w:rPr>
        <w:tab/>
      </w:r>
      <w:r>
        <w:t>6.</w:t>
      </w:r>
      <w:r>
        <w:rPr>
          <w:rFonts w:ascii="Arial" w:eastAsia="Arial" w:hAnsi="Arial" w:cs="Arial"/>
        </w:rPr>
        <w:t xml:space="preserve">  </w:t>
      </w:r>
      <w:r>
        <w:rPr>
          <w:rFonts w:ascii="Arial" w:eastAsia="Arial" w:hAnsi="Arial" w:cs="Arial"/>
        </w:rPr>
        <w:tab/>
      </w:r>
      <w:r>
        <w:rPr>
          <w:u w:val="single" w:color="000000"/>
        </w:rPr>
        <w:t>Less Frequent Collection</w:t>
      </w:r>
      <w:r>
        <w:t xml:space="preserve">  </w:t>
      </w:r>
    </w:p>
    <w:p w:rsidR="00DA0D9C" w14:paraId="7D4FAC4E" w14:textId="77777777">
      <w:pPr>
        <w:spacing w:after="64" w:line="259" w:lineRule="auto"/>
        <w:ind w:left="533" w:right="0" w:firstLine="0"/>
      </w:pPr>
      <w:r>
        <w:rPr>
          <w:sz w:val="16"/>
        </w:rPr>
        <w:t xml:space="preserve"> </w:t>
      </w:r>
      <w:r>
        <w:t xml:space="preserve"> </w:t>
      </w:r>
    </w:p>
    <w:p w:rsidR="00DA0D9C" w14:paraId="74921F7F" w14:textId="77777777">
      <w:pPr>
        <w:pStyle w:val="Heading2"/>
        <w:ind w:left="511"/>
      </w:pPr>
      <w:r>
        <w:t xml:space="preserve">Initial and Renewal Submission   </w:t>
      </w:r>
    </w:p>
    <w:p w:rsidR="00DA0D9C" w14:paraId="24CF5262" w14:textId="77777777">
      <w:pPr>
        <w:spacing w:after="0" w:line="259" w:lineRule="auto"/>
        <w:ind w:left="533" w:right="0" w:firstLine="0"/>
      </w:pPr>
      <w:r>
        <w:rPr>
          <w:i/>
        </w:rPr>
        <w:t xml:space="preserve"> </w:t>
      </w:r>
      <w:r>
        <w:t xml:space="preserve"> </w:t>
      </w:r>
    </w:p>
    <w:p w:rsidR="00DA0D9C" w14:paraId="40984E32" w14:textId="77777777">
      <w:pPr>
        <w:ind w:left="542" w:right="862"/>
      </w:pPr>
      <w:r>
        <w:t xml:space="preserve">Given the importance of the activities covered in the MOC at safeguarding and improving the health of vulnerable Medicare beneficiaries enrolled in SNPs, CMS feels it is appropriate that SNPs be required to submit new MOCs at least every three years (and every year for C-SNPs as mandated by the BBA of 2018). Requiring SNPs to provide MOCs less frequently would mean </w:t>
      </w:r>
    </w:p>
    <w:p w:rsidR="00DA0D9C" w14:paraId="2DFCB0C7" w14:textId="77777777">
      <w:pPr>
        <w:ind w:left="542" w:right="862"/>
      </w:pPr>
      <w:r>
        <w:t xml:space="preserve">that CMS would not be requiring SNPs to reconsider their care approaches </w:t>
      </w:r>
      <w:r>
        <w:t>in light of</w:t>
      </w:r>
      <w:r>
        <w:t xml:space="preserve"> innovations and changes in the delivery of health services.  </w:t>
      </w:r>
    </w:p>
    <w:p w:rsidR="00DA0D9C" w14:paraId="52168940" w14:textId="77777777">
      <w:pPr>
        <w:spacing w:after="0" w:line="259" w:lineRule="auto"/>
        <w:ind w:left="533" w:right="0" w:firstLine="0"/>
      </w:pPr>
      <w:r>
        <w:rPr>
          <w:sz w:val="22"/>
        </w:rPr>
        <w:t xml:space="preserve"> </w:t>
      </w:r>
      <w:r>
        <w:t xml:space="preserve"> </w:t>
      </w:r>
    </w:p>
    <w:p w:rsidR="00DA0D9C" w14:paraId="459C369D" w14:textId="77777777">
      <w:pPr>
        <w:pStyle w:val="Heading2"/>
        <w:ind w:left="511"/>
      </w:pPr>
      <w:r>
        <w:t xml:space="preserve">Off-Cycle Submission  </w:t>
      </w:r>
    </w:p>
    <w:p w:rsidR="00DA0D9C" w14:paraId="14E80120" w14:textId="77777777">
      <w:pPr>
        <w:spacing w:after="0" w:line="259" w:lineRule="auto"/>
        <w:ind w:left="533" w:right="0" w:firstLine="0"/>
      </w:pPr>
      <w:r>
        <w:rPr>
          <w:i/>
          <w:sz w:val="23"/>
        </w:rPr>
        <w:t xml:space="preserve"> </w:t>
      </w:r>
      <w:r>
        <w:t xml:space="preserve"> </w:t>
      </w:r>
    </w:p>
    <w:p w:rsidR="00DA0D9C" w14:paraId="237FE52B" w14:textId="77777777">
      <w:pPr>
        <w:ind w:left="542" w:right="862"/>
      </w:pPr>
      <w:r>
        <w:t>The consequences of not collecting off-cycle submissions with substantial MOC changes are: (1) SNPs would not be able to make substantial changes to policies or strategies in their MOCs to take advantage of new technology or insight; or (2) CMS would not be aware of and NCQA would not have reviewed MOC changes the SNPs are performing. NCQA and CMS must review substantial MOC changes because the statute requires all SNPs to have a current NCQA approved</w:t>
      </w:r>
      <w:r>
        <w:rPr>
          <w:i/>
        </w:rPr>
        <w:t xml:space="preserve"> </w:t>
      </w:r>
      <w:r>
        <w:t xml:space="preserve">MOC during plan operation.  </w:t>
      </w:r>
    </w:p>
    <w:p w:rsidR="00DA0D9C" w14:paraId="7C877377" w14:textId="77777777">
      <w:pPr>
        <w:spacing w:after="39" w:line="259" w:lineRule="auto"/>
        <w:ind w:left="533" w:right="0" w:firstLine="0"/>
      </w:pPr>
      <w:r>
        <w:rPr>
          <w:sz w:val="23"/>
        </w:rPr>
        <w:t xml:space="preserve"> </w:t>
      </w:r>
      <w:r>
        <w:t xml:space="preserve"> </w:t>
      </w:r>
    </w:p>
    <w:p w:rsidR="00DA0D9C" w14:paraId="73659C0E" w14:textId="77777777">
      <w:pPr>
        <w:pStyle w:val="Heading3"/>
        <w:tabs>
          <w:tab w:val="center" w:pos="618"/>
          <w:tab w:val="center" w:pos="2365"/>
        </w:tabs>
        <w:ind w:left="-15" w:firstLine="0"/>
      </w:pPr>
      <w:r>
        <w:rPr>
          <w:rFonts w:ascii="Calibri" w:eastAsia="Calibri" w:hAnsi="Calibri" w:cs="Calibri"/>
          <w:sz w:val="22"/>
          <w:u w:val="none"/>
        </w:rPr>
        <w:t xml:space="preserve"> </w:t>
      </w:r>
      <w:r>
        <w:rPr>
          <w:rFonts w:ascii="Calibri" w:eastAsia="Calibri" w:hAnsi="Calibri" w:cs="Calibri"/>
          <w:sz w:val="22"/>
          <w:u w:val="none"/>
        </w:rPr>
        <w:tab/>
      </w:r>
      <w:r>
        <w:rPr>
          <w:u w:val="none"/>
        </w:rPr>
        <w:t>7.</w:t>
      </w:r>
      <w:r>
        <w:rPr>
          <w:rFonts w:ascii="Arial" w:eastAsia="Arial" w:hAnsi="Arial" w:cs="Arial"/>
          <w:u w:val="none"/>
        </w:rPr>
        <w:t xml:space="preserve">  </w:t>
      </w:r>
      <w:r>
        <w:rPr>
          <w:rFonts w:ascii="Arial" w:eastAsia="Arial" w:hAnsi="Arial" w:cs="Arial"/>
          <w:u w:val="none"/>
        </w:rPr>
        <w:tab/>
      </w:r>
      <w:r>
        <w:t>Special Circumstances</w:t>
      </w:r>
      <w:r>
        <w:rPr>
          <w:u w:val="none"/>
        </w:rPr>
        <w:t xml:space="preserve">  </w:t>
      </w:r>
    </w:p>
    <w:p w:rsidR="00DA0D9C" w14:paraId="1C20C0CC" w14:textId="77777777">
      <w:pPr>
        <w:spacing w:after="64" w:line="259" w:lineRule="auto"/>
        <w:ind w:left="533" w:right="0" w:firstLine="0"/>
      </w:pPr>
      <w:r>
        <w:rPr>
          <w:sz w:val="16"/>
        </w:rPr>
        <w:t xml:space="preserve"> </w:t>
      </w:r>
      <w:r>
        <w:t xml:space="preserve"> </w:t>
      </w:r>
    </w:p>
    <w:p w:rsidR="00DA0D9C" w14:paraId="2F910164" w14:textId="77777777">
      <w:pPr>
        <w:ind w:left="542" w:right="862"/>
      </w:pPr>
      <w:r>
        <w:t xml:space="preserve">There are no special circumstances that would require an information collection to be conducted in a manner that requires respondents to:  </w:t>
      </w:r>
    </w:p>
    <w:p w:rsidR="00DA0D9C" w14:paraId="68EF2467" w14:textId="77777777">
      <w:pPr>
        <w:spacing w:after="29" w:line="259" w:lineRule="auto"/>
        <w:ind w:left="533" w:right="0" w:firstLine="0"/>
      </w:pPr>
      <w:r>
        <w:t xml:space="preserve">  </w:t>
      </w:r>
    </w:p>
    <w:p w:rsidR="00DA0D9C" w14:paraId="395483C5" w14:textId="77777777">
      <w:pPr>
        <w:numPr>
          <w:ilvl w:val="0"/>
          <w:numId w:val="4"/>
        </w:numPr>
        <w:spacing w:after="40"/>
        <w:ind w:right="862" w:hanging="360"/>
      </w:pPr>
      <w:r>
        <w:t xml:space="preserve">Report information to the agency more often than </w:t>
      </w:r>
      <w:r>
        <w:t>quarterly;</w:t>
      </w:r>
      <w:r>
        <w:t xml:space="preserve">  </w:t>
      </w:r>
    </w:p>
    <w:p w:rsidR="00DA0D9C" w14:paraId="7A4FFC2C" w14:textId="77777777">
      <w:pPr>
        <w:numPr>
          <w:ilvl w:val="0"/>
          <w:numId w:val="4"/>
        </w:numPr>
        <w:spacing w:after="35"/>
        <w:ind w:right="862" w:hanging="360"/>
      </w:pPr>
      <w:r>
        <w:t xml:space="preserve">Prepare a written response to a collection of information in fewer than 30 days after receipt of </w:t>
      </w:r>
      <w:r>
        <w:t>it;</w:t>
      </w:r>
      <w:r>
        <w:t xml:space="preserve">  </w:t>
      </w:r>
    </w:p>
    <w:p w:rsidR="00DA0D9C" w14:paraId="698A1B7E" w14:textId="77777777">
      <w:pPr>
        <w:numPr>
          <w:ilvl w:val="0"/>
          <w:numId w:val="4"/>
        </w:numPr>
        <w:spacing w:after="38"/>
        <w:ind w:right="862" w:hanging="360"/>
      </w:pPr>
      <w:r>
        <w:t xml:space="preserve">Submit more than an original and two copies of any </w:t>
      </w:r>
      <w:r>
        <w:t>document;</w:t>
      </w:r>
      <w:r>
        <w:t xml:space="preserve">  </w:t>
      </w:r>
    </w:p>
    <w:p w:rsidR="00DA0D9C" w14:paraId="724DA62F" w14:textId="77777777">
      <w:pPr>
        <w:numPr>
          <w:ilvl w:val="0"/>
          <w:numId w:val="4"/>
        </w:numPr>
        <w:spacing w:after="35"/>
        <w:ind w:right="862" w:hanging="360"/>
      </w:pPr>
      <w:r>
        <w:t xml:space="preserve">Retain records, other than health, medical, government contract, grant-in-aid, or tax records for more than three </w:t>
      </w:r>
      <w:r>
        <w:t>years;</w:t>
      </w:r>
      <w:r>
        <w:t xml:space="preserve">  </w:t>
      </w:r>
    </w:p>
    <w:p w:rsidR="00DA0D9C" w14:paraId="27ED4B1E" w14:textId="77777777">
      <w:pPr>
        <w:numPr>
          <w:ilvl w:val="0"/>
          <w:numId w:val="4"/>
        </w:numPr>
        <w:spacing w:after="35"/>
        <w:ind w:right="862" w:hanging="360"/>
      </w:pPr>
      <w:r>
        <w:t xml:space="preserve">Collect data in connection with a statistical survey that is not designed to produce valid and reliable results that can be generalized to the universe of study,  </w:t>
      </w:r>
    </w:p>
    <w:p w:rsidR="00DA0D9C" w14:paraId="5567830E" w14:textId="77777777">
      <w:pPr>
        <w:numPr>
          <w:ilvl w:val="0"/>
          <w:numId w:val="4"/>
        </w:numPr>
        <w:spacing w:after="40"/>
        <w:ind w:right="862" w:hanging="360"/>
      </w:pPr>
      <w:r>
        <w:t xml:space="preserve">Use a statistical data classification that has not been reviewed and approved by </w:t>
      </w:r>
      <w:r>
        <w:t>OMB;</w:t>
      </w:r>
      <w:r>
        <w:t xml:space="preserve">  </w:t>
      </w:r>
    </w:p>
    <w:p w:rsidR="00DA0D9C" w14:paraId="7F1BA306" w14:textId="77777777">
      <w:pPr>
        <w:numPr>
          <w:ilvl w:val="0"/>
          <w:numId w:val="4"/>
        </w:numPr>
        <w:spacing w:after="35"/>
        <w:ind w:right="862" w:hanging="360"/>
      </w:pPr>
      <w:r>
        <w:t xml:space="preserve">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DA0D9C" w14:paraId="624A0F72" w14:textId="77777777">
      <w:pPr>
        <w:numPr>
          <w:ilvl w:val="0"/>
          <w:numId w:val="4"/>
        </w:numPr>
        <w:ind w:right="862" w:hanging="360"/>
      </w:pPr>
      <w:r>
        <w:t xml:space="preserve">Submit proprietary trade secret, or other confidential information unless the agency can demonstrate that it has instituted procedures to protect the information's confidentiality to the extent permitted by law.  </w:t>
      </w:r>
    </w:p>
    <w:p w:rsidR="00DA0D9C" w14:paraId="4E3F6267" w14:textId="77777777">
      <w:pPr>
        <w:spacing w:after="37" w:line="259" w:lineRule="auto"/>
        <w:ind w:left="533" w:right="0" w:firstLine="0"/>
      </w:pPr>
      <w:r>
        <w:rPr>
          <w:sz w:val="23"/>
        </w:rPr>
        <w:t xml:space="preserve"> </w:t>
      </w:r>
      <w:r>
        <w:t xml:space="preserve"> </w:t>
      </w:r>
    </w:p>
    <w:p w:rsidR="00DA0D9C" w14:paraId="70AEE906" w14:textId="77777777">
      <w:pPr>
        <w:pStyle w:val="Heading3"/>
        <w:tabs>
          <w:tab w:val="center" w:pos="618"/>
          <w:tab w:val="center" w:pos="3110"/>
        </w:tabs>
        <w:ind w:left="-15" w:firstLine="0"/>
      </w:pPr>
      <w:r>
        <w:rPr>
          <w:rFonts w:ascii="Calibri" w:eastAsia="Calibri" w:hAnsi="Calibri" w:cs="Calibri"/>
          <w:sz w:val="22"/>
          <w:u w:val="none"/>
        </w:rPr>
        <w:t xml:space="preserve"> </w:t>
      </w:r>
      <w:r>
        <w:rPr>
          <w:rFonts w:ascii="Calibri" w:eastAsia="Calibri" w:hAnsi="Calibri" w:cs="Calibri"/>
          <w:sz w:val="22"/>
          <w:u w:val="none"/>
        </w:rPr>
        <w:tab/>
      </w:r>
      <w:r>
        <w:rPr>
          <w:u w:val="none"/>
        </w:rPr>
        <w:t>8.</w:t>
      </w:r>
      <w:r>
        <w:rPr>
          <w:rFonts w:ascii="Arial" w:eastAsia="Arial" w:hAnsi="Arial" w:cs="Arial"/>
          <w:u w:val="none"/>
        </w:rPr>
        <w:t xml:space="preserve">  </w:t>
      </w:r>
      <w:r>
        <w:rPr>
          <w:rFonts w:ascii="Arial" w:eastAsia="Arial" w:hAnsi="Arial" w:cs="Arial"/>
          <w:u w:val="none"/>
        </w:rPr>
        <w:tab/>
      </w:r>
      <w:r>
        <w:t>Federal Register/Outside Consultation</w:t>
      </w:r>
      <w:r>
        <w:rPr>
          <w:u w:val="none"/>
        </w:rPr>
        <w:t xml:space="preserve">  </w:t>
      </w:r>
    </w:p>
    <w:p w:rsidR="00DA0D9C" w14:paraId="012E82B2" w14:textId="77777777">
      <w:pPr>
        <w:spacing w:after="0" w:line="259" w:lineRule="auto"/>
        <w:ind w:left="533" w:right="0" w:firstLine="0"/>
      </w:pPr>
      <w:r>
        <w:t xml:space="preserve">  </w:t>
      </w:r>
    </w:p>
    <w:p w:rsidR="00DA0D9C" w14:paraId="70588F59" w14:textId="77777777">
      <w:pPr>
        <w:ind w:left="542" w:right="862"/>
      </w:pPr>
      <w:r>
        <w:t xml:space="preserve">The 60-day notice published in the Federal Register 1/3/2025 (90 FR 321). We received seven comments to the PRA package. These comments each contained multiple recommendations, expressions of agreement, suggested edits to the MOC matrix. Our response to all comments can be found in Appendix A of this document. Based on feedback we received to the 60-day notice, we are not moving forward with the addition of the D-SNP questionnaire as part of this PRA package. As such, the questionnaire and its associated burden has been removed from the Supporting Statement.     </w:t>
      </w:r>
    </w:p>
    <w:p w:rsidR="00DA0D9C" w14:paraId="10803B61" w14:textId="77777777">
      <w:pPr>
        <w:spacing w:after="0" w:line="259" w:lineRule="auto"/>
        <w:ind w:left="538" w:right="0" w:firstLine="0"/>
      </w:pPr>
      <w:r>
        <w:t xml:space="preserve"> </w:t>
      </w:r>
    </w:p>
    <w:p w:rsidR="00DA0D9C" w14:paraId="2272A26D" w14:textId="09964E51">
      <w:pPr>
        <w:spacing w:after="31"/>
        <w:ind w:left="542" w:right="862"/>
      </w:pPr>
      <w:r>
        <w:t xml:space="preserve">The 30-day notice published in the Federal Register </w:t>
      </w:r>
      <w:r w:rsidR="006F628B">
        <w:t>6/23/2025</w:t>
      </w:r>
      <w:r>
        <w:t xml:space="preserve"> (</w:t>
      </w:r>
      <w:r w:rsidRPr="006F628B" w:rsidR="006F628B">
        <w:t>90 FR 26591</w:t>
      </w:r>
      <w:r>
        <w:t xml:space="preserve">). </w:t>
      </w:r>
    </w:p>
    <w:p w:rsidR="00DA0D9C" w14:paraId="22CDED31" w14:textId="77777777">
      <w:pPr>
        <w:spacing w:after="0" w:line="259" w:lineRule="auto"/>
        <w:ind w:left="0" w:right="0" w:firstLine="0"/>
      </w:pPr>
      <w:r>
        <w:t xml:space="preserve"> </w:t>
      </w:r>
      <w:r>
        <w:tab/>
        <w:t xml:space="preserve"> </w:t>
      </w:r>
    </w:p>
    <w:p w:rsidR="00DA0D9C" w14:paraId="5111301D" w14:textId="77777777">
      <w:pPr>
        <w:spacing w:after="55" w:line="259" w:lineRule="auto"/>
        <w:ind w:left="533" w:right="0" w:firstLine="0"/>
      </w:pPr>
      <w:r>
        <w:rPr>
          <w:sz w:val="22"/>
        </w:rPr>
        <w:t xml:space="preserve"> </w:t>
      </w:r>
      <w:r>
        <w:t xml:space="preserve"> </w:t>
      </w:r>
    </w:p>
    <w:p w:rsidR="00DA0D9C" w14:paraId="1B6FB509" w14:textId="77777777">
      <w:pPr>
        <w:pStyle w:val="Heading3"/>
        <w:tabs>
          <w:tab w:val="center" w:pos="618"/>
          <w:tab w:val="center" w:pos="2779"/>
        </w:tabs>
        <w:ind w:left="-15" w:firstLine="0"/>
      </w:pPr>
      <w:r>
        <w:rPr>
          <w:rFonts w:ascii="Calibri" w:eastAsia="Calibri" w:hAnsi="Calibri" w:cs="Calibri"/>
          <w:sz w:val="22"/>
          <w:u w:val="none"/>
        </w:rPr>
        <w:t xml:space="preserve"> </w:t>
      </w:r>
      <w:r>
        <w:rPr>
          <w:rFonts w:ascii="Calibri" w:eastAsia="Calibri" w:hAnsi="Calibri" w:cs="Calibri"/>
          <w:sz w:val="22"/>
          <w:u w:val="none"/>
        </w:rPr>
        <w:tab/>
      </w:r>
      <w:r>
        <w:rPr>
          <w:u w:val="none"/>
        </w:rPr>
        <w:t>9.</w:t>
      </w:r>
      <w:r>
        <w:rPr>
          <w:rFonts w:ascii="Arial" w:eastAsia="Arial" w:hAnsi="Arial" w:cs="Arial"/>
          <w:u w:val="none"/>
        </w:rPr>
        <w:t xml:space="preserve">  </w:t>
      </w:r>
      <w:r>
        <w:rPr>
          <w:rFonts w:ascii="Arial" w:eastAsia="Arial" w:hAnsi="Arial" w:cs="Arial"/>
          <w:u w:val="none"/>
        </w:rPr>
        <w:tab/>
      </w:r>
      <w:r>
        <w:t>Payments/Gifts to Respondents</w:t>
      </w:r>
      <w:r>
        <w:rPr>
          <w:u w:val="none"/>
        </w:rPr>
        <w:t xml:space="preserve">  </w:t>
      </w:r>
    </w:p>
    <w:p w:rsidR="00DA0D9C" w14:paraId="2780CE59" w14:textId="77777777">
      <w:pPr>
        <w:spacing w:after="0" w:line="259" w:lineRule="auto"/>
        <w:ind w:left="533" w:right="0" w:firstLine="0"/>
      </w:pPr>
      <w:r>
        <w:t xml:space="preserve">  </w:t>
      </w:r>
    </w:p>
    <w:p w:rsidR="00DA0D9C" w14:paraId="1378E907" w14:textId="77777777">
      <w:pPr>
        <w:ind w:left="542" w:right="862"/>
      </w:pPr>
      <w:r>
        <w:t xml:space="preserve">This data collection will not include respondent incentive payments or gifts. However, note that </w:t>
      </w:r>
      <w:r>
        <w:t>in order for</w:t>
      </w:r>
      <w:r>
        <w:t xml:space="preserve"> an MAO to offer a new SNP or renew a current SNP, they must develop and submit a MOC that is deemed acceptable by NCQA as described above in the background section.  </w:t>
      </w:r>
    </w:p>
    <w:p w:rsidR="00DA0D9C" w14:paraId="209069F7" w14:textId="77777777">
      <w:pPr>
        <w:spacing w:after="39" w:line="259" w:lineRule="auto"/>
        <w:ind w:left="533" w:right="0" w:firstLine="0"/>
      </w:pPr>
      <w:r>
        <w:rPr>
          <w:sz w:val="23"/>
        </w:rPr>
        <w:t xml:space="preserve"> </w:t>
      </w:r>
      <w:r>
        <w:t xml:space="preserve"> </w:t>
      </w:r>
    </w:p>
    <w:p w:rsidR="00DA0D9C" w14:paraId="5F3DF9F3" w14:textId="77777777">
      <w:pPr>
        <w:pStyle w:val="Heading3"/>
        <w:tabs>
          <w:tab w:val="center" w:pos="673"/>
          <w:tab w:val="center" w:pos="2011"/>
        </w:tabs>
        <w:ind w:left="-15" w:firstLine="0"/>
      </w:pPr>
      <w:r>
        <w:rPr>
          <w:rFonts w:ascii="Calibri" w:eastAsia="Calibri" w:hAnsi="Calibri" w:cs="Calibri"/>
          <w:sz w:val="22"/>
          <w:u w:val="none"/>
        </w:rPr>
        <w:t xml:space="preserve"> </w:t>
      </w:r>
      <w:r>
        <w:rPr>
          <w:rFonts w:ascii="Calibri" w:eastAsia="Calibri" w:hAnsi="Calibri" w:cs="Calibri"/>
          <w:sz w:val="22"/>
          <w:u w:val="none"/>
        </w:rPr>
        <w:tab/>
      </w:r>
      <w:r>
        <w:rPr>
          <w:u w:val="none"/>
        </w:rPr>
        <w:t>10.</w:t>
      </w:r>
      <w:r>
        <w:rPr>
          <w:rFonts w:ascii="Arial" w:eastAsia="Arial" w:hAnsi="Arial" w:cs="Arial"/>
          <w:u w:val="none"/>
        </w:rPr>
        <w:t xml:space="preserve">  </w:t>
      </w:r>
      <w:r>
        <w:rPr>
          <w:rFonts w:ascii="Arial" w:eastAsia="Arial" w:hAnsi="Arial" w:cs="Arial"/>
          <w:u w:val="none"/>
        </w:rPr>
        <w:tab/>
      </w:r>
      <w:r>
        <w:t>Confidentiality</w:t>
      </w:r>
      <w:r>
        <w:rPr>
          <w:u w:val="none"/>
        </w:rPr>
        <w:t xml:space="preserve">  </w:t>
      </w:r>
    </w:p>
    <w:p w:rsidR="00DA0D9C" w14:paraId="67AADB95" w14:textId="77777777">
      <w:pPr>
        <w:spacing w:after="74" w:line="259" w:lineRule="auto"/>
        <w:ind w:left="533" w:right="0" w:firstLine="0"/>
      </w:pPr>
      <w:r>
        <w:rPr>
          <w:sz w:val="15"/>
        </w:rPr>
        <w:t xml:space="preserve"> </w:t>
      </w:r>
      <w:r>
        <w:t xml:space="preserve"> </w:t>
      </w:r>
    </w:p>
    <w:p w:rsidR="00DA0D9C" w14:paraId="20B6CA15" w14:textId="77777777">
      <w:pPr>
        <w:ind w:left="542" w:right="862"/>
      </w:pPr>
      <w:r>
        <w:t xml:space="preserve">Consistent with federal government and CMS policies, CMS will protect the confidentiality of the requested proprietary information. Specifically, only information within a submitted MOC summary (or attachments thereto) that constitutes a trade secret, privileged or confidential information (as such terms are interpreted under the Freedom of Information Act (FOIA) and applicable case law), and is clearly labeled as such by the SNP, and which includes an explanation of how it meets one of the expectations specified in 45 CFR Part 5, will be protected from release by CMS under 5 U.S.C. 552(b)(4). Information not labeled as a trade secret, privileged, or confidential or not including an explanation of why it meets one or more of the </w:t>
      </w:r>
    </w:p>
    <w:p w:rsidR="00DA0D9C" w14:paraId="1F735123" w14:textId="77777777">
      <w:pPr>
        <w:ind w:left="542" w:right="862"/>
      </w:pPr>
      <w:r>
        <w:t xml:space="preserve">FOIA exceptions in 45 CFR Part 5 will not be withheld from release under 5 U.S.C. 552(b)(4).  </w:t>
      </w:r>
    </w:p>
    <w:p w:rsidR="00DA0D9C" w14:paraId="25FC6676" w14:textId="77777777">
      <w:pPr>
        <w:spacing w:after="33" w:line="259" w:lineRule="auto"/>
        <w:ind w:left="533" w:right="0" w:firstLine="0"/>
      </w:pPr>
      <w:r>
        <w:t xml:space="preserve">  </w:t>
      </w:r>
    </w:p>
    <w:p w:rsidR="00DA0D9C" w14:paraId="5EF37FED" w14:textId="77777777">
      <w:pPr>
        <w:pStyle w:val="Heading3"/>
        <w:tabs>
          <w:tab w:val="center" w:pos="673"/>
          <w:tab w:val="center" w:pos="2208"/>
        </w:tabs>
        <w:ind w:left="-15" w:firstLine="0"/>
      </w:pPr>
      <w:r>
        <w:rPr>
          <w:rFonts w:ascii="Calibri" w:eastAsia="Calibri" w:hAnsi="Calibri" w:cs="Calibri"/>
          <w:sz w:val="22"/>
          <w:u w:val="none"/>
        </w:rPr>
        <w:t xml:space="preserve"> </w:t>
      </w:r>
      <w:r>
        <w:rPr>
          <w:rFonts w:ascii="Calibri" w:eastAsia="Calibri" w:hAnsi="Calibri" w:cs="Calibri"/>
          <w:sz w:val="22"/>
          <w:u w:val="none"/>
        </w:rPr>
        <w:tab/>
      </w:r>
      <w:r>
        <w:rPr>
          <w:u w:val="none"/>
        </w:rPr>
        <w:t>11.</w:t>
      </w:r>
      <w:r>
        <w:rPr>
          <w:rFonts w:ascii="Arial" w:eastAsia="Arial" w:hAnsi="Arial" w:cs="Arial"/>
          <w:u w:val="none"/>
        </w:rPr>
        <w:t xml:space="preserve">  </w:t>
      </w:r>
      <w:r>
        <w:rPr>
          <w:rFonts w:ascii="Arial" w:eastAsia="Arial" w:hAnsi="Arial" w:cs="Arial"/>
          <w:u w:val="none"/>
        </w:rPr>
        <w:tab/>
      </w:r>
      <w:r>
        <w:t>Sensitive Questions</w:t>
      </w:r>
      <w:r>
        <w:rPr>
          <w:u w:val="none"/>
        </w:rPr>
        <w:t xml:space="preserve">  </w:t>
      </w:r>
    </w:p>
    <w:p w:rsidR="00DA0D9C" w14:paraId="3E7F96BE" w14:textId="77777777">
      <w:pPr>
        <w:spacing w:after="64" w:line="259" w:lineRule="auto"/>
        <w:ind w:left="533" w:right="0" w:firstLine="0"/>
      </w:pPr>
      <w:r>
        <w:rPr>
          <w:sz w:val="16"/>
        </w:rPr>
        <w:t xml:space="preserve"> </w:t>
      </w:r>
      <w:r>
        <w:t xml:space="preserve"> </w:t>
      </w:r>
    </w:p>
    <w:p w:rsidR="00DA0D9C" w14:paraId="3FC6C33A" w14:textId="77777777">
      <w:pPr>
        <w:ind w:left="542" w:right="862"/>
      </w:pPr>
      <w:r>
        <w:t xml:space="preserve">There are no questions of a sensitive nature, such as sexual behavior and attitudes, religious beliefs, and other matters that are commonly considered private.  </w:t>
      </w:r>
    </w:p>
    <w:p w:rsidR="00DA0D9C" w14:paraId="473C577F" w14:textId="77777777">
      <w:pPr>
        <w:spacing w:after="31" w:line="259" w:lineRule="auto"/>
        <w:ind w:left="533" w:right="0" w:firstLine="0"/>
      </w:pPr>
      <w:r>
        <w:t xml:space="preserve">  </w:t>
      </w:r>
    </w:p>
    <w:p w:rsidR="00DA0D9C" w14:paraId="70F56B4A" w14:textId="77777777">
      <w:pPr>
        <w:tabs>
          <w:tab w:val="center" w:pos="673"/>
          <w:tab w:val="center" w:pos="2117"/>
        </w:tabs>
        <w:spacing w:after="22" w:line="265" w:lineRule="auto"/>
        <w:ind w:left="-15" w:right="0" w:firstLine="0"/>
      </w:pPr>
      <w:r>
        <w:rPr>
          <w:rFonts w:ascii="Calibri" w:eastAsia="Calibri" w:hAnsi="Calibri" w:cs="Calibri"/>
          <w:sz w:val="22"/>
        </w:rPr>
        <w:t xml:space="preserve"> </w:t>
      </w:r>
      <w:r>
        <w:rPr>
          <w:rFonts w:ascii="Calibri" w:eastAsia="Calibri" w:hAnsi="Calibri" w:cs="Calibri"/>
          <w:sz w:val="22"/>
        </w:rPr>
        <w:tab/>
      </w:r>
      <w:r>
        <w:t>12.</w:t>
      </w:r>
      <w:r>
        <w:rPr>
          <w:rFonts w:ascii="Arial" w:eastAsia="Arial" w:hAnsi="Arial" w:cs="Arial"/>
        </w:rPr>
        <w:t xml:space="preserve">  </w:t>
      </w:r>
      <w:r>
        <w:rPr>
          <w:rFonts w:ascii="Arial" w:eastAsia="Arial" w:hAnsi="Arial" w:cs="Arial"/>
        </w:rPr>
        <w:tab/>
      </w:r>
      <w:r>
        <w:rPr>
          <w:u w:val="single" w:color="000000"/>
        </w:rPr>
        <w:t>Burden Estimates</w:t>
      </w:r>
      <w:r>
        <w:t xml:space="preserve">  </w:t>
      </w:r>
    </w:p>
    <w:p w:rsidR="00DA0D9C" w14:paraId="1221F304" w14:textId="77777777">
      <w:pPr>
        <w:spacing w:after="23" w:line="259" w:lineRule="auto"/>
        <w:ind w:left="533" w:right="0" w:firstLine="0"/>
      </w:pPr>
      <w:r>
        <w:rPr>
          <w:sz w:val="20"/>
        </w:rPr>
        <w:t xml:space="preserve"> </w:t>
      </w:r>
      <w:r>
        <w:t xml:space="preserve"> </w:t>
      </w:r>
    </w:p>
    <w:p w:rsidR="00DA0D9C" w14:paraId="3B74A11E" w14:textId="77777777">
      <w:pPr>
        <w:pStyle w:val="Heading2"/>
        <w:ind w:left="511"/>
      </w:pPr>
      <w:r>
        <w:t xml:space="preserve">Wage Estimates  </w:t>
      </w:r>
    </w:p>
    <w:p w:rsidR="00DA0D9C" w14:paraId="0455CC60" w14:textId="77777777">
      <w:pPr>
        <w:spacing w:after="0" w:line="259" w:lineRule="auto"/>
        <w:ind w:left="533" w:right="0" w:firstLine="0"/>
      </w:pPr>
      <w:r>
        <w:rPr>
          <w:sz w:val="22"/>
        </w:rPr>
        <w:t xml:space="preserve">To derive average costs, we used data from the U.S. Bureau of Labor Statistics’ May 2023  </w:t>
      </w:r>
      <w:r>
        <w:t xml:space="preserve"> </w:t>
      </w:r>
    </w:p>
    <w:p w:rsidR="00DA0D9C" w14:paraId="6A8E357F" w14:textId="77777777">
      <w:pPr>
        <w:spacing w:after="1" w:line="238" w:lineRule="auto"/>
        <w:ind w:left="523" w:right="994" w:hanging="22"/>
        <w:jc w:val="both"/>
      </w:pPr>
      <w:r>
        <w:rPr>
          <w:sz w:val="22"/>
        </w:rPr>
        <w:t xml:space="preserve">National Occupational Employment and Wage Estimates for industry personnel salary estimates  </w:t>
      </w:r>
      <w:hyperlink r:id="rId4">
        <w:r>
          <w:t>(</w:t>
        </w:r>
      </w:hyperlink>
      <w:hyperlink r:id="rId4">
        <w:r>
          <w:rPr>
            <w:color w:val="0563C1"/>
            <w:sz w:val="22"/>
            <w:u w:val="single" w:color="0563C1"/>
          </w:rPr>
          <w:t>https://www.bls.gov/oes/current/oes_nat.ht</w:t>
        </w:r>
      </w:hyperlink>
      <w:hyperlink r:id="rId5">
        <w:r>
          <w:rPr>
            <w:color w:val="0563C1"/>
            <w:sz w:val="22"/>
            <w:u w:val="single" w:color="0563C1"/>
          </w:rPr>
          <w:t>m</w:t>
        </w:r>
      </w:hyperlink>
      <w:hyperlink r:id="rId5">
        <w:r>
          <w:t xml:space="preserve">). </w:t>
        </w:r>
      </w:hyperlink>
      <w:r>
        <w:t xml:space="preserve">In this regard, the following table presents the mean hourly wage, the cost of fringe benefits and overhead (calculated at 100 percent of salary), and the adjusted hourly wage.  </w:t>
      </w:r>
    </w:p>
    <w:p w:rsidR="00DA0D9C" w14:paraId="6CA732EF" w14:textId="77777777">
      <w:pPr>
        <w:spacing w:after="0" w:line="259" w:lineRule="auto"/>
        <w:ind w:left="533" w:right="0" w:firstLine="0"/>
      </w:pPr>
      <w:r>
        <w:t xml:space="preserve">  </w:t>
      </w:r>
    </w:p>
    <w:p w:rsidR="00DA0D9C" w14:paraId="6559E6F2" w14:textId="77777777">
      <w:pPr>
        <w:ind w:left="542" w:right="862"/>
      </w:pPr>
      <w:r>
        <w:t xml:space="preserve">We selected the position of registered nurse because the SNP nurse usually develops and submits the MOC. CMS typically interacts with the health plan quality registered nurse in matters related to the MOC after it is submitted to CMS.  </w:t>
      </w:r>
    </w:p>
    <w:p w:rsidR="00DA0D9C" w14:paraId="44FDAFF3" w14:textId="77777777">
      <w:pPr>
        <w:spacing w:after="0" w:line="259" w:lineRule="auto"/>
        <w:ind w:left="533" w:right="0" w:firstLine="0"/>
      </w:pPr>
      <w:r>
        <w:rPr>
          <w:sz w:val="22"/>
        </w:rPr>
        <w:t xml:space="preserve">  </w:t>
      </w:r>
      <w:r>
        <w:t xml:space="preserve">   </w:t>
      </w:r>
    </w:p>
    <w:p w:rsidR="00DA0D9C" w14:paraId="5353D58B" w14:textId="77777777">
      <w:pPr>
        <w:spacing w:after="0" w:line="259" w:lineRule="auto"/>
        <w:ind w:left="2390" w:right="0" w:firstLine="0"/>
      </w:pPr>
      <w:r>
        <w:rPr>
          <w:sz w:val="20"/>
        </w:rPr>
        <w:t xml:space="preserve">National Occupational Mean Hourly Wage and Adjusted Hourly Wage </w:t>
      </w:r>
      <w:r>
        <w:t xml:space="preserve"> </w:t>
      </w:r>
    </w:p>
    <w:tbl>
      <w:tblPr>
        <w:tblStyle w:val="TableGrid"/>
        <w:tblW w:w="7937" w:type="dxa"/>
        <w:tblInd w:w="780" w:type="dxa"/>
        <w:tblCellMar>
          <w:top w:w="112" w:type="dxa"/>
          <w:left w:w="12" w:type="dxa"/>
          <w:right w:w="24" w:type="dxa"/>
        </w:tblCellMar>
        <w:tblLook w:val="04A0"/>
      </w:tblPr>
      <w:tblGrid>
        <w:gridCol w:w="1889"/>
        <w:gridCol w:w="1603"/>
        <w:gridCol w:w="1373"/>
        <w:gridCol w:w="1466"/>
        <w:gridCol w:w="1606"/>
      </w:tblGrid>
      <w:tr w14:paraId="7F15849C" w14:textId="77777777">
        <w:tblPrEx>
          <w:tblW w:w="7937" w:type="dxa"/>
          <w:tblInd w:w="780" w:type="dxa"/>
          <w:tblCellMar>
            <w:top w:w="112" w:type="dxa"/>
            <w:left w:w="12" w:type="dxa"/>
            <w:right w:w="24" w:type="dxa"/>
          </w:tblCellMar>
          <w:tblLook w:val="04A0"/>
        </w:tblPrEx>
        <w:trPr>
          <w:trHeight w:val="979"/>
        </w:trPr>
        <w:tc>
          <w:tcPr>
            <w:tcW w:w="1889" w:type="dxa"/>
            <w:tcBorders>
              <w:top w:val="single" w:sz="8" w:space="0" w:color="000000"/>
              <w:left w:val="single" w:sz="8" w:space="0" w:color="000000"/>
              <w:bottom w:val="single" w:sz="8" w:space="0" w:color="000000"/>
              <w:right w:val="single" w:sz="8" w:space="0" w:color="000000"/>
            </w:tcBorders>
          </w:tcPr>
          <w:p w:rsidR="00DA0D9C" w14:paraId="52340E49" w14:textId="77777777">
            <w:pPr>
              <w:spacing w:after="0" w:line="259" w:lineRule="auto"/>
              <w:ind w:left="2" w:right="0" w:firstLine="0"/>
            </w:pPr>
            <w:r>
              <w:rPr>
                <w:sz w:val="20"/>
              </w:rPr>
              <w:t xml:space="preserve">Occupation Title </w:t>
            </w:r>
            <w:r>
              <w:t xml:space="preserve"> </w:t>
            </w:r>
          </w:p>
        </w:tc>
        <w:tc>
          <w:tcPr>
            <w:tcW w:w="1603" w:type="dxa"/>
            <w:tcBorders>
              <w:top w:val="single" w:sz="8" w:space="0" w:color="000000"/>
              <w:left w:val="single" w:sz="8" w:space="0" w:color="000000"/>
              <w:bottom w:val="single" w:sz="8" w:space="0" w:color="000000"/>
              <w:right w:val="single" w:sz="8" w:space="0" w:color="000000"/>
            </w:tcBorders>
          </w:tcPr>
          <w:p w:rsidR="00DA0D9C" w14:paraId="3214E9BA" w14:textId="77777777">
            <w:pPr>
              <w:spacing w:after="0" w:line="259" w:lineRule="auto"/>
              <w:ind w:left="62" w:right="0" w:firstLine="0"/>
              <w:jc w:val="both"/>
            </w:pPr>
            <w:r>
              <w:rPr>
                <w:sz w:val="20"/>
              </w:rPr>
              <w:t xml:space="preserve">Occupation Code </w:t>
            </w:r>
            <w:r>
              <w:t xml:space="preserve"> </w:t>
            </w:r>
          </w:p>
        </w:tc>
        <w:tc>
          <w:tcPr>
            <w:tcW w:w="1373" w:type="dxa"/>
            <w:tcBorders>
              <w:top w:val="single" w:sz="8" w:space="0" w:color="000000"/>
              <w:left w:val="single" w:sz="8" w:space="0" w:color="000000"/>
              <w:bottom w:val="single" w:sz="8" w:space="0" w:color="000000"/>
              <w:right w:val="single" w:sz="8" w:space="0" w:color="000000"/>
            </w:tcBorders>
          </w:tcPr>
          <w:p w:rsidR="00DA0D9C" w14:paraId="67574AED" w14:textId="77777777">
            <w:pPr>
              <w:spacing w:after="0" w:line="259" w:lineRule="auto"/>
              <w:ind w:left="5" w:right="0" w:firstLine="0"/>
            </w:pPr>
            <w:r>
              <w:rPr>
                <w:sz w:val="20"/>
              </w:rPr>
              <w:t xml:space="preserve">Mean </w:t>
            </w:r>
            <w:r>
              <w:rPr>
                <w:sz w:val="20"/>
              </w:rPr>
              <w:t xml:space="preserve">Hourly </w:t>
            </w:r>
            <w:r>
              <w:t xml:space="preserve"> </w:t>
            </w:r>
            <w:r>
              <w:rPr>
                <w:sz w:val="20"/>
              </w:rPr>
              <w:t>Wage</w:t>
            </w:r>
            <w:r>
              <w:rPr>
                <w:sz w:val="20"/>
              </w:rPr>
              <w:t xml:space="preserve"> ($/</w:t>
            </w:r>
            <w:r>
              <w:rPr>
                <w:sz w:val="20"/>
              </w:rPr>
              <w:t>hr</w:t>
            </w:r>
            <w:r>
              <w:rPr>
                <w:sz w:val="20"/>
              </w:rPr>
              <w:t xml:space="preserve">) </w:t>
            </w:r>
            <w:r>
              <w:t xml:space="preserve"> </w:t>
            </w:r>
          </w:p>
        </w:tc>
        <w:tc>
          <w:tcPr>
            <w:tcW w:w="1466" w:type="dxa"/>
            <w:tcBorders>
              <w:top w:val="single" w:sz="8" w:space="0" w:color="000000"/>
              <w:left w:val="single" w:sz="8" w:space="0" w:color="000000"/>
              <w:bottom w:val="single" w:sz="8" w:space="0" w:color="000000"/>
              <w:right w:val="single" w:sz="8" w:space="0" w:color="000000"/>
            </w:tcBorders>
            <w:vAlign w:val="center"/>
          </w:tcPr>
          <w:p w:rsidR="00DA0D9C" w14:paraId="1AE25572" w14:textId="77777777">
            <w:pPr>
              <w:spacing w:after="0" w:line="259" w:lineRule="auto"/>
              <w:ind w:left="2" w:right="0" w:firstLine="0"/>
            </w:pPr>
            <w:r>
              <w:rPr>
                <w:sz w:val="20"/>
              </w:rPr>
              <w:t xml:space="preserve">Fringe Benefits </w:t>
            </w:r>
            <w:r>
              <w:t xml:space="preserve"> </w:t>
            </w:r>
          </w:p>
          <w:p w:rsidR="00DA0D9C" w14:paraId="77F4A6BD" w14:textId="77777777">
            <w:pPr>
              <w:spacing w:after="0" w:line="259" w:lineRule="auto"/>
              <w:ind w:left="2" w:right="0" w:firstLine="0"/>
            </w:pPr>
            <w:r>
              <w:rPr>
                <w:sz w:val="20"/>
              </w:rPr>
              <w:t xml:space="preserve">and Overhead </w:t>
            </w:r>
            <w:r>
              <w:t xml:space="preserve"> </w:t>
            </w:r>
          </w:p>
          <w:p w:rsidR="00DA0D9C" w14:paraId="7FADA6EE" w14:textId="77777777">
            <w:pPr>
              <w:spacing w:after="0" w:line="259" w:lineRule="auto"/>
              <w:ind w:left="2" w:right="0" w:firstLine="0"/>
            </w:pPr>
            <w:r>
              <w:rPr>
                <w:sz w:val="20"/>
              </w:rPr>
              <w:t>($/</w:t>
            </w:r>
            <w:r>
              <w:rPr>
                <w:sz w:val="20"/>
              </w:rPr>
              <w:t>hr</w:t>
            </w:r>
            <w:r>
              <w:rPr>
                <w:sz w:val="20"/>
              </w:rPr>
              <w:t xml:space="preserve">) </w:t>
            </w:r>
            <w:r>
              <w:t xml:space="preserve"> </w:t>
            </w:r>
          </w:p>
        </w:tc>
        <w:tc>
          <w:tcPr>
            <w:tcW w:w="1606" w:type="dxa"/>
            <w:tcBorders>
              <w:top w:val="single" w:sz="8" w:space="0" w:color="000000"/>
              <w:left w:val="single" w:sz="8" w:space="0" w:color="000000"/>
              <w:bottom w:val="single" w:sz="8" w:space="0" w:color="000000"/>
              <w:right w:val="single" w:sz="8" w:space="0" w:color="000000"/>
            </w:tcBorders>
          </w:tcPr>
          <w:p w:rsidR="00DA0D9C" w14:paraId="43E9E57B" w14:textId="77777777">
            <w:pPr>
              <w:spacing w:after="0" w:line="259" w:lineRule="auto"/>
              <w:ind w:left="0" w:right="0" w:firstLine="0"/>
            </w:pPr>
            <w:r>
              <w:rPr>
                <w:sz w:val="20"/>
              </w:rPr>
              <w:t xml:space="preserve">Adjusted </w:t>
            </w:r>
            <w:r>
              <w:rPr>
                <w:sz w:val="20"/>
              </w:rPr>
              <w:t xml:space="preserve">Hourly </w:t>
            </w:r>
            <w:r>
              <w:t xml:space="preserve"> </w:t>
            </w:r>
            <w:r>
              <w:rPr>
                <w:sz w:val="20"/>
              </w:rPr>
              <w:t>Wage</w:t>
            </w:r>
            <w:r>
              <w:rPr>
                <w:sz w:val="20"/>
              </w:rPr>
              <w:t xml:space="preserve"> ($/</w:t>
            </w:r>
            <w:r>
              <w:rPr>
                <w:sz w:val="20"/>
              </w:rPr>
              <w:t>hr</w:t>
            </w:r>
            <w:r>
              <w:rPr>
                <w:sz w:val="20"/>
              </w:rPr>
              <w:t xml:space="preserve">) </w:t>
            </w:r>
            <w:r>
              <w:t xml:space="preserve"> </w:t>
            </w:r>
          </w:p>
        </w:tc>
      </w:tr>
      <w:tr w14:paraId="2E49344D" w14:textId="77777777">
        <w:tblPrEx>
          <w:tblW w:w="7937" w:type="dxa"/>
          <w:tblInd w:w="780" w:type="dxa"/>
          <w:tblCellMar>
            <w:top w:w="112" w:type="dxa"/>
            <w:left w:w="12" w:type="dxa"/>
            <w:right w:w="24" w:type="dxa"/>
          </w:tblCellMar>
          <w:tblLook w:val="04A0"/>
        </w:tblPrEx>
        <w:trPr>
          <w:trHeight w:val="377"/>
        </w:trPr>
        <w:tc>
          <w:tcPr>
            <w:tcW w:w="1889" w:type="dxa"/>
            <w:tcBorders>
              <w:top w:val="single" w:sz="8" w:space="0" w:color="000000"/>
              <w:left w:val="single" w:sz="8" w:space="0" w:color="000000"/>
              <w:bottom w:val="single" w:sz="8" w:space="0" w:color="000000"/>
              <w:right w:val="single" w:sz="8" w:space="0" w:color="000000"/>
            </w:tcBorders>
          </w:tcPr>
          <w:p w:rsidR="00DA0D9C" w14:paraId="778D4835" w14:textId="77777777">
            <w:pPr>
              <w:spacing w:after="0" w:line="259" w:lineRule="auto"/>
              <w:ind w:left="2" w:right="0" w:firstLine="0"/>
            </w:pPr>
            <w:r>
              <w:rPr>
                <w:sz w:val="20"/>
              </w:rPr>
              <w:t xml:space="preserve">Registered nurse </w:t>
            </w:r>
            <w:r>
              <w:t xml:space="preserve"> </w:t>
            </w:r>
          </w:p>
        </w:tc>
        <w:tc>
          <w:tcPr>
            <w:tcW w:w="1603" w:type="dxa"/>
            <w:tcBorders>
              <w:top w:val="single" w:sz="8" w:space="0" w:color="000000"/>
              <w:left w:val="single" w:sz="8" w:space="0" w:color="000000"/>
              <w:bottom w:val="single" w:sz="8" w:space="0" w:color="000000"/>
              <w:right w:val="single" w:sz="8" w:space="0" w:color="000000"/>
            </w:tcBorders>
          </w:tcPr>
          <w:p w:rsidR="00DA0D9C" w14:paraId="02181D0F" w14:textId="77777777">
            <w:pPr>
              <w:spacing w:after="0" w:line="259" w:lineRule="auto"/>
              <w:ind w:left="2" w:right="0" w:firstLine="0"/>
            </w:pPr>
            <w:r>
              <w:rPr>
                <w:sz w:val="20"/>
              </w:rPr>
              <w:t xml:space="preserve">29-1141 </w:t>
            </w:r>
            <w:r>
              <w:t xml:space="preserve"> </w:t>
            </w:r>
          </w:p>
        </w:tc>
        <w:tc>
          <w:tcPr>
            <w:tcW w:w="1373" w:type="dxa"/>
            <w:tcBorders>
              <w:top w:val="single" w:sz="8" w:space="0" w:color="000000"/>
              <w:left w:val="single" w:sz="8" w:space="0" w:color="000000"/>
              <w:bottom w:val="single" w:sz="8" w:space="0" w:color="000000"/>
              <w:right w:val="single" w:sz="8" w:space="0" w:color="000000"/>
            </w:tcBorders>
          </w:tcPr>
          <w:p w:rsidR="00DA0D9C" w14:paraId="721F690A" w14:textId="77777777">
            <w:pPr>
              <w:spacing w:after="0" w:line="259" w:lineRule="auto"/>
              <w:ind w:left="5" w:right="0" w:firstLine="0"/>
            </w:pPr>
            <w:r>
              <w:rPr>
                <w:sz w:val="20"/>
              </w:rPr>
              <w:t xml:space="preserve">45.42 </w:t>
            </w:r>
            <w:r>
              <w:t xml:space="preserve"> </w:t>
            </w:r>
          </w:p>
        </w:tc>
        <w:tc>
          <w:tcPr>
            <w:tcW w:w="1466" w:type="dxa"/>
            <w:tcBorders>
              <w:top w:val="single" w:sz="8" w:space="0" w:color="000000"/>
              <w:left w:val="single" w:sz="8" w:space="0" w:color="000000"/>
              <w:bottom w:val="single" w:sz="8" w:space="0" w:color="000000"/>
              <w:right w:val="single" w:sz="8" w:space="0" w:color="000000"/>
            </w:tcBorders>
          </w:tcPr>
          <w:p w:rsidR="00DA0D9C" w14:paraId="3A0DA55D" w14:textId="77777777">
            <w:pPr>
              <w:spacing w:after="0" w:line="259" w:lineRule="auto"/>
              <w:ind w:left="2" w:right="0" w:firstLine="0"/>
            </w:pPr>
            <w:r>
              <w:rPr>
                <w:sz w:val="20"/>
              </w:rPr>
              <w:t xml:space="preserve">45.42 </w:t>
            </w:r>
            <w:r>
              <w:t xml:space="preserve"> </w:t>
            </w:r>
          </w:p>
        </w:tc>
        <w:tc>
          <w:tcPr>
            <w:tcW w:w="1606" w:type="dxa"/>
            <w:tcBorders>
              <w:top w:val="single" w:sz="8" w:space="0" w:color="000000"/>
              <w:left w:val="single" w:sz="8" w:space="0" w:color="000000"/>
              <w:bottom w:val="single" w:sz="8" w:space="0" w:color="000000"/>
              <w:right w:val="single" w:sz="8" w:space="0" w:color="000000"/>
            </w:tcBorders>
          </w:tcPr>
          <w:p w:rsidR="00DA0D9C" w14:paraId="388DAD96" w14:textId="77777777">
            <w:pPr>
              <w:spacing w:after="0" w:line="259" w:lineRule="auto"/>
              <w:ind w:left="0" w:right="0" w:firstLine="0"/>
            </w:pPr>
            <w:r>
              <w:rPr>
                <w:sz w:val="20"/>
              </w:rPr>
              <w:t xml:space="preserve">90.94 </w:t>
            </w:r>
            <w:r>
              <w:t xml:space="preserve"> </w:t>
            </w:r>
          </w:p>
        </w:tc>
      </w:tr>
    </w:tbl>
    <w:p w:rsidR="00DA0D9C" w14:paraId="49683B86" w14:textId="77777777">
      <w:pPr>
        <w:spacing w:after="0" w:line="259" w:lineRule="auto"/>
        <w:ind w:left="533" w:right="0" w:firstLine="0"/>
      </w:pPr>
      <w:r>
        <w:rPr>
          <w:sz w:val="23"/>
        </w:rPr>
        <w:t xml:space="preserve"> </w:t>
      </w:r>
      <w:r>
        <w:t xml:space="preserve"> </w:t>
      </w:r>
    </w:p>
    <w:p w:rsidR="00DA0D9C" w14:paraId="3EC05D72" w14:textId="77777777">
      <w:pPr>
        <w:ind w:left="542" w:right="862"/>
      </w:pPr>
      <w:r>
        <w:t xml:space="preserve">As indicated, we are adjusting our employee hourly wage estimates by a factor of 100 percent. </w:t>
      </w:r>
    </w:p>
    <w:p w:rsidR="00DA0D9C" w14:paraId="74CDA91D" w14:textId="77777777">
      <w:pPr>
        <w:ind w:left="542" w:right="862"/>
      </w:pPr>
      <w:r>
        <w:t xml:space="preserve">This is necessarily a rough adjustment, both because fringe benefits and overhead costs vary significantly from employer to employer, and because methods of estimating these costs vary widely from study to study. Nonetheless, we believe that doubling the hourly wage to estimate total cost is a reasonably accurate estimation method.  </w:t>
      </w:r>
    </w:p>
    <w:p w:rsidR="00DA0D9C" w14:paraId="10DDC16A" w14:textId="77777777">
      <w:pPr>
        <w:spacing w:after="0" w:line="259" w:lineRule="auto"/>
        <w:ind w:left="533" w:right="0" w:firstLine="0"/>
      </w:pPr>
      <w:r>
        <w:t xml:space="preserve">  </w:t>
      </w:r>
    </w:p>
    <w:p w:rsidR="00DA0D9C" w14:paraId="2651A6FF" w14:textId="77777777">
      <w:pPr>
        <w:pStyle w:val="Heading2"/>
        <w:ind w:left="511"/>
      </w:pPr>
      <w:r>
        <w:t xml:space="preserve">Collection of Information Requirements and Associated Burden Estimates  </w:t>
      </w:r>
    </w:p>
    <w:p w:rsidR="00DA0D9C" w14:paraId="258053EA" w14:textId="77777777">
      <w:pPr>
        <w:spacing w:after="64" w:line="259" w:lineRule="auto"/>
        <w:ind w:left="533" w:right="0" w:firstLine="0"/>
      </w:pPr>
      <w:r>
        <w:rPr>
          <w:i/>
          <w:sz w:val="16"/>
        </w:rPr>
        <w:t xml:space="preserve"> </w:t>
      </w:r>
      <w:r>
        <w:t xml:space="preserve"> </w:t>
      </w:r>
    </w:p>
    <w:p w:rsidR="00DA0D9C" w14:paraId="471FF23A" w14:textId="77777777">
      <w:pPr>
        <w:spacing w:after="0" w:line="259" w:lineRule="auto"/>
        <w:ind w:left="511" w:right="0"/>
      </w:pPr>
      <w:r>
        <w:rPr>
          <w:i/>
          <w:u w:val="single" w:color="000000"/>
        </w:rPr>
        <w:t>Initial and Renewal Submission</w:t>
      </w:r>
      <w:r>
        <w:rPr>
          <w:i/>
        </w:rPr>
        <w:t xml:space="preserve"> </w:t>
      </w:r>
      <w:r>
        <w:t xml:space="preserve"> </w:t>
      </w:r>
    </w:p>
    <w:p w:rsidR="00DA0D9C" w14:paraId="2F9C7A15" w14:textId="77777777">
      <w:pPr>
        <w:spacing w:after="0" w:line="259" w:lineRule="auto"/>
        <w:ind w:left="533" w:right="0" w:firstLine="0"/>
      </w:pPr>
      <w:r>
        <w:rPr>
          <w:i/>
          <w:sz w:val="23"/>
        </w:rPr>
        <w:t xml:space="preserve"> </w:t>
      </w:r>
      <w:r>
        <w:t xml:space="preserve"> </w:t>
      </w:r>
    </w:p>
    <w:p w:rsidR="00DA0D9C" w14:paraId="21043765" w14:textId="77777777">
      <w:pPr>
        <w:ind w:left="542" w:right="862"/>
      </w:pPr>
      <w:r>
        <w:t xml:space="preserve">The SNP will access HPMS via the internet at </w:t>
      </w:r>
      <w:hyperlink r:id="rId6">
        <w:r>
          <w:rPr>
            <w:color w:val="0000FF"/>
            <w:u w:val="single" w:color="0000FF"/>
          </w:rPr>
          <w:t>https://hpms.cms.gov/</w:t>
        </w:r>
      </w:hyperlink>
      <w:hyperlink r:id="rId6">
        <w:r>
          <w:rPr>
            <w:color w:val="0000FF"/>
            <w:u w:val="single" w:color="0000FF"/>
          </w:rPr>
          <w:t xml:space="preserve"> </w:t>
        </w:r>
      </w:hyperlink>
      <w:hyperlink r:id="rId6">
        <w:r>
          <w:t>an</w:t>
        </w:r>
      </w:hyperlink>
      <w:r>
        <w:t xml:space="preserve">d follow the appropriate instructions in HPMS. The SNP will click on either the Application module (initial) or the MOC module (renewal) in HPMS and download Attachment A, the Model of Care Matrix Document. The SNP will complete the document and upload it with the MOC narrative. The MOC Matrix document outlines the CMS SNP MOC standards and elements that must be addressed in the MOC narrative. The document also serves as a table of contents for the MOC narrative. Training to use the MOC module will be minimal and at no cost to the SNPs.  </w:t>
      </w:r>
    </w:p>
    <w:p w:rsidR="00DA0D9C" w14:paraId="39CDE746" w14:textId="77777777">
      <w:pPr>
        <w:spacing w:after="0" w:line="259" w:lineRule="auto"/>
        <w:ind w:left="533" w:right="0" w:firstLine="0"/>
      </w:pPr>
      <w:r>
        <w:t xml:space="preserve">  </w:t>
      </w:r>
    </w:p>
    <w:p w:rsidR="00DA0D9C" w14:paraId="2B2E2A25" w14:textId="77777777">
      <w:pPr>
        <w:ind w:left="542" w:right="862"/>
      </w:pPr>
      <w:r>
        <w:t xml:space="preserve">Using HPMS data, we estimate that approximately 410 SNPs will submit MOCs annually for initial and/or renewal purposes. For each SNP submitting a MOC, we assume 6 hours of work by SNP personnel at a cost of $545.64 (6 </w:t>
      </w:r>
      <w:r>
        <w:t>hr</w:t>
      </w:r>
      <w:r>
        <w:t xml:space="preserve"> x $90.94/</w:t>
      </w:r>
      <w:r>
        <w:t>hr</w:t>
      </w:r>
      <w:r>
        <w:t xml:space="preserve">). In aggregate, we estimate </w:t>
      </w:r>
      <w:r>
        <w:rPr>
          <w:b/>
        </w:rPr>
        <w:t>2,460 hours</w:t>
      </w:r>
      <w:r>
        <w:t xml:space="preserve"> (410 SNPs x 6 </w:t>
      </w:r>
      <w:r>
        <w:t>hr</w:t>
      </w:r>
      <w:r>
        <w:t>) at a cost of</w:t>
      </w:r>
      <w:r>
        <w:rPr>
          <w:b/>
        </w:rPr>
        <w:t xml:space="preserve"> $223,712 </w:t>
      </w:r>
      <w:r>
        <w:t xml:space="preserve">(2,460 </w:t>
      </w:r>
      <w:r>
        <w:t>hr</w:t>
      </w:r>
      <w:r>
        <w:t xml:space="preserve"> x $90.94/</w:t>
      </w:r>
      <w:r>
        <w:t>hr</w:t>
      </w:r>
      <w:r>
        <w:t xml:space="preserve">) annually.  </w:t>
      </w:r>
    </w:p>
    <w:p w:rsidR="00DA0D9C" w14:paraId="25138C62" w14:textId="77777777">
      <w:pPr>
        <w:spacing w:after="0" w:line="259" w:lineRule="auto"/>
        <w:ind w:left="533" w:right="0" w:firstLine="0"/>
      </w:pPr>
      <w:r>
        <w:t xml:space="preserve">  </w:t>
      </w:r>
    </w:p>
    <w:p w:rsidR="00DA0D9C" w14:paraId="79FD5541" w14:textId="77777777">
      <w:pPr>
        <w:ind w:left="542" w:right="862"/>
      </w:pPr>
      <w:r>
        <w:t xml:space="preserve">42 CFR § 422.101(f)(3)(iii) requires that each element of MOC meet a minimum benchmark score of 50 percent and each MOC must meet an aggregate minimum benchmark of 70 percent. A plan's MOC will only be approved if these scoring thresholds are met. Based on MOC submissions received in 2024, there were 15 submissions that failed to meet the minimum benchmark. Therefore, we will estimate that approximately15 SNPs will be required to resubmit their MOCs because they did not meet the minimum thresholds for the initial MOC review by NCQA. For each SNP resubmitting a MOC, we assume 3 hours of work by SNP personnel at a cost of $272.82 (3 </w:t>
      </w:r>
      <w:r>
        <w:t>hr</w:t>
      </w:r>
      <w:r>
        <w:t xml:space="preserve"> x $90.94/</w:t>
      </w:r>
      <w:r>
        <w:t>hr</w:t>
      </w:r>
      <w:r>
        <w:t xml:space="preserve">). In aggregate, we estimate </w:t>
      </w:r>
      <w:r>
        <w:rPr>
          <w:b/>
        </w:rPr>
        <w:t>45 hours</w:t>
      </w:r>
      <w:r>
        <w:t xml:space="preserve"> (15 SNPs x 3 </w:t>
      </w:r>
      <w:r>
        <w:t>hr</w:t>
      </w:r>
      <w:r>
        <w:t xml:space="preserve">) at a cost of </w:t>
      </w:r>
      <w:r>
        <w:rPr>
          <w:b/>
        </w:rPr>
        <w:t>$4,092</w:t>
      </w:r>
      <w:r>
        <w:t xml:space="preserve"> (45 </w:t>
      </w:r>
      <w:r>
        <w:t>hr</w:t>
      </w:r>
      <w:r>
        <w:t xml:space="preserve"> x $90.94/</w:t>
      </w:r>
      <w:r>
        <w:t>hr</w:t>
      </w:r>
      <w:r>
        <w:t xml:space="preserve">) annually.   </w:t>
      </w:r>
    </w:p>
    <w:p w:rsidR="00DA0D9C" w14:paraId="06BC8DA9" w14:textId="77777777">
      <w:pPr>
        <w:spacing w:after="0" w:line="259" w:lineRule="auto"/>
        <w:ind w:left="533" w:right="0" w:firstLine="0"/>
      </w:pPr>
      <w:r>
        <w:t xml:space="preserve">   </w:t>
      </w:r>
    </w:p>
    <w:p w:rsidR="00DA0D9C" w14:paraId="0A93475E" w14:textId="77777777">
      <w:pPr>
        <w:ind w:left="542" w:right="862"/>
      </w:pPr>
      <w:r>
        <w:t xml:space="preserve">The revised estimate </w:t>
      </w:r>
      <w:r>
        <w:t>takes into account</w:t>
      </w:r>
      <w:r>
        <w:t xml:space="preserve"> a decrease in overall MOC submission volumes, an increase in the wage </w:t>
      </w:r>
      <w:r>
        <w:t>information,  changes</w:t>
      </w:r>
      <w:r>
        <w:t xml:space="preserve"> to the MOC requirements in CMS-4201-F3 and </w:t>
      </w:r>
    </w:p>
    <w:p w:rsidR="00DA0D9C" w14:paraId="4F2592C0" w14:textId="77777777">
      <w:pPr>
        <w:ind w:left="542" w:right="862"/>
      </w:pPr>
      <w:r>
        <w:t xml:space="preserve">CMS-4205-F, as well as the existing and revised MOC requirements outlined in Attachment A.   </w:t>
      </w:r>
    </w:p>
    <w:p w:rsidR="00DA0D9C" w14:paraId="6F7BB307" w14:textId="77777777">
      <w:pPr>
        <w:spacing w:after="0" w:line="259" w:lineRule="auto"/>
        <w:ind w:left="533" w:right="0" w:firstLine="0"/>
      </w:pPr>
      <w:r>
        <w:t xml:space="preserve">  </w:t>
      </w:r>
    </w:p>
    <w:p w:rsidR="00DA0D9C" w14:paraId="7790073B" w14:textId="77777777">
      <w:pPr>
        <w:spacing w:after="0" w:line="259" w:lineRule="auto"/>
        <w:ind w:left="511" w:right="0"/>
      </w:pPr>
      <w:r>
        <w:rPr>
          <w:i/>
          <w:u w:val="single" w:color="000000"/>
        </w:rPr>
        <w:t>Off-Cycle Submission</w:t>
      </w:r>
      <w:r>
        <w:rPr>
          <w:i/>
        </w:rPr>
        <w:t xml:space="preserve"> </w:t>
      </w:r>
      <w:r>
        <w:t xml:space="preserve"> </w:t>
      </w:r>
    </w:p>
    <w:p w:rsidR="00DA0D9C" w14:paraId="6B724DA7" w14:textId="77777777">
      <w:pPr>
        <w:spacing w:after="0" w:line="259" w:lineRule="auto"/>
        <w:ind w:left="533" w:right="0" w:firstLine="0"/>
      </w:pPr>
      <w:r>
        <w:t xml:space="preserve">  </w:t>
      </w:r>
    </w:p>
    <w:p w:rsidR="00DA0D9C" w14:paraId="1B19FD2D" w14:textId="77777777">
      <w:pPr>
        <w:ind w:left="542" w:right="862"/>
      </w:pPr>
      <w:r>
        <w:t xml:space="preserve">SNPs must submit a summary of their MOC changes in HPMS if they choose to make substantive changes to their MOCs during the approval period. It is important to note that </w:t>
      </w:r>
      <w:r>
        <w:t>offcycle</w:t>
      </w:r>
      <w:r>
        <w:t xml:space="preserve"> MOC changes are at the discretion of SNPs. It is the responsibility of SNPs to notify CMS of substantive changes to their MOCs. NCQA will conduct a review for CMS to determine if the changes made to a MOC are consistent with the MOC scoring guidelines.  </w:t>
      </w:r>
    </w:p>
    <w:p w:rsidR="00DA0D9C" w14:paraId="4F12646A" w14:textId="77777777">
      <w:pPr>
        <w:spacing w:after="0" w:line="259" w:lineRule="auto"/>
        <w:ind w:left="533" w:right="0" w:firstLine="0"/>
      </w:pPr>
      <w:r>
        <w:rPr>
          <w:sz w:val="23"/>
        </w:rPr>
        <w:t xml:space="preserve"> </w:t>
      </w:r>
      <w:r>
        <w:t xml:space="preserve"> </w:t>
      </w:r>
    </w:p>
    <w:p w:rsidR="00DA0D9C" w14:paraId="0FA311C6" w14:textId="77777777">
      <w:pPr>
        <w:ind w:left="542" w:right="862"/>
      </w:pPr>
      <w:r>
        <w:t xml:space="preserve">The SNP will access HPMS via the internet at </w:t>
      </w:r>
      <w:hyperlink r:id="rId6">
        <w:r>
          <w:rPr>
            <w:color w:val="0000FF"/>
            <w:u w:val="single" w:color="0000FF"/>
          </w:rPr>
          <w:t>https://hpms.cms.gov/</w:t>
        </w:r>
      </w:hyperlink>
      <w:hyperlink r:id="rId6">
        <w:r>
          <w:rPr>
            <w:color w:val="0000FF"/>
            <w:u w:val="single" w:color="0000FF"/>
          </w:rPr>
          <w:t xml:space="preserve"> </w:t>
        </w:r>
      </w:hyperlink>
      <w:hyperlink r:id="rId6">
        <w:r>
          <w:t>an</w:t>
        </w:r>
      </w:hyperlink>
      <w:r>
        <w:t xml:space="preserve">d follow the appropriate instructions in HPMS. The SNP will click on the MOC module in HPMS and download </w:t>
      </w:r>
      <w:r>
        <w:t xml:space="preserve">Attachment A, the Model of Care Matrix document. The SNP will complete the document and upload it with a summary of changes and a redlined version of the revised MOC. Training to use the MOC module will be minimal at three hours annually, and training materials and nonmandatory webinar sessions are provided by CMS at no cost to the SNPs except for the time to participate.  </w:t>
      </w:r>
    </w:p>
    <w:p w:rsidR="00DA0D9C" w14:paraId="7DED958B" w14:textId="77777777">
      <w:pPr>
        <w:spacing w:after="0" w:line="259" w:lineRule="auto"/>
        <w:ind w:left="533" w:right="0" w:firstLine="0"/>
      </w:pPr>
      <w:r>
        <w:t xml:space="preserve">  </w:t>
      </w:r>
    </w:p>
    <w:p w:rsidR="00DA0D9C" w14:paraId="1E8EF3AD" w14:textId="77777777">
      <w:pPr>
        <w:ind w:left="542" w:right="862"/>
      </w:pPr>
      <w:r>
        <w:t xml:space="preserve">For this 2024 collection of information request, using HPMS data, we estimate that approximately 150 SNPs (D-SNPs/I-SNPs) will submit off-cycle MOC changes. For each SNP submitting off-cycle MOC changes, we assume 4 hours of work by SNP personnel at a cost of $363.76 (4 </w:t>
      </w:r>
      <w:r>
        <w:t>hr</w:t>
      </w:r>
      <w:r>
        <w:t xml:space="preserve"> x $90.94/</w:t>
      </w:r>
      <w:r>
        <w:t>hr</w:t>
      </w:r>
      <w:r>
        <w:t xml:space="preserve">). In aggregate, we estimate </w:t>
      </w:r>
      <w:r>
        <w:rPr>
          <w:b/>
        </w:rPr>
        <w:t>600 hours</w:t>
      </w:r>
      <w:r>
        <w:t xml:space="preserve"> (150 SNPs x 4 </w:t>
      </w:r>
      <w:r>
        <w:t>hr</w:t>
      </w:r>
      <w:r>
        <w:t xml:space="preserve">) at a cost of </w:t>
      </w:r>
      <w:r>
        <w:rPr>
          <w:b/>
        </w:rPr>
        <w:t xml:space="preserve">$54,564 </w:t>
      </w:r>
      <w:r>
        <w:t xml:space="preserve">(600 </w:t>
      </w:r>
      <w:r>
        <w:t>hr</w:t>
      </w:r>
      <w:r>
        <w:t xml:space="preserve"> x $90.94/</w:t>
      </w:r>
      <w:r>
        <w:t>hr</w:t>
      </w:r>
      <w:r>
        <w:t xml:space="preserve">) annually.    </w:t>
      </w:r>
    </w:p>
    <w:p w:rsidR="00DA0D9C" w14:paraId="6D270930" w14:textId="77777777">
      <w:pPr>
        <w:spacing w:after="0" w:line="259" w:lineRule="auto"/>
        <w:ind w:left="533" w:right="0" w:firstLine="0"/>
      </w:pPr>
      <w:r>
        <w:t xml:space="preserve">  </w:t>
      </w:r>
    </w:p>
    <w:p w:rsidR="00DA0D9C" w14:paraId="0D98725F" w14:textId="77777777">
      <w:pPr>
        <w:ind w:left="542" w:right="862"/>
      </w:pPr>
      <w:r>
        <w:t xml:space="preserve">The revised estimate </w:t>
      </w:r>
      <w:r>
        <w:t>takes into account</w:t>
      </w:r>
      <w:r>
        <w:t xml:space="preserve"> the codification of the off-cycle submission requirements inCMS-4201-F3 and CMS-4205-F. We note that the off-cycle submission requirements have been a long-standing burden in this PRA package. We also reiterate that all MOC requirements for the initial, renewal and off-cycle submissions will now </w:t>
      </w:r>
      <w:r>
        <w:t>be located in</w:t>
      </w:r>
      <w:r>
        <w:t xml:space="preserve"> Attachment A.   </w:t>
      </w:r>
    </w:p>
    <w:p w:rsidR="00DA0D9C" w14:paraId="2C686AC6" w14:textId="77777777">
      <w:pPr>
        <w:spacing w:after="0" w:line="259" w:lineRule="auto"/>
        <w:ind w:left="533" w:right="0" w:firstLine="0"/>
      </w:pPr>
      <w:r>
        <w:t xml:space="preserve">  </w:t>
      </w:r>
    </w:p>
    <w:p w:rsidR="00DA0D9C" w14:paraId="3CD4F39D" w14:textId="77777777">
      <w:pPr>
        <w:spacing w:after="0" w:line="259" w:lineRule="auto"/>
        <w:ind w:left="511" w:right="0"/>
      </w:pPr>
      <w:r>
        <w:rPr>
          <w:i/>
          <w:u w:val="single" w:color="000000"/>
        </w:rPr>
        <w:t>Tracking Face-to-Face Encounters</w:t>
      </w:r>
      <w:r>
        <w:rPr>
          <w:i/>
        </w:rPr>
        <w:t xml:space="preserve"> </w:t>
      </w:r>
      <w:r>
        <w:t xml:space="preserve"> </w:t>
      </w:r>
    </w:p>
    <w:p w:rsidR="00DA0D9C" w14:paraId="5092A507" w14:textId="77777777">
      <w:pPr>
        <w:spacing w:after="0" w:line="259" w:lineRule="auto"/>
        <w:ind w:left="533" w:right="0" w:firstLine="0"/>
      </w:pPr>
      <w:r>
        <w:t xml:space="preserve">  </w:t>
      </w:r>
    </w:p>
    <w:p w:rsidR="00DA0D9C" w14:paraId="24D1D2F7" w14:textId="77777777">
      <w:pPr>
        <w:ind w:left="542" w:right="862"/>
      </w:pPr>
      <w:r>
        <w:t xml:space="preserve">As required by 42 CFR § 422.101(f)(1)(x), SNPs must provide face-to-face encounters with enrollees not less frequently than on an annual basis. We estimate that all SNP types will incur the burden necessary to track face-to-face encounters. Therefore, we estimate that approximately 1,340 SNPs will track face-to-face encounters, and we assume 4 hours of work by SNP personnel at a cost of $363.76 (4 </w:t>
      </w:r>
      <w:r>
        <w:t>hr</w:t>
      </w:r>
      <w:r>
        <w:t xml:space="preserve"> x $90.94/</w:t>
      </w:r>
      <w:r>
        <w:t>hr</w:t>
      </w:r>
      <w:r>
        <w:t xml:space="preserve">). In aggregate, we estimate 5,360 </w:t>
      </w:r>
      <w:r>
        <w:t>hr</w:t>
      </w:r>
      <w:r>
        <w:t xml:space="preserve"> (1,340 SNPs x 4 </w:t>
      </w:r>
      <w:r>
        <w:t>hr</w:t>
      </w:r>
      <w:r>
        <w:t xml:space="preserve">) at a cost of </w:t>
      </w:r>
      <w:r>
        <w:rPr>
          <w:b/>
        </w:rPr>
        <w:t xml:space="preserve">$487,438 </w:t>
      </w:r>
      <w:r>
        <w:t xml:space="preserve">(5,360 </w:t>
      </w:r>
      <w:r>
        <w:t>hr</w:t>
      </w:r>
      <w:r>
        <w:t xml:space="preserve"> x $90.94/</w:t>
      </w:r>
      <w:r>
        <w:t>hr</w:t>
      </w:r>
      <w:r>
        <w:t xml:space="preserve">) annually.   </w:t>
      </w:r>
    </w:p>
    <w:p w:rsidR="00DA0D9C" w14:paraId="209703E8" w14:textId="77777777">
      <w:pPr>
        <w:spacing w:after="0" w:line="259" w:lineRule="auto"/>
        <w:ind w:left="533" w:right="0" w:firstLine="0"/>
      </w:pPr>
      <w:r>
        <w:t xml:space="preserve">  </w:t>
      </w:r>
    </w:p>
    <w:p w:rsidR="00DA0D9C" w14:paraId="5C7D9B45" w14:textId="77777777">
      <w:pPr>
        <w:ind w:left="542" w:right="862"/>
      </w:pPr>
      <w:r>
        <w:t xml:space="preserve">Note: to distinguish this activity from actual MOC submissions, the burden estimates for tracking face-to-face encounters </w:t>
      </w:r>
      <w:r>
        <w:t>is</w:t>
      </w:r>
      <w:r>
        <w:t xml:space="preserve"> captured separately in the burden summary table.  </w:t>
      </w:r>
    </w:p>
    <w:p w:rsidR="00DA0D9C" w14:paraId="59BA848D" w14:textId="77777777">
      <w:pPr>
        <w:spacing w:after="0" w:line="259" w:lineRule="auto"/>
        <w:ind w:left="533" w:right="0" w:firstLine="0"/>
      </w:pPr>
      <w:r>
        <w:rPr>
          <w:i/>
        </w:rPr>
        <w:t xml:space="preserve"> </w:t>
      </w:r>
      <w:r>
        <w:t xml:space="preserve"> </w:t>
      </w:r>
    </w:p>
    <w:p w:rsidR="00DA0D9C" w14:paraId="637BF0EF" w14:textId="77777777">
      <w:pPr>
        <w:pStyle w:val="Heading2"/>
        <w:ind w:left="511"/>
      </w:pPr>
      <w:r>
        <w:t xml:space="preserve">Burden Summary: SNPs  </w:t>
      </w:r>
    </w:p>
    <w:tbl>
      <w:tblPr>
        <w:tblStyle w:val="TableGrid"/>
        <w:tblW w:w="9862" w:type="dxa"/>
        <w:tblInd w:w="19" w:type="dxa"/>
        <w:tblCellMar>
          <w:top w:w="57" w:type="dxa"/>
          <w:left w:w="2" w:type="dxa"/>
        </w:tblCellMar>
        <w:tblLook w:val="04A0"/>
      </w:tblPr>
      <w:tblGrid>
        <w:gridCol w:w="1155"/>
        <w:gridCol w:w="1098"/>
        <w:gridCol w:w="1099"/>
        <w:gridCol w:w="1154"/>
        <w:gridCol w:w="1073"/>
        <w:gridCol w:w="1075"/>
        <w:gridCol w:w="1046"/>
        <w:gridCol w:w="1142"/>
        <w:gridCol w:w="1020"/>
      </w:tblGrid>
      <w:tr w14:paraId="13CE1E19" w14:textId="77777777">
        <w:tblPrEx>
          <w:tblW w:w="9862" w:type="dxa"/>
          <w:tblInd w:w="19" w:type="dxa"/>
          <w:tblCellMar>
            <w:top w:w="57" w:type="dxa"/>
            <w:left w:w="2" w:type="dxa"/>
          </w:tblCellMar>
          <w:tblLook w:val="04A0"/>
        </w:tblPrEx>
        <w:trPr>
          <w:trHeight w:val="761"/>
        </w:trPr>
        <w:tc>
          <w:tcPr>
            <w:tcW w:w="1154" w:type="dxa"/>
            <w:tcBorders>
              <w:top w:val="single" w:sz="2" w:space="0" w:color="000000"/>
              <w:left w:val="single" w:sz="2" w:space="0" w:color="000000"/>
              <w:bottom w:val="single" w:sz="2" w:space="0" w:color="000000"/>
              <w:right w:val="single" w:sz="2" w:space="0" w:color="000000"/>
            </w:tcBorders>
          </w:tcPr>
          <w:p w:rsidR="00DA0D9C" w14:paraId="24D6E741" w14:textId="77777777">
            <w:pPr>
              <w:spacing w:after="0" w:line="259" w:lineRule="auto"/>
              <w:ind w:left="228" w:right="0" w:hanging="89"/>
            </w:pPr>
            <w:r>
              <w:rPr>
                <w:b/>
                <w:sz w:val="16"/>
              </w:rPr>
              <w:t xml:space="preserve">Information Collection </w:t>
            </w:r>
            <w:r>
              <w:t xml:space="preserve"> </w:t>
            </w:r>
          </w:p>
        </w:tc>
        <w:tc>
          <w:tcPr>
            <w:tcW w:w="1097" w:type="dxa"/>
            <w:tcBorders>
              <w:top w:val="single" w:sz="2" w:space="0" w:color="000000"/>
              <w:left w:val="single" w:sz="2" w:space="0" w:color="000000"/>
              <w:bottom w:val="single" w:sz="2" w:space="0" w:color="000000"/>
              <w:right w:val="single" w:sz="2" w:space="0" w:color="000000"/>
            </w:tcBorders>
          </w:tcPr>
          <w:p w:rsidR="00DA0D9C" w14:paraId="637267B3" w14:textId="77777777">
            <w:pPr>
              <w:spacing w:after="0" w:line="259" w:lineRule="auto"/>
              <w:ind w:left="0" w:right="0" w:firstLine="0"/>
              <w:jc w:val="center"/>
            </w:pPr>
            <w:r>
              <w:rPr>
                <w:b/>
                <w:sz w:val="16"/>
              </w:rPr>
              <w:t xml:space="preserve">Regulation under Title 42 of the CFR </w:t>
            </w:r>
            <w:r>
              <w:t xml:space="preserve"> </w:t>
            </w:r>
          </w:p>
        </w:tc>
        <w:tc>
          <w:tcPr>
            <w:tcW w:w="1099" w:type="dxa"/>
            <w:tcBorders>
              <w:top w:val="single" w:sz="2" w:space="0" w:color="000000"/>
              <w:left w:val="single" w:sz="2" w:space="0" w:color="000000"/>
              <w:bottom w:val="single" w:sz="2" w:space="0" w:color="000000"/>
              <w:right w:val="single" w:sz="2" w:space="0" w:color="000000"/>
            </w:tcBorders>
          </w:tcPr>
          <w:p w:rsidR="00DA0D9C" w14:paraId="37013BFC" w14:textId="77777777">
            <w:pPr>
              <w:spacing w:after="0" w:line="259" w:lineRule="auto"/>
              <w:ind w:left="113" w:right="0" w:firstLine="0"/>
            </w:pPr>
            <w:r>
              <w:rPr>
                <w:b/>
                <w:sz w:val="16"/>
              </w:rPr>
              <w:t xml:space="preserve">Respondents </w:t>
            </w:r>
            <w:r>
              <w:t xml:space="preserve"> </w:t>
            </w:r>
          </w:p>
        </w:tc>
        <w:tc>
          <w:tcPr>
            <w:tcW w:w="1154" w:type="dxa"/>
            <w:tcBorders>
              <w:top w:val="single" w:sz="2" w:space="0" w:color="000000"/>
              <w:left w:val="single" w:sz="2" w:space="0" w:color="000000"/>
              <w:bottom w:val="single" w:sz="2" w:space="0" w:color="000000"/>
              <w:right w:val="single" w:sz="2" w:space="0" w:color="000000"/>
            </w:tcBorders>
          </w:tcPr>
          <w:p w:rsidR="00DA0D9C" w14:paraId="4566F2FC" w14:textId="77777777">
            <w:pPr>
              <w:spacing w:after="0" w:line="259" w:lineRule="auto"/>
              <w:ind w:left="0" w:right="0" w:firstLine="0"/>
              <w:jc w:val="center"/>
            </w:pPr>
            <w:r>
              <w:rPr>
                <w:b/>
                <w:sz w:val="16"/>
              </w:rPr>
              <w:t xml:space="preserve">Responses (per Respondent) </w:t>
            </w:r>
            <w:r>
              <w:t xml:space="preserve"> </w:t>
            </w:r>
          </w:p>
        </w:tc>
        <w:tc>
          <w:tcPr>
            <w:tcW w:w="1073" w:type="dxa"/>
            <w:tcBorders>
              <w:top w:val="single" w:sz="2" w:space="0" w:color="000000"/>
              <w:left w:val="single" w:sz="2" w:space="0" w:color="000000"/>
              <w:bottom w:val="single" w:sz="2" w:space="0" w:color="000000"/>
              <w:right w:val="single" w:sz="2" w:space="0" w:color="000000"/>
            </w:tcBorders>
          </w:tcPr>
          <w:p w:rsidR="00DA0D9C" w14:paraId="19848F7B" w14:textId="77777777">
            <w:pPr>
              <w:spacing w:after="0" w:line="259" w:lineRule="auto"/>
              <w:ind w:left="182" w:right="0" w:firstLine="252"/>
            </w:pPr>
            <w:r>
              <w:rPr>
                <w:b/>
                <w:sz w:val="16"/>
              </w:rPr>
              <w:t xml:space="preserve">Total Responses </w:t>
            </w:r>
            <w:r>
              <w:t xml:space="preserve"> </w:t>
            </w:r>
          </w:p>
        </w:tc>
        <w:tc>
          <w:tcPr>
            <w:tcW w:w="1075" w:type="dxa"/>
            <w:tcBorders>
              <w:top w:val="single" w:sz="2" w:space="0" w:color="000000"/>
              <w:left w:val="single" w:sz="2" w:space="0" w:color="000000"/>
              <w:bottom w:val="single" w:sz="2" w:space="0" w:color="000000"/>
              <w:right w:val="single" w:sz="2" w:space="0" w:color="000000"/>
            </w:tcBorders>
          </w:tcPr>
          <w:p w:rsidR="00DA0D9C" w14:paraId="0D8124AC" w14:textId="77777777">
            <w:pPr>
              <w:spacing w:after="0" w:line="231" w:lineRule="auto"/>
              <w:ind w:left="209" w:right="0" w:firstLine="12"/>
            </w:pPr>
            <w:r>
              <w:rPr>
                <w:b/>
                <w:sz w:val="16"/>
              </w:rPr>
              <w:t xml:space="preserve">Time </w:t>
            </w:r>
            <w:r>
              <w:rPr>
                <w:b/>
                <w:sz w:val="16"/>
              </w:rPr>
              <w:t xml:space="preserve">per </w:t>
            </w:r>
            <w:r>
              <w:t xml:space="preserve"> </w:t>
            </w:r>
            <w:r>
              <w:rPr>
                <w:b/>
                <w:sz w:val="16"/>
              </w:rPr>
              <w:t>Response</w:t>
            </w:r>
            <w:r>
              <w:rPr>
                <w:b/>
                <w:sz w:val="16"/>
              </w:rPr>
              <w:t xml:space="preserve"> </w:t>
            </w:r>
            <w:r>
              <w:t xml:space="preserve"> </w:t>
            </w:r>
          </w:p>
          <w:p w:rsidR="00DA0D9C" w14:paraId="2E689CCC" w14:textId="77777777">
            <w:pPr>
              <w:spacing w:after="0" w:line="259" w:lineRule="auto"/>
              <w:ind w:left="0" w:right="7" w:firstLine="0"/>
              <w:jc w:val="center"/>
            </w:pPr>
            <w:r>
              <w:rPr>
                <w:b/>
                <w:sz w:val="16"/>
              </w:rPr>
              <w:t xml:space="preserve">(hours) </w:t>
            </w:r>
            <w:r>
              <w:t xml:space="preserve"> </w:t>
            </w:r>
          </w:p>
        </w:tc>
        <w:tc>
          <w:tcPr>
            <w:tcW w:w="1046" w:type="dxa"/>
            <w:tcBorders>
              <w:top w:val="single" w:sz="2" w:space="0" w:color="000000"/>
              <w:left w:val="single" w:sz="2" w:space="0" w:color="000000"/>
              <w:bottom w:val="single" w:sz="2" w:space="0" w:color="000000"/>
              <w:right w:val="single" w:sz="2" w:space="0" w:color="000000"/>
            </w:tcBorders>
          </w:tcPr>
          <w:p w:rsidR="00DA0D9C" w14:paraId="7E540E6E" w14:textId="77777777">
            <w:pPr>
              <w:spacing w:after="50" w:line="259" w:lineRule="auto"/>
              <w:ind w:left="0" w:right="5" w:firstLine="0"/>
              <w:jc w:val="center"/>
            </w:pPr>
            <w:r>
              <w:rPr>
                <w:b/>
                <w:sz w:val="16"/>
              </w:rPr>
              <w:t xml:space="preserve">Total Time </w:t>
            </w:r>
          </w:p>
          <w:p w:rsidR="00DA0D9C" w14:paraId="79BA875F" w14:textId="77777777">
            <w:pPr>
              <w:spacing w:after="0" w:line="259" w:lineRule="auto"/>
              <w:ind w:left="0" w:right="6" w:firstLine="0"/>
              <w:jc w:val="center"/>
            </w:pPr>
            <w:r>
              <w:rPr>
                <w:b/>
                <w:sz w:val="16"/>
              </w:rPr>
              <w:t xml:space="preserve">(hours) </w:t>
            </w:r>
            <w:r>
              <w:t xml:space="preserve"> </w:t>
            </w:r>
          </w:p>
        </w:tc>
        <w:tc>
          <w:tcPr>
            <w:tcW w:w="1142" w:type="dxa"/>
            <w:tcBorders>
              <w:top w:val="single" w:sz="2" w:space="0" w:color="000000"/>
              <w:left w:val="single" w:sz="2" w:space="0" w:color="000000"/>
              <w:bottom w:val="single" w:sz="2" w:space="0" w:color="000000"/>
              <w:right w:val="single" w:sz="2" w:space="0" w:color="000000"/>
            </w:tcBorders>
          </w:tcPr>
          <w:p w:rsidR="00DA0D9C" w14:paraId="03E839A2" w14:textId="77777777">
            <w:pPr>
              <w:spacing w:after="49" w:line="259" w:lineRule="auto"/>
              <w:ind w:left="0" w:right="2" w:firstLine="0"/>
              <w:jc w:val="center"/>
            </w:pPr>
            <w:r>
              <w:rPr>
                <w:b/>
                <w:sz w:val="16"/>
              </w:rPr>
              <w:t xml:space="preserve">Labor Cost </w:t>
            </w:r>
          </w:p>
          <w:p w:rsidR="00DA0D9C" w14:paraId="7EF7A189" w14:textId="77777777">
            <w:pPr>
              <w:spacing w:after="0" w:line="259" w:lineRule="auto"/>
              <w:ind w:left="0" w:right="2" w:firstLine="0"/>
              <w:jc w:val="center"/>
            </w:pPr>
            <w:r>
              <w:rPr>
                <w:b/>
                <w:sz w:val="16"/>
              </w:rPr>
              <w:t>($/</w:t>
            </w:r>
            <w:r>
              <w:rPr>
                <w:b/>
                <w:sz w:val="16"/>
              </w:rPr>
              <w:t>hr</w:t>
            </w:r>
            <w:r>
              <w:rPr>
                <w:b/>
                <w:sz w:val="16"/>
              </w:rPr>
              <w:t xml:space="preserve">) </w:t>
            </w:r>
            <w:r>
              <w:t xml:space="preserve"> </w:t>
            </w:r>
          </w:p>
        </w:tc>
        <w:tc>
          <w:tcPr>
            <w:tcW w:w="1020" w:type="dxa"/>
            <w:tcBorders>
              <w:top w:val="single" w:sz="2" w:space="0" w:color="000000"/>
              <w:left w:val="single" w:sz="2" w:space="0" w:color="000000"/>
              <w:bottom w:val="single" w:sz="2" w:space="0" w:color="000000"/>
              <w:right w:val="single" w:sz="2" w:space="0" w:color="000000"/>
            </w:tcBorders>
          </w:tcPr>
          <w:p w:rsidR="00DA0D9C" w14:paraId="7CFD12FB" w14:textId="77777777">
            <w:pPr>
              <w:spacing w:after="0" w:line="259" w:lineRule="auto"/>
              <w:ind w:left="36" w:right="0" w:firstLine="0"/>
              <w:jc w:val="both"/>
            </w:pPr>
            <w:r>
              <w:rPr>
                <w:b/>
                <w:sz w:val="16"/>
              </w:rPr>
              <w:t xml:space="preserve">Total Cost ($) </w:t>
            </w:r>
          </w:p>
        </w:tc>
      </w:tr>
      <w:tr w14:paraId="1B10A8F3" w14:textId="77777777">
        <w:tblPrEx>
          <w:tblW w:w="9862" w:type="dxa"/>
          <w:tblInd w:w="19" w:type="dxa"/>
          <w:tblCellMar>
            <w:top w:w="57" w:type="dxa"/>
            <w:left w:w="2" w:type="dxa"/>
          </w:tblCellMar>
          <w:tblLook w:val="04A0"/>
        </w:tblPrEx>
        <w:trPr>
          <w:trHeight w:val="833"/>
        </w:trPr>
        <w:tc>
          <w:tcPr>
            <w:tcW w:w="1154" w:type="dxa"/>
            <w:tcBorders>
              <w:top w:val="single" w:sz="2" w:space="0" w:color="000000"/>
              <w:left w:val="single" w:sz="2" w:space="0" w:color="000000"/>
              <w:bottom w:val="single" w:sz="2" w:space="0" w:color="000000"/>
              <w:right w:val="single" w:sz="2" w:space="0" w:color="000000"/>
            </w:tcBorders>
          </w:tcPr>
          <w:p w:rsidR="00DA0D9C" w14:paraId="656562BF" w14:textId="77777777">
            <w:pPr>
              <w:spacing w:after="0" w:line="259" w:lineRule="auto"/>
              <w:ind w:left="0" w:right="0" w:firstLine="0"/>
            </w:pPr>
            <w:r>
              <w:rPr>
                <w:sz w:val="16"/>
              </w:rPr>
              <w:t xml:space="preserve">Annual </w:t>
            </w:r>
            <w:r>
              <w:rPr>
                <w:sz w:val="16"/>
              </w:rPr>
              <w:t xml:space="preserve">MOC </w:t>
            </w:r>
            <w:r>
              <w:t xml:space="preserve"> </w:t>
            </w:r>
            <w:r>
              <w:rPr>
                <w:sz w:val="16"/>
              </w:rPr>
              <w:t>Submissions</w:t>
            </w:r>
            <w:r>
              <w:rPr>
                <w:sz w:val="16"/>
              </w:rPr>
              <w:t xml:space="preserve"> </w:t>
            </w:r>
            <w:r>
              <w:t xml:space="preserve"> </w:t>
            </w:r>
          </w:p>
        </w:tc>
        <w:tc>
          <w:tcPr>
            <w:tcW w:w="1097" w:type="dxa"/>
            <w:tcBorders>
              <w:top w:val="single" w:sz="2" w:space="0" w:color="000000"/>
              <w:left w:val="single" w:sz="2" w:space="0" w:color="000000"/>
              <w:bottom w:val="single" w:sz="2" w:space="0" w:color="000000"/>
              <w:right w:val="single" w:sz="2" w:space="0" w:color="000000"/>
            </w:tcBorders>
          </w:tcPr>
          <w:p w:rsidR="00DA0D9C" w14:paraId="7D8A2608" w14:textId="77777777">
            <w:pPr>
              <w:spacing w:after="0" w:line="259" w:lineRule="auto"/>
              <w:ind w:left="0" w:right="153" w:firstLine="0"/>
              <w:jc w:val="right"/>
            </w:pPr>
            <w:r>
              <w:rPr>
                <w:sz w:val="16"/>
              </w:rPr>
              <w:t xml:space="preserve">§ 422.101(f) </w:t>
            </w:r>
            <w:r>
              <w:t xml:space="preserve"> </w:t>
            </w:r>
          </w:p>
        </w:tc>
        <w:tc>
          <w:tcPr>
            <w:tcW w:w="1099" w:type="dxa"/>
            <w:tcBorders>
              <w:top w:val="single" w:sz="2" w:space="0" w:color="000000"/>
              <w:left w:val="single" w:sz="2" w:space="0" w:color="000000"/>
              <w:bottom w:val="single" w:sz="2" w:space="0" w:color="000000"/>
              <w:right w:val="single" w:sz="2" w:space="0" w:color="000000"/>
            </w:tcBorders>
          </w:tcPr>
          <w:p w:rsidR="00DA0D9C" w14:paraId="37E1E948" w14:textId="77777777">
            <w:pPr>
              <w:spacing w:after="0" w:line="259" w:lineRule="auto"/>
              <w:ind w:left="0" w:right="6" w:firstLine="0"/>
              <w:jc w:val="center"/>
            </w:pPr>
            <w:r>
              <w:rPr>
                <w:sz w:val="16"/>
              </w:rPr>
              <w:t xml:space="preserve">410 </w:t>
            </w:r>
            <w:r>
              <w:t xml:space="preserve"> </w:t>
            </w:r>
          </w:p>
        </w:tc>
        <w:tc>
          <w:tcPr>
            <w:tcW w:w="1154" w:type="dxa"/>
            <w:tcBorders>
              <w:top w:val="single" w:sz="2" w:space="0" w:color="000000"/>
              <w:left w:val="single" w:sz="2" w:space="0" w:color="000000"/>
              <w:bottom w:val="single" w:sz="2" w:space="0" w:color="000000"/>
              <w:right w:val="single" w:sz="2" w:space="0" w:color="000000"/>
            </w:tcBorders>
          </w:tcPr>
          <w:p w:rsidR="00DA0D9C" w14:paraId="70BF4A0B" w14:textId="77777777">
            <w:pPr>
              <w:spacing w:after="0" w:line="259" w:lineRule="auto"/>
              <w:ind w:left="0" w:right="16" w:firstLine="0"/>
              <w:jc w:val="center"/>
            </w:pPr>
            <w:r>
              <w:rPr>
                <w:sz w:val="16"/>
              </w:rPr>
              <w:t xml:space="preserve">1 </w:t>
            </w:r>
            <w:r>
              <w:t xml:space="preserve"> </w:t>
            </w:r>
          </w:p>
        </w:tc>
        <w:tc>
          <w:tcPr>
            <w:tcW w:w="1073" w:type="dxa"/>
            <w:tcBorders>
              <w:top w:val="single" w:sz="2" w:space="0" w:color="000000"/>
              <w:left w:val="single" w:sz="2" w:space="0" w:color="000000"/>
              <w:bottom w:val="single" w:sz="2" w:space="0" w:color="000000"/>
              <w:right w:val="single" w:sz="2" w:space="0" w:color="000000"/>
            </w:tcBorders>
          </w:tcPr>
          <w:p w:rsidR="00DA0D9C" w14:paraId="75886E7F" w14:textId="77777777">
            <w:pPr>
              <w:spacing w:after="0" w:line="259" w:lineRule="auto"/>
              <w:ind w:left="0" w:right="8" w:firstLine="0"/>
              <w:jc w:val="center"/>
            </w:pPr>
            <w:r>
              <w:rPr>
                <w:sz w:val="16"/>
              </w:rPr>
              <w:t xml:space="preserve">410 </w:t>
            </w:r>
            <w:r>
              <w:t xml:space="preserve"> </w:t>
            </w:r>
          </w:p>
        </w:tc>
        <w:tc>
          <w:tcPr>
            <w:tcW w:w="1075" w:type="dxa"/>
            <w:tcBorders>
              <w:top w:val="single" w:sz="2" w:space="0" w:color="000000"/>
              <w:left w:val="single" w:sz="2" w:space="0" w:color="000000"/>
              <w:bottom w:val="single" w:sz="2" w:space="0" w:color="000000"/>
              <w:right w:val="single" w:sz="2" w:space="0" w:color="000000"/>
            </w:tcBorders>
          </w:tcPr>
          <w:p w:rsidR="00DA0D9C" w14:paraId="0E03EA90" w14:textId="77777777">
            <w:pPr>
              <w:spacing w:after="0" w:line="259" w:lineRule="auto"/>
              <w:ind w:left="0" w:right="13" w:firstLine="0"/>
              <w:jc w:val="center"/>
            </w:pPr>
            <w:r>
              <w:rPr>
                <w:sz w:val="16"/>
              </w:rPr>
              <w:t xml:space="preserve">6 </w:t>
            </w:r>
            <w:r>
              <w:t xml:space="preserve"> </w:t>
            </w:r>
          </w:p>
        </w:tc>
        <w:tc>
          <w:tcPr>
            <w:tcW w:w="1046" w:type="dxa"/>
            <w:tcBorders>
              <w:top w:val="single" w:sz="2" w:space="0" w:color="000000"/>
              <w:left w:val="single" w:sz="2" w:space="0" w:color="000000"/>
              <w:bottom w:val="single" w:sz="2" w:space="0" w:color="000000"/>
              <w:right w:val="single" w:sz="2" w:space="0" w:color="000000"/>
            </w:tcBorders>
          </w:tcPr>
          <w:p w:rsidR="00DA0D9C" w14:paraId="474A437F" w14:textId="77777777">
            <w:pPr>
              <w:spacing w:after="0" w:line="259" w:lineRule="auto"/>
              <w:ind w:left="0" w:right="11" w:firstLine="0"/>
              <w:jc w:val="center"/>
            </w:pPr>
            <w:r>
              <w:rPr>
                <w:sz w:val="16"/>
              </w:rPr>
              <w:t xml:space="preserve">2,460 </w:t>
            </w:r>
            <w:r>
              <w:t xml:space="preserve"> </w:t>
            </w:r>
          </w:p>
        </w:tc>
        <w:tc>
          <w:tcPr>
            <w:tcW w:w="1142" w:type="dxa"/>
            <w:tcBorders>
              <w:top w:val="single" w:sz="2" w:space="0" w:color="000000"/>
              <w:left w:val="single" w:sz="2" w:space="0" w:color="000000"/>
              <w:bottom w:val="single" w:sz="2" w:space="0" w:color="000000"/>
              <w:right w:val="single" w:sz="2" w:space="0" w:color="000000"/>
            </w:tcBorders>
          </w:tcPr>
          <w:p w:rsidR="00DA0D9C" w14:paraId="070C26EC" w14:textId="77777777">
            <w:pPr>
              <w:spacing w:after="0" w:line="259" w:lineRule="auto"/>
              <w:ind w:left="0" w:right="6" w:firstLine="0"/>
              <w:jc w:val="center"/>
            </w:pPr>
            <w:r>
              <w:rPr>
                <w:sz w:val="16"/>
              </w:rPr>
              <w:t xml:space="preserve">90.94 </w:t>
            </w:r>
            <w:r>
              <w:t xml:space="preserve"> </w:t>
            </w:r>
          </w:p>
        </w:tc>
        <w:tc>
          <w:tcPr>
            <w:tcW w:w="1020" w:type="dxa"/>
            <w:tcBorders>
              <w:top w:val="single" w:sz="2" w:space="0" w:color="000000"/>
              <w:left w:val="single" w:sz="2" w:space="0" w:color="000000"/>
              <w:bottom w:val="single" w:sz="2" w:space="0" w:color="000000"/>
              <w:right w:val="single" w:sz="2" w:space="0" w:color="000000"/>
            </w:tcBorders>
          </w:tcPr>
          <w:p w:rsidR="00DA0D9C" w14:paraId="783DDFA8" w14:textId="77777777">
            <w:pPr>
              <w:spacing w:after="6" w:line="259" w:lineRule="auto"/>
              <w:ind w:left="0" w:right="6" w:firstLine="0"/>
              <w:jc w:val="center"/>
            </w:pPr>
            <w:r>
              <w:rPr>
                <w:sz w:val="16"/>
              </w:rPr>
              <w:t xml:space="preserve">223,712 </w:t>
            </w:r>
            <w:r>
              <w:t xml:space="preserve"> </w:t>
            </w:r>
          </w:p>
          <w:p w:rsidR="00DA0D9C" w14:paraId="78BA2B83" w14:textId="77777777">
            <w:pPr>
              <w:spacing w:after="26" w:line="259" w:lineRule="auto"/>
              <w:ind w:left="134" w:right="0" w:firstLine="0"/>
              <w:jc w:val="center"/>
            </w:pPr>
            <w:r>
              <w:rPr>
                <w:sz w:val="16"/>
              </w:rPr>
              <w:t xml:space="preserve"> </w:t>
            </w:r>
            <w:r>
              <w:t xml:space="preserve"> </w:t>
            </w:r>
          </w:p>
          <w:p w:rsidR="00DA0D9C" w14:paraId="1924279E" w14:textId="77777777">
            <w:pPr>
              <w:spacing w:after="0" w:line="259" w:lineRule="auto"/>
              <w:ind w:left="134" w:right="0" w:firstLine="0"/>
              <w:jc w:val="center"/>
            </w:pPr>
            <w:r>
              <w:rPr>
                <w:sz w:val="16"/>
              </w:rPr>
              <w:t xml:space="preserve"> </w:t>
            </w:r>
            <w:r>
              <w:t xml:space="preserve"> </w:t>
            </w:r>
          </w:p>
        </w:tc>
      </w:tr>
      <w:tr w14:paraId="42053018" w14:textId="77777777">
        <w:tblPrEx>
          <w:tblW w:w="9862" w:type="dxa"/>
          <w:tblInd w:w="19" w:type="dxa"/>
          <w:tblCellMar>
            <w:top w:w="57" w:type="dxa"/>
            <w:left w:w="2" w:type="dxa"/>
          </w:tblCellMar>
          <w:tblLook w:val="04A0"/>
        </w:tblPrEx>
        <w:trPr>
          <w:trHeight w:val="761"/>
        </w:trPr>
        <w:tc>
          <w:tcPr>
            <w:tcW w:w="1154" w:type="dxa"/>
            <w:tcBorders>
              <w:top w:val="single" w:sz="2" w:space="0" w:color="000000"/>
              <w:left w:val="single" w:sz="2" w:space="0" w:color="000000"/>
              <w:bottom w:val="single" w:sz="2" w:space="0" w:color="000000"/>
              <w:right w:val="single" w:sz="2" w:space="0" w:color="000000"/>
            </w:tcBorders>
          </w:tcPr>
          <w:p w:rsidR="00DA0D9C" w14:paraId="692E2FDE" w14:textId="77777777">
            <w:pPr>
              <w:spacing w:after="0" w:line="259" w:lineRule="auto"/>
              <w:ind w:left="0" w:right="0" w:firstLine="0"/>
            </w:pPr>
            <w:r>
              <w:rPr>
                <w:sz w:val="16"/>
              </w:rPr>
              <w:t xml:space="preserve">Annual MOC Resubmissions </w:t>
            </w:r>
            <w:r>
              <w:t xml:space="preserve"> </w:t>
            </w:r>
          </w:p>
        </w:tc>
        <w:tc>
          <w:tcPr>
            <w:tcW w:w="1097" w:type="dxa"/>
            <w:tcBorders>
              <w:top w:val="single" w:sz="2" w:space="0" w:color="000000"/>
              <w:left w:val="single" w:sz="2" w:space="0" w:color="000000"/>
              <w:bottom w:val="single" w:sz="2" w:space="0" w:color="000000"/>
              <w:right w:val="single" w:sz="2" w:space="0" w:color="000000"/>
            </w:tcBorders>
          </w:tcPr>
          <w:p w:rsidR="00DA0D9C" w14:paraId="2BEF3D54" w14:textId="77777777">
            <w:pPr>
              <w:spacing w:after="0" w:line="259" w:lineRule="auto"/>
              <w:ind w:left="0" w:right="153" w:firstLine="0"/>
              <w:jc w:val="right"/>
            </w:pPr>
            <w:r>
              <w:rPr>
                <w:sz w:val="16"/>
              </w:rPr>
              <w:t xml:space="preserve">§ 422.101(f) </w:t>
            </w:r>
            <w:r>
              <w:t xml:space="preserve"> </w:t>
            </w:r>
          </w:p>
        </w:tc>
        <w:tc>
          <w:tcPr>
            <w:tcW w:w="1099" w:type="dxa"/>
            <w:tcBorders>
              <w:top w:val="single" w:sz="2" w:space="0" w:color="000000"/>
              <w:left w:val="single" w:sz="2" w:space="0" w:color="000000"/>
              <w:bottom w:val="single" w:sz="2" w:space="0" w:color="000000"/>
              <w:right w:val="single" w:sz="2" w:space="0" w:color="000000"/>
            </w:tcBorders>
          </w:tcPr>
          <w:p w:rsidR="00DA0D9C" w14:paraId="141085A7" w14:textId="77777777">
            <w:pPr>
              <w:spacing w:after="0" w:line="259" w:lineRule="auto"/>
              <w:ind w:left="0" w:right="4" w:firstLine="0"/>
              <w:jc w:val="center"/>
            </w:pPr>
            <w:r>
              <w:rPr>
                <w:sz w:val="16"/>
              </w:rPr>
              <w:t xml:space="preserve">15 </w:t>
            </w:r>
            <w:r>
              <w:t xml:space="preserve"> </w:t>
            </w:r>
          </w:p>
        </w:tc>
        <w:tc>
          <w:tcPr>
            <w:tcW w:w="1154" w:type="dxa"/>
            <w:tcBorders>
              <w:top w:val="single" w:sz="2" w:space="0" w:color="000000"/>
              <w:left w:val="single" w:sz="2" w:space="0" w:color="000000"/>
              <w:bottom w:val="single" w:sz="2" w:space="0" w:color="000000"/>
              <w:right w:val="single" w:sz="2" w:space="0" w:color="000000"/>
            </w:tcBorders>
          </w:tcPr>
          <w:p w:rsidR="00DA0D9C" w14:paraId="58E40BBE" w14:textId="77777777">
            <w:pPr>
              <w:spacing w:after="0" w:line="259" w:lineRule="auto"/>
              <w:ind w:left="0" w:right="11" w:firstLine="0"/>
              <w:jc w:val="center"/>
            </w:pPr>
            <w:r>
              <w:rPr>
                <w:sz w:val="16"/>
              </w:rPr>
              <w:t xml:space="preserve">1 </w:t>
            </w:r>
            <w:r>
              <w:t xml:space="preserve"> </w:t>
            </w:r>
          </w:p>
        </w:tc>
        <w:tc>
          <w:tcPr>
            <w:tcW w:w="1073" w:type="dxa"/>
            <w:tcBorders>
              <w:top w:val="single" w:sz="2" w:space="0" w:color="000000"/>
              <w:left w:val="single" w:sz="2" w:space="0" w:color="000000"/>
              <w:bottom w:val="single" w:sz="2" w:space="0" w:color="000000"/>
              <w:right w:val="single" w:sz="2" w:space="0" w:color="000000"/>
            </w:tcBorders>
          </w:tcPr>
          <w:p w:rsidR="00DA0D9C" w14:paraId="3FA35B14" w14:textId="77777777">
            <w:pPr>
              <w:spacing w:after="0" w:line="259" w:lineRule="auto"/>
              <w:ind w:left="0" w:right="6" w:firstLine="0"/>
              <w:jc w:val="center"/>
            </w:pPr>
            <w:r>
              <w:rPr>
                <w:sz w:val="16"/>
              </w:rPr>
              <w:t xml:space="preserve">15 </w:t>
            </w:r>
            <w:r>
              <w:t xml:space="preserve"> </w:t>
            </w:r>
          </w:p>
        </w:tc>
        <w:tc>
          <w:tcPr>
            <w:tcW w:w="1075" w:type="dxa"/>
            <w:tcBorders>
              <w:top w:val="single" w:sz="2" w:space="0" w:color="000000"/>
              <w:left w:val="single" w:sz="2" w:space="0" w:color="000000"/>
              <w:bottom w:val="single" w:sz="2" w:space="0" w:color="000000"/>
              <w:right w:val="single" w:sz="2" w:space="0" w:color="000000"/>
            </w:tcBorders>
          </w:tcPr>
          <w:p w:rsidR="00DA0D9C" w14:paraId="78E9ED0C" w14:textId="77777777">
            <w:pPr>
              <w:spacing w:after="0" w:line="259" w:lineRule="auto"/>
              <w:ind w:left="0" w:right="8" w:firstLine="0"/>
              <w:jc w:val="center"/>
            </w:pPr>
            <w:r>
              <w:rPr>
                <w:sz w:val="16"/>
              </w:rPr>
              <w:t xml:space="preserve">3 </w:t>
            </w:r>
            <w:r>
              <w:t xml:space="preserve"> </w:t>
            </w:r>
          </w:p>
        </w:tc>
        <w:tc>
          <w:tcPr>
            <w:tcW w:w="1046" w:type="dxa"/>
            <w:tcBorders>
              <w:top w:val="single" w:sz="2" w:space="0" w:color="000000"/>
              <w:left w:val="single" w:sz="2" w:space="0" w:color="000000"/>
              <w:bottom w:val="single" w:sz="2" w:space="0" w:color="000000"/>
              <w:right w:val="single" w:sz="2" w:space="0" w:color="000000"/>
            </w:tcBorders>
          </w:tcPr>
          <w:p w:rsidR="00DA0D9C" w14:paraId="4137DCF2" w14:textId="77777777">
            <w:pPr>
              <w:spacing w:after="0" w:line="259" w:lineRule="auto"/>
              <w:ind w:left="0" w:right="8" w:firstLine="0"/>
              <w:jc w:val="center"/>
            </w:pPr>
            <w:r>
              <w:rPr>
                <w:sz w:val="16"/>
              </w:rPr>
              <w:t xml:space="preserve">45 </w:t>
            </w:r>
            <w:r>
              <w:t xml:space="preserve"> </w:t>
            </w:r>
          </w:p>
        </w:tc>
        <w:tc>
          <w:tcPr>
            <w:tcW w:w="1142" w:type="dxa"/>
            <w:tcBorders>
              <w:top w:val="single" w:sz="2" w:space="0" w:color="000000"/>
              <w:left w:val="single" w:sz="2" w:space="0" w:color="000000"/>
              <w:bottom w:val="single" w:sz="2" w:space="0" w:color="000000"/>
              <w:right w:val="single" w:sz="2" w:space="0" w:color="000000"/>
            </w:tcBorders>
          </w:tcPr>
          <w:p w:rsidR="00DA0D9C" w14:paraId="172405DC" w14:textId="77777777">
            <w:pPr>
              <w:spacing w:after="0" w:line="259" w:lineRule="auto"/>
              <w:ind w:left="0" w:right="6" w:firstLine="0"/>
              <w:jc w:val="center"/>
            </w:pPr>
            <w:r>
              <w:rPr>
                <w:sz w:val="16"/>
              </w:rPr>
              <w:t xml:space="preserve">90.94 </w:t>
            </w:r>
            <w:r>
              <w:t xml:space="preserve"> </w:t>
            </w:r>
          </w:p>
        </w:tc>
        <w:tc>
          <w:tcPr>
            <w:tcW w:w="1020" w:type="dxa"/>
            <w:tcBorders>
              <w:top w:val="single" w:sz="2" w:space="0" w:color="000000"/>
              <w:left w:val="single" w:sz="2" w:space="0" w:color="000000"/>
              <w:bottom w:val="single" w:sz="2" w:space="0" w:color="000000"/>
              <w:right w:val="single" w:sz="2" w:space="0" w:color="000000"/>
            </w:tcBorders>
          </w:tcPr>
          <w:p w:rsidR="00DA0D9C" w14:paraId="5C018982" w14:textId="77777777">
            <w:pPr>
              <w:spacing w:after="0" w:line="259" w:lineRule="auto"/>
              <w:ind w:left="0" w:right="8" w:firstLine="0"/>
              <w:jc w:val="center"/>
            </w:pPr>
            <w:r>
              <w:rPr>
                <w:sz w:val="16"/>
              </w:rPr>
              <w:t xml:space="preserve">4,092 </w:t>
            </w:r>
            <w:r>
              <w:t xml:space="preserve"> </w:t>
            </w:r>
          </w:p>
        </w:tc>
      </w:tr>
      <w:tr w14:paraId="383F4EF2" w14:textId="77777777">
        <w:tblPrEx>
          <w:tblW w:w="9862" w:type="dxa"/>
          <w:tblInd w:w="19" w:type="dxa"/>
          <w:tblCellMar>
            <w:top w:w="57" w:type="dxa"/>
            <w:left w:w="2" w:type="dxa"/>
          </w:tblCellMar>
          <w:tblLook w:val="04A0"/>
        </w:tblPrEx>
        <w:trPr>
          <w:trHeight w:val="835"/>
        </w:trPr>
        <w:tc>
          <w:tcPr>
            <w:tcW w:w="1154" w:type="dxa"/>
            <w:tcBorders>
              <w:top w:val="single" w:sz="2" w:space="0" w:color="000000"/>
              <w:left w:val="single" w:sz="2" w:space="0" w:color="000000"/>
              <w:bottom w:val="single" w:sz="2" w:space="0" w:color="000000"/>
              <w:right w:val="single" w:sz="2" w:space="0" w:color="000000"/>
            </w:tcBorders>
          </w:tcPr>
          <w:p w:rsidR="00DA0D9C" w14:paraId="5C12E9D3" w14:textId="77777777">
            <w:pPr>
              <w:spacing w:after="0" w:line="259" w:lineRule="auto"/>
              <w:ind w:left="0" w:right="0" w:firstLine="0"/>
            </w:pPr>
            <w:r>
              <w:rPr>
                <w:i/>
                <w:sz w:val="16"/>
              </w:rPr>
              <w:t xml:space="preserve">Subtotal: Initial and Renewal Submission  </w:t>
            </w:r>
            <w:r>
              <w:t xml:space="preserve"> </w:t>
            </w:r>
          </w:p>
        </w:tc>
        <w:tc>
          <w:tcPr>
            <w:tcW w:w="1097" w:type="dxa"/>
            <w:tcBorders>
              <w:top w:val="single" w:sz="2" w:space="0" w:color="000000"/>
              <w:left w:val="single" w:sz="2" w:space="0" w:color="000000"/>
              <w:bottom w:val="single" w:sz="2" w:space="0" w:color="000000"/>
              <w:right w:val="single" w:sz="2" w:space="0" w:color="000000"/>
            </w:tcBorders>
          </w:tcPr>
          <w:p w:rsidR="00DA0D9C" w14:paraId="5CA12D13" w14:textId="77777777">
            <w:pPr>
              <w:spacing w:after="0" w:line="259" w:lineRule="auto"/>
              <w:ind w:left="0" w:right="153" w:firstLine="0"/>
              <w:jc w:val="right"/>
            </w:pPr>
            <w:r>
              <w:rPr>
                <w:sz w:val="16"/>
              </w:rPr>
              <w:t>§ 422.101(f)</w:t>
            </w:r>
            <w:r>
              <w:rPr>
                <w:i/>
                <w:sz w:val="16"/>
              </w:rPr>
              <w:t xml:space="preserve"> </w:t>
            </w:r>
            <w:r>
              <w:t xml:space="preserve"> </w:t>
            </w:r>
          </w:p>
        </w:tc>
        <w:tc>
          <w:tcPr>
            <w:tcW w:w="1099" w:type="dxa"/>
            <w:tcBorders>
              <w:top w:val="single" w:sz="2" w:space="0" w:color="000000"/>
              <w:left w:val="single" w:sz="2" w:space="0" w:color="000000"/>
              <w:bottom w:val="single" w:sz="2" w:space="0" w:color="000000"/>
              <w:right w:val="single" w:sz="2" w:space="0" w:color="000000"/>
            </w:tcBorders>
          </w:tcPr>
          <w:p w:rsidR="00DA0D9C" w14:paraId="2E4B218C" w14:textId="77777777">
            <w:pPr>
              <w:spacing w:after="0" w:line="259" w:lineRule="auto"/>
              <w:ind w:left="0" w:right="6" w:firstLine="0"/>
              <w:jc w:val="center"/>
            </w:pPr>
            <w:r>
              <w:rPr>
                <w:sz w:val="16"/>
              </w:rPr>
              <w:t xml:space="preserve">425 </w:t>
            </w:r>
            <w:r>
              <w:t xml:space="preserve"> </w:t>
            </w:r>
          </w:p>
        </w:tc>
        <w:tc>
          <w:tcPr>
            <w:tcW w:w="1154" w:type="dxa"/>
            <w:tcBorders>
              <w:top w:val="single" w:sz="2" w:space="0" w:color="000000"/>
              <w:left w:val="single" w:sz="2" w:space="0" w:color="000000"/>
              <w:bottom w:val="single" w:sz="2" w:space="0" w:color="000000"/>
              <w:right w:val="single" w:sz="2" w:space="0" w:color="000000"/>
            </w:tcBorders>
          </w:tcPr>
          <w:p w:rsidR="00DA0D9C" w14:paraId="1352C411" w14:textId="77777777">
            <w:pPr>
              <w:spacing w:after="0" w:line="259" w:lineRule="auto"/>
              <w:ind w:left="0" w:right="16" w:firstLine="0"/>
              <w:jc w:val="center"/>
            </w:pPr>
            <w:r>
              <w:rPr>
                <w:i/>
                <w:sz w:val="16"/>
              </w:rPr>
              <w:t xml:space="preserve">2 </w:t>
            </w:r>
            <w:r>
              <w:t xml:space="preserve"> </w:t>
            </w:r>
          </w:p>
        </w:tc>
        <w:tc>
          <w:tcPr>
            <w:tcW w:w="1073" w:type="dxa"/>
            <w:tcBorders>
              <w:top w:val="single" w:sz="2" w:space="0" w:color="000000"/>
              <w:left w:val="single" w:sz="2" w:space="0" w:color="000000"/>
              <w:bottom w:val="single" w:sz="2" w:space="0" w:color="000000"/>
              <w:right w:val="single" w:sz="2" w:space="0" w:color="000000"/>
            </w:tcBorders>
          </w:tcPr>
          <w:p w:rsidR="00DA0D9C" w14:paraId="6938693C" w14:textId="77777777">
            <w:pPr>
              <w:spacing w:after="0" w:line="259" w:lineRule="auto"/>
              <w:ind w:left="0" w:right="8" w:firstLine="0"/>
              <w:jc w:val="center"/>
            </w:pPr>
            <w:r>
              <w:rPr>
                <w:i/>
                <w:sz w:val="16"/>
              </w:rPr>
              <w:t xml:space="preserve">425 </w:t>
            </w:r>
            <w:r>
              <w:t xml:space="preserve"> </w:t>
            </w:r>
          </w:p>
        </w:tc>
        <w:tc>
          <w:tcPr>
            <w:tcW w:w="1075" w:type="dxa"/>
            <w:tcBorders>
              <w:top w:val="single" w:sz="2" w:space="0" w:color="000000"/>
              <w:left w:val="single" w:sz="2" w:space="0" w:color="000000"/>
              <w:bottom w:val="single" w:sz="2" w:space="0" w:color="000000"/>
              <w:right w:val="single" w:sz="2" w:space="0" w:color="000000"/>
            </w:tcBorders>
          </w:tcPr>
          <w:p w:rsidR="00DA0D9C" w14:paraId="342A1151" w14:textId="77777777">
            <w:pPr>
              <w:spacing w:after="0" w:line="259" w:lineRule="auto"/>
              <w:ind w:left="0" w:right="17" w:firstLine="0"/>
              <w:jc w:val="center"/>
            </w:pPr>
            <w:r>
              <w:rPr>
                <w:i/>
                <w:sz w:val="16"/>
              </w:rPr>
              <w:t xml:space="preserve">varies </w:t>
            </w:r>
            <w:r>
              <w:t xml:space="preserve"> </w:t>
            </w:r>
          </w:p>
        </w:tc>
        <w:tc>
          <w:tcPr>
            <w:tcW w:w="1046" w:type="dxa"/>
            <w:tcBorders>
              <w:top w:val="single" w:sz="2" w:space="0" w:color="000000"/>
              <w:left w:val="single" w:sz="2" w:space="0" w:color="000000"/>
              <w:bottom w:val="single" w:sz="2" w:space="0" w:color="000000"/>
              <w:right w:val="single" w:sz="2" w:space="0" w:color="000000"/>
            </w:tcBorders>
          </w:tcPr>
          <w:p w:rsidR="00DA0D9C" w14:paraId="4CE72731" w14:textId="77777777">
            <w:pPr>
              <w:spacing w:after="0" w:line="259" w:lineRule="auto"/>
              <w:ind w:left="0" w:right="13" w:firstLine="0"/>
              <w:jc w:val="center"/>
            </w:pPr>
            <w:r>
              <w:rPr>
                <w:i/>
                <w:sz w:val="16"/>
              </w:rPr>
              <w:t xml:space="preserve">2505 </w:t>
            </w:r>
            <w:r>
              <w:t xml:space="preserve"> </w:t>
            </w:r>
          </w:p>
        </w:tc>
        <w:tc>
          <w:tcPr>
            <w:tcW w:w="1142" w:type="dxa"/>
            <w:tcBorders>
              <w:top w:val="single" w:sz="2" w:space="0" w:color="000000"/>
              <w:left w:val="single" w:sz="2" w:space="0" w:color="000000"/>
              <w:bottom w:val="single" w:sz="2" w:space="0" w:color="000000"/>
              <w:right w:val="single" w:sz="2" w:space="0" w:color="000000"/>
            </w:tcBorders>
          </w:tcPr>
          <w:p w:rsidR="00DA0D9C" w14:paraId="5AD769AD" w14:textId="77777777">
            <w:pPr>
              <w:spacing w:after="0" w:line="259" w:lineRule="auto"/>
              <w:ind w:left="0" w:right="6" w:firstLine="0"/>
              <w:jc w:val="center"/>
            </w:pPr>
            <w:r>
              <w:rPr>
                <w:sz w:val="16"/>
              </w:rPr>
              <w:t>90.94</w:t>
            </w:r>
            <w:r>
              <w:rPr>
                <w:i/>
                <w:sz w:val="16"/>
              </w:rPr>
              <w:t xml:space="preserve"> </w:t>
            </w:r>
            <w:r>
              <w:t xml:space="preserve"> </w:t>
            </w:r>
          </w:p>
        </w:tc>
        <w:tc>
          <w:tcPr>
            <w:tcW w:w="1020" w:type="dxa"/>
            <w:tcBorders>
              <w:top w:val="single" w:sz="2" w:space="0" w:color="000000"/>
              <w:left w:val="single" w:sz="2" w:space="0" w:color="000000"/>
              <w:bottom w:val="single" w:sz="2" w:space="0" w:color="000000"/>
              <w:right w:val="single" w:sz="2" w:space="0" w:color="000000"/>
            </w:tcBorders>
          </w:tcPr>
          <w:p w:rsidR="00DA0D9C" w14:paraId="14FDFAC0" w14:textId="77777777">
            <w:pPr>
              <w:spacing w:after="8" w:line="259" w:lineRule="auto"/>
              <w:ind w:left="0" w:right="6" w:firstLine="0"/>
              <w:jc w:val="center"/>
            </w:pPr>
            <w:r>
              <w:rPr>
                <w:i/>
                <w:sz w:val="16"/>
              </w:rPr>
              <w:t xml:space="preserve">239,120 </w:t>
            </w:r>
            <w:r>
              <w:t xml:space="preserve"> </w:t>
            </w:r>
          </w:p>
          <w:p w:rsidR="00DA0D9C" w14:paraId="6E89569D" w14:textId="77777777">
            <w:pPr>
              <w:spacing w:after="36" w:line="259" w:lineRule="auto"/>
              <w:ind w:left="134" w:right="0" w:firstLine="0"/>
              <w:jc w:val="center"/>
            </w:pPr>
            <w:r>
              <w:rPr>
                <w:i/>
                <w:sz w:val="16"/>
              </w:rPr>
              <w:t xml:space="preserve"> </w:t>
            </w:r>
            <w:r>
              <w:t xml:space="preserve"> </w:t>
            </w:r>
          </w:p>
          <w:p w:rsidR="00DA0D9C" w14:paraId="25CCAE16" w14:textId="77777777">
            <w:pPr>
              <w:spacing w:after="0" w:line="259" w:lineRule="auto"/>
              <w:ind w:left="211" w:right="0" w:firstLine="0"/>
              <w:jc w:val="center"/>
            </w:pPr>
            <w:r>
              <w:rPr>
                <w:i/>
                <w:sz w:val="16"/>
              </w:rPr>
              <w:t xml:space="preserve">  </w:t>
            </w:r>
            <w:r>
              <w:t xml:space="preserve"> </w:t>
            </w:r>
          </w:p>
        </w:tc>
      </w:tr>
      <w:tr w14:paraId="12B61E46" w14:textId="77777777">
        <w:tblPrEx>
          <w:tblW w:w="9862" w:type="dxa"/>
          <w:tblInd w:w="19" w:type="dxa"/>
          <w:tblCellMar>
            <w:top w:w="57" w:type="dxa"/>
            <w:left w:w="2" w:type="dxa"/>
          </w:tblCellMar>
          <w:tblLook w:val="04A0"/>
        </w:tblPrEx>
        <w:trPr>
          <w:trHeight w:val="758"/>
        </w:trPr>
        <w:tc>
          <w:tcPr>
            <w:tcW w:w="1154" w:type="dxa"/>
            <w:tcBorders>
              <w:top w:val="single" w:sz="2" w:space="0" w:color="000000"/>
              <w:left w:val="single" w:sz="2" w:space="0" w:color="000000"/>
              <w:bottom w:val="single" w:sz="2" w:space="0" w:color="000000"/>
              <w:right w:val="single" w:sz="2" w:space="0" w:color="000000"/>
            </w:tcBorders>
          </w:tcPr>
          <w:p w:rsidR="00DA0D9C" w14:paraId="6FC4624B" w14:textId="77777777">
            <w:pPr>
              <w:spacing w:after="0" w:line="259" w:lineRule="auto"/>
              <w:ind w:left="0" w:right="0" w:firstLine="0"/>
            </w:pPr>
            <w:r>
              <w:rPr>
                <w:sz w:val="16"/>
              </w:rPr>
              <w:t xml:space="preserve">Off-Cycle </w:t>
            </w:r>
            <w:r>
              <w:t xml:space="preserve"> </w:t>
            </w:r>
          </w:p>
          <w:p w:rsidR="00DA0D9C" w14:paraId="5BFBC2EB" w14:textId="77777777">
            <w:pPr>
              <w:spacing w:after="0" w:line="259" w:lineRule="auto"/>
              <w:ind w:left="0" w:right="0" w:firstLine="0"/>
            </w:pPr>
            <w:r>
              <w:rPr>
                <w:sz w:val="16"/>
              </w:rPr>
              <w:t xml:space="preserve">Submissions  </w:t>
            </w:r>
            <w:r>
              <w:t xml:space="preserve"> </w:t>
            </w:r>
          </w:p>
        </w:tc>
        <w:tc>
          <w:tcPr>
            <w:tcW w:w="1097" w:type="dxa"/>
            <w:tcBorders>
              <w:top w:val="single" w:sz="2" w:space="0" w:color="000000"/>
              <w:left w:val="single" w:sz="2" w:space="0" w:color="000000"/>
              <w:bottom w:val="single" w:sz="2" w:space="0" w:color="000000"/>
              <w:right w:val="single" w:sz="2" w:space="0" w:color="000000"/>
            </w:tcBorders>
          </w:tcPr>
          <w:p w:rsidR="00DA0D9C" w14:paraId="64718BF5" w14:textId="77777777">
            <w:pPr>
              <w:spacing w:after="0" w:line="259" w:lineRule="auto"/>
              <w:ind w:left="0" w:right="153" w:firstLine="0"/>
              <w:jc w:val="right"/>
            </w:pPr>
            <w:r>
              <w:rPr>
                <w:sz w:val="16"/>
              </w:rPr>
              <w:t xml:space="preserve">§ 422.101(f) </w:t>
            </w:r>
            <w:r>
              <w:t xml:space="preserve"> </w:t>
            </w:r>
          </w:p>
        </w:tc>
        <w:tc>
          <w:tcPr>
            <w:tcW w:w="1099" w:type="dxa"/>
            <w:tcBorders>
              <w:top w:val="single" w:sz="2" w:space="0" w:color="000000"/>
              <w:left w:val="single" w:sz="2" w:space="0" w:color="000000"/>
              <w:bottom w:val="single" w:sz="2" w:space="0" w:color="000000"/>
              <w:right w:val="single" w:sz="2" w:space="0" w:color="000000"/>
            </w:tcBorders>
          </w:tcPr>
          <w:p w:rsidR="00DA0D9C" w14:paraId="731326FE" w14:textId="77777777">
            <w:pPr>
              <w:spacing w:after="0" w:line="259" w:lineRule="auto"/>
              <w:ind w:left="0" w:right="6" w:firstLine="0"/>
              <w:jc w:val="center"/>
            </w:pPr>
            <w:r>
              <w:rPr>
                <w:sz w:val="16"/>
              </w:rPr>
              <w:t xml:space="preserve">150 </w:t>
            </w:r>
            <w:r>
              <w:t xml:space="preserve"> </w:t>
            </w:r>
          </w:p>
        </w:tc>
        <w:tc>
          <w:tcPr>
            <w:tcW w:w="1154" w:type="dxa"/>
            <w:tcBorders>
              <w:top w:val="single" w:sz="2" w:space="0" w:color="000000"/>
              <w:left w:val="single" w:sz="2" w:space="0" w:color="000000"/>
              <w:bottom w:val="single" w:sz="2" w:space="0" w:color="000000"/>
              <w:right w:val="single" w:sz="2" w:space="0" w:color="000000"/>
            </w:tcBorders>
          </w:tcPr>
          <w:p w:rsidR="00DA0D9C" w14:paraId="40CBDB2E" w14:textId="77777777">
            <w:pPr>
              <w:spacing w:after="0" w:line="259" w:lineRule="auto"/>
              <w:ind w:left="0" w:right="16" w:firstLine="0"/>
              <w:jc w:val="center"/>
            </w:pPr>
            <w:r>
              <w:rPr>
                <w:sz w:val="16"/>
              </w:rPr>
              <w:t xml:space="preserve">1 </w:t>
            </w:r>
            <w:r>
              <w:t xml:space="preserve"> </w:t>
            </w:r>
          </w:p>
        </w:tc>
        <w:tc>
          <w:tcPr>
            <w:tcW w:w="1073" w:type="dxa"/>
            <w:tcBorders>
              <w:top w:val="single" w:sz="2" w:space="0" w:color="000000"/>
              <w:left w:val="single" w:sz="2" w:space="0" w:color="000000"/>
              <w:bottom w:val="single" w:sz="2" w:space="0" w:color="000000"/>
              <w:right w:val="single" w:sz="2" w:space="0" w:color="000000"/>
            </w:tcBorders>
          </w:tcPr>
          <w:p w:rsidR="00DA0D9C" w14:paraId="67A445C1" w14:textId="77777777">
            <w:pPr>
              <w:spacing w:after="0" w:line="259" w:lineRule="auto"/>
              <w:ind w:left="0" w:right="8" w:firstLine="0"/>
              <w:jc w:val="center"/>
            </w:pPr>
            <w:r>
              <w:rPr>
                <w:sz w:val="16"/>
              </w:rPr>
              <w:t xml:space="preserve">150 </w:t>
            </w:r>
            <w:r>
              <w:t xml:space="preserve"> </w:t>
            </w:r>
          </w:p>
        </w:tc>
        <w:tc>
          <w:tcPr>
            <w:tcW w:w="1075" w:type="dxa"/>
            <w:tcBorders>
              <w:top w:val="single" w:sz="2" w:space="0" w:color="000000"/>
              <w:left w:val="single" w:sz="2" w:space="0" w:color="000000"/>
              <w:bottom w:val="single" w:sz="2" w:space="0" w:color="000000"/>
              <w:right w:val="single" w:sz="2" w:space="0" w:color="000000"/>
            </w:tcBorders>
          </w:tcPr>
          <w:p w:rsidR="00DA0D9C" w14:paraId="2414F959" w14:textId="77777777">
            <w:pPr>
              <w:spacing w:after="0" w:line="259" w:lineRule="auto"/>
              <w:ind w:left="0" w:right="13" w:firstLine="0"/>
              <w:jc w:val="center"/>
            </w:pPr>
            <w:r>
              <w:rPr>
                <w:sz w:val="16"/>
              </w:rPr>
              <w:t xml:space="preserve">4 </w:t>
            </w:r>
            <w:r>
              <w:t xml:space="preserve"> </w:t>
            </w:r>
          </w:p>
        </w:tc>
        <w:tc>
          <w:tcPr>
            <w:tcW w:w="1046" w:type="dxa"/>
            <w:tcBorders>
              <w:top w:val="single" w:sz="2" w:space="0" w:color="000000"/>
              <w:left w:val="single" w:sz="2" w:space="0" w:color="000000"/>
              <w:bottom w:val="single" w:sz="2" w:space="0" w:color="000000"/>
              <w:right w:val="single" w:sz="2" w:space="0" w:color="000000"/>
            </w:tcBorders>
          </w:tcPr>
          <w:p w:rsidR="00DA0D9C" w14:paraId="53AE84F3" w14:textId="77777777">
            <w:pPr>
              <w:spacing w:after="0" w:line="259" w:lineRule="auto"/>
              <w:ind w:left="0" w:right="11" w:firstLine="0"/>
              <w:jc w:val="center"/>
            </w:pPr>
            <w:r>
              <w:rPr>
                <w:sz w:val="16"/>
              </w:rPr>
              <w:t xml:space="preserve">600 </w:t>
            </w:r>
            <w:r>
              <w:t xml:space="preserve"> </w:t>
            </w:r>
          </w:p>
        </w:tc>
        <w:tc>
          <w:tcPr>
            <w:tcW w:w="1142" w:type="dxa"/>
            <w:tcBorders>
              <w:top w:val="single" w:sz="2" w:space="0" w:color="000000"/>
              <w:left w:val="single" w:sz="2" w:space="0" w:color="000000"/>
              <w:bottom w:val="single" w:sz="2" w:space="0" w:color="000000"/>
              <w:right w:val="single" w:sz="2" w:space="0" w:color="000000"/>
            </w:tcBorders>
          </w:tcPr>
          <w:p w:rsidR="00DA0D9C" w14:paraId="692F5244" w14:textId="77777777">
            <w:pPr>
              <w:spacing w:after="0" w:line="259" w:lineRule="auto"/>
              <w:ind w:left="0" w:right="6" w:firstLine="0"/>
              <w:jc w:val="center"/>
            </w:pPr>
            <w:r>
              <w:rPr>
                <w:sz w:val="16"/>
              </w:rPr>
              <w:t xml:space="preserve">90.94 </w:t>
            </w:r>
            <w:r>
              <w:t xml:space="preserve"> </w:t>
            </w:r>
          </w:p>
        </w:tc>
        <w:tc>
          <w:tcPr>
            <w:tcW w:w="1020" w:type="dxa"/>
            <w:tcBorders>
              <w:top w:val="single" w:sz="2" w:space="0" w:color="000000"/>
              <w:left w:val="single" w:sz="2" w:space="0" w:color="000000"/>
              <w:bottom w:val="single" w:sz="2" w:space="0" w:color="000000"/>
              <w:right w:val="single" w:sz="2" w:space="0" w:color="000000"/>
            </w:tcBorders>
          </w:tcPr>
          <w:p w:rsidR="00DA0D9C" w14:paraId="5773DB6F" w14:textId="77777777">
            <w:pPr>
              <w:spacing w:after="0" w:line="259" w:lineRule="auto"/>
              <w:ind w:left="0" w:right="11" w:firstLine="0"/>
              <w:jc w:val="center"/>
            </w:pPr>
            <w:r>
              <w:rPr>
                <w:sz w:val="16"/>
              </w:rPr>
              <w:t xml:space="preserve">54,564 </w:t>
            </w:r>
            <w:r>
              <w:t xml:space="preserve"> </w:t>
            </w:r>
          </w:p>
        </w:tc>
      </w:tr>
      <w:tr w14:paraId="4D3067D0" w14:textId="77777777">
        <w:tblPrEx>
          <w:tblW w:w="9862" w:type="dxa"/>
          <w:tblInd w:w="19" w:type="dxa"/>
          <w:tblCellMar>
            <w:top w:w="57" w:type="dxa"/>
            <w:left w:w="2" w:type="dxa"/>
          </w:tblCellMar>
          <w:tblLook w:val="04A0"/>
        </w:tblPrEx>
        <w:trPr>
          <w:trHeight w:val="763"/>
        </w:trPr>
        <w:tc>
          <w:tcPr>
            <w:tcW w:w="1154" w:type="dxa"/>
            <w:tcBorders>
              <w:top w:val="single" w:sz="2" w:space="0" w:color="000000"/>
              <w:left w:val="single" w:sz="2" w:space="0" w:color="000000"/>
              <w:bottom w:val="single" w:sz="2" w:space="0" w:color="000000"/>
              <w:right w:val="single" w:sz="2" w:space="0" w:color="000000"/>
            </w:tcBorders>
          </w:tcPr>
          <w:p w:rsidR="00DA0D9C" w14:paraId="6FB41AF3" w14:textId="77777777">
            <w:pPr>
              <w:spacing w:after="3" w:line="216" w:lineRule="auto"/>
              <w:ind w:left="0" w:right="0" w:firstLine="0"/>
              <w:jc w:val="both"/>
            </w:pPr>
            <w:r>
              <w:rPr>
                <w:sz w:val="16"/>
              </w:rPr>
              <w:t>Track Face-</w:t>
            </w:r>
            <w:r>
              <w:rPr>
                <w:sz w:val="16"/>
              </w:rPr>
              <w:t>toFace</w:t>
            </w:r>
            <w:r>
              <w:rPr>
                <w:sz w:val="16"/>
              </w:rPr>
              <w:t xml:space="preserve"> Encounters </w:t>
            </w:r>
            <w:r>
              <w:t xml:space="preserve"> </w:t>
            </w:r>
          </w:p>
          <w:p w:rsidR="00DA0D9C" w14:paraId="6B7ACCF8" w14:textId="77777777">
            <w:pPr>
              <w:spacing w:after="0" w:line="259" w:lineRule="auto"/>
              <w:ind w:left="0" w:right="0" w:firstLine="0"/>
            </w:pPr>
            <w:r>
              <w:rPr>
                <w:sz w:val="16"/>
              </w:rPr>
              <w:t xml:space="preserve">(all SNP types) </w:t>
            </w:r>
            <w:r>
              <w:t xml:space="preserve"> </w:t>
            </w:r>
          </w:p>
        </w:tc>
        <w:tc>
          <w:tcPr>
            <w:tcW w:w="1097" w:type="dxa"/>
            <w:tcBorders>
              <w:top w:val="single" w:sz="2" w:space="0" w:color="000000"/>
              <w:left w:val="single" w:sz="2" w:space="0" w:color="000000"/>
              <w:bottom w:val="single" w:sz="2" w:space="0" w:color="000000"/>
              <w:right w:val="single" w:sz="2" w:space="0" w:color="000000"/>
            </w:tcBorders>
          </w:tcPr>
          <w:p w:rsidR="00DA0D9C" w14:paraId="61162720" w14:textId="77777777">
            <w:pPr>
              <w:spacing w:after="0" w:line="259" w:lineRule="auto"/>
              <w:ind w:left="0" w:right="8" w:firstLine="0"/>
              <w:jc w:val="center"/>
            </w:pPr>
            <w:r>
              <w:rPr>
                <w:sz w:val="16"/>
              </w:rPr>
              <w:t xml:space="preserve">§422.101 </w:t>
            </w:r>
            <w:r>
              <w:t xml:space="preserve"> </w:t>
            </w:r>
          </w:p>
          <w:p w:rsidR="00DA0D9C" w14:paraId="29E7D928" w14:textId="77777777">
            <w:pPr>
              <w:spacing w:after="0" w:line="259" w:lineRule="auto"/>
              <w:ind w:left="0" w:right="12" w:firstLine="0"/>
              <w:jc w:val="center"/>
            </w:pPr>
            <w:r>
              <w:rPr>
                <w:sz w:val="16"/>
              </w:rPr>
              <w:t xml:space="preserve">(f)(1)(iv) </w:t>
            </w:r>
            <w:r>
              <w:t xml:space="preserve"> </w:t>
            </w:r>
          </w:p>
        </w:tc>
        <w:tc>
          <w:tcPr>
            <w:tcW w:w="1099" w:type="dxa"/>
            <w:tcBorders>
              <w:top w:val="single" w:sz="2" w:space="0" w:color="000000"/>
              <w:left w:val="single" w:sz="2" w:space="0" w:color="000000"/>
              <w:bottom w:val="single" w:sz="2" w:space="0" w:color="000000"/>
              <w:right w:val="single" w:sz="2" w:space="0" w:color="000000"/>
            </w:tcBorders>
          </w:tcPr>
          <w:p w:rsidR="00DA0D9C" w14:paraId="3E82A7E7" w14:textId="77777777">
            <w:pPr>
              <w:spacing w:after="0" w:line="259" w:lineRule="auto"/>
              <w:ind w:left="0" w:right="4" w:firstLine="0"/>
              <w:jc w:val="center"/>
            </w:pPr>
            <w:r>
              <w:rPr>
                <w:sz w:val="16"/>
              </w:rPr>
              <w:t xml:space="preserve">1340 </w:t>
            </w:r>
            <w:r>
              <w:t xml:space="preserve"> </w:t>
            </w:r>
          </w:p>
        </w:tc>
        <w:tc>
          <w:tcPr>
            <w:tcW w:w="1154" w:type="dxa"/>
            <w:tcBorders>
              <w:top w:val="single" w:sz="2" w:space="0" w:color="000000"/>
              <w:left w:val="single" w:sz="2" w:space="0" w:color="000000"/>
              <w:bottom w:val="single" w:sz="2" w:space="0" w:color="000000"/>
              <w:right w:val="single" w:sz="2" w:space="0" w:color="000000"/>
            </w:tcBorders>
          </w:tcPr>
          <w:p w:rsidR="00DA0D9C" w14:paraId="357010A0" w14:textId="77777777">
            <w:pPr>
              <w:spacing w:after="0" w:line="259" w:lineRule="auto"/>
              <w:ind w:left="0" w:right="11" w:firstLine="0"/>
              <w:jc w:val="center"/>
            </w:pPr>
            <w:r>
              <w:rPr>
                <w:sz w:val="16"/>
              </w:rPr>
              <w:t xml:space="preserve">1 </w:t>
            </w:r>
            <w:r>
              <w:t xml:space="preserve"> </w:t>
            </w:r>
          </w:p>
        </w:tc>
        <w:tc>
          <w:tcPr>
            <w:tcW w:w="1073" w:type="dxa"/>
            <w:tcBorders>
              <w:top w:val="single" w:sz="2" w:space="0" w:color="000000"/>
              <w:left w:val="single" w:sz="2" w:space="0" w:color="000000"/>
              <w:bottom w:val="single" w:sz="2" w:space="0" w:color="000000"/>
              <w:right w:val="single" w:sz="2" w:space="0" w:color="000000"/>
            </w:tcBorders>
          </w:tcPr>
          <w:p w:rsidR="00DA0D9C" w14:paraId="273A9D72" w14:textId="77777777">
            <w:pPr>
              <w:spacing w:after="0" w:line="259" w:lineRule="auto"/>
              <w:ind w:left="0" w:right="6" w:firstLine="0"/>
              <w:jc w:val="center"/>
            </w:pPr>
            <w:r>
              <w:rPr>
                <w:sz w:val="16"/>
              </w:rPr>
              <w:t xml:space="preserve">1340 </w:t>
            </w:r>
            <w:r>
              <w:t xml:space="preserve"> </w:t>
            </w:r>
          </w:p>
        </w:tc>
        <w:tc>
          <w:tcPr>
            <w:tcW w:w="1075" w:type="dxa"/>
            <w:tcBorders>
              <w:top w:val="single" w:sz="2" w:space="0" w:color="000000"/>
              <w:left w:val="single" w:sz="2" w:space="0" w:color="000000"/>
              <w:bottom w:val="single" w:sz="2" w:space="0" w:color="000000"/>
              <w:right w:val="single" w:sz="2" w:space="0" w:color="000000"/>
            </w:tcBorders>
          </w:tcPr>
          <w:p w:rsidR="00DA0D9C" w14:paraId="0EB6F7A8" w14:textId="77777777">
            <w:pPr>
              <w:spacing w:after="0" w:line="259" w:lineRule="auto"/>
              <w:ind w:left="0" w:right="8" w:firstLine="0"/>
              <w:jc w:val="center"/>
            </w:pPr>
            <w:r>
              <w:rPr>
                <w:sz w:val="16"/>
              </w:rPr>
              <w:t xml:space="preserve">4 </w:t>
            </w:r>
            <w:r>
              <w:t xml:space="preserve"> </w:t>
            </w:r>
          </w:p>
        </w:tc>
        <w:tc>
          <w:tcPr>
            <w:tcW w:w="1046" w:type="dxa"/>
            <w:tcBorders>
              <w:top w:val="single" w:sz="2" w:space="0" w:color="000000"/>
              <w:left w:val="single" w:sz="2" w:space="0" w:color="000000"/>
              <w:bottom w:val="single" w:sz="2" w:space="0" w:color="000000"/>
              <w:right w:val="single" w:sz="2" w:space="0" w:color="000000"/>
            </w:tcBorders>
          </w:tcPr>
          <w:p w:rsidR="00DA0D9C" w14:paraId="1C47A852" w14:textId="77777777">
            <w:pPr>
              <w:spacing w:after="0" w:line="259" w:lineRule="auto"/>
              <w:ind w:left="0" w:right="11" w:firstLine="0"/>
              <w:jc w:val="center"/>
            </w:pPr>
            <w:r>
              <w:rPr>
                <w:sz w:val="16"/>
              </w:rPr>
              <w:t xml:space="preserve">5,360 </w:t>
            </w:r>
            <w:r>
              <w:t xml:space="preserve"> </w:t>
            </w:r>
          </w:p>
        </w:tc>
        <w:tc>
          <w:tcPr>
            <w:tcW w:w="1142" w:type="dxa"/>
            <w:tcBorders>
              <w:top w:val="single" w:sz="2" w:space="0" w:color="000000"/>
              <w:left w:val="single" w:sz="2" w:space="0" w:color="000000"/>
              <w:bottom w:val="single" w:sz="2" w:space="0" w:color="000000"/>
              <w:right w:val="single" w:sz="2" w:space="0" w:color="000000"/>
            </w:tcBorders>
          </w:tcPr>
          <w:p w:rsidR="00DA0D9C" w14:paraId="041125CA" w14:textId="77777777">
            <w:pPr>
              <w:spacing w:after="0" w:line="259" w:lineRule="auto"/>
              <w:ind w:left="0" w:right="6" w:firstLine="0"/>
              <w:jc w:val="center"/>
            </w:pPr>
            <w:r>
              <w:rPr>
                <w:sz w:val="16"/>
              </w:rPr>
              <w:t xml:space="preserve">90.94 </w:t>
            </w:r>
            <w:r>
              <w:t xml:space="preserve"> </w:t>
            </w:r>
          </w:p>
        </w:tc>
        <w:tc>
          <w:tcPr>
            <w:tcW w:w="1020" w:type="dxa"/>
            <w:tcBorders>
              <w:top w:val="single" w:sz="2" w:space="0" w:color="000000"/>
              <w:left w:val="single" w:sz="2" w:space="0" w:color="000000"/>
              <w:bottom w:val="single" w:sz="2" w:space="0" w:color="000000"/>
              <w:right w:val="single" w:sz="2" w:space="0" w:color="000000"/>
            </w:tcBorders>
          </w:tcPr>
          <w:p w:rsidR="00DA0D9C" w14:paraId="20E35B40" w14:textId="77777777">
            <w:pPr>
              <w:spacing w:after="0" w:line="259" w:lineRule="auto"/>
              <w:ind w:left="0" w:right="6" w:firstLine="0"/>
              <w:jc w:val="center"/>
            </w:pPr>
            <w:r>
              <w:rPr>
                <w:sz w:val="16"/>
              </w:rPr>
              <w:t xml:space="preserve">487,438 </w:t>
            </w:r>
            <w:r>
              <w:t xml:space="preserve"> </w:t>
            </w:r>
          </w:p>
        </w:tc>
      </w:tr>
      <w:tr w14:paraId="0DB5D0DC" w14:textId="77777777">
        <w:tblPrEx>
          <w:tblW w:w="9862" w:type="dxa"/>
          <w:tblInd w:w="19" w:type="dxa"/>
          <w:tblCellMar>
            <w:top w:w="57" w:type="dxa"/>
            <w:left w:w="2" w:type="dxa"/>
          </w:tblCellMar>
          <w:tblLook w:val="04A0"/>
        </w:tblPrEx>
        <w:trPr>
          <w:trHeight w:val="775"/>
        </w:trPr>
        <w:tc>
          <w:tcPr>
            <w:tcW w:w="1154" w:type="dxa"/>
            <w:tcBorders>
              <w:top w:val="single" w:sz="2" w:space="0" w:color="000000"/>
              <w:left w:val="single" w:sz="2" w:space="0" w:color="000000"/>
              <w:bottom w:val="single" w:sz="2" w:space="0" w:color="000000"/>
              <w:right w:val="single" w:sz="2" w:space="0" w:color="000000"/>
            </w:tcBorders>
          </w:tcPr>
          <w:p w:rsidR="00DA0D9C" w14:paraId="550B6DEE" w14:textId="77777777">
            <w:pPr>
              <w:spacing w:after="0" w:line="259" w:lineRule="auto"/>
              <w:ind w:left="228" w:right="0" w:hanging="89"/>
            </w:pPr>
            <w:r>
              <w:rPr>
                <w:b/>
                <w:sz w:val="16"/>
              </w:rPr>
              <w:t xml:space="preserve">Information Collection </w:t>
            </w:r>
            <w:r>
              <w:t xml:space="preserve"> </w:t>
            </w:r>
          </w:p>
        </w:tc>
        <w:tc>
          <w:tcPr>
            <w:tcW w:w="1097" w:type="dxa"/>
            <w:tcBorders>
              <w:top w:val="single" w:sz="2" w:space="0" w:color="000000"/>
              <w:left w:val="single" w:sz="2" w:space="0" w:color="000000"/>
              <w:bottom w:val="single" w:sz="2" w:space="0" w:color="000000"/>
              <w:right w:val="single" w:sz="2" w:space="0" w:color="000000"/>
            </w:tcBorders>
          </w:tcPr>
          <w:p w:rsidR="00DA0D9C" w14:paraId="3285155C" w14:textId="77777777">
            <w:pPr>
              <w:spacing w:after="0" w:line="259" w:lineRule="auto"/>
              <w:ind w:left="0" w:right="0" w:firstLine="0"/>
              <w:jc w:val="center"/>
            </w:pPr>
            <w:r>
              <w:rPr>
                <w:b/>
                <w:sz w:val="16"/>
              </w:rPr>
              <w:t xml:space="preserve">Regulation under Title 42 of the CFR </w:t>
            </w:r>
            <w:r>
              <w:t xml:space="preserve"> </w:t>
            </w:r>
          </w:p>
        </w:tc>
        <w:tc>
          <w:tcPr>
            <w:tcW w:w="1099" w:type="dxa"/>
            <w:tcBorders>
              <w:top w:val="single" w:sz="2" w:space="0" w:color="000000"/>
              <w:left w:val="single" w:sz="2" w:space="0" w:color="000000"/>
              <w:bottom w:val="single" w:sz="2" w:space="0" w:color="000000"/>
              <w:right w:val="single" w:sz="2" w:space="0" w:color="000000"/>
            </w:tcBorders>
          </w:tcPr>
          <w:p w:rsidR="00DA0D9C" w14:paraId="3691325B" w14:textId="77777777">
            <w:pPr>
              <w:spacing w:after="0" w:line="259" w:lineRule="auto"/>
              <w:ind w:left="112" w:right="0" w:firstLine="0"/>
            </w:pPr>
            <w:r>
              <w:rPr>
                <w:b/>
                <w:sz w:val="16"/>
              </w:rPr>
              <w:t xml:space="preserve">Respondents </w:t>
            </w:r>
            <w:r>
              <w:t xml:space="preserve"> </w:t>
            </w:r>
          </w:p>
        </w:tc>
        <w:tc>
          <w:tcPr>
            <w:tcW w:w="1154" w:type="dxa"/>
            <w:tcBorders>
              <w:top w:val="single" w:sz="2" w:space="0" w:color="000000"/>
              <w:left w:val="single" w:sz="2" w:space="0" w:color="000000"/>
              <w:bottom w:val="single" w:sz="2" w:space="0" w:color="000000"/>
              <w:right w:val="single" w:sz="2" w:space="0" w:color="000000"/>
            </w:tcBorders>
          </w:tcPr>
          <w:p w:rsidR="00DA0D9C" w14:paraId="7B458EEB" w14:textId="77777777">
            <w:pPr>
              <w:spacing w:after="0" w:line="259" w:lineRule="auto"/>
              <w:ind w:left="0" w:right="0" w:firstLine="0"/>
              <w:jc w:val="center"/>
            </w:pPr>
            <w:r>
              <w:rPr>
                <w:b/>
                <w:sz w:val="16"/>
              </w:rPr>
              <w:t xml:space="preserve">Responses (per Respondent) </w:t>
            </w:r>
            <w:r>
              <w:t xml:space="preserve"> </w:t>
            </w:r>
          </w:p>
        </w:tc>
        <w:tc>
          <w:tcPr>
            <w:tcW w:w="1073" w:type="dxa"/>
            <w:tcBorders>
              <w:top w:val="single" w:sz="2" w:space="0" w:color="000000"/>
              <w:left w:val="single" w:sz="2" w:space="0" w:color="000000"/>
              <w:bottom w:val="single" w:sz="2" w:space="0" w:color="000000"/>
              <w:right w:val="single" w:sz="2" w:space="0" w:color="000000"/>
            </w:tcBorders>
          </w:tcPr>
          <w:p w:rsidR="00DA0D9C" w14:paraId="3688C09D" w14:textId="77777777">
            <w:pPr>
              <w:spacing w:after="0" w:line="259" w:lineRule="auto"/>
              <w:ind w:left="184" w:right="0" w:firstLine="252"/>
            </w:pPr>
            <w:r>
              <w:rPr>
                <w:b/>
                <w:sz w:val="16"/>
              </w:rPr>
              <w:t xml:space="preserve">Total Responses </w:t>
            </w:r>
            <w:r>
              <w:t xml:space="preserve"> </w:t>
            </w:r>
          </w:p>
        </w:tc>
        <w:tc>
          <w:tcPr>
            <w:tcW w:w="1075" w:type="dxa"/>
            <w:tcBorders>
              <w:top w:val="single" w:sz="2" w:space="0" w:color="000000"/>
              <w:left w:val="single" w:sz="2" w:space="0" w:color="000000"/>
              <w:bottom w:val="single" w:sz="2" w:space="0" w:color="000000"/>
              <w:right w:val="single" w:sz="2" w:space="0" w:color="000000"/>
            </w:tcBorders>
          </w:tcPr>
          <w:p w:rsidR="00DA0D9C" w14:paraId="37520899" w14:textId="77777777">
            <w:pPr>
              <w:spacing w:after="0" w:line="231" w:lineRule="auto"/>
              <w:ind w:left="208" w:right="0" w:firstLine="12"/>
            </w:pPr>
            <w:r>
              <w:rPr>
                <w:b/>
                <w:sz w:val="16"/>
              </w:rPr>
              <w:t xml:space="preserve">Time </w:t>
            </w:r>
            <w:r>
              <w:rPr>
                <w:b/>
                <w:sz w:val="16"/>
              </w:rPr>
              <w:t xml:space="preserve">per </w:t>
            </w:r>
            <w:r>
              <w:t xml:space="preserve"> </w:t>
            </w:r>
            <w:r>
              <w:rPr>
                <w:b/>
                <w:sz w:val="16"/>
              </w:rPr>
              <w:t>Response</w:t>
            </w:r>
            <w:r>
              <w:rPr>
                <w:b/>
                <w:sz w:val="16"/>
              </w:rPr>
              <w:t xml:space="preserve"> </w:t>
            </w:r>
            <w:r>
              <w:t xml:space="preserve"> </w:t>
            </w:r>
          </w:p>
          <w:p w:rsidR="00DA0D9C" w14:paraId="6120ACF2" w14:textId="77777777">
            <w:pPr>
              <w:spacing w:after="0" w:line="259" w:lineRule="auto"/>
              <w:ind w:left="5" w:right="0" w:firstLine="0"/>
              <w:jc w:val="center"/>
            </w:pPr>
            <w:r>
              <w:rPr>
                <w:b/>
                <w:sz w:val="16"/>
              </w:rPr>
              <w:t xml:space="preserve">(hours) </w:t>
            </w:r>
            <w:r>
              <w:t xml:space="preserve"> </w:t>
            </w:r>
          </w:p>
        </w:tc>
        <w:tc>
          <w:tcPr>
            <w:tcW w:w="1046" w:type="dxa"/>
            <w:tcBorders>
              <w:top w:val="single" w:sz="2" w:space="0" w:color="000000"/>
              <w:left w:val="single" w:sz="2" w:space="0" w:color="000000"/>
              <w:bottom w:val="single" w:sz="2" w:space="0" w:color="000000"/>
              <w:right w:val="single" w:sz="2" w:space="0" w:color="000000"/>
            </w:tcBorders>
          </w:tcPr>
          <w:p w:rsidR="00DA0D9C" w14:paraId="3D97B82D" w14:textId="77777777">
            <w:pPr>
              <w:spacing w:after="50" w:line="259" w:lineRule="auto"/>
              <w:ind w:left="8" w:right="0" w:firstLine="0"/>
              <w:jc w:val="center"/>
            </w:pPr>
            <w:r>
              <w:rPr>
                <w:b/>
                <w:sz w:val="16"/>
              </w:rPr>
              <w:t xml:space="preserve">Total Time </w:t>
            </w:r>
          </w:p>
          <w:p w:rsidR="00DA0D9C" w14:paraId="00815E48" w14:textId="77777777">
            <w:pPr>
              <w:spacing w:after="0" w:line="259" w:lineRule="auto"/>
              <w:ind w:left="7" w:right="0" w:firstLine="0"/>
              <w:jc w:val="center"/>
            </w:pPr>
            <w:r>
              <w:rPr>
                <w:b/>
                <w:sz w:val="16"/>
              </w:rPr>
              <w:t xml:space="preserve">(hours) </w:t>
            </w:r>
            <w:r>
              <w:t xml:space="preserve"> </w:t>
            </w:r>
          </w:p>
        </w:tc>
        <w:tc>
          <w:tcPr>
            <w:tcW w:w="1142" w:type="dxa"/>
            <w:tcBorders>
              <w:top w:val="single" w:sz="2" w:space="0" w:color="000000"/>
              <w:left w:val="single" w:sz="2" w:space="0" w:color="000000"/>
              <w:bottom w:val="single" w:sz="2" w:space="0" w:color="000000"/>
              <w:right w:val="single" w:sz="2" w:space="0" w:color="000000"/>
            </w:tcBorders>
          </w:tcPr>
          <w:p w:rsidR="00DA0D9C" w14:paraId="7E0AB204" w14:textId="77777777">
            <w:pPr>
              <w:spacing w:after="49" w:line="259" w:lineRule="auto"/>
              <w:ind w:right="0" w:firstLine="0"/>
              <w:jc w:val="center"/>
            </w:pPr>
            <w:r>
              <w:rPr>
                <w:b/>
                <w:sz w:val="16"/>
              </w:rPr>
              <w:t xml:space="preserve">Labor Cost </w:t>
            </w:r>
          </w:p>
          <w:p w:rsidR="00DA0D9C" w14:paraId="7B5C36B1" w14:textId="77777777">
            <w:pPr>
              <w:spacing w:after="0" w:line="259" w:lineRule="auto"/>
              <w:ind w:right="0" w:firstLine="0"/>
              <w:jc w:val="center"/>
            </w:pPr>
            <w:r>
              <w:rPr>
                <w:b/>
                <w:sz w:val="16"/>
              </w:rPr>
              <w:t>($/</w:t>
            </w:r>
            <w:r>
              <w:rPr>
                <w:b/>
                <w:sz w:val="16"/>
              </w:rPr>
              <w:t>hr</w:t>
            </w:r>
            <w:r>
              <w:rPr>
                <w:b/>
                <w:sz w:val="16"/>
              </w:rPr>
              <w:t xml:space="preserve">) </w:t>
            </w:r>
            <w:r>
              <w:t xml:space="preserve"> </w:t>
            </w:r>
          </w:p>
        </w:tc>
        <w:tc>
          <w:tcPr>
            <w:tcW w:w="1020" w:type="dxa"/>
            <w:tcBorders>
              <w:top w:val="single" w:sz="2" w:space="0" w:color="000000"/>
              <w:left w:val="single" w:sz="2" w:space="0" w:color="000000"/>
              <w:bottom w:val="single" w:sz="14" w:space="0" w:color="F2F2F2"/>
              <w:right w:val="single" w:sz="2" w:space="0" w:color="000000"/>
            </w:tcBorders>
          </w:tcPr>
          <w:p w:rsidR="00DA0D9C" w14:paraId="1BAB179E" w14:textId="77777777">
            <w:pPr>
              <w:spacing w:after="0" w:line="259" w:lineRule="auto"/>
              <w:ind w:left="35" w:right="0" w:firstLine="0"/>
              <w:jc w:val="both"/>
            </w:pPr>
            <w:r>
              <w:rPr>
                <w:b/>
                <w:sz w:val="16"/>
              </w:rPr>
              <w:t xml:space="preserve">Total Cost ($) </w:t>
            </w:r>
          </w:p>
        </w:tc>
      </w:tr>
      <w:tr w14:paraId="0AAF3361" w14:textId="77777777">
        <w:tblPrEx>
          <w:tblW w:w="9862" w:type="dxa"/>
          <w:tblInd w:w="19" w:type="dxa"/>
          <w:tblCellMar>
            <w:top w:w="57" w:type="dxa"/>
            <w:left w:w="2" w:type="dxa"/>
          </w:tblCellMar>
          <w:tblLook w:val="04A0"/>
        </w:tblPrEx>
        <w:trPr>
          <w:trHeight w:val="221"/>
        </w:trPr>
        <w:tc>
          <w:tcPr>
            <w:tcW w:w="1154" w:type="dxa"/>
            <w:tcBorders>
              <w:top w:val="single" w:sz="2" w:space="0" w:color="000000"/>
              <w:left w:val="single" w:sz="2" w:space="0" w:color="000000"/>
              <w:bottom w:val="nil"/>
              <w:right w:val="single" w:sz="2" w:space="0" w:color="000000"/>
            </w:tcBorders>
            <w:shd w:val="clear" w:color="auto" w:fill="F2F2F2"/>
          </w:tcPr>
          <w:p w:rsidR="00DA0D9C" w14:paraId="131A2DD7" w14:textId="77777777">
            <w:pPr>
              <w:spacing w:after="0" w:line="259" w:lineRule="auto"/>
              <w:ind w:left="0" w:right="0" w:firstLine="0"/>
            </w:pPr>
            <w:r>
              <w:rPr>
                <w:b/>
                <w:sz w:val="16"/>
              </w:rPr>
              <w:t xml:space="preserve">TOTAL </w:t>
            </w:r>
            <w:r>
              <w:t xml:space="preserve"> </w:t>
            </w:r>
          </w:p>
        </w:tc>
        <w:tc>
          <w:tcPr>
            <w:tcW w:w="1097" w:type="dxa"/>
            <w:vMerge w:val="restart"/>
            <w:tcBorders>
              <w:top w:val="single" w:sz="2" w:space="0" w:color="000000"/>
              <w:left w:val="single" w:sz="2" w:space="0" w:color="000000"/>
              <w:bottom w:val="nil"/>
              <w:right w:val="single" w:sz="2" w:space="0" w:color="000000"/>
            </w:tcBorders>
            <w:shd w:val="clear" w:color="auto" w:fill="F2F2F2"/>
          </w:tcPr>
          <w:p w:rsidR="00DA0D9C" w14:paraId="6E5D4122" w14:textId="77777777">
            <w:pPr>
              <w:spacing w:after="0" w:line="259" w:lineRule="auto"/>
              <w:ind w:left="145" w:right="0" w:firstLine="0"/>
              <w:jc w:val="center"/>
            </w:pPr>
            <w:r>
              <w:rPr>
                <w:b/>
                <w:sz w:val="16"/>
              </w:rPr>
              <w:t xml:space="preserve"> </w:t>
            </w:r>
            <w:r>
              <w:t xml:space="preserve"> </w:t>
            </w:r>
          </w:p>
        </w:tc>
        <w:tc>
          <w:tcPr>
            <w:tcW w:w="1099" w:type="dxa"/>
            <w:vMerge w:val="restart"/>
            <w:tcBorders>
              <w:top w:val="single" w:sz="2" w:space="0" w:color="000000"/>
              <w:left w:val="single" w:sz="2" w:space="0" w:color="000000"/>
              <w:bottom w:val="single" w:sz="2" w:space="0" w:color="000000"/>
              <w:right w:val="single" w:sz="2" w:space="0" w:color="000000"/>
            </w:tcBorders>
            <w:shd w:val="clear" w:color="auto" w:fill="F2F2F2"/>
          </w:tcPr>
          <w:p w:rsidR="00DA0D9C" w14:paraId="0A989FC1" w14:textId="77777777">
            <w:pPr>
              <w:spacing w:after="0" w:line="259" w:lineRule="auto"/>
              <w:ind w:left="9" w:right="0" w:firstLine="0"/>
              <w:jc w:val="center"/>
            </w:pPr>
            <w:r>
              <w:rPr>
                <w:b/>
                <w:sz w:val="16"/>
              </w:rPr>
              <w:t xml:space="preserve">1,915 </w:t>
            </w:r>
          </w:p>
        </w:tc>
        <w:tc>
          <w:tcPr>
            <w:tcW w:w="1154" w:type="dxa"/>
            <w:vMerge w:val="restart"/>
            <w:tcBorders>
              <w:top w:val="single" w:sz="2" w:space="0" w:color="000000"/>
              <w:left w:val="single" w:sz="2" w:space="0" w:color="000000"/>
              <w:bottom w:val="single" w:sz="2" w:space="0" w:color="000000"/>
              <w:right w:val="single" w:sz="2" w:space="0" w:color="000000"/>
            </w:tcBorders>
            <w:shd w:val="clear" w:color="auto" w:fill="F2F2F2"/>
          </w:tcPr>
          <w:p w:rsidR="00DA0D9C" w14:paraId="1C355FE5" w14:textId="77777777">
            <w:pPr>
              <w:spacing w:after="0" w:line="259" w:lineRule="auto"/>
              <w:ind w:left="6" w:right="0" w:firstLine="0"/>
              <w:jc w:val="center"/>
            </w:pPr>
            <w:r>
              <w:rPr>
                <w:b/>
                <w:sz w:val="16"/>
              </w:rPr>
              <w:t xml:space="preserve">varies </w:t>
            </w:r>
            <w:r>
              <w:t xml:space="preserve"> </w:t>
            </w:r>
          </w:p>
        </w:tc>
        <w:tc>
          <w:tcPr>
            <w:tcW w:w="1073" w:type="dxa"/>
            <w:tcBorders>
              <w:top w:val="single" w:sz="2" w:space="0" w:color="000000"/>
              <w:left w:val="single" w:sz="2" w:space="0" w:color="000000"/>
              <w:bottom w:val="nil"/>
              <w:right w:val="single" w:sz="2" w:space="0" w:color="000000"/>
            </w:tcBorders>
            <w:shd w:val="clear" w:color="auto" w:fill="F2F2F2"/>
          </w:tcPr>
          <w:p w:rsidR="00DA0D9C" w14:paraId="46AC912F" w14:textId="77777777">
            <w:pPr>
              <w:spacing w:after="0" w:line="259" w:lineRule="auto"/>
              <w:ind w:left="8" w:right="0" w:firstLine="0"/>
              <w:jc w:val="center"/>
            </w:pPr>
            <w:r>
              <w:rPr>
                <w:b/>
                <w:sz w:val="16"/>
              </w:rPr>
              <w:t xml:space="preserve">1,915 </w:t>
            </w:r>
          </w:p>
        </w:tc>
        <w:tc>
          <w:tcPr>
            <w:tcW w:w="1075" w:type="dxa"/>
            <w:vMerge w:val="restart"/>
            <w:tcBorders>
              <w:top w:val="single" w:sz="2" w:space="0" w:color="000000"/>
              <w:left w:val="single" w:sz="2" w:space="0" w:color="000000"/>
              <w:bottom w:val="single" w:sz="2" w:space="0" w:color="000000"/>
              <w:right w:val="single" w:sz="2" w:space="0" w:color="000000"/>
            </w:tcBorders>
            <w:shd w:val="clear" w:color="auto" w:fill="F2F2F2"/>
          </w:tcPr>
          <w:p w:rsidR="00DA0D9C" w14:paraId="654A8C5E" w14:textId="77777777">
            <w:pPr>
              <w:spacing w:after="0" w:line="259" w:lineRule="auto"/>
              <w:ind w:left="7" w:right="0" w:firstLine="0"/>
              <w:jc w:val="center"/>
            </w:pPr>
            <w:r>
              <w:rPr>
                <w:b/>
                <w:sz w:val="16"/>
              </w:rPr>
              <w:t xml:space="preserve">varies </w:t>
            </w:r>
            <w:r>
              <w:t xml:space="preserve"> </w:t>
            </w:r>
          </w:p>
        </w:tc>
        <w:tc>
          <w:tcPr>
            <w:tcW w:w="1046" w:type="dxa"/>
            <w:vMerge w:val="restart"/>
            <w:tcBorders>
              <w:top w:val="single" w:sz="2" w:space="0" w:color="000000"/>
              <w:left w:val="single" w:sz="2" w:space="0" w:color="000000"/>
              <w:bottom w:val="single" w:sz="2" w:space="0" w:color="000000"/>
              <w:right w:val="single" w:sz="2" w:space="0" w:color="000000"/>
            </w:tcBorders>
            <w:shd w:val="clear" w:color="auto" w:fill="F2F2F2"/>
          </w:tcPr>
          <w:p w:rsidR="00DA0D9C" w14:paraId="77F7D93F" w14:textId="77777777">
            <w:pPr>
              <w:spacing w:after="0" w:line="259" w:lineRule="auto"/>
              <w:ind w:left="3" w:right="0" w:firstLine="0"/>
              <w:jc w:val="center"/>
            </w:pPr>
            <w:r>
              <w:rPr>
                <w:b/>
                <w:sz w:val="16"/>
              </w:rPr>
              <w:t xml:space="preserve">8,465 </w:t>
            </w:r>
            <w:r>
              <w:t xml:space="preserve"> </w:t>
            </w:r>
          </w:p>
        </w:tc>
        <w:tc>
          <w:tcPr>
            <w:tcW w:w="1142" w:type="dxa"/>
            <w:tcBorders>
              <w:top w:val="single" w:sz="2" w:space="0" w:color="000000"/>
              <w:left w:val="single" w:sz="2" w:space="0" w:color="000000"/>
              <w:bottom w:val="nil"/>
              <w:right w:val="single" w:sz="2" w:space="0" w:color="000000"/>
            </w:tcBorders>
            <w:shd w:val="clear" w:color="auto" w:fill="F2F2F2"/>
          </w:tcPr>
          <w:p w:rsidR="00DA0D9C" w14:paraId="7A5643B0" w14:textId="77777777">
            <w:pPr>
              <w:spacing w:after="0" w:line="259" w:lineRule="auto"/>
              <w:ind w:left="5" w:right="0" w:firstLine="0"/>
              <w:jc w:val="center"/>
            </w:pPr>
            <w:r>
              <w:rPr>
                <w:sz w:val="16"/>
              </w:rPr>
              <w:t>90.94</w:t>
            </w:r>
            <w:r>
              <w:rPr>
                <w:b/>
                <w:sz w:val="16"/>
              </w:rPr>
              <w:t xml:space="preserve"> </w:t>
            </w:r>
            <w:r>
              <w:t xml:space="preserve"> </w:t>
            </w:r>
          </w:p>
        </w:tc>
        <w:tc>
          <w:tcPr>
            <w:tcW w:w="1020" w:type="dxa"/>
            <w:vMerge w:val="restart"/>
            <w:tcBorders>
              <w:top w:val="single" w:sz="14" w:space="0" w:color="F2F2F2"/>
              <w:left w:val="single" w:sz="2" w:space="0" w:color="000000"/>
              <w:bottom w:val="single" w:sz="2" w:space="0" w:color="000000"/>
              <w:right w:val="single" w:sz="2" w:space="0" w:color="000000"/>
            </w:tcBorders>
            <w:shd w:val="clear" w:color="auto" w:fill="F2F2F2"/>
          </w:tcPr>
          <w:p w:rsidR="00DA0D9C" w14:paraId="5A6FB63D" w14:textId="77777777">
            <w:pPr>
              <w:spacing w:after="0" w:line="259" w:lineRule="auto"/>
              <w:ind w:left="6" w:right="0" w:firstLine="0"/>
              <w:jc w:val="center"/>
            </w:pPr>
            <w:r>
              <w:rPr>
                <w:b/>
                <w:sz w:val="16"/>
              </w:rPr>
              <w:t xml:space="preserve">781,122 </w:t>
            </w:r>
          </w:p>
        </w:tc>
      </w:tr>
      <w:tr w14:paraId="27ADEDAD" w14:textId="77777777">
        <w:tblPrEx>
          <w:tblW w:w="9862" w:type="dxa"/>
          <w:tblInd w:w="19" w:type="dxa"/>
          <w:tblCellMar>
            <w:top w:w="57" w:type="dxa"/>
            <w:left w:w="2" w:type="dxa"/>
          </w:tblCellMar>
          <w:tblLook w:val="04A0"/>
        </w:tblPrEx>
        <w:trPr>
          <w:trHeight w:val="458"/>
        </w:trPr>
        <w:tc>
          <w:tcPr>
            <w:tcW w:w="1154" w:type="dxa"/>
            <w:vMerge w:val="restart"/>
            <w:tcBorders>
              <w:top w:val="nil"/>
              <w:left w:val="single" w:sz="2" w:space="0" w:color="000000"/>
              <w:bottom w:val="single" w:sz="2" w:space="0" w:color="000000"/>
              <w:right w:val="single" w:sz="2" w:space="0" w:color="000000"/>
            </w:tcBorders>
            <w:shd w:val="clear" w:color="auto" w:fill="F2F2F2"/>
          </w:tcPr>
          <w:p w:rsidR="00DA0D9C" w14:paraId="7E52D552" w14:textId="77777777">
            <w:pPr>
              <w:spacing w:after="160" w:line="259" w:lineRule="auto"/>
              <w:ind w:left="0" w:right="0" w:firstLine="0"/>
            </w:pPr>
          </w:p>
        </w:tc>
        <w:tc>
          <w:tcPr>
            <w:tcW w:w="0" w:type="auto"/>
            <w:vMerge/>
            <w:tcBorders>
              <w:top w:val="nil"/>
              <w:left w:val="single" w:sz="2" w:space="0" w:color="000000"/>
              <w:bottom w:val="nil"/>
              <w:right w:val="single" w:sz="2" w:space="0" w:color="000000"/>
            </w:tcBorders>
          </w:tcPr>
          <w:p w:rsidR="00DA0D9C" w14:paraId="4ACE96C3" w14:textId="77777777">
            <w:pPr>
              <w:spacing w:after="160" w:line="259" w:lineRule="auto"/>
              <w:ind w:left="0" w:right="0" w:firstLine="0"/>
            </w:pPr>
          </w:p>
        </w:tc>
        <w:tc>
          <w:tcPr>
            <w:tcW w:w="0" w:type="auto"/>
            <w:vMerge/>
            <w:tcBorders>
              <w:top w:val="nil"/>
              <w:left w:val="single" w:sz="2" w:space="0" w:color="000000"/>
              <w:bottom w:val="nil"/>
              <w:right w:val="single" w:sz="2" w:space="0" w:color="000000"/>
            </w:tcBorders>
          </w:tcPr>
          <w:p w:rsidR="00DA0D9C" w14:paraId="727A86EF" w14:textId="77777777">
            <w:pPr>
              <w:spacing w:after="160" w:line="259" w:lineRule="auto"/>
              <w:ind w:left="0" w:right="0" w:firstLine="0"/>
            </w:pPr>
          </w:p>
        </w:tc>
        <w:tc>
          <w:tcPr>
            <w:tcW w:w="0" w:type="auto"/>
            <w:vMerge/>
            <w:tcBorders>
              <w:top w:val="nil"/>
              <w:left w:val="single" w:sz="2" w:space="0" w:color="000000"/>
              <w:bottom w:val="nil"/>
              <w:right w:val="single" w:sz="2" w:space="0" w:color="000000"/>
            </w:tcBorders>
          </w:tcPr>
          <w:p w:rsidR="00DA0D9C" w14:paraId="619785B2" w14:textId="77777777">
            <w:pPr>
              <w:spacing w:after="160" w:line="259" w:lineRule="auto"/>
              <w:ind w:left="0" w:right="0" w:firstLine="0"/>
            </w:pPr>
          </w:p>
        </w:tc>
        <w:tc>
          <w:tcPr>
            <w:tcW w:w="1073" w:type="dxa"/>
            <w:vMerge w:val="restart"/>
            <w:tcBorders>
              <w:top w:val="nil"/>
              <w:left w:val="single" w:sz="2" w:space="0" w:color="000000"/>
              <w:bottom w:val="single" w:sz="2" w:space="0" w:color="000000"/>
              <w:right w:val="single" w:sz="2" w:space="0" w:color="000000"/>
            </w:tcBorders>
            <w:shd w:val="clear" w:color="auto" w:fill="F2F2F2"/>
          </w:tcPr>
          <w:p w:rsidR="00DA0D9C" w14:paraId="0CF0D5B5" w14:textId="77777777">
            <w:pPr>
              <w:spacing w:after="160" w:line="259" w:lineRule="auto"/>
              <w:ind w:left="0" w:right="0" w:firstLine="0"/>
            </w:pPr>
          </w:p>
        </w:tc>
        <w:tc>
          <w:tcPr>
            <w:tcW w:w="0" w:type="auto"/>
            <w:vMerge/>
            <w:tcBorders>
              <w:top w:val="nil"/>
              <w:left w:val="single" w:sz="2" w:space="0" w:color="000000"/>
              <w:bottom w:val="nil"/>
              <w:right w:val="single" w:sz="2" w:space="0" w:color="000000"/>
            </w:tcBorders>
          </w:tcPr>
          <w:p w:rsidR="00DA0D9C" w14:paraId="0E4344A4" w14:textId="77777777">
            <w:pPr>
              <w:spacing w:after="160" w:line="259" w:lineRule="auto"/>
              <w:ind w:left="0" w:right="0" w:firstLine="0"/>
            </w:pPr>
          </w:p>
        </w:tc>
        <w:tc>
          <w:tcPr>
            <w:tcW w:w="0" w:type="auto"/>
            <w:vMerge/>
            <w:tcBorders>
              <w:top w:val="nil"/>
              <w:left w:val="single" w:sz="2" w:space="0" w:color="000000"/>
              <w:bottom w:val="nil"/>
              <w:right w:val="single" w:sz="2" w:space="0" w:color="000000"/>
            </w:tcBorders>
          </w:tcPr>
          <w:p w:rsidR="00DA0D9C" w14:paraId="45AD10C8" w14:textId="77777777">
            <w:pPr>
              <w:spacing w:after="160" w:line="259" w:lineRule="auto"/>
              <w:ind w:left="0" w:right="0" w:firstLine="0"/>
            </w:pPr>
          </w:p>
        </w:tc>
        <w:tc>
          <w:tcPr>
            <w:tcW w:w="1142" w:type="dxa"/>
            <w:vMerge w:val="restart"/>
            <w:tcBorders>
              <w:top w:val="nil"/>
              <w:left w:val="single" w:sz="2" w:space="0" w:color="000000"/>
              <w:bottom w:val="single" w:sz="2" w:space="0" w:color="000000"/>
              <w:right w:val="single" w:sz="2" w:space="0" w:color="000000"/>
            </w:tcBorders>
            <w:shd w:val="clear" w:color="auto" w:fill="F2F2F2"/>
          </w:tcPr>
          <w:p w:rsidR="00DA0D9C" w14:paraId="1B69B441" w14:textId="77777777">
            <w:pPr>
              <w:spacing w:after="160" w:line="259" w:lineRule="auto"/>
              <w:ind w:left="0" w:right="0" w:firstLine="0"/>
            </w:pPr>
          </w:p>
        </w:tc>
        <w:tc>
          <w:tcPr>
            <w:tcW w:w="0" w:type="auto"/>
            <w:vMerge/>
            <w:tcBorders>
              <w:top w:val="nil"/>
              <w:left w:val="single" w:sz="2" w:space="0" w:color="000000"/>
              <w:bottom w:val="nil"/>
              <w:right w:val="single" w:sz="2" w:space="0" w:color="000000"/>
            </w:tcBorders>
          </w:tcPr>
          <w:p w:rsidR="00DA0D9C" w14:paraId="4134F529" w14:textId="77777777">
            <w:pPr>
              <w:spacing w:after="160" w:line="259" w:lineRule="auto"/>
              <w:ind w:left="0" w:right="0" w:firstLine="0"/>
            </w:pPr>
          </w:p>
        </w:tc>
      </w:tr>
      <w:tr w14:paraId="2109D88B" w14:textId="77777777">
        <w:tblPrEx>
          <w:tblW w:w="9862" w:type="dxa"/>
          <w:tblInd w:w="19" w:type="dxa"/>
          <w:tblCellMar>
            <w:top w:w="57" w:type="dxa"/>
            <w:left w:w="2" w:type="dxa"/>
          </w:tblCellMar>
          <w:tblLook w:val="04A0"/>
        </w:tblPrEx>
        <w:trPr>
          <w:trHeight w:val="421"/>
        </w:trPr>
        <w:tc>
          <w:tcPr>
            <w:tcW w:w="0" w:type="auto"/>
            <w:vMerge/>
            <w:tcBorders>
              <w:top w:val="nil"/>
              <w:left w:val="single" w:sz="2" w:space="0" w:color="000000"/>
              <w:bottom w:val="single" w:sz="2" w:space="0" w:color="000000"/>
              <w:right w:val="single" w:sz="2" w:space="0" w:color="000000"/>
            </w:tcBorders>
          </w:tcPr>
          <w:p w:rsidR="00DA0D9C" w14:paraId="5683E023" w14:textId="77777777">
            <w:pPr>
              <w:spacing w:after="160" w:line="259" w:lineRule="auto"/>
              <w:ind w:left="0" w:right="0" w:firstLine="0"/>
            </w:pPr>
          </w:p>
        </w:tc>
        <w:tc>
          <w:tcPr>
            <w:tcW w:w="1097" w:type="dxa"/>
            <w:tcBorders>
              <w:top w:val="nil"/>
              <w:left w:val="single" w:sz="2" w:space="0" w:color="000000"/>
              <w:bottom w:val="single" w:sz="2" w:space="0" w:color="000000"/>
              <w:right w:val="single" w:sz="2" w:space="0" w:color="000000"/>
            </w:tcBorders>
            <w:shd w:val="clear" w:color="auto" w:fill="F2F2F2"/>
          </w:tcPr>
          <w:p w:rsidR="00DA0D9C" w14:paraId="1C3A73D6" w14:textId="77777777">
            <w:pPr>
              <w:spacing w:after="160" w:line="259" w:lineRule="auto"/>
              <w:ind w:left="0" w:right="0" w:firstLine="0"/>
            </w:pPr>
          </w:p>
        </w:tc>
        <w:tc>
          <w:tcPr>
            <w:tcW w:w="0" w:type="auto"/>
            <w:vMerge/>
            <w:tcBorders>
              <w:top w:val="nil"/>
              <w:left w:val="single" w:sz="2" w:space="0" w:color="000000"/>
              <w:bottom w:val="single" w:sz="2" w:space="0" w:color="000000"/>
              <w:right w:val="single" w:sz="2" w:space="0" w:color="000000"/>
            </w:tcBorders>
          </w:tcPr>
          <w:p w:rsidR="00DA0D9C" w14:paraId="097A9969" w14:textId="77777777">
            <w:pPr>
              <w:spacing w:after="160" w:line="259" w:lineRule="auto"/>
              <w:ind w:left="0" w:right="0" w:firstLine="0"/>
            </w:pPr>
          </w:p>
        </w:tc>
        <w:tc>
          <w:tcPr>
            <w:tcW w:w="0" w:type="auto"/>
            <w:vMerge/>
            <w:tcBorders>
              <w:top w:val="nil"/>
              <w:left w:val="single" w:sz="2" w:space="0" w:color="000000"/>
              <w:bottom w:val="single" w:sz="2" w:space="0" w:color="000000"/>
              <w:right w:val="single" w:sz="2" w:space="0" w:color="000000"/>
            </w:tcBorders>
          </w:tcPr>
          <w:p w:rsidR="00DA0D9C" w14:paraId="3F5BFB41" w14:textId="77777777">
            <w:pPr>
              <w:spacing w:after="160" w:line="259" w:lineRule="auto"/>
              <w:ind w:left="0" w:right="0" w:firstLine="0"/>
            </w:pPr>
          </w:p>
        </w:tc>
        <w:tc>
          <w:tcPr>
            <w:tcW w:w="0" w:type="auto"/>
            <w:vMerge/>
            <w:tcBorders>
              <w:top w:val="nil"/>
              <w:left w:val="single" w:sz="2" w:space="0" w:color="000000"/>
              <w:bottom w:val="single" w:sz="2" w:space="0" w:color="000000"/>
              <w:right w:val="single" w:sz="2" w:space="0" w:color="000000"/>
            </w:tcBorders>
          </w:tcPr>
          <w:p w:rsidR="00DA0D9C" w14:paraId="46C2C999" w14:textId="77777777">
            <w:pPr>
              <w:spacing w:after="160" w:line="259" w:lineRule="auto"/>
              <w:ind w:left="0" w:right="0" w:firstLine="0"/>
            </w:pPr>
          </w:p>
        </w:tc>
        <w:tc>
          <w:tcPr>
            <w:tcW w:w="0" w:type="auto"/>
            <w:vMerge/>
            <w:tcBorders>
              <w:top w:val="nil"/>
              <w:left w:val="single" w:sz="2" w:space="0" w:color="000000"/>
              <w:bottom w:val="single" w:sz="2" w:space="0" w:color="000000"/>
              <w:right w:val="single" w:sz="2" w:space="0" w:color="000000"/>
            </w:tcBorders>
          </w:tcPr>
          <w:p w:rsidR="00DA0D9C" w14:paraId="39BCDC62" w14:textId="77777777">
            <w:pPr>
              <w:spacing w:after="160" w:line="259" w:lineRule="auto"/>
              <w:ind w:left="0" w:right="0" w:firstLine="0"/>
            </w:pPr>
          </w:p>
        </w:tc>
        <w:tc>
          <w:tcPr>
            <w:tcW w:w="0" w:type="auto"/>
            <w:vMerge/>
            <w:tcBorders>
              <w:top w:val="nil"/>
              <w:left w:val="single" w:sz="2" w:space="0" w:color="000000"/>
              <w:bottom w:val="single" w:sz="2" w:space="0" w:color="000000"/>
              <w:right w:val="single" w:sz="2" w:space="0" w:color="000000"/>
            </w:tcBorders>
          </w:tcPr>
          <w:p w:rsidR="00DA0D9C" w14:paraId="1D5F615D" w14:textId="77777777">
            <w:pPr>
              <w:spacing w:after="160" w:line="259" w:lineRule="auto"/>
              <w:ind w:left="0" w:right="0" w:firstLine="0"/>
            </w:pPr>
          </w:p>
        </w:tc>
        <w:tc>
          <w:tcPr>
            <w:tcW w:w="0" w:type="auto"/>
            <w:vMerge/>
            <w:tcBorders>
              <w:top w:val="nil"/>
              <w:left w:val="single" w:sz="2" w:space="0" w:color="000000"/>
              <w:bottom w:val="single" w:sz="2" w:space="0" w:color="000000"/>
              <w:right w:val="single" w:sz="2" w:space="0" w:color="000000"/>
            </w:tcBorders>
          </w:tcPr>
          <w:p w:rsidR="00DA0D9C" w14:paraId="6F26E461" w14:textId="77777777">
            <w:pPr>
              <w:spacing w:after="160" w:line="259" w:lineRule="auto"/>
              <w:ind w:left="0" w:right="0" w:firstLine="0"/>
            </w:pPr>
          </w:p>
        </w:tc>
        <w:tc>
          <w:tcPr>
            <w:tcW w:w="0" w:type="auto"/>
            <w:vMerge/>
            <w:tcBorders>
              <w:top w:val="nil"/>
              <w:left w:val="single" w:sz="2" w:space="0" w:color="000000"/>
              <w:bottom w:val="single" w:sz="2" w:space="0" w:color="000000"/>
              <w:right w:val="single" w:sz="2" w:space="0" w:color="000000"/>
            </w:tcBorders>
          </w:tcPr>
          <w:p w:rsidR="00DA0D9C" w14:paraId="421454E6" w14:textId="77777777">
            <w:pPr>
              <w:spacing w:after="160" w:line="259" w:lineRule="auto"/>
              <w:ind w:left="0" w:right="0" w:firstLine="0"/>
            </w:pPr>
          </w:p>
        </w:tc>
      </w:tr>
    </w:tbl>
    <w:p w:rsidR="00DA0D9C" w14:paraId="11C50FEF" w14:textId="77777777">
      <w:pPr>
        <w:spacing w:after="0" w:line="259" w:lineRule="auto"/>
        <w:ind w:left="533" w:right="0" w:firstLine="0"/>
      </w:pPr>
      <w:r>
        <w:rPr>
          <w:sz w:val="25"/>
        </w:rPr>
        <w:t xml:space="preserve"> </w:t>
      </w:r>
      <w:r>
        <w:t xml:space="preserve"> </w:t>
      </w:r>
    </w:p>
    <w:p w:rsidR="00DA0D9C" w14:paraId="50010995" w14:textId="77777777">
      <w:pPr>
        <w:spacing w:after="0" w:line="259" w:lineRule="auto"/>
        <w:ind w:left="533" w:right="0" w:firstLine="0"/>
      </w:pPr>
      <w:r>
        <w:rPr>
          <w:i/>
        </w:rPr>
        <w:t xml:space="preserve"> </w:t>
      </w:r>
      <w:r>
        <w:t xml:space="preserve"> </w:t>
      </w:r>
    </w:p>
    <w:p w:rsidR="00DA0D9C" w14:paraId="52D97717" w14:textId="77777777">
      <w:pPr>
        <w:pStyle w:val="Heading2"/>
        <w:ind w:left="511"/>
      </w:pPr>
      <w:r>
        <w:t xml:space="preserve">Collection of Information Instruments and Instruction/Guidance Documents  </w:t>
      </w:r>
    </w:p>
    <w:p w:rsidR="00DA0D9C" w14:paraId="7BBA7EA6" w14:textId="77777777">
      <w:pPr>
        <w:spacing w:after="81" w:line="259" w:lineRule="auto"/>
        <w:ind w:left="533" w:right="0" w:firstLine="0"/>
      </w:pPr>
      <w:r>
        <w:t xml:space="preserve">  </w:t>
      </w:r>
    </w:p>
    <w:p w:rsidR="00DA0D9C" w14:paraId="3C99A994" w14:textId="77777777">
      <w:pPr>
        <w:ind w:left="903" w:right="862"/>
      </w:pPr>
      <w:r>
        <w:rPr>
          <w:rFonts w:ascii="Segoe UI Symbol" w:eastAsia="Segoe UI Symbol" w:hAnsi="Segoe UI Symbol" w:cs="Segoe UI Symbol"/>
        </w:rPr>
        <w:t>•</w:t>
      </w:r>
      <w:r>
        <w:rPr>
          <w:rFonts w:ascii="Arial" w:eastAsia="Arial" w:hAnsi="Arial" w:cs="Arial"/>
        </w:rPr>
        <w:t xml:space="preserve"> </w:t>
      </w:r>
      <w:r>
        <w:t>Attachment A: Model of Care Matrix Document (Revised)</w:t>
      </w:r>
      <w:r>
        <w:rPr>
          <w:sz w:val="37"/>
        </w:rPr>
        <w:t xml:space="preserve"> </w:t>
      </w:r>
      <w:r>
        <w:t xml:space="preserve"> </w:t>
      </w:r>
    </w:p>
    <w:p w:rsidR="00DA0D9C" w14:paraId="6E0B7598" w14:textId="77777777">
      <w:pPr>
        <w:spacing w:after="5" w:line="259" w:lineRule="auto"/>
        <w:ind w:left="533" w:right="0" w:firstLine="0"/>
      </w:pPr>
      <w:r>
        <w:t xml:space="preserve"> </w:t>
      </w:r>
    </w:p>
    <w:p w:rsidR="00DA0D9C" w14:paraId="48AB3876" w14:textId="77777777">
      <w:pPr>
        <w:pStyle w:val="Heading3"/>
        <w:tabs>
          <w:tab w:val="center" w:pos="673"/>
          <w:tab w:val="center" w:pos="3394"/>
        </w:tabs>
        <w:ind w:left="-15" w:firstLine="0"/>
      </w:pPr>
      <w:r>
        <w:rPr>
          <w:rFonts w:ascii="Calibri" w:eastAsia="Calibri" w:hAnsi="Calibri" w:cs="Calibri"/>
          <w:sz w:val="22"/>
          <w:u w:val="none"/>
        </w:rPr>
        <w:t xml:space="preserve"> </w:t>
      </w:r>
      <w:r>
        <w:rPr>
          <w:rFonts w:ascii="Calibri" w:eastAsia="Calibri" w:hAnsi="Calibri" w:cs="Calibri"/>
          <w:sz w:val="22"/>
          <w:u w:val="none"/>
        </w:rPr>
        <w:tab/>
      </w:r>
      <w:r>
        <w:rPr>
          <w:u w:val="none"/>
        </w:rPr>
        <w:t>13.</w:t>
      </w:r>
      <w:r>
        <w:rPr>
          <w:rFonts w:ascii="Arial" w:eastAsia="Arial" w:hAnsi="Arial" w:cs="Arial"/>
          <w:u w:val="none"/>
        </w:rPr>
        <w:t xml:space="preserve">  </w:t>
      </w:r>
      <w:r>
        <w:rPr>
          <w:rFonts w:ascii="Arial" w:eastAsia="Arial" w:hAnsi="Arial" w:cs="Arial"/>
          <w:u w:val="none"/>
        </w:rPr>
        <w:tab/>
      </w:r>
      <w:r>
        <w:t>Capital Cost (Maintenance of Capital Costs)</w:t>
      </w:r>
      <w:r>
        <w:rPr>
          <w:u w:val="none"/>
        </w:rPr>
        <w:t xml:space="preserve">  </w:t>
      </w:r>
    </w:p>
    <w:p w:rsidR="00DA0D9C" w14:paraId="6BA1E49A" w14:textId="77777777">
      <w:pPr>
        <w:spacing w:after="0" w:line="259" w:lineRule="auto"/>
        <w:ind w:left="533" w:right="0" w:firstLine="0"/>
      </w:pPr>
      <w:r>
        <w:rPr>
          <w:sz w:val="17"/>
        </w:rPr>
        <w:t xml:space="preserve"> </w:t>
      </w:r>
      <w:r>
        <w:t xml:space="preserve"> </w:t>
      </w:r>
    </w:p>
    <w:p w:rsidR="00DA0D9C" w14:paraId="3CCBCAB4" w14:textId="6CEF7A30">
      <w:pPr>
        <w:ind w:left="542" w:right="862"/>
      </w:pPr>
      <w:r>
        <w:t xml:space="preserve">We do not anticipate additional capital costs. CMS does not require the acquisition of new systems or the development of new technology to complete the MOC submissions. System requirements for submitting HPMS applicant information are minimal and should already be met by MAOs as they already use HPMS. MAOs will need the following access to HPMS: (1) Internet or Medicare Data Communications Network (MDCN) connectivity; (2) use of Microsoft Internet Explorer web browser (version 5.1 or higher) with 128-bits encryption; and (3) a </w:t>
      </w:r>
      <w:r w:rsidR="00BA037F">
        <w:t>CMS issued</w:t>
      </w:r>
      <w:r>
        <w:t xml:space="preserve"> user ID and password with access rights to HPMS for each user within the MAO who will require such access. CMS anticipates that all qualified MAOs meet these system requirements and will not incur additional capital costs. </w:t>
      </w:r>
      <w:r>
        <w:rPr>
          <w:sz w:val="30"/>
        </w:rPr>
        <w:t xml:space="preserve">  </w:t>
      </w:r>
    </w:p>
    <w:p w:rsidR="00DA0D9C" w14:paraId="712C1E73" w14:textId="77777777">
      <w:pPr>
        <w:spacing w:after="19" w:line="259" w:lineRule="auto"/>
        <w:ind w:left="538" w:right="0" w:firstLine="0"/>
      </w:pPr>
      <w:r>
        <w:t xml:space="preserve"> </w:t>
      </w:r>
    </w:p>
    <w:p w:rsidR="00DA0D9C" w14:paraId="4499116C" w14:textId="77777777">
      <w:pPr>
        <w:pStyle w:val="Heading3"/>
        <w:tabs>
          <w:tab w:val="center" w:pos="673"/>
          <w:tab w:val="center" w:pos="2640"/>
        </w:tabs>
        <w:ind w:left="-15" w:firstLine="0"/>
      </w:pPr>
      <w:r>
        <w:rPr>
          <w:rFonts w:ascii="Calibri" w:eastAsia="Calibri" w:hAnsi="Calibri" w:cs="Calibri"/>
          <w:sz w:val="22"/>
          <w:u w:val="none"/>
        </w:rPr>
        <w:t xml:space="preserve"> </w:t>
      </w:r>
      <w:r>
        <w:rPr>
          <w:rFonts w:ascii="Calibri" w:eastAsia="Calibri" w:hAnsi="Calibri" w:cs="Calibri"/>
          <w:sz w:val="22"/>
          <w:u w:val="none"/>
        </w:rPr>
        <w:tab/>
      </w:r>
      <w:r>
        <w:rPr>
          <w:u w:val="none"/>
        </w:rPr>
        <w:t>14.</w:t>
      </w:r>
      <w:r>
        <w:rPr>
          <w:rFonts w:ascii="Arial" w:eastAsia="Arial" w:hAnsi="Arial" w:cs="Arial"/>
          <w:u w:val="none"/>
        </w:rPr>
        <w:t xml:space="preserve">  </w:t>
      </w:r>
      <w:r>
        <w:rPr>
          <w:rFonts w:ascii="Arial" w:eastAsia="Arial" w:hAnsi="Arial" w:cs="Arial"/>
          <w:u w:val="none"/>
        </w:rPr>
        <w:tab/>
      </w:r>
      <w:r>
        <w:t>Cost to Federal Government</w:t>
      </w:r>
      <w:r>
        <w:rPr>
          <w:u w:val="none"/>
        </w:rPr>
        <w:t xml:space="preserve">  </w:t>
      </w:r>
    </w:p>
    <w:p w:rsidR="00DA0D9C" w14:paraId="3F3E2896" w14:textId="77777777">
      <w:pPr>
        <w:spacing w:line="259" w:lineRule="auto"/>
        <w:ind w:left="533" w:right="0" w:firstLine="0"/>
      </w:pPr>
      <w:r>
        <w:rPr>
          <w:sz w:val="16"/>
        </w:rPr>
        <w:t xml:space="preserve"> </w:t>
      </w:r>
      <w:r>
        <w:t xml:space="preserve"> </w:t>
      </w:r>
    </w:p>
    <w:p w:rsidR="00DA0D9C" w14:paraId="4EA7DFDA" w14:textId="77777777">
      <w:pPr>
        <w:spacing w:after="254"/>
        <w:ind w:left="542" w:right="862"/>
      </w:pPr>
      <w:r>
        <w:t xml:space="preserve">The annualized cost to the federal government for NCQA to review the MOC summary for initial and renewal submissions is included in a contract with CMS. Further, the annual cost to the federal government to maintain HPMS is included in a separate contract between Softrams LLC and CMS.  </w:t>
      </w:r>
    </w:p>
    <w:p w:rsidR="00DA0D9C" w14:paraId="1943947A" w14:textId="77777777">
      <w:pPr>
        <w:spacing w:after="270"/>
        <w:ind w:left="542" w:right="862"/>
      </w:pPr>
      <w:r>
        <w:t xml:space="preserve">NCQA’s salary information listed below derives from the invoice data under the CMS contract with NCQA to train the SNP staff and review the MOCs. Softrams LLC salary information listed below derives from the invoice data under the CMS contract to develop and maintain the MOC module in HPMS.  </w:t>
      </w:r>
    </w:p>
    <w:p w:rsidR="00DA0D9C" w14:paraId="50A3BD79" w14:textId="77777777">
      <w:pPr>
        <w:pStyle w:val="Heading2"/>
        <w:spacing w:after="237"/>
        <w:ind w:left="511"/>
      </w:pPr>
      <w:r>
        <w:rPr>
          <w:b/>
        </w:rPr>
        <w:t xml:space="preserve">Initial and Renewal Submission </w:t>
      </w:r>
      <w:r>
        <w:t xml:space="preserve"> </w:t>
      </w:r>
    </w:p>
    <w:p w:rsidR="00DA0D9C" w14:paraId="34A8AACB" w14:textId="77777777">
      <w:pPr>
        <w:spacing w:after="295"/>
        <w:ind w:left="542" w:right="862"/>
      </w:pPr>
      <w:r>
        <w:t xml:space="preserve">Under a contract with CMS, NCQA trains MAOs on how to: (1) develop the MOC for the information collection using CMS guidelines; (2) complete the MOC Matrix Document: Initial Application and Renewal Submission; (3) upload the MOC narrative; and (4) submit the documents into HPMS. NCQA also reviews the MOCs. The collection will be entered into </w:t>
      </w:r>
      <w:r>
        <w:t xml:space="preserve">HPMS, an existing agency platform which is developed and maintained by Softrams LLC, under a separate contract with CMS.  </w:t>
      </w:r>
    </w:p>
    <w:p w:rsidR="00DA0D9C" w14:paraId="45ACED6F" w14:textId="77777777">
      <w:pPr>
        <w:spacing w:after="0" w:line="259" w:lineRule="auto"/>
        <w:ind w:left="0" w:right="0" w:firstLine="0"/>
      </w:pPr>
      <w:r>
        <w:t xml:space="preserve"> </w:t>
      </w:r>
      <w:r>
        <w:tab/>
        <w:t xml:space="preserve"> </w:t>
      </w:r>
    </w:p>
    <w:p w:rsidR="00DA0D9C" w14:paraId="161DA44D" w14:textId="77777777">
      <w:pPr>
        <w:spacing w:after="256" w:line="259" w:lineRule="auto"/>
        <w:ind w:left="538" w:right="0" w:firstLine="0"/>
      </w:pPr>
      <w:r>
        <w:t xml:space="preserve"> </w:t>
      </w:r>
    </w:p>
    <w:p w:rsidR="00DA0D9C" w14:paraId="0A34E3CF" w14:textId="77777777">
      <w:pPr>
        <w:pStyle w:val="Heading2"/>
        <w:ind w:left="511"/>
      </w:pPr>
      <w:r>
        <w:rPr>
          <w:b/>
        </w:rPr>
        <w:t xml:space="preserve">Burden Summary: Federal Government </w:t>
      </w:r>
      <w:r>
        <w:t xml:space="preserve"> </w:t>
      </w:r>
    </w:p>
    <w:tbl>
      <w:tblPr>
        <w:tblStyle w:val="TableGrid"/>
        <w:tblW w:w="9449" w:type="dxa"/>
        <w:tblInd w:w="451" w:type="dxa"/>
        <w:tblCellMar>
          <w:top w:w="114" w:type="dxa"/>
          <w:left w:w="2" w:type="dxa"/>
          <w:right w:w="91" w:type="dxa"/>
        </w:tblCellMar>
        <w:tblLook w:val="04A0"/>
      </w:tblPr>
      <w:tblGrid>
        <w:gridCol w:w="3780"/>
        <w:gridCol w:w="3677"/>
        <w:gridCol w:w="1992"/>
      </w:tblGrid>
      <w:tr w14:paraId="731A588B" w14:textId="77777777">
        <w:tblPrEx>
          <w:tblW w:w="9449" w:type="dxa"/>
          <w:tblInd w:w="451" w:type="dxa"/>
          <w:tblCellMar>
            <w:top w:w="114" w:type="dxa"/>
            <w:left w:w="2" w:type="dxa"/>
            <w:right w:w="91" w:type="dxa"/>
          </w:tblCellMar>
          <w:tblLook w:val="04A0"/>
        </w:tblPrEx>
        <w:trPr>
          <w:trHeight w:val="658"/>
        </w:trPr>
        <w:tc>
          <w:tcPr>
            <w:tcW w:w="3780" w:type="dxa"/>
            <w:tcBorders>
              <w:top w:val="single" w:sz="2" w:space="0" w:color="000000"/>
              <w:left w:val="single" w:sz="2" w:space="0" w:color="000000"/>
              <w:bottom w:val="single" w:sz="2" w:space="0" w:color="000000"/>
              <w:right w:val="single" w:sz="2" w:space="0" w:color="000000"/>
            </w:tcBorders>
          </w:tcPr>
          <w:p w:rsidR="00DA0D9C" w14:paraId="2A143AC4" w14:textId="77777777">
            <w:pPr>
              <w:spacing w:after="0" w:line="259" w:lineRule="auto"/>
              <w:ind w:left="0" w:right="0" w:firstLine="0"/>
            </w:pPr>
            <w:r>
              <w:t xml:space="preserve">NCQA: Train MAOs and review  </w:t>
            </w:r>
          </w:p>
          <w:p w:rsidR="00DA0D9C" w14:paraId="651F3E61" w14:textId="77777777">
            <w:pPr>
              <w:spacing w:after="0" w:line="259" w:lineRule="auto"/>
              <w:ind w:left="0" w:right="0" w:firstLine="0"/>
            </w:pPr>
            <w:r>
              <w:t xml:space="preserve">MOCs  </w:t>
            </w:r>
          </w:p>
        </w:tc>
        <w:tc>
          <w:tcPr>
            <w:tcW w:w="3677" w:type="dxa"/>
            <w:tcBorders>
              <w:top w:val="single" w:sz="2" w:space="0" w:color="000000"/>
              <w:left w:val="single" w:sz="2" w:space="0" w:color="000000"/>
              <w:bottom w:val="single" w:sz="2" w:space="0" w:color="000000"/>
              <w:right w:val="single" w:sz="2" w:space="0" w:color="000000"/>
            </w:tcBorders>
          </w:tcPr>
          <w:p w:rsidR="00DA0D9C" w14:paraId="7AA8EC85" w14:textId="77777777">
            <w:pPr>
              <w:spacing w:after="0" w:line="259" w:lineRule="auto"/>
              <w:ind w:left="0" w:right="0" w:firstLine="0"/>
            </w:pPr>
            <w:r>
              <w:t xml:space="preserve">12 </w:t>
            </w:r>
            <w:r>
              <w:t>hr</w:t>
            </w:r>
            <w:r>
              <w:t xml:space="preserve"> x $</w:t>
            </w:r>
            <w:r>
              <w:rPr>
                <w:sz w:val="22"/>
              </w:rPr>
              <w:t xml:space="preserve"> 179.07</w:t>
            </w:r>
            <w:r>
              <w:t>/</w:t>
            </w:r>
            <w:r>
              <w:t>hr</w:t>
            </w:r>
            <w:r>
              <w:t xml:space="preserve">* x 410  </w:t>
            </w:r>
          </w:p>
        </w:tc>
        <w:tc>
          <w:tcPr>
            <w:tcW w:w="1992" w:type="dxa"/>
            <w:tcBorders>
              <w:top w:val="single" w:sz="2" w:space="0" w:color="000000"/>
              <w:left w:val="single" w:sz="2" w:space="0" w:color="000000"/>
              <w:bottom w:val="single" w:sz="2" w:space="0" w:color="000000"/>
              <w:right w:val="single" w:sz="2" w:space="0" w:color="000000"/>
            </w:tcBorders>
          </w:tcPr>
          <w:p w:rsidR="00DA0D9C" w14:paraId="3D86AFFD" w14:textId="77777777">
            <w:pPr>
              <w:spacing w:after="0" w:line="259" w:lineRule="auto"/>
              <w:ind w:left="0" w:right="24" w:firstLine="0"/>
              <w:jc w:val="center"/>
            </w:pPr>
            <w:r>
              <w:t xml:space="preserve">$881,024 </w:t>
            </w:r>
          </w:p>
        </w:tc>
      </w:tr>
      <w:tr w14:paraId="4B27EABB" w14:textId="77777777">
        <w:tblPrEx>
          <w:tblW w:w="9449" w:type="dxa"/>
          <w:tblInd w:w="451" w:type="dxa"/>
          <w:tblCellMar>
            <w:top w:w="114" w:type="dxa"/>
            <w:left w:w="2" w:type="dxa"/>
            <w:right w:w="91" w:type="dxa"/>
          </w:tblCellMar>
          <w:tblLook w:val="04A0"/>
        </w:tblPrEx>
        <w:trPr>
          <w:trHeight w:val="701"/>
        </w:trPr>
        <w:tc>
          <w:tcPr>
            <w:tcW w:w="3780" w:type="dxa"/>
            <w:tcBorders>
              <w:top w:val="single" w:sz="2" w:space="0" w:color="000000"/>
              <w:left w:val="single" w:sz="2" w:space="0" w:color="000000"/>
              <w:bottom w:val="single" w:sz="2" w:space="0" w:color="000000"/>
              <w:right w:val="single" w:sz="2" w:space="0" w:color="000000"/>
            </w:tcBorders>
          </w:tcPr>
          <w:p w:rsidR="00DA0D9C" w14:paraId="54C3D251" w14:textId="77777777">
            <w:pPr>
              <w:spacing w:after="0" w:line="259" w:lineRule="auto"/>
              <w:ind w:left="0" w:right="0" w:firstLine="0"/>
              <w:jc w:val="both"/>
            </w:pPr>
            <w:r>
              <w:t xml:space="preserve">Softrams LLC: Develop and maintain </w:t>
            </w:r>
          </w:p>
          <w:p w:rsidR="00DA0D9C" w14:paraId="77685726" w14:textId="77777777">
            <w:pPr>
              <w:spacing w:after="0" w:line="259" w:lineRule="auto"/>
              <w:ind w:left="0" w:right="0" w:firstLine="0"/>
            </w:pPr>
            <w:r>
              <w:t xml:space="preserve">MOC module  </w:t>
            </w:r>
          </w:p>
        </w:tc>
        <w:tc>
          <w:tcPr>
            <w:tcW w:w="3677" w:type="dxa"/>
            <w:tcBorders>
              <w:top w:val="single" w:sz="2" w:space="0" w:color="000000"/>
              <w:left w:val="single" w:sz="2" w:space="0" w:color="000000"/>
              <w:bottom w:val="single" w:sz="2" w:space="0" w:color="000000"/>
              <w:right w:val="single" w:sz="2" w:space="0" w:color="000000"/>
            </w:tcBorders>
          </w:tcPr>
          <w:p w:rsidR="00DA0D9C" w14:paraId="78E431F4" w14:textId="77777777">
            <w:pPr>
              <w:spacing w:after="0" w:line="259" w:lineRule="auto"/>
              <w:ind w:left="0" w:right="0" w:firstLine="0"/>
            </w:pPr>
            <w:r>
              <w:t xml:space="preserve">5 </w:t>
            </w:r>
            <w:r>
              <w:t>hr</w:t>
            </w:r>
            <w:r>
              <w:t xml:space="preserve"> x $135.57</w:t>
            </w:r>
            <w:r>
              <w:rPr>
                <w:sz w:val="22"/>
              </w:rPr>
              <w:t xml:space="preserve"> </w:t>
            </w:r>
            <w:r>
              <w:t>/</w:t>
            </w:r>
            <w:r>
              <w:t>hr</w:t>
            </w:r>
            <w:r>
              <w:t xml:space="preserve">* x 100  </w:t>
            </w:r>
          </w:p>
        </w:tc>
        <w:tc>
          <w:tcPr>
            <w:tcW w:w="1992" w:type="dxa"/>
            <w:tcBorders>
              <w:top w:val="single" w:sz="2" w:space="0" w:color="000000"/>
              <w:left w:val="single" w:sz="2" w:space="0" w:color="000000"/>
              <w:bottom w:val="single" w:sz="2" w:space="0" w:color="000000"/>
              <w:right w:val="single" w:sz="2" w:space="0" w:color="000000"/>
            </w:tcBorders>
          </w:tcPr>
          <w:p w:rsidR="00DA0D9C" w14:paraId="655D663C" w14:textId="77777777">
            <w:pPr>
              <w:spacing w:after="0" w:line="259" w:lineRule="auto"/>
              <w:ind w:left="0" w:right="24" w:firstLine="0"/>
              <w:jc w:val="center"/>
            </w:pPr>
            <w:r>
              <w:t xml:space="preserve">$67,785 </w:t>
            </w:r>
          </w:p>
        </w:tc>
      </w:tr>
      <w:tr w14:paraId="42FA5D92" w14:textId="77777777">
        <w:tblPrEx>
          <w:tblW w:w="9449" w:type="dxa"/>
          <w:tblInd w:w="451" w:type="dxa"/>
          <w:tblCellMar>
            <w:top w:w="114" w:type="dxa"/>
            <w:left w:w="2" w:type="dxa"/>
            <w:right w:w="91" w:type="dxa"/>
          </w:tblCellMar>
          <w:tblLook w:val="04A0"/>
        </w:tblPrEx>
        <w:trPr>
          <w:trHeight w:val="521"/>
        </w:trPr>
        <w:tc>
          <w:tcPr>
            <w:tcW w:w="7457" w:type="dxa"/>
            <w:gridSpan w:val="2"/>
            <w:tcBorders>
              <w:top w:val="single" w:sz="2" w:space="0" w:color="000000"/>
              <w:left w:val="single" w:sz="2" w:space="0" w:color="000000"/>
              <w:bottom w:val="single" w:sz="2" w:space="0" w:color="000000"/>
              <w:right w:val="single" w:sz="2" w:space="0" w:color="000000"/>
            </w:tcBorders>
            <w:vAlign w:val="center"/>
          </w:tcPr>
          <w:p w:rsidR="00DA0D9C" w14:paraId="5564E717" w14:textId="77777777">
            <w:pPr>
              <w:tabs>
                <w:tab w:val="center" w:pos="3780"/>
              </w:tabs>
              <w:spacing w:after="0" w:line="259" w:lineRule="auto"/>
              <w:ind w:left="0" w:right="0" w:firstLine="0"/>
            </w:pPr>
            <w:r>
              <w:t xml:space="preserve">SUBTOTAL  </w:t>
            </w:r>
            <w:r>
              <w:tab/>
            </w:r>
            <w:r>
              <w:t xml:space="preserve"> </w:t>
            </w:r>
          </w:p>
        </w:tc>
        <w:tc>
          <w:tcPr>
            <w:tcW w:w="1992" w:type="dxa"/>
            <w:tcBorders>
              <w:top w:val="single" w:sz="2" w:space="0" w:color="000000"/>
              <w:left w:val="single" w:sz="2" w:space="0" w:color="000000"/>
              <w:bottom w:val="single" w:sz="2" w:space="0" w:color="000000"/>
              <w:right w:val="single" w:sz="2" w:space="0" w:color="000000"/>
            </w:tcBorders>
            <w:vAlign w:val="center"/>
          </w:tcPr>
          <w:p w:rsidR="00DA0D9C" w14:paraId="1B02516C" w14:textId="77777777">
            <w:pPr>
              <w:spacing w:after="0" w:line="259" w:lineRule="auto"/>
              <w:ind w:left="0" w:right="24" w:firstLine="0"/>
              <w:jc w:val="center"/>
            </w:pPr>
            <w:r>
              <w:t xml:space="preserve">$948,809 </w:t>
            </w:r>
          </w:p>
        </w:tc>
      </w:tr>
    </w:tbl>
    <w:p w:rsidR="00DA0D9C" w14:paraId="19E492DE" w14:textId="77777777">
      <w:pPr>
        <w:spacing w:after="308" w:line="264" w:lineRule="auto"/>
        <w:ind w:left="1246" w:right="0"/>
      </w:pPr>
      <w:r>
        <w:rPr>
          <w:sz w:val="18"/>
        </w:rPr>
        <w:t>*Includes fringe, indirect rates</w:t>
      </w:r>
      <w:r>
        <w:t xml:space="preserve"> </w:t>
      </w:r>
    </w:p>
    <w:p w:rsidR="00DA0D9C" w14:paraId="70E3068B" w14:textId="77777777">
      <w:pPr>
        <w:pStyle w:val="Heading2"/>
        <w:spacing w:after="237"/>
        <w:ind w:left="511"/>
      </w:pPr>
      <w:r>
        <w:rPr>
          <w:b/>
        </w:rPr>
        <w:t xml:space="preserve">Off-Cycle Submission </w:t>
      </w:r>
      <w:r>
        <w:t xml:space="preserve"> </w:t>
      </w:r>
    </w:p>
    <w:p w:rsidR="00DA0D9C" w14:paraId="507EEFAA" w14:textId="77777777">
      <w:pPr>
        <w:spacing w:after="270"/>
        <w:ind w:left="542" w:right="862"/>
      </w:pPr>
      <w:r>
        <w:t xml:space="preserve">The annualized cost to the federal government for the MOC summary review is included in a contract with CMS and NCQA for the MOC review. The collection will be entered into HPMS, an existing agency platform which is developed and maintained by Softrams LLC, under a separate contract with CMS.  </w:t>
      </w:r>
    </w:p>
    <w:p w:rsidR="00DA0D9C" w14:paraId="30BD3FA0" w14:textId="77777777">
      <w:pPr>
        <w:pStyle w:val="Heading2"/>
        <w:ind w:left="511"/>
      </w:pPr>
      <w:r>
        <w:rPr>
          <w:b/>
        </w:rPr>
        <w:t xml:space="preserve">Burden Summary: Federal Government </w:t>
      </w:r>
      <w:r>
        <w:t xml:space="preserve"> </w:t>
      </w:r>
    </w:p>
    <w:tbl>
      <w:tblPr>
        <w:tblStyle w:val="TableGrid"/>
        <w:tblW w:w="9622" w:type="dxa"/>
        <w:tblInd w:w="271" w:type="dxa"/>
        <w:tblCellMar>
          <w:top w:w="62" w:type="dxa"/>
          <w:left w:w="108" w:type="dxa"/>
          <w:right w:w="115" w:type="dxa"/>
        </w:tblCellMar>
        <w:tblLook w:val="04A0"/>
      </w:tblPr>
      <w:tblGrid>
        <w:gridCol w:w="5489"/>
        <w:gridCol w:w="2611"/>
        <w:gridCol w:w="1522"/>
      </w:tblGrid>
      <w:tr w14:paraId="22C15DDB" w14:textId="77777777">
        <w:tblPrEx>
          <w:tblW w:w="9622" w:type="dxa"/>
          <w:tblInd w:w="271" w:type="dxa"/>
          <w:tblCellMar>
            <w:top w:w="62" w:type="dxa"/>
            <w:left w:w="108" w:type="dxa"/>
            <w:right w:w="115" w:type="dxa"/>
          </w:tblCellMar>
          <w:tblLook w:val="04A0"/>
        </w:tblPrEx>
        <w:trPr>
          <w:trHeight w:val="300"/>
        </w:trPr>
        <w:tc>
          <w:tcPr>
            <w:tcW w:w="5489" w:type="dxa"/>
            <w:tcBorders>
              <w:top w:val="single" w:sz="4" w:space="0" w:color="000000"/>
              <w:left w:val="single" w:sz="4" w:space="0" w:color="000000"/>
              <w:bottom w:val="single" w:sz="4" w:space="0" w:color="000000"/>
              <w:right w:val="single" w:sz="4" w:space="0" w:color="000000"/>
            </w:tcBorders>
          </w:tcPr>
          <w:p w:rsidR="00DA0D9C" w14:paraId="673EA20F" w14:textId="77777777">
            <w:pPr>
              <w:spacing w:after="0" w:line="259" w:lineRule="auto"/>
              <w:ind w:left="0" w:right="0" w:firstLine="0"/>
            </w:pPr>
            <w:r>
              <w:t xml:space="preserve">NCQA Review MOC Summary </w:t>
            </w:r>
          </w:p>
        </w:tc>
        <w:tc>
          <w:tcPr>
            <w:tcW w:w="2611" w:type="dxa"/>
            <w:tcBorders>
              <w:top w:val="single" w:sz="4" w:space="0" w:color="000000"/>
              <w:left w:val="single" w:sz="4" w:space="0" w:color="000000"/>
              <w:bottom w:val="single" w:sz="4" w:space="0" w:color="000000"/>
              <w:right w:val="single" w:sz="4" w:space="0" w:color="000000"/>
            </w:tcBorders>
          </w:tcPr>
          <w:p w:rsidR="00DA0D9C" w14:paraId="68DBF77B" w14:textId="77777777">
            <w:pPr>
              <w:spacing w:after="0" w:line="259" w:lineRule="auto"/>
              <w:ind w:left="0" w:right="0" w:firstLine="0"/>
            </w:pPr>
            <w:r>
              <w:t xml:space="preserve">4 </w:t>
            </w:r>
            <w:r>
              <w:t>hr</w:t>
            </w:r>
            <w:r>
              <w:t xml:space="preserve"> x $179.07/</w:t>
            </w:r>
            <w:r>
              <w:t>hr</w:t>
            </w:r>
            <w:r>
              <w:t xml:space="preserve">*x150 </w:t>
            </w:r>
          </w:p>
        </w:tc>
        <w:tc>
          <w:tcPr>
            <w:tcW w:w="1522" w:type="dxa"/>
            <w:tcBorders>
              <w:top w:val="single" w:sz="4" w:space="0" w:color="000000"/>
              <w:left w:val="single" w:sz="4" w:space="0" w:color="000000"/>
              <w:bottom w:val="single" w:sz="4" w:space="0" w:color="000000"/>
              <w:right w:val="single" w:sz="4" w:space="0" w:color="000000"/>
            </w:tcBorders>
          </w:tcPr>
          <w:p w:rsidR="00DA0D9C" w14:paraId="59B22850" w14:textId="77777777">
            <w:pPr>
              <w:spacing w:after="0" w:line="259" w:lineRule="auto"/>
              <w:ind w:right="0" w:firstLine="0"/>
              <w:jc w:val="center"/>
            </w:pPr>
            <w:r>
              <w:t xml:space="preserve">$107,442 </w:t>
            </w:r>
          </w:p>
        </w:tc>
      </w:tr>
      <w:tr w14:paraId="68F8D2FE" w14:textId="77777777">
        <w:tblPrEx>
          <w:tblW w:w="9622" w:type="dxa"/>
          <w:tblInd w:w="271" w:type="dxa"/>
          <w:tblCellMar>
            <w:top w:w="62" w:type="dxa"/>
            <w:left w:w="108" w:type="dxa"/>
            <w:right w:w="115" w:type="dxa"/>
          </w:tblCellMar>
          <w:tblLook w:val="04A0"/>
        </w:tblPrEx>
        <w:trPr>
          <w:trHeight w:val="300"/>
        </w:trPr>
        <w:tc>
          <w:tcPr>
            <w:tcW w:w="5489" w:type="dxa"/>
            <w:tcBorders>
              <w:top w:val="single" w:sz="4" w:space="0" w:color="000000"/>
              <w:left w:val="single" w:sz="4" w:space="0" w:color="000000"/>
              <w:bottom w:val="single" w:sz="4" w:space="0" w:color="000000"/>
              <w:right w:val="single" w:sz="4" w:space="0" w:color="000000"/>
            </w:tcBorders>
          </w:tcPr>
          <w:p w:rsidR="00DA0D9C" w14:paraId="6F3A5766" w14:textId="77777777">
            <w:pPr>
              <w:spacing w:after="0" w:line="259" w:lineRule="auto"/>
              <w:ind w:left="0" w:right="0" w:firstLine="0"/>
            </w:pPr>
            <w:r>
              <w:t xml:space="preserve">Softrams LLC Develop and Maintain MOC module </w:t>
            </w:r>
          </w:p>
        </w:tc>
        <w:tc>
          <w:tcPr>
            <w:tcW w:w="2611" w:type="dxa"/>
            <w:tcBorders>
              <w:top w:val="single" w:sz="4" w:space="0" w:color="000000"/>
              <w:left w:val="single" w:sz="4" w:space="0" w:color="000000"/>
              <w:bottom w:val="single" w:sz="4" w:space="0" w:color="000000"/>
              <w:right w:val="single" w:sz="4" w:space="0" w:color="000000"/>
            </w:tcBorders>
          </w:tcPr>
          <w:p w:rsidR="00DA0D9C" w14:paraId="2C37D0C7" w14:textId="77777777">
            <w:pPr>
              <w:spacing w:after="0" w:line="259" w:lineRule="auto"/>
              <w:ind w:left="0" w:right="0" w:firstLine="0"/>
            </w:pPr>
            <w:r>
              <w:t xml:space="preserve">5 </w:t>
            </w:r>
            <w:r>
              <w:t>hr</w:t>
            </w:r>
            <w:r>
              <w:t xml:space="preserve"> x $135.57/</w:t>
            </w:r>
            <w:r>
              <w:t>hr</w:t>
            </w:r>
            <w:r>
              <w:t xml:space="preserve">* x 63 </w:t>
            </w:r>
          </w:p>
        </w:tc>
        <w:tc>
          <w:tcPr>
            <w:tcW w:w="1522" w:type="dxa"/>
            <w:tcBorders>
              <w:top w:val="single" w:sz="4" w:space="0" w:color="000000"/>
              <w:left w:val="single" w:sz="4" w:space="0" w:color="000000"/>
              <w:bottom w:val="single" w:sz="4" w:space="0" w:color="000000"/>
              <w:right w:val="single" w:sz="4" w:space="0" w:color="000000"/>
            </w:tcBorders>
          </w:tcPr>
          <w:p w:rsidR="00DA0D9C" w14:paraId="74512B58" w14:textId="77777777">
            <w:pPr>
              <w:spacing w:after="0" w:line="259" w:lineRule="auto"/>
              <w:ind w:right="0" w:firstLine="0"/>
              <w:jc w:val="center"/>
            </w:pPr>
            <w:r>
              <w:t>$  42,705</w:t>
            </w:r>
            <w:r>
              <w:t xml:space="preserve"> </w:t>
            </w:r>
          </w:p>
        </w:tc>
      </w:tr>
      <w:tr w14:paraId="62F3ADD8" w14:textId="77777777">
        <w:tblPrEx>
          <w:tblW w:w="9622" w:type="dxa"/>
          <w:tblInd w:w="271" w:type="dxa"/>
          <w:tblCellMar>
            <w:top w:w="62" w:type="dxa"/>
            <w:left w:w="108" w:type="dxa"/>
            <w:right w:w="115" w:type="dxa"/>
          </w:tblCellMar>
          <w:tblLook w:val="04A0"/>
        </w:tblPrEx>
        <w:trPr>
          <w:trHeight w:val="300"/>
        </w:trPr>
        <w:tc>
          <w:tcPr>
            <w:tcW w:w="5489" w:type="dxa"/>
            <w:tcBorders>
              <w:top w:val="single" w:sz="4" w:space="0" w:color="000000"/>
              <w:left w:val="single" w:sz="4" w:space="0" w:color="000000"/>
              <w:bottom w:val="single" w:sz="4" w:space="0" w:color="000000"/>
              <w:right w:val="nil"/>
            </w:tcBorders>
          </w:tcPr>
          <w:p w:rsidR="00DA0D9C" w14:paraId="2CC33636" w14:textId="77777777">
            <w:pPr>
              <w:spacing w:after="0" w:line="259" w:lineRule="auto"/>
              <w:ind w:left="0" w:right="0" w:firstLine="0"/>
            </w:pPr>
            <w:r>
              <w:t xml:space="preserve">SUBTOTAL </w:t>
            </w:r>
          </w:p>
        </w:tc>
        <w:tc>
          <w:tcPr>
            <w:tcW w:w="2611" w:type="dxa"/>
            <w:tcBorders>
              <w:top w:val="single" w:sz="4" w:space="0" w:color="000000"/>
              <w:left w:val="nil"/>
              <w:bottom w:val="single" w:sz="4" w:space="0" w:color="000000"/>
              <w:right w:val="single" w:sz="4" w:space="0" w:color="000000"/>
            </w:tcBorders>
          </w:tcPr>
          <w:p w:rsidR="00DA0D9C" w14:paraId="58038A96" w14:textId="77777777">
            <w:pPr>
              <w:spacing w:after="0" w:line="259" w:lineRule="auto"/>
              <w:ind w:left="0" w:right="0" w:firstLine="0"/>
            </w:pPr>
            <w:r>
              <w:t xml:space="preserve"> </w:t>
            </w:r>
          </w:p>
        </w:tc>
        <w:tc>
          <w:tcPr>
            <w:tcW w:w="1522" w:type="dxa"/>
            <w:tcBorders>
              <w:top w:val="single" w:sz="4" w:space="0" w:color="000000"/>
              <w:left w:val="single" w:sz="4" w:space="0" w:color="000000"/>
              <w:bottom w:val="single" w:sz="4" w:space="0" w:color="000000"/>
              <w:right w:val="single" w:sz="4" w:space="0" w:color="000000"/>
            </w:tcBorders>
          </w:tcPr>
          <w:p w:rsidR="00DA0D9C" w14:paraId="1AE87596" w14:textId="77777777">
            <w:pPr>
              <w:spacing w:after="0" w:line="259" w:lineRule="auto"/>
              <w:ind w:right="0" w:firstLine="0"/>
              <w:jc w:val="center"/>
            </w:pPr>
            <w:r>
              <w:t xml:space="preserve">$150,147 </w:t>
            </w:r>
          </w:p>
        </w:tc>
      </w:tr>
    </w:tbl>
    <w:p w:rsidR="00DA0D9C" w14:paraId="396113B5" w14:textId="77777777">
      <w:pPr>
        <w:spacing w:after="0" w:line="526" w:lineRule="auto"/>
        <w:ind w:left="528" w:right="7479"/>
      </w:pPr>
      <w:r>
        <w:rPr>
          <w:sz w:val="18"/>
        </w:rPr>
        <w:t xml:space="preserve">*Includes fringe, indirect </w:t>
      </w:r>
      <w:r>
        <w:rPr>
          <w:sz w:val="18"/>
        </w:rPr>
        <w:t>rates</w:t>
      </w:r>
      <w:r>
        <w:t xml:space="preserve"> </w:t>
      </w:r>
      <w:r>
        <w:rPr>
          <w:sz w:val="22"/>
        </w:rPr>
        <w:t xml:space="preserve"> </w:t>
      </w:r>
      <w:r>
        <w:rPr>
          <w:i/>
        </w:rPr>
        <w:t>Total</w:t>
      </w:r>
      <w:r>
        <w:rPr>
          <w:i/>
        </w:rPr>
        <w:t xml:space="preserve">  </w:t>
      </w:r>
      <w:r>
        <w:t xml:space="preserve"> </w:t>
      </w:r>
    </w:p>
    <w:p w:rsidR="00DA0D9C" w14:paraId="5C3DD13B" w14:textId="77777777">
      <w:pPr>
        <w:ind w:left="542" w:right="862"/>
      </w:pPr>
      <w:r>
        <w:t xml:space="preserve">The total annualized cost to the federal government is </w:t>
      </w:r>
      <w:r>
        <w:rPr>
          <w:b/>
        </w:rPr>
        <w:t>$1,098,956</w:t>
      </w:r>
      <w:r>
        <w:t xml:space="preserve"> ($948,809 + $150,147).  </w:t>
      </w:r>
    </w:p>
    <w:p w:rsidR="00DA0D9C" w14:paraId="4A90B367" w14:textId="77777777">
      <w:pPr>
        <w:spacing w:after="20" w:line="259" w:lineRule="auto"/>
        <w:ind w:left="538" w:right="0" w:firstLine="0"/>
      </w:pPr>
      <w:r>
        <w:t xml:space="preserve"> </w:t>
      </w:r>
    </w:p>
    <w:p w:rsidR="00DA0D9C" w14:paraId="2C3F50A2" w14:textId="77777777">
      <w:pPr>
        <w:pStyle w:val="Heading3"/>
        <w:tabs>
          <w:tab w:val="center" w:pos="673"/>
          <w:tab w:val="center" w:pos="2873"/>
        </w:tabs>
        <w:ind w:left="-15" w:firstLine="0"/>
      </w:pPr>
      <w:r>
        <w:rPr>
          <w:rFonts w:ascii="Calibri" w:eastAsia="Calibri" w:hAnsi="Calibri" w:cs="Calibri"/>
          <w:sz w:val="22"/>
          <w:u w:val="none"/>
        </w:rPr>
        <w:t xml:space="preserve"> </w:t>
      </w:r>
      <w:r>
        <w:rPr>
          <w:rFonts w:ascii="Calibri" w:eastAsia="Calibri" w:hAnsi="Calibri" w:cs="Calibri"/>
          <w:sz w:val="22"/>
          <w:u w:val="none"/>
        </w:rPr>
        <w:tab/>
      </w:r>
      <w:r>
        <w:rPr>
          <w:b/>
          <w:u w:val="none"/>
        </w:rPr>
        <w:t>15.</w:t>
      </w:r>
      <w:r>
        <w:rPr>
          <w:rFonts w:ascii="Arial" w:eastAsia="Arial" w:hAnsi="Arial" w:cs="Arial"/>
          <w:b/>
          <w:u w:val="none"/>
        </w:rPr>
        <w:t xml:space="preserve">  </w:t>
      </w:r>
      <w:r>
        <w:rPr>
          <w:rFonts w:ascii="Arial" w:eastAsia="Arial" w:hAnsi="Arial" w:cs="Arial"/>
          <w:b/>
          <w:u w:val="none"/>
        </w:rPr>
        <w:tab/>
      </w:r>
      <w:r>
        <w:t>Program and Burden Changes</w:t>
      </w:r>
      <w:r>
        <w:rPr>
          <w:b/>
          <w:u w:val="none"/>
        </w:rPr>
        <w:t xml:space="preserve"> </w:t>
      </w:r>
      <w:r>
        <w:rPr>
          <w:u w:val="none"/>
        </w:rPr>
        <w:t xml:space="preserve"> </w:t>
      </w:r>
    </w:p>
    <w:p w:rsidR="00DA0D9C" w14:paraId="14052501" w14:textId="77777777">
      <w:pPr>
        <w:spacing w:after="64" w:line="259" w:lineRule="auto"/>
        <w:ind w:left="533" w:right="0" w:firstLine="0"/>
      </w:pPr>
      <w:r>
        <w:rPr>
          <w:sz w:val="16"/>
        </w:rPr>
        <w:t xml:space="preserve"> </w:t>
      </w:r>
      <w:r>
        <w:t xml:space="preserve"> </w:t>
      </w:r>
    </w:p>
    <w:p w:rsidR="00DA0D9C" w14:paraId="24695C26" w14:textId="77777777">
      <w:pPr>
        <w:ind w:left="542" w:right="862"/>
      </w:pPr>
      <w:r>
        <w:t>This information collection request is currently approved by OMB under the title Medicare Advantage Model of Care Submissions, CMS-10565, OMB 0938-1296. This is a renewal of the currently approved collection package and includes the codification of rules in CMS-4201-F3 and CMS-4205-F</w:t>
      </w:r>
      <w:r>
        <w:rPr>
          <w:rFonts w:ascii="Segoe UI" w:eastAsia="Segoe UI" w:hAnsi="Segoe UI" w:cs="Segoe UI"/>
          <w:sz w:val="18"/>
        </w:rPr>
        <w:t xml:space="preserve"> </w:t>
      </w:r>
      <w:r>
        <w:t xml:space="preserve">for off-cycle MOC submissions, meeting an aggregate benchmark, as well as the currently existing requirement at § 422.101(f)(1)(x) for a face-to-face encounter.    </w:t>
      </w:r>
    </w:p>
    <w:p w:rsidR="00DA0D9C" w14:paraId="7900EDE6" w14:textId="77777777">
      <w:pPr>
        <w:spacing w:after="0" w:line="259" w:lineRule="auto"/>
        <w:ind w:left="528" w:right="0" w:firstLine="0"/>
      </w:pPr>
      <w:r>
        <w:t xml:space="preserve">  </w:t>
      </w:r>
    </w:p>
    <w:p w:rsidR="00DA0D9C" w14:paraId="33B3976D" w14:textId="77777777">
      <w:pPr>
        <w:pStyle w:val="Heading1"/>
      </w:pPr>
      <w:r>
        <w:t xml:space="preserve">Summary of Changes </w:t>
      </w:r>
    </w:p>
    <w:p w:rsidR="00DA0D9C" w14:paraId="0BC508A4" w14:textId="77777777">
      <w:pPr>
        <w:spacing w:after="0" w:line="259" w:lineRule="auto"/>
        <w:ind w:left="528" w:right="0" w:firstLine="0"/>
      </w:pPr>
      <w:r>
        <w:t xml:space="preserve"> </w:t>
      </w:r>
    </w:p>
    <w:p w:rsidR="00DA0D9C" w14:paraId="20E93F77" w14:textId="77777777">
      <w:pPr>
        <w:spacing w:after="141"/>
        <w:ind w:left="542" w:right="862"/>
      </w:pPr>
      <w:r>
        <w:t xml:space="preserve">MOC Element 1: Description of the Overall SNP Population  </w:t>
      </w:r>
    </w:p>
    <w:p w:rsidR="00DA0D9C" w14:paraId="2F348170" w14:textId="77777777">
      <w:pPr>
        <w:ind w:left="542" w:right="862"/>
      </w:pPr>
      <w:r>
        <w:t xml:space="preserve">CMS consolidated some of the requirements to eliminate redundancies and provide more clarity around the need to differentiate between the most vulnerable enrollees as compared to those that are less resource intensive or have lower risk stratification scores. For example, MOC Element 1A will now require SNPs to describe both the overall SNP population and the most vulnerable, and MOC Element 1B will require SNPs to outline the services for the most vulnerable beneficiaries. This will eliminate the need for SNPs to describe the different SNP populations in two different sections under MOC Element 1. CMS will also require SNPs to provide specific information about actual or potential health disparities and how the SNP addresses enrollee health needs related to social determinants of health.    </w:t>
      </w:r>
    </w:p>
    <w:p w:rsidR="00DA0D9C" w14:paraId="0C566AED" w14:textId="77777777">
      <w:pPr>
        <w:spacing w:after="0" w:line="259" w:lineRule="auto"/>
        <w:ind w:left="533" w:right="0" w:firstLine="0"/>
      </w:pPr>
      <w:r>
        <w:t xml:space="preserve">  </w:t>
      </w:r>
    </w:p>
    <w:p w:rsidR="00DA0D9C" w14:paraId="6A50B347" w14:textId="77777777">
      <w:pPr>
        <w:spacing w:after="136"/>
        <w:ind w:left="542" w:right="862"/>
      </w:pPr>
      <w:r>
        <w:t xml:space="preserve">MOC Element 2: Care Coordination   </w:t>
      </w:r>
    </w:p>
    <w:p w:rsidR="00DA0D9C" w14:paraId="34FA98F0" w14:textId="77777777">
      <w:pPr>
        <w:ind w:left="542" w:right="862"/>
      </w:pPr>
      <w:r>
        <w:t xml:space="preserve">CMS consolidated some of the requirements in MOC Element 2 to eliminate redundancies and focus on information that is more relevant to care coordination processes. For example, SNPs will only be required to provide organizational charts for key care coordination staff, rather than the entire organization.    </w:t>
      </w:r>
    </w:p>
    <w:p w:rsidR="00DA0D9C" w14:paraId="0CCA097B" w14:textId="77777777">
      <w:pPr>
        <w:spacing w:after="0" w:line="259" w:lineRule="auto"/>
        <w:ind w:left="533" w:right="0" w:firstLine="0"/>
      </w:pPr>
      <w:r>
        <w:t xml:space="preserve">  </w:t>
      </w:r>
    </w:p>
    <w:p w:rsidR="00DA0D9C" w14:paraId="3DDA6270" w14:textId="77777777">
      <w:pPr>
        <w:ind w:left="542" w:right="862"/>
      </w:pPr>
      <w:r>
        <w:t xml:space="preserve">CMS made some additional clarifications and/or streamlining to the MOC requirements regarding the health risk assessment, face-to-face encounters, the individualized care plan (ICP) and care team, and care transition protocols.  We included a requirement that SNPs must incorporate various areas of focus in enrollees’ ICPs, such as self-management goals to meet their medical, functional, cognitive, psychosocial needs, etc. identified in the health risk assessment (HRA). We also clarified that stratifying results from the HRA is not an optional function and is expected to be accomplished in accordance with § 422.152(g)(2)(iv). We also added a requirement that SNPs must describe mitigation strategies used when it encounters difficulties related to transfers between health care settings, enrollee placement issues, etc. And must identify contingency plans used to ensure ongoing continuity of operations and critical staff functions, along with disaster/emergency preparedness plans to ensure the needs of enrollees are met.   </w:t>
      </w:r>
    </w:p>
    <w:p w:rsidR="00DA0D9C" w14:paraId="7DFF49B6" w14:textId="77777777">
      <w:pPr>
        <w:spacing w:after="0" w:line="259" w:lineRule="auto"/>
        <w:ind w:left="533" w:right="0" w:firstLine="0"/>
      </w:pPr>
      <w:r>
        <w:t xml:space="preserve">  </w:t>
      </w:r>
    </w:p>
    <w:p w:rsidR="00DA0D9C" w14:paraId="45BBC1F4" w14:textId="77777777">
      <w:pPr>
        <w:spacing w:after="136"/>
        <w:ind w:left="542" w:right="862"/>
      </w:pPr>
      <w:r>
        <w:t xml:space="preserve">MOC Element 3: SNP Provider Network  </w:t>
      </w:r>
    </w:p>
    <w:p w:rsidR="00DA0D9C" w14:paraId="4F0C8AC7" w14:textId="77777777">
      <w:pPr>
        <w:ind w:left="542" w:right="862"/>
      </w:pPr>
      <w:r>
        <w:t xml:space="preserve">CMS made minor clarifications and/or streamlining to the MOC requirements regarding specialized expertise, use of clinical practice guidelines &amp; care transition protocols, and MOC training for network providers. Specifically, rather than requiring plans to target provider training for both in-network and out-of-network providers, we clarified that SNPs must explain how it conducts initial and subsequent MOC training for provider staff. Provider staff can include care coordination staff, admin staff, other clinical staff, etc. We believe this clarification will help plans target the provider staff that </w:t>
      </w:r>
      <w:r>
        <w:t>actually perform</w:t>
      </w:r>
      <w:r>
        <w:t xml:space="preserve"> care coordination activities and other MOC related functions and will help to alleviate burden on the clinical staff who are tasked with providing direct enrollee care and treatment.   </w:t>
      </w:r>
    </w:p>
    <w:p w:rsidR="00DA0D9C" w14:paraId="2F34C5AB" w14:textId="77777777">
      <w:pPr>
        <w:spacing w:after="0" w:line="259" w:lineRule="auto"/>
        <w:ind w:left="533" w:right="0" w:firstLine="0"/>
      </w:pPr>
      <w:r>
        <w:t xml:space="preserve">  </w:t>
      </w:r>
    </w:p>
    <w:p w:rsidR="00DA0D9C" w14:paraId="168FEEA4" w14:textId="77777777">
      <w:pPr>
        <w:spacing w:after="139"/>
        <w:ind w:left="542" w:right="862"/>
      </w:pPr>
      <w:r>
        <w:t xml:space="preserve">MOC Element 4: Quality Measurement &amp; Performance Improvement  </w:t>
      </w:r>
    </w:p>
    <w:p w:rsidR="00DA0D9C" w14:paraId="2AC2C1ED" w14:textId="77777777">
      <w:pPr>
        <w:ind w:left="542" w:right="862"/>
      </w:pPr>
      <w:r>
        <w:t>CMS made minor clarifications and/or streamlining to the MOC requirements regarding the overall MOC Quality Measurement &amp; Performance Improvement. We clarified</w:t>
      </w:r>
      <w:r>
        <w:rPr>
          <w:b/>
        </w:rPr>
        <w:t xml:space="preserve"> </w:t>
      </w:r>
      <w:r>
        <w:t xml:space="preserve">the difference between goals for measuring overall MOC performance VS enrollee health outcomes. We also provide some examples to help SNPs formulate their goals for improving overall performance and enrollee health outcomes. In addition, we included a requirement that SNPs must describe </w:t>
      </w:r>
      <w:r>
        <w:t xml:space="preserve">how they will identify and connect with enrollees that received no covered Medicare services during a defined period. </w:t>
      </w:r>
    </w:p>
    <w:p w:rsidR="00DA0D9C" w14:paraId="0C966B5B" w14:textId="77777777">
      <w:pPr>
        <w:spacing w:after="0" w:line="259" w:lineRule="auto"/>
        <w:ind w:left="528" w:right="0" w:firstLine="0"/>
      </w:pPr>
      <w:r>
        <w:t xml:space="preserve"> </w:t>
      </w:r>
    </w:p>
    <w:p w:rsidR="00DA0D9C" w14:paraId="01A135C3" w14:textId="77777777">
      <w:pPr>
        <w:pStyle w:val="Heading1"/>
      </w:pPr>
      <w:r>
        <w:t xml:space="preserve">Burden Estimate   </w:t>
      </w:r>
    </w:p>
    <w:p w:rsidR="00DA0D9C" w14:paraId="20983A0E" w14:textId="77777777">
      <w:pPr>
        <w:spacing w:after="0" w:line="259" w:lineRule="auto"/>
        <w:ind w:left="518" w:right="0" w:firstLine="0"/>
      </w:pPr>
      <w:r>
        <w:rPr>
          <w:b/>
        </w:rPr>
        <w:t xml:space="preserve">  </w:t>
      </w:r>
    </w:p>
    <w:p w:rsidR="00DA0D9C" w14:paraId="0AF7F81E" w14:textId="77777777">
      <w:pPr>
        <w:ind w:left="542" w:right="862"/>
      </w:pPr>
      <w:r>
        <w:t xml:space="preserve">Based on the most recent MOC submission volumes in HPMS, we adjusted the number of initial and renewal MOC submissions from 273 to 410 and the number of MOC resubmissions from 14 to 15. We adjusted the volume of off-cycle MOC submissions from 139 to 150.  We also adjusted the number of SNPs tracking face-to-face encounters from 734 to 1340.   </w:t>
      </w:r>
    </w:p>
    <w:p w:rsidR="00DA0D9C" w14:paraId="65F64B62" w14:textId="77777777">
      <w:pPr>
        <w:spacing w:after="0" w:line="259" w:lineRule="auto"/>
        <w:ind w:left="533" w:right="0" w:firstLine="0"/>
      </w:pPr>
      <w:r>
        <w:t xml:space="preserve">  </w:t>
      </w:r>
    </w:p>
    <w:p w:rsidR="00DA0D9C" w14:paraId="34B6E4CD" w14:textId="77777777">
      <w:pPr>
        <w:ind w:left="542" w:right="862"/>
      </w:pPr>
      <w:r>
        <w:t>We increased the hourly wage for the applicable SNP staff based on data from the U.S. Bureau of Labor Statistics’ May 2023</w:t>
      </w:r>
      <w:r>
        <w:rPr>
          <w:color w:val="B5082E"/>
        </w:rPr>
        <w:t xml:space="preserve"> </w:t>
      </w:r>
      <w:r>
        <w:t xml:space="preserve">National Occupational Employment and Wage Estimates and adjusted it for fringe benefits and overhead </w:t>
      </w:r>
      <w:hyperlink r:id="rId4">
        <w:r>
          <w:rPr>
            <w:sz w:val="22"/>
          </w:rPr>
          <w:t>(</w:t>
        </w:r>
      </w:hyperlink>
      <w:hyperlink r:id="rId4">
        <w:r>
          <w:rPr>
            <w:color w:val="0563C1"/>
            <w:sz w:val="22"/>
            <w:u w:val="single" w:color="0563C1"/>
          </w:rPr>
          <w:t>https://www.bls.gov/oes/current/oes_nat.ht</w:t>
        </w:r>
      </w:hyperlink>
      <w:hyperlink r:id="rId4">
        <w:r>
          <w:rPr>
            <w:color w:val="0563C1"/>
            <w:sz w:val="22"/>
            <w:u w:val="single" w:color="0563C1"/>
          </w:rPr>
          <w:t>m</w:t>
        </w:r>
      </w:hyperlink>
      <w:hyperlink r:id="rId4">
        <w:r>
          <w:rPr>
            <w:sz w:val="22"/>
          </w:rPr>
          <w:t>).</w:t>
        </w:r>
      </w:hyperlink>
      <w:r>
        <w:rPr>
          <w:sz w:val="22"/>
        </w:rPr>
        <w:t xml:space="preserve"> </w:t>
      </w:r>
      <w:r>
        <w:t xml:space="preserve"> </w:t>
      </w:r>
    </w:p>
    <w:p w:rsidR="00DA0D9C" w14:paraId="677467BC" w14:textId="77777777">
      <w:pPr>
        <w:spacing w:after="3" w:line="259" w:lineRule="auto"/>
        <w:ind w:left="533" w:right="0" w:firstLine="0"/>
      </w:pPr>
      <w:r>
        <w:rPr>
          <w:sz w:val="22"/>
        </w:rPr>
        <w:t xml:space="preserve"> </w:t>
      </w:r>
      <w:r>
        <w:t xml:space="preserve"> </w:t>
      </w:r>
    </w:p>
    <w:p w:rsidR="00DA0D9C" w14:paraId="77BC7A46" w14:textId="77777777">
      <w:pPr>
        <w:ind w:left="542" w:right="862"/>
      </w:pPr>
      <w:r>
        <w:rPr>
          <w:sz w:val="22"/>
        </w:rPr>
        <w:t xml:space="preserve">Lastly, </w:t>
      </w:r>
      <w:r>
        <w:t xml:space="preserve">we again note that </w:t>
      </w:r>
      <w:r>
        <w:t>both of the final</w:t>
      </w:r>
      <w:r>
        <w:t xml:space="preserve"> rules mentioned above are a codification to existing practices. Therefore, both the off-cycle MOC submissions and aggregate benchmark requirements are already factored into existing burden estimates, which are described below. </w:t>
      </w:r>
    </w:p>
    <w:p w:rsidR="00DA0D9C" w14:paraId="14ABCD9D" w14:textId="77777777">
      <w:pPr>
        <w:spacing w:after="0" w:line="259" w:lineRule="auto"/>
        <w:ind w:left="533" w:right="0" w:firstLine="0"/>
      </w:pPr>
      <w:r>
        <w:t xml:space="preserve"> </w:t>
      </w:r>
    </w:p>
    <w:p w:rsidR="00DA0D9C" w14:paraId="1DFBAF05" w14:textId="77777777">
      <w:pPr>
        <w:ind w:left="542" w:right="862"/>
      </w:pPr>
      <w:r>
        <w:t xml:space="preserve">For this iteration of the supporting statement and as noted above in Section 12, in total aggregate, for initial and renewal MOC submissions, annual MOC resubmissions for failure to meet the minimum benchmarks, the tracking of face-to-face encounters, off-cycle MOC submissions, respectively, we estimate a total of </w:t>
      </w:r>
      <w:r>
        <w:rPr>
          <w:b/>
        </w:rPr>
        <w:t>8,465</w:t>
      </w:r>
      <w:r>
        <w:t xml:space="preserve"> </w:t>
      </w:r>
      <w:r>
        <w:rPr>
          <w:b/>
        </w:rPr>
        <w:t>hours</w:t>
      </w:r>
      <w:r>
        <w:t xml:space="preserve"> (2,460 + 45 </w:t>
      </w:r>
      <w:r>
        <w:t>hr</w:t>
      </w:r>
      <w:r>
        <w:t xml:space="preserve"> + 5,360  </w:t>
      </w:r>
      <w:r>
        <w:t>hr</w:t>
      </w:r>
      <w:r>
        <w:t xml:space="preserve"> + 600 </w:t>
      </w:r>
      <w:r>
        <w:t>hr</w:t>
      </w:r>
      <w:r>
        <w:t xml:space="preserve"> ) at a cost of </w:t>
      </w:r>
      <w:r>
        <w:rPr>
          <w:b/>
        </w:rPr>
        <w:t>$781,122</w:t>
      </w:r>
      <w:r>
        <w:t xml:space="preserve"> ($223,712  + $4,092 + $487,438 + $54,564).   </w:t>
      </w:r>
    </w:p>
    <w:p w:rsidR="00DA0D9C" w14:paraId="5B760205" w14:textId="77777777">
      <w:pPr>
        <w:spacing w:after="0" w:line="259" w:lineRule="auto"/>
        <w:ind w:left="533" w:right="0" w:firstLine="0"/>
      </w:pPr>
      <w:r>
        <w:t xml:space="preserve">  </w:t>
      </w:r>
    </w:p>
    <w:p w:rsidR="00DA0D9C" w14:paraId="5938644A" w14:textId="77777777">
      <w:pPr>
        <w:ind w:left="542" w:right="862"/>
      </w:pPr>
      <w:r>
        <w:t>This is an overall burden increase of</w:t>
      </w:r>
      <w:r>
        <w:rPr>
          <w:b/>
        </w:rPr>
        <w:t xml:space="preserve"> 3,293 hours</w:t>
      </w:r>
      <w:r>
        <w:t xml:space="preserve"> (</w:t>
      </w:r>
      <w:r>
        <w:rPr>
          <w:b/>
        </w:rPr>
        <w:t>8,465</w:t>
      </w:r>
      <w:r>
        <w:t xml:space="preserve"> </w:t>
      </w:r>
      <w:r>
        <w:t>hr</w:t>
      </w:r>
      <w:r>
        <w:t xml:space="preserve"> -5,172 </w:t>
      </w:r>
      <w:r>
        <w:t>hr</w:t>
      </w:r>
      <w:r>
        <w:t xml:space="preserve"> currently approved) and an increase of </w:t>
      </w:r>
      <w:r>
        <w:rPr>
          <w:b/>
        </w:rPr>
        <w:t>$383,188</w:t>
      </w:r>
      <w:r>
        <w:t xml:space="preserve"> to SNPs ($</w:t>
      </w:r>
      <w:r>
        <w:rPr>
          <w:b/>
        </w:rPr>
        <w:t>781,122</w:t>
      </w:r>
      <w:r>
        <w:t xml:space="preserve"> - $397,934). This accounts for all existing, revised and new MOC requirements.</w:t>
      </w:r>
      <w:r>
        <w:rPr>
          <w:sz w:val="23"/>
        </w:rPr>
        <w:t xml:space="preserve"> </w:t>
      </w:r>
      <w:r>
        <w:t xml:space="preserve"> </w:t>
      </w:r>
    </w:p>
    <w:p w:rsidR="00DA0D9C" w14:paraId="636C48FE" w14:textId="77777777">
      <w:pPr>
        <w:spacing w:after="1" w:line="259" w:lineRule="auto"/>
        <w:ind w:left="533" w:right="0" w:firstLine="0"/>
      </w:pPr>
      <w:r>
        <w:rPr>
          <w:b/>
          <w:i/>
        </w:rPr>
        <w:t xml:space="preserve"> </w:t>
      </w:r>
      <w:r>
        <w:t xml:space="preserve"> </w:t>
      </w:r>
    </w:p>
    <w:p w:rsidR="00DA0D9C" w14:paraId="4C391782" w14:textId="77777777">
      <w:pPr>
        <w:pStyle w:val="Heading2"/>
        <w:ind w:left="511"/>
      </w:pPr>
      <w:r>
        <w:rPr>
          <w:b/>
        </w:rPr>
        <w:t xml:space="preserve">Burden Summary </w:t>
      </w:r>
      <w:r>
        <w:t xml:space="preserve"> </w:t>
      </w:r>
    </w:p>
    <w:p w:rsidR="00DA0D9C" w14:paraId="4547AAE5" w14:textId="77777777">
      <w:pPr>
        <w:spacing w:after="0" w:line="259" w:lineRule="auto"/>
        <w:ind w:left="533" w:right="0" w:firstLine="0"/>
      </w:pPr>
      <w:r>
        <w:rPr>
          <w:sz w:val="25"/>
        </w:rPr>
        <w:t xml:space="preserve"> </w:t>
      </w:r>
      <w:r>
        <w:t xml:space="preserve"> </w:t>
      </w:r>
    </w:p>
    <w:tbl>
      <w:tblPr>
        <w:tblStyle w:val="TableGrid"/>
        <w:tblW w:w="9841" w:type="dxa"/>
        <w:tblInd w:w="866" w:type="dxa"/>
        <w:tblCellMar>
          <w:top w:w="50" w:type="dxa"/>
        </w:tblCellMar>
        <w:tblLook w:val="04A0"/>
      </w:tblPr>
      <w:tblGrid>
        <w:gridCol w:w="1154"/>
        <w:gridCol w:w="1217"/>
        <w:gridCol w:w="1037"/>
        <w:gridCol w:w="1075"/>
        <w:gridCol w:w="1075"/>
        <w:gridCol w:w="1073"/>
        <w:gridCol w:w="1044"/>
        <w:gridCol w:w="1147"/>
        <w:gridCol w:w="1019"/>
      </w:tblGrid>
      <w:tr w14:paraId="15376EB5" w14:textId="77777777">
        <w:tblPrEx>
          <w:tblW w:w="9841" w:type="dxa"/>
          <w:tblInd w:w="866" w:type="dxa"/>
          <w:tblCellMar>
            <w:top w:w="50" w:type="dxa"/>
          </w:tblCellMar>
          <w:tblLook w:val="04A0"/>
        </w:tblPrEx>
        <w:trPr>
          <w:trHeight w:val="751"/>
        </w:trPr>
        <w:tc>
          <w:tcPr>
            <w:tcW w:w="1154" w:type="dxa"/>
            <w:tcBorders>
              <w:top w:val="single" w:sz="2" w:space="0" w:color="000000"/>
              <w:left w:val="single" w:sz="2" w:space="0" w:color="000000"/>
              <w:bottom w:val="single" w:sz="2" w:space="0" w:color="000000"/>
              <w:right w:val="single" w:sz="2" w:space="0" w:color="000000"/>
            </w:tcBorders>
          </w:tcPr>
          <w:p w:rsidR="00DA0D9C" w14:paraId="6973F6C5" w14:textId="77777777">
            <w:pPr>
              <w:spacing w:after="0" w:line="259" w:lineRule="auto"/>
              <w:ind w:left="236" w:right="0" w:hanging="89"/>
            </w:pPr>
            <w:r>
              <w:rPr>
                <w:b/>
                <w:sz w:val="16"/>
              </w:rPr>
              <w:t xml:space="preserve">Information Collection </w:t>
            </w:r>
            <w:r>
              <w:t xml:space="preserve"> </w:t>
            </w:r>
          </w:p>
        </w:tc>
        <w:tc>
          <w:tcPr>
            <w:tcW w:w="1217" w:type="dxa"/>
            <w:tcBorders>
              <w:top w:val="single" w:sz="2" w:space="0" w:color="000000"/>
              <w:left w:val="single" w:sz="2" w:space="0" w:color="000000"/>
              <w:bottom w:val="single" w:sz="2" w:space="0" w:color="000000"/>
              <w:right w:val="single" w:sz="2" w:space="0" w:color="000000"/>
            </w:tcBorders>
          </w:tcPr>
          <w:p w:rsidR="00DA0D9C" w14:paraId="20CECCC5" w14:textId="77777777">
            <w:pPr>
              <w:spacing w:after="52" w:line="259" w:lineRule="auto"/>
              <w:ind w:left="16" w:right="0" w:firstLine="0"/>
              <w:jc w:val="both"/>
            </w:pPr>
            <w:r>
              <w:rPr>
                <w:b/>
                <w:sz w:val="16"/>
              </w:rPr>
              <w:t>Regulation under</w:t>
            </w:r>
          </w:p>
          <w:p w:rsidR="00DA0D9C" w14:paraId="389255F1" w14:textId="77777777">
            <w:pPr>
              <w:spacing w:after="0" w:line="259" w:lineRule="auto"/>
              <w:ind w:left="0" w:right="139" w:firstLine="0"/>
              <w:jc w:val="right"/>
            </w:pPr>
            <w:r>
              <w:rPr>
                <w:b/>
                <w:sz w:val="16"/>
              </w:rPr>
              <w:t xml:space="preserve">Title 42 of the </w:t>
            </w:r>
            <w:r>
              <w:t xml:space="preserve"> </w:t>
            </w:r>
          </w:p>
          <w:p w:rsidR="00DA0D9C" w14:paraId="60F7D71D" w14:textId="77777777">
            <w:pPr>
              <w:spacing w:after="0" w:line="259" w:lineRule="auto"/>
              <w:ind w:left="0" w:right="2" w:firstLine="0"/>
              <w:jc w:val="center"/>
            </w:pPr>
            <w:r>
              <w:rPr>
                <w:b/>
                <w:sz w:val="16"/>
              </w:rPr>
              <w:t xml:space="preserve">CFR </w:t>
            </w:r>
            <w:r>
              <w:t xml:space="preserve"> </w:t>
            </w:r>
          </w:p>
        </w:tc>
        <w:tc>
          <w:tcPr>
            <w:tcW w:w="1037" w:type="dxa"/>
            <w:tcBorders>
              <w:top w:val="single" w:sz="2" w:space="0" w:color="000000"/>
              <w:left w:val="single" w:sz="2" w:space="0" w:color="000000"/>
              <w:bottom w:val="single" w:sz="2" w:space="0" w:color="000000"/>
              <w:right w:val="single" w:sz="2" w:space="0" w:color="000000"/>
            </w:tcBorders>
          </w:tcPr>
          <w:p w:rsidR="00DA0D9C" w14:paraId="1F046833" w14:textId="77777777">
            <w:pPr>
              <w:spacing w:after="0" w:line="259" w:lineRule="auto"/>
              <w:ind w:left="-8" w:right="0" w:firstLine="0"/>
              <w:jc w:val="both"/>
            </w:pPr>
            <w:r>
              <w:rPr>
                <w:b/>
                <w:sz w:val="16"/>
              </w:rPr>
              <w:t xml:space="preserve"> </w:t>
            </w:r>
            <w:r>
              <w:t xml:space="preserve"> </w:t>
            </w:r>
            <w:r>
              <w:rPr>
                <w:b/>
                <w:sz w:val="16"/>
              </w:rPr>
              <w:t xml:space="preserve">Respondents </w:t>
            </w:r>
            <w:r>
              <w:t xml:space="preserve"> </w:t>
            </w:r>
          </w:p>
        </w:tc>
        <w:tc>
          <w:tcPr>
            <w:tcW w:w="1075" w:type="dxa"/>
            <w:tcBorders>
              <w:top w:val="single" w:sz="2" w:space="0" w:color="000000"/>
              <w:left w:val="single" w:sz="2" w:space="0" w:color="000000"/>
              <w:bottom w:val="single" w:sz="2" w:space="0" w:color="000000"/>
              <w:right w:val="single" w:sz="2" w:space="0" w:color="000000"/>
            </w:tcBorders>
          </w:tcPr>
          <w:p w:rsidR="00DA0D9C" w14:paraId="071E3F41" w14:textId="77777777">
            <w:pPr>
              <w:spacing w:after="0" w:line="259" w:lineRule="auto"/>
              <w:ind w:left="0" w:right="107" w:firstLine="0"/>
              <w:jc w:val="right"/>
            </w:pPr>
            <w:r>
              <w:rPr>
                <w:b/>
                <w:sz w:val="16"/>
              </w:rPr>
              <w:t xml:space="preserve">Responses </w:t>
            </w:r>
            <w:r>
              <w:t xml:space="preserve"> </w:t>
            </w:r>
          </w:p>
          <w:p w:rsidR="00DA0D9C" w14:paraId="2E6D421C" w14:textId="77777777">
            <w:pPr>
              <w:spacing w:after="0" w:line="259" w:lineRule="auto"/>
              <w:ind w:left="0" w:right="5" w:firstLine="0"/>
              <w:jc w:val="center"/>
            </w:pPr>
            <w:r>
              <w:rPr>
                <w:b/>
                <w:sz w:val="16"/>
              </w:rPr>
              <w:t>(</w:t>
            </w:r>
            <w:r>
              <w:rPr>
                <w:b/>
                <w:sz w:val="16"/>
              </w:rPr>
              <w:t>per</w:t>
            </w:r>
            <w:r>
              <w:rPr>
                <w:b/>
                <w:sz w:val="16"/>
              </w:rPr>
              <w:t xml:space="preserve"> </w:t>
            </w:r>
            <w:r>
              <w:t xml:space="preserve"> </w:t>
            </w:r>
          </w:p>
          <w:p w:rsidR="00DA0D9C" w14:paraId="308DE711" w14:textId="77777777">
            <w:pPr>
              <w:spacing w:after="0" w:line="259" w:lineRule="auto"/>
              <w:ind w:left="128" w:right="0" w:firstLine="0"/>
            </w:pPr>
            <w:r>
              <w:rPr>
                <w:b/>
                <w:sz w:val="16"/>
              </w:rPr>
              <w:t xml:space="preserve">Respondent) </w:t>
            </w:r>
            <w:r>
              <w:t xml:space="preserve"> </w:t>
            </w:r>
          </w:p>
        </w:tc>
        <w:tc>
          <w:tcPr>
            <w:tcW w:w="1075" w:type="dxa"/>
            <w:tcBorders>
              <w:top w:val="single" w:sz="2" w:space="0" w:color="000000"/>
              <w:left w:val="single" w:sz="2" w:space="0" w:color="000000"/>
              <w:bottom w:val="single" w:sz="2" w:space="0" w:color="000000"/>
              <w:right w:val="single" w:sz="2" w:space="0" w:color="000000"/>
            </w:tcBorders>
          </w:tcPr>
          <w:p w:rsidR="00DA0D9C" w14:paraId="4EE6482C" w14:textId="77777777">
            <w:pPr>
              <w:spacing w:after="0" w:line="259" w:lineRule="auto"/>
              <w:ind w:left="188" w:right="0" w:firstLine="252"/>
            </w:pPr>
            <w:r>
              <w:rPr>
                <w:b/>
                <w:sz w:val="16"/>
              </w:rPr>
              <w:t xml:space="preserve">Total Responses </w:t>
            </w:r>
            <w:r>
              <w:t xml:space="preserve"> </w:t>
            </w:r>
          </w:p>
        </w:tc>
        <w:tc>
          <w:tcPr>
            <w:tcW w:w="1073" w:type="dxa"/>
            <w:tcBorders>
              <w:top w:val="single" w:sz="2" w:space="0" w:color="000000"/>
              <w:left w:val="single" w:sz="2" w:space="0" w:color="000000"/>
              <w:bottom w:val="single" w:sz="2" w:space="0" w:color="000000"/>
              <w:right w:val="single" w:sz="2" w:space="0" w:color="000000"/>
            </w:tcBorders>
          </w:tcPr>
          <w:p w:rsidR="00DA0D9C" w14:paraId="736BA762" w14:textId="77777777">
            <w:pPr>
              <w:spacing w:after="0" w:line="231" w:lineRule="auto"/>
              <w:ind w:left="0" w:right="0" w:firstLine="0"/>
              <w:jc w:val="center"/>
            </w:pPr>
            <w:r>
              <w:rPr>
                <w:b/>
                <w:sz w:val="16"/>
              </w:rPr>
              <w:t xml:space="preserve">Time </w:t>
            </w:r>
            <w:r>
              <w:rPr>
                <w:b/>
                <w:sz w:val="16"/>
              </w:rPr>
              <w:t xml:space="preserve">per </w:t>
            </w:r>
            <w:r>
              <w:t xml:space="preserve"> </w:t>
            </w:r>
            <w:r>
              <w:rPr>
                <w:b/>
                <w:sz w:val="16"/>
              </w:rPr>
              <w:t>Response</w:t>
            </w:r>
            <w:r>
              <w:rPr>
                <w:b/>
                <w:sz w:val="16"/>
              </w:rPr>
              <w:t xml:space="preserve"> </w:t>
            </w:r>
            <w:r>
              <w:t xml:space="preserve"> </w:t>
            </w:r>
          </w:p>
          <w:p w:rsidR="00DA0D9C" w14:paraId="04014DEC" w14:textId="77777777">
            <w:pPr>
              <w:spacing w:after="0" w:line="259" w:lineRule="auto"/>
              <w:ind w:left="1" w:right="0" w:firstLine="0"/>
              <w:jc w:val="center"/>
            </w:pPr>
            <w:r>
              <w:rPr>
                <w:b/>
                <w:sz w:val="16"/>
              </w:rPr>
              <w:t xml:space="preserve">(hours) </w:t>
            </w:r>
            <w:r>
              <w:t xml:space="preserve"> </w:t>
            </w:r>
          </w:p>
        </w:tc>
        <w:tc>
          <w:tcPr>
            <w:tcW w:w="1044" w:type="dxa"/>
            <w:tcBorders>
              <w:top w:val="single" w:sz="2" w:space="0" w:color="000000"/>
              <w:left w:val="single" w:sz="2" w:space="0" w:color="000000"/>
              <w:bottom w:val="single" w:sz="2" w:space="0" w:color="000000"/>
              <w:right w:val="single" w:sz="2" w:space="0" w:color="000000"/>
            </w:tcBorders>
          </w:tcPr>
          <w:p w:rsidR="00DA0D9C" w14:paraId="4116F8D4" w14:textId="77777777">
            <w:pPr>
              <w:spacing w:after="50" w:line="259" w:lineRule="auto"/>
              <w:ind w:left="0" w:right="3" w:firstLine="0"/>
              <w:jc w:val="center"/>
            </w:pPr>
            <w:r>
              <w:rPr>
                <w:b/>
                <w:sz w:val="16"/>
              </w:rPr>
              <w:t xml:space="preserve">Total Time </w:t>
            </w:r>
          </w:p>
          <w:p w:rsidR="00DA0D9C" w14:paraId="2954A94B" w14:textId="77777777">
            <w:pPr>
              <w:spacing w:after="0" w:line="259" w:lineRule="auto"/>
              <w:ind w:left="1" w:right="0" w:firstLine="0"/>
              <w:jc w:val="center"/>
            </w:pPr>
            <w:r>
              <w:rPr>
                <w:b/>
                <w:sz w:val="16"/>
              </w:rPr>
              <w:t xml:space="preserve">(hours) </w:t>
            </w:r>
            <w:r>
              <w:t xml:space="preserve"> </w:t>
            </w:r>
          </w:p>
        </w:tc>
        <w:tc>
          <w:tcPr>
            <w:tcW w:w="1147" w:type="dxa"/>
            <w:tcBorders>
              <w:top w:val="single" w:sz="2" w:space="0" w:color="000000"/>
              <w:left w:val="single" w:sz="2" w:space="0" w:color="000000"/>
              <w:bottom w:val="single" w:sz="2" w:space="0" w:color="000000"/>
              <w:right w:val="single" w:sz="2" w:space="0" w:color="000000"/>
            </w:tcBorders>
          </w:tcPr>
          <w:p w:rsidR="00DA0D9C" w14:paraId="2FEF78A4" w14:textId="77777777">
            <w:pPr>
              <w:spacing w:after="49" w:line="259" w:lineRule="auto"/>
              <w:ind w:left="0" w:right="2" w:firstLine="0"/>
              <w:jc w:val="center"/>
            </w:pPr>
            <w:r>
              <w:rPr>
                <w:b/>
                <w:sz w:val="16"/>
              </w:rPr>
              <w:t xml:space="preserve">Labor Cost </w:t>
            </w:r>
          </w:p>
          <w:p w:rsidR="00DA0D9C" w14:paraId="10F3EF9E" w14:textId="77777777">
            <w:pPr>
              <w:spacing w:after="0" w:line="259" w:lineRule="auto"/>
              <w:ind w:left="0" w:right="2" w:firstLine="0"/>
              <w:jc w:val="center"/>
            </w:pPr>
            <w:r>
              <w:rPr>
                <w:b/>
                <w:sz w:val="16"/>
              </w:rPr>
              <w:t>($/</w:t>
            </w:r>
            <w:r>
              <w:rPr>
                <w:b/>
                <w:sz w:val="16"/>
              </w:rPr>
              <w:t>hr</w:t>
            </w:r>
            <w:r>
              <w:rPr>
                <w:b/>
                <w:sz w:val="16"/>
              </w:rPr>
              <w:t xml:space="preserve">) </w:t>
            </w:r>
            <w:r>
              <w:t xml:space="preserve"> </w:t>
            </w:r>
          </w:p>
        </w:tc>
        <w:tc>
          <w:tcPr>
            <w:tcW w:w="1019" w:type="dxa"/>
            <w:tcBorders>
              <w:top w:val="single" w:sz="2" w:space="0" w:color="000000"/>
              <w:left w:val="single" w:sz="2" w:space="0" w:color="000000"/>
              <w:bottom w:val="single" w:sz="2" w:space="0" w:color="000000"/>
              <w:right w:val="single" w:sz="2" w:space="0" w:color="000000"/>
            </w:tcBorders>
          </w:tcPr>
          <w:p w:rsidR="00DA0D9C" w14:paraId="793C312C" w14:textId="77777777">
            <w:pPr>
              <w:spacing w:after="0" w:line="259" w:lineRule="auto"/>
              <w:ind w:left="40" w:right="0" w:firstLine="0"/>
              <w:jc w:val="both"/>
            </w:pPr>
            <w:r>
              <w:rPr>
                <w:b/>
                <w:sz w:val="16"/>
              </w:rPr>
              <w:t xml:space="preserve">Total Cost ($) </w:t>
            </w:r>
          </w:p>
        </w:tc>
      </w:tr>
      <w:tr w14:paraId="337EBB09" w14:textId="77777777">
        <w:tblPrEx>
          <w:tblW w:w="9841" w:type="dxa"/>
          <w:tblInd w:w="866" w:type="dxa"/>
          <w:tblCellMar>
            <w:top w:w="50" w:type="dxa"/>
          </w:tblCellMar>
          <w:tblLook w:val="04A0"/>
        </w:tblPrEx>
        <w:trPr>
          <w:trHeight w:val="826"/>
        </w:trPr>
        <w:tc>
          <w:tcPr>
            <w:tcW w:w="1154" w:type="dxa"/>
            <w:tcBorders>
              <w:top w:val="single" w:sz="2" w:space="0" w:color="000000"/>
              <w:left w:val="single" w:sz="2" w:space="0" w:color="000000"/>
              <w:bottom w:val="single" w:sz="2" w:space="0" w:color="000000"/>
              <w:right w:val="single" w:sz="2" w:space="0" w:color="000000"/>
            </w:tcBorders>
          </w:tcPr>
          <w:p w:rsidR="00DA0D9C" w14:paraId="0A9EC3D7" w14:textId="77777777">
            <w:pPr>
              <w:spacing w:after="0" w:line="259" w:lineRule="auto"/>
              <w:ind w:left="8" w:right="0" w:firstLine="0"/>
            </w:pPr>
            <w:r>
              <w:rPr>
                <w:sz w:val="16"/>
              </w:rPr>
              <w:t xml:space="preserve">Annual </w:t>
            </w:r>
            <w:r>
              <w:rPr>
                <w:sz w:val="16"/>
              </w:rPr>
              <w:t xml:space="preserve">MOC </w:t>
            </w:r>
            <w:r>
              <w:t xml:space="preserve"> </w:t>
            </w:r>
            <w:r>
              <w:rPr>
                <w:sz w:val="16"/>
              </w:rPr>
              <w:t>Submissions</w:t>
            </w:r>
            <w:r>
              <w:rPr>
                <w:sz w:val="16"/>
              </w:rPr>
              <w:t xml:space="preserve"> </w:t>
            </w:r>
            <w:r>
              <w:t xml:space="preserve"> </w:t>
            </w:r>
          </w:p>
        </w:tc>
        <w:tc>
          <w:tcPr>
            <w:tcW w:w="1217" w:type="dxa"/>
            <w:tcBorders>
              <w:top w:val="single" w:sz="2" w:space="0" w:color="000000"/>
              <w:left w:val="single" w:sz="2" w:space="0" w:color="000000"/>
              <w:bottom w:val="single" w:sz="2" w:space="0" w:color="000000"/>
              <w:right w:val="single" w:sz="2" w:space="0" w:color="000000"/>
            </w:tcBorders>
          </w:tcPr>
          <w:p w:rsidR="00DA0D9C" w14:paraId="07CBB76C" w14:textId="77777777">
            <w:pPr>
              <w:spacing w:after="0" w:line="259" w:lineRule="auto"/>
              <w:ind w:left="0" w:right="4" w:firstLine="0"/>
              <w:jc w:val="center"/>
            </w:pPr>
            <w:r>
              <w:rPr>
                <w:sz w:val="16"/>
              </w:rPr>
              <w:t xml:space="preserve">§ 422.101(f) </w:t>
            </w:r>
            <w:r>
              <w:t xml:space="preserve"> </w:t>
            </w:r>
          </w:p>
        </w:tc>
        <w:tc>
          <w:tcPr>
            <w:tcW w:w="1037" w:type="dxa"/>
            <w:tcBorders>
              <w:top w:val="single" w:sz="2" w:space="0" w:color="000000"/>
              <w:left w:val="single" w:sz="2" w:space="0" w:color="000000"/>
              <w:bottom w:val="single" w:sz="2" w:space="0" w:color="000000"/>
              <w:right w:val="single" w:sz="2" w:space="0" w:color="000000"/>
            </w:tcBorders>
          </w:tcPr>
          <w:p w:rsidR="00DA0D9C" w14:paraId="2D485312" w14:textId="77777777">
            <w:pPr>
              <w:spacing w:after="0" w:line="259" w:lineRule="auto"/>
              <w:ind w:left="0" w:right="6" w:firstLine="0"/>
              <w:jc w:val="center"/>
            </w:pPr>
            <w:r>
              <w:rPr>
                <w:sz w:val="16"/>
              </w:rPr>
              <w:t xml:space="preserve">410 </w:t>
            </w:r>
            <w:r>
              <w:t xml:space="preserve"> </w:t>
            </w:r>
          </w:p>
        </w:tc>
        <w:tc>
          <w:tcPr>
            <w:tcW w:w="1075" w:type="dxa"/>
            <w:tcBorders>
              <w:top w:val="single" w:sz="2" w:space="0" w:color="000000"/>
              <w:left w:val="single" w:sz="2" w:space="0" w:color="000000"/>
              <w:bottom w:val="single" w:sz="2" w:space="0" w:color="000000"/>
              <w:right w:val="single" w:sz="2" w:space="0" w:color="000000"/>
            </w:tcBorders>
          </w:tcPr>
          <w:p w:rsidR="00DA0D9C" w14:paraId="4AA7B327" w14:textId="77777777">
            <w:pPr>
              <w:spacing w:after="0" w:line="259" w:lineRule="auto"/>
              <w:ind w:left="0" w:right="4" w:firstLine="0"/>
              <w:jc w:val="center"/>
            </w:pPr>
            <w:r>
              <w:rPr>
                <w:sz w:val="16"/>
              </w:rPr>
              <w:t xml:space="preserve">1 </w:t>
            </w:r>
            <w:r>
              <w:t xml:space="preserve"> </w:t>
            </w:r>
          </w:p>
        </w:tc>
        <w:tc>
          <w:tcPr>
            <w:tcW w:w="1075" w:type="dxa"/>
            <w:tcBorders>
              <w:top w:val="single" w:sz="2" w:space="0" w:color="000000"/>
              <w:left w:val="single" w:sz="2" w:space="0" w:color="000000"/>
              <w:bottom w:val="single" w:sz="2" w:space="0" w:color="000000"/>
              <w:right w:val="single" w:sz="2" w:space="0" w:color="000000"/>
            </w:tcBorders>
          </w:tcPr>
          <w:p w:rsidR="00DA0D9C" w14:paraId="1E90C24D" w14:textId="77777777">
            <w:pPr>
              <w:spacing w:after="0" w:line="259" w:lineRule="auto"/>
              <w:ind w:left="0" w:right="6" w:firstLine="0"/>
              <w:jc w:val="center"/>
            </w:pPr>
            <w:r>
              <w:rPr>
                <w:sz w:val="16"/>
              </w:rPr>
              <w:t xml:space="preserve">410 </w:t>
            </w:r>
            <w:r>
              <w:t xml:space="preserve"> </w:t>
            </w:r>
          </w:p>
        </w:tc>
        <w:tc>
          <w:tcPr>
            <w:tcW w:w="1073" w:type="dxa"/>
            <w:tcBorders>
              <w:top w:val="single" w:sz="2" w:space="0" w:color="000000"/>
              <w:left w:val="single" w:sz="2" w:space="0" w:color="000000"/>
              <w:bottom w:val="single" w:sz="2" w:space="0" w:color="000000"/>
              <w:right w:val="single" w:sz="2" w:space="0" w:color="000000"/>
            </w:tcBorders>
          </w:tcPr>
          <w:p w:rsidR="00DA0D9C" w14:paraId="327AC35D" w14:textId="77777777">
            <w:pPr>
              <w:spacing w:after="0" w:line="259" w:lineRule="auto"/>
              <w:ind w:left="0" w:right="1" w:firstLine="0"/>
              <w:jc w:val="center"/>
            </w:pPr>
            <w:r>
              <w:rPr>
                <w:sz w:val="16"/>
              </w:rPr>
              <w:t xml:space="preserve">6 </w:t>
            </w:r>
            <w:r>
              <w:t xml:space="preserve"> </w:t>
            </w:r>
          </w:p>
        </w:tc>
        <w:tc>
          <w:tcPr>
            <w:tcW w:w="1044" w:type="dxa"/>
            <w:tcBorders>
              <w:top w:val="single" w:sz="2" w:space="0" w:color="000000"/>
              <w:left w:val="single" w:sz="2" w:space="0" w:color="000000"/>
              <w:bottom w:val="single" w:sz="2" w:space="0" w:color="000000"/>
              <w:right w:val="single" w:sz="2" w:space="0" w:color="000000"/>
            </w:tcBorders>
          </w:tcPr>
          <w:p w:rsidR="00DA0D9C" w14:paraId="2AA593E3" w14:textId="77777777">
            <w:pPr>
              <w:spacing w:after="0" w:line="259" w:lineRule="auto"/>
              <w:ind w:left="0" w:right="8" w:firstLine="0"/>
              <w:jc w:val="center"/>
            </w:pPr>
            <w:r>
              <w:rPr>
                <w:sz w:val="16"/>
              </w:rPr>
              <w:t xml:space="preserve">2,460 </w:t>
            </w:r>
            <w:r>
              <w:t xml:space="preserve"> </w:t>
            </w:r>
          </w:p>
        </w:tc>
        <w:tc>
          <w:tcPr>
            <w:tcW w:w="1147" w:type="dxa"/>
            <w:tcBorders>
              <w:top w:val="single" w:sz="2" w:space="0" w:color="000000"/>
              <w:left w:val="single" w:sz="2" w:space="0" w:color="000000"/>
              <w:bottom w:val="single" w:sz="2" w:space="0" w:color="000000"/>
              <w:right w:val="single" w:sz="2" w:space="0" w:color="000000"/>
            </w:tcBorders>
          </w:tcPr>
          <w:p w:rsidR="00DA0D9C" w14:paraId="2D2741C9" w14:textId="77777777">
            <w:pPr>
              <w:spacing w:after="0" w:line="259" w:lineRule="auto"/>
              <w:ind w:left="4" w:right="0" w:firstLine="0"/>
              <w:jc w:val="center"/>
            </w:pPr>
            <w:r>
              <w:rPr>
                <w:sz w:val="16"/>
              </w:rPr>
              <w:t xml:space="preserve">90.94 </w:t>
            </w:r>
            <w:r>
              <w:t xml:space="preserve"> </w:t>
            </w:r>
          </w:p>
        </w:tc>
        <w:tc>
          <w:tcPr>
            <w:tcW w:w="1019" w:type="dxa"/>
            <w:tcBorders>
              <w:top w:val="single" w:sz="2" w:space="0" w:color="000000"/>
              <w:left w:val="single" w:sz="2" w:space="0" w:color="000000"/>
              <w:bottom w:val="single" w:sz="2" w:space="0" w:color="000000"/>
              <w:right w:val="single" w:sz="2" w:space="0" w:color="000000"/>
            </w:tcBorders>
          </w:tcPr>
          <w:p w:rsidR="00DA0D9C" w14:paraId="56137916" w14:textId="77777777">
            <w:pPr>
              <w:spacing w:after="8" w:line="259" w:lineRule="auto"/>
              <w:ind w:left="0" w:right="5" w:firstLine="0"/>
              <w:jc w:val="center"/>
            </w:pPr>
            <w:r>
              <w:rPr>
                <w:sz w:val="16"/>
              </w:rPr>
              <w:t xml:space="preserve">223,712 </w:t>
            </w:r>
            <w:r>
              <w:t xml:space="preserve"> </w:t>
            </w:r>
          </w:p>
          <w:p w:rsidR="00DA0D9C" w14:paraId="44191C41" w14:textId="77777777">
            <w:pPr>
              <w:spacing w:after="26" w:line="259" w:lineRule="auto"/>
              <w:ind w:left="135" w:right="0" w:firstLine="0"/>
              <w:jc w:val="center"/>
            </w:pPr>
            <w:r>
              <w:rPr>
                <w:sz w:val="16"/>
              </w:rPr>
              <w:t xml:space="preserve"> </w:t>
            </w:r>
            <w:r>
              <w:t xml:space="preserve"> </w:t>
            </w:r>
          </w:p>
          <w:p w:rsidR="00DA0D9C" w14:paraId="125DCC99" w14:textId="77777777">
            <w:pPr>
              <w:spacing w:after="0" w:line="259" w:lineRule="auto"/>
              <w:ind w:left="135" w:right="0" w:firstLine="0"/>
              <w:jc w:val="center"/>
            </w:pPr>
            <w:r>
              <w:rPr>
                <w:sz w:val="16"/>
              </w:rPr>
              <w:t xml:space="preserve"> </w:t>
            </w:r>
            <w:r>
              <w:t xml:space="preserve"> </w:t>
            </w:r>
          </w:p>
        </w:tc>
      </w:tr>
      <w:tr w14:paraId="2091AFD3" w14:textId="77777777">
        <w:tblPrEx>
          <w:tblW w:w="9841" w:type="dxa"/>
          <w:tblInd w:w="866" w:type="dxa"/>
          <w:tblCellMar>
            <w:top w:w="50" w:type="dxa"/>
          </w:tblCellMar>
          <w:tblLook w:val="04A0"/>
        </w:tblPrEx>
        <w:trPr>
          <w:trHeight w:val="751"/>
        </w:trPr>
        <w:tc>
          <w:tcPr>
            <w:tcW w:w="1154" w:type="dxa"/>
            <w:tcBorders>
              <w:top w:val="single" w:sz="2" w:space="0" w:color="000000"/>
              <w:left w:val="single" w:sz="2" w:space="0" w:color="000000"/>
              <w:bottom w:val="single" w:sz="2" w:space="0" w:color="000000"/>
              <w:right w:val="single" w:sz="2" w:space="0" w:color="000000"/>
            </w:tcBorders>
          </w:tcPr>
          <w:p w:rsidR="00DA0D9C" w14:paraId="1FDA1D9D" w14:textId="77777777">
            <w:pPr>
              <w:spacing w:after="0" w:line="259" w:lineRule="auto"/>
              <w:ind w:left="8" w:right="0" w:firstLine="0"/>
            </w:pPr>
            <w:r>
              <w:rPr>
                <w:sz w:val="16"/>
              </w:rPr>
              <w:t xml:space="preserve">Annual MOC Resubmissions </w:t>
            </w:r>
            <w:r>
              <w:t xml:space="preserve"> </w:t>
            </w:r>
          </w:p>
        </w:tc>
        <w:tc>
          <w:tcPr>
            <w:tcW w:w="1217" w:type="dxa"/>
            <w:tcBorders>
              <w:top w:val="single" w:sz="2" w:space="0" w:color="000000"/>
              <w:left w:val="single" w:sz="2" w:space="0" w:color="000000"/>
              <w:bottom w:val="single" w:sz="2" w:space="0" w:color="000000"/>
              <w:right w:val="single" w:sz="2" w:space="0" w:color="000000"/>
            </w:tcBorders>
          </w:tcPr>
          <w:p w:rsidR="00DA0D9C" w14:paraId="0DAEE59B" w14:textId="77777777">
            <w:pPr>
              <w:spacing w:after="0" w:line="259" w:lineRule="auto"/>
              <w:ind w:left="0" w:right="4" w:firstLine="0"/>
              <w:jc w:val="center"/>
            </w:pPr>
            <w:r>
              <w:rPr>
                <w:sz w:val="16"/>
              </w:rPr>
              <w:t xml:space="preserve">§ 422.101(f) </w:t>
            </w:r>
            <w:r>
              <w:t xml:space="preserve"> </w:t>
            </w:r>
          </w:p>
        </w:tc>
        <w:tc>
          <w:tcPr>
            <w:tcW w:w="1037" w:type="dxa"/>
            <w:tcBorders>
              <w:top w:val="single" w:sz="2" w:space="0" w:color="000000"/>
              <w:left w:val="single" w:sz="2" w:space="0" w:color="000000"/>
              <w:bottom w:val="single" w:sz="2" w:space="0" w:color="000000"/>
              <w:right w:val="single" w:sz="2" w:space="0" w:color="000000"/>
            </w:tcBorders>
          </w:tcPr>
          <w:p w:rsidR="00DA0D9C" w14:paraId="09AB2F6C" w14:textId="77777777">
            <w:pPr>
              <w:spacing w:after="0" w:line="259" w:lineRule="auto"/>
              <w:ind w:left="0" w:right="4" w:firstLine="0"/>
              <w:jc w:val="center"/>
            </w:pPr>
            <w:r>
              <w:rPr>
                <w:sz w:val="16"/>
              </w:rPr>
              <w:t xml:space="preserve">15 </w:t>
            </w:r>
            <w:r>
              <w:t xml:space="preserve"> </w:t>
            </w:r>
          </w:p>
        </w:tc>
        <w:tc>
          <w:tcPr>
            <w:tcW w:w="1075" w:type="dxa"/>
            <w:tcBorders>
              <w:top w:val="single" w:sz="2" w:space="0" w:color="000000"/>
              <w:left w:val="single" w:sz="2" w:space="0" w:color="000000"/>
              <w:bottom w:val="single" w:sz="2" w:space="0" w:color="000000"/>
              <w:right w:val="single" w:sz="2" w:space="0" w:color="000000"/>
            </w:tcBorders>
          </w:tcPr>
          <w:p w:rsidR="00DA0D9C" w14:paraId="0746F9FC" w14:textId="77777777">
            <w:pPr>
              <w:spacing w:after="0" w:line="259" w:lineRule="auto"/>
              <w:ind w:left="0" w:right="4" w:firstLine="0"/>
              <w:jc w:val="center"/>
            </w:pPr>
            <w:r>
              <w:rPr>
                <w:sz w:val="16"/>
              </w:rPr>
              <w:t xml:space="preserve">1 </w:t>
            </w:r>
            <w:r>
              <w:t xml:space="preserve"> </w:t>
            </w:r>
          </w:p>
        </w:tc>
        <w:tc>
          <w:tcPr>
            <w:tcW w:w="1075" w:type="dxa"/>
            <w:tcBorders>
              <w:top w:val="single" w:sz="2" w:space="0" w:color="000000"/>
              <w:left w:val="single" w:sz="2" w:space="0" w:color="000000"/>
              <w:bottom w:val="single" w:sz="2" w:space="0" w:color="000000"/>
              <w:right w:val="single" w:sz="2" w:space="0" w:color="000000"/>
            </w:tcBorders>
          </w:tcPr>
          <w:p w:rsidR="00DA0D9C" w14:paraId="48F0F16B" w14:textId="77777777">
            <w:pPr>
              <w:spacing w:after="0" w:line="259" w:lineRule="auto"/>
              <w:ind w:left="0" w:right="4" w:firstLine="0"/>
              <w:jc w:val="center"/>
            </w:pPr>
            <w:r>
              <w:rPr>
                <w:sz w:val="16"/>
              </w:rPr>
              <w:t xml:space="preserve">15 </w:t>
            </w:r>
            <w:r>
              <w:t xml:space="preserve"> </w:t>
            </w:r>
          </w:p>
        </w:tc>
        <w:tc>
          <w:tcPr>
            <w:tcW w:w="1073" w:type="dxa"/>
            <w:tcBorders>
              <w:top w:val="single" w:sz="2" w:space="0" w:color="000000"/>
              <w:left w:val="single" w:sz="2" w:space="0" w:color="000000"/>
              <w:bottom w:val="single" w:sz="2" w:space="0" w:color="000000"/>
              <w:right w:val="single" w:sz="2" w:space="0" w:color="000000"/>
            </w:tcBorders>
          </w:tcPr>
          <w:p w:rsidR="00DA0D9C" w14:paraId="5E6A6A8A" w14:textId="77777777">
            <w:pPr>
              <w:spacing w:after="0" w:line="259" w:lineRule="auto"/>
              <w:ind w:left="0" w:right="1" w:firstLine="0"/>
              <w:jc w:val="center"/>
            </w:pPr>
            <w:r>
              <w:rPr>
                <w:sz w:val="16"/>
              </w:rPr>
              <w:t xml:space="preserve">3 </w:t>
            </w:r>
            <w:r>
              <w:t xml:space="preserve"> </w:t>
            </w:r>
          </w:p>
        </w:tc>
        <w:tc>
          <w:tcPr>
            <w:tcW w:w="1044" w:type="dxa"/>
            <w:tcBorders>
              <w:top w:val="single" w:sz="2" w:space="0" w:color="000000"/>
              <w:left w:val="single" w:sz="2" w:space="0" w:color="000000"/>
              <w:bottom w:val="single" w:sz="2" w:space="0" w:color="000000"/>
              <w:right w:val="single" w:sz="2" w:space="0" w:color="000000"/>
            </w:tcBorders>
          </w:tcPr>
          <w:p w:rsidR="00DA0D9C" w14:paraId="338613B7" w14:textId="77777777">
            <w:pPr>
              <w:spacing w:after="0" w:line="259" w:lineRule="auto"/>
              <w:ind w:left="0" w:right="6" w:firstLine="0"/>
              <w:jc w:val="center"/>
            </w:pPr>
            <w:r>
              <w:rPr>
                <w:sz w:val="16"/>
              </w:rPr>
              <w:t xml:space="preserve">45 </w:t>
            </w:r>
            <w:r>
              <w:t xml:space="preserve"> </w:t>
            </w:r>
          </w:p>
        </w:tc>
        <w:tc>
          <w:tcPr>
            <w:tcW w:w="1147" w:type="dxa"/>
            <w:tcBorders>
              <w:top w:val="single" w:sz="2" w:space="0" w:color="000000"/>
              <w:left w:val="single" w:sz="2" w:space="0" w:color="000000"/>
              <w:bottom w:val="single" w:sz="2" w:space="0" w:color="000000"/>
              <w:right w:val="single" w:sz="2" w:space="0" w:color="000000"/>
            </w:tcBorders>
          </w:tcPr>
          <w:p w:rsidR="00DA0D9C" w14:paraId="39AF1651" w14:textId="77777777">
            <w:pPr>
              <w:spacing w:after="0" w:line="259" w:lineRule="auto"/>
              <w:ind w:left="4" w:right="0" w:firstLine="0"/>
              <w:jc w:val="center"/>
            </w:pPr>
            <w:r>
              <w:rPr>
                <w:sz w:val="16"/>
              </w:rPr>
              <w:t xml:space="preserve">90.94 </w:t>
            </w:r>
            <w:r>
              <w:t xml:space="preserve"> </w:t>
            </w:r>
          </w:p>
        </w:tc>
        <w:tc>
          <w:tcPr>
            <w:tcW w:w="1019" w:type="dxa"/>
            <w:tcBorders>
              <w:top w:val="single" w:sz="2" w:space="0" w:color="000000"/>
              <w:left w:val="single" w:sz="2" w:space="0" w:color="000000"/>
              <w:bottom w:val="single" w:sz="2" w:space="0" w:color="000000"/>
              <w:right w:val="single" w:sz="2" w:space="0" w:color="000000"/>
            </w:tcBorders>
          </w:tcPr>
          <w:p w:rsidR="00DA0D9C" w14:paraId="0CF7FC2B" w14:textId="77777777">
            <w:pPr>
              <w:spacing w:after="0" w:line="259" w:lineRule="auto"/>
              <w:ind w:left="0" w:right="8" w:firstLine="0"/>
              <w:jc w:val="center"/>
            </w:pPr>
            <w:r>
              <w:rPr>
                <w:sz w:val="16"/>
              </w:rPr>
              <w:t xml:space="preserve">4,092 </w:t>
            </w:r>
            <w:r>
              <w:t xml:space="preserve"> </w:t>
            </w:r>
          </w:p>
        </w:tc>
      </w:tr>
      <w:tr w14:paraId="29CC6622" w14:textId="77777777">
        <w:tblPrEx>
          <w:tblW w:w="9841" w:type="dxa"/>
          <w:tblInd w:w="866" w:type="dxa"/>
          <w:tblCellMar>
            <w:top w:w="50" w:type="dxa"/>
          </w:tblCellMar>
          <w:tblLook w:val="04A0"/>
        </w:tblPrEx>
        <w:trPr>
          <w:trHeight w:val="751"/>
        </w:trPr>
        <w:tc>
          <w:tcPr>
            <w:tcW w:w="1154" w:type="dxa"/>
            <w:tcBorders>
              <w:top w:val="single" w:sz="2" w:space="0" w:color="000000"/>
              <w:left w:val="single" w:sz="2" w:space="0" w:color="000000"/>
              <w:bottom w:val="single" w:sz="2" w:space="0" w:color="000000"/>
              <w:right w:val="single" w:sz="2" w:space="0" w:color="000000"/>
            </w:tcBorders>
          </w:tcPr>
          <w:p w:rsidR="00DA0D9C" w14:paraId="1012FFF5" w14:textId="77777777">
            <w:pPr>
              <w:spacing w:after="17" w:line="216" w:lineRule="auto"/>
              <w:ind w:left="8" w:right="0" w:firstLine="0"/>
            </w:pPr>
            <w:r>
              <w:rPr>
                <w:sz w:val="16"/>
              </w:rPr>
              <w:t xml:space="preserve">Subtotal: </w:t>
            </w:r>
            <w:r>
              <w:rPr>
                <w:sz w:val="16"/>
              </w:rPr>
              <w:t>Initial,  Renewal</w:t>
            </w:r>
            <w:r>
              <w:rPr>
                <w:sz w:val="16"/>
              </w:rPr>
              <w:t xml:space="preserve">, and </w:t>
            </w:r>
            <w:r>
              <w:t xml:space="preserve"> </w:t>
            </w:r>
          </w:p>
          <w:p w:rsidR="00DA0D9C" w14:paraId="43F2065D" w14:textId="77777777">
            <w:pPr>
              <w:spacing w:after="0" w:line="259" w:lineRule="auto"/>
              <w:ind w:left="8" w:right="0" w:firstLine="0"/>
              <w:jc w:val="both"/>
            </w:pPr>
            <w:r>
              <w:rPr>
                <w:sz w:val="16"/>
              </w:rPr>
              <w:t xml:space="preserve">Re-Submissions </w:t>
            </w:r>
            <w:r>
              <w:t xml:space="preserve"> </w:t>
            </w:r>
          </w:p>
        </w:tc>
        <w:tc>
          <w:tcPr>
            <w:tcW w:w="1217" w:type="dxa"/>
            <w:tcBorders>
              <w:top w:val="single" w:sz="2" w:space="0" w:color="000000"/>
              <w:left w:val="single" w:sz="2" w:space="0" w:color="000000"/>
              <w:bottom w:val="single" w:sz="2" w:space="0" w:color="000000"/>
              <w:right w:val="single" w:sz="2" w:space="0" w:color="000000"/>
            </w:tcBorders>
          </w:tcPr>
          <w:p w:rsidR="00DA0D9C" w14:paraId="36EAE5A4" w14:textId="77777777">
            <w:pPr>
              <w:spacing w:after="0" w:line="259" w:lineRule="auto"/>
              <w:ind w:left="-25" w:right="0" w:firstLine="0"/>
            </w:pPr>
            <w:r>
              <w:t xml:space="preserve"> </w:t>
            </w:r>
            <w:r>
              <w:rPr>
                <w:sz w:val="16"/>
              </w:rPr>
              <w:t xml:space="preserve">§ 422.101(f) </w:t>
            </w:r>
            <w:r>
              <w:t xml:space="preserve"> </w:t>
            </w:r>
          </w:p>
        </w:tc>
        <w:tc>
          <w:tcPr>
            <w:tcW w:w="1037" w:type="dxa"/>
            <w:tcBorders>
              <w:top w:val="single" w:sz="2" w:space="0" w:color="000000"/>
              <w:left w:val="single" w:sz="2" w:space="0" w:color="000000"/>
              <w:bottom w:val="single" w:sz="2" w:space="0" w:color="000000"/>
              <w:right w:val="single" w:sz="2" w:space="0" w:color="000000"/>
            </w:tcBorders>
          </w:tcPr>
          <w:p w:rsidR="00DA0D9C" w14:paraId="6C78A5D5" w14:textId="77777777">
            <w:pPr>
              <w:spacing w:after="0" w:line="259" w:lineRule="auto"/>
              <w:ind w:left="0" w:right="6" w:firstLine="0"/>
              <w:jc w:val="center"/>
            </w:pPr>
            <w:r>
              <w:rPr>
                <w:sz w:val="16"/>
              </w:rPr>
              <w:t xml:space="preserve">425 </w:t>
            </w:r>
            <w:r>
              <w:t xml:space="preserve"> </w:t>
            </w:r>
          </w:p>
        </w:tc>
        <w:tc>
          <w:tcPr>
            <w:tcW w:w="1075" w:type="dxa"/>
            <w:tcBorders>
              <w:top w:val="single" w:sz="2" w:space="0" w:color="000000"/>
              <w:left w:val="single" w:sz="2" w:space="0" w:color="000000"/>
              <w:bottom w:val="single" w:sz="2" w:space="0" w:color="000000"/>
              <w:right w:val="single" w:sz="2" w:space="0" w:color="000000"/>
            </w:tcBorders>
          </w:tcPr>
          <w:p w:rsidR="00DA0D9C" w14:paraId="6B7ED3BD" w14:textId="77777777">
            <w:pPr>
              <w:spacing w:after="0" w:line="259" w:lineRule="auto"/>
              <w:ind w:left="0" w:right="8" w:firstLine="0"/>
              <w:jc w:val="center"/>
            </w:pPr>
            <w:r>
              <w:rPr>
                <w:i/>
                <w:sz w:val="16"/>
              </w:rPr>
              <w:t xml:space="preserve">2 </w:t>
            </w:r>
            <w:r>
              <w:t xml:space="preserve"> </w:t>
            </w:r>
          </w:p>
        </w:tc>
        <w:tc>
          <w:tcPr>
            <w:tcW w:w="1075" w:type="dxa"/>
            <w:tcBorders>
              <w:top w:val="single" w:sz="2" w:space="0" w:color="000000"/>
              <w:left w:val="single" w:sz="2" w:space="0" w:color="000000"/>
              <w:bottom w:val="single" w:sz="2" w:space="0" w:color="000000"/>
              <w:right w:val="single" w:sz="2" w:space="0" w:color="000000"/>
            </w:tcBorders>
          </w:tcPr>
          <w:p w:rsidR="00DA0D9C" w14:paraId="7B8DE122" w14:textId="77777777">
            <w:pPr>
              <w:spacing w:after="0" w:line="259" w:lineRule="auto"/>
              <w:ind w:left="0" w:right="11" w:firstLine="0"/>
              <w:jc w:val="center"/>
            </w:pPr>
            <w:r>
              <w:rPr>
                <w:i/>
                <w:sz w:val="16"/>
              </w:rPr>
              <w:t xml:space="preserve">425 </w:t>
            </w:r>
            <w:r>
              <w:t xml:space="preserve"> </w:t>
            </w:r>
          </w:p>
        </w:tc>
        <w:tc>
          <w:tcPr>
            <w:tcW w:w="1073" w:type="dxa"/>
            <w:tcBorders>
              <w:top w:val="single" w:sz="2" w:space="0" w:color="000000"/>
              <w:left w:val="single" w:sz="2" w:space="0" w:color="000000"/>
              <w:bottom w:val="single" w:sz="2" w:space="0" w:color="000000"/>
              <w:right w:val="single" w:sz="2" w:space="0" w:color="000000"/>
            </w:tcBorders>
          </w:tcPr>
          <w:p w:rsidR="00DA0D9C" w14:paraId="0D02CFB7" w14:textId="77777777">
            <w:pPr>
              <w:spacing w:after="0" w:line="259" w:lineRule="auto"/>
              <w:ind w:left="0" w:right="9" w:firstLine="0"/>
              <w:jc w:val="center"/>
            </w:pPr>
            <w:r>
              <w:rPr>
                <w:i/>
                <w:sz w:val="16"/>
              </w:rPr>
              <w:t xml:space="preserve">varies </w:t>
            </w:r>
            <w:r>
              <w:t xml:space="preserve"> </w:t>
            </w:r>
          </w:p>
        </w:tc>
        <w:tc>
          <w:tcPr>
            <w:tcW w:w="1044" w:type="dxa"/>
            <w:tcBorders>
              <w:top w:val="single" w:sz="2" w:space="0" w:color="000000"/>
              <w:left w:val="single" w:sz="2" w:space="0" w:color="000000"/>
              <w:bottom w:val="single" w:sz="2" w:space="0" w:color="000000"/>
              <w:right w:val="single" w:sz="2" w:space="0" w:color="000000"/>
            </w:tcBorders>
          </w:tcPr>
          <w:p w:rsidR="00DA0D9C" w14:paraId="3FE7446C" w14:textId="77777777">
            <w:pPr>
              <w:spacing w:after="0" w:line="259" w:lineRule="auto"/>
              <w:ind w:left="0" w:right="6" w:firstLine="0"/>
              <w:jc w:val="center"/>
            </w:pPr>
            <w:r>
              <w:rPr>
                <w:i/>
                <w:sz w:val="16"/>
              </w:rPr>
              <w:t xml:space="preserve">2505 </w:t>
            </w:r>
            <w:r>
              <w:t xml:space="preserve"> </w:t>
            </w:r>
          </w:p>
        </w:tc>
        <w:tc>
          <w:tcPr>
            <w:tcW w:w="1147" w:type="dxa"/>
            <w:tcBorders>
              <w:top w:val="single" w:sz="2" w:space="0" w:color="000000"/>
              <w:left w:val="single" w:sz="2" w:space="0" w:color="000000"/>
              <w:bottom w:val="single" w:sz="2" w:space="0" w:color="000000"/>
              <w:right w:val="single" w:sz="2" w:space="0" w:color="000000"/>
            </w:tcBorders>
          </w:tcPr>
          <w:p w:rsidR="00DA0D9C" w14:paraId="2638ABC4" w14:textId="77777777">
            <w:pPr>
              <w:spacing w:after="0" w:line="259" w:lineRule="auto"/>
              <w:ind w:left="4" w:right="0" w:firstLine="0"/>
              <w:jc w:val="center"/>
            </w:pPr>
            <w:r>
              <w:rPr>
                <w:sz w:val="16"/>
              </w:rPr>
              <w:t>90.94</w:t>
            </w:r>
            <w:r>
              <w:rPr>
                <w:i/>
                <w:sz w:val="16"/>
              </w:rPr>
              <w:t xml:space="preserve"> </w:t>
            </w:r>
            <w:r>
              <w:t xml:space="preserve"> </w:t>
            </w:r>
          </w:p>
        </w:tc>
        <w:tc>
          <w:tcPr>
            <w:tcW w:w="1019" w:type="dxa"/>
            <w:tcBorders>
              <w:top w:val="single" w:sz="2" w:space="0" w:color="000000"/>
              <w:left w:val="single" w:sz="2" w:space="0" w:color="000000"/>
              <w:bottom w:val="single" w:sz="2" w:space="0" w:color="000000"/>
              <w:right w:val="single" w:sz="2" w:space="0" w:color="000000"/>
            </w:tcBorders>
          </w:tcPr>
          <w:p w:rsidR="00DA0D9C" w14:paraId="67225172" w14:textId="77777777">
            <w:pPr>
              <w:spacing w:after="21" w:line="259" w:lineRule="auto"/>
              <w:ind w:left="0" w:right="5" w:firstLine="0"/>
              <w:jc w:val="center"/>
            </w:pPr>
            <w:r>
              <w:rPr>
                <w:i/>
                <w:sz w:val="16"/>
              </w:rPr>
              <w:t xml:space="preserve">239,120 </w:t>
            </w:r>
            <w:r>
              <w:t xml:space="preserve"> </w:t>
            </w:r>
          </w:p>
          <w:p w:rsidR="00DA0D9C" w14:paraId="2A9B7B0D" w14:textId="77777777">
            <w:pPr>
              <w:spacing w:after="0" w:line="259" w:lineRule="auto"/>
              <w:ind w:left="296" w:right="0" w:firstLine="0"/>
              <w:jc w:val="center"/>
            </w:pPr>
            <w:r>
              <w:rPr>
                <w:i/>
                <w:sz w:val="16"/>
              </w:rPr>
              <w:t xml:space="preserve">   </w:t>
            </w:r>
            <w:r>
              <w:t xml:space="preserve"> </w:t>
            </w:r>
          </w:p>
        </w:tc>
      </w:tr>
      <w:tr w14:paraId="1317B99B" w14:textId="77777777">
        <w:tblPrEx>
          <w:tblW w:w="9841" w:type="dxa"/>
          <w:tblInd w:w="866" w:type="dxa"/>
          <w:tblCellMar>
            <w:top w:w="50" w:type="dxa"/>
          </w:tblCellMar>
          <w:tblLook w:val="04A0"/>
        </w:tblPrEx>
        <w:trPr>
          <w:trHeight w:val="751"/>
        </w:trPr>
        <w:tc>
          <w:tcPr>
            <w:tcW w:w="1154" w:type="dxa"/>
            <w:tcBorders>
              <w:top w:val="single" w:sz="2" w:space="0" w:color="000000"/>
              <w:left w:val="single" w:sz="2" w:space="0" w:color="000000"/>
              <w:bottom w:val="single" w:sz="2" w:space="0" w:color="000000"/>
              <w:right w:val="single" w:sz="2" w:space="0" w:color="000000"/>
            </w:tcBorders>
          </w:tcPr>
          <w:p w:rsidR="00DA0D9C" w14:paraId="2176F9F9" w14:textId="77777777">
            <w:pPr>
              <w:spacing w:after="0" w:line="259" w:lineRule="auto"/>
              <w:ind w:left="8" w:right="0" w:firstLine="0"/>
            </w:pPr>
            <w:r>
              <w:rPr>
                <w:sz w:val="16"/>
              </w:rPr>
              <w:t>Off-</w:t>
            </w:r>
            <w:r>
              <w:rPr>
                <w:sz w:val="16"/>
              </w:rPr>
              <w:t xml:space="preserve">Cycle </w:t>
            </w:r>
            <w:r>
              <w:t xml:space="preserve"> </w:t>
            </w:r>
            <w:r>
              <w:rPr>
                <w:sz w:val="16"/>
              </w:rPr>
              <w:t>Submission</w:t>
            </w:r>
            <w:r>
              <w:rPr>
                <w:sz w:val="16"/>
              </w:rPr>
              <w:t xml:space="preserve"> </w:t>
            </w:r>
            <w:r>
              <w:t xml:space="preserve"> </w:t>
            </w:r>
          </w:p>
        </w:tc>
        <w:tc>
          <w:tcPr>
            <w:tcW w:w="1217" w:type="dxa"/>
            <w:tcBorders>
              <w:top w:val="single" w:sz="2" w:space="0" w:color="000000"/>
              <w:left w:val="single" w:sz="2" w:space="0" w:color="000000"/>
              <w:bottom w:val="single" w:sz="2" w:space="0" w:color="000000"/>
              <w:right w:val="single" w:sz="2" w:space="0" w:color="000000"/>
            </w:tcBorders>
          </w:tcPr>
          <w:p w:rsidR="00DA0D9C" w14:paraId="6C609434" w14:textId="77777777">
            <w:pPr>
              <w:spacing w:after="0" w:line="259" w:lineRule="auto"/>
              <w:ind w:left="0" w:right="4" w:firstLine="0"/>
              <w:jc w:val="center"/>
            </w:pPr>
            <w:r>
              <w:rPr>
                <w:sz w:val="16"/>
              </w:rPr>
              <w:t xml:space="preserve">§ 422.101(f) </w:t>
            </w:r>
            <w:r>
              <w:t xml:space="preserve"> </w:t>
            </w:r>
          </w:p>
        </w:tc>
        <w:tc>
          <w:tcPr>
            <w:tcW w:w="1037" w:type="dxa"/>
            <w:tcBorders>
              <w:top w:val="single" w:sz="2" w:space="0" w:color="000000"/>
              <w:left w:val="single" w:sz="2" w:space="0" w:color="000000"/>
              <w:bottom w:val="single" w:sz="2" w:space="0" w:color="000000"/>
              <w:right w:val="single" w:sz="2" w:space="0" w:color="000000"/>
            </w:tcBorders>
          </w:tcPr>
          <w:p w:rsidR="00DA0D9C" w14:paraId="50228B6C" w14:textId="77777777">
            <w:pPr>
              <w:spacing w:after="0" w:line="259" w:lineRule="auto"/>
              <w:ind w:left="0" w:right="6" w:firstLine="0"/>
              <w:jc w:val="center"/>
            </w:pPr>
            <w:r>
              <w:rPr>
                <w:sz w:val="16"/>
              </w:rPr>
              <w:t xml:space="preserve">150 </w:t>
            </w:r>
            <w:r>
              <w:t xml:space="preserve"> </w:t>
            </w:r>
          </w:p>
        </w:tc>
        <w:tc>
          <w:tcPr>
            <w:tcW w:w="1075" w:type="dxa"/>
            <w:tcBorders>
              <w:top w:val="single" w:sz="2" w:space="0" w:color="000000"/>
              <w:left w:val="single" w:sz="2" w:space="0" w:color="000000"/>
              <w:bottom w:val="single" w:sz="2" w:space="0" w:color="000000"/>
              <w:right w:val="single" w:sz="2" w:space="0" w:color="000000"/>
            </w:tcBorders>
          </w:tcPr>
          <w:p w:rsidR="00DA0D9C" w14:paraId="584B83E0" w14:textId="77777777">
            <w:pPr>
              <w:spacing w:after="0" w:line="259" w:lineRule="auto"/>
              <w:ind w:left="0" w:right="4" w:firstLine="0"/>
              <w:jc w:val="center"/>
            </w:pPr>
            <w:r>
              <w:rPr>
                <w:sz w:val="16"/>
              </w:rPr>
              <w:t xml:space="preserve">1 </w:t>
            </w:r>
            <w:r>
              <w:t xml:space="preserve"> </w:t>
            </w:r>
          </w:p>
        </w:tc>
        <w:tc>
          <w:tcPr>
            <w:tcW w:w="1075" w:type="dxa"/>
            <w:tcBorders>
              <w:top w:val="single" w:sz="2" w:space="0" w:color="000000"/>
              <w:left w:val="single" w:sz="2" w:space="0" w:color="000000"/>
              <w:bottom w:val="single" w:sz="2" w:space="0" w:color="000000"/>
              <w:right w:val="single" w:sz="2" w:space="0" w:color="000000"/>
            </w:tcBorders>
          </w:tcPr>
          <w:p w:rsidR="00DA0D9C" w14:paraId="640F19D1" w14:textId="77777777">
            <w:pPr>
              <w:spacing w:after="0" w:line="259" w:lineRule="auto"/>
              <w:ind w:left="0" w:right="6" w:firstLine="0"/>
              <w:jc w:val="center"/>
            </w:pPr>
            <w:r>
              <w:rPr>
                <w:sz w:val="16"/>
              </w:rPr>
              <w:t xml:space="preserve">150 </w:t>
            </w:r>
            <w:r>
              <w:t xml:space="preserve"> </w:t>
            </w:r>
          </w:p>
        </w:tc>
        <w:tc>
          <w:tcPr>
            <w:tcW w:w="1073" w:type="dxa"/>
            <w:tcBorders>
              <w:top w:val="single" w:sz="2" w:space="0" w:color="000000"/>
              <w:left w:val="single" w:sz="2" w:space="0" w:color="000000"/>
              <w:bottom w:val="single" w:sz="2" w:space="0" w:color="000000"/>
              <w:right w:val="single" w:sz="2" w:space="0" w:color="000000"/>
            </w:tcBorders>
          </w:tcPr>
          <w:p w:rsidR="00DA0D9C" w14:paraId="325E40EA" w14:textId="77777777">
            <w:pPr>
              <w:spacing w:after="0" w:line="259" w:lineRule="auto"/>
              <w:ind w:left="0" w:right="1" w:firstLine="0"/>
              <w:jc w:val="center"/>
            </w:pPr>
            <w:r>
              <w:rPr>
                <w:sz w:val="16"/>
              </w:rPr>
              <w:t xml:space="preserve">4 </w:t>
            </w:r>
            <w:r>
              <w:t xml:space="preserve"> </w:t>
            </w:r>
          </w:p>
        </w:tc>
        <w:tc>
          <w:tcPr>
            <w:tcW w:w="1044" w:type="dxa"/>
            <w:tcBorders>
              <w:top w:val="single" w:sz="2" w:space="0" w:color="000000"/>
              <w:left w:val="single" w:sz="2" w:space="0" w:color="000000"/>
              <w:bottom w:val="single" w:sz="2" w:space="0" w:color="000000"/>
              <w:right w:val="single" w:sz="2" w:space="0" w:color="000000"/>
            </w:tcBorders>
          </w:tcPr>
          <w:p w:rsidR="00DA0D9C" w14:paraId="64ED309D" w14:textId="77777777">
            <w:pPr>
              <w:spacing w:after="0" w:line="259" w:lineRule="auto"/>
              <w:ind w:left="0" w:right="8" w:firstLine="0"/>
              <w:jc w:val="center"/>
            </w:pPr>
            <w:r>
              <w:rPr>
                <w:sz w:val="16"/>
              </w:rPr>
              <w:t xml:space="preserve">600 </w:t>
            </w:r>
            <w:r>
              <w:t xml:space="preserve"> </w:t>
            </w:r>
          </w:p>
        </w:tc>
        <w:tc>
          <w:tcPr>
            <w:tcW w:w="1147" w:type="dxa"/>
            <w:tcBorders>
              <w:top w:val="single" w:sz="2" w:space="0" w:color="000000"/>
              <w:left w:val="single" w:sz="2" w:space="0" w:color="000000"/>
              <w:bottom w:val="single" w:sz="2" w:space="0" w:color="000000"/>
              <w:right w:val="single" w:sz="2" w:space="0" w:color="000000"/>
            </w:tcBorders>
          </w:tcPr>
          <w:p w:rsidR="00DA0D9C" w14:paraId="7A6EEE8B" w14:textId="77777777">
            <w:pPr>
              <w:spacing w:after="0" w:line="259" w:lineRule="auto"/>
              <w:ind w:left="4" w:right="0" w:firstLine="0"/>
              <w:jc w:val="center"/>
            </w:pPr>
            <w:r>
              <w:rPr>
                <w:sz w:val="16"/>
              </w:rPr>
              <w:t xml:space="preserve">90.94 </w:t>
            </w:r>
            <w:r>
              <w:t xml:space="preserve"> </w:t>
            </w:r>
          </w:p>
        </w:tc>
        <w:tc>
          <w:tcPr>
            <w:tcW w:w="1019" w:type="dxa"/>
            <w:tcBorders>
              <w:top w:val="single" w:sz="2" w:space="0" w:color="000000"/>
              <w:left w:val="single" w:sz="2" w:space="0" w:color="000000"/>
              <w:bottom w:val="single" w:sz="2" w:space="0" w:color="000000"/>
              <w:right w:val="single" w:sz="2" w:space="0" w:color="000000"/>
            </w:tcBorders>
          </w:tcPr>
          <w:p w:rsidR="00DA0D9C" w14:paraId="0CC23FD6" w14:textId="77777777">
            <w:pPr>
              <w:spacing w:after="0" w:line="259" w:lineRule="auto"/>
              <w:ind w:left="0" w:right="5" w:firstLine="0"/>
              <w:jc w:val="center"/>
            </w:pPr>
            <w:r>
              <w:rPr>
                <w:sz w:val="16"/>
              </w:rPr>
              <w:t xml:space="preserve">54,564 </w:t>
            </w:r>
            <w:r>
              <w:t xml:space="preserve"> </w:t>
            </w:r>
          </w:p>
        </w:tc>
      </w:tr>
      <w:tr w14:paraId="73AF3D5A" w14:textId="77777777">
        <w:tblPrEx>
          <w:tblW w:w="9841" w:type="dxa"/>
          <w:tblInd w:w="866" w:type="dxa"/>
          <w:tblCellMar>
            <w:top w:w="50" w:type="dxa"/>
          </w:tblCellMar>
          <w:tblLook w:val="04A0"/>
        </w:tblPrEx>
        <w:trPr>
          <w:trHeight w:val="762"/>
        </w:trPr>
        <w:tc>
          <w:tcPr>
            <w:tcW w:w="1154" w:type="dxa"/>
            <w:tcBorders>
              <w:top w:val="single" w:sz="2" w:space="0" w:color="000000"/>
              <w:left w:val="single" w:sz="2" w:space="0" w:color="000000"/>
              <w:bottom w:val="single" w:sz="2" w:space="0" w:color="000000"/>
              <w:right w:val="single" w:sz="2" w:space="0" w:color="000000"/>
            </w:tcBorders>
          </w:tcPr>
          <w:p w:rsidR="00DA0D9C" w14:paraId="10382004" w14:textId="77777777">
            <w:pPr>
              <w:spacing w:after="3" w:line="216" w:lineRule="auto"/>
              <w:ind w:left="8" w:right="0" w:firstLine="0"/>
              <w:jc w:val="both"/>
            </w:pPr>
            <w:r>
              <w:rPr>
                <w:sz w:val="16"/>
              </w:rPr>
              <w:t>Track Face-</w:t>
            </w:r>
            <w:r>
              <w:rPr>
                <w:sz w:val="16"/>
              </w:rPr>
              <w:t>toFace</w:t>
            </w:r>
            <w:r>
              <w:rPr>
                <w:sz w:val="16"/>
              </w:rPr>
              <w:t xml:space="preserve"> Encounters </w:t>
            </w:r>
            <w:r>
              <w:t xml:space="preserve"> </w:t>
            </w:r>
          </w:p>
          <w:p w:rsidR="00DA0D9C" w14:paraId="5430EF7A" w14:textId="77777777">
            <w:pPr>
              <w:spacing w:after="0" w:line="259" w:lineRule="auto"/>
              <w:ind w:left="8" w:right="0" w:firstLine="0"/>
            </w:pPr>
            <w:r>
              <w:rPr>
                <w:sz w:val="16"/>
              </w:rPr>
              <w:t xml:space="preserve">(all SNP types) </w:t>
            </w:r>
            <w:r>
              <w:t xml:space="preserve"> </w:t>
            </w:r>
          </w:p>
        </w:tc>
        <w:tc>
          <w:tcPr>
            <w:tcW w:w="1217" w:type="dxa"/>
            <w:tcBorders>
              <w:top w:val="single" w:sz="2" w:space="0" w:color="000000"/>
              <w:left w:val="single" w:sz="2" w:space="0" w:color="000000"/>
              <w:bottom w:val="single" w:sz="2" w:space="0" w:color="000000"/>
              <w:right w:val="single" w:sz="2" w:space="0" w:color="000000"/>
            </w:tcBorders>
          </w:tcPr>
          <w:p w:rsidR="00DA0D9C" w14:paraId="745FF3BC" w14:textId="77777777">
            <w:pPr>
              <w:spacing w:after="0" w:line="259" w:lineRule="auto"/>
              <w:ind w:left="0" w:right="0" w:firstLine="0"/>
              <w:jc w:val="center"/>
            </w:pPr>
            <w:r>
              <w:rPr>
                <w:sz w:val="16"/>
              </w:rPr>
              <w:t xml:space="preserve">§ 422.101 (f)(1)(iv) </w:t>
            </w:r>
            <w:r>
              <w:t xml:space="preserve"> </w:t>
            </w:r>
          </w:p>
        </w:tc>
        <w:tc>
          <w:tcPr>
            <w:tcW w:w="1037" w:type="dxa"/>
            <w:tcBorders>
              <w:top w:val="single" w:sz="2" w:space="0" w:color="000000"/>
              <w:left w:val="single" w:sz="2" w:space="0" w:color="000000"/>
              <w:bottom w:val="single" w:sz="2" w:space="0" w:color="000000"/>
              <w:right w:val="single" w:sz="2" w:space="0" w:color="000000"/>
            </w:tcBorders>
          </w:tcPr>
          <w:p w:rsidR="00DA0D9C" w14:paraId="20165A07" w14:textId="77777777">
            <w:pPr>
              <w:spacing w:after="0" w:line="259" w:lineRule="auto"/>
              <w:ind w:left="0" w:right="8" w:firstLine="0"/>
              <w:jc w:val="center"/>
            </w:pPr>
            <w:r>
              <w:rPr>
                <w:sz w:val="16"/>
              </w:rPr>
              <w:t xml:space="preserve">1340 </w:t>
            </w:r>
            <w:r>
              <w:t xml:space="preserve"> </w:t>
            </w:r>
          </w:p>
        </w:tc>
        <w:tc>
          <w:tcPr>
            <w:tcW w:w="1075" w:type="dxa"/>
            <w:tcBorders>
              <w:top w:val="single" w:sz="2" w:space="0" w:color="000000"/>
              <w:left w:val="single" w:sz="2" w:space="0" w:color="000000"/>
              <w:bottom w:val="single" w:sz="2" w:space="0" w:color="000000"/>
              <w:right w:val="single" w:sz="2" w:space="0" w:color="000000"/>
            </w:tcBorders>
          </w:tcPr>
          <w:p w:rsidR="00DA0D9C" w14:paraId="14887338" w14:textId="77777777">
            <w:pPr>
              <w:spacing w:after="0" w:line="259" w:lineRule="auto"/>
              <w:ind w:left="0" w:right="4" w:firstLine="0"/>
              <w:jc w:val="center"/>
            </w:pPr>
            <w:r>
              <w:rPr>
                <w:sz w:val="16"/>
              </w:rPr>
              <w:t xml:space="preserve">1 </w:t>
            </w:r>
            <w:r>
              <w:t xml:space="preserve"> </w:t>
            </w:r>
          </w:p>
        </w:tc>
        <w:tc>
          <w:tcPr>
            <w:tcW w:w="1075" w:type="dxa"/>
            <w:tcBorders>
              <w:top w:val="single" w:sz="2" w:space="0" w:color="000000"/>
              <w:left w:val="single" w:sz="2" w:space="0" w:color="000000"/>
              <w:bottom w:val="single" w:sz="2" w:space="0" w:color="000000"/>
              <w:right w:val="single" w:sz="2" w:space="0" w:color="000000"/>
            </w:tcBorders>
          </w:tcPr>
          <w:p w:rsidR="00DA0D9C" w14:paraId="51B8F96B" w14:textId="77777777">
            <w:pPr>
              <w:spacing w:after="0" w:line="259" w:lineRule="auto"/>
              <w:ind w:left="0" w:right="4" w:firstLine="0"/>
              <w:jc w:val="center"/>
            </w:pPr>
            <w:r>
              <w:rPr>
                <w:sz w:val="16"/>
              </w:rPr>
              <w:t xml:space="preserve">1340 </w:t>
            </w:r>
            <w:r>
              <w:t xml:space="preserve"> </w:t>
            </w:r>
          </w:p>
        </w:tc>
        <w:tc>
          <w:tcPr>
            <w:tcW w:w="1073" w:type="dxa"/>
            <w:tcBorders>
              <w:top w:val="single" w:sz="2" w:space="0" w:color="000000"/>
              <w:left w:val="single" w:sz="2" w:space="0" w:color="000000"/>
              <w:bottom w:val="single" w:sz="2" w:space="0" w:color="000000"/>
              <w:right w:val="single" w:sz="2" w:space="0" w:color="000000"/>
            </w:tcBorders>
          </w:tcPr>
          <w:p w:rsidR="00DA0D9C" w14:paraId="4045620D" w14:textId="77777777">
            <w:pPr>
              <w:spacing w:after="0" w:line="259" w:lineRule="auto"/>
              <w:ind w:left="0" w:right="1" w:firstLine="0"/>
              <w:jc w:val="center"/>
            </w:pPr>
            <w:r>
              <w:rPr>
                <w:sz w:val="16"/>
              </w:rPr>
              <w:t xml:space="preserve">4 </w:t>
            </w:r>
            <w:r>
              <w:t xml:space="preserve"> </w:t>
            </w:r>
          </w:p>
        </w:tc>
        <w:tc>
          <w:tcPr>
            <w:tcW w:w="1044" w:type="dxa"/>
            <w:tcBorders>
              <w:top w:val="single" w:sz="2" w:space="0" w:color="000000"/>
              <w:left w:val="single" w:sz="2" w:space="0" w:color="000000"/>
              <w:bottom w:val="single" w:sz="11" w:space="0" w:color="F2F2F2"/>
              <w:right w:val="single" w:sz="2" w:space="0" w:color="000000"/>
            </w:tcBorders>
          </w:tcPr>
          <w:p w:rsidR="00DA0D9C" w14:paraId="40CF60F1" w14:textId="77777777">
            <w:pPr>
              <w:spacing w:after="0" w:line="259" w:lineRule="auto"/>
              <w:ind w:left="0" w:right="8" w:firstLine="0"/>
              <w:jc w:val="center"/>
            </w:pPr>
            <w:r>
              <w:rPr>
                <w:sz w:val="16"/>
              </w:rPr>
              <w:t xml:space="preserve">5,360 </w:t>
            </w:r>
            <w:r>
              <w:t xml:space="preserve"> </w:t>
            </w:r>
          </w:p>
        </w:tc>
        <w:tc>
          <w:tcPr>
            <w:tcW w:w="1147" w:type="dxa"/>
            <w:tcBorders>
              <w:top w:val="single" w:sz="2" w:space="0" w:color="000000"/>
              <w:left w:val="single" w:sz="2" w:space="0" w:color="000000"/>
              <w:bottom w:val="single" w:sz="11" w:space="0" w:color="F2F2F2"/>
              <w:right w:val="single" w:sz="2" w:space="0" w:color="000000"/>
            </w:tcBorders>
          </w:tcPr>
          <w:p w:rsidR="00DA0D9C" w14:paraId="6EC6DDAE" w14:textId="77777777">
            <w:pPr>
              <w:spacing w:after="0" w:line="259" w:lineRule="auto"/>
              <w:ind w:left="4" w:right="0" w:firstLine="0"/>
              <w:jc w:val="center"/>
            </w:pPr>
            <w:r>
              <w:rPr>
                <w:sz w:val="16"/>
              </w:rPr>
              <w:t xml:space="preserve">90.94 </w:t>
            </w:r>
            <w:r>
              <w:t xml:space="preserve"> </w:t>
            </w:r>
          </w:p>
        </w:tc>
        <w:tc>
          <w:tcPr>
            <w:tcW w:w="1019" w:type="dxa"/>
            <w:tcBorders>
              <w:top w:val="single" w:sz="2" w:space="0" w:color="000000"/>
              <w:left w:val="single" w:sz="2" w:space="0" w:color="000000"/>
              <w:bottom w:val="single" w:sz="11" w:space="0" w:color="F2F2F2"/>
              <w:right w:val="single" w:sz="2" w:space="0" w:color="000000"/>
            </w:tcBorders>
          </w:tcPr>
          <w:p w:rsidR="00DA0D9C" w14:paraId="5E335E23" w14:textId="77777777">
            <w:pPr>
              <w:spacing w:after="0" w:line="259" w:lineRule="auto"/>
              <w:ind w:left="0" w:right="5" w:firstLine="0"/>
              <w:jc w:val="center"/>
            </w:pPr>
            <w:r>
              <w:rPr>
                <w:sz w:val="16"/>
              </w:rPr>
              <w:t xml:space="preserve">458,816 </w:t>
            </w:r>
            <w:r>
              <w:t xml:space="preserve"> </w:t>
            </w:r>
          </w:p>
        </w:tc>
      </w:tr>
      <w:tr w14:paraId="0BB8F894" w14:textId="77777777">
        <w:tblPrEx>
          <w:tblW w:w="9841" w:type="dxa"/>
          <w:tblInd w:w="866" w:type="dxa"/>
          <w:tblCellMar>
            <w:top w:w="50" w:type="dxa"/>
          </w:tblCellMar>
          <w:tblLook w:val="04A0"/>
        </w:tblPrEx>
        <w:trPr>
          <w:trHeight w:val="739"/>
        </w:trPr>
        <w:tc>
          <w:tcPr>
            <w:tcW w:w="1154" w:type="dxa"/>
            <w:tcBorders>
              <w:top w:val="single" w:sz="2" w:space="0" w:color="000000"/>
              <w:left w:val="single" w:sz="2" w:space="0" w:color="000000"/>
              <w:bottom w:val="single" w:sz="2" w:space="0" w:color="000000"/>
              <w:right w:val="single" w:sz="2" w:space="0" w:color="000000"/>
            </w:tcBorders>
            <w:shd w:val="clear" w:color="auto" w:fill="F2F2F2"/>
          </w:tcPr>
          <w:p w:rsidR="00DA0D9C" w14:paraId="24D1A154" w14:textId="77777777">
            <w:pPr>
              <w:spacing w:after="0" w:line="259" w:lineRule="auto"/>
              <w:ind w:left="8" w:right="0" w:firstLine="0"/>
            </w:pPr>
            <w:r>
              <w:rPr>
                <w:b/>
                <w:sz w:val="16"/>
              </w:rPr>
              <w:t xml:space="preserve">TOTAL </w:t>
            </w:r>
            <w:r>
              <w:rPr>
                <w:sz w:val="16"/>
              </w:rPr>
              <w:t xml:space="preserve"> </w:t>
            </w:r>
          </w:p>
        </w:tc>
        <w:tc>
          <w:tcPr>
            <w:tcW w:w="1217" w:type="dxa"/>
            <w:tcBorders>
              <w:top w:val="single" w:sz="2" w:space="0" w:color="000000"/>
              <w:left w:val="single" w:sz="2" w:space="0" w:color="000000"/>
              <w:bottom w:val="single" w:sz="2" w:space="0" w:color="000000"/>
              <w:right w:val="single" w:sz="2" w:space="0" w:color="000000"/>
            </w:tcBorders>
            <w:shd w:val="clear" w:color="auto" w:fill="F2F2F2"/>
          </w:tcPr>
          <w:p w:rsidR="00DA0D9C" w14:paraId="1926E245" w14:textId="77777777">
            <w:pPr>
              <w:spacing w:after="0" w:line="259" w:lineRule="auto"/>
              <w:ind w:left="81" w:right="0" w:firstLine="0"/>
              <w:jc w:val="center"/>
            </w:pPr>
            <w:r>
              <w:rPr>
                <w:b/>
                <w:sz w:val="16"/>
              </w:rPr>
              <w:t xml:space="preserve"> </w:t>
            </w:r>
            <w:r>
              <w:rPr>
                <w:sz w:val="16"/>
              </w:rPr>
              <w:t xml:space="preserve"> </w:t>
            </w:r>
          </w:p>
        </w:tc>
        <w:tc>
          <w:tcPr>
            <w:tcW w:w="1037" w:type="dxa"/>
            <w:tcBorders>
              <w:top w:val="single" w:sz="2" w:space="0" w:color="000000"/>
              <w:left w:val="single" w:sz="2" w:space="0" w:color="000000"/>
              <w:bottom w:val="single" w:sz="2" w:space="0" w:color="000000"/>
              <w:right w:val="single" w:sz="2" w:space="0" w:color="000000"/>
            </w:tcBorders>
            <w:shd w:val="clear" w:color="auto" w:fill="F2F2F2"/>
          </w:tcPr>
          <w:p w:rsidR="00DA0D9C" w14:paraId="03C320E0" w14:textId="77777777">
            <w:pPr>
              <w:spacing w:after="0" w:line="259" w:lineRule="auto"/>
              <w:ind w:left="0" w:right="6" w:firstLine="0"/>
              <w:jc w:val="center"/>
            </w:pPr>
            <w:r>
              <w:rPr>
                <w:b/>
                <w:sz w:val="16"/>
              </w:rPr>
              <w:t xml:space="preserve">1,915 </w:t>
            </w:r>
            <w:r>
              <w:rPr>
                <w:sz w:val="16"/>
              </w:rPr>
              <w:t xml:space="preserve"> </w:t>
            </w:r>
          </w:p>
        </w:tc>
        <w:tc>
          <w:tcPr>
            <w:tcW w:w="1075" w:type="dxa"/>
            <w:tcBorders>
              <w:top w:val="single" w:sz="2" w:space="0" w:color="000000"/>
              <w:left w:val="single" w:sz="2" w:space="0" w:color="000000"/>
              <w:bottom w:val="single" w:sz="2" w:space="0" w:color="000000"/>
              <w:right w:val="single" w:sz="2" w:space="0" w:color="000000"/>
            </w:tcBorders>
            <w:shd w:val="clear" w:color="auto" w:fill="F2F2F2"/>
          </w:tcPr>
          <w:p w:rsidR="00DA0D9C" w14:paraId="6FD0E081" w14:textId="77777777">
            <w:pPr>
              <w:spacing w:after="0" w:line="259" w:lineRule="auto"/>
              <w:ind w:left="0" w:right="5" w:firstLine="0"/>
              <w:jc w:val="center"/>
            </w:pPr>
            <w:r>
              <w:rPr>
                <w:b/>
                <w:sz w:val="16"/>
              </w:rPr>
              <w:t xml:space="preserve">varies </w:t>
            </w:r>
            <w:r>
              <w:rPr>
                <w:sz w:val="16"/>
              </w:rPr>
              <w:t xml:space="preserve"> </w:t>
            </w:r>
          </w:p>
        </w:tc>
        <w:tc>
          <w:tcPr>
            <w:tcW w:w="1075" w:type="dxa"/>
            <w:tcBorders>
              <w:top w:val="single" w:sz="2" w:space="0" w:color="000000"/>
              <w:left w:val="single" w:sz="2" w:space="0" w:color="000000"/>
              <w:bottom w:val="single" w:sz="2" w:space="0" w:color="000000"/>
              <w:right w:val="single" w:sz="2" w:space="0" w:color="000000"/>
            </w:tcBorders>
            <w:shd w:val="clear" w:color="auto" w:fill="F2F2F2"/>
          </w:tcPr>
          <w:p w:rsidR="00DA0D9C" w14:paraId="3B41985E" w14:textId="77777777">
            <w:pPr>
              <w:spacing w:after="0" w:line="259" w:lineRule="auto"/>
              <w:ind w:left="0" w:right="1" w:firstLine="0"/>
              <w:jc w:val="center"/>
            </w:pPr>
            <w:r>
              <w:rPr>
                <w:b/>
                <w:sz w:val="16"/>
              </w:rPr>
              <w:t>1,915</w:t>
            </w:r>
            <w:r>
              <w:rPr>
                <w:sz w:val="16"/>
              </w:rPr>
              <w:t xml:space="preserve"> </w:t>
            </w:r>
          </w:p>
        </w:tc>
        <w:tc>
          <w:tcPr>
            <w:tcW w:w="1073" w:type="dxa"/>
            <w:tcBorders>
              <w:top w:val="single" w:sz="2" w:space="0" w:color="000000"/>
              <w:left w:val="single" w:sz="2" w:space="0" w:color="000000"/>
              <w:bottom w:val="single" w:sz="2" w:space="0" w:color="000000"/>
              <w:right w:val="single" w:sz="2" w:space="0" w:color="000000"/>
            </w:tcBorders>
            <w:shd w:val="clear" w:color="auto" w:fill="F2F2F2"/>
          </w:tcPr>
          <w:p w:rsidR="00DA0D9C" w14:paraId="5E7F3061" w14:textId="77777777">
            <w:pPr>
              <w:spacing w:after="0" w:line="259" w:lineRule="auto"/>
              <w:ind w:left="0" w:right="2" w:firstLine="0"/>
              <w:jc w:val="center"/>
            </w:pPr>
            <w:r>
              <w:rPr>
                <w:b/>
                <w:sz w:val="16"/>
              </w:rPr>
              <w:t xml:space="preserve">varies </w:t>
            </w:r>
            <w:r>
              <w:rPr>
                <w:sz w:val="16"/>
              </w:rPr>
              <w:t xml:space="preserve"> </w:t>
            </w:r>
          </w:p>
        </w:tc>
        <w:tc>
          <w:tcPr>
            <w:tcW w:w="1044" w:type="dxa"/>
            <w:tcBorders>
              <w:top w:val="single" w:sz="11" w:space="0" w:color="F2F2F2"/>
              <w:left w:val="single" w:sz="2" w:space="0" w:color="000000"/>
              <w:bottom w:val="single" w:sz="2" w:space="0" w:color="000000"/>
              <w:right w:val="single" w:sz="2" w:space="0" w:color="000000"/>
            </w:tcBorders>
            <w:shd w:val="clear" w:color="auto" w:fill="F2F2F2"/>
          </w:tcPr>
          <w:p w:rsidR="00DA0D9C" w14:paraId="506FD819" w14:textId="77777777">
            <w:pPr>
              <w:spacing w:after="0" w:line="259" w:lineRule="auto"/>
              <w:ind w:left="0" w:right="4" w:firstLine="0"/>
              <w:jc w:val="center"/>
            </w:pPr>
            <w:r>
              <w:rPr>
                <w:b/>
                <w:sz w:val="16"/>
              </w:rPr>
              <w:t>8,465</w:t>
            </w:r>
            <w:r>
              <w:rPr>
                <w:sz w:val="16"/>
              </w:rPr>
              <w:t xml:space="preserve"> </w:t>
            </w:r>
          </w:p>
        </w:tc>
        <w:tc>
          <w:tcPr>
            <w:tcW w:w="1147" w:type="dxa"/>
            <w:tcBorders>
              <w:top w:val="single" w:sz="11" w:space="0" w:color="F2F2F2"/>
              <w:left w:val="single" w:sz="2" w:space="0" w:color="000000"/>
              <w:bottom w:val="single" w:sz="2" w:space="0" w:color="000000"/>
              <w:right w:val="single" w:sz="2" w:space="0" w:color="000000"/>
            </w:tcBorders>
            <w:shd w:val="clear" w:color="auto" w:fill="F2F2F2"/>
          </w:tcPr>
          <w:p w:rsidR="00DA0D9C" w14:paraId="6DC20F45" w14:textId="77777777">
            <w:pPr>
              <w:spacing w:after="0" w:line="259" w:lineRule="auto"/>
              <w:ind w:left="4" w:right="0" w:firstLine="0"/>
              <w:jc w:val="center"/>
            </w:pPr>
            <w:r>
              <w:rPr>
                <w:sz w:val="16"/>
              </w:rPr>
              <w:t>90.94</w:t>
            </w:r>
            <w:r>
              <w:rPr>
                <w:b/>
                <w:sz w:val="16"/>
              </w:rPr>
              <w:t xml:space="preserve"> </w:t>
            </w:r>
            <w:r>
              <w:rPr>
                <w:sz w:val="16"/>
              </w:rPr>
              <w:t xml:space="preserve"> </w:t>
            </w:r>
          </w:p>
        </w:tc>
        <w:tc>
          <w:tcPr>
            <w:tcW w:w="1019" w:type="dxa"/>
            <w:tcBorders>
              <w:top w:val="single" w:sz="11" w:space="0" w:color="F2F2F2"/>
              <w:left w:val="single" w:sz="2" w:space="0" w:color="000000"/>
              <w:bottom w:val="single" w:sz="2" w:space="0" w:color="000000"/>
              <w:right w:val="single" w:sz="2" w:space="0" w:color="000000"/>
            </w:tcBorders>
            <w:shd w:val="clear" w:color="auto" w:fill="F2F2F2"/>
          </w:tcPr>
          <w:p w:rsidR="00DA0D9C" w14:paraId="48D0C240" w14:textId="77777777">
            <w:pPr>
              <w:spacing w:after="0" w:line="259" w:lineRule="auto"/>
              <w:ind w:left="0" w:right="5" w:firstLine="0"/>
              <w:jc w:val="center"/>
            </w:pPr>
            <w:r>
              <w:rPr>
                <w:b/>
                <w:sz w:val="16"/>
              </w:rPr>
              <w:t xml:space="preserve">781,122 </w:t>
            </w:r>
            <w:r>
              <w:rPr>
                <w:sz w:val="16"/>
              </w:rPr>
              <w:t xml:space="preserve"> </w:t>
            </w:r>
          </w:p>
        </w:tc>
      </w:tr>
    </w:tbl>
    <w:p w:rsidR="00DA0D9C" w14:paraId="52250BBF" w14:textId="77777777">
      <w:pPr>
        <w:spacing w:after="0" w:line="259" w:lineRule="auto"/>
        <w:ind w:left="523" w:right="0" w:firstLine="0"/>
      </w:pPr>
      <w:r>
        <w:t xml:space="preserve"> </w:t>
      </w:r>
    </w:p>
    <w:p w:rsidR="00DA0D9C" w14:paraId="72409140" w14:textId="77777777">
      <w:pPr>
        <w:spacing w:after="53" w:line="259" w:lineRule="auto"/>
        <w:ind w:left="528" w:right="0"/>
      </w:pPr>
      <w:r>
        <w:t xml:space="preserve"> </w:t>
      </w:r>
      <w:r>
        <w:rPr>
          <w:b/>
        </w:rPr>
        <w:t xml:space="preserve">Noted Changes to the Burden Summary: </w:t>
      </w:r>
    </w:p>
    <w:p w:rsidR="00DA0D9C" w14:paraId="32112F8C" w14:textId="77777777">
      <w:pPr>
        <w:numPr>
          <w:ilvl w:val="0"/>
          <w:numId w:val="5"/>
        </w:numPr>
        <w:ind w:right="862" w:hanging="360"/>
      </w:pPr>
      <w:r>
        <w:t>Removed the following proposed information collection line –</w:t>
      </w:r>
    </w:p>
    <w:tbl>
      <w:tblPr>
        <w:tblStyle w:val="TableGrid"/>
        <w:tblW w:w="9864" w:type="dxa"/>
        <w:tblInd w:w="864" w:type="dxa"/>
        <w:tblCellMar>
          <w:top w:w="60" w:type="dxa"/>
          <w:left w:w="5" w:type="dxa"/>
          <w:right w:w="113" w:type="dxa"/>
        </w:tblCellMar>
        <w:tblLook w:val="04A0"/>
      </w:tblPr>
      <w:tblGrid>
        <w:gridCol w:w="1157"/>
        <w:gridCol w:w="1097"/>
        <w:gridCol w:w="1099"/>
        <w:gridCol w:w="1154"/>
        <w:gridCol w:w="1073"/>
        <w:gridCol w:w="1075"/>
        <w:gridCol w:w="1044"/>
        <w:gridCol w:w="1145"/>
        <w:gridCol w:w="1020"/>
      </w:tblGrid>
      <w:tr w14:paraId="1B83B38B" w14:textId="77777777">
        <w:tblPrEx>
          <w:tblW w:w="9864" w:type="dxa"/>
          <w:tblInd w:w="864" w:type="dxa"/>
          <w:tblCellMar>
            <w:top w:w="60" w:type="dxa"/>
            <w:left w:w="5" w:type="dxa"/>
            <w:right w:w="113" w:type="dxa"/>
          </w:tblCellMar>
          <w:tblLook w:val="04A0"/>
        </w:tblPrEx>
        <w:trPr>
          <w:trHeight w:val="766"/>
        </w:trPr>
        <w:tc>
          <w:tcPr>
            <w:tcW w:w="1157" w:type="dxa"/>
            <w:tcBorders>
              <w:top w:val="single" w:sz="2" w:space="0" w:color="000000"/>
              <w:left w:val="single" w:sz="2" w:space="0" w:color="000000"/>
              <w:bottom w:val="single" w:sz="2" w:space="0" w:color="000000"/>
              <w:right w:val="single" w:sz="2" w:space="0" w:color="000000"/>
            </w:tcBorders>
          </w:tcPr>
          <w:p w:rsidR="00DA0D9C" w14:paraId="5859EBE5" w14:textId="77777777">
            <w:pPr>
              <w:spacing w:after="0" w:line="259" w:lineRule="auto"/>
              <w:ind w:left="0" w:right="0" w:firstLine="0"/>
            </w:pPr>
            <w:r>
              <w:rPr>
                <w:sz w:val="16"/>
              </w:rPr>
              <w:t xml:space="preserve">D-SNP </w:t>
            </w:r>
          </w:p>
          <w:p w:rsidR="00DA0D9C" w14:paraId="0CBB8876" w14:textId="77777777">
            <w:pPr>
              <w:spacing w:after="0" w:line="259" w:lineRule="auto"/>
              <w:ind w:left="0" w:right="0" w:firstLine="0"/>
            </w:pPr>
            <w:r>
              <w:rPr>
                <w:sz w:val="16"/>
              </w:rPr>
              <w:t>Questionnaire</w:t>
            </w:r>
          </w:p>
        </w:tc>
        <w:tc>
          <w:tcPr>
            <w:tcW w:w="1097" w:type="dxa"/>
            <w:tcBorders>
              <w:top w:val="single" w:sz="2" w:space="0" w:color="000000"/>
              <w:left w:val="single" w:sz="2" w:space="0" w:color="000000"/>
              <w:bottom w:val="single" w:sz="2" w:space="0" w:color="000000"/>
              <w:right w:val="single" w:sz="2" w:space="0" w:color="000000"/>
            </w:tcBorders>
          </w:tcPr>
          <w:p w:rsidR="00DA0D9C" w14:paraId="116EC94C" w14:textId="77777777">
            <w:pPr>
              <w:spacing w:after="0" w:line="259" w:lineRule="auto"/>
              <w:ind w:left="97" w:right="0" w:firstLine="0"/>
              <w:jc w:val="center"/>
            </w:pPr>
            <w:r>
              <w:rPr>
                <w:sz w:val="16"/>
              </w:rPr>
              <w:t xml:space="preserve">§ 422.101(f) </w:t>
            </w:r>
          </w:p>
        </w:tc>
        <w:tc>
          <w:tcPr>
            <w:tcW w:w="1099" w:type="dxa"/>
            <w:tcBorders>
              <w:top w:val="single" w:sz="2" w:space="0" w:color="000000"/>
              <w:left w:val="single" w:sz="2" w:space="0" w:color="000000"/>
              <w:bottom w:val="single" w:sz="2" w:space="0" w:color="000000"/>
              <w:right w:val="single" w:sz="2" w:space="0" w:color="000000"/>
            </w:tcBorders>
          </w:tcPr>
          <w:p w:rsidR="00DA0D9C" w14:paraId="622D2573" w14:textId="77777777">
            <w:pPr>
              <w:spacing w:after="0" w:line="259" w:lineRule="auto"/>
              <w:ind w:left="105" w:right="0" w:firstLine="0"/>
              <w:jc w:val="center"/>
            </w:pPr>
            <w:r>
              <w:rPr>
                <w:sz w:val="16"/>
              </w:rPr>
              <w:t xml:space="preserve">173 </w:t>
            </w:r>
            <w:r>
              <w:t xml:space="preserve"> </w:t>
            </w:r>
          </w:p>
        </w:tc>
        <w:tc>
          <w:tcPr>
            <w:tcW w:w="1154" w:type="dxa"/>
            <w:tcBorders>
              <w:top w:val="single" w:sz="2" w:space="0" w:color="000000"/>
              <w:left w:val="single" w:sz="2" w:space="0" w:color="000000"/>
              <w:bottom w:val="single" w:sz="2" w:space="0" w:color="000000"/>
              <w:right w:val="single" w:sz="2" w:space="0" w:color="000000"/>
            </w:tcBorders>
          </w:tcPr>
          <w:p w:rsidR="00DA0D9C" w14:paraId="7902997F" w14:textId="77777777">
            <w:pPr>
              <w:spacing w:after="0" w:line="259" w:lineRule="auto"/>
              <w:ind w:left="100" w:right="0" w:firstLine="0"/>
              <w:jc w:val="center"/>
            </w:pPr>
            <w:r>
              <w:rPr>
                <w:sz w:val="16"/>
              </w:rPr>
              <w:t xml:space="preserve">1 </w:t>
            </w:r>
            <w:r>
              <w:t xml:space="preserve"> </w:t>
            </w:r>
          </w:p>
        </w:tc>
        <w:tc>
          <w:tcPr>
            <w:tcW w:w="1073" w:type="dxa"/>
            <w:tcBorders>
              <w:top w:val="single" w:sz="2" w:space="0" w:color="000000"/>
              <w:left w:val="single" w:sz="2" w:space="0" w:color="000000"/>
              <w:bottom w:val="single" w:sz="2" w:space="0" w:color="000000"/>
              <w:right w:val="single" w:sz="2" w:space="0" w:color="000000"/>
            </w:tcBorders>
          </w:tcPr>
          <w:p w:rsidR="00DA0D9C" w14:paraId="73C78C7A" w14:textId="77777777">
            <w:pPr>
              <w:spacing w:after="0" w:line="259" w:lineRule="auto"/>
              <w:ind w:left="103" w:right="0" w:firstLine="0"/>
              <w:jc w:val="center"/>
            </w:pPr>
            <w:r>
              <w:rPr>
                <w:sz w:val="16"/>
              </w:rPr>
              <w:t xml:space="preserve">173 </w:t>
            </w:r>
            <w:r>
              <w:t xml:space="preserve"> </w:t>
            </w:r>
          </w:p>
        </w:tc>
        <w:tc>
          <w:tcPr>
            <w:tcW w:w="1075" w:type="dxa"/>
            <w:tcBorders>
              <w:top w:val="single" w:sz="2" w:space="0" w:color="000000"/>
              <w:left w:val="single" w:sz="2" w:space="0" w:color="000000"/>
              <w:bottom w:val="single" w:sz="2" w:space="0" w:color="000000"/>
              <w:right w:val="single" w:sz="2" w:space="0" w:color="000000"/>
            </w:tcBorders>
          </w:tcPr>
          <w:p w:rsidR="00DA0D9C" w14:paraId="49652186" w14:textId="77777777">
            <w:pPr>
              <w:spacing w:after="0" w:line="259" w:lineRule="auto"/>
              <w:ind w:left="103" w:right="0" w:firstLine="0"/>
              <w:jc w:val="center"/>
            </w:pPr>
            <w:r>
              <w:rPr>
                <w:sz w:val="16"/>
              </w:rPr>
              <w:t xml:space="preserve">1 </w:t>
            </w:r>
            <w:r>
              <w:t xml:space="preserve"> </w:t>
            </w:r>
          </w:p>
        </w:tc>
        <w:tc>
          <w:tcPr>
            <w:tcW w:w="1044" w:type="dxa"/>
            <w:tcBorders>
              <w:top w:val="single" w:sz="2" w:space="0" w:color="000000"/>
              <w:left w:val="single" w:sz="2" w:space="0" w:color="000000"/>
              <w:bottom w:val="single" w:sz="2" w:space="0" w:color="000000"/>
              <w:right w:val="single" w:sz="2" w:space="0" w:color="000000"/>
            </w:tcBorders>
          </w:tcPr>
          <w:p w:rsidR="00DA0D9C" w14:paraId="47C3FF99" w14:textId="77777777">
            <w:pPr>
              <w:spacing w:after="0" w:line="259" w:lineRule="auto"/>
              <w:ind w:left="103" w:right="0" w:firstLine="0"/>
              <w:jc w:val="center"/>
            </w:pPr>
            <w:r>
              <w:rPr>
                <w:sz w:val="16"/>
              </w:rPr>
              <w:t xml:space="preserve">173 </w:t>
            </w:r>
            <w:r>
              <w:t xml:space="preserve"> </w:t>
            </w:r>
          </w:p>
        </w:tc>
        <w:tc>
          <w:tcPr>
            <w:tcW w:w="1145" w:type="dxa"/>
            <w:tcBorders>
              <w:top w:val="single" w:sz="2" w:space="0" w:color="000000"/>
              <w:left w:val="single" w:sz="2" w:space="0" w:color="000000"/>
              <w:bottom w:val="single" w:sz="2" w:space="0" w:color="000000"/>
              <w:right w:val="single" w:sz="2" w:space="0" w:color="000000"/>
            </w:tcBorders>
          </w:tcPr>
          <w:p w:rsidR="00DA0D9C" w14:paraId="45317C54" w14:textId="77777777">
            <w:pPr>
              <w:spacing w:after="0" w:line="259" w:lineRule="auto"/>
              <w:ind w:left="107" w:right="0" w:firstLine="0"/>
              <w:jc w:val="center"/>
            </w:pPr>
            <w:r>
              <w:rPr>
                <w:sz w:val="16"/>
              </w:rPr>
              <w:t xml:space="preserve">90.94 </w:t>
            </w:r>
            <w:r>
              <w:t xml:space="preserve"> </w:t>
            </w:r>
          </w:p>
        </w:tc>
        <w:tc>
          <w:tcPr>
            <w:tcW w:w="1020" w:type="dxa"/>
            <w:tcBorders>
              <w:top w:val="single" w:sz="2" w:space="0" w:color="000000"/>
              <w:left w:val="single" w:sz="2" w:space="0" w:color="000000"/>
              <w:bottom w:val="single" w:sz="2" w:space="0" w:color="000000"/>
              <w:right w:val="single" w:sz="2" w:space="0" w:color="000000"/>
            </w:tcBorders>
          </w:tcPr>
          <w:p w:rsidR="00DA0D9C" w14:paraId="167B8400" w14:textId="77777777">
            <w:pPr>
              <w:spacing w:after="0" w:line="259" w:lineRule="auto"/>
              <w:ind w:left="100" w:right="0" w:firstLine="0"/>
              <w:jc w:val="center"/>
            </w:pPr>
            <w:r>
              <w:rPr>
                <w:sz w:val="16"/>
              </w:rPr>
              <w:t xml:space="preserve">15,733 </w:t>
            </w:r>
            <w:r>
              <w:t xml:space="preserve"> </w:t>
            </w:r>
          </w:p>
        </w:tc>
      </w:tr>
    </w:tbl>
    <w:p w:rsidR="00DA0D9C" w14:paraId="268B902C" w14:textId="77777777">
      <w:pPr>
        <w:numPr>
          <w:ilvl w:val="0"/>
          <w:numId w:val="5"/>
        </w:numPr>
        <w:spacing w:after="264"/>
        <w:ind w:right="862" w:hanging="360"/>
      </w:pPr>
      <w:r>
        <w:t>Removal of the D-SNP Questionnaire had the following impact on the Burden Summary from the 60-day Supporting Statement –</w:t>
      </w:r>
    </w:p>
    <w:p w:rsidR="00DA0D9C" w14:paraId="5326B60F" w14:textId="77777777">
      <w:pPr>
        <w:tabs>
          <w:tab w:val="center" w:pos="1383"/>
          <w:tab w:val="center" w:pos="2579"/>
          <w:tab w:val="center" w:pos="3830"/>
          <w:tab w:val="center" w:pos="5663"/>
          <w:tab w:val="center" w:pos="7079"/>
          <w:tab w:val="center" w:pos="8499"/>
          <w:tab w:val="center" w:pos="9906"/>
        </w:tabs>
        <w:spacing w:after="0" w:line="259" w:lineRule="auto"/>
        <w:ind w:left="0" w:right="0" w:firstLine="0"/>
      </w:pPr>
      <w:r>
        <w:rPr>
          <w:rFonts w:ascii="Calibri" w:eastAsia="Calibri" w:hAnsi="Calibri" w:cs="Calibri"/>
          <w:sz w:val="22"/>
        </w:rPr>
        <w:tab/>
      </w:r>
      <w:r>
        <w:rPr>
          <w:sz w:val="16"/>
        </w:rPr>
        <w:t xml:space="preserve">    Respondents </w:t>
      </w:r>
      <w:r>
        <w:rPr>
          <w:sz w:val="16"/>
        </w:rPr>
        <w:tab/>
        <w:t xml:space="preserve">    </w:t>
      </w:r>
      <w:r>
        <w:rPr>
          <w:sz w:val="16"/>
        </w:rPr>
        <w:t xml:space="preserve">Responses  </w:t>
      </w:r>
      <w:r>
        <w:rPr>
          <w:sz w:val="16"/>
        </w:rPr>
        <w:tab/>
      </w:r>
      <w:r>
        <w:rPr>
          <w:sz w:val="16"/>
        </w:rPr>
        <w:t xml:space="preserve">   Total </w:t>
      </w:r>
      <w:r>
        <w:rPr>
          <w:sz w:val="16"/>
        </w:rPr>
        <w:tab/>
        <w:t xml:space="preserve">Time Per Response </w:t>
      </w:r>
      <w:r>
        <w:rPr>
          <w:sz w:val="16"/>
        </w:rPr>
        <w:tab/>
        <w:t xml:space="preserve">    Total Time </w:t>
      </w:r>
      <w:r>
        <w:rPr>
          <w:sz w:val="16"/>
        </w:rPr>
        <w:tab/>
        <w:t xml:space="preserve">   Labor Cost   </w:t>
      </w:r>
      <w:r>
        <w:rPr>
          <w:sz w:val="16"/>
        </w:rPr>
        <w:tab/>
        <w:t xml:space="preserve">   Total Cost ($) </w:t>
      </w:r>
    </w:p>
    <w:tbl>
      <w:tblPr>
        <w:tblStyle w:val="TableGrid"/>
        <w:tblW w:w="9888" w:type="dxa"/>
        <w:tblInd w:w="862" w:type="dxa"/>
        <w:tblCellMar>
          <w:right w:w="29" w:type="dxa"/>
        </w:tblCellMar>
        <w:tblLook w:val="04A0"/>
      </w:tblPr>
      <w:tblGrid>
        <w:gridCol w:w="725"/>
        <w:gridCol w:w="641"/>
        <w:gridCol w:w="725"/>
        <w:gridCol w:w="659"/>
        <w:gridCol w:w="733"/>
        <w:gridCol w:w="641"/>
        <w:gridCol w:w="727"/>
        <w:gridCol w:w="667"/>
        <w:gridCol w:w="725"/>
        <w:gridCol w:w="641"/>
        <w:gridCol w:w="727"/>
        <w:gridCol w:w="641"/>
        <w:gridCol w:w="818"/>
        <w:gridCol w:w="818"/>
      </w:tblGrid>
      <w:tr w14:paraId="27EF54C9" w14:textId="77777777">
        <w:tblPrEx>
          <w:tblW w:w="9888" w:type="dxa"/>
          <w:tblInd w:w="862" w:type="dxa"/>
          <w:tblCellMar>
            <w:right w:w="29" w:type="dxa"/>
          </w:tblCellMar>
          <w:tblLook w:val="04A0"/>
        </w:tblPrEx>
        <w:trPr>
          <w:trHeight w:val="169"/>
        </w:trPr>
        <w:tc>
          <w:tcPr>
            <w:tcW w:w="725" w:type="dxa"/>
            <w:tcBorders>
              <w:top w:val="nil"/>
              <w:left w:val="nil"/>
              <w:bottom w:val="single" w:sz="4" w:space="0" w:color="000000"/>
              <w:right w:val="nil"/>
            </w:tcBorders>
          </w:tcPr>
          <w:p w:rsidR="00DA0D9C" w14:paraId="0F2341A2" w14:textId="77777777">
            <w:pPr>
              <w:spacing w:after="160" w:line="259" w:lineRule="auto"/>
              <w:ind w:left="0" w:right="0" w:firstLine="0"/>
            </w:pPr>
          </w:p>
        </w:tc>
        <w:tc>
          <w:tcPr>
            <w:tcW w:w="2024" w:type="dxa"/>
            <w:gridSpan w:val="3"/>
            <w:tcBorders>
              <w:top w:val="nil"/>
              <w:left w:val="nil"/>
              <w:bottom w:val="single" w:sz="4" w:space="0" w:color="000000"/>
              <w:right w:val="nil"/>
            </w:tcBorders>
          </w:tcPr>
          <w:p w:rsidR="00DA0D9C" w14:paraId="569991B5" w14:textId="77777777">
            <w:pPr>
              <w:spacing w:after="0" w:line="259" w:lineRule="auto"/>
              <w:ind w:left="574" w:right="0" w:firstLine="0"/>
            </w:pPr>
            <w:r>
              <w:rPr>
                <w:sz w:val="16"/>
              </w:rPr>
              <w:t xml:space="preserve">(per Respondents) </w:t>
            </w:r>
          </w:p>
        </w:tc>
        <w:tc>
          <w:tcPr>
            <w:tcW w:w="733" w:type="dxa"/>
            <w:tcBorders>
              <w:top w:val="nil"/>
              <w:left w:val="nil"/>
              <w:bottom w:val="single" w:sz="4" w:space="0" w:color="000000"/>
              <w:right w:val="nil"/>
            </w:tcBorders>
          </w:tcPr>
          <w:p w:rsidR="00DA0D9C" w14:paraId="5C77ACE3" w14:textId="77777777">
            <w:pPr>
              <w:spacing w:after="0" w:line="259" w:lineRule="auto"/>
              <w:ind w:left="-11" w:right="0" w:firstLine="0"/>
              <w:jc w:val="both"/>
            </w:pPr>
            <w:r>
              <w:rPr>
                <w:sz w:val="16"/>
              </w:rPr>
              <w:t xml:space="preserve">Responses </w:t>
            </w:r>
          </w:p>
        </w:tc>
        <w:tc>
          <w:tcPr>
            <w:tcW w:w="641" w:type="dxa"/>
            <w:tcBorders>
              <w:top w:val="nil"/>
              <w:left w:val="nil"/>
              <w:bottom w:val="single" w:sz="4" w:space="0" w:color="000000"/>
              <w:right w:val="nil"/>
            </w:tcBorders>
          </w:tcPr>
          <w:p w:rsidR="00DA0D9C" w14:paraId="76305C06" w14:textId="77777777">
            <w:pPr>
              <w:spacing w:after="160" w:line="259" w:lineRule="auto"/>
              <w:ind w:left="0" w:right="0" w:firstLine="0"/>
            </w:pPr>
          </w:p>
        </w:tc>
        <w:tc>
          <w:tcPr>
            <w:tcW w:w="1394" w:type="dxa"/>
            <w:gridSpan w:val="2"/>
            <w:tcBorders>
              <w:top w:val="nil"/>
              <w:left w:val="nil"/>
              <w:bottom w:val="single" w:sz="4" w:space="0" w:color="000000"/>
              <w:right w:val="nil"/>
            </w:tcBorders>
          </w:tcPr>
          <w:p w:rsidR="00DA0D9C" w14:paraId="38475109" w14:textId="77777777">
            <w:pPr>
              <w:spacing w:after="0" w:line="259" w:lineRule="auto"/>
              <w:ind w:left="216" w:right="0" w:firstLine="0"/>
            </w:pPr>
            <w:r>
              <w:rPr>
                <w:sz w:val="16"/>
              </w:rPr>
              <w:t xml:space="preserve">    (hours) </w:t>
            </w:r>
          </w:p>
        </w:tc>
        <w:tc>
          <w:tcPr>
            <w:tcW w:w="1366" w:type="dxa"/>
            <w:gridSpan w:val="2"/>
            <w:tcBorders>
              <w:top w:val="nil"/>
              <w:left w:val="nil"/>
              <w:bottom w:val="single" w:sz="4" w:space="0" w:color="000000"/>
              <w:right w:val="nil"/>
            </w:tcBorders>
          </w:tcPr>
          <w:p w:rsidR="00DA0D9C" w14:paraId="22FC8DAE" w14:textId="77777777">
            <w:pPr>
              <w:spacing w:after="0" w:line="259" w:lineRule="auto"/>
              <w:ind w:left="382" w:right="0" w:firstLine="0"/>
            </w:pPr>
            <w:r>
              <w:rPr>
                <w:sz w:val="16"/>
              </w:rPr>
              <w:t xml:space="preserve">    (</w:t>
            </w:r>
            <w:r>
              <w:rPr>
                <w:sz w:val="16"/>
              </w:rPr>
              <w:t xml:space="preserve">hours)   </w:t>
            </w:r>
            <w:r>
              <w:rPr>
                <w:sz w:val="16"/>
              </w:rPr>
              <w:t xml:space="preserve"> </w:t>
            </w:r>
          </w:p>
        </w:tc>
        <w:tc>
          <w:tcPr>
            <w:tcW w:w="1368" w:type="dxa"/>
            <w:gridSpan w:val="2"/>
            <w:tcBorders>
              <w:top w:val="nil"/>
              <w:left w:val="nil"/>
              <w:bottom w:val="single" w:sz="4" w:space="0" w:color="000000"/>
              <w:right w:val="nil"/>
            </w:tcBorders>
          </w:tcPr>
          <w:p w:rsidR="00DA0D9C" w14:paraId="4DD403A8" w14:textId="77777777">
            <w:pPr>
              <w:spacing w:after="0" w:line="259" w:lineRule="auto"/>
              <w:ind w:left="227" w:right="0" w:firstLine="0"/>
              <w:jc w:val="center"/>
            </w:pPr>
            <w:r>
              <w:rPr>
                <w:sz w:val="16"/>
              </w:rPr>
              <w:t xml:space="preserve">    ($/</w:t>
            </w:r>
            <w:r>
              <w:rPr>
                <w:sz w:val="16"/>
              </w:rPr>
              <w:t>hr</w:t>
            </w:r>
            <w:r>
              <w:rPr>
                <w:sz w:val="16"/>
              </w:rPr>
              <w:t xml:space="preserve">) </w:t>
            </w:r>
          </w:p>
        </w:tc>
        <w:tc>
          <w:tcPr>
            <w:tcW w:w="818" w:type="dxa"/>
            <w:tcBorders>
              <w:top w:val="nil"/>
              <w:left w:val="nil"/>
              <w:bottom w:val="single" w:sz="4" w:space="0" w:color="000000"/>
              <w:right w:val="nil"/>
            </w:tcBorders>
          </w:tcPr>
          <w:p w:rsidR="00DA0D9C" w14:paraId="599D2DC1" w14:textId="77777777">
            <w:pPr>
              <w:spacing w:after="160" w:line="259" w:lineRule="auto"/>
              <w:ind w:left="0" w:right="0" w:firstLine="0"/>
            </w:pPr>
          </w:p>
        </w:tc>
        <w:tc>
          <w:tcPr>
            <w:tcW w:w="818" w:type="dxa"/>
            <w:tcBorders>
              <w:top w:val="nil"/>
              <w:left w:val="nil"/>
              <w:bottom w:val="single" w:sz="4" w:space="0" w:color="000000"/>
              <w:right w:val="nil"/>
            </w:tcBorders>
          </w:tcPr>
          <w:p w:rsidR="00DA0D9C" w14:paraId="7DF12A43" w14:textId="77777777">
            <w:pPr>
              <w:spacing w:after="160" w:line="259" w:lineRule="auto"/>
              <w:ind w:left="0" w:right="0" w:firstLine="0"/>
            </w:pPr>
          </w:p>
        </w:tc>
      </w:tr>
      <w:tr w14:paraId="15F3C354" w14:textId="77777777">
        <w:tblPrEx>
          <w:tblW w:w="9888" w:type="dxa"/>
          <w:tblInd w:w="862" w:type="dxa"/>
          <w:tblCellMar>
            <w:right w:w="29" w:type="dxa"/>
          </w:tblCellMar>
          <w:tblLook w:val="04A0"/>
        </w:tblPrEx>
        <w:trPr>
          <w:trHeight w:val="233"/>
        </w:trPr>
        <w:tc>
          <w:tcPr>
            <w:tcW w:w="725" w:type="dxa"/>
            <w:tcBorders>
              <w:top w:val="single" w:sz="4" w:space="0" w:color="000000"/>
              <w:left w:val="single" w:sz="4" w:space="0" w:color="000000"/>
              <w:bottom w:val="single" w:sz="4" w:space="0" w:color="000000"/>
              <w:right w:val="single" w:sz="4" w:space="0" w:color="000000"/>
            </w:tcBorders>
          </w:tcPr>
          <w:p w:rsidR="00DA0D9C" w14:paraId="23947405" w14:textId="77777777">
            <w:pPr>
              <w:spacing w:after="0" w:line="259" w:lineRule="auto"/>
              <w:ind w:left="29" w:right="0" w:firstLine="0"/>
              <w:jc w:val="center"/>
            </w:pPr>
            <w:r>
              <w:rPr>
                <w:sz w:val="16"/>
              </w:rPr>
              <w:t xml:space="preserve">Before </w:t>
            </w:r>
          </w:p>
        </w:tc>
        <w:tc>
          <w:tcPr>
            <w:tcW w:w="641" w:type="dxa"/>
            <w:tcBorders>
              <w:top w:val="single" w:sz="4" w:space="0" w:color="000000"/>
              <w:left w:val="single" w:sz="4" w:space="0" w:color="000000"/>
              <w:bottom w:val="single" w:sz="4" w:space="0" w:color="000000"/>
              <w:right w:val="single" w:sz="4" w:space="0" w:color="000000"/>
            </w:tcBorders>
          </w:tcPr>
          <w:p w:rsidR="00DA0D9C" w14:paraId="1133A4DB" w14:textId="77777777">
            <w:pPr>
              <w:spacing w:after="0" w:line="259" w:lineRule="auto"/>
              <w:ind w:left="35" w:right="0" w:firstLine="0"/>
              <w:jc w:val="center"/>
            </w:pPr>
            <w:r>
              <w:rPr>
                <w:sz w:val="16"/>
              </w:rPr>
              <w:t xml:space="preserve">After </w:t>
            </w:r>
          </w:p>
        </w:tc>
        <w:tc>
          <w:tcPr>
            <w:tcW w:w="725" w:type="dxa"/>
            <w:tcBorders>
              <w:top w:val="single" w:sz="4" w:space="0" w:color="000000"/>
              <w:left w:val="single" w:sz="4" w:space="0" w:color="000000"/>
              <w:bottom w:val="single" w:sz="4" w:space="0" w:color="000000"/>
              <w:right w:val="single" w:sz="4" w:space="0" w:color="000000"/>
            </w:tcBorders>
          </w:tcPr>
          <w:p w:rsidR="00DA0D9C" w14:paraId="05483284" w14:textId="77777777">
            <w:pPr>
              <w:spacing w:after="0" w:line="259" w:lineRule="auto"/>
              <w:ind w:left="29" w:right="0" w:firstLine="0"/>
              <w:jc w:val="center"/>
            </w:pPr>
            <w:r>
              <w:rPr>
                <w:sz w:val="16"/>
              </w:rPr>
              <w:t xml:space="preserve">Before </w:t>
            </w:r>
          </w:p>
        </w:tc>
        <w:tc>
          <w:tcPr>
            <w:tcW w:w="659" w:type="dxa"/>
            <w:tcBorders>
              <w:top w:val="single" w:sz="4" w:space="0" w:color="000000"/>
              <w:left w:val="single" w:sz="4" w:space="0" w:color="000000"/>
              <w:bottom w:val="single" w:sz="4" w:space="0" w:color="000000"/>
              <w:right w:val="single" w:sz="4" w:space="0" w:color="000000"/>
            </w:tcBorders>
          </w:tcPr>
          <w:p w:rsidR="00DA0D9C" w14:paraId="3DC693F9" w14:textId="77777777">
            <w:pPr>
              <w:spacing w:after="0" w:line="259" w:lineRule="auto"/>
              <w:ind w:left="36" w:right="0" w:firstLine="0"/>
              <w:jc w:val="center"/>
            </w:pPr>
            <w:r>
              <w:rPr>
                <w:sz w:val="16"/>
              </w:rPr>
              <w:t xml:space="preserve">After </w:t>
            </w:r>
          </w:p>
        </w:tc>
        <w:tc>
          <w:tcPr>
            <w:tcW w:w="733" w:type="dxa"/>
            <w:tcBorders>
              <w:top w:val="single" w:sz="4" w:space="0" w:color="000000"/>
              <w:left w:val="single" w:sz="4" w:space="0" w:color="000000"/>
              <w:bottom w:val="single" w:sz="4" w:space="0" w:color="000000"/>
              <w:right w:val="single" w:sz="4" w:space="0" w:color="000000"/>
            </w:tcBorders>
          </w:tcPr>
          <w:p w:rsidR="00DA0D9C" w14:paraId="06277CC5" w14:textId="77777777">
            <w:pPr>
              <w:spacing w:after="0" w:line="259" w:lineRule="auto"/>
              <w:ind w:left="42" w:right="0" w:firstLine="0"/>
              <w:jc w:val="center"/>
            </w:pPr>
            <w:r>
              <w:rPr>
                <w:sz w:val="16"/>
              </w:rPr>
              <w:t xml:space="preserve">Before </w:t>
            </w:r>
          </w:p>
        </w:tc>
        <w:tc>
          <w:tcPr>
            <w:tcW w:w="641" w:type="dxa"/>
            <w:tcBorders>
              <w:top w:val="single" w:sz="4" w:space="0" w:color="000000"/>
              <w:left w:val="single" w:sz="4" w:space="0" w:color="000000"/>
              <w:bottom w:val="single" w:sz="4" w:space="0" w:color="000000"/>
              <w:right w:val="single" w:sz="4" w:space="0" w:color="000000"/>
            </w:tcBorders>
          </w:tcPr>
          <w:p w:rsidR="00DA0D9C" w14:paraId="33EA45B8" w14:textId="77777777">
            <w:pPr>
              <w:spacing w:after="0" w:line="259" w:lineRule="auto"/>
              <w:ind w:left="30" w:right="0" w:firstLine="0"/>
              <w:jc w:val="center"/>
            </w:pPr>
            <w:r>
              <w:rPr>
                <w:sz w:val="16"/>
              </w:rPr>
              <w:t xml:space="preserve">After </w:t>
            </w:r>
          </w:p>
        </w:tc>
        <w:tc>
          <w:tcPr>
            <w:tcW w:w="727" w:type="dxa"/>
            <w:tcBorders>
              <w:top w:val="single" w:sz="4" w:space="0" w:color="000000"/>
              <w:left w:val="single" w:sz="4" w:space="0" w:color="000000"/>
              <w:bottom w:val="single" w:sz="4" w:space="0" w:color="000000"/>
              <w:right w:val="single" w:sz="4" w:space="0" w:color="000000"/>
            </w:tcBorders>
          </w:tcPr>
          <w:p w:rsidR="00DA0D9C" w14:paraId="3D816781" w14:textId="77777777">
            <w:pPr>
              <w:spacing w:after="0" w:line="259" w:lineRule="auto"/>
              <w:ind w:left="31" w:right="0" w:firstLine="0"/>
              <w:jc w:val="center"/>
            </w:pPr>
            <w:r>
              <w:rPr>
                <w:sz w:val="16"/>
              </w:rPr>
              <w:t xml:space="preserve">Before </w:t>
            </w:r>
          </w:p>
        </w:tc>
        <w:tc>
          <w:tcPr>
            <w:tcW w:w="667" w:type="dxa"/>
            <w:tcBorders>
              <w:top w:val="single" w:sz="4" w:space="0" w:color="000000"/>
              <w:left w:val="single" w:sz="4" w:space="0" w:color="000000"/>
              <w:bottom w:val="single" w:sz="4" w:space="0" w:color="000000"/>
              <w:right w:val="single" w:sz="4" w:space="0" w:color="000000"/>
            </w:tcBorders>
          </w:tcPr>
          <w:p w:rsidR="00DA0D9C" w14:paraId="286C9A87" w14:textId="77777777">
            <w:pPr>
              <w:spacing w:after="0" w:line="259" w:lineRule="auto"/>
              <w:ind w:left="27" w:right="0" w:firstLine="0"/>
              <w:jc w:val="center"/>
            </w:pPr>
            <w:r>
              <w:rPr>
                <w:sz w:val="16"/>
              </w:rPr>
              <w:t xml:space="preserve">After </w:t>
            </w:r>
          </w:p>
        </w:tc>
        <w:tc>
          <w:tcPr>
            <w:tcW w:w="725" w:type="dxa"/>
            <w:tcBorders>
              <w:top w:val="single" w:sz="4" w:space="0" w:color="000000"/>
              <w:left w:val="single" w:sz="4" w:space="0" w:color="000000"/>
              <w:bottom w:val="single" w:sz="4" w:space="0" w:color="000000"/>
              <w:right w:val="single" w:sz="4" w:space="0" w:color="000000"/>
            </w:tcBorders>
          </w:tcPr>
          <w:p w:rsidR="00DA0D9C" w14:paraId="6970FEA3" w14:textId="77777777">
            <w:pPr>
              <w:spacing w:after="0" w:line="259" w:lineRule="auto"/>
              <w:ind w:left="33" w:right="0" w:firstLine="0"/>
              <w:jc w:val="center"/>
            </w:pPr>
            <w:r>
              <w:rPr>
                <w:sz w:val="16"/>
              </w:rPr>
              <w:t xml:space="preserve">Before </w:t>
            </w:r>
          </w:p>
        </w:tc>
        <w:tc>
          <w:tcPr>
            <w:tcW w:w="641" w:type="dxa"/>
            <w:tcBorders>
              <w:top w:val="single" w:sz="4" w:space="0" w:color="000000"/>
              <w:left w:val="single" w:sz="4" w:space="0" w:color="000000"/>
              <w:bottom w:val="single" w:sz="4" w:space="0" w:color="000000"/>
              <w:right w:val="single" w:sz="4" w:space="0" w:color="000000"/>
            </w:tcBorders>
          </w:tcPr>
          <w:p w:rsidR="00DA0D9C" w14:paraId="2EE5AC00" w14:textId="77777777">
            <w:pPr>
              <w:spacing w:after="0" w:line="259" w:lineRule="auto"/>
              <w:ind w:left="30" w:right="0" w:firstLine="0"/>
              <w:jc w:val="center"/>
            </w:pPr>
            <w:r>
              <w:rPr>
                <w:sz w:val="16"/>
              </w:rPr>
              <w:t xml:space="preserve">After </w:t>
            </w:r>
          </w:p>
        </w:tc>
        <w:tc>
          <w:tcPr>
            <w:tcW w:w="727" w:type="dxa"/>
            <w:tcBorders>
              <w:top w:val="single" w:sz="4" w:space="0" w:color="000000"/>
              <w:left w:val="single" w:sz="4" w:space="0" w:color="000000"/>
              <w:bottom w:val="single" w:sz="4" w:space="0" w:color="000000"/>
              <w:right w:val="single" w:sz="4" w:space="0" w:color="000000"/>
            </w:tcBorders>
          </w:tcPr>
          <w:p w:rsidR="00DA0D9C" w14:paraId="3C044E59" w14:textId="77777777">
            <w:pPr>
              <w:spacing w:after="0" w:line="259" w:lineRule="auto"/>
              <w:ind w:left="31" w:right="0" w:firstLine="0"/>
              <w:jc w:val="center"/>
            </w:pPr>
            <w:r>
              <w:rPr>
                <w:sz w:val="16"/>
              </w:rPr>
              <w:t xml:space="preserve">Before </w:t>
            </w:r>
          </w:p>
        </w:tc>
        <w:tc>
          <w:tcPr>
            <w:tcW w:w="641" w:type="dxa"/>
            <w:tcBorders>
              <w:top w:val="single" w:sz="4" w:space="0" w:color="000000"/>
              <w:left w:val="single" w:sz="4" w:space="0" w:color="000000"/>
              <w:bottom w:val="single" w:sz="4" w:space="0" w:color="000000"/>
              <w:right w:val="single" w:sz="4" w:space="0" w:color="000000"/>
            </w:tcBorders>
          </w:tcPr>
          <w:p w:rsidR="00DA0D9C" w14:paraId="0C3E77B7" w14:textId="77777777">
            <w:pPr>
              <w:spacing w:after="0" w:line="259" w:lineRule="auto"/>
              <w:ind w:left="30" w:right="0" w:firstLine="0"/>
              <w:jc w:val="center"/>
            </w:pPr>
            <w:r>
              <w:rPr>
                <w:sz w:val="16"/>
              </w:rPr>
              <w:t xml:space="preserve">After </w:t>
            </w:r>
          </w:p>
        </w:tc>
        <w:tc>
          <w:tcPr>
            <w:tcW w:w="818" w:type="dxa"/>
            <w:tcBorders>
              <w:top w:val="single" w:sz="4" w:space="0" w:color="000000"/>
              <w:left w:val="single" w:sz="4" w:space="0" w:color="000000"/>
              <w:bottom w:val="single" w:sz="4" w:space="0" w:color="000000"/>
              <w:right w:val="single" w:sz="4" w:space="0" w:color="000000"/>
            </w:tcBorders>
          </w:tcPr>
          <w:p w:rsidR="00DA0D9C" w14:paraId="5383509E" w14:textId="77777777">
            <w:pPr>
              <w:spacing w:after="0" w:line="259" w:lineRule="auto"/>
              <w:ind w:left="31" w:right="0" w:firstLine="0"/>
              <w:jc w:val="center"/>
            </w:pPr>
            <w:r>
              <w:rPr>
                <w:sz w:val="16"/>
              </w:rPr>
              <w:t xml:space="preserve">Before </w:t>
            </w:r>
          </w:p>
        </w:tc>
        <w:tc>
          <w:tcPr>
            <w:tcW w:w="818" w:type="dxa"/>
            <w:tcBorders>
              <w:top w:val="single" w:sz="4" w:space="0" w:color="000000"/>
              <w:left w:val="single" w:sz="4" w:space="0" w:color="000000"/>
              <w:bottom w:val="single" w:sz="4" w:space="0" w:color="000000"/>
              <w:right w:val="single" w:sz="4" w:space="0" w:color="000000"/>
            </w:tcBorders>
          </w:tcPr>
          <w:p w:rsidR="00DA0D9C" w14:paraId="6FB88C85" w14:textId="77777777">
            <w:pPr>
              <w:spacing w:after="0" w:line="259" w:lineRule="auto"/>
              <w:ind w:left="30" w:right="0" w:firstLine="0"/>
              <w:jc w:val="center"/>
            </w:pPr>
            <w:r>
              <w:rPr>
                <w:sz w:val="16"/>
              </w:rPr>
              <w:t xml:space="preserve">After </w:t>
            </w:r>
          </w:p>
        </w:tc>
      </w:tr>
      <w:tr w14:paraId="5E9BAF01" w14:textId="77777777">
        <w:tblPrEx>
          <w:tblW w:w="9888" w:type="dxa"/>
          <w:tblInd w:w="862" w:type="dxa"/>
          <w:tblCellMar>
            <w:right w:w="29" w:type="dxa"/>
          </w:tblCellMar>
          <w:tblLook w:val="04A0"/>
        </w:tblPrEx>
        <w:trPr>
          <w:trHeight w:val="262"/>
        </w:trPr>
        <w:tc>
          <w:tcPr>
            <w:tcW w:w="725" w:type="dxa"/>
            <w:tcBorders>
              <w:top w:val="single" w:sz="4" w:space="0" w:color="000000"/>
              <w:left w:val="single" w:sz="4" w:space="0" w:color="000000"/>
              <w:bottom w:val="single" w:sz="4" w:space="0" w:color="000000"/>
              <w:right w:val="single" w:sz="4" w:space="0" w:color="000000"/>
            </w:tcBorders>
          </w:tcPr>
          <w:p w:rsidR="00DA0D9C" w14:paraId="43992E7B" w14:textId="77777777">
            <w:pPr>
              <w:spacing w:after="0" w:line="259" w:lineRule="auto"/>
              <w:ind w:left="30" w:right="0" w:firstLine="0"/>
              <w:jc w:val="center"/>
            </w:pPr>
            <w:r>
              <w:rPr>
                <w:sz w:val="16"/>
              </w:rPr>
              <w:t xml:space="preserve">2,088 </w:t>
            </w:r>
          </w:p>
        </w:tc>
        <w:tc>
          <w:tcPr>
            <w:tcW w:w="641" w:type="dxa"/>
            <w:tcBorders>
              <w:top w:val="single" w:sz="4" w:space="0" w:color="000000"/>
              <w:left w:val="single" w:sz="4" w:space="0" w:color="000000"/>
              <w:bottom w:val="single" w:sz="4" w:space="0" w:color="000000"/>
              <w:right w:val="single" w:sz="4" w:space="0" w:color="000000"/>
            </w:tcBorders>
          </w:tcPr>
          <w:p w:rsidR="00DA0D9C" w14:paraId="6698EAAA" w14:textId="77777777">
            <w:pPr>
              <w:spacing w:after="0" w:line="259" w:lineRule="auto"/>
              <w:ind w:left="33" w:right="0" w:firstLine="0"/>
              <w:jc w:val="center"/>
            </w:pPr>
            <w:r>
              <w:rPr>
                <w:sz w:val="16"/>
              </w:rPr>
              <w:t xml:space="preserve">1,915 </w:t>
            </w:r>
          </w:p>
        </w:tc>
        <w:tc>
          <w:tcPr>
            <w:tcW w:w="725" w:type="dxa"/>
            <w:tcBorders>
              <w:top w:val="single" w:sz="4" w:space="0" w:color="000000"/>
              <w:left w:val="single" w:sz="4" w:space="0" w:color="000000"/>
              <w:bottom w:val="single" w:sz="4" w:space="0" w:color="000000"/>
              <w:right w:val="single" w:sz="4" w:space="0" w:color="000000"/>
            </w:tcBorders>
          </w:tcPr>
          <w:p w:rsidR="00DA0D9C" w14:paraId="136F6EA0" w14:textId="77777777">
            <w:pPr>
              <w:spacing w:after="0" w:line="259" w:lineRule="auto"/>
              <w:ind w:left="29" w:right="0" w:firstLine="0"/>
              <w:jc w:val="center"/>
            </w:pPr>
            <w:r>
              <w:rPr>
                <w:sz w:val="16"/>
              </w:rPr>
              <w:t xml:space="preserve">varies </w:t>
            </w:r>
          </w:p>
        </w:tc>
        <w:tc>
          <w:tcPr>
            <w:tcW w:w="659" w:type="dxa"/>
            <w:tcBorders>
              <w:top w:val="single" w:sz="4" w:space="0" w:color="000000"/>
              <w:left w:val="single" w:sz="4" w:space="0" w:color="000000"/>
              <w:bottom w:val="single" w:sz="4" w:space="0" w:color="000000"/>
              <w:right w:val="single" w:sz="4" w:space="0" w:color="000000"/>
            </w:tcBorders>
          </w:tcPr>
          <w:p w:rsidR="00DA0D9C" w14:paraId="34F3B50F" w14:textId="77777777">
            <w:pPr>
              <w:spacing w:after="0" w:line="259" w:lineRule="auto"/>
              <w:ind w:left="38" w:right="0" w:firstLine="0"/>
              <w:jc w:val="center"/>
            </w:pPr>
            <w:r>
              <w:rPr>
                <w:sz w:val="16"/>
              </w:rPr>
              <w:t xml:space="preserve">varies </w:t>
            </w:r>
          </w:p>
        </w:tc>
        <w:tc>
          <w:tcPr>
            <w:tcW w:w="733" w:type="dxa"/>
            <w:tcBorders>
              <w:top w:val="single" w:sz="4" w:space="0" w:color="000000"/>
              <w:left w:val="single" w:sz="4" w:space="0" w:color="000000"/>
              <w:bottom w:val="single" w:sz="4" w:space="0" w:color="000000"/>
              <w:right w:val="single" w:sz="4" w:space="0" w:color="000000"/>
            </w:tcBorders>
          </w:tcPr>
          <w:p w:rsidR="00DA0D9C" w14:paraId="0475DE7D" w14:textId="77777777">
            <w:pPr>
              <w:spacing w:after="0" w:line="259" w:lineRule="auto"/>
              <w:ind w:left="39" w:right="0" w:firstLine="0"/>
              <w:jc w:val="center"/>
            </w:pPr>
            <w:r>
              <w:rPr>
                <w:sz w:val="16"/>
              </w:rPr>
              <w:t xml:space="preserve">2,088 </w:t>
            </w:r>
          </w:p>
        </w:tc>
        <w:tc>
          <w:tcPr>
            <w:tcW w:w="641" w:type="dxa"/>
            <w:tcBorders>
              <w:top w:val="single" w:sz="4" w:space="0" w:color="000000"/>
              <w:left w:val="single" w:sz="4" w:space="0" w:color="000000"/>
              <w:bottom w:val="single" w:sz="4" w:space="0" w:color="000000"/>
              <w:right w:val="single" w:sz="4" w:space="0" w:color="000000"/>
            </w:tcBorders>
          </w:tcPr>
          <w:p w:rsidR="00DA0D9C" w14:paraId="38E51350" w14:textId="77777777">
            <w:pPr>
              <w:spacing w:after="0" w:line="259" w:lineRule="auto"/>
              <w:ind w:left="28" w:right="0" w:firstLine="0"/>
              <w:jc w:val="center"/>
            </w:pPr>
            <w:r>
              <w:rPr>
                <w:sz w:val="16"/>
              </w:rPr>
              <w:t xml:space="preserve">1,915 </w:t>
            </w:r>
          </w:p>
        </w:tc>
        <w:tc>
          <w:tcPr>
            <w:tcW w:w="727" w:type="dxa"/>
            <w:tcBorders>
              <w:top w:val="single" w:sz="4" w:space="0" w:color="000000"/>
              <w:left w:val="single" w:sz="4" w:space="0" w:color="000000"/>
              <w:bottom w:val="single" w:sz="4" w:space="0" w:color="000000"/>
              <w:right w:val="single" w:sz="4" w:space="0" w:color="000000"/>
            </w:tcBorders>
          </w:tcPr>
          <w:p w:rsidR="00DA0D9C" w14:paraId="4722BCDA" w14:textId="77777777">
            <w:pPr>
              <w:spacing w:after="0" w:line="259" w:lineRule="auto"/>
              <w:ind w:left="32" w:right="0" w:firstLine="0"/>
              <w:jc w:val="center"/>
            </w:pPr>
            <w:r>
              <w:rPr>
                <w:sz w:val="16"/>
              </w:rPr>
              <w:t xml:space="preserve">varies </w:t>
            </w:r>
          </w:p>
        </w:tc>
        <w:tc>
          <w:tcPr>
            <w:tcW w:w="667" w:type="dxa"/>
            <w:tcBorders>
              <w:top w:val="single" w:sz="4" w:space="0" w:color="000000"/>
              <w:left w:val="single" w:sz="4" w:space="0" w:color="000000"/>
              <w:bottom w:val="single" w:sz="4" w:space="0" w:color="000000"/>
              <w:right w:val="single" w:sz="4" w:space="0" w:color="000000"/>
            </w:tcBorders>
          </w:tcPr>
          <w:p w:rsidR="00DA0D9C" w14:paraId="1AB3DA67" w14:textId="77777777">
            <w:pPr>
              <w:spacing w:after="0" w:line="259" w:lineRule="auto"/>
              <w:ind w:left="29" w:right="0" w:firstLine="0"/>
              <w:jc w:val="center"/>
            </w:pPr>
            <w:r>
              <w:rPr>
                <w:sz w:val="16"/>
              </w:rPr>
              <w:t xml:space="preserve">varies </w:t>
            </w:r>
          </w:p>
        </w:tc>
        <w:tc>
          <w:tcPr>
            <w:tcW w:w="725" w:type="dxa"/>
            <w:tcBorders>
              <w:top w:val="single" w:sz="4" w:space="0" w:color="000000"/>
              <w:left w:val="single" w:sz="4" w:space="0" w:color="000000"/>
              <w:bottom w:val="single" w:sz="4" w:space="0" w:color="000000"/>
              <w:right w:val="single" w:sz="4" w:space="0" w:color="000000"/>
            </w:tcBorders>
          </w:tcPr>
          <w:p w:rsidR="00DA0D9C" w14:paraId="00CE67C8" w14:textId="77777777">
            <w:pPr>
              <w:spacing w:after="0" w:line="259" w:lineRule="auto"/>
              <w:ind w:left="30" w:right="0" w:firstLine="0"/>
              <w:jc w:val="center"/>
            </w:pPr>
            <w:r>
              <w:rPr>
                <w:sz w:val="16"/>
              </w:rPr>
              <w:t xml:space="preserve">8,638 </w:t>
            </w:r>
          </w:p>
        </w:tc>
        <w:tc>
          <w:tcPr>
            <w:tcW w:w="641" w:type="dxa"/>
            <w:tcBorders>
              <w:top w:val="single" w:sz="4" w:space="0" w:color="000000"/>
              <w:left w:val="single" w:sz="4" w:space="0" w:color="000000"/>
              <w:bottom w:val="single" w:sz="4" w:space="0" w:color="000000"/>
              <w:right w:val="single" w:sz="4" w:space="0" w:color="000000"/>
            </w:tcBorders>
          </w:tcPr>
          <w:p w:rsidR="00DA0D9C" w14:paraId="09700647" w14:textId="77777777">
            <w:pPr>
              <w:spacing w:after="0" w:line="259" w:lineRule="auto"/>
              <w:ind w:left="28" w:right="0" w:firstLine="0"/>
              <w:jc w:val="center"/>
            </w:pPr>
            <w:r>
              <w:rPr>
                <w:sz w:val="16"/>
              </w:rPr>
              <w:t xml:space="preserve">8,465 </w:t>
            </w:r>
          </w:p>
        </w:tc>
        <w:tc>
          <w:tcPr>
            <w:tcW w:w="727" w:type="dxa"/>
            <w:tcBorders>
              <w:top w:val="single" w:sz="4" w:space="0" w:color="000000"/>
              <w:left w:val="single" w:sz="4" w:space="0" w:color="000000"/>
              <w:bottom w:val="single" w:sz="4" w:space="0" w:color="000000"/>
              <w:right w:val="single" w:sz="4" w:space="0" w:color="000000"/>
            </w:tcBorders>
          </w:tcPr>
          <w:p w:rsidR="00DA0D9C" w14:paraId="29AD8220" w14:textId="77777777">
            <w:pPr>
              <w:spacing w:after="0" w:line="259" w:lineRule="auto"/>
              <w:ind w:left="28" w:right="0" w:firstLine="0"/>
              <w:jc w:val="center"/>
            </w:pPr>
            <w:r>
              <w:rPr>
                <w:sz w:val="16"/>
              </w:rPr>
              <w:t xml:space="preserve">90.94 </w:t>
            </w:r>
          </w:p>
        </w:tc>
        <w:tc>
          <w:tcPr>
            <w:tcW w:w="641" w:type="dxa"/>
            <w:tcBorders>
              <w:top w:val="single" w:sz="4" w:space="0" w:color="000000"/>
              <w:left w:val="single" w:sz="4" w:space="0" w:color="000000"/>
              <w:bottom w:val="single" w:sz="4" w:space="0" w:color="000000"/>
              <w:right w:val="single" w:sz="4" w:space="0" w:color="000000"/>
            </w:tcBorders>
          </w:tcPr>
          <w:p w:rsidR="00DA0D9C" w14:paraId="0065CAAD" w14:textId="77777777">
            <w:pPr>
              <w:spacing w:after="0" w:line="259" w:lineRule="auto"/>
              <w:ind w:left="28" w:right="0" w:firstLine="0"/>
              <w:jc w:val="center"/>
            </w:pPr>
            <w:r>
              <w:rPr>
                <w:sz w:val="16"/>
              </w:rPr>
              <w:t xml:space="preserve">90.94 </w:t>
            </w:r>
          </w:p>
        </w:tc>
        <w:tc>
          <w:tcPr>
            <w:tcW w:w="818" w:type="dxa"/>
            <w:tcBorders>
              <w:top w:val="single" w:sz="4" w:space="0" w:color="000000"/>
              <w:left w:val="single" w:sz="4" w:space="0" w:color="000000"/>
              <w:bottom w:val="single" w:sz="4" w:space="0" w:color="000000"/>
              <w:right w:val="single" w:sz="4" w:space="0" w:color="000000"/>
            </w:tcBorders>
          </w:tcPr>
          <w:p w:rsidR="00DA0D9C" w14:paraId="5C1CFDCA" w14:textId="77777777">
            <w:pPr>
              <w:spacing w:after="0" w:line="259" w:lineRule="auto"/>
              <w:ind w:left="31" w:right="0" w:firstLine="0"/>
              <w:jc w:val="center"/>
            </w:pPr>
            <w:r>
              <w:rPr>
                <w:sz w:val="16"/>
              </w:rPr>
              <w:t xml:space="preserve">796,855 </w:t>
            </w:r>
          </w:p>
        </w:tc>
        <w:tc>
          <w:tcPr>
            <w:tcW w:w="818" w:type="dxa"/>
            <w:tcBorders>
              <w:top w:val="single" w:sz="4" w:space="0" w:color="000000"/>
              <w:left w:val="single" w:sz="4" w:space="0" w:color="000000"/>
              <w:bottom w:val="single" w:sz="4" w:space="0" w:color="000000"/>
              <w:right w:val="single" w:sz="4" w:space="0" w:color="000000"/>
            </w:tcBorders>
          </w:tcPr>
          <w:p w:rsidR="00DA0D9C" w14:paraId="5F4113A6" w14:textId="77777777">
            <w:pPr>
              <w:spacing w:after="0" w:line="259" w:lineRule="auto"/>
              <w:ind w:left="31" w:right="0" w:firstLine="0"/>
              <w:jc w:val="center"/>
            </w:pPr>
            <w:r>
              <w:rPr>
                <w:sz w:val="16"/>
              </w:rPr>
              <w:t xml:space="preserve">781,122 </w:t>
            </w:r>
          </w:p>
        </w:tc>
      </w:tr>
    </w:tbl>
    <w:p w:rsidR="004F20DC" w14:paraId="19ED97D1" w14:textId="77777777">
      <w:pPr>
        <w:pStyle w:val="Heading3"/>
        <w:tabs>
          <w:tab w:val="center" w:pos="673"/>
          <w:tab w:val="center" w:pos="2676"/>
        </w:tabs>
        <w:spacing w:after="355"/>
        <w:ind w:left="0" w:firstLine="0"/>
        <w:rPr>
          <w:rFonts w:ascii="Calibri" w:eastAsia="Calibri" w:hAnsi="Calibri" w:cs="Calibri"/>
          <w:sz w:val="22"/>
          <w:u w:val="none"/>
        </w:rPr>
      </w:pPr>
      <w:r>
        <w:rPr>
          <w:rFonts w:ascii="Calibri" w:eastAsia="Calibri" w:hAnsi="Calibri" w:cs="Calibri"/>
          <w:sz w:val="22"/>
          <w:u w:val="none"/>
        </w:rPr>
        <w:tab/>
      </w:r>
    </w:p>
    <w:p w:rsidR="00DA0D9C" w14:paraId="1595A231" w14:textId="4AE5EABE">
      <w:pPr>
        <w:pStyle w:val="Heading3"/>
        <w:tabs>
          <w:tab w:val="center" w:pos="673"/>
          <w:tab w:val="center" w:pos="2676"/>
        </w:tabs>
        <w:spacing w:after="355"/>
        <w:ind w:left="0" w:firstLine="0"/>
      </w:pPr>
      <w:r>
        <w:rPr>
          <w:rFonts w:ascii="Calibri" w:eastAsia="Calibri" w:hAnsi="Calibri" w:cs="Calibri"/>
          <w:sz w:val="22"/>
          <w:u w:val="none"/>
        </w:rPr>
        <w:tab/>
      </w:r>
      <w:r w:rsidR="00F00A3D">
        <w:rPr>
          <w:u w:val="none"/>
        </w:rPr>
        <w:t>16.</w:t>
      </w:r>
      <w:r w:rsidR="00F00A3D">
        <w:rPr>
          <w:u w:val="none"/>
        </w:rPr>
        <w:tab/>
      </w:r>
      <w:r w:rsidR="00F00A3D">
        <w:t>Publication/Tabulation Dates</w:t>
      </w:r>
    </w:p>
    <w:p w:rsidR="00DA0D9C" w14:paraId="287BE9B3" w14:textId="77777777">
      <w:pPr>
        <w:spacing w:after="343"/>
        <w:ind w:left="542" w:right="862"/>
      </w:pPr>
      <w:r>
        <w:t xml:space="preserve">Results of the initial and renewal MOC reviews will be made publicly available on the NCQA website, located at: </w:t>
      </w:r>
      <w:hyperlink r:id="rId7">
        <w:r>
          <w:rPr>
            <w:color w:val="428BCA"/>
          </w:rPr>
          <w:t>https://snpmoc.ncqa.org</w:t>
        </w:r>
      </w:hyperlink>
      <w:hyperlink r:id="rId7">
        <w:r>
          <w:rPr>
            <w:color w:val="428BCA"/>
          </w:rPr>
          <w:t>/</w:t>
        </w:r>
      </w:hyperlink>
      <w:hyperlink r:id="rId7">
        <w:r>
          <w:t>. V</w:t>
        </w:r>
      </w:hyperlink>
      <w:r>
        <w:t xml:space="preserve">isitors have access to the overall score for each SNP, the number of points the SNP scored on each element, and which requirements were met or not met.  </w:t>
      </w:r>
    </w:p>
    <w:p w:rsidR="00DA0D9C" w14:paraId="34C13ED6" w14:textId="77777777">
      <w:pPr>
        <w:pStyle w:val="Heading3"/>
        <w:tabs>
          <w:tab w:val="center" w:pos="673"/>
          <w:tab w:val="center" w:pos="2042"/>
        </w:tabs>
        <w:spacing w:after="355"/>
        <w:ind w:left="0" w:firstLine="0"/>
      </w:pPr>
      <w:r>
        <w:rPr>
          <w:rFonts w:ascii="Calibri" w:eastAsia="Calibri" w:hAnsi="Calibri" w:cs="Calibri"/>
          <w:sz w:val="22"/>
          <w:u w:val="none"/>
        </w:rPr>
        <w:tab/>
      </w:r>
      <w:r>
        <w:rPr>
          <w:u w:val="none"/>
        </w:rPr>
        <w:t>17.</w:t>
      </w:r>
      <w:r>
        <w:rPr>
          <w:u w:val="none"/>
        </w:rPr>
        <w:tab/>
      </w:r>
      <w:r>
        <w:t>Expiration Date</w:t>
      </w:r>
    </w:p>
    <w:p w:rsidR="00DA0D9C" w14:paraId="7494642B" w14:textId="77777777">
      <w:pPr>
        <w:spacing w:after="341"/>
        <w:ind w:left="542" w:right="862"/>
      </w:pPr>
      <w:r>
        <w:t xml:space="preserve">OMB’s assigned expiration date will be displayed within the PRA Disclosure Statement in the Model of Care Matrix Document for Initial Application and Renewal Submissions Attachments A).  </w:t>
      </w:r>
    </w:p>
    <w:p w:rsidR="00DA0D9C" w14:paraId="7BD3A9F2" w14:textId="77777777">
      <w:pPr>
        <w:pStyle w:val="Heading3"/>
        <w:tabs>
          <w:tab w:val="center" w:pos="673"/>
          <w:tab w:val="center" w:pos="2388"/>
        </w:tabs>
        <w:spacing w:after="355"/>
        <w:ind w:left="0" w:firstLine="0"/>
      </w:pPr>
      <w:r>
        <w:rPr>
          <w:rFonts w:ascii="Calibri" w:eastAsia="Calibri" w:hAnsi="Calibri" w:cs="Calibri"/>
          <w:sz w:val="22"/>
          <w:u w:val="none"/>
        </w:rPr>
        <w:tab/>
      </w:r>
      <w:r>
        <w:rPr>
          <w:u w:val="none"/>
        </w:rPr>
        <w:t>18.</w:t>
      </w:r>
      <w:r>
        <w:rPr>
          <w:u w:val="none"/>
        </w:rPr>
        <w:tab/>
      </w:r>
      <w:r>
        <w:t>Certification Statement</w:t>
      </w:r>
    </w:p>
    <w:p w:rsidR="00DA0D9C" w14:paraId="022BB183" w14:textId="77777777">
      <w:pPr>
        <w:ind w:left="542" w:right="862"/>
      </w:pPr>
      <w:r>
        <w:t xml:space="preserve">There are no exceptions to the certification statement identified in item 19 of OMB Form 83-1 associated with this data collection effort.  </w:t>
      </w:r>
    </w:p>
    <w:sectPr>
      <w:headerReference w:type="even" r:id="rId8"/>
      <w:headerReference w:type="default" r:id="rId9"/>
      <w:footerReference w:type="even" r:id="rId10"/>
      <w:footerReference w:type="default" r:id="rId11"/>
      <w:headerReference w:type="first" r:id="rId12"/>
      <w:footerReference w:type="first" r:id="rId13"/>
      <w:pgSz w:w="12240" w:h="15840"/>
      <w:pgMar w:top="1313" w:right="578" w:bottom="966" w:left="907" w:header="786" w:footer="68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0D9C" w14:paraId="485324AF" w14:textId="77777777">
    <w:pPr>
      <w:tabs>
        <w:tab w:val="center" w:pos="533"/>
        <w:tab w:val="center" w:pos="5210"/>
      </w:tabs>
      <w:spacing w:after="0" w:line="259" w:lineRule="auto"/>
      <w:ind w:left="0" w:right="0" w:firstLine="0"/>
    </w:pPr>
    <w:r>
      <w:rPr>
        <w:rFonts w:ascii="Calibri" w:eastAsia="Calibri" w:hAnsi="Calibri" w:cs="Calibri"/>
        <w:sz w:val="22"/>
      </w:rPr>
      <w:t xml:space="preserve"> </w:t>
    </w:r>
    <w:r>
      <w:rPr>
        <w:rFonts w:ascii="Calibri" w:eastAsia="Calibri" w:hAnsi="Calibri" w:cs="Calibri"/>
        <w:sz w:val="22"/>
      </w:rPr>
      <w:tab/>
    </w:r>
    <w:r>
      <w:rPr>
        <w:sz w:val="20"/>
      </w:rPr>
      <w:t xml:space="preserve">  </w:t>
    </w:r>
    <w:r>
      <w:rPr>
        <w:sz w:val="20"/>
      </w:rPr>
      <w:tab/>
    </w:r>
    <w:r>
      <w:fldChar w:fldCharType="begin"/>
    </w:r>
    <w:r>
      <w:instrText xml:space="preserve"> PAGE   \* MERGEFORMAT </w:instrText>
    </w:r>
    <w:r>
      <w:fldChar w:fldCharType="separate"/>
    </w:r>
    <w:r>
      <w:rPr>
        <w:sz w:val="22"/>
      </w:rPr>
      <w:t>1</w:t>
    </w:r>
    <w:r>
      <w:rPr>
        <w:sz w:val="22"/>
      </w:rPr>
      <w:fldChar w:fldCharType="end"/>
    </w:r>
    <w:r>
      <w:rPr>
        <w:sz w:val="22"/>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0D9C" w14:paraId="4D4C300C" w14:textId="77777777">
    <w:pPr>
      <w:tabs>
        <w:tab w:val="center" w:pos="533"/>
        <w:tab w:val="center" w:pos="5210"/>
      </w:tabs>
      <w:spacing w:after="0" w:line="259" w:lineRule="auto"/>
      <w:ind w:left="0" w:right="0" w:firstLine="0"/>
    </w:pPr>
    <w:r>
      <w:rPr>
        <w:rFonts w:ascii="Calibri" w:eastAsia="Calibri" w:hAnsi="Calibri" w:cs="Calibri"/>
        <w:sz w:val="22"/>
      </w:rPr>
      <w:t xml:space="preserve"> </w:t>
    </w:r>
    <w:r>
      <w:rPr>
        <w:rFonts w:ascii="Calibri" w:eastAsia="Calibri" w:hAnsi="Calibri" w:cs="Calibri"/>
        <w:sz w:val="22"/>
      </w:rPr>
      <w:tab/>
    </w:r>
    <w:r>
      <w:rPr>
        <w:sz w:val="20"/>
      </w:rPr>
      <w:t xml:space="preserve">  </w:t>
    </w:r>
    <w:r>
      <w:rPr>
        <w:sz w:val="20"/>
      </w:rPr>
      <w:tab/>
    </w:r>
    <w:r>
      <w:fldChar w:fldCharType="begin"/>
    </w:r>
    <w:r>
      <w:instrText xml:space="preserve"> PAGE   \* MERGEFORMAT </w:instrText>
    </w:r>
    <w:r>
      <w:fldChar w:fldCharType="separate"/>
    </w:r>
    <w:r>
      <w:rPr>
        <w:sz w:val="22"/>
      </w:rPr>
      <w:t>1</w:t>
    </w:r>
    <w:r>
      <w:rPr>
        <w:sz w:val="22"/>
      </w:rPr>
      <w:fldChar w:fldCharType="end"/>
    </w:r>
    <w:r>
      <w:rPr>
        <w:sz w:val="22"/>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0D9C" w14:paraId="662C3D8F" w14:textId="77777777">
    <w:pPr>
      <w:tabs>
        <w:tab w:val="center" w:pos="533"/>
        <w:tab w:val="center" w:pos="5210"/>
      </w:tabs>
      <w:spacing w:after="0" w:line="259" w:lineRule="auto"/>
      <w:ind w:left="0" w:right="0" w:firstLine="0"/>
    </w:pPr>
    <w:r>
      <w:rPr>
        <w:rFonts w:ascii="Calibri" w:eastAsia="Calibri" w:hAnsi="Calibri" w:cs="Calibri"/>
        <w:sz w:val="22"/>
      </w:rPr>
      <w:t xml:space="preserve"> </w:t>
    </w:r>
    <w:r>
      <w:rPr>
        <w:rFonts w:ascii="Calibri" w:eastAsia="Calibri" w:hAnsi="Calibri" w:cs="Calibri"/>
        <w:sz w:val="22"/>
      </w:rPr>
      <w:tab/>
    </w:r>
    <w:r>
      <w:rPr>
        <w:sz w:val="20"/>
      </w:rPr>
      <w:t xml:space="preserve">  </w:t>
    </w:r>
    <w:r>
      <w:rPr>
        <w:sz w:val="20"/>
      </w:rPr>
      <w:tab/>
    </w:r>
    <w:r>
      <w:fldChar w:fldCharType="begin"/>
    </w:r>
    <w:r>
      <w:instrText xml:space="preserve"> PAGE   \* MERGEFORMAT </w:instrText>
    </w:r>
    <w:r>
      <w:fldChar w:fldCharType="separate"/>
    </w:r>
    <w:r>
      <w:rPr>
        <w:sz w:val="22"/>
      </w:rPr>
      <w:t>1</w:t>
    </w:r>
    <w:r>
      <w:rPr>
        <w:sz w:val="22"/>
      </w:rPr>
      <w:fldChar w:fldCharType="end"/>
    </w:r>
    <w:r>
      <w:rPr>
        <w:sz w:val="22"/>
      </w:rPr>
      <w:t xml:space="preserve"> </w:t>
    </w:r>
    <w: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0D9C" w14:paraId="5F4E8EE6" w14:textId="77777777">
    <w:pPr>
      <w:spacing w:after="0" w:line="259" w:lineRule="auto"/>
      <w:ind w:left="533" w:right="0" w:firstLine="0"/>
    </w:pPr>
    <w:r>
      <w:rPr>
        <w:sz w:val="20"/>
      </w:rPr>
      <w:t>Draft June 2025</w:t>
    </w:r>
    <w:r>
      <w:rPr>
        <w:color w:val="FF0000"/>
        <w:sz w:val="20"/>
      </w:rPr>
      <w:t xml:space="preserve"> </w:t>
    </w:r>
    <w:r>
      <w:t xml:space="preserve"> </w:t>
    </w:r>
  </w:p>
  <w:p w:rsidR="00DA0D9C" w14:paraId="63CCF687" w14:textId="77777777">
    <w:pPr>
      <w:spacing w:after="0" w:line="259" w:lineRule="auto"/>
      <w:ind w:left="533" w:right="0" w:firstLine="0"/>
    </w:pPr>
    <w:r>
      <w:rPr>
        <w:sz w:val="22"/>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0D9C" w14:paraId="6C6AF187" w14:textId="77777777">
    <w:pPr>
      <w:spacing w:after="0" w:line="259" w:lineRule="auto"/>
      <w:ind w:left="533" w:right="0" w:firstLine="0"/>
    </w:pPr>
    <w:r>
      <w:rPr>
        <w:sz w:val="22"/>
      </w:rPr>
      <w:t xml:space="preserve"> </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0D9C" w14:paraId="5EB67865" w14:textId="77777777">
    <w:pPr>
      <w:spacing w:after="0" w:line="259" w:lineRule="auto"/>
      <w:ind w:left="533" w:right="0" w:firstLine="0"/>
    </w:pPr>
    <w:r>
      <w:rPr>
        <w:sz w:val="20"/>
      </w:rPr>
      <w:t>Draft June 2025</w:t>
    </w:r>
    <w:r>
      <w:rPr>
        <w:color w:val="FF0000"/>
        <w:sz w:val="20"/>
      </w:rPr>
      <w:t xml:space="preserve"> </w:t>
    </w:r>
    <w:r>
      <w:t xml:space="preserve"> </w:t>
    </w:r>
  </w:p>
  <w:p w:rsidR="00DA0D9C" w14:paraId="1935907D" w14:textId="77777777">
    <w:pPr>
      <w:spacing w:after="0" w:line="259" w:lineRule="auto"/>
      <w:ind w:left="533" w:right="0" w:firstLine="0"/>
    </w:pPr>
    <w:r>
      <w:rPr>
        <w:sz w:val="22"/>
      </w:rPr>
      <w:t xml:space="preserve">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8766DF"/>
    <w:multiLevelType w:val="hybridMultilevel"/>
    <w:tmpl w:val="A33A52CE"/>
    <w:lvl w:ilvl="0">
      <w:start w:val="1"/>
      <w:numFmt w:val="bullet"/>
      <w:lvlText w:val="•"/>
      <w:lvlJc w:val="left"/>
      <w:pPr>
        <w:ind w:left="12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nsid w:val="1B704B5B"/>
    <w:multiLevelType w:val="hybridMultilevel"/>
    <w:tmpl w:val="559254FE"/>
    <w:lvl w:ilvl="0">
      <w:start w:val="1"/>
      <w:numFmt w:val="decimal"/>
      <w:lvlText w:val="%1)"/>
      <w:lvlJc w:val="left"/>
      <w:pPr>
        <w:ind w:left="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1F345352"/>
    <w:multiLevelType w:val="hybridMultilevel"/>
    <w:tmpl w:val="7BA4B55A"/>
    <w:lvl w:ilvl="0">
      <w:start w:val="1"/>
      <w:numFmt w:val="bullet"/>
      <w:lvlText w:val="•"/>
      <w:lvlJc w:val="left"/>
      <w:pPr>
        <w:ind w:left="12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9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6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4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4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8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5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62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70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nsid w:val="2CF55F9C"/>
    <w:multiLevelType w:val="hybridMultilevel"/>
    <w:tmpl w:val="5030A7C0"/>
    <w:lvl w:ilvl="0">
      <w:start w:val="4"/>
      <w:numFmt w:val="decimal"/>
      <w:lvlText w:val="(%1)"/>
      <w:lvlJc w:val="left"/>
      <w:pPr>
        <w:ind w:left="8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upperLetter"/>
      <w:lvlText w:val="(%2)"/>
      <w:lvlJc w:val="left"/>
      <w:pPr>
        <w:ind w:left="9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5A2514AC"/>
    <w:multiLevelType w:val="hybridMultilevel"/>
    <w:tmpl w:val="92AC4EF2"/>
    <w:lvl w:ilvl="0">
      <w:start w:val="2"/>
      <w:numFmt w:val="lowerRoman"/>
      <w:lvlText w:val="(%1)"/>
      <w:lvlJc w:val="left"/>
      <w:pPr>
        <w:ind w:left="9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935673556">
    <w:abstractNumId w:val="1"/>
  </w:num>
  <w:num w:numId="2" w16cid:durableId="419527242">
    <w:abstractNumId w:val="4"/>
  </w:num>
  <w:num w:numId="3" w16cid:durableId="321742411">
    <w:abstractNumId w:val="3"/>
  </w:num>
  <w:num w:numId="4" w16cid:durableId="1588881088">
    <w:abstractNumId w:val="2"/>
  </w:num>
  <w:num w:numId="5" w16cid:durableId="738940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D9C"/>
    <w:rsid w:val="0035229A"/>
    <w:rsid w:val="004F20DC"/>
    <w:rsid w:val="006F628B"/>
    <w:rsid w:val="00BA037F"/>
    <w:rsid w:val="00C25381"/>
    <w:rsid w:val="00CD49E4"/>
    <w:rsid w:val="00DA0D9C"/>
    <w:rsid w:val="00DB68E5"/>
    <w:rsid w:val="00F00A3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F048130"/>
  <w15:docId w15:val="{84F8BFFF-53DE-4AB2-9CD8-4B7CA83F2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7" w:line="247" w:lineRule="auto"/>
      <w:ind w:left="10" w:right="321"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2" w:line="259" w:lineRule="auto"/>
      <w:ind w:left="528"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0" w:line="259" w:lineRule="auto"/>
      <w:ind w:left="526" w:hanging="10"/>
      <w:outlineLvl w:val="1"/>
    </w:pPr>
    <w:rPr>
      <w:rFonts w:ascii="Times New Roman" w:eastAsia="Times New Roman" w:hAnsi="Times New Roman" w:cs="Times New Roman"/>
      <w:i/>
      <w:color w:val="000000"/>
    </w:rPr>
  </w:style>
  <w:style w:type="paragraph" w:styleId="Heading3">
    <w:name w:val="heading 3"/>
    <w:next w:val="Normal"/>
    <w:link w:val="Heading3Char"/>
    <w:uiPriority w:val="9"/>
    <w:unhideWhenUsed/>
    <w:qFormat/>
    <w:pPr>
      <w:keepNext/>
      <w:keepLines/>
      <w:spacing w:after="22" w:line="265" w:lineRule="auto"/>
      <w:ind w:left="10" w:hanging="10"/>
      <w:outlineLvl w:val="2"/>
    </w:pPr>
    <w:rPr>
      <w:rFonts w:ascii="Times New Roman" w:eastAsia="Times New Roman" w:hAnsi="Times New Roman" w:cs="Times New Roman"/>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i/>
      <w:color w:val="000000"/>
      <w:sz w:val="24"/>
    </w:rPr>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oes/current/oes_nat.htm" TargetMode="External" /><Relationship Id="rId5" Type="http://schemas.openxmlformats.org/officeDocument/2006/relationships/hyperlink" Target="https://www.bls.gov/oes/2018/may/oes131041.htm" TargetMode="External" /><Relationship Id="rId6" Type="http://schemas.openxmlformats.org/officeDocument/2006/relationships/hyperlink" Target="https://hpms.cms.gov/app/login.aspx?ReturnUrl=%2fapp%2flogin.aspx%2f" TargetMode="External" /><Relationship Id="rId7" Type="http://schemas.openxmlformats.org/officeDocument/2006/relationships/hyperlink" Target="https://snpmoc.ncqa.org/"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13</Pages>
  <Words>5138</Words>
  <Characters>29288</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Model of Care Supporting Statement</vt:lpstr>
    </vt:vector>
  </TitlesOfParts>
  <Company>Center For Medicaid Services</Company>
  <LinksUpToDate>false</LinksUpToDate>
  <CharactersWithSpaces>34358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of Care Supporting Statement</dc:title>
  <dc:creator>CMS</dc:creator>
  <cp:lastModifiedBy>McKenzie, Stephan (CMS/OSORA)</cp:lastModifiedBy>
  <cp:revision>4</cp:revision>
  <dcterms:created xsi:type="dcterms:W3CDTF">2025-06-17T15:20:00Z</dcterms:created>
  <dcterms:modified xsi:type="dcterms:W3CDTF">2025-06-25T17:48:00Z</dcterms:modified>
</cp:coreProperties>
</file>