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0D59" w:rsidRPr="009C7A4C" w:rsidP="00870D59" w14:paraId="0EDE81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P="00870D59" w14:paraId="090EF252" w14:textId="77777777">
      <w:pPr>
        <w:tabs>
          <w:tab w:val="center" w:pos="4752"/>
          <w:tab w:val="left" w:pos="5040"/>
          <w:tab w:val="left" w:pos="5760"/>
          <w:tab w:val="left" w:pos="6480"/>
          <w:tab w:val="left" w:pos="7200"/>
          <w:tab w:val="left" w:pos="7920"/>
          <w:tab w:val="left" w:pos="8640"/>
          <w:tab w:val="left" w:pos="9360"/>
        </w:tabs>
        <w:jc w:val="center"/>
        <w:rPr>
          <w:sz w:val="32"/>
          <w:szCs w:val="32"/>
        </w:rPr>
      </w:pPr>
    </w:p>
    <w:p w:rsidR="001857C8" w:rsidP="00870D59" w14:paraId="6B54F52D" w14:textId="77777777">
      <w:pPr>
        <w:tabs>
          <w:tab w:val="center" w:pos="4752"/>
          <w:tab w:val="left" w:pos="5040"/>
          <w:tab w:val="left" w:pos="5760"/>
          <w:tab w:val="left" w:pos="6480"/>
          <w:tab w:val="left" w:pos="7200"/>
          <w:tab w:val="left" w:pos="7920"/>
          <w:tab w:val="left" w:pos="8640"/>
          <w:tab w:val="left" w:pos="9360"/>
        </w:tabs>
        <w:jc w:val="center"/>
        <w:rPr>
          <w:sz w:val="28"/>
          <w:szCs w:val="28"/>
        </w:rPr>
      </w:pPr>
      <w:r w:rsidRPr="00B13C27">
        <w:rPr>
          <w:sz w:val="28"/>
          <w:szCs w:val="28"/>
        </w:rPr>
        <w:t>Conditions of Participation for Intermediate Care Facilities for Individuals with Intellectual Disabilities (ICFs-IID)</w:t>
      </w:r>
    </w:p>
    <w:p w:rsidR="00B13C27" w:rsidP="00870D59" w14:paraId="1D72EC23" w14:textId="16D09887">
      <w:pPr>
        <w:tabs>
          <w:tab w:val="center" w:pos="4752"/>
          <w:tab w:val="left" w:pos="5040"/>
          <w:tab w:val="left" w:pos="5760"/>
          <w:tab w:val="left" w:pos="6480"/>
          <w:tab w:val="left" w:pos="7200"/>
          <w:tab w:val="left" w:pos="7920"/>
          <w:tab w:val="left" w:pos="8640"/>
          <w:tab w:val="left" w:pos="9360"/>
        </w:tabs>
        <w:jc w:val="center"/>
        <w:rPr>
          <w:sz w:val="28"/>
          <w:szCs w:val="28"/>
        </w:rPr>
      </w:pPr>
      <w:r>
        <w:rPr>
          <w:sz w:val="28"/>
          <w:szCs w:val="28"/>
        </w:rPr>
        <w:t xml:space="preserve">(OMB </w:t>
      </w:r>
      <w:r w:rsidR="006734E6">
        <w:rPr>
          <w:sz w:val="28"/>
          <w:szCs w:val="28"/>
        </w:rPr>
        <w:t>Control Number</w:t>
      </w:r>
      <w:r>
        <w:rPr>
          <w:sz w:val="28"/>
          <w:szCs w:val="28"/>
        </w:rPr>
        <w:t xml:space="preserve"> 0938-1402)/</w:t>
      </w:r>
      <w:r w:rsidR="00F324CA">
        <w:rPr>
          <w:sz w:val="28"/>
          <w:szCs w:val="28"/>
        </w:rPr>
        <w:t>(CMS-10777)</w:t>
      </w:r>
    </w:p>
    <w:p w:rsidR="00FA68D3" w:rsidP="00870D59" w14:paraId="5CD9C4F8" w14:textId="77777777">
      <w:pPr>
        <w:tabs>
          <w:tab w:val="center" w:pos="4752"/>
          <w:tab w:val="left" w:pos="5040"/>
          <w:tab w:val="left" w:pos="5760"/>
          <w:tab w:val="left" w:pos="6480"/>
          <w:tab w:val="left" w:pos="7200"/>
          <w:tab w:val="left" w:pos="7920"/>
          <w:tab w:val="left" w:pos="8640"/>
          <w:tab w:val="left" w:pos="9360"/>
        </w:tabs>
        <w:jc w:val="center"/>
        <w:rPr>
          <w:sz w:val="28"/>
          <w:szCs w:val="28"/>
        </w:rPr>
      </w:pPr>
    </w:p>
    <w:p w:rsidR="00B13C27" w:rsidRPr="00FA68D3" w:rsidP="00FA68D3" w14:paraId="29663829" w14:textId="77777777">
      <w:pPr>
        <w:tabs>
          <w:tab w:val="center" w:pos="4752"/>
          <w:tab w:val="left" w:pos="5040"/>
          <w:tab w:val="left" w:pos="5760"/>
          <w:tab w:val="left" w:pos="6480"/>
          <w:tab w:val="left" w:pos="7200"/>
          <w:tab w:val="left" w:pos="7920"/>
          <w:tab w:val="left" w:pos="8640"/>
          <w:tab w:val="left" w:pos="9360"/>
        </w:tabs>
        <w:rPr>
          <w:sz w:val="24"/>
          <w:u w:val="single"/>
        </w:rPr>
      </w:pPr>
    </w:p>
    <w:p w:rsidR="008F1EB4" w14:paraId="51853D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5BF5">
        <w:rPr>
          <w:b/>
          <w:bCs/>
          <w:sz w:val="24"/>
        </w:rPr>
        <w:t>A.</w:t>
      </w:r>
      <w:r>
        <w:rPr>
          <w:b/>
          <w:bCs/>
          <w:sz w:val="24"/>
        </w:rPr>
        <w:tab/>
      </w:r>
      <w:r>
        <w:rPr>
          <w:b/>
          <w:bCs/>
          <w:sz w:val="24"/>
          <w:u w:val="single"/>
        </w:rPr>
        <w:t>Background</w:t>
      </w:r>
    </w:p>
    <w:p w:rsidR="008F1EB4" w14:paraId="7F8628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46AB0" w:rsidRPr="005C42C7" w:rsidP="00046AB0" w14:paraId="58C0FBE0" w14:textId="16C086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C42C7">
        <w:rPr>
          <w:sz w:val="24"/>
        </w:rPr>
        <w:t xml:space="preserve">The purpose of this package is to request </w:t>
      </w:r>
      <w:r w:rsidR="00AA4CF8">
        <w:rPr>
          <w:sz w:val="24"/>
        </w:rPr>
        <w:t xml:space="preserve">from the </w:t>
      </w:r>
      <w:r w:rsidRPr="005C42C7">
        <w:rPr>
          <w:sz w:val="24"/>
        </w:rPr>
        <w:t xml:space="preserve">Office of Management and Budget (OMB) </w:t>
      </w:r>
      <w:r w:rsidR="00AA4CF8">
        <w:rPr>
          <w:sz w:val="24"/>
        </w:rPr>
        <w:t xml:space="preserve">the </w:t>
      </w:r>
      <w:r w:rsidRPr="005C42C7">
        <w:rPr>
          <w:sz w:val="24"/>
        </w:rPr>
        <w:t xml:space="preserve">approval </w:t>
      </w:r>
      <w:r w:rsidR="00AA4CF8">
        <w:rPr>
          <w:sz w:val="24"/>
        </w:rPr>
        <w:t xml:space="preserve">to reinstate, with change, the information collection request associated </w:t>
      </w:r>
      <w:r w:rsidR="006734E6">
        <w:rPr>
          <w:sz w:val="24"/>
        </w:rPr>
        <w:t>for</w:t>
      </w:r>
      <w:r w:rsidR="00AA4CF8">
        <w:rPr>
          <w:sz w:val="24"/>
        </w:rPr>
        <w:t xml:space="preserve"> OMB </w:t>
      </w:r>
      <w:r w:rsidR="006734E6">
        <w:rPr>
          <w:sz w:val="24"/>
        </w:rPr>
        <w:t>Control Number</w:t>
      </w:r>
      <w:r w:rsidR="00AA4CF8">
        <w:rPr>
          <w:sz w:val="24"/>
        </w:rPr>
        <w:t xml:space="preserve"> 0938-1402, titled “</w:t>
      </w:r>
      <w:r w:rsidRPr="00046AB0">
        <w:rPr>
          <w:sz w:val="24"/>
        </w:rPr>
        <w:t>Intermedi</w:t>
      </w:r>
      <w:r w:rsidR="006516E1">
        <w:rPr>
          <w:sz w:val="24"/>
        </w:rPr>
        <w:t>at</w:t>
      </w:r>
      <w:r w:rsidRPr="00046AB0">
        <w:rPr>
          <w:sz w:val="24"/>
        </w:rPr>
        <w:t>e Care Facilities for Individuals with Intellectual Disabilities (ICFs-IID)</w:t>
      </w:r>
      <w:r w:rsidR="00802F42">
        <w:rPr>
          <w:sz w:val="24"/>
        </w:rPr>
        <w:t xml:space="preserve"> </w:t>
      </w:r>
      <w:r w:rsidR="00AA4CF8">
        <w:rPr>
          <w:sz w:val="24"/>
        </w:rPr>
        <w:t>Conditions of Participation</w:t>
      </w:r>
      <w:r w:rsidR="005D4AD3">
        <w:rPr>
          <w:sz w:val="24"/>
        </w:rPr>
        <w:t>.</w:t>
      </w:r>
      <w:r w:rsidR="00AA4CF8">
        <w:rPr>
          <w:sz w:val="24"/>
        </w:rPr>
        <w:t>”</w:t>
      </w:r>
    </w:p>
    <w:p w:rsidR="00046AB0" w:rsidRPr="005C42C7" w:rsidP="00046AB0" w14:paraId="7E8BA7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A4CF8" w:rsidRPr="00693CC7" w:rsidP="00AA4CF8" w14:paraId="3C3173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93CC7">
        <w:rPr>
          <w:sz w:val="24"/>
        </w:rPr>
        <w:t>The regulations containing the information collection requirements are located at 42 CFR Part 483 of the Code of Federal Regulations, Subpart I.</w:t>
      </w:r>
    </w:p>
    <w:p w:rsidR="00AA4CF8" w:rsidP="00AA4CF8" w14:paraId="6830C6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4CF8" w:rsidP="00AA4CF8" w14:paraId="5ED6EE96" w14:textId="51279A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93CC7">
        <w:rPr>
          <w:sz w:val="24"/>
        </w:rPr>
        <w:t>This is a reinstatement of the information collection request that expire</w:t>
      </w:r>
      <w:r w:rsidR="00B963C2">
        <w:rPr>
          <w:sz w:val="24"/>
        </w:rPr>
        <w:t>d</w:t>
      </w:r>
      <w:r>
        <w:rPr>
          <w:sz w:val="24"/>
        </w:rPr>
        <w:t xml:space="preserve"> </w:t>
      </w:r>
      <w:r w:rsidRPr="00693CC7">
        <w:rPr>
          <w:sz w:val="24"/>
        </w:rPr>
        <w:t xml:space="preserve">on </w:t>
      </w:r>
      <w:r>
        <w:rPr>
          <w:sz w:val="24"/>
        </w:rPr>
        <w:t xml:space="preserve">September 30, 2024. </w:t>
      </w:r>
      <w:r w:rsidRPr="00693CC7">
        <w:rPr>
          <w:sz w:val="24"/>
        </w:rPr>
        <w:t xml:space="preserve">The previous iteration of this OMB </w:t>
      </w:r>
      <w:r w:rsidR="006734E6">
        <w:rPr>
          <w:sz w:val="24"/>
        </w:rPr>
        <w:t>Control Number</w:t>
      </w:r>
      <w:r w:rsidRPr="00693CC7">
        <w:rPr>
          <w:sz w:val="24"/>
        </w:rPr>
        <w:t xml:space="preserve"> 0938-1</w:t>
      </w:r>
      <w:r>
        <w:rPr>
          <w:sz w:val="24"/>
        </w:rPr>
        <w:t>402</w:t>
      </w:r>
      <w:r w:rsidRPr="00693CC7">
        <w:rPr>
          <w:sz w:val="24"/>
        </w:rPr>
        <w:t xml:space="preserve"> (approved </w:t>
      </w:r>
      <w:r>
        <w:rPr>
          <w:sz w:val="24"/>
        </w:rPr>
        <w:t>September 22,</w:t>
      </w:r>
      <w:r w:rsidRPr="00693CC7">
        <w:rPr>
          <w:sz w:val="24"/>
        </w:rPr>
        <w:t xml:space="preserve"> 2021) had a</w:t>
      </w:r>
      <w:r>
        <w:rPr>
          <w:sz w:val="24"/>
        </w:rPr>
        <w:t>n</w:t>
      </w:r>
      <w:r w:rsidRPr="00693CC7">
        <w:rPr>
          <w:sz w:val="24"/>
        </w:rPr>
        <w:t xml:space="preserve"> </w:t>
      </w:r>
      <w:r>
        <w:rPr>
          <w:sz w:val="24"/>
        </w:rPr>
        <w:t xml:space="preserve">annual </w:t>
      </w:r>
      <w:r w:rsidRPr="00693CC7">
        <w:rPr>
          <w:sz w:val="24"/>
        </w:rPr>
        <w:t xml:space="preserve">burden of </w:t>
      </w:r>
      <w:r>
        <w:rPr>
          <w:sz w:val="24"/>
        </w:rPr>
        <w:t>114,478</w:t>
      </w:r>
      <w:r w:rsidRPr="00693CC7">
        <w:rPr>
          <w:sz w:val="24"/>
        </w:rPr>
        <w:t xml:space="preserve"> hours</w:t>
      </w:r>
      <w:r>
        <w:rPr>
          <w:sz w:val="24"/>
        </w:rPr>
        <w:t xml:space="preserve"> and annual costs of $7,375,654</w:t>
      </w:r>
      <w:r w:rsidRPr="00693CC7">
        <w:rPr>
          <w:sz w:val="24"/>
        </w:rPr>
        <w:t>. For this requested reinstatement, with changes, the total annual burden hours for industry is</w:t>
      </w:r>
      <w:r>
        <w:rPr>
          <w:sz w:val="24"/>
        </w:rPr>
        <w:t xml:space="preserve"> </w:t>
      </w:r>
      <w:r>
        <w:rPr>
          <w:b/>
          <w:bCs/>
          <w:sz w:val="24"/>
        </w:rPr>
        <w:t>75,721</w:t>
      </w:r>
      <w:r w:rsidRPr="00105E97">
        <w:rPr>
          <w:b/>
          <w:bCs/>
          <w:sz w:val="24"/>
        </w:rPr>
        <w:t xml:space="preserve"> hours</w:t>
      </w:r>
      <w:r w:rsidRPr="00693CC7">
        <w:rPr>
          <w:sz w:val="24"/>
        </w:rPr>
        <w:t xml:space="preserve"> and the annual burden costs are </w:t>
      </w:r>
      <w:r w:rsidRPr="00105E97">
        <w:rPr>
          <w:b/>
          <w:bCs/>
          <w:sz w:val="24"/>
        </w:rPr>
        <w:t>$</w:t>
      </w:r>
      <w:r>
        <w:rPr>
          <w:b/>
          <w:bCs/>
          <w:sz w:val="24"/>
        </w:rPr>
        <w:t>5,470,418</w:t>
      </w:r>
      <w:r>
        <w:rPr>
          <w:sz w:val="24"/>
        </w:rPr>
        <w:t xml:space="preserve">. See </w:t>
      </w:r>
      <w:r w:rsidRPr="00DE3956">
        <w:rPr>
          <w:b/>
          <w:bCs/>
          <w:sz w:val="24"/>
        </w:rPr>
        <w:t>Section 15</w:t>
      </w:r>
      <w:r>
        <w:rPr>
          <w:sz w:val="24"/>
        </w:rPr>
        <w:t xml:space="preserve"> below regarding the reasons for the changes in burden.</w:t>
      </w:r>
    </w:p>
    <w:p w:rsidR="00FF25D1" w:rsidP="00FF25D1" w14:paraId="4E7DA786" w14:textId="77777777">
      <w:pPr>
        <w:pStyle w:val="NormalWeb"/>
        <w:shd w:val="clear" w:color="auto" w:fill="FFFFFF"/>
        <w:spacing w:before="0" w:beforeAutospacing="0" w:after="0" w:afterAutospacing="0"/>
      </w:pPr>
    </w:p>
    <w:p w:rsidR="00AA4CF8" w:rsidP="00FF25D1" w14:paraId="3A4FFDD7" w14:textId="6D862671">
      <w:pPr>
        <w:pStyle w:val="NormalWeb"/>
        <w:shd w:val="clear" w:color="auto" w:fill="FFFFFF"/>
        <w:spacing w:before="0" w:beforeAutospacing="0" w:after="0" w:afterAutospacing="0"/>
      </w:pPr>
      <w:r>
        <w:t>During the COVID-19 Public Health Emergency (PHE), i</w:t>
      </w:r>
      <w:r w:rsidRPr="00BC6BB9">
        <w:t xml:space="preserve">ndividuals residing in congregate settings, </w:t>
      </w:r>
      <w:r>
        <w:t>such as ICFs-IID and Long-Term Care (LTC) facilities</w:t>
      </w:r>
      <w:r w:rsidRPr="00BC6BB9">
        <w:t xml:space="preserve"> </w:t>
      </w:r>
      <w:r>
        <w:t>were</w:t>
      </w:r>
      <w:r w:rsidRPr="00BC6BB9">
        <w:t xml:space="preserve"> at greater risk of acquiring </w:t>
      </w:r>
      <w:r>
        <w:t xml:space="preserve">COVID-19 </w:t>
      </w:r>
      <w:r w:rsidRPr="00BC6BB9">
        <w:t>infections</w:t>
      </w:r>
      <w:r>
        <w:t xml:space="preserve"> and once infected, were at greater risk of severe illness or death. As a result, the Centers for Medicare and Medicaid Services (CMS) revised the Conditions of Participation (CoPs) for many of CMS’ certified providers including hospitals and institutional care settings in order to reduce the risk of exposure to and the severity from contracting the COVID-19 virus for medical and non-medical staff and patients. In addition to the CoPs, health care facilities were obligated to establish an </w:t>
      </w:r>
      <w:r w:rsidRPr="00233A49">
        <w:t xml:space="preserve">infection control program </w:t>
      </w:r>
      <w:r>
        <w:t>that would</w:t>
      </w:r>
      <w:r w:rsidRPr="00233A49">
        <w:t xml:space="preserve"> protect the health and safety of residents, personnel, and the general public</w:t>
      </w:r>
      <w:r>
        <w:t xml:space="preserve"> under </w:t>
      </w:r>
      <w:r w:rsidRPr="00233A49">
        <w:t>Sections 1819(d)(3)(B) and 1919(d)(3) of the Ac</w:t>
      </w:r>
      <w:r>
        <w:t>t.</w:t>
      </w:r>
    </w:p>
    <w:p w:rsidR="00FF25D1" w:rsidP="00FF25D1" w14:paraId="3AEB63EC" w14:textId="77777777">
      <w:pPr>
        <w:pStyle w:val="NormalWeb"/>
        <w:shd w:val="clear" w:color="auto" w:fill="FFFFFF"/>
        <w:spacing w:before="0" w:beforeAutospacing="0" w:after="0" w:afterAutospacing="0"/>
      </w:pPr>
    </w:p>
    <w:p w:rsidR="00AA4CF8" w:rsidRPr="001B346A" w:rsidP="00AA4CF8" w14:paraId="694BF6A2" w14:textId="21196CF1">
      <w:pPr>
        <w:pStyle w:val="NormalWeb"/>
        <w:shd w:val="clear" w:color="auto" w:fill="FFFFFF"/>
        <w:spacing w:before="0" w:beforeAutospacing="0" w:after="0" w:afterAutospacing="0"/>
        <w:rPr>
          <w:b/>
          <w:bCs/>
          <w:sz w:val="22"/>
          <w:vertAlign w:val="superscript"/>
        </w:rPr>
      </w:pPr>
      <w:r>
        <w:t xml:space="preserve">Individuals housed at </w:t>
      </w:r>
      <w:r w:rsidRPr="006C6E62">
        <w:t>ICFs-IID</w:t>
      </w:r>
      <w:r>
        <w:t xml:space="preserve"> facilities are mentally and intellectually impaired, receive Medicaid assistance, and live in congregate settings. ICF-IID clients may also have other underlying medical conditions such as visual or hearing impairments, or seizure disorder.</w:t>
      </w:r>
      <w:r>
        <w:rPr>
          <w:rStyle w:val="FootnoteReference"/>
        </w:rPr>
        <w:footnoteReference w:id="2"/>
      </w:r>
      <w:r w:rsidR="001B346A">
        <w:rPr>
          <w:rStyle w:val="StyleFootnoteReference11ptSuperscript"/>
          <w:b/>
          <w:bCs/>
        </w:rPr>
        <w:t xml:space="preserve"> </w:t>
      </w:r>
      <w:r>
        <w:t xml:space="preserve">Based on their living situation and underlying health conditions, these clients were at higher risk of </w:t>
      </w:r>
      <w:r>
        <w:t>exposure and severe consequences from COVID-19 and continue to be at higher risk due to new variants of COVID-19 and other similar acute respiratory illnesses.</w:t>
      </w:r>
    </w:p>
    <w:p w:rsidR="000C451B" w:rsidP="00FF25D1" w14:paraId="3F4B6184" w14:textId="77777777">
      <w:pPr>
        <w:pStyle w:val="NormalWeb"/>
        <w:shd w:val="clear" w:color="auto" w:fill="FFFFFF"/>
        <w:spacing w:before="0" w:beforeAutospacing="0" w:after="0" w:afterAutospacing="0"/>
      </w:pPr>
    </w:p>
    <w:p w:rsidR="00FF25D1" w:rsidP="00FF25D1" w14:paraId="60AED96F" w14:textId="300F22D3">
      <w:pPr>
        <w:pStyle w:val="NormalWeb"/>
        <w:shd w:val="clear" w:color="auto" w:fill="FFFFFF"/>
        <w:spacing w:before="0" w:beforeAutospacing="0" w:after="288" w:afterAutospacing="0"/>
      </w:pPr>
      <w:r>
        <w:t xml:space="preserve">In the interim final rule, </w:t>
      </w:r>
      <w:r w:rsidR="00802F42">
        <w:t>entitled “</w:t>
      </w:r>
      <w:hyperlink r:id="rId10" w:history="1">
        <w:r w:rsidRPr="00FF25D1" w:rsidR="00802F42">
          <w:rPr>
            <w:rStyle w:val="Hyperlink"/>
          </w:rPr>
          <w:t>Medicare and Medicaid Programs; COVID-19 Vaccine Requirements for Long-Term Care (LTC) Facilities and Intermediate Care Facilities for Individuals with Intellectual Disabilities (ICFs-IID) Residents, Clients, and Staff</w:t>
        </w:r>
      </w:hyperlink>
      <w:r>
        <w:t>,</w:t>
      </w:r>
      <w:r w:rsidR="00802F42">
        <w:t xml:space="preserve">” </w:t>
      </w:r>
      <w:r w:rsidRPr="00802F42" w:rsidR="00802F42">
        <w:rPr>
          <w:color w:val="333333"/>
          <w:shd w:val="clear" w:color="auto" w:fill="D8D8D8"/>
        </w:rPr>
        <w:t>86 FR 26306</w:t>
      </w:r>
      <w:r>
        <w:rPr>
          <w:color w:val="333333"/>
          <w:shd w:val="clear" w:color="auto" w:fill="D8D8D8"/>
        </w:rPr>
        <w:t xml:space="preserve"> </w:t>
      </w:r>
      <w:r>
        <w:t>(CMS-3414-IFC), that was published on May 13, 2021(hereinafter “</w:t>
      </w:r>
      <w:hyperlink r:id="rId10" w:history="1">
        <w:r w:rsidRPr="009A7FBC">
          <w:rPr>
            <w:rStyle w:val="Hyperlink"/>
          </w:rPr>
          <w:t>May 2021 Interim Final Rule</w:t>
        </w:r>
        <w:r>
          <w:rPr>
            <w:rStyle w:val="Hyperlink"/>
          </w:rPr>
          <w:t>”</w:t>
        </w:r>
      </w:hyperlink>
      <w:r>
        <w:t>),  CMS a</w:t>
      </w:r>
      <w:r w:rsidRPr="001E365F">
        <w:t>dded</w:t>
      </w:r>
      <w:r>
        <w:t xml:space="preserve"> new CoPs which required </w:t>
      </w:r>
      <w:r w:rsidRPr="001E365F">
        <w:t>ICF/IID</w:t>
      </w:r>
      <w:r>
        <w:t>s</w:t>
      </w:r>
      <w:r w:rsidRPr="001E365F">
        <w:t xml:space="preserve"> </w:t>
      </w:r>
      <w:r>
        <w:t xml:space="preserve">facilities </w:t>
      </w:r>
      <w:r w:rsidRPr="001E365F">
        <w:t>to</w:t>
      </w:r>
      <w:r>
        <w:t xml:space="preserve">: 1) </w:t>
      </w:r>
      <w:r w:rsidRPr="001E365F">
        <w:t>develop policies and procedures to educate clients, their representatives, and staff on the benefits and risks, and potential side effects of the COVID-19 vaccine</w:t>
      </w:r>
      <w:r>
        <w:t>; 2) e</w:t>
      </w:r>
      <w:r w:rsidRPr="009A7FBC">
        <w:t>ducat</w:t>
      </w:r>
      <w:r>
        <w:t>e</w:t>
      </w:r>
      <w:r w:rsidRPr="009A7FBC">
        <w:t xml:space="preserve"> and offer</w:t>
      </w:r>
      <w:r>
        <w:t xml:space="preserve"> the COVID-19 vaccine per the policy and procedures developed; 3) document that staff and clients were educated and offered the vaccine; and 4) document wh</w:t>
      </w:r>
      <w:r w:rsidRPr="009A7FBC">
        <w:t xml:space="preserve">ether </w:t>
      </w:r>
      <w:r>
        <w:t xml:space="preserve">or not a </w:t>
      </w:r>
      <w:r w:rsidRPr="009A7FBC">
        <w:t xml:space="preserve">client </w:t>
      </w:r>
      <w:r>
        <w:t xml:space="preserve">or </w:t>
      </w:r>
      <w:r w:rsidRPr="009A7FBC">
        <w:t xml:space="preserve">staff member received the vaccine </w:t>
      </w:r>
      <w:r>
        <w:t>and if not, if it was</w:t>
      </w:r>
      <w:r w:rsidRPr="009A7FBC">
        <w:t xml:space="preserve"> due to medical contraindications or refusa</w:t>
      </w:r>
      <w:r>
        <w:t>l.</w:t>
      </w:r>
      <w:r>
        <w:rPr>
          <w:rStyle w:val="FootnoteReference"/>
          <w:szCs w:val="32"/>
        </w:rPr>
        <w:footnoteReference w:id="3"/>
      </w:r>
      <w:r w:rsidRPr="00E05497">
        <w:rPr>
          <w:sz w:val="32"/>
          <w:szCs w:val="32"/>
        </w:rPr>
        <w:t xml:space="preserve"> </w:t>
      </w:r>
      <w:r>
        <w:t xml:space="preserve">The </w:t>
      </w:r>
      <w:hyperlink r:id="rId10" w:history="1">
        <w:r w:rsidRPr="00C34B34">
          <w:rPr>
            <w:rStyle w:val="Hyperlink"/>
          </w:rPr>
          <w:t>May 2021 Interim Final rule</w:t>
        </w:r>
      </w:hyperlink>
      <w:r>
        <w:t xml:space="preserve"> included an estimate for the burden hours and costs to industry associated with these specific information collection requests and which was subsequently submitted to OMB as the initial PRA package for this information collection request in 2021.</w:t>
      </w:r>
    </w:p>
    <w:p w:rsidR="00FF25D1" w:rsidP="00FF25D1" w14:paraId="6E700D29" w14:textId="77777777">
      <w:pPr>
        <w:pStyle w:val="NormalWeb"/>
        <w:shd w:val="clear" w:color="auto" w:fill="FFFFFF"/>
        <w:spacing w:before="0" w:beforeAutospacing="0" w:after="0" w:afterAutospacing="0"/>
      </w:pPr>
      <w:r>
        <w:t>In November 2021, CMS issued “</w:t>
      </w:r>
      <w:hyperlink r:id="rId11" w:anchor="h-69" w:history="1">
        <w:r w:rsidRPr="001A4B2C">
          <w:rPr>
            <w:rStyle w:val="Hyperlink"/>
          </w:rPr>
          <w:t>Medicare and Medicaid Programs; Omnibus COVID-19 Health Care Staff Vaccination</w:t>
        </w:r>
      </w:hyperlink>
      <w:r>
        <w:t xml:space="preserve">,” </w:t>
      </w:r>
      <w:r w:rsidRPr="00794F0F">
        <w:t>86 FR 61555</w:t>
      </w:r>
      <w:r>
        <w:t xml:space="preserve"> (</w:t>
      </w:r>
      <w:r w:rsidRPr="00C31A48">
        <w:t>CMS-3415-IFC</w:t>
      </w:r>
      <w:r>
        <w:t>)(hereinafter “</w:t>
      </w:r>
      <w:hyperlink r:id="rId11" w:anchor="h-69" w:history="1">
        <w:r w:rsidRPr="000D6EA2">
          <w:rPr>
            <w:rStyle w:val="Hyperlink"/>
            <w:bCs/>
            <w:snapToGrid w:val="0"/>
            <w:szCs w:val="20"/>
          </w:rPr>
          <w:t>November 2021 Interim Final Rule</w:t>
        </w:r>
      </w:hyperlink>
      <w:r>
        <w:rPr>
          <w:rStyle w:val="Hyperlink"/>
          <w:bCs/>
          <w:snapToGrid w:val="0"/>
          <w:szCs w:val="20"/>
        </w:rPr>
        <w:t>”</w:t>
      </w:r>
      <w:r>
        <w:t>), which mandated health care staff in all CMS certified facilities, including ICFs-IID, to be vaccinated.</w:t>
      </w:r>
      <w:r>
        <w:rPr>
          <w:rStyle w:val="FootnoteReference"/>
        </w:rPr>
        <w:footnoteReference w:id="4"/>
      </w:r>
      <w:r>
        <w:t xml:space="preserve"> Most significantly, health care staff were no longer permitted to refuse being vaccinated and had to request an exemption if they did not want to receive the COVID-19 vaccine.</w:t>
      </w:r>
      <w:r>
        <w:rPr>
          <w:rStyle w:val="FootnoteReference"/>
        </w:rPr>
        <w:footnoteReference w:id="5"/>
      </w:r>
      <w:r>
        <w:t xml:space="preserve"> As a result, ICFs-IID had to document that their staff were educated and offered the vaccine, and also document whether their staff received a vaccination or were approved for an exemption. Clients of ICFs-IID, however, were still allowed to refuse taking the vaccine which would be documented in their medical record.</w:t>
      </w:r>
    </w:p>
    <w:p w:rsidR="00FF25D1" w:rsidP="00FF25D1" w14:paraId="4EA3E9E4" w14:textId="77777777">
      <w:pPr>
        <w:pStyle w:val="NormalWeb"/>
        <w:shd w:val="clear" w:color="auto" w:fill="FFFFFF"/>
        <w:spacing w:before="0" w:beforeAutospacing="0" w:after="0" w:afterAutospacing="0"/>
      </w:pPr>
    </w:p>
    <w:p w:rsidR="00FF25D1" w:rsidP="00FF25D1" w14:paraId="08EF15FB" w14:textId="57F0E6C2">
      <w:pPr>
        <w:pStyle w:val="NormalWeb"/>
        <w:shd w:val="clear" w:color="auto" w:fill="FFFFFF"/>
        <w:spacing w:before="0" w:beforeAutospacing="0" w:after="0" w:afterAutospacing="0"/>
      </w:pPr>
      <w:r>
        <w:t>On June 5, 2023, CMS issued a final rule, “</w:t>
      </w:r>
      <w:bookmarkStart w:id="2" w:name="_Hlk184728293"/>
      <w:hyperlink r:id="rId12" w:anchor="h-24" w:history="1">
        <w:r w:rsidRPr="001D75C2">
          <w:rPr>
            <w:rStyle w:val="Hyperlink"/>
          </w:rPr>
          <w:t>Medicare and Medicaid Programs; Policy and Regulatory Changes to the Omnibus COVID–19 Health Care Staff Vaccination Requirements; Additional Policy and Regulatory Changes to the Requirements for Long-Term Care (LTC) Facilities and Intermediate Care Facilities for Individuals With Intellectual Disabilities (ICFs–IID) To Provide COVID–19 Vaccine Education and Offer Vaccinations to Residents, Clients, and Staff; Policy and Regulatory Changes to the Long Term Care Facility COVID–19 Testing</w:t>
        </w:r>
      </w:hyperlink>
      <w:r>
        <w:t>,” 88 FR 36485</w:t>
      </w:r>
      <w:bookmarkEnd w:id="2"/>
      <w:r>
        <w:t xml:space="preserve"> (CMS-3415-F, 3414-F, and 3401-F)(hereinafter </w:t>
      </w:r>
      <w:hyperlink r:id="rId12" w:anchor="h-24" w:history="1">
        <w:r>
          <w:t>“</w:t>
        </w:r>
        <w:r>
          <w:rPr>
            <w:rStyle w:val="Hyperlink"/>
          </w:rPr>
          <w:t>June 2023 F</w:t>
        </w:r>
        <w:r w:rsidRPr="00065968">
          <w:rPr>
            <w:rStyle w:val="Hyperlink"/>
          </w:rPr>
          <w:t xml:space="preserve">inal </w:t>
        </w:r>
        <w:r>
          <w:rPr>
            <w:rStyle w:val="Hyperlink"/>
          </w:rPr>
          <w:t>R</w:t>
        </w:r>
        <w:r w:rsidRPr="00065968">
          <w:rPr>
            <w:rStyle w:val="Hyperlink"/>
          </w:rPr>
          <w:t>ule</w:t>
        </w:r>
      </w:hyperlink>
      <w:r>
        <w:rPr>
          <w:rStyle w:val="Hyperlink"/>
        </w:rPr>
        <w:t>”</w:t>
      </w:r>
      <w:r>
        <w:t>), which eliminated the vaccine mandate on health care staff and finalized the CoPs related to the “educate and offer” activity for COVID-19 vaccines in LTCs and ICF-IID.</w:t>
      </w:r>
      <w:r>
        <w:rPr>
          <w:rStyle w:val="FootnoteReference"/>
        </w:rPr>
        <w:footnoteReference w:id="6"/>
      </w:r>
      <w:r>
        <w:t xml:space="preserve"> Currently, ICFs-IID must continue to </w:t>
      </w:r>
      <w:r>
        <w:t xml:space="preserve">educate on the risks and benefits of the COVID vaccine and offer the vaccine to clients and staff and must continue to document this activity for clients in their medical records. However, when the </w:t>
      </w:r>
      <w:hyperlink r:id="rId12" w:anchor="h-24" w:history="1">
        <w:r w:rsidRPr="00065968">
          <w:rPr>
            <w:rStyle w:val="Hyperlink"/>
          </w:rPr>
          <w:t xml:space="preserve">June 2023 </w:t>
        </w:r>
        <w:r>
          <w:rPr>
            <w:rStyle w:val="Hyperlink"/>
          </w:rPr>
          <w:t>F</w:t>
        </w:r>
        <w:r w:rsidRPr="00065968">
          <w:rPr>
            <w:rStyle w:val="Hyperlink"/>
          </w:rPr>
          <w:t xml:space="preserve">inal </w:t>
        </w:r>
        <w:r>
          <w:rPr>
            <w:rStyle w:val="Hyperlink"/>
          </w:rPr>
          <w:t>R</w:t>
        </w:r>
        <w:r w:rsidRPr="00065968">
          <w:rPr>
            <w:rStyle w:val="Hyperlink"/>
          </w:rPr>
          <w:t>ule</w:t>
        </w:r>
      </w:hyperlink>
      <w:r>
        <w:t xml:space="preserve"> removed the staff vaccine mandate by eliminating the CoPs at 483.430(f) in its entirety, documentation of the educate and offer activity for staff was also eliminated. Thus, ICFs-IID must continue to “educate and offer” the COVID-19 vaccine to </w:t>
      </w:r>
      <w:r w:rsidRPr="00E76F07">
        <w:rPr>
          <w:u w:val="single"/>
        </w:rPr>
        <w:t>both</w:t>
      </w:r>
      <w:r>
        <w:t xml:space="preserve"> staff and clients, but the current CoPs require facilities to </w:t>
      </w:r>
      <w:r w:rsidRPr="00C75D4A">
        <w:t xml:space="preserve">document </w:t>
      </w:r>
      <w:r>
        <w:t xml:space="preserve">this task </w:t>
      </w:r>
      <w:r w:rsidRPr="00C75D4A">
        <w:rPr>
          <w:u w:val="single"/>
        </w:rPr>
        <w:t>only for their clients</w:t>
      </w:r>
      <w:r>
        <w:t>. Although the COVID-19 PHE ended in May 2023, the COVID-19 related CoPs for ICF-IID as updated in the</w:t>
      </w:r>
      <w:hyperlink r:id="rId12" w:anchor="h-24" w:history="1">
        <w:r w:rsidRPr="00065968">
          <w:rPr>
            <w:rStyle w:val="Hyperlink"/>
          </w:rPr>
          <w:t xml:space="preserve"> June 2023 </w:t>
        </w:r>
        <w:r>
          <w:rPr>
            <w:rStyle w:val="Hyperlink"/>
          </w:rPr>
          <w:t>F</w:t>
        </w:r>
        <w:r w:rsidRPr="00065968">
          <w:rPr>
            <w:rStyle w:val="Hyperlink"/>
          </w:rPr>
          <w:t xml:space="preserve">inal </w:t>
        </w:r>
        <w:r>
          <w:rPr>
            <w:rStyle w:val="Hyperlink"/>
          </w:rPr>
          <w:t>R</w:t>
        </w:r>
        <w:r w:rsidRPr="00065968">
          <w:rPr>
            <w:rStyle w:val="Hyperlink"/>
          </w:rPr>
          <w:t>ule</w:t>
        </w:r>
      </w:hyperlink>
      <w:r>
        <w:t xml:space="preserve"> remain in effect post-PHE in order to protect clients and staff from the same risks as before that may be due to new COVID-19 variants.</w:t>
      </w:r>
      <w:r>
        <w:rPr>
          <w:rStyle w:val="FootnoteReference"/>
        </w:rPr>
        <w:footnoteReference w:id="7"/>
      </w:r>
    </w:p>
    <w:p w:rsidR="00FF25D1" w:rsidP="00FF25D1" w14:paraId="085C75F3" w14:textId="77777777">
      <w:pPr>
        <w:pStyle w:val="NormalWeb"/>
        <w:shd w:val="clear" w:color="auto" w:fill="FFFFFF"/>
        <w:spacing w:before="0" w:beforeAutospacing="0" w:after="0" w:afterAutospacing="0"/>
      </w:pPr>
    </w:p>
    <w:p w:rsidR="00FF25D1" w:rsidP="00FF25D1" w14:paraId="37D062B0" w14:textId="5356AE9E">
      <w:pPr>
        <w:pStyle w:val="NormalWeb"/>
        <w:shd w:val="clear" w:color="auto" w:fill="FFFFFF"/>
        <w:spacing w:before="0" w:beforeAutospacing="0" w:after="0" w:afterAutospacing="0"/>
      </w:pPr>
      <w:r>
        <w:t>This reinstatement estimates the new burden hours for ICFs-IID based on the</w:t>
      </w:r>
      <w:r w:rsidR="00B963C2">
        <w:t xml:space="preserve"> </w:t>
      </w:r>
      <w:r>
        <w:t xml:space="preserve">revised CoPs. The burden of the information collections for LTC facilities is </w:t>
      </w:r>
      <w:r w:rsidRPr="001476BD">
        <w:t xml:space="preserve">included in </w:t>
      </w:r>
      <w:r w:rsidRPr="001476BD">
        <w:rPr>
          <w:b/>
          <w:bCs/>
        </w:rPr>
        <w:t xml:space="preserve">OMB </w:t>
      </w:r>
      <w:r w:rsidR="00D7773E">
        <w:rPr>
          <w:b/>
          <w:bCs/>
        </w:rPr>
        <w:t>Control Number</w:t>
      </w:r>
      <w:r w:rsidRPr="001476BD">
        <w:rPr>
          <w:b/>
          <w:bCs/>
        </w:rPr>
        <w:t xml:space="preserve"> 0938-1363</w:t>
      </w:r>
      <w:r w:rsidRPr="001476BD">
        <w:t>.</w:t>
      </w:r>
    </w:p>
    <w:p w:rsidR="00FF25D1" w:rsidP="00FF25D1" w14:paraId="21CF8704" w14:textId="77777777">
      <w:pPr>
        <w:pStyle w:val="NormalWeb"/>
        <w:shd w:val="clear" w:color="auto" w:fill="FFFFFF"/>
        <w:spacing w:before="0" w:beforeAutospacing="0" w:after="0" w:afterAutospacing="0"/>
      </w:pPr>
    </w:p>
    <w:p w:rsidR="00FF25D1" w:rsidP="00FF25D1" w14:paraId="6BAD2926" w14:textId="57FC5580">
      <w:pPr>
        <w:pStyle w:val="NormalWeb"/>
        <w:shd w:val="clear" w:color="auto" w:fill="FFFFFF"/>
        <w:spacing w:before="0" w:beforeAutospacing="0" w:after="0" w:afterAutospacing="0"/>
      </w:pPr>
      <w:r w:rsidRPr="00C041CF">
        <w:t xml:space="preserve">For a summary of the annual burden hours and costs for specific CoPs in this reinstatement see </w:t>
      </w:r>
      <w:r w:rsidRPr="00C041CF">
        <w:rPr>
          <w:b/>
          <w:bCs/>
        </w:rPr>
        <w:t xml:space="preserve">Table </w:t>
      </w:r>
      <w:r w:rsidR="00B34F0F">
        <w:rPr>
          <w:b/>
          <w:bCs/>
        </w:rPr>
        <w:t>7</w:t>
      </w:r>
      <w:r w:rsidRPr="00C041CF">
        <w:t>.</w:t>
      </w:r>
    </w:p>
    <w:p w:rsidR="00FF25D1" w:rsidP="00821C87" w14:paraId="04297B96" w14:textId="77777777">
      <w:pPr>
        <w:pStyle w:val="NormalWeb"/>
        <w:shd w:val="clear" w:color="auto" w:fill="FFFFFF"/>
        <w:spacing w:before="0" w:beforeAutospacing="0" w:after="288" w:afterAutospacing="0"/>
      </w:pPr>
    </w:p>
    <w:p w:rsidR="008F1EB4" w:rsidRPr="00821C87" w:rsidP="00821C87" w14:paraId="45E0F647" w14:textId="77777777">
      <w:pPr>
        <w:pStyle w:val="NormalWeb"/>
        <w:shd w:val="clear" w:color="auto" w:fill="FFFFFF"/>
        <w:spacing w:before="0" w:beforeAutospacing="0" w:after="288" w:afterAutospacing="0"/>
        <w:rPr>
          <w:color w:val="000000"/>
        </w:rPr>
      </w:pPr>
      <w:r w:rsidRPr="00655BF5">
        <w:rPr>
          <w:b/>
          <w:bCs/>
        </w:rPr>
        <w:t>B.</w:t>
      </w:r>
      <w:r>
        <w:rPr>
          <w:b/>
          <w:bCs/>
        </w:rPr>
        <w:tab/>
      </w:r>
      <w:r>
        <w:rPr>
          <w:b/>
          <w:bCs/>
          <w:u w:val="single"/>
        </w:rPr>
        <w:t>Justification</w:t>
      </w:r>
    </w:p>
    <w:p w:rsidR="008F1EB4" w:rsidP="00FF25D1" w14:paraId="6254D5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F25D1" w14:paraId="6B8372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8F1EB4" w:rsidP="00FF25D1" w14:paraId="2CD206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E1222" w:rsidP="00FF25D1" w14:paraId="104F2468" w14:textId="77777777">
      <w:pPr>
        <w:pStyle w:val="NormalWeb"/>
        <w:shd w:val="clear" w:color="auto" w:fill="FFFFFF"/>
        <w:spacing w:before="0" w:beforeAutospacing="0" w:after="0" w:afterAutospacing="0"/>
        <w:ind w:left="432"/>
      </w:pPr>
      <w:r>
        <w:t>Section 1905(c) and (d) of the Social Security Act</w:t>
      </w:r>
      <w:r w:rsidR="00B40115">
        <w:t>, gives the secretary authority to prescribe regulations for intermediate care facility services in facilities for individuals with intellect</w:t>
      </w:r>
      <w:r w:rsidR="003946AC">
        <w:t xml:space="preserve">ual </w:t>
      </w:r>
      <w:r w:rsidR="00B40115">
        <w:t>disabilities or persons with related conditions.</w:t>
      </w:r>
    </w:p>
    <w:p w:rsidR="00821C87" w:rsidP="00FF25D1" w14:paraId="47345218" w14:textId="77777777">
      <w:pPr>
        <w:pStyle w:val="NormalWeb"/>
        <w:shd w:val="clear" w:color="auto" w:fill="FFFFFF"/>
        <w:spacing w:before="0" w:beforeAutospacing="0" w:after="0" w:afterAutospacing="0"/>
        <w:ind w:left="432"/>
      </w:pPr>
      <w:r>
        <w:br/>
      </w:r>
      <w:r w:rsidRPr="00821C87">
        <w:t>Sections 483.400 – 483.480 are located in Part 483 of the Code of Federal Regulations, Subpart I- Conditions of Participation for Intermediate Care Facilities for Individuals with Intellectual Disabilities (ICF/IID). These CoPs establish the health and safety requirements that ICF/IID providers must meet in order to participate in the Medicare and Medicaid programs.</w:t>
      </w:r>
      <w:r>
        <w:t xml:space="preserve"> </w:t>
      </w:r>
    </w:p>
    <w:p w:rsidR="00D879A1" w:rsidP="00FF25D1" w14:paraId="7A75198E" w14:textId="77777777">
      <w:pPr>
        <w:pStyle w:val="NormalWeb"/>
        <w:shd w:val="clear" w:color="auto" w:fill="FFFFFF"/>
        <w:spacing w:before="0" w:beforeAutospacing="0" w:after="0" w:afterAutospacing="0"/>
        <w:ind w:left="432"/>
      </w:pPr>
    </w:p>
    <w:p w:rsidR="00AA4CF8" w:rsidP="00FF25D1" w14:paraId="62272FF7" w14:textId="7167597D">
      <w:pPr>
        <w:pStyle w:val="NormalWeb"/>
        <w:shd w:val="clear" w:color="auto" w:fill="FFFFFF"/>
        <w:spacing w:before="0" w:beforeAutospacing="0" w:after="0" w:afterAutospacing="0"/>
        <w:ind w:left="432"/>
        <w:rPr>
          <w:color w:val="000000"/>
        </w:rPr>
      </w:pPr>
      <w:r w:rsidRPr="00B40115">
        <w:t>ICFs</w:t>
      </w:r>
      <w:r>
        <w:t xml:space="preserve">-IID are </w:t>
      </w:r>
      <w:r w:rsidRPr="0051060C">
        <w:t>residential facilities that provide services</w:t>
      </w:r>
      <w:r>
        <w:t xml:space="preserve"> for people with disabilities.</w:t>
      </w:r>
      <w:r w:rsidRPr="0051060C">
        <w:t xml:space="preserve"> </w:t>
      </w:r>
      <w:r w:rsidRPr="00821C87">
        <w:rPr>
          <w:color w:val="000000"/>
        </w:rPr>
        <w:t>There are currently 5,</w:t>
      </w:r>
      <w:r w:rsidR="00D879A1">
        <w:rPr>
          <w:color w:val="000000"/>
        </w:rPr>
        <w:t>52</w:t>
      </w:r>
      <w:r w:rsidR="000D51F1">
        <w:rPr>
          <w:color w:val="000000"/>
        </w:rPr>
        <w:t>3</w:t>
      </w:r>
      <w:r w:rsidRPr="00821C87">
        <w:rPr>
          <w:color w:val="000000"/>
        </w:rPr>
        <w:t xml:space="preserve"> </w:t>
      </w:r>
      <w:r w:rsidRPr="00821C87">
        <w:rPr>
          <w:color w:val="000000"/>
        </w:rPr>
        <w:t>Medicare- and/or Medicaid-</w:t>
      </w:r>
      <w:r w:rsidRPr="00821C87">
        <w:rPr>
          <w:color w:val="000000"/>
        </w:rPr>
        <w:t>certified ICFs-IID</w:t>
      </w:r>
      <w:r w:rsidRPr="00821C87">
        <w:rPr>
          <w:color w:val="000000"/>
        </w:rPr>
        <w:t>,</w:t>
      </w:r>
      <w:r w:rsidRPr="00821C87">
        <w:rPr>
          <w:color w:val="000000"/>
        </w:rPr>
        <w:t xml:space="preserve"> and all 50 States have at least one ICF-IID.</w:t>
      </w:r>
      <w:r w:rsidRPr="00821C87">
        <w:rPr>
          <w:color w:val="000000"/>
        </w:rPr>
        <w:t xml:space="preserve"> The Social Security Act created this benefit to fund "institutions" (4 or more beds) for individuals with intellectual disabilities and specifies that these institutions must </w:t>
      </w:r>
      <w:r w:rsidRPr="00821C87">
        <w:rPr>
          <w:color w:val="000000"/>
        </w:rPr>
        <w:t xml:space="preserve">provide "active treatment," as defined by the Secretary. This program serves over </w:t>
      </w:r>
      <w:r>
        <w:rPr>
          <w:color w:val="000000"/>
        </w:rPr>
        <w:t>6</w:t>
      </w:r>
      <w:r w:rsidR="00D879A1">
        <w:rPr>
          <w:color w:val="000000"/>
        </w:rPr>
        <w:t>4</w:t>
      </w:r>
      <w:r>
        <w:rPr>
          <w:color w:val="000000"/>
        </w:rPr>
        <w:t>,000</w:t>
      </w:r>
      <w:r w:rsidRPr="00821C87">
        <w:rPr>
          <w:color w:val="000000"/>
        </w:rPr>
        <w:t xml:space="preserve"> individuals with intellectual disabilities and other related conditions.</w:t>
      </w:r>
      <w:r>
        <w:rPr>
          <w:rStyle w:val="FootnoteReference"/>
        </w:rPr>
        <w:footnoteReference w:id="8"/>
      </w:r>
      <w:r w:rsidRPr="00821C87">
        <w:rPr>
          <w:color w:val="000000"/>
        </w:rPr>
        <w:t xml:space="preserve"> </w:t>
      </w:r>
    </w:p>
    <w:p w:rsidR="00D879A1" w:rsidP="00FF25D1" w14:paraId="43E3C96A" w14:textId="77777777">
      <w:pPr>
        <w:pStyle w:val="NormalWeb"/>
        <w:shd w:val="clear" w:color="auto" w:fill="FFFFFF"/>
        <w:spacing w:before="0" w:beforeAutospacing="0" w:after="0" w:afterAutospacing="0"/>
        <w:ind w:left="432"/>
      </w:pPr>
    </w:p>
    <w:p w:rsidR="00D879A1" w:rsidP="00FF25D1" w14:paraId="728CFE6F" w14:textId="0E062D6A">
      <w:pPr>
        <w:pStyle w:val="NormalWeb"/>
        <w:shd w:val="clear" w:color="auto" w:fill="FFFFFF"/>
        <w:spacing w:before="0" w:beforeAutospacing="0" w:after="0" w:afterAutospacing="0"/>
        <w:ind w:left="432"/>
      </w:pPr>
      <w:r w:rsidRPr="0013431D">
        <w:t xml:space="preserve">Statutory requirements and our responsibility to assure an adequate level of patient health and safety in participating </w:t>
      </w:r>
      <w:r>
        <w:t>ICFs-IID</w:t>
      </w:r>
      <w:r w:rsidRPr="0013431D">
        <w:t xml:space="preserve"> require the inclusion of these requirements in the CoPs. We note that the ICRs contained within the regulations are necessary safeguards against potential overpayments, excessive utilization, and poor health care that may occur in the absence of such requirements. Therefore, we believe many of the requirements will impose no burden since a prudent institution would self-impose them in the ordinary course of business. Nonetheless, we have made an attempt to estimate the associated burden for </w:t>
      </w:r>
      <w:r>
        <w:t>an ICF-IID</w:t>
      </w:r>
      <w:r w:rsidRPr="0013431D">
        <w:t xml:space="preserve"> to engage in these standard industry practices</w:t>
      </w:r>
      <w:r>
        <w:t>.</w:t>
      </w:r>
    </w:p>
    <w:p w:rsidR="00D879A1" w:rsidP="00FF25D1" w14:paraId="0754C1EF" w14:textId="77777777">
      <w:pPr>
        <w:pStyle w:val="NormalWeb"/>
        <w:shd w:val="clear" w:color="auto" w:fill="FFFFFF"/>
        <w:spacing w:before="0" w:beforeAutospacing="0" w:after="0" w:afterAutospacing="0"/>
        <w:ind w:left="432"/>
      </w:pPr>
    </w:p>
    <w:p w:rsidR="008F1EB4" w:rsidP="00FF25D1" w14:paraId="3EA9D2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P="00FF25D1" w14:paraId="13EBEC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02096" w:rsidP="00402096" w14:paraId="0ACEFF79" w14:textId="421CC8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color w:val="000000"/>
          <w:sz w:val="24"/>
        </w:rPr>
        <w:t xml:space="preserve">In general, the </w:t>
      </w:r>
      <w:r w:rsidR="00F1085B">
        <w:rPr>
          <w:color w:val="000000"/>
          <w:sz w:val="24"/>
        </w:rPr>
        <w:t>Conditions of Participation (</w:t>
      </w:r>
      <w:r>
        <w:rPr>
          <w:color w:val="000000"/>
          <w:sz w:val="24"/>
        </w:rPr>
        <w:t>C</w:t>
      </w:r>
      <w:r w:rsidR="00F1085B">
        <w:rPr>
          <w:color w:val="000000"/>
          <w:sz w:val="24"/>
        </w:rPr>
        <w:t>oPs)</w:t>
      </w:r>
      <w:r>
        <w:rPr>
          <w:color w:val="000000"/>
          <w:sz w:val="24"/>
        </w:rPr>
        <w:t xml:space="preserve"> are used by Federal (CMS) or State surveyors (employed by State survey agencies) as a basis for determining whether an ICF-IID qualifies for approval or re-approval under Medicare</w:t>
      </w:r>
      <w:r>
        <w:rPr>
          <w:b/>
          <w:color w:val="000000"/>
          <w:sz w:val="24"/>
        </w:rPr>
        <w:t xml:space="preserve">. </w:t>
      </w:r>
      <w:r>
        <w:rPr>
          <w:color w:val="000000"/>
          <w:sz w:val="24"/>
        </w:rPr>
        <w:t>Surveyors make an in-person visit to ICF-IID to perform the complete survey.</w:t>
      </w:r>
    </w:p>
    <w:p w:rsidR="008F1EB4" w:rsidP="00FF25D1" w14:paraId="13198C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F25D1" w14:paraId="562191CC" w14:textId="14AE0F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 xml:space="preserve"> </w:t>
      </w:r>
      <w:r w:rsidR="00146944">
        <w:rPr>
          <w:sz w:val="24"/>
          <w:u w:val="single"/>
        </w:rPr>
        <w:t xml:space="preserve">Improved </w:t>
      </w:r>
      <w:r>
        <w:rPr>
          <w:sz w:val="24"/>
          <w:u w:val="single"/>
        </w:rPr>
        <w:t>Information Technology</w:t>
      </w:r>
    </w:p>
    <w:p w:rsidR="008F1EB4" w:rsidP="00FF25D1" w14:paraId="60E327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46944" w:rsidP="00B963C2" w14:paraId="194276C3" w14:textId="3DCDAA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ICFs-IID </w:t>
      </w:r>
      <w:r w:rsidRPr="008130BF">
        <w:rPr>
          <w:sz w:val="24"/>
        </w:rPr>
        <w:t xml:space="preserve">may use various information technologies to store and manage patient medical records as long as they are consistent with the existing confidentiality in record-keeping regulations at 42 CFR </w:t>
      </w:r>
      <w:r w:rsidR="00B963C2">
        <w:rPr>
          <w:sz w:val="24"/>
        </w:rPr>
        <w:t xml:space="preserve">§ </w:t>
      </w:r>
      <w:r w:rsidRPr="008130BF">
        <w:rPr>
          <w:sz w:val="24"/>
        </w:rPr>
        <w:t>485.638. This regulation does not specify how the facility should prepare or maintain these records. Facilities are free to take advantage of any technological advances that they find appropriate to meet their needs.</w:t>
      </w:r>
    </w:p>
    <w:p w:rsidR="00821C87" w:rsidP="00FF25D1" w14:paraId="4A0B07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FF25D1" w14:paraId="241D484B" w14:textId="641111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 xml:space="preserve">Duplication of </w:t>
      </w:r>
      <w:r w:rsidR="00146944">
        <w:rPr>
          <w:sz w:val="24"/>
          <w:u w:val="single"/>
        </w:rPr>
        <w:t>Similar Information</w:t>
      </w:r>
    </w:p>
    <w:p w:rsidR="008F1EB4" w:rsidP="00FF25D1" w14:paraId="126B2D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46944" w:rsidP="00146944" w14:paraId="5BAFCFB8" w14:textId="0B2177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30BF">
        <w:rPr>
          <w:sz w:val="24"/>
        </w:rPr>
        <w:t>These requirements are specified in a way that</w:t>
      </w:r>
      <w:r w:rsidR="008F1EB4">
        <w:rPr>
          <w:sz w:val="24"/>
        </w:rPr>
        <w:t xml:space="preserve"> does not </w:t>
      </w:r>
      <w:r>
        <w:rPr>
          <w:sz w:val="24"/>
        </w:rPr>
        <w:t xml:space="preserve">require an ICF-IID to </w:t>
      </w:r>
      <w:r w:rsidR="008F1EB4">
        <w:rPr>
          <w:sz w:val="24"/>
        </w:rPr>
        <w:t>duplicate</w:t>
      </w:r>
      <w:r>
        <w:rPr>
          <w:sz w:val="24"/>
        </w:rPr>
        <w:t xml:space="preserve"> its</w:t>
      </w:r>
      <w:r w:rsidR="008F1EB4">
        <w:rPr>
          <w:sz w:val="24"/>
        </w:rPr>
        <w:t xml:space="preserve"> effort</w:t>
      </w:r>
      <w:r>
        <w:rPr>
          <w:sz w:val="24"/>
        </w:rPr>
        <w:t>s.</w:t>
      </w:r>
      <w:r w:rsidRPr="00146944">
        <w:rPr>
          <w:sz w:val="24"/>
        </w:rPr>
        <w:t xml:space="preserve"> </w:t>
      </w:r>
      <w:r w:rsidRPr="008130BF">
        <w:rPr>
          <w:sz w:val="24"/>
        </w:rPr>
        <w:t xml:space="preserve">If a facility already maintains these general records, regardless of format, </w:t>
      </w:r>
      <w:r w:rsidR="00F1085B">
        <w:rPr>
          <w:sz w:val="24"/>
        </w:rPr>
        <w:t>these requirements are met.</w:t>
      </w:r>
      <w:r w:rsidRPr="008130BF">
        <w:rPr>
          <w:sz w:val="24"/>
        </w:rPr>
        <w:t xml:space="preserve"> The general nature of these requirements makes variations in the substance and format of these records</w:t>
      </w:r>
      <w:r w:rsidR="005D4AD3">
        <w:rPr>
          <w:sz w:val="24"/>
        </w:rPr>
        <w:t xml:space="preserve"> acceptable</w:t>
      </w:r>
      <w:r w:rsidRPr="008130BF">
        <w:rPr>
          <w:sz w:val="24"/>
        </w:rPr>
        <w:t xml:space="preserve"> from one facility to another.</w:t>
      </w:r>
    </w:p>
    <w:p w:rsidR="008F1EB4" w:rsidP="00FF25D1" w14:paraId="777CC6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F25D1" w14:paraId="08D448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21C87" w:rsidP="00FF25D1" w14:paraId="52E253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B963C2" w14:paraId="242B7D55" w14:textId="161AA0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30BF">
        <w:rPr>
          <w:sz w:val="24"/>
        </w:rPr>
        <w:t>These requirements do affect small businesses</w:t>
      </w:r>
      <w:r>
        <w:rPr>
          <w:sz w:val="24"/>
        </w:rPr>
        <w:t xml:space="preserve"> because m</w:t>
      </w:r>
      <w:r w:rsidR="00821C87">
        <w:rPr>
          <w:sz w:val="24"/>
        </w:rPr>
        <w:t xml:space="preserve">ost ICF-IIDs are either non-profit organizations or meet the </w:t>
      </w:r>
      <w:r w:rsidR="001B346A">
        <w:rPr>
          <w:sz w:val="24"/>
        </w:rPr>
        <w:t>U.S. S</w:t>
      </w:r>
      <w:r w:rsidR="00821C87">
        <w:rPr>
          <w:sz w:val="24"/>
        </w:rPr>
        <w:t xml:space="preserve">mall </w:t>
      </w:r>
      <w:r w:rsidR="001B346A">
        <w:rPr>
          <w:sz w:val="24"/>
        </w:rPr>
        <w:t>B</w:t>
      </w:r>
      <w:r w:rsidR="00821C87">
        <w:rPr>
          <w:sz w:val="24"/>
        </w:rPr>
        <w:t xml:space="preserve">usiness </w:t>
      </w:r>
      <w:r w:rsidR="001B346A">
        <w:rPr>
          <w:sz w:val="24"/>
        </w:rPr>
        <w:t>A</w:t>
      </w:r>
      <w:r w:rsidR="00821C87">
        <w:rPr>
          <w:sz w:val="24"/>
        </w:rPr>
        <w:t xml:space="preserve">dministration definition of a small business. </w:t>
      </w:r>
      <w:r w:rsidRPr="008130BF">
        <w:rPr>
          <w:sz w:val="24"/>
        </w:rPr>
        <w:t>However, the general nature of the requirements allows facilities the flexibility to meet the requirements in ways that are consistent with their existing operations.</w:t>
      </w:r>
    </w:p>
    <w:p w:rsidR="008F1EB4" w:rsidP="00FF25D1" w14:paraId="3373F3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sidRPr="000E1222">
        <w:rPr>
          <w:sz w:val="24"/>
          <w:u w:val="single"/>
        </w:rPr>
        <w:t>Less Frequent Collection</w:t>
      </w:r>
    </w:p>
    <w:p w:rsidR="008F1EB4" w:rsidP="00FF25D1" w14:paraId="02517C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46944" w:rsidRPr="0013431D" w:rsidP="00146944" w14:paraId="0EFA226C" w14:textId="2BA86F33">
      <w:pPr>
        <w:pStyle w:val="ListParagraph"/>
      </w:pPr>
      <w:r w:rsidRPr="00B40115">
        <w:t xml:space="preserve">CMS does not collect  information directly from </w:t>
      </w:r>
      <w:r>
        <w:t>ICFs-IID</w:t>
      </w:r>
      <w:r w:rsidRPr="00B40115">
        <w:t xml:space="preserve"> </w:t>
      </w:r>
      <w:r>
        <w:t>and i</w:t>
      </w:r>
      <w:r w:rsidRPr="0013431D">
        <w:t xml:space="preserve">nstead relies on State surveyors (employed by State survey agencies) to review the collection of information at the time of their certification and at the time of their facility visit. Nor does the rule prescribe the manner, timing, or frequency of the records or information that must be available. </w:t>
      </w:r>
      <w:r>
        <w:t xml:space="preserve">Facility </w:t>
      </w:r>
      <w:r w:rsidRPr="0013431D">
        <w:t xml:space="preserve">records, policies, and procedures are reviewed at the time of a survey for initial or continued participation in the Medicare program. Less frequent information collection would impede efforts to establish compliance with the Medicare Conditions for Participation (CoPs), which in turn, would jeopardize the health and safety of </w:t>
      </w:r>
      <w:r>
        <w:t>ICF-IID</w:t>
      </w:r>
      <w:r w:rsidRPr="0013431D">
        <w:t xml:space="preserve"> </w:t>
      </w:r>
      <w:r>
        <w:t>clients and staff</w:t>
      </w:r>
      <w:r w:rsidRPr="0013431D">
        <w:t xml:space="preserve"> and provision of quality healthcare.</w:t>
      </w:r>
    </w:p>
    <w:p w:rsidR="00B40115" w:rsidP="00FF25D1" w14:paraId="4249E9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FF25D1" w14:paraId="288211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P="00FF25D1" w14:paraId="20F054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F25D1" w14:paraId="3EF543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w:t>
      </w:r>
      <w:r w:rsidR="00821C87">
        <w:rPr>
          <w:sz w:val="24"/>
        </w:rPr>
        <w:t xml:space="preserve"> special circumstances.</w:t>
      </w:r>
    </w:p>
    <w:p w:rsidR="008F1EB4" w:rsidP="00FF25D1" w14:paraId="622311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F25D1" w14:paraId="766513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P="00FF25D1" w14:paraId="1EA563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46944" w:rsidP="00146944" w14:paraId="2ADA8F52" w14:textId="156FA94D">
      <w:pPr>
        <w:ind w:left="432"/>
        <w:rPr>
          <w:sz w:val="24"/>
        </w:rPr>
      </w:pPr>
      <w:r w:rsidRPr="00146944">
        <w:rPr>
          <w:sz w:val="24"/>
        </w:rPr>
        <w:t xml:space="preserve">The 60-day Federal Register </w:t>
      </w:r>
      <w:r w:rsidR="00D45132">
        <w:rPr>
          <w:sz w:val="24"/>
        </w:rPr>
        <w:t>notice</w:t>
      </w:r>
      <w:r w:rsidRPr="00146944">
        <w:rPr>
          <w:sz w:val="24"/>
        </w:rPr>
        <w:t xml:space="preserve"> published</w:t>
      </w:r>
      <w:r w:rsidR="00B963C2">
        <w:rPr>
          <w:sz w:val="24"/>
        </w:rPr>
        <w:t xml:space="preserve"> on</w:t>
      </w:r>
      <w:r w:rsidRPr="00146944">
        <w:rPr>
          <w:sz w:val="24"/>
        </w:rPr>
        <w:t xml:space="preserve"> </w:t>
      </w:r>
      <w:r w:rsidR="00D45132">
        <w:rPr>
          <w:sz w:val="24"/>
        </w:rPr>
        <w:t>January 14, 2025 (90 FR 3220)</w:t>
      </w:r>
      <w:r w:rsidRPr="00146944">
        <w:rPr>
          <w:sz w:val="24"/>
        </w:rPr>
        <w:t>.</w:t>
      </w:r>
      <w:r w:rsidR="00D45132">
        <w:rPr>
          <w:sz w:val="24"/>
        </w:rPr>
        <w:t xml:space="preserve">  There were no public comments received.</w:t>
      </w:r>
    </w:p>
    <w:p w:rsidR="00D45132" w:rsidP="00146944" w14:paraId="1014F7FB" w14:textId="77777777">
      <w:pPr>
        <w:ind w:left="432"/>
        <w:rPr>
          <w:sz w:val="24"/>
        </w:rPr>
      </w:pPr>
    </w:p>
    <w:p w:rsidR="00D45132" w:rsidP="00146944" w14:paraId="5826C3AD" w14:textId="75480E29">
      <w:pPr>
        <w:ind w:left="432"/>
        <w:rPr>
          <w:sz w:val="24"/>
        </w:rPr>
      </w:pPr>
      <w:r>
        <w:rPr>
          <w:sz w:val="24"/>
        </w:rPr>
        <w:t>The 30-day Federal Register notice published June 17, 2025 (90 FR 25616).</w:t>
      </w:r>
    </w:p>
    <w:p w:rsidR="008F1EB4" w:rsidRPr="00802F42" w:rsidP="00FF25D1" w14:paraId="6462CB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F25D1" w14:paraId="3D2D15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P="00FF25D1" w14:paraId="05A64A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F25D1" w14:paraId="577375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will not be any payment or gifts provided to respondents</w:t>
      </w:r>
      <w:r w:rsidR="004A494D">
        <w:rPr>
          <w:sz w:val="24"/>
        </w:rPr>
        <w:t>.</w:t>
      </w:r>
    </w:p>
    <w:p w:rsidR="008F1EB4" w:rsidP="00FF25D1" w14:paraId="037F7D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F25D1" w14:paraId="4D0836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P="00FF25D1" w14:paraId="4F234B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146944" w:rsidP="00146944" w14:paraId="255B3C04" w14:textId="098AD7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130BF">
        <w:rPr>
          <w:sz w:val="24"/>
        </w:rPr>
        <w:t xml:space="preserve">Confidentiality will be maintained to the extent provided by law. We pledge confidentiality of patient-specific data in accordance with the Privacy Act of 1974 (5 U.S.C. </w:t>
      </w:r>
      <w:r w:rsidR="00F1085B">
        <w:rPr>
          <w:sz w:val="24"/>
        </w:rPr>
        <w:t xml:space="preserve">§ </w:t>
      </w:r>
      <w:r w:rsidRPr="008130BF">
        <w:rPr>
          <w:sz w:val="24"/>
        </w:rPr>
        <w:t xml:space="preserve">552a) and the Health Insurance Portability and Accountability Act of 1996 (HIPAA). Requirements of HIPAA’s Privacy Rules (at 45 CFR </w:t>
      </w:r>
      <w:r w:rsidR="00F1085B">
        <w:rPr>
          <w:sz w:val="24"/>
        </w:rPr>
        <w:t>§§ 1</w:t>
      </w:r>
      <w:r w:rsidRPr="008130BF">
        <w:rPr>
          <w:sz w:val="24"/>
        </w:rPr>
        <w:t>60 and 164) protect the privacy and security of an individual’s protected health information</w:t>
      </w:r>
      <w:r>
        <w:rPr>
          <w:sz w:val="24"/>
        </w:rPr>
        <w:t>.</w:t>
      </w:r>
    </w:p>
    <w:p w:rsidR="00146944" w:rsidP="00FF25D1" w14:paraId="4B54E4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FF25D1" w14:paraId="2F88BB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F25D1" w14:paraId="2B7C9F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11.</w:t>
      </w:r>
      <w:r>
        <w:rPr>
          <w:sz w:val="24"/>
        </w:rPr>
        <w:tab/>
      </w:r>
      <w:r>
        <w:rPr>
          <w:sz w:val="24"/>
          <w:u w:val="single"/>
        </w:rPr>
        <w:t>Sensitive Questions</w:t>
      </w:r>
    </w:p>
    <w:p w:rsidR="00821C87" w:rsidP="00FF25D1" w14:paraId="670145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P="00FF25D1" w14:paraId="36CE6D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sensitive questions.</w:t>
      </w:r>
    </w:p>
    <w:p w:rsidR="00F1085B" w:rsidP="00FF25D1" w14:paraId="665F7C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1085B" w:rsidP="00FF25D1" w14:paraId="6B2ED4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963C2" w:rsidP="00FF25D1" w14:paraId="6D6A50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963C2" w:rsidP="00FF25D1" w14:paraId="793AA4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963C2" w:rsidP="00FF25D1" w14:paraId="208FCB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1085B" w:rsidP="00FF25D1" w14:paraId="6E37D9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1085B" w:rsidP="00FF25D1" w14:paraId="7AF0DB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FF25D1" w14:paraId="285839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F25D1" w14:paraId="5BA5BB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146944" w:rsidRPr="0074360E" w:rsidP="00F1085B" w14:paraId="09331782" w14:textId="0528BF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bCs/>
          <w:sz w:val="24"/>
        </w:rPr>
      </w:pPr>
      <w:r>
        <w:rPr>
          <w:sz w:val="24"/>
        </w:rPr>
        <w:tab/>
      </w:r>
      <w:r w:rsidRPr="00D5713E">
        <w:rPr>
          <w:b/>
          <w:bCs/>
          <w:sz w:val="24"/>
        </w:rPr>
        <w:t>Assumptions</w:t>
      </w:r>
    </w:p>
    <w:p w:rsidR="00146944" w:rsidRPr="00D5713E" w:rsidP="00146944" w14:paraId="0819843C" w14:textId="6551C5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jc w:val="center"/>
        <w:rPr>
          <w:sz w:val="28"/>
          <w:szCs w:val="28"/>
          <w:u w:val="single"/>
        </w:rPr>
      </w:pPr>
      <w:r w:rsidRPr="00D5713E">
        <w:rPr>
          <w:sz w:val="28"/>
          <w:szCs w:val="28"/>
          <w:u w:val="single"/>
        </w:rPr>
        <w:t>Facilities Impacted</w:t>
      </w:r>
    </w:p>
    <w:p w:rsidR="00146944" w:rsidP="00146944" w14:paraId="55F2B9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5713E">
        <w:rPr>
          <w:sz w:val="24"/>
        </w:rPr>
        <w:t xml:space="preserve">For the Calendar Year 2023, </w:t>
      </w:r>
      <w:r>
        <w:rPr>
          <w:sz w:val="24"/>
        </w:rPr>
        <w:t>there were 5,523 active ICFs-IID</w:t>
      </w:r>
      <w:r w:rsidRPr="00D5713E">
        <w:rPr>
          <w:sz w:val="24"/>
        </w:rPr>
        <w:t xml:space="preserve"> </w:t>
      </w:r>
      <w:r>
        <w:rPr>
          <w:sz w:val="24"/>
        </w:rPr>
        <w:t xml:space="preserve">and 24 newly certified facilities. For purposes of this information collection, we assume the number of terminated facilities per year is the same as the number of newly certified facilities, thus the total number of ICFs-IID facilities remains the same over the next 3 years. </w:t>
      </w:r>
    </w:p>
    <w:p w:rsidR="00A602C3" w:rsidP="00A602C3" w14:paraId="69D8D2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8"/>
          <w:szCs w:val="28"/>
        </w:rPr>
      </w:pPr>
    </w:p>
    <w:p w:rsidR="00A602C3" w:rsidRPr="00BD3DDE" w:rsidP="00A602C3" w14:paraId="0CD121A1" w14:textId="315A22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8"/>
          <w:szCs w:val="28"/>
        </w:rPr>
      </w:pPr>
      <w:r>
        <w:rPr>
          <w:b/>
          <w:bCs/>
          <w:sz w:val="28"/>
          <w:szCs w:val="28"/>
        </w:rPr>
        <w:tab/>
      </w:r>
      <w:r>
        <w:rPr>
          <w:b/>
          <w:bCs/>
          <w:sz w:val="28"/>
          <w:szCs w:val="28"/>
        </w:rPr>
        <w:tab/>
      </w:r>
      <w:r>
        <w:rPr>
          <w:b/>
          <w:bCs/>
          <w:sz w:val="28"/>
          <w:szCs w:val="28"/>
        </w:rPr>
        <w:tab/>
        <w:t xml:space="preserve">   </w:t>
      </w:r>
      <w:r w:rsidRPr="00A91837">
        <w:rPr>
          <w:b/>
          <w:bCs/>
          <w:sz w:val="28"/>
          <w:szCs w:val="28"/>
        </w:rPr>
        <w:t>Table 1:  Facility Summary</w:t>
      </w:r>
    </w:p>
    <w:tbl>
      <w:tblPr>
        <w:tblW w:w="5720" w:type="dxa"/>
        <w:tblInd w:w="1440" w:type="dxa"/>
        <w:tblLook w:val="04A0"/>
      </w:tblPr>
      <w:tblGrid>
        <w:gridCol w:w="4100"/>
        <w:gridCol w:w="1620"/>
      </w:tblGrid>
      <w:tr w14:paraId="3579E73D" w14:textId="77777777" w:rsidTr="00E820E7">
        <w:tblPrEx>
          <w:tblW w:w="5720" w:type="dxa"/>
          <w:tblInd w:w="1440" w:type="dxa"/>
          <w:tblLook w:val="04A0"/>
        </w:tblPrEx>
        <w:trPr>
          <w:trHeight w:val="614"/>
        </w:trPr>
        <w:tc>
          <w:tcPr>
            <w:tcW w:w="41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602C3" w:rsidRPr="007A1430" w:rsidP="00E820E7" w14:paraId="4E03C247" w14:textId="77777777">
            <w:pPr>
              <w:jc w:val="center"/>
              <w:rPr>
                <w:b/>
                <w:bCs/>
                <w:color w:val="000000"/>
                <w:sz w:val="24"/>
              </w:rPr>
            </w:pPr>
            <w:r w:rsidRPr="007A1430">
              <w:rPr>
                <w:b/>
                <w:bCs/>
                <w:color w:val="000000"/>
                <w:sz w:val="24"/>
              </w:rPr>
              <w:t>Number of ICF-IID Facilities</w:t>
            </w:r>
            <w:r>
              <w:rPr>
                <w:rStyle w:val="FootnoteReference"/>
                <w:b/>
                <w:bCs/>
              </w:rPr>
              <w:footnoteReference w:id="9"/>
            </w:r>
          </w:p>
        </w:tc>
        <w:tc>
          <w:tcPr>
            <w:tcW w:w="1620" w:type="dxa"/>
            <w:tcBorders>
              <w:top w:val="single" w:sz="4" w:space="0" w:color="auto"/>
              <w:left w:val="nil"/>
              <w:bottom w:val="single" w:sz="4" w:space="0" w:color="auto"/>
              <w:right w:val="single" w:sz="4" w:space="0" w:color="auto"/>
            </w:tcBorders>
            <w:shd w:val="clear" w:color="000000" w:fill="BFBFBF"/>
            <w:vAlign w:val="bottom"/>
            <w:hideMark/>
          </w:tcPr>
          <w:p w:rsidR="00A602C3" w:rsidRPr="007A1430" w:rsidP="00E820E7" w14:paraId="0140FEC1" w14:textId="77777777">
            <w:pPr>
              <w:jc w:val="center"/>
              <w:rPr>
                <w:b/>
                <w:bCs/>
                <w:color w:val="000000"/>
                <w:sz w:val="24"/>
              </w:rPr>
            </w:pPr>
            <w:r w:rsidRPr="007A1430">
              <w:rPr>
                <w:b/>
                <w:bCs/>
                <w:color w:val="000000"/>
                <w:sz w:val="24"/>
              </w:rPr>
              <w:t>Calendar Year 2023</w:t>
            </w:r>
          </w:p>
        </w:tc>
      </w:tr>
      <w:tr w14:paraId="36A86039" w14:textId="77777777" w:rsidTr="00E820E7">
        <w:tblPrEx>
          <w:tblW w:w="5720" w:type="dxa"/>
          <w:tblInd w:w="1440" w:type="dxa"/>
          <w:tblLook w:val="04A0"/>
        </w:tblPrEx>
        <w:trPr>
          <w:trHeight w:val="317"/>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rsidR="00A602C3" w:rsidRPr="007A1430" w:rsidP="00E820E7" w14:paraId="20A8E0AF" w14:textId="77777777">
            <w:pPr>
              <w:rPr>
                <w:b/>
                <w:bCs/>
                <w:color w:val="000000"/>
                <w:sz w:val="24"/>
              </w:rPr>
            </w:pPr>
            <w:r w:rsidRPr="007A1430">
              <w:rPr>
                <w:b/>
                <w:bCs/>
                <w:color w:val="000000"/>
                <w:sz w:val="24"/>
              </w:rPr>
              <w:t>Total Providers</w:t>
            </w:r>
          </w:p>
        </w:tc>
        <w:tc>
          <w:tcPr>
            <w:tcW w:w="1620" w:type="dxa"/>
            <w:tcBorders>
              <w:top w:val="nil"/>
              <w:left w:val="nil"/>
              <w:bottom w:val="single" w:sz="4" w:space="0" w:color="auto"/>
              <w:right w:val="single" w:sz="4" w:space="0" w:color="auto"/>
            </w:tcBorders>
            <w:shd w:val="clear" w:color="auto" w:fill="auto"/>
            <w:noWrap/>
            <w:vAlign w:val="bottom"/>
            <w:hideMark/>
          </w:tcPr>
          <w:p w:rsidR="00A602C3" w:rsidRPr="007A1430" w:rsidP="00E820E7" w14:paraId="09C0707F" w14:textId="77777777">
            <w:pPr>
              <w:jc w:val="right"/>
              <w:rPr>
                <w:b/>
                <w:bCs/>
                <w:color w:val="000000"/>
                <w:sz w:val="24"/>
              </w:rPr>
            </w:pPr>
            <w:r w:rsidRPr="007A1430">
              <w:rPr>
                <w:b/>
                <w:bCs/>
                <w:color w:val="000000"/>
                <w:sz w:val="24"/>
              </w:rPr>
              <w:t>5,523</w:t>
            </w:r>
          </w:p>
        </w:tc>
      </w:tr>
      <w:tr w14:paraId="14A15EED" w14:textId="77777777" w:rsidTr="00E820E7">
        <w:tblPrEx>
          <w:tblW w:w="5720" w:type="dxa"/>
          <w:tblInd w:w="1440" w:type="dxa"/>
          <w:tblLook w:val="04A0"/>
        </w:tblPrEx>
        <w:trPr>
          <w:trHeight w:val="317"/>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rsidR="00A602C3" w:rsidRPr="007A1430" w:rsidP="00E820E7" w14:paraId="74804B5D" w14:textId="77777777">
            <w:pPr>
              <w:jc w:val="right"/>
              <w:rPr>
                <w:color w:val="000000"/>
                <w:sz w:val="24"/>
              </w:rPr>
            </w:pPr>
            <w:r w:rsidRPr="007A1430">
              <w:rPr>
                <w:color w:val="000000"/>
                <w:sz w:val="24"/>
              </w:rPr>
              <w:t>Hospital Based</w:t>
            </w:r>
          </w:p>
        </w:tc>
        <w:tc>
          <w:tcPr>
            <w:tcW w:w="1620" w:type="dxa"/>
            <w:tcBorders>
              <w:top w:val="nil"/>
              <w:left w:val="nil"/>
              <w:bottom w:val="single" w:sz="4" w:space="0" w:color="auto"/>
              <w:right w:val="single" w:sz="4" w:space="0" w:color="auto"/>
            </w:tcBorders>
            <w:shd w:val="clear" w:color="auto" w:fill="auto"/>
            <w:noWrap/>
            <w:vAlign w:val="bottom"/>
            <w:hideMark/>
          </w:tcPr>
          <w:p w:rsidR="00A602C3" w:rsidRPr="007A1430" w:rsidP="00E820E7" w14:paraId="78D814C2" w14:textId="77777777">
            <w:pPr>
              <w:jc w:val="right"/>
              <w:rPr>
                <w:color w:val="000000"/>
                <w:sz w:val="24"/>
              </w:rPr>
            </w:pPr>
            <w:r w:rsidRPr="007A1430">
              <w:rPr>
                <w:color w:val="000000"/>
                <w:sz w:val="24"/>
              </w:rPr>
              <w:t>11</w:t>
            </w:r>
          </w:p>
        </w:tc>
      </w:tr>
      <w:tr w14:paraId="3B86BD32" w14:textId="77777777" w:rsidTr="00E820E7">
        <w:tblPrEx>
          <w:tblW w:w="5720" w:type="dxa"/>
          <w:tblInd w:w="1440" w:type="dxa"/>
          <w:tblLook w:val="04A0"/>
        </w:tblPrEx>
        <w:trPr>
          <w:trHeight w:val="317"/>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rsidR="00A602C3" w:rsidRPr="007A1430" w:rsidP="00E820E7" w14:paraId="0DC354BC" w14:textId="77777777">
            <w:pPr>
              <w:jc w:val="right"/>
              <w:rPr>
                <w:color w:val="000000"/>
                <w:sz w:val="24"/>
              </w:rPr>
            </w:pPr>
            <w:r w:rsidRPr="007A1430">
              <w:rPr>
                <w:color w:val="000000"/>
                <w:sz w:val="24"/>
              </w:rPr>
              <w:t>Freestanding</w:t>
            </w:r>
          </w:p>
        </w:tc>
        <w:tc>
          <w:tcPr>
            <w:tcW w:w="1620" w:type="dxa"/>
            <w:tcBorders>
              <w:top w:val="nil"/>
              <w:left w:val="nil"/>
              <w:bottom w:val="single" w:sz="4" w:space="0" w:color="auto"/>
              <w:right w:val="single" w:sz="4" w:space="0" w:color="auto"/>
            </w:tcBorders>
            <w:shd w:val="clear" w:color="auto" w:fill="auto"/>
            <w:noWrap/>
            <w:vAlign w:val="bottom"/>
            <w:hideMark/>
          </w:tcPr>
          <w:p w:rsidR="00A602C3" w:rsidRPr="007A1430" w:rsidP="00E820E7" w14:paraId="19967156" w14:textId="77777777">
            <w:pPr>
              <w:jc w:val="right"/>
              <w:rPr>
                <w:color w:val="000000"/>
                <w:sz w:val="24"/>
              </w:rPr>
            </w:pPr>
            <w:r w:rsidRPr="007A1430">
              <w:rPr>
                <w:color w:val="000000"/>
                <w:sz w:val="24"/>
              </w:rPr>
              <w:t>5,512</w:t>
            </w:r>
          </w:p>
        </w:tc>
      </w:tr>
      <w:tr w14:paraId="21B8B323" w14:textId="77777777" w:rsidTr="00E820E7">
        <w:tblPrEx>
          <w:tblW w:w="5720" w:type="dxa"/>
          <w:tblInd w:w="1440" w:type="dxa"/>
          <w:tblLook w:val="04A0"/>
        </w:tblPrEx>
        <w:trPr>
          <w:trHeight w:val="317"/>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rsidR="00A602C3" w:rsidRPr="007A1430" w:rsidP="00E820E7" w14:paraId="3B14EF8C" w14:textId="77777777">
            <w:pPr>
              <w:rPr>
                <w:color w:val="000000"/>
                <w:sz w:val="24"/>
              </w:rPr>
            </w:pPr>
            <w:r w:rsidRPr="007A1430">
              <w:rPr>
                <w:color w:val="000000"/>
                <w:sz w:val="24"/>
              </w:rPr>
              <w:t>Newly certified</w:t>
            </w:r>
            <w:r>
              <w:rPr>
                <w:color w:val="000000"/>
                <w:sz w:val="24"/>
              </w:rPr>
              <w:t>/year</w:t>
            </w:r>
          </w:p>
        </w:tc>
        <w:tc>
          <w:tcPr>
            <w:tcW w:w="1620" w:type="dxa"/>
            <w:tcBorders>
              <w:top w:val="nil"/>
              <w:left w:val="nil"/>
              <w:bottom w:val="single" w:sz="4" w:space="0" w:color="auto"/>
              <w:right w:val="single" w:sz="4" w:space="0" w:color="auto"/>
            </w:tcBorders>
            <w:shd w:val="clear" w:color="auto" w:fill="auto"/>
            <w:noWrap/>
            <w:vAlign w:val="bottom"/>
            <w:hideMark/>
          </w:tcPr>
          <w:p w:rsidR="00A602C3" w:rsidRPr="007A1430" w:rsidP="00E820E7" w14:paraId="2D36932B" w14:textId="77777777">
            <w:pPr>
              <w:jc w:val="right"/>
              <w:rPr>
                <w:color w:val="000000"/>
                <w:sz w:val="24"/>
              </w:rPr>
            </w:pPr>
            <w:r w:rsidRPr="007A1430">
              <w:rPr>
                <w:color w:val="000000"/>
                <w:sz w:val="24"/>
              </w:rPr>
              <w:t>24</w:t>
            </w:r>
          </w:p>
        </w:tc>
      </w:tr>
    </w:tbl>
    <w:p w:rsidR="00A602C3" w:rsidP="00A602C3" w14:paraId="45BD09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b/>
        <w:t xml:space="preserve"> </w:t>
      </w:r>
    </w:p>
    <w:p w:rsidR="00A602C3" w:rsidRPr="007A1430" w:rsidP="00F367B4" w14:paraId="05702A0C" w14:textId="7751FFF7">
      <w:pPr>
        <w:pStyle w:val="HeadingLevel5"/>
        <w:ind w:left="3600"/>
        <w:jc w:val="left"/>
        <w:rPr>
          <w:b w:val="0"/>
          <w:bCs w:val="0"/>
          <w:sz w:val="28"/>
          <w:szCs w:val="22"/>
        </w:rPr>
      </w:pPr>
      <w:r w:rsidRPr="007A1430">
        <w:rPr>
          <w:b w:val="0"/>
          <w:bCs w:val="0"/>
          <w:sz w:val="28"/>
          <w:szCs w:val="22"/>
        </w:rPr>
        <w:t>Salary Data</w:t>
      </w:r>
    </w:p>
    <w:p w:rsidR="00A602C3" w:rsidP="00A602C3" w14:paraId="3B09C103" w14:textId="77777777">
      <w:pPr>
        <w:pStyle w:val="ListParagraph"/>
      </w:pPr>
      <w:r w:rsidRPr="007A6DD8">
        <w:t xml:space="preserve">Salary data is based on the U.S. Department of Labor Bureau of Labor Statistics (BLS) </w:t>
      </w:r>
      <w:hyperlink r:id="rId13" w:history="1">
        <w:r w:rsidRPr="00D5713E">
          <w:rPr>
            <w:rStyle w:val="Hyperlink"/>
          </w:rPr>
          <w:t>May 2023 OEWS Industry-Specific Occupational Employment and Wage Estimates for Residential Intellectual and Developmental Disability Faciliti</w:t>
        </w:r>
        <w:r>
          <w:rPr>
            <w:rStyle w:val="Hyperlink"/>
          </w:rPr>
          <w:t>es</w:t>
        </w:r>
      </w:hyperlink>
      <w:r>
        <w:t xml:space="preserve"> (</w:t>
      </w:r>
      <w:hyperlink r:id="rId14" w:history="1">
        <w:r w:rsidRPr="001B53C0">
          <w:rPr>
            <w:rStyle w:val="Hyperlink"/>
          </w:rPr>
          <w:t>NAICS 623210</w:t>
        </w:r>
      </w:hyperlink>
      <w:r>
        <w:t>).</w:t>
      </w:r>
    </w:p>
    <w:p w:rsidR="00146944" w:rsidP="00FF25D1" w14:paraId="413C21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602C3" w:rsidP="00A602C3" w14:paraId="32F238B6" w14:textId="77777777">
      <w:pPr>
        <w:pStyle w:val="ListParagraph"/>
      </w:pPr>
      <w:r w:rsidRPr="007A6DD8">
        <w:t>Where we were able to identify positions linked to specific positions, we used that compensation information. However, in some instances, we have used a general position description or information for comparable positions</w:t>
      </w:r>
      <w:r>
        <w:t xml:space="preserve">. </w:t>
      </w:r>
      <w:r w:rsidRPr="007A6DD8">
        <w:t xml:space="preserve">We calculated the estimated hourly rates based upon the </w:t>
      </w:r>
      <w:r>
        <w:t xml:space="preserve">mean </w:t>
      </w:r>
      <w:r w:rsidRPr="007A6DD8">
        <w:t xml:space="preserve">salary for that particular position, including fringe benefits and overhead estimated at </w:t>
      </w:r>
      <w:r>
        <w:t>100</w:t>
      </w:r>
      <w:r w:rsidRPr="007A6DD8">
        <w:t xml:space="preserve"> percent of the base salary</w:t>
      </w:r>
      <w:r>
        <w:t>, and rounded the numbers up to the next dollar amount where appropriate.</w:t>
      </w:r>
      <w:r>
        <w:rPr>
          <w:rStyle w:val="FootnoteReference"/>
          <w:szCs w:val="24"/>
        </w:rPr>
        <w:footnoteReference w:id="10"/>
      </w:r>
      <w:r>
        <w:t xml:space="preserve"> </w:t>
      </w:r>
      <w:r w:rsidRPr="007A6DD8">
        <w:t xml:space="preserve">The salary estimates (including estimated fringe benefits and overhead at </w:t>
      </w:r>
      <w:r>
        <w:t>100</w:t>
      </w:r>
      <w:r w:rsidRPr="007A6DD8">
        <w:t>%) contained in this package are based on the following healthcare personnel:</w:t>
      </w:r>
    </w:p>
    <w:p w:rsidR="00A602C3" w:rsidP="00A602C3" w14:paraId="3E4F2DB9" w14:textId="77777777">
      <w:pPr>
        <w:pStyle w:val="ListParagraph"/>
      </w:pPr>
    </w:p>
    <w:p w:rsidR="00A602C3" w:rsidP="00A602C3" w14:paraId="6BB3E51E" w14:textId="2255529E">
      <w:pPr>
        <w:pStyle w:val="ListParagraph"/>
      </w:pPr>
      <w:r w:rsidRPr="007A6DD8">
        <w:t>“</w:t>
      </w:r>
      <w:r w:rsidRPr="00BE240E">
        <w:rPr>
          <w:b/>
          <w:bCs/>
        </w:rPr>
        <w:t>Administrator</w:t>
      </w:r>
      <w:r w:rsidRPr="007A6DD8">
        <w:t xml:space="preserve">” refers to the BLS </w:t>
      </w:r>
      <w:r>
        <w:t xml:space="preserve">Industry-Specific </w:t>
      </w:r>
      <w:r w:rsidRPr="007A6DD8">
        <w:t xml:space="preserve">estimate for Medical and Health Service Managers (11-9111). The </w:t>
      </w:r>
      <w:r>
        <w:t>mean</w:t>
      </w:r>
      <w:r w:rsidRPr="007A6DD8">
        <w:t xml:space="preserve"> wage is $</w:t>
      </w:r>
      <w:r>
        <w:t>36.98</w:t>
      </w:r>
      <w:r w:rsidRPr="007A6DD8">
        <w:t xml:space="preserve"> per hour. For purposes of this ICR, we use the figure $</w:t>
      </w:r>
      <w:r>
        <w:t>74</w:t>
      </w:r>
      <w:r w:rsidRPr="007A6DD8">
        <w:t xml:space="preserve"> per hour, representing the </w:t>
      </w:r>
      <w:r>
        <w:t>mean</w:t>
      </w:r>
      <w:r w:rsidRPr="007A6DD8">
        <w:t xml:space="preserve"> wage plus fringe benefits and overhead. </w:t>
      </w:r>
    </w:p>
    <w:p w:rsidR="00A602C3" w:rsidRPr="007A6DD8" w:rsidP="00A602C3" w14:paraId="6F698FE1" w14:textId="77777777">
      <w:pPr>
        <w:pStyle w:val="ListParagraph"/>
      </w:pPr>
    </w:p>
    <w:p w:rsidR="00A602C3" w:rsidP="00A602C3" w14:paraId="3FC19ECD" w14:textId="77777777">
      <w:pPr>
        <w:pStyle w:val="ListParagraph"/>
      </w:pPr>
      <w:r w:rsidRPr="007A6DD8">
        <w:t>“</w:t>
      </w:r>
      <w:r w:rsidRPr="00BE240E">
        <w:rPr>
          <w:b/>
          <w:bCs/>
        </w:rPr>
        <w:t>Registered Nurse/RN</w:t>
      </w:r>
      <w:r w:rsidRPr="007A6DD8">
        <w:t xml:space="preserve">” refers to the BLS </w:t>
      </w:r>
      <w:r>
        <w:t xml:space="preserve">Industry-Specific </w:t>
      </w:r>
      <w:r w:rsidRPr="007A6DD8">
        <w:t>estimate for a</w:t>
      </w:r>
      <w:r>
        <w:t xml:space="preserve"> Registered Nurse </w:t>
      </w:r>
      <w:r w:rsidRPr="007A6DD8">
        <w:t xml:space="preserve">(29-1141). The </w:t>
      </w:r>
      <w:r>
        <w:t>median</w:t>
      </w:r>
      <w:r w:rsidRPr="007A6DD8">
        <w:t xml:space="preserve"> wage is $</w:t>
      </w:r>
      <w:r>
        <w:t>36.22</w:t>
      </w:r>
      <w:r w:rsidRPr="007A6DD8">
        <w:t xml:space="preserve"> per hour. For purposes of this ICR, we use the figure $</w:t>
      </w:r>
      <w:r>
        <w:t>72</w:t>
      </w:r>
      <w:r w:rsidRPr="007A6DD8">
        <w:t xml:space="preserve"> per hour, representing the </w:t>
      </w:r>
      <w:r>
        <w:t>mean</w:t>
      </w:r>
      <w:r w:rsidRPr="007A6DD8">
        <w:t xml:space="preserve"> wage plus fringe benefits and overhead. </w:t>
      </w:r>
    </w:p>
    <w:p w:rsidR="00A602C3" w:rsidP="00FF25D1" w14:paraId="0CFA3B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02F42" w:rsidP="00A602C3" w14:paraId="18265EFB" w14:textId="2018240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snapToGrid w:val="0"/>
          <w:sz w:val="24"/>
          <w:szCs w:val="20"/>
        </w:rPr>
      </w:pPr>
      <w:r w:rsidRPr="00A602C3">
        <w:rPr>
          <w:b/>
          <w:snapToGrid w:val="0"/>
          <w:sz w:val="28"/>
          <w:szCs w:val="28"/>
        </w:rPr>
        <w:t xml:space="preserve">Table </w:t>
      </w:r>
      <w:r w:rsidRPr="00A602C3" w:rsidR="00A602C3">
        <w:rPr>
          <w:b/>
          <w:snapToGrid w:val="0"/>
          <w:sz w:val="28"/>
          <w:szCs w:val="28"/>
        </w:rPr>
        <w:t>2</w:t>
      </w:r>
      <w:r w:rsidRPr="00A602C3">
        <w:rPr>
          <w:b/>
          <w:snapToGrid w:val="0"/>
          <w:sz w:val="28"/>
          <w:szCs w:val="28"/>
        </w:rPr>
        <w:t xml:space="preserve">: </w:t>
      </w:r>
      <w:r w:rsidRPr="00A602C3" w:rsidR="00A602C3">
        <w:rPr>
          <w:b/>
          <w:snapToGrid w:val="0"/>
          <w:sz w:val="28"/>
          <w:szCs w:val="28"/>
        </w:rPr>
        <w:t>Wage Summary</w:t>
      </w:r>
      <w:r w:rsidRPr="00802F42" w:rsidR="00A602C3">
        <w:rPr>
          <w:b/>
          <w:snapToGrid w:val="0"/>
          <w:sz w:val="24"/>
          <w:szCs w:val="20"/>
        </w:rPr>
        <w:t xml:space="preserve"> </w:t>
      </w:r>
    </w:p>
    <w:tbl>
      <w:tblPr>
        <w:tblW w:w="7558" w:type="dxa"/>
        <w:jc w:val="center"/>
        <w:tblLook w:val="04A0"/>
      </w:tblPr>
      <w:tblGrid>
        <w:gridCol w:w="2758"/>
        <w:gridCol w:w="1620"/>
        <w:gridCol w:w="1480"/>
        <w:gridCol w:w="1700"/>
      </w:tblGrid>
      <w:tr w14:paraId="7D578D2F" w14:textId="77777777" w:rsidTr="00E820E7">
        <w:tblPrEx>
          <w:tblW w:w="7558" w:type="dxa"/>
          <w:jc w:val="center"/>
          <w:tblLook w:val="04A0"/>
        </w:tblPrEx>
        <w:trPr>
          <w:trHeight w:val="802"/>
          <w:jc w:val="center"/>
        </w:trPr>
        <w:tc>
          <w:tcPr>
            <w:tcW w:w="275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A602C3" w:rsidRPr="00EA41B3" w:rsidP="00E820E7" w14:paraId="65B2B9F8" w14:textId="77777777">
            <w:pPr>
              <w:jc w:val="center"/>
              <w:rPr>
                <w:b/>
                <w:bCs/>
                <w:color w:val="000000"/>
                <w:sz w:val="22"/>
                <w:szCs w:val="22"/>
              </w:rPr>
            </w:pPr>
            <w:r w:rsidRPr="00EA41B3">
              <w:rPr>
                <w:b/>
                <w:bCs/>
                <w:color w:val="000000"/>
                <w:sz w:val="22"/>
                <w:szCs w:val="22"/>
              </w:rPr>
              <w:t>Personnel</w:t>
            </w:r>
          </w:p>
        </w:tc>
        <w:tc>
          <w:tcPr>
            <w:tcW w:w="1620" w:type="dxa"/>
            <w:tcBorders>
              <w:top w:val="single" w:sz="4" w:space="0" w:color="000000"/>
              <w:left w:val="nil"/>
              <w:bottom w:val="single" w:sz="4" w:space="0" w:color="000000"/>
              <w:right w:val="single" w:sz="4" w:space="0" w:color="000000"/>
            </w:tcBorders>
            <w:shd w:val="clear" w:color="D9D9D9" w:fill="D9D9D9"/>
            <w:noWrap/>
            <w:vAlign w:val="bottom"/>
            <w:hideMark/>
          </w:tcPr>
          <w:p w:rsidR="00A602C3" w:rsidRPr="00D10236" w:rsidP="00E820E7" w14:paraId="1495576E" w14:textId="77777777">
            <w:pPr>
              <w:jc w:val="center"/>
              <w:rPr>
                <w:b/>
                <w:bCs/>
                <w:color w:val="000000"/>
                <w:sz w:val="22"/>
                <w:szCs w:val="22"/>
              </w:rPr>
            </w:pPr>
            <w:r w:rsidRPr="00D10236">
              <w:rPr>
                <w:b/>
                <w:bCs/>
                <w:color w:val="000000"/>
                <w:sz w:val="22"/>
                <w:szCs w:val="22"/>
              </w:rPr>
              <w:t xml:space="preserve">BLS </w:t>
            </w:r>
          </w:p>
          <w:p w:rsidR="00A602C3" w:rsidRPr="00EA41B3" w:rsidP="00E820E7" w14:paraId="4047E5DC" w14:textId="77777777">
            <w:pPr>
              <w:jc w:val="center"/>
              <w:rPr>
                <w:b/>
                <w:bCs/>
                <w:color w:val="000000"/>
                <w:sz w:val="22"/>
                <w:szCs w:val="22"/>
              </w:rPr>
            </w:pPr>
            <w:r w:rsidRPr="00EA41B3">
              <w:rPr>
                <w:b/>
                <w:bCs/>
                <w:color w:val="000000"/>
                <w:sz w:val="22"/>
                <w:szCs w:val="22"/>
              </w:rPr>
              <w:t>Labor Code</w:t>
            </w:r>
          </w:p>
        </w:tc>
        <w:tc>
          <w:tcPr>
            <w:tcW w:w="1480" w:type="dxa"/>
            <w:tcBorders>
              <w:top w:val="single" w:sz="4" w:space="0" w:color="000000"/>
              <w:left w:val="nil"/>
              <w:bottom w:val="single" w:sz="4" w:space="0" w:color="000000"/>
              <w:right w:val="single" w:sz="4" w:space="0" w:color="000000"/>
            </w:tcBorders>
            <w:shd w:val="clear" w:color="D9D9D9" w:fill="D9D9D9"/>
            <w:vAlign w:val="center"/>
            <w:hideMark/>
          </w:tcPr>
          <w:p w:rsidR="00A602C3" w:rsidRPr="00D10236" w:rsidP="00E820E7" w14:paraId="214A0D07" w14:textId="77777777">
            <w:pPr>
              <w:jc w:val="center"/>
              <w:rPr>
                <w:b/>
                <w:bCs/>
                <w:color w:val="000000"/>
                <w:sz w:val="22"/>
                <w:szCs w:val="22"/>
              </w:rPr>
            </w:pPr>
            <w:r w:rsidRPr="00EA41B3">
              <w:rPr>
                <w:b/>
                <w:bCs/>
                <w:color w:val="000000"/>
                <w:sz w:val="22"/>
                <w:szCs w:val="22"/>
              </w:rPr>
              <w:t>M</w:t>
            </w:r>
            <w:r w:rsidRPr="00D10236">
              <w:rPr>
                <w:b/>
                <w:bCs/>
                <w:color w:val="000000"/>
                <w:sz w:val="22"/>
                <w:szCs w:val="22"/>
              </w:rPr>
              <w:t>ean</w:t>
            </w:r>
          </w:p>
          <w:p w:rsidR="00A602C3" w:rsidRPr="00EA41B3" w:rsidP="00E820E7" w14:paraId="30E292CC" w14:textId="10058428">
            <w:pPr>
              <w:jc w:val="center"/>
              <w:rPr>
                <w:b/>
                <w:bCs/>
                <w:color w:val="000000"/>
                <w:sz w:val="22"/>
                <w:szCs w:val="22"/>
              </w:rPr>
            </w:pPr>
            <w:r w:rsidRPr="00EA41B3">
              <w:rPr>
                <w:b/>
                <w:bCs/>
                <w:color w:val="000000"/>
                <w:sz w:val="22"/>
                <w:szCs w:val="22"/>
              </w:rPr>
              <w:t xml:space="preserve"> Hourly Wage</w:t>
            </w:r>
          </w:p>
        </w:tc>
        <w:tc>
          <w:tcPr>
            <w:tcW w:w="1700" w:type="dxa"/>
            <w:tcBorders>
              <w:top w:val="single" w:sz="4" w:space="0" w:color="000000"/>
              <w:left w:val="nil"/>
              <w:bottom w:val="single" w:sz="4" w:space="0" w:color="000000"/>
              <w:right w:val="single" w:sz="4" w:space="0" w:color="000000"/>
            </w:tcBorders>
            <w:shd w:val="clear" w:color="D9D9D9" w:fill="D9D9D9"/>
            <w:vAlign w:val="bottom"/>
            <w:hideMark/>
          </w:tcPr>
          <w:p w:rsidR="00A602C3" w:rsidRPr="00EA41B3" w:rsidP="00E820E7" w14:paraId="7F2659FF" w14:textId="50149A97">
            <w:pPr>
              <w:jc w:val="center"/>
              <w:rPr>
                <w:b/>
                <w:bCs/>
                <w:color w:val="000000"/>
                <w:sz w:val="22"/>
                <w:szCs w:val="22"/>
              </w:rPr>
            </w:pPr>
            <w:r>
              <w:rPr>
                <w:b/>
                <w:bCs/>
                <w:color w:val="000000"/>
                <w:sz w:val="22"/>
                <w:szCs w:val="22"/>
              </w:rPr>
              <w:t xml:space="preserve">Mean Hourly </w:t>
            </w:r>
            <w:r w:rsidRPr="00EA41B3">
              <w:rPr>
                <w:b/>
                <w:bCs/>
                <w:color w:val="000000"/>
                <w:sz w:val="22"/>
                <w:szCs w:val="22"/>
              </w:rPr>
              <w:t>Wage w/Benefits</w:t>
            </w:r>
          </w:p>
        </w:tc>
      </w:tr>
      <w:tr w14:paraId="765A2AEF" w14:textId="77777777" w:rsidTr="00E820E7">
        <w:tblPrEx>
          <w:tblW w:w="7558" w:type="dxa"/>
          <w:jc w:val="center"/>
          <w:tblLook w:val="04A0"/>
        </w:tblPrEx>
        <w:trPr>
          <w:trHeight w:hRule="exact" w:val="586"/>
          <w:jc w:val="center"/>
        </w:trPr>
        <w:tc>
          <w:tcPr>
            <w:tcW w:w="2758" w:type="dxa"/>
            <w:tcBorders>
              <w:top w:val="nil"/>
              <w:left w:val="single" w:sz="4" w:space="0" w:color="000000"/>
              <w:bottom w:val="single" w:sz="4" w:space="0" w:color="000000"/>
              <w:right w:val="single" w:sz="4" w:space="0" w:color="000000"/>
            </w:tcBorders>
            <w:shd w:val="clear" w:color="auto" w:fill="auto"/>
            <w:noWrap/>
            <w:vAlign w:val="center"/>
            <w:hideMark/>
          </w:tcPr>
          <w:p w:rsidR="00A602C3" w:rsidRPr="00EA41B3" w:rsidP="00E820E7" w14:paraId="22D04687" w14:textId="77777777">
            <w:pPr>
              <w:jc w:val="center"/>
              <w:rPr>
                <w:color w:val="000000"/>
                <w:sz w:val="24"/>
              </w:rPr>
            </w:pPr>
            <w:r w:rsidRPr="00EA41B3">
              <w:rPr>
                <w:color w:val="000000"/>
                <w:sz w:val="24"/>
              </w:rPr>
              <w:t>A</w:t>
            </w:r>
            <w:r w:rsidRPr="00D10236">
              <w:rPr>
                <w:color w:val="000000"/>
                <w:sz w:val="24"/>
              </w:rPr>
              <w:t>dministrator</w:t>
            </w:r>
          </w:p>
        </w:tc>
        <w:tc>
          <w:tcPr>
            <w:tcW w:w="1620" w:type="dxa"/>
            <w:tcBorders>
              <w:top w:val="nil"/>
              <w:left w:val="nil"/>
              <w:bottom w:val="single" w:sz="4" w:space="0" w:color="000000"/>
              <w:right w:val="single" w:sz="4" w:space="0" w:color="000000"/>
            </w:tcBorders>
            <w:shd w:val="clear" w:color="auto" w:fill="auto"/>
            <w:noWrap/>
            <w:vAlign w:val="center"/>
            <w:hideMark/>
          </w:tcPr>
          <w:p w:rsidR="00A602C3" w:rsidRPr="00EA41B3" w:rsidP="00E820E7" w14:paraId="2B2E65A9" w14:textId="77777777">
            <w:pPr>
              <w:jc w:val="center"/>
              <w:rPr>
                <w:sz w:val="24"/>
              </w:rPr>
            </w:pPr>
            <w:r w:rsidRPr="00EA41B3">
              <w:rPr>
                <w:sz w:val="24"/>
              </w:rPr>
              <w:t>11-9111</w:t>
            </w:r>
          </w:p>
        </w:tc>
        <w:tc>
          <w:tcPr>
            <w:tcW w:w="1480" w:type="dxa"/>
            <w:tcBorders>
              <w:top w:val="nil"/>
              <w:left w:val="nil"/>
              <w:bottom w:val="single" w:sz="4" w:space="0" w:color="000000"/>
              <w:right w:val="single" w:sz="4" w:space="0" w:color="000000"/>
            </w:tcBorders>
            <w:shd w:val="clear" w:color="auto" w:fill="auto"/>
            <w:noWrap/>
            <w:vAlign w:val="center"/>
            <w:hideMark/>
          </w:tcPr>
          <w:p w:rsidR="00A602C3" w:rsidRPr="00EA41B3" w:rsidP="00E820E7" w14:paraId="2DFEDC36" w14:textId="77777777">
            <w:pPr>
              <w:jc w:val="center"/>
              <w:rPr>
                <w:b/>
                <w:bCs/>
                <w:color w:val="4285F4"/>
                <w:sz w:val="24"/>
              </w:rPr>
            </w:pPr>
            <w:r w:rsidRPr="00EA41B3">
              <w:rPr>
                <w:b/>
                <w:bCs/>
                <w:color w:val="4285F4"/>
                <w:sz w:val="24"/>
              </w:rPr>
              <w:t>$36.98</w:t>
            </w:r>
          </w:p>
        </w:tc>
        <w:tc>
          <w:tcPr>
            <w:tcW w:w="1700" w:type="dxa"/>
            <w:tcBorders>
              <w:top w:val="nil"/>
              <w:left w:val="nil"/>
              <w:bottom w:val="single" w:sz="4" w:space="0" w:color="000000"/>
              <w:right w:val="single" w:sz="4" w:space="0" w:color="000000"/>
            </w:tcBorders>
            <w:shd w:val="clear" w:color="auto" w:fill="auto"/>
            <w:noWrap/>
            <w:vAlign w:val="center"/>
            <w:hideMark/>
          </w:tcPr>
          <w:p w:rsidR="00A602C3" w:rsidRPr="00EA41B3" w:rsidP="00E820E7" w14:paraId="2552D8F6" w14:textId="77777777">
            <w:pPr>
              <w:jc w:val="center"/>
              <w:rPr>
                <w:b/>
                <w:bCs/>
                <w:color w:val="000000"/>
                <w:sz w:val="24"/>
              </w:rPr>
            </w:pPr>
            <w:r w:rsidRPr="00EA41B3">
              <w:rPr>
                <w:b/>
                <w:bCs/>
                <w:color w:val="000000"/>
                <w:sz w:val="24"/>
              </w:rPr>
              <w:t>$74</w:t>
            </w:r>
          </w:p>
        </w:tc>
      </w:tr>
      <w:tr w14:paraId="07586980" w14:textId="77777777" w:rsidTr="00E820E7">
        <w:tblPrEx>
          <w:tblW w:w="7558" w:type="dxa"/>
          <w:jc w:val="center"/>
          <w:tblLook w:val="04A0"/>
        </w:tblPrEx>
        <w:trPr>
          <w:trHeight w:hRule="exact" w:val="469"/>
          <w:jc w:val="center"/>
        </w:trPr>
        <w:tc>
          <w:tcPr>
            <w:tcW w:w="2758" w:type="dxa"/>
            <w:tcBorders>
              <w:top w:val="nil"/>
              <w:left w:val="single" w:sz="4" w:space="0" w:color="000000"/>
              <w:bottom w:val="single" w:sz="4" w:space="0" w:color="000000"/>
              <w:right w:val="single" w:sz="4" w:space="0" w:color="000000"/>
            </w:tcBorders>
            <w:shd w:val="clear" w:color="auto" w:fill="auto"/>
            <w:noWrap/>
            <w:vAlign w:val="center"/>
            <w:hideMark/>
          </w:tcPr>
          <w:p w:rsidR="00A602C3" w:rsidRPr="00EA41B3" w:rsidP="00E820E7" w14:paraId="7C2DFD4B" w14:textId="77777777">
            <w:pPr>
              <w:jc w:val="center"/>
              <w:rPr>
                <w:color w:val="000000"/>
                <w:sz w:val="24"/>
              </w:rPr>
            </w:pPr>
            <w:r w:rsidRPr="00D10236">
              <w:rPr>
                <w:color w:val="000000"/>
                <w:sz w:val="24"/>
              </w:rPr>
              <w:t>Registered Nurse</w:t>
            </w:r>
            <w:r>
              <w:rPr>
                <w:color w:val="000000"/>
                <w:sz w:val="24"/>
              </w:rPr>
              <w:t>/RN</w:t>
            </w:r>
          </w:p>
        </w:tc>
        <w:tc>
          <w:tcPr>
            <w:tcW w:w="1620" w:type="dxa"/>
            <w:tcBorders>
              <w:top w:val="nil"/>
              <w:left w:val="nil"/>
              <w:bottom w:val="single" w:sz="4" w:space="0" w:color="000000"/>
              <w:right w:val="single" w:sz="4" w:space="0" w:color="000000"/>
            </w:tcBorders>
            <w:shd w:val="clear" w:color="auto" w:fill="auto"/>
            <w:noWrap/>
            <w:vAlign w:val="center"/>
            <w:hideMark/>
          </w:tcPr>
          <w:p w:rsidR="00A602C3" w:rsidRPr="00EA41B3" w:rsidP="00E820E7" w14:paraId="0B5B2ACC" w14:textId="77777777">
            <w:pPr>
              <w:jc w:val="center"/>
              <w:rPr>
                <w:sz w:val="24"/>
              </w:rPr>
            </w:pPr>
            <w:r w:rsidRPr="00EA41B3">
              <w:rPr>
                <w:sz w:val="24"/>
              </w:rPr>
              <w:t>29-1141</w:t>
            </w:r>
          </w:p>
        </w:tc>
        <w:tc>
          <w:tcPr>
            <w:tcW w:w="1480" w:type="dxa"/>
            <w:tcBorders>
              <w:top w:val="nil"/>
              <w:left w:val="nil"/>
              <w:bottom w:val="single" w:sz="4" w:space="0" w:color="000000"/>
              <w:right w:val="single" w:sz="4" w:space="0" w:color="000000"/>
            </w:tcBorders>
            <w:shd w:val="clear" w:color="auto" w:fill="auto"/>
            <w:noWrap/>
            <w:vAlign w:val="center"/>
            <w:hideMark/>
          </w:tcPr>
          <w:p w:rsidR="00A602C3" w:rsidRPr="00EA41B3" w:rsidP="00E820E7" w14:paraId="43859406" w14:textId="77777777">
            <w:pPr>
              <w:jc w:val="center"/>
              <w:rPr>
                <w:b/>
                <w:bCs/>
                <w:color w:val="4285F4"/>
                <w:sz w:val="24"/>
              </w:rPr>
            </w:pPr>
            <w:r w:rsidRPr="00EA41B3">
              <w:rPr>
                <w:b/>
                <w:bCs/>
                <w:color w:val="4285F4"/>
                <w:sz w:val="24"/>
              </w:rPr>
              <w:t>$36.22</w:t>
            </w:r>
          </w:p>
        </w:tc>
        <w:tc>
          <w:tcPr>
            <w:tcW w:w="1700" w:type="dxa"/>
            <w:tcBorders>
              <w:top w:val="nil"/>
              <w:left w:val="nil"/>
              <w:bottom w:val="single" w:sz="4" w:space="0" w:color="000000"/>
              <w:right w:val="single" w:sz="4" w:space="0" w:color="000000"/>
            </w:tcBorders>
            <w:shd w:val="clear" w:color="auto" w:fill="auto"/>
            <w:noWrap/>
            <w:vAlign w:val="center"/>
            <w:hideMark/>
          </w:tcPr>
          <w:p w:rsidR="00A602C3" w:rsidRPr="00EA41B3" w:rsidP="00E820E7" w14:paraId="768C81B1" w14:textId="77777777">
            <w:pPr>
              <w:jc w:val="center"/>
              <w:rPr>
                <w:b/>
                <w:bCs/>
                <w:color w:val="000000"/>
                <w:sz w:val="24"/>
              </w:rPr>
            </w:pPr>
            <w:r w:rsidRPr="00EA41B3">
              <w:rPr>
                <w:b/>
                <w:bCs/>
                <w:color w:val="000000"/>
                <w:sz w:val="24"/>
              </w:rPr>
              <w:t>$72</w:t>
            </w:r>
          </w:p>
        </w:tc>
      </w:tr>
    </w:tbl>
    <w:p w:rsidR="00F367B4" w:rsidP="00F367B4" w14:paraId="65A5F3E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28"/>
          <w:szCs w:val="22"/>
        </w:rPr>
      </w:pPr>
    </w:p>
    <w:p w:rsidR="00F367B4" w:rsidP="00F367B4" w14:paraId="49BDD9A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28"/>
          <w:szCs w:val="22"/>
        </w:rPr>
      </w:pPr>
    </w:p>
    <w:p w:rsidR="00372A46" w:rsidP="00A602C3" w14:paraId="35F87976" w14:textId="0E4AC6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4"/>
          <w:shd w:val="clear" w:color="auto" w:fill="FFFFFF"/>
        </w:rPr>
      </w:pPr>
      <w:r w:rsidRPr="00A602C3">
        <w:rPr>
          <w:b/>
          <w:snapToGrid w:val="0"/>
          <w:sz w:val="28"/>
          <w:szCs w:val="22"/>
        </w:rPr>
        <w:t xml:space="preserve">§483.460 </w:t>
      </w:r>
      <w:r w:rsidRPr="00A602C3">
        <w:rPr>
          <w:b/>
          <w:color w:val="000000"/>
          <w:sz w:val="28"/>
          <w:szCs w:val="28"/>
          <w:shd w:val="clear" w:color="auto" w:fill="FFFFFF"/>
        </w:rPr>
        <w:t>Condition of participation: Health care services</w:t>
      </w:r>
      <w:r w:rsidRPr="00F81ED0">
        <w:rPr>
          <w:b/>
          <w:color w:val="000000"/>
          <w:sz w:val="24"/>
          <w:shd w:val="clear" w:color="auto" w:fill="FFFFFF"/>
        </w:rPr>
        <w:t>.</w:t>
      </w:r>
    </w:p>
    <w:p w:rsidR="00F81ED0" w:rsidP="00FF25D1" w14:paraId="18586A2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24"/>
        </w:rPr>
      </w:pPr>
    </w:p>
    <w:p w:rsidR="00A602C3" w:rsidRPr="002E66A9" w:rsidP="00A602C3" w14:paraId="080B6407" w14:textId="7B76A08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sz w:val="24"/>
          <w:szCs w:val="20"/>
          <w:u w:val="single"/>
        </w:rPr>
      </w:pPr>
      <w:r w:rsidRPr="002E66A9">
        <w:rPr>
          <w:b/>
          <w:bCs/>
          <w:snapToGrid w:val="0"/>
          <w:sz w:val="24"/>
          <w:szCs w:val="20"/>
          <w:u w:val="single"/>
        </w:rPr>
        <w:t xml:space="preserve">IC-1: </w:t>
      </w:r>
      <w:r w:rsidRPr="002E66A9" w:rsidR="00F81ED0">
        <w:rPr>
          <w:b/>
          <w:bCs/>
          <w:snapToGrid w:val="0"/>
          <w:sz w:val="24"/>
          <w:szCs w:val="20"/>
          <w:u w:val="single"/>
        </w:rPr>
        <w:t xml:space="preserve">§483.460(a)(4) </w:t>
      </w:r>
      <w:r w:rsidRPr="002E66A9">
        <w:rPr>
          <w:b/>
          <w:bCs/>
          <w:snapToGrid w:val="0"/>
          <w:sz w:val="24"/>
          <w:szCs w:val="20"/>
          <w:u w:val="single"/>
        </w:rPr>
        <w:t xml:space="preserve">– CoP: One time development of </w:t>
      </w:r>
      <w:r w:rsidRPr="002E66A9" w:rsidR="003B7CDD">
        <w:rPr>
          <w:b/>
          <w:bCs/>
          <w:snapToGrid w:val="0"/>
          <w:sz w:val="24"/>
          <w:szCs w:val="20"/>
          <w:u w:val="single"/>
        </w:rPr>
        <w:t>p</w:t>
      </w:r>
      <w:r w:rsidRPr="002E66A9" w:rsidR="00F81ED0">
        <w:rPr>
          <w:b/>
          <w:bCs/>
          <w:snapToGrid w:val="0"/>
          <w:sz w:val="24"/>
          <w:szCs w:val="20"/>
          <w:u w:val="single"/>
        </w:rPr>
        <w:t xml:space="preserve">olicies and </w:t>
      </w:r>
      <w:r w:rsidRPr="002E66A9" w:rsidR="003B7CDD">
        <w:rPr>
          <w:b/>
          <w:bCs/>
          <w:snapToGrid w:val="0"/>
          <w:sz w:val="24"/>
          <w:szCs w:val="20"/>
          <w:u w:val="single"/>
        </w:rPr>
        <w:t>p</w:t>
      </w:r>
      <w:r w:rsidRPr="002E66A9" w:rsidR="00F81ED0">
        <w:rPr>
          <w:b/>
          <w:bCs/>
          <w:snapToGrid w:val="0"/>
          <w:sz w:val="24"/>
          <w:szCs w:val="20"/>
          <w:u w:val="single"/>
        </w:rPr>
        <w:t>rocedures</w:t>
      </w:r>
      <w:r w:rsidRPr="002E66A9">
        <w:rPr>
          <w:b/>
          <w:bCs/>
          <w:snapToGrid w:val="0"/>
          <w:sz w:val="24"/>
          <w:szCs w:val="20"/>
          <w:u w:val="single"/>
        </w:rPr>
        <w:t xml:space="preserve"> for “Educate and Offer”</w:t>
      </w:r>
      <w:r w:rsidRPr="002E66A9" w:rsidR="003B7CDD">
        <w:rPr>
          <w:b/>
          <w:bCs/>
          <w:snapToGrid w:val="0"/>
          <w:sz w:val="24"/>
          <w:szCs w:val="20"/>
          <w:u w:val="single"/>
        </w:rPr>
        <w:t xml:space="preserve"> CoP</w:t>
      </w:r>
      <w:r w:rsidRPr="002E66A9">
        <w:rPr>
          <w:b/>
          <w:bCs/>
          <w:snapToGrid w:val="0"/>
          <w:sz w:val="24"/>
          <w:szCs w:val="20"/>
          <w:u w:val="single"/>
        </w:rPr>
        <w:t xml:space="preserve"> </w:t>
      </w:r>
    </w:p>
    <w:p w:rsidR="00801D56" w:rsidP="00A602C3" w14:paraId="15FB31F3" w14:textId="0C7EE30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r>
        <w:rPr>
          <w:snapToGrid w:val="0"/>
          <w:sz w:val="24"/>
          <w:szCs w:val="20"/>
        </w:rPr>
        <w:t xml:space="preserve">As discussed in detail above, Section </w:t>
      </w:r>
      <w:r w:rsidRPr="00372A46" w:rsidR="00372A46">
        <w:rPr>
          <w:snapToGrid w:val="0"/>
          <w:sz w:val="24"/>
          <w:szCs w:val="20"/>
        </w:rPr>
        <w:t>483.460(a)(4) require</w:t>
      </w:r>
      <w:r>
        <w:rPr>
          <w:snapToGrid w:val="0"/>
          <w:sz w:val="24"/>
          <w:szCs w:val="20"/>
        </w:rPr>
        <w:t>s</w:t>
      </w:r>
      <w:r w:rsidRPr="00372A46" w:rsidR="00372A46">
        <w:rPr>
          <w:snapToGrid w:val="0"/>
          <w:sz w:val="24"/>
          <w:szCs w:val="20"/>
        </w:rPr>
        <w:t xml:space="preserve"> ICFs-IID </w:t>
      </w:r>
      <w:r>
        <w:rPr>
          <w:snapToGrid w:val="0"/>
          <w:sz w:val="24"/>
          <w:szCs w:val="20"/>
        </w:rPr>
        <w:t xml:space="preserve">to </w:t>
      </w:r>
      <w:r w:rsidRPr="00372A46" w:rsidR="00372A46">
        <w:rPr>
          <w:snapToGrid w:val="0"/>
          <w:sz w:val="24"/>
          <w:szCs w:val="20"/>
        </w:rPr>
        <w:t>develop policies and procedures to ensure that e</w:t>
      </w:r>
      <w:r>
        <w:rPr>
          <w:snapToGrid w:val="0"/>
          <w:sz w:val="24"/>
          <w:szCs w:val="20"/>
        </w:rPr>
        <w:t>very</w:t>
      </w:r>
      <w:r w:rsidRPr="00372A46" w:rsidR="00372A46">
        <w:rPr>
          <w:snapToGrid w:val="0"/>
          <w:sz w:val="24"/>
          <w:szCs w:val="20"/>
        </w:rPr>
        <w:t xml:space="preserve"> client </w:t>
      </w:r>
      <w:r>
        <w:rPr>
          <w:snapToGrid w:val="0"/>
          <w:sz w:val="24"/>
          <w:szCs w:val="20"/>
        </w:rPr>
        <w:t>(</w:t>
      </w:r>
      <w:r w:rsidRPr="00372A46" w:rsidR="00372A46">
        <w:rPr>
          <w:snapToGrid w:val="0"/>
          <w:sz w:val="24"/>
          <w:szCs w:val="20"/>
        </w:rPr>
        <w:t>or client’s representative</w:t>
      </w:r>
      <w:r>
        <w:rPr>
          <w:snapToGrid w:val="0"/>
          <w:sz w:val="24"/>
          <w:szCs w:val="20"/>
        </w:rPr>
        <w:t>)</w:t>
      </w:r>
      <w:r w:rsidRPr="00372A46" w:rsidR="00372A46">
        <w:rPr>
          <w:snapToGrid w:val="0"/>
          <w:sz w:val="24"/>
          <w:szCs w:val="20"/>
        </w:rPr>
        <w:t xml:space="preserve"> and staff member </w:t>
      </w:r>
      <w:r>
        <w:rPr>
          <w:snapToGrid w:val="0"/>
          <w:sz w:val="24"/>
          <w:szCs w:val="20"/>
        </w:rPr>
        <w:t>are</w:t>
      </w:r>
      <w:r w:rsidRPr="00372A46" w:rsidR="00372A46">
        <w:rPr>
          <w:snapToGrid w:val="0"/>
          <w:sz w:val="24"/>
          <w:szCs w:val="20"/>
        </w:rPr>
        <w:t xml:space="preserve"> educated about the COVID-19 vaccine</w:t>
      </w:r>
      <w:r w:rsidR="005D4AD3">
        <w:rPr>
          <w:snapToGrid w:val="0"/>
          <w:sz w:val="24"/>
          <w:szCs w:val="20"/>
        </w:rPr>
        <w:t xml:space="preserve"> </w:t>
      </w:r>
      <w:r w:rsidRPr="00372A46" w:rsidR="00372A46">
        <w:rPr>
          <w:snapToGrid w:val="0"/>
          <w:sz w:val="24"/>
          <w:szCs w:val="20"/>
        </w:rPr>
        <w:t>before offering the</w:t>
      </w:r>
      <w:r>
        <w:rPr>
          <w:snapToGrid w:val="0"/>
          <w:sz w:val="24"/>
          <w:szCs w:val="20"/>
        </w:rPr>
        <w:t>m</w:t>
      </w:r>
      <w:r>
        <w:rPr>
          <w:snapToGrid w:val="0"/>
          <w:sz w:val="24"/>
          <w:szCs w:val="20"/>
        </w:rPr>
        <w:t xml:space="preserve"> the</w:t>
      </w:r>
      <w:r w:rsidR="005D4AD3">
        <w:rPr>
          <w:snapToGrid w:val="0"/>
          <w:sz w:val="24"/>
          <w:szCs w:val="20"/>
        </w:rPr>
        <w:t xml:space="preserve"> </w:t>
      </w:r>
      <w:r w:rsidRPr="00372A46" w:rsidR="00372A46">
        <w:rPr>
          <w:snapToGrid w:val="0"/>
          <w:sz w:val="24"/>
          <w:szCs w:val="20"/>
        </w:rPr>
        <w:t>vaccine</w:t>
      </w:r>
      <w:r>
        <w:rPr>
          <w:snapToGrid w:val="0"/>
          <w:sz w:val="24"/>
          <w:szCs w:val="20"/>
        </w:rPr>
        <w:t xml:space="preserve"> (or multiple doses). </w:t>
      </w:r>
    </w:p>
    <w:p w:rsidR="003B7CDD" w:rsidP="00A602C3" w14:paraId="5D54385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p>
    <w:p w:rsidR="00B34F0F" w:rsidP="005E7E9D" w14:paraId="354338A2" w14:textId="4771B4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r>
        <w:rPr>
          <w:snapToGrid w:val="0"/>
          <w:sz w:val="24"/>
          <w:szCs w:val="20"/>
        </w:rPr>
        <w:t xml:space="preserve">We estimate the one-time burden of developing policies and procedures for both </w:t>
      </w:r>
      <w:r w:rsidRPr="004A1FA1">
        <w:rPr>
          <w:b/>
          <w:bCs/>
          <w:i/>
          <w:iCs/>
          <w:snapToGrid w:val="0"/>
          <w:sz w:val="24"/>
          <w:szCs w:val="20"/>
        </w:rPr>
        <w:t>existing</w:t>
      </w:r>
      <w:r>
        <w:rPr>
          <w:snapToGrid w:val="0"/>
          <w:sz w:val="24"/>
          <w:szCs w:val="20"/>
        </w:rPr>
        <w:t xml:space="preserve"> ICF-IID facilities and for </w:t>
      </w:r>
      <w:r w:rsidRPr="004A1FA1">
        <w:rPr>
          <w:b/>
          <w:bCs/>
          <w:i/>
          <w:iCs/>
          <w:snapToGrid w:val="0"/>
          <w:sz w:val="24"/>
          <w:szCs w:val="20"/>
        </w:rPr>
        <w:t>newly certified</w:t>
      </w:r>
      <w:r>
        <w:rPr>
          <w:snapToGrid w:val="0"/>
          <w:sz w:val="24"/>
          <w:szCs w:val="20"/>
        </w:rPr>
        <w:t xml:space="preserve"> facilities per year. W</w:t>
      </w:r>
      <w:r w:rsidRPr="00372A46">
        <w:rPr>
          <w:snapToGrid w:val="0"/>
          <w:sz w:val="24"/>
          <w:szCs w:val="20"/>
        </w:rPr>
        <w:t xml:space="preserve">e estimate </w:t>
      </w:r>
      <w:r>
        <w:rPr>
          <w:snapToGrid w:val="0"/>
          <w:sz w:val="24"/>
          <w:szCs w:val="20"/>
        </w:rPr>
        <w:t xml:space="preserve">a Registered Nurse (hereinafter “RN”) at an ICF-IID facility </w:t>
      </w:r>
      <w:r w:rsidRPr="00372A46">
        <w:rPr>
          <w:snapToGrid w:val="0"/>
          <w:sz w:val="24"/>
          <w:szCs w:val="20"/>
        </w:rPr>
        <w:t xml:space="preserve">would </w:t>
      </w:r>
      <w:r>
        <w:rPr>
          <w:snapToGrid w:val="0"/>
          <w:sz w:val="24"/>
          <w:szCs w:val="20"/>
        </w:rPr>
        <w:t>spend</w:t>
      </w:r>
      <w:r w:rsidRPr="00372A46">
        <w:rPr>
          <w:snapToGrid w:val="0"/>
          <w:sz w:val="24"/>
          <w:szCs w:val="20"/>
        </w:rPr>
        <w:t xml:space="preserve"> 5 hours </w:t>
      </w:r>
      <w:r>
        <w:rPr>
          <w:snapToGrid w:val="0"/>
          <w:sz w:val="24"/>
          <w:szCs w:val="20"/>
        </w:rPr>
        <w:t xml:space="preserve">to research and write the initial draft of the policies and procedures. We estimate an ICF-IID Administrator would spend 3 hours to assist the RN create the policies and procedures and approve the initial policies and procedures for how the staff would comply with the requirements to educate and offer vaccinations to staff and clients. </w:t>
      </w:r>
      <w:r w:rsidRPr="00606408">
        <w:rPr>
          <w:snapToGrid w:val="0"/>
          <w:sz w:val="24"/>
          <w:szCs w:val="20"/>
        </w:rPr>
        <w:t xml:space="preserve">If additional time is needed by the Administrator to seek review and approval of the initial policy, such as with medical staff or the governing board, that effort should be considered as part of the usual and customary practice of operating an ICF-IID facility and thus would be exempt from the PRA in accordance </w:t>
      </w:r>
      <w:r w:rsidR="005D4AD3">
        <w:rPr>
          <w:snapToGrid w:val="0"/>
          <w:sz w:val="24"/>
          <w:szCs w:val="20"/>
        </w:rPr>
        <w:t>with</w:t>
      </w:r>
      <w:r w:rsidRPr="00606408">
        <w:rPr>
          <w:snapToGrid w:val="0"/>
          <w:sz w:val="24"/>
          <w:szCs w:val="20"/>
        </w:rPr>
        <w:t xml:space="preserve"> 5 CFR §1320.3(b)(2).</w:t>
      </w:r>
      <w:r>
        <w:rPr>
          <w:snapToGrid w:val="0"/>
          <w:sz w:val="24"/>
          <w:szCs w:val="20"/>
        </w:rPr>
        <w:t xml:space="preserve"> Time spent to review and update the policy after its initial development and implementation is captured as an annual, ongoing burden below as a separate information collection.</w:t>
      </w:r>
      <w:r w:rsidRPr="00B34F0F">
        <w:rPr>
          <w:snapToGrid w:val="0"/>
          <w:sz w:val="24"/>
          <w:szCs w:val="20"/>
        </w:rPr>
        <w:t xml:space="preserve"> </w:t>
      </w:r>
    </w:p>
    <w:p w:rsidR="003B7CDD" w:rsidP="00A602C3" w14:paraId="008CF60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p>
    <w:p w:rsidR="003B7CDD" w:rsidRPr="00140279" w:rsidP="003B7CDD" w14:paraId="4E4D2CC7" w14:textId="3623421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8"/>
          <w:szCs w:val="22"/>
        </w:rPr>
      </w:pPr>
      <w:r>
        <w:rPr>
          <w:b/>
          <w:bCs/>
          <w:snapToGrid w:val="0"/>
          <w:sz w:val="28"/>
          <w:szCs w:val="22"/>
        </w:rPr>
        <w:tab/>
      </w:r>
      <w:r w:rsidRPr="00140279">
        <w:rPr>
          <w:b/>
          <w:bCs/>
          <w:snapToGrid w:val="0"/>
          <w:sz w:val="28"/>
          <w:szCs w:val="22"/>
        </w:rPr>
        <w:t>Table 3: I</w:t>
      </w:r>
      <w:r>
        <w:rPr>
          <w:b/>
          <w:bCs/>
          <w:snapToGrid w:val="0"/>
          <w:sz w:val="28"/>
          <w:szCs w:val="22"/>
        </w:rPr>
        <w:t>C-</w:t>
      </w:r>
      <w:r w:rsidRPr="00140279">
        <w:rPr>
          <w:b/>
          <w:bCs/>
          <w:snapToGrid w:val="0"/>
          <w:sz w:val="28"/>
          <w:szCs w:val="22"/>
        </w:rPr>
        <w:t>1</w:t>
      </w:r>
      <w:r>
        <w:rPr>
          <w:b/>
          <w:bCs/>
          <w:snapToGrid w:val="0"/>
          <w:sz w:val="28"/>
          <w:szCs w:val="22"/>
        </w:rPr>
        <w:t>:</w:t>
      </w:r>
      <w:r w:rsidRPr="00140279">
        <w:rPr>
          <w:b/>
          <w:bCs/>
          <w:snapToGrid w:val="0"/>
          <w:sz w:val="28"/>
          <w:szCs w:val="22"/>
        </w:rPr>
        <w:t>One</w:t>
      </w:r>
      <w:r>
        <w:rPr>
          <w:b/>
          <w:bCs/>
          <w:snapToGrid w:val="0"/>
          <w:sz w:val="28"/>
          <w:szCs w:val="22"/>
        </w:rPr>
        <w:t>-</w:t>
      </w:r>
      <w:r w:rsidRPr="00140279">
        <w:rPr>
          <w:b/>
          <w:bCs/>
          <w:snapToGrid w:val="0"/>
          <w:sz w:val="28"/>
          <w:szCs w:val="22"/>
        </w:rPr>
        <w:t>time development of policies &amp; procedures</w:t>
      </w:r>
    </w:p>
    <w:tbl>
      <w:tblPr>
        <w:tblW w:w="7645" w:type="dxa"/>
        <w:tblInd w:w="720" w:type="dxa"/>
        <w:tblLook w:val="04A0"/>
      </w:tblPr>
      <w:tblGrid>
        <w:gridCol w:w="3704"/>
        <w:gridCol w:w="1620"/>
        <w:gridCol w:w="1025"/>
        <w:gridCol w:w="1296"/>
      </w:tblGrid>
      <w:tr w14:paraId="7B8E5BC3" w14:textId="77777777" w:rsidTr="00E820E7">
        <w:tblPrEx>
          <w:tblW w:w="7645" w:type="dxa"/>
          <w:tblInd w:w="720" w:type="dxa"/>
          <w:tblLook w:val="04A0"/>
        </w:tblPrEx>
        <w:trPr>
          <w:trHeight w:val="652"/>
        </w:trPr>
        <w:tc>
          <w:tcPr>
            <w:tcW w:w="3704" w:type="dxa"/>
            <w:tcBorders>
              <w:top w:val="single" w:sz="4" w:space="0" w:color="auto"/>
              <w:left w:val="single" w:sz="4" w:space="0" w:color="auto"/>
              <w:bottom w:val="single" w:sz="4" w:space="0" w:color="auto"/>
              <w:right w:val="single" w:sz="4" w:space="0" w:color="auto"/>
            </w:tcBorders>
            <w:shd w:val="clear" w:color="CCCCCC" w:fill="D9D9D9"/>
            <w:vAlign w:val="bottom"/>
            <w:hideMark/>
          </w:tcPr>
          <w:p w:rsidR="003B7CDD" w:rsidRPr="00140279" w:rsidP="00E820E7" w14:paraId="01BBB4B9" w14:textId="77777777">
            <w:pPr>
              <w:jc w:val="center"/>
              <w:rPr>
                <w:b/>
                <w:bCs/>
                <w:color w:val="000000"/>
                <w:sz w:val="24"/>
              </w:rPr>
            </w:pPr>
            <w:r w:rsidRPr="00140279">
              <w:rPr>
                <w:b/>
                <w:bCs/>
                <w:color w:val="000000"/>
                <w:sz w:val="24"/>
              </w:rPr>
              <w:t xml:space="preserve">Task </w:t>
            </w:r>
          </w:p>
        </w:tc>
        <w:tc>
          <w:tcPr>
            <w:tcW w:w="1620" w:type="dxa"/>
            <w:tcBorders>
              <w:top w:val="single" w:sz="4" w:space="0" w:color="auto"/>
              <w:left w:val="nil"/>
              <w:bottom w:val="single" w:sz="4" w:space="0" w:color="auto"/>
              <w:right w:val="single" w:sz="4" w:space="0" w:color="auto"/>
            </w:tcBorders>
            <w:shd w:val="clear" w:color="CCCCCC" w:fill="D9D9D9"/>
            <w:vAlign w:val="bottom"/>
            <w:hideMark/>
          </w:tcPr>
          <w:p w:rsidR="003B7CDD" w:rsidRPr="00140279" w:rsidP="00E820E7" w14:paraId="1910DC4D" w14:textId="77777777">
            <w:pPr>
              <w:jc w:val="center"/>
              <w:rPr>
                <w:b/>
                <w:bCs/>
                <w:color w:val="000000"/>
                <w:sz w:val="24"/>
              </w:rPr>
            </w:pPr>
            <w:r w:rsidRPr="00140279">
              <w:rPr>
                <w:b/>
                <w:bCs/>
                <w:color w:val="000000"/>
                <w:sz w:val="24"/>
              </w:rPr>
              <w:t>Hourly Mean Wage</w:t>
            </w:r>
          </w:p>
        </w:tc>
        <w:tc>
          <w:tcPr>
            <w:tcW w:w="1025" w:type="dxa"/>
            <w:tcBorders>
              <w:top w:val="single" w:sz="4" w:space="0" w:color="auto"/>
              <w:left w:val="nil"/>
              <w:bottom w:val="single" w:sz="4" w:space="0" w:color="auto"/>
              <w:right w:val="single" w:sz="4" w:space="0" w:color="auto"/>
            </w:tcBorders>
            <w:shd w:val="clear" w:color="CCCCCC" w:fill="D9D9D9"/>
            <w:vAlign w:val="bottom"/>
            <w:hideMark/>
          </w:tcPr>
          <w:p w:rsidR="003B7CDD" w:rsidRPr="00140279" w:rsidP="00E820E7" w14:paraId="36E02734" w14:textId="77777777">
            <w:pPr>
              <w:jc w:val="center"/>
              <w:rPr>
                <w:b/>
                <w:bCs/>
                <w:color w:val="000000"/>
                <w:sz w:val="24"/>
              </w:rPr>
            </w:pPr>
            <w:r w:rsidRPr="00140279">
              <w:rPr>
                <w:b/>
                <w:bCs/>
                <w:color w:val="000000"/>
                <w:sz w:val="24"/>
              </w:rPr>
              <w:t>Hours/</w:t>
            </w:r>
          </w:p>
          <w:p w:rsidR="003B7CDD" w:rsidRPr="00140279" w:rsidP="00E820E7" w14:paraId="504CCD55" w14:textId="77777777">
            <w:pPr>
              <w:jc w:val="center"/>
              <w:rPr>
                <w:b/>
                <w:bCs/>
                <w:color w:val="000000"/>
                <w:sz w:val="24"/>
              </w:rPr>
            </w:pPr>
            <w:r w:rsidRPr="00140279">
              <w:rPr>
                <w:b/>
                <w:bCs/>
                <w:color w:val="000000"/>
                <w:sz w:val="24"/>
              </w:rPr>
              <w:t>Task</w:t>
            </w:r>
          </w:p>
        </w:tc>
        <w:tc>
          <w:tcPr>
            <w:tcW w:w="1296" w:type="dxa"/>
            <w:tcBorders>
              <w:top w:val="single" w:sz="4" w:space="0" w:color="auto"/>
              <w:left w:val="nil"/>
              <w:bottom w:val="single" w:sz="4" w:space="0" w:color="auto"/>
              <w:right w:val="single" w:sz="4" w:space="0" w:color="auto"/>
            </w:tcBorders>
            <w:shd w:val="clear" w:color="CCCCCC" w:fill="D9D9D9"/>
            <w:vAlign w:val="bottom"/>
            <w:hideMark/>
          </w:tcPr>
          <w:p w:rsidR="003B7CDD" w:rsidRPr="00140279" w:rsidP="00E820E7" w14:paraId="2D6E0EBF" w14:textId="77777777">
            <w:pPr>
              <w:jc w:val="center"/>
              <w:rPr>
                <w:b/>
                <w:bCs/>
                <w:color w:val="000000"/>
                <w:sz w:val="24"/>
              </w:rPr>
            </w:pPr>
            <w:r w:rsidRPr="00140279">
              <w:rPr>
                <w:b/>
                <w:bCs/>
                <w:color w:val="000000"/>
                <w:sz w:val="24"/>
              </w:rPr>
              <w:t>Cost/</w:t>
            </w:r>
          </w:p>
          <w:p w:rsidR="003B7CDD" w:rsidRPr="00140279" w:rsidP="00E820E7" w14:paraId="72387932" w14:textId="77777777">
            <w:pPr>
              <w:jc w:val="center"/>
              <w:rPr>
                <w:b/>
                <w:bCs/>
                <w:color w:val="000000"/>
                <w:sz w:val="24"/>
              </w:rPr>
            </w:pPr>
            <w:r w:rsidRPr="00140279">
              <w:rPr>
                <w:b/>
                <w:bCs/>
                <w:color w:val="000000"/>
                <w:sz w:val="24"/>
              </w:rPr>
              <w:t>Task</w:t>
            </w:r>
          </w:p>
        </w:tc>
      </w:tr>
      <w:tr w14:paraId="3C573C32" w14:textId="77777777" w:rsidTr="00E820E7">
        <w:tblPrEx>
          <w:tblW w:w="7645" w:type="dxa"/>
          <w:tblInd w:w="720" w:type="dxa"/>
          <w:tblLook w:val="04A0"/>
        </w:tblPrEx>
        <w:trPr>
          <w:trHeight w:val="317"/>
        </w:trPr>
        <w:tc>
          <w:tcPr>
            <w:tcW w:w="7645" w:type="dxa"/>
            <w:gridSpan w:val="4"/>
            <w:tcBorders>
              <w:top w:val="single" w:sz="4" w:space="0" w:color="auto"/>
              <w:left w:val="single" w:sz="4" w:space="0" w:color="auto"/>
              <w:bottom w:val="single" w:sz="4" w:space="0" w:color="auto"/>
              <w:right w:val="single" w:sz="4" w:space="0" w:color="000000"/>
            </w:tcBorders>
            <w:shd w:val="clear" w:color="000000" w:fill="F2F2F2"/>
            <w:hideMark/>
          </w:tcPr>
          <w:p w:rsidR="003B7CDD" w:rsidRPr="00140279" w:rsidP="00E820E7" w14:paraId="1F63378F" w14:textId="77777777">
            <w:pPr>
              <w:rPr>
                <w:b/>
                <w:bCs/>
                <w:color w:val="000000"/>
                <w:sz w:val="24"/>
              </w:rPr>
            </w:pPr>
            <w:r w:rsidRPr="00140279">
              <w:rPr>
                <w:b/>
                <w:bCs/>
                <w:color w:val="000000"/>
                <w:sz w:val="24"/>
              </w:rPr>
              <w:t>One-time development of policies</w:t>
            </w:r>
          </w:p>
        </w:tc>
      </w:tr>
      <w:tr w14:paraId="099C97A4" w14:textId="77777777" w:rsidTr="00E820E7">
        <w:tblPrEx>
          <w:tblW w:w="7645" w:type="dxa"/>
          <w:tblInd w:w="720" w:type="dxa"/>
          <w:tblLook w:val="04A0"/>
        </w:tblPrEx>
        <w:trPr>
          <w:trHeight w:val="317"/>
        </w:trPr>
        <w:tc>
          <w:tcPr>
            <w:tcW w:w="3704" w:type="dxa"/>
            <w:tcBorders>
              <w:top w:val="nil"/>
              <w:left w:val="single" w:sz="4" w:space="0" w:color="auto"/>
              <w:bottom w:val="single" w:sz="4" w:space="0" w:color="auto"/>
              <w:right w:val="single" w:sz="4" w:space="0" w:color="auto"/>
            </w:tcBorders>
            <w:shd w:val="clear" w:color="auto" w:fill="auto"/>
            <w:vAlign w:val="bottom"/>
            <w:hideMark/>
          </w:tcPr>
          <w:p w:rsidR="003B7CDD" w:rsidRPr="00140279" w:rsidP="00E820E7" w14:paraId="79AD1C6F" w14:textId="77777777">
            <w:pPr>
              <w:rPr>
                <w:color w:val="000000"/>
                <w:sz w:val="24"/>
              </w:rPr>
            </w:pPr>
            <w:r w:rsidRPr="00140279">
              <w:rPr>
                <w:color w:val="000000"/>
                <w:sz w:val="24"/>
              </w:rPr>
              <w:t>Administrator</w:t>
            </w:r>
          </w:p>
        </w:tc>
        <w:tc>
          <w:tcPr>
            <w:tcW w:w="1620" w:type="dxa"/>
            <w:tcBorders>
              <w:top w:val="nil"/>
              <w:left w:val="nil"/>
              <w:bottom w:val="single" w:sz="4" w:space="0" w:color="auto"/>
              <w:right w:val="single" w:sz="4" w:space="0" w:color="auto"/>
            </w:tcBorders>
            <w:shd w:val="clear" w:color="auto" w:fill="auto"/>
            <w:vAlign w:val="bottom"/>
            <w:hideMark/>
          </w:tcPr>
          <w:p w:rsidR="003B7CDD" w:rsidRPr="00140279" w:rsidP="00E820E7" w14:paraId="0128B91A" w14:textId="77777777">
            <w:pPr>
              <w:jc w:val="center"/>
              <w:rPr>
                <w:color w:val="000000"/>
                <w:sz w:val="24"/>
              </w:rPr>
            </w:pPr>
            <w:r w:rsidRPr="00140279">
              <w:rPr>
                <w:color w:val="000000"/>
                <w:sz w:val="24"/>
              </w:rPr>
              <w:t>$74</w:t>
            </w:r>
          </w:p>
        </w:tc>
        <w:tc>
          <w:tcPr>
            <w:tcW w:w="1025" w:type="dxa"/>
            <w:tcBorders>
              <w:top w:val="nil"/>
              <w:left w:val="nil"/>
              <w:bottom w:val="single" w:sz="4" w:space="0" w:color="auto"/>
              <w:right w:val="single" w:sz="4" w:space="0" w:color="auto"/>
            </w:tcBorders>
            <w:shd w:val="clear" w:color="auto" w:fill="auto"/>
            <w:vAlign w:val="bottom"/>
            <w:hideMark/>
          </w:tcPr>
          <w:p w:rsidR="003B7CDD" w:rsidRPr="00140279" w:rsidP="00E820E7" w14:paraId="1251C7C8" w14:textId="77777777">
            <w:pPr>
              <w:jc w:val="center"/>
              <w:rPr>
                <w:color w:val="000000"/>
                <w:sz w:val="24"/>
              </w:rPr>
            </w:pPr>
            <w:r w:rsidRPr="00140279">
              <w:rPr>
                <w:color w:val="000000"/>
                <w:sz w:val="24"/>
              </w:rPr>
              <w:t>3.0</w:t>
            </w:r>
          </w:p>
        </w:tc>
        <w:tc>
          <w:tcPr>
            <w:tcW w:w="1296" w:type="dxa"/>
            <w:tcBorders>
              <w:top w:val="nil"/>
              <w:left w:val="nil"/>
              <w:bottom w:val="single" w:sz="4" w:space="0" w:color="auto"/>
              <w:right w:val="single" w:sz="4" w:space="0" w:color="auto"/>
            </w:tcBorders>
            <w:shd w:val="clear" w:color="auto" w:fill="auto"/>
            <w:noWrap/>
            <w:vAlign w:val="bottom"/>
            <w:hideMark/>
          </w:tcPr>
          <w:p w:rsidR="003B7CDD" w:rsidRPr="00140279" w:rsidP="00E820E7" w14:paraId="6669F303" w14:textId="77777777">
            <w:pPr>
              <w:jc w:val="center"/>
              <w:rPr>
                <w:color w:val="000000"/>
                <w:sz w:val="24"/>
              </w:rPr>
            </w:pPr>
            <w:r w:rsidRPr="00140279">
              <w:rPr>
                <w:color w:val="000000"/>
                <w:sz w:val="24"/>
              </w:rPr>
              <w:t>$222</w:t>
            </w:r>
          </w:p>
        </w:tc>
      </w:tr>
      <w:tr w14:paraId="3CCE0BE5" w14:textId="77777777" w:rsidTr="00E820E7">
        <w:tblPrEx>
          <w:tblW w:w="7645" w:type="dxa"/>
          <w:tblInd w:w="720" w:type="dxa"/>
          <w:tblLook w:val="04A0"/>
        </w:tblPrEx>
        <w:trPr>
          <w:trHeight w:val="317"/>
        </w:trPr>
        <w:tc>
          <w:tcPr>
            <w:tcW w:w="3704" w:type="dxa"/>
            <w:tcBorders>
              <w:top w:val="nil"/>
              <w:left w:val="single" w:sz="4" w:space="0" w:color="auto"/>
              <w:bottom w:val="single" w:sz="4" w:space="0" w:color="auto"/>
              <w:right w:val="single" w:sz="4" w:space="0" w:color="auto"/>
            </w:tcBorders>
            <w:shd w:val="clear" w:color="auto" w:fill="auto"/>
            <w:vAlign w:val="bottom"/>
            <w:hideMark/>
          </w:tcPr>
          <w:p w:rsidR="003B7CDD" w:rsidRPr="00140279" w:rsidP="00E820E7" w14:paraId="57722CC4" w14:textId="77777777">
            <w:pPr>
              <w:rPr>
                <w:color w:val="000000"/>
                <w:sz w:val="24"/>
              </w:rPr>
            </w:pPr>
            <w:r w:rsidRPr="00140279">
              <w:rPr>
                <w:color w:val="000000"/>
                <w:sz w:val="24"/>
              </w:rPr>
              <w:t>Registered Nurse</w:t>
            </w:r>
            <w:r>
              <w:rPr>
                <w:color w:val="000000"/>
                <w:sz w:val="24"/>
              </w:rPr>
              <w:t>/RN</w:t>
            </w:r>
          </w:p>
        </w:tc>
        <w:tc>
          <w:tcPr>
            <w:tcW w:w="1620" w:type="dxa"/>
            <w:tcBorders>
              <w:top w:val="nil"/>
              <w:left w:val="nil"/>
              <w:bottom w:val="single" w:sz="4" w:space="0" w:color="auto"/>
              <w:right w:val="single" w:sz="4" w:space="0" w:color="auto"/>
            </w:tcBorders>
            <w:shd w:val="clear" w:color="auto" w:fill="auto"/>
            <w:vAlign w:val="bottom"/>
            <w:hideMark/>
          </w:tcPr>
          <w:p w:rsidR="003B7CDD" w:rsidRPr="00140279" w:rsidP="00E820E7" w14:paraId="522C5243" w14:textId="77777777">
            <w:pPr>
              <w:jc w:val="center"/>
              <w:rPr>
                <w:color w:val="000000"/>
                <w:sz w:val="24"/>
              </w:rPr>
            </w:pPr>
            <w:r w:rsidRPr="00140279">
              <w:rPr>
                <w:color w:val="000000"/>
                <w:sz w:val="24"/>
              </w:rPr>
              <w:t>$72</w:t>
            </w:r>
          </w:p>
        </w:tc>
        <w:tc>
          <w:tcPr>
            <w:tcW w:w="1025" w:type="dxa"/>
            <w:tcBorders>
              <w:top w:val="nil"/>
              <w:left w:val="nil"/>
              <w:bottom w:val="single" w:sz="4" w:space="0" w:color="auto"/>
              <w:right w:val="single" w:sz="4" w:space="0" w:color="auto"/>
            </w:tcBorders>
            <w:shd w:val="clear" w:color="auto" w:fill="auto"/>
            <w:vAlign w:val="bottom"/>
            <w:hideMark/>
          </w:tcPr>
          <w:p w:rsidR="003B7CDD" w:rsidRPr="00140279" w:rsidP="00E820E7" w14:paraId="095CC63C" w14:textId="77777777">
            <w:pPr>
              <w:jc w:val="center"/>
              <w:rPr>
                <w:color w:val="000000"/>
                <w:sz w:val="24"/>
              </w:rPr>
            </w:pPr>
            <w:r w:rsidRPr="00140279">
              <w:rPr>
                <w:color w:val="000000"/>
                <w:sz w:val="24"/>
              </w:rPr>
              <w:t>5.0</w:t>
            </w:r>
          </w:p>
        </w:tc>
        <w:tc>
          <w:tcPr>
            <w:tcW w:w="1296" w:type="dxa"/>
            <w:tcBorders>
              <w:top w:val="nil"/>
              <w:left w:val="nil"/>
              <w:bottom w:val="single" w:sz="4" w:space="0" w:color="auto"/>
              <w:right w:val="single" w:sz="4" w:space="0" w:color="auto"/>
            </w:tcBorders>
            <w:shd w:val="clear" w:color="auto" w:fill="auto"/>
            <w:noWrap/>
            <w:vAlign w:val="bottom"/>
            <w:hideMark/>
          </w:tcPr>
          <w:p w:rsidR="003B7CDD" w:rsidRPr="00140279" w:rsidP="00E820E7" w14:paraId="472DA2DE" w14:textId="77777777">
            <w:pPr>
              <w:jc w:val="center"/>
              <w:rPr>
                <w:color w:val="000000"/>
                <w:sz w:val="24"/>
              </w:rPr>
            </w:pPr>
            <w:r w:rsidRPr="00140279">
              <w:rPr>
                <w:color w:val="000000"/>
                <w:sz w:val="24"/>
              </w:rPr>
              <w:t>$360</w:t>
            </w:r>
          </w:p>
        </w:tc>
      </w:tr>
      <w:tr w14:paraId="4BF27DA5" w14:textId="77777777" w:rsidTr="00E820E7">
        <w:tblPrEx>
          <w:tblW w:w="7645" w:type="dxa"/>
          <w:tblInd w:w="720" w:type="dxa"/>
          <w:tblLook w:val="04A0"/>
        </w:tblPrEx>
        <w:trPr>
          <w:trHeight w:val="317"/>
        </w:trPr>
        <w:tc>
          <w:tcPr>
            <w:tcW w:w="3704" w:type="dxa"/>
            <w:tcBorders>
              <w:top w:val="nil"/>
              <w:left w:val="single" w:sz="4" w:space="0" w:color="auto"/>
              <w:bottom w:val="single" w:sz="4" w:space="0" w:color="auto"/>
              <w:right w:val="single" w:sz="4" w:space="0" w:color="auto"/>
            </w:tcBorders>
            <w:shd w:val="clear" w:color="000000" w:fill="F2F2F2"/>
            <w:vAlign w:val="bottom"/>
            <w:hideMark/>
          </w:tcPr>
          <w:p w:rsidR="003B7CDD" w:rsidRPr="00140279" w:rsidP="00E820E7" w14:paraId="47AB2396" w14:textId="77777777">
            <w:pPr>
              <w:jc w:val="right"/>
              <w:rPr>
                <w:b/>
                <w:bCs/>
                <w:color w:val="000000"/>
                <w:sz w:val="24"/>
              </w:rPr>
            </w:pPr>
            <w:r w:rsidRPr="00140279">
              <w:rPr>
                <w:b/>
                <w:bCs/>
                <w:color w:val="000000"/>
                <w:sz w:val="24"/>
              </w:rPr>
              <w:t>Total Task/Facility</w:t>
            </w:r>
          </w:p>
        </w:tc>
        <w:tc>
          <w:tcPr>
            <w:tcW w:w="1620" w:type="dxa"/>
            <w:tcBorders>
              <w:top w:val="nil"/>
              <w:left w:val="nil"/>
              <w:bottom w:val="single" w:sz="4" w:space="0" w:color="auto"/>
              <w:right w:val="single" w:sz="4" w:space="0" w:color="auto"/>
            </w:tcBorders>
            <w:shd w:val="clear" w:color="000000" w:fill="F2F2F2"/>
            <w:vAlign w:val="bottom"/>
            <w:hideMark/>
          </w:tcPr>
          <w:p w:rsidR="003B7CDD" w:rsidRPr="00140279" w:rsidP="00E820E7" w14:paraId="0B8111B4" w14:textId="77777777">
            <w:pPr>
              <w:jc w:val="center"/>
              <w:rPr>
                <w:b/>
                <w:bCs/>
                <w:color w:val="000000"/>
                <w:sz w:val="24"/>
              </w:rPr>
            </w:pPr>
            <w:r w:rsidRPr="00140279">
              <w:rPr>
                <w:b/>
                <w:bCs/>
                <w:color w:val="000000"/>
                <w:sz w:val="24"/>
              </w:rPr>
              <w:t> </w:t>
            </w:r>
          </w:p>
        </w:tc>
        <w:tc>
          <w:tcPr>
            <w:tcW w:w="1025" w:type="dxa"/>
            <w:tcBorders>
              <w:top w:val="nil"/>
              <w:left w:val="nil"/>
              <w:bottom w:val="single" w:sz="4" w:space="0" w:color="auto"/>
              <w:right w:val="single" w:sz="4" w:space="0" w:color="auto"/>
            </w:tcBorders>
            <w:shd w:val="clear" w:color="000000" w:fill="F2F2F2"/>
            <w:vAlign w:val="bottom"/>
            <w:hideMark/>
          </w:tcPr>
          <w:p w:rsidR="003B7CDD" w:rsidRPr="00140279" w:rsidP="00E820E7" w14:paraId="7190E28E" w14:textId="77777777">
            <w:pPr>
              <w:jc w:val="center"/>
              <w:rPr>
                <w:b/>
                <w:bCs/>
                <w:color w:val="000000"/>
                <w:sz w:val="24"/>
              </w:rPr>
            </w:pPr>
            <w:r w:rsidRPr="00140279">
              <w:rPr>
                <w:b/>
                <w:bCs/>
                <w:color w:val="000000"/>
                <w:sz w:val="24"/>
              </w:rPr>
              <w:t>8.0</w:t>
            </w:r>
          </w:p>
        </w:tc>
        <w:tc>
          <w:tcPr>
            <w:tcW w:w="1296" w:type="dxa"/>
            <w:tcBorders>
              <w:top w:val="nil"/>
              <w:left w:val="nil"/>
              <w:bottom w:val="single" w:sz="4" w:space="0" w:color="auto"/>
              <w:right w:val="single" w:sz="4" w:space="0" w:color="auto"/>
            </w:tcBorders>
            <w:shd w:val="clear" w:color="000000" w:fill="F2F2F2"/>
            <w:vAlign w:val="bottom"/>
            <w:hideMark/>
          </w:tcPr>
          <w:p w:rsidR="003B7CDD" w:rsidRPr="00140279" w:rsidP="00E820E7" w14:paraId="5E505C51" w14:textId="77777777">
            <w:pPr>
              <w:jc w:val="center"/>
              <w:rPr>
                <w:b/>
                <w:bCs/>
                <w:color w:val="000000"/>
                <w:sz w:val="24"/>
              </w:rPr>
            </w:pPr>
            <w:r w:rsidRPr="00140279">
              <w:rPr>
                <w:b/>
                <w:bCs/>
                <w:color w:val="000000"/>
                <w:sz w:val="24"/>
              </w:rPr>
              <w:t>$582</w:t>
            </w:r>
          </w:p>
        </w:tc>
      </w:tr>
      <w:tr w14:paraId="6EF46F82" w14:textId="77777777" w:rsidTr="00E820E7">
        <w:tblPrEx>
          <w:tblW w:w="7645" w:type="dxa"/>
          <w:tblInd w:w="720" w:type="dxa"/>
          <w:tblLook w:val="04A0"/>
        </w:tblPrEx>
        <w:trPr>
          <w:trHeight w:val="317"/>
        </w:trPr>
        <w:tc>
          <w:tcPr>
            <w:tcW w:w="3704" w:type="dxa"/>
            <w:tcBorders>
              <w:top w:val="nil"/>
              <w:left w:val="single" w:sz="4" w:space="0" w:color="auto"/>
              <w:bottom w:val="single" w:sz="4" w:space="0" w:color="auto"/>
              <w:right w:val="single" w:sz="4" w:space="0" w:color="auto"/>
            </w:tcBorders>
            <w:shd w:val="clear" w:color="auto" w:fill="auto"/>
            <w:vAlign w:val="bottom"/>
            <w:hideMark/>
          </w:tcPr>
          <w:p w:rsidR="003B7CDD" w:rsidRPr="00CE7B51" w:rsidP="00E820E7" w14:paraId="30CB0433" w14:textId="77777777">
            <w:pPr>
              <w:rPr>
                <w:color w:val="000000"/>
                <w:sz w:val="24"/>
              </w:rPr>
            </w:pPr>
            <w:r w:rsidRPr="00CE7B51">
              <w:rPr>
                <w:color w:val="000000"/>
                <w:sz w:val="24"/>
              </w:rPr>
              <w:t>Existing Facilities</w:t>
            </w:r>
          </w:p>
        </w:tc>
        <w:tc>
          <w:tcPr>
            <w:tcW w:w="1620" w:type="dxa"/>
            <w:tcBorders>
              <w:top w:val="nil"/>
              <w:left w:val="nil"/>
              <w:bottom w:val="single" w:sz="4" w:space="0" w:color="auto"/>
              <w:right w:val="single" w:sz="4" w:space="0" w:color="auto"/>
            </w:tcBorders>
            <w:shd w:val="clear" w:color="auto" w:fill="auto"/>
            <w:noWrap/>
            <w:vAlign w:val="bottom"/>
            <w:hideMark/>
          </w:tcPr>
          <w:p w:rsidR="003B7CDD" w:rsidRPr="007A1430" w:rsidP="00E820E7" w14:paraId="776CE986" w14:textId="77777777">
            <w:pPr>
              <w:jc w:val="center"/>
              <w:rPr>
                <w:color w:val="000000"/>
                <w:sz w:val="24"/>
              </w:rPr>
            </w:pPr>
            <w:r w:rsidRPr="007A1430">
              <w:rPr>
                <w:color w:val="000000"/>
                <w:sz w:val="24"/>
              </w:rPr>
              <w:t>5,523</w:t>
            </w:r>
          </w:p>
        </w:tc>
        <w:tc>
          <w:tcPr>
            <w:tcW w:w="1025" w:type="dxa"/>
            <w:tcBorders>
              <w:top w:val="nil"/>
              <w:left w:val="nil"/>
              <w:bottom w:val="single" w:sz="4" w:space="0" w:color="auto"/>
              <w:right w:val="single" w:sz="4" w:space="0" w:color="auto"/>
            </w:tcBorders>
            <w:shd w:val="clear" w:color="auto" w:fill="auto"/>
            <w:vAlign w:val="bottom"/>
            <w:hideMark/>
          </w:tcPr>
          <w:p w:rsidR="003B7CDD" w:rsidRPr="007A1430" w:rsidP="00E820E7" w14:paraId="2847A115" w14:textId="77777777">
            <w:pPr>
              <w:jc w:val="center"/>
              <w:rPr>
                <w:color w:val="000000"/>
                <w:sz w:val="24"/>
              </w:rPr>
            </w:pPr>
            <w:r w:rsidRPr="007A1430">
              <w:rPr>
                <w:color w:val="000000"/>
                <w:sz w:val="24"/>
              </w:rPr>
              <w:t>44,184</w:t>
            </w:r>
          </w:p>
        </w:tc>
        <w:tc>
          <w:tcPr>
            <w:tcW w:w="1296" w:type="dxa"/>
            <w:tcBorders>
              <w:top w:val="nil"/>
              <w:left w:val="nil"/>
              <w:bottom w:val="single" w:sz="4" w:space="0" w:color="auto"/>
              <w:right w:val="single" w:sz="4" w:space="0" w:color="auto"/>
            </w:tcBorders>
            <w:shd w:val="clear" w:color="auto" w:fill="auto"/>
            <w:vAlign w:val="bottom"/>
            <w:hideMark/>
          </w:tcPr>
          <w:p w:rsidR="003B7CDD" w:rsidRPr="007A1430" w:rsidP="00E820E7" w14:paraId="5EFB6F94" w14:textId="77777777">
            <w:pPr>
              <w:jc w:val="center"/>
              <w:rPr>
                <w:color w:val="000000"/>
                <w:sz w:val="24"/>
              </w:rPr>
            </w:pPr>
            <w:r w:rsidRPr="007A1430">
              <w:rPr>
                <w:color w:val="000000"/>
                <w:sz w:val="24"/>
              </w:rPr>
              <w:t xml:space="preserve">$3,214,386 </w:t>
            </w:r>
          </w:p>
        </w:tc>
      </w:tr>
      <w:tr w14:paraId="6336E5AC" w14:textId="77777777" w:rsidTr="00E820E7">
        <w:tblPrEx>
          <w:tblW w:w="7645" w:type="dxa"/>
          <w:tblInd w:w="720" w:type="dxa"/>
          <w:tblLook w:val="04A0"/>
        </w:tblPrEx>
        <w:trPr>
          <w:trHeight w:val="317"/>
        </w:trPr>
        <w:tc>
          <w:tcPr>
            <w:tcW w:w="3704" w:type="dxa"/>
            <w:tcBorders>
              <w:top w:val="nil"/>
              <w:left w:val="single" w:sz="4" w:space="0" w:color="auto"/>
              <w:bottom w:val="single" w:sz="4" w:space="0" w:color="auto"/>
              <w:right w:val="single" w:sz="4" w:space="0" w:color="auto"/>
            </w:tcBorders>
            <w:shd w:val="clear" w:color="auto" w:fill="auto"/>
            <w:vAlign w:val="bottom"/>
            <w:hideMark/>
          </w:tcPr>
          <w:p w:rsidR="003B7CDD" w:rsidRPr="00CE7B51" w:rsidP="00E820E7" w14:paraId="3266B9E6" w14:textId="77777777">
            <w:pPr>
              <w:rPr>
                <w:color w:val="000000"/>
                <w:sz w:val="24"/>
              </w:rPr>
            </w:pPr>
            <w:r w:rsidRPr="00CE7B51">
              <w:rPr>
                <w:color w:val="000000"/>
                <w:sz w:val="24"/>
              </w:rPr>
              <w:t>Newly Certified Facilities</w:t>
            </w:r>
          </w:p>
        </w:tc>
        <w:tc>
          <w:tcPr>
            <w:tcW w:w="1620" w:type="dxa"/>
            <w:tcBorders>
              <w:top w:val="nil"/>
              <w:left w:val="nil"/>
              <w:bottom w:val="single" w:sz="4" w:space="0" w:color="auto"/>
              <w:right w:val="single" w:sz="4" w:space="0" w:color="auto"/>
            </w:tcBorders>
            <w:shd w:val="clear" w:color="auto" w:fill="auto"/>
            <w:noWrap/>
            <w:vAlign w:val="bottom"/>
            <w:hideMark/>
          </w:tcPr>
          <w:p w:rsidR="003B7CDD" w:rsidRPr="007A1430" w:rsidP="00E820E7" w14:paraId="29F68725" w14:textId="77777777">
            <w:pPr>
              <w:jc w:val="center"/>
              <w:rPr>
                <w:color w:val="000000"/>
                <w:sz w:val="24"/>
              </w:rPr>
            </w:pPr>
            <w:r w:rsidRPr="007A1430">
              <w:rPr>
                <w:color w:val="000000"/>
                <w:sz w:val="24"/>
              </w:rPr>
              <w:t>24</w:t>
            </w:r>
          </w:p>
        </w:tc>
        <w:tc>
          <w:tcPr>
            <w:tcW w:w="1025" w:type="dxa"/>
            <w:tcBorders>
              <w:top w:val="nil"/>
              <w:left w:val="nil"/>
              <w:bottom w:val="single" w:sz="4" w:space="0" w:color="auto"/>
              <w:right w:val="single" w:sz="4" w:space="0" w:color="auto"/>
            </w:tcBorders>
            <w:shd w:val="clear" w:color="auto" w:fill="auto"/>
            <w:vAlign w:val="bottom"/>
            <w:hideMark/>
          </w:tcPr>
          <w:p w:rsidR="003B7CDD" w:rsidRPr="007A1430" w:rsidP="00E820E7" w14:paraId="71AB6111" w14:textId="77777777">
            <w:pPr>
              <w:jc w:val="center"/>
              <w:rPr>
                <w:color w:val="000000"/>
                <w:sz w:val="24"/>
              </w:rPr>
            </w:pPr>
            <w:r w:rsidRPr="007A1430">
              <w:rPr>
                <w:color w:val="000000"/>
                <w:sz w:val="24"/>
              </w:rPr>
              <w:t>192</w:t>
            </w:r>
          </w:p>
        </w:tc>
        <w:tc>
          <w:tcPr>
            <w:tcW w:w="1296" w:type="dxa"/>
            <w:tcBorders>
              <w:top w:val="nil"/>
              <w:left w:val="nil"/>
              <w:bottom w:val="single" w:sz="4" w:space="0" w:color="auto"/>
              <w:right w:val="single" w:sz="4" w:space="0" w:color="auto"/>
            </w:tcBorders>
            <w:shd w:val="clear" w:color="auto" w:fill="auto"/>
            <w:vAlign w:val="bottom"/>
            <w:hideMark/>
          </w:tcPr>
          <w:p w:rsidR="003B7CDD" w:rsidRPr="007A1430" w:rsidP="00E820E7" w14:paraId="56B7C615" w14:textId="77777777">
            <w:pPr>
              <w:jc w:val="center"/>
              <w:rPr>
                <w:color w:val="000000"/>
                <w:sz w:val="24"/>
              </w:rPr>
            </w:pPr>
            <w:r w:rsidRPr="007A1430">
              <w:rPr>
                <w:color w:val="000000"/>
                <w:sz w:val="24"/>
              </w:rPr>
              <w:t xml:space="preserve">$13,968 </w:t>
            </w:r>
          </w:p>
        </w:tc>
      </w:tr>
      <w:tr w14:paraId="039ECA56" w14:textId="77777777" w:rsidTr="00E820E7">
        <w:tblPrEx>
          <w:tblW w:w="7645" w:type="dxa"/>
          <w:tblInd w:w="720" w:type="dxa"/>
          <w:tblLook w:val="04A0"/>
        </w:tblPrEx>
        <w:trPr>
          <w:trHeight w:val="317"/>
        </w:trPr>
        <w:tc>
          <w:tcPr>
            <w:tcW w:w="3704" w:type="dxa"/>
            <w:tcBorders>
              <w:top w:val="single" w:sz="8" w:space="0" w:color="auto"/>
              <w:left w:val="single" w:sz="8" w:space="0" w:color="auto"/>
              <w:bottom w:val="single" w:sz="8" w:space="0" w:color="auto"/>
              <w:right w:val="single" w:sz="4" w:space="0" w:color="auto"/>
            </w:tcBorders>
            <w:shd w:val="clear" w:color="000000" w:fill="D9D9D9"/>
            <w:vAlign w:val="bottom"/>
            <w:hideMark/>
          </w:tcPr>
          <w:p w:rsidR="003B7CDD" w:rsidRPr="00140279" w:rsidP="00E820E7" w14:paraId="4C15F3B7" w14:textId="77777777">
            <w:pPr>
              <w:jc w:val="right"/>
              <w:rPr>
                <w:b/>
                <w:bCs/>
                <w:color w:val="000000"/>
                <w:sz w:val="24"/>
              </w:rPr>
            </w:pPr>
            <w:r w:rsidRPr="00140279">
              <w:rPr>
                <w:b/>
                <w:bCs/>
                <w:color w:val="000000"/>
                <w:sz w:val="24"/>
              </w:rPr>
              <w:t xml:space="preserve">Total Annual Burden/Costs </w:t>
            </w:r>
          </w:p>
        </w:tc>
        <w:tc>
          <w:tcPr>
            <w:tcW w:w="1620" w:type="dxa"/>
            <w:tcBorders>
              <w:top w:val="single" w:sz="8" w:space="0" w:color="auto"/>
              <w:left w:val="nil"/>
              <w:bottom w:val="single" w:sz="8" w:space="0" w:color="auto"/>
              <w:right w:val="single" w:sz="4" w:space="0" w:color="auto"/>
            </w:tcBorders>
            <w:shd w:val="clear" w:color="000000" w:fill="D9D9D9"/>
            <w:vAlign w:val="bottom"/>
            <w:hideMark/>
          </w:tcPr>
          <w:p w:rsidR="003B7CDD" w:rsidRPr="00140279" w:rsidP="00E820E7" w14:paraId="01339378" w14:textId="77777777">
            <w:pPr>
              <w:jc w:val="center"/>
              <w:rPr>
                <w:b/>
                <w:bCs/>
                <w:color w:val="000000"/>
                <w:sz w:val="22"/>
                <w:szCs w:val="22"/>
              </w:rPr>
            </w:pPr>
            <w:r w:rsidRPr="00140279">
              <w:rPr>
                <w:b/>
                <w:bCs/>
                <w:color w:val="000000"/>
                <w:sz w:val="22"/>
                <w:szCs w:val="22"/>
              </w:rPr>
              <w:t> </w:t>
            </w:r>
          </w:p>
        </w:tc>
        <w:tc>
          <w:tcPr>
            <w:tcW w:w="1025" w:type="dxa"/>
            <w:tcBorders>
              <w:top w:val="single" w:sz="8" w:space="0" w:color="auto"/>
              <w:left w:val="nil"/>
              <w:bottom w:val="single" w:sz="8" w:space="0" w:color="auto"/>
              <w:right w:val="single" w:sz="4" w:space="0" w:color="auto"/>
            </w:tcBorders>
            <w:shd w:val="clear" w:color="000000" w:fill="D9D9D9"/>
            <w:noWrap/>
            <w:hideMark/>
          </w:tcPr>
          <w:p w:rsidR="003B7CDD" w:rsidRPr="007A1430" w:rsidP="00E820E7" w14:paraId="32AD09DB" w14:textId="77777777">
            <w:pPr>
              <w:jc w:val="center"/>
              <w:rPr>
                <w:b/>
                <w:bCs/>
                <w:color w:val="000000"/>
                <w:sz w:val="24"/>
                <w:szCs w:val="32"/>
              </w:rPr>
            </w:pPr>
            <w:r w:rsidRPr="007A1430">
              <w:rPr>
                <w:b/>
                <w:bCs/>
                <w:sz w:val="24"/>
                <w:szCs w:val="32"/>
              </w:rPr>
              <w:t>44,376</w:t>
            </w:r>
          </w:p>
        </w:tc>
        <w:tc>
          <w:tcPr>
            <w:tcW w:w="1296" w:type="dxa"/>
            <w:tcBorders>
              <w:top w:val="single" w:sz="8" w:space="0" w:color="auto"/>
              <w:left w:val="nil"/>
              <w:bottom w:val="single" w:sz="8" w:space="0" w:color="auto"/>
              <w:right w:val="single" w:sz="8" w:space="0" w:color="auto"/>
            </w:tcBorders>
            <w:shd w:val="clear" w:color="000000" w:fill="D9D9D9"/>
            <w:hideMark/>
          </w:tcPr>
          <w:p w:rsidR="003B7CDD" w:rsidRPr="007A1430" w:rsidP="00E820E7" w14:paraId="335FF74B" w14:textId="77777777">
            <w:pPr>
              <w:jc w:val="center"/>
              <w:rPr>
                <w:b/>
                <w:bCs/>
                <w:color w:val="000000"/>
                <w:sz w:val="24"/>
                <w:szCs w:val="32"/>
              </w:rPr>
            </w:pPr>
            <w:r w:rsidRPr="007A1430">
              <w:rPr>
                <w:b/>
                <w:bCs/>
                <w:sz w:val="24"/>
                <w:szCs w:val="32"/>
              </w:rPr>
              <w:t>$3,228,354</w:t>
            </w:r>
          </w:p>
        </w:tc>
      </w:tr>
    </w:tbl>
    <w:p w:rsidR="005E7E9D" w:rsidP="005E7E9D" w14:paraId="6E31D51F" w14:textId="702CD6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r w:rsidRPr="00372A46">
        <w:rPr>
          <w:snapToGrid w:val="0"/>
          <w:sz w:val="24"/>
          <w:szCs w:val="20"/>
        </w:rPr>
        <w:t xml:space="preserve">According to Table </w:t>
      </w:r>
      <w:r>
        <w:rPr>
          <w:snapToGrid w:val="0"/>
          <w:sz w:val="24"/>
          <w:szCs w:val="20"/>
        </w:rPr>
        <w:t>2</w:t>
      </w:r>
      <w:r w:rsidRPr="00372A46">
        <w:rPr>
          <w:snapToGrid w:val="0"/>
          <w:sz w:val="24"/>
          <w:szCs w:val="20"/>
        </w:rPr>
        <w:t xml:space="preserve"> above, the total </w:t>
      </w:r>
      <w:r>
        <w:rPr>
          <w:snapToGrid w:val="0"/>
          <w:sz w:val="24"/>
          <w:szCs w:val="20"/>
        </w:rPr>
        <w:t xml:space="preserve">loaded </w:t>
      </w:r>
      <w:r w:rsidRPr="00372A46">
        <w:rPr>
          <w:snapToGrid w:val="0"/>
          <w:sz w:val="24"/>
          <w:szCs w:val="20"/>
        </w:rPr>
        <w:t>hourly cost for an RN is $</w:t>
      </w:r>
      <w:r>
        <w:rPr>
          <w:snapToGrid w:val="0"/>
          <w:sz w:val="24"/>
          <w:szCs w:val="20"/>
        </w:rPr>
        <w:t xml:space="preserve">72 and for an Administrator at an ICF-IID is $74. </w:t>
      </w:r>
      <w:r w:rsidRPr="00372A46">
        <w:rPr>
          <w:snapToGrid w:val="0"/>
          <w:sz w:val="24"/>
          <w:szCs w:val="20"/>
        </w:rPr>
        <w:t xml:space="preserve">Thus, for each ICF-IID, the burden hours for </w:t>
      </w:r>
      <w:r>
        <w:rPr>
          <w:snapToGrid w:val="0"/>
          <w:sz w:val="24"/>
          <w:szCs w:val="20"/>
        </w:rPr>
        <w:t xml:space="preserve">developing policies related to this CoP for </w:t>
      </w:r>
      <w:r w:rsidRPr="00372A46">
        <w:rPr>
          <w:snapToGrid w:val="0"/>
          <w:sz w:val="24"/>
          <w:szCs w:val="20"/>
        </w:rPr>
        <w:t xml:space="preserve">the </w:t>
      </w:r>
      <w:r>
        <w:rPr>
          <w:snapToGrid w:val="0"/>
          <w:sz w:val="24"/>
          <w:szCs w:val="20"/>
        </w:rPr>
        <w:t>RN would be 5 hours at an estimated cost of $360 (5 hours x $72/hour) and for the Administrator would be 3 hours at an estimated costs of $222 (3 hours x $74), for a total of 8 hours at an estimated cost of $582 per facility. For the initial year for all 5,523 ICFs-IID, the one-time burden hours would be 44,184 (5,523 x 8 hours) at an estimated cost of $3,214,386 (5,523 facilities  x $582 per facility). In Years 2 and 3, assuming 24 newly certified facilities each year per Table 1, the total annual burden hours would be 192 (24 new facilities x 8.0 hours) at an estimated cost of $13,968 (24 new facilities x $582) for the one-time development of new policies each year.</w:t>
      </w:r>
    </w:p>
    <w:p w:rsidR="00801D56" w:rsidP="003B7CDD" w14:paraId="2DF601B1" w14:textId="36FCE3E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r>
        <w:rPr>
          <w:b/>
          <w:bCs/>
          <w:snapToGrid w:val="0"/>
          <w:sz w:val="28"/>
          <w:szCs w:val="22"/>
        </w:rPr>
        <w:tab/>
      </w:r>
    </w:p>
    <w:p w:rsidR="00801D56" w:rsidRPr="00351DC9" w:rsidP="00801D56" w14:paraId="0175C7AA" w14:textId="0DE9C16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sz w:val="24"/>
          <w:szCs w:val="20"/>
          <w:u w:val="single"/>
        </w:rPr>
      </w:pPr>
      <w:r w:rsidRPr="00351DC9">
        <w:rPr>
          <w:b/>
          <w:bCs/>
          <w:snapToGrid w:val="0"/>
          <w:sz w:val="24"/>
          <w:szCs w:val="20"/>
          <w:u w:val="single"/>
        </w:rPr>
        <w:t>IC</w:t>
      </w:r>
      <w:r>
        <w:rPr>
          <w:b/>
          <w:bCs/>
          <w:snapToGrid w:val="0"/>
          <w:sz w:val="24"/>
          <w:szCs w:val="20"/>
          <w:u w:val="single"/>
        </w:rPr>
        <w:t>-</w:t>
      </w:r>
      <w:r w:rsidRPr="00351DC9">
        <w:rPr>
          <w:b/>
          <w:bCs/>
          <w:snapToGrid w:val="0"/>
          <w:sz w:val="24"/>
          <w:szCs w:val="20"/>
          <w:u w:val="single"/>
        </w:rPr>
        <w:t xml:space="preserve">2: </w:t>
      </w:r>
      <w:r>
        <w:rPr>
          <w:b/>
          <w:bCs/>
          <w:snapToGrid w:val="0"/>
          <w:sz w:val="24"/>
          <w:szCs w:val="20"/>
          <w:u w:val="single"/>
        </w:rPr>
        <w:t>§</w:t>
      </w:r>
      <w:r w:rsidRPr="00351DC9">
        <w:rPr>
          <w:b/>
          <w:bCs/>
          <w:snapToGrid w:val="0"/>
          <w:sz w:val="24"/>
          <w:szCs w:val="20"/>
          <w:u w:val="single"/>
        </w:rPr>
        <w:t>483.460(a)(4) - Annual update of policies</w:t>
      </w:r>
    </w:p>
    <w:p w:rsidR="00801D56" w:rsidP="00801D56" w14:paraId="1E7978FC" w14:textId="4F48F7E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r>
        <w:rPr>
          <w:snapToGrid w:val="0"/>
          <w:sz w:val="24"/>
          <w:szCs w:val="20"/>
        </w:rPr>
        <w:t xml:space="preserve">Once the policies and procedures to “educate and offer” vaccines to staff and client per </w:t>
      </w:r>
      <w:r w:rsidR="00BE240E">
        <w:rPr>
          <w:snapToGrid w:val="0"/>
          <w:sz w:val="24"/>
          <w:szCs w:val="20"/>
        </w:rPr>
        <w:t xml:space="preserve">Section </w:t>
      </w:r>
      <w:r>
        <w:rPr>
          <w:snapToGrid w:val="0"/>
          <w:sz w:val="24"/>
          <w:szCs w:val="20"/>
        </w:rPr>
        <w:t>483.460(a)(4) are created, we estimate an RN at each ICF-IID facility would spend 6 hours per year (or 30 minutes per month for 12 months) to review, revise or update the policies as needed. We assume the RN could update the policies each year without the need for Administrator approval, and if approval was needed, that effort would fall under the Administrator’s usual and customary duties and be e</w:t>
      </w:r>
      <w:r w:rsidRPr="00C95384">
        <w:rPr>
          <w:snapToGrid w:val="0"/>
          <w:sz w:val="24"/>
          <w:szCs w:val="20"/>
        </w:rPr>
        <w:t xml:space="preserve">xempt from the PRA in accordance with 5 CFR </w:t>
      </w:r>
      <w:r>
        <w:rPr>
          <w:snapToGrid w:val="0"/>
          <w:sz w:val="24"/>
          <w:szCs w:val="20"/>
        </w:rPr>
        <w:t>§</w:t>
      </w:r>
      <w:r w:rsidRPr="00C95384">
        <w:rPr>
          <w:snapToGrid w:val="0"/>
          <w:sz w:val="24"/>
          <w:szCs w:val="20"/>
        </w:rPr>
        <w:t>1320.3(b)(2).</w:t>
      </w:r>
    </w:p>
    <w:p w:rsidR="00E07338" w:rsidP="00E07338" w14:paraId="77DF2AF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p>
    <w:p w:rsidR="00E07338" w:rsidP="00E07338" w14:paraId="01914681" w14:textId="2813CA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r w:rsidRPr="00372A46">
        <w:rPr>
          <w:snapToGrid w:val="0"/>
          <w:sz w:val="24"/>
          <w:szCs w:val="20"/>
        </w:rPr>
        <w:t xml:space="preserve">According to Table 1 above, the total </w:t>
      </w:r>
      <w:r>
        <w:rPr>
          <w:snapToGrid w:val="0"/>
          <w:sz w:val="24"/>
          <w:szCs w:val="20"/>
        </w:rPr>
        <w:t xml:space="preserve">loaded </w:t>
      </w:r>
      <w:r w:rsidRPr="00372A46">
        <w:rPr>
          <w:snapToGrid w:val="0"/>
          <w:sz w:val="24"/>
          <w:szCs w:val="20"/>
        </w:rPr>
        <w:t>hourly cost for an RN is $</w:t>
      </w:r>
      <w:r>
        <w:rPr>
          <w:snapToGrid w:val="0"/>
          <w:sz w:val="24"/>
          <w:szCs w:val="20"/>
        </w:rPr>
        <w:t>72</w:t>
      </w:r>
      <w:r w:rsidRPr="00372A46" w:rsidR="00F1085B">
        <w:rPr>
          <w:snapToGrid w:val="0"/>
          <w:sz w:val="24"/>
          <w:szCs w:val="20"/>
        </w:rPr>
        <w:t xml:space="preserve">. </w:t>
      </w:r>
      <w:r w:rsidRPr="00372A46">
        <w:rPr>
          <w:snapToGrid w:val="0"/>
          <w:sz w:val="24"/>
          <w:szCs w:val="20"/>
        </w:rPr>
        <w:t xml:space="preserve">We estimate that for each ICF-IID, the burden </w:t>
      </w:r>
      <w:r>
        <w:rPr>
          <w:snapToGrid w:val="0"/>
          <w:sz w:val="24"/>
          <w:szCs w:val="20"/>
        </w:rPr>
        <w:t xml:space="preserve">to annual update the policies </w:t>
      </w:r>
      <w:r w:rsidRPr="00372A46">
        <w:rPr>
          <w:snapToGrid w:val="0"/>
          <w:sz w:val="24"/>
          <w:szCs w:val="20"/>
        </w:rPr>
        <w:t xml:space="preserve">would be </w:t>
      </w:r>
      <w:r>
        <w:rPr>
          <w:snapToGrid w:val="0"/>
          <w:sz w:val="24"/>
          <w:szCs w:val="20"/>
        </w:rPr>
        <w:t>6</w:t>
      </w:r>
      <w:r w:rsidRPr="00372A46">
        <w:rPr>
          <w:snapToGrid w:val="0"/>
          <w:sz w:val="24"/>
          <w:szCs w:val="20"/>
        </w:rPr>
        <w:t xml:space="preserve"> hours for </w:t>
      </w:r>
      <w:r>
        <w:rPr>
          <w:snapToGrid w:val="0"/>
          <w:sz w:val="24"/>
          <w:szCs w:val="20"/>
        </w:rPr>
        <w:t>an</w:t>
      </w:r>
      <w:r w:rsidRPr="00372A46">
        <w:rPr>
          <w:snapToGrid w:val="0"/>
          <w:sz w:val="24"/>
          <w:szCs w:val="20"/>
        </w:rPr>
        <w:t xml:space="preserve"> RN at an estimated cost of $</w:t>
      </w:r>
      <w:r>
        <w:rPr>
          <w:snapToGrid w:val="0"/>
          <w:sz w:val="24"/>
          <w:szCs w:val="20"/>
        </w:rPr>
        <w:t>432</w:t>
      </w:r>
      <w:r w:rsidRPr="00372A46">
        <w:rPr>
          <w:snapToGrid w:val="0"/>
          <w:sz w:val="24"/>
          <w:szCs w:val="20"/>
        </w:rPr>
        <w:t xml:space="preserve"> ($</w:t>
      </w:r>
      <w:r>
        <w:rPr>
          <w:snapToGrid w:val="0"/>
          <w:sz w:val="24"/>
          <w:szCs w:val="20"/>
        </w:rPr>
        <w:t>72</w:t>
      </w:r>
      <w:r w:rsidRPr="00372A46">
        <w:rPr>
          <w:snapToGrid w:val="0"/>
          <w:sz w:val="24"/>
          <w:szCs w:val="20"/>
        </w:rPr>
        <w:t xml:space="preserve"> x </w:t>
      </w:r>
      <w:r>
        <w:rPr>
          <w:snapToGrid w:val="0"/>
          <w:sz w:val="24"/>
          <w:szCs w:val="20"/>
        </w:rPr>
        <w:t>6</w:t>
      </w:r>
      <w:r w:rsidRPr="00372A46">
        <w:rPr>
          <w:snapToGrid w:val="0"/>
          <w:sz w:val="24"/>
          <w:szCs w:val="20"/>
        </w:rPr>
        <w:t xml:space="preserve"> hours)</w:t>
      </w:r>
      <w:r w:rsidRPr="00372A46" w:rsidR="00F1085B">
        <w:rPr>
          <w:snapToGrid w:val="0"/>
          <w:sz w:val="24"/>
          <w:szCs w:val="20"/>
        </w:rPr>
        <w:t xml:space="preserve">. </w:t>
      </w:r>
      <w:r>
        <w:rPr>
          <w:snapToGrid w:val="0"/>
          <w:sz w:val="24"/>
          <w:szCs w:val="20"/>
        </w:rPr>
        <w:t>For all</w:t>
      </w:r>
      <w:r w:rsidRPr="00372A46">
        <w:rPr>
          <w:snapToGrid w:val="0"/>
          <w:sz w:val="24"/>
          <w:szCs w:val="20"/>
        </w:rPr>
        <w:t xml:space="preserve"> 5,</w:t>
      </w:r>
      <w:r>
        <w:rPr>
          <w:snapToGrid w:val="0"/>
          <w:sz w:val="24"/>
          <w:szCs w:val="20"/>
        </w:rPr>
        <w:t>523</w:t>
      </w:r>
      <w:r w:rsidRPr="00372A46">
        <w:rPr>
          <w:snapToGrid w:val="0"/>
          <w:sz w:val="24"/>
          <w:szCs w:val="20"/>
        </w:rPr>
        <w:t xml:space="preserve"> ICFs-IID, </w:t>
      </w:r>
      <w:r>
        <w:rPr>
          <w:snapToGrid w:val="0"/>
          <w:sz w:val="24"/>
          <w:szCs w:val="20"/>
        </w:rPr>
        <w:t xml:space="preserve">the annual burden hours </w:t>
      </w:r>
      <w:r w:rsidRPr="00372A46">
        <w:rPr>
          <w:snapToGrid w:val="0"/>
          <w:sz w:val="24"/>
          <w:szCs w:val="20"/>
        </w:rPr>
        <w:t xml:space="preserve">would be </w:t>
      </w:r>
      <w:r>
        <w:rPr>
          <w:snapToGrid w:val="0"/>
          <w:sz w:val="24"/>
          <w:szCs w:val="20"/>
        </w:rPr>
        <w:t xml:space="preserve">33,138 </w:t>
      </w:r>
      <w:r w:rsidRPr="00372A46">
        <w:rPr>
          <w:snapToGrid w:val="0"/>
          <w:sz w:val="24"/>
          <w:szCs w:val="20"/>
        </w:rPr>
        <w:t xml:space="preserve"> (</w:t>
      </w:r>
      <w:r w:rsidR="002E2B45">
        <w:rPr>
          <w:snapToGrid w:val="0"/>
          <w:sz w:val="24"/>
          <w:szCs w:val="20"/>
        </w:rPr>
        <w:t>5,523 facilities x 6 hours)</w:t>
      </w:r>
      <w:r w:rsidR="00BE240E">
        <w:rPr>
          <w:snapToGrid w:val="0"/>
          <w:sz w:val="24"/>
          <w:szCs w:val="20"/>
        </w:rPr>
        <w:t xml:space="preserve"> </w:t>
      </w:r>
      <w:r w:rsidRPr="00372A46">
        <w:rPr>
          <w:snapToGrid w:val="0"/>
          <w:sz w:val="24"/>
          <w:szCs w:val="20"/>
        </w:rPr>
        <w:t>at an estimated cost of $</w:t>
      </w:r>
      <w:r>
        <w:rPr>
          <w:snapToGrid w:val="0"/>
          <w:sz w:val="24"/>
          <w:szCs w:val="20"/>
        </w:rPr>
        <w:t>2,385,936</w:t>
      </w:r>
      <w:r w:rsidR="002E2B45">
        <w:rPr>
          <w:snapToGrid w:val="0"/>
          <w:sz w:val="24"/>
          <w:szCs w:val="20"/>
        </w:rPr>
        <w:t xml:space="preserve"> (5,523 facilities x $432 per facility)</w:t>
      </w:r>
      <w:r w:rsidR="00B963C2">
        <w:rPr>
          <w:snapToGrid w:val="0"/>
          <w:sz w:val="24"/>
          <w:szCs w:val="20"/>
        </w:rPr>
        <w:t>.</w:t>
      </w:r>
    </w:p>
    <w:p w:rsidR="00E07338" w:rsidP="00E07338" w14:paraId="5D49152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p>
    <w:p w:rsidR="00E07338" w:rsidP="00E07338" w14:paraId="49CB4A1F" w14:textId="77777777">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sz w:val="24"/>
          <w:szCs w:val="20"/>
        </w:rPr>
      </w:pPr>
      <w:r w:rsidRPr="00140279">
        <w:rPr>
          <w:b/>
          <w:bCs/>
          <w:snapToGrid w:val="0"/>
          <w:sz w:val="28"/>
          <w:szCs w:val="22"/>
        </w:rPr>
        <w:t xml:space="preserve">Table </w:t>
      </w:r>
      <w:r>
        <w:rPr>
          <w:b/>
          <w:bCs/>
          <w:snapToGrid w:val="0"/>
          <w:sz w:val="28"/>
          <w:szCs w:val="22"/>
        </w:rPr>
        <w:t>4</w:t>
      </w:r>
      <w:r w:rsidRPr="00140279">
        <w:rPr>
          <w:b/>
          <w:bCs/>
          <w:snapToGrid w:val="0"/>
          <w:sz w:val="28"/>
          <w:szCs w:val="22"/>
        </w:rPr>
        <w:t>: I</w:t>
      </w:r>
      <w:r>
        <w:rPr>
          <w:b/>
          <w:bCs/>
          <w:snapToGrid w:val="0"/>
          <w:sz w:val="28"/>
          <w:szCs w:val="22"/>
        </w:rPr>
        <w:t xml:space="preserve">C-2: Annual update of </w:t>
      </w:r>
      <w:r w:rsidRPr="00140279">
        <w:rPr>
          <w:b/>
          <w:bCs/>
          <w:snapToGrid w:val="0"/>
          <w:sz w:val="28"/>
          <w:szCs w:val="22"/>
        </w:rPr>
        <w:t>policies &amp; procedures</w:t>
      </w:r>
    </w:p>
    <w:tbl>
      <w:tblPr>
        <w:tblW w:w="8900" w:type="dxa"/>
        <w:tblInd w:w="265" w:type="dxa"/>
        <w:tblLook w:val="04A0"/>
      </w:tblPr>
      <w:tblGrid>
        <w:gridCol w:w="4100"/>
        <w:gridCol w:w="1620"/>
        <w:gridCol w:w="1480"/>
        <w:gridCol w:w="1700"/>
      </w:tblGrid>
      <w:tr w14:paraId="3A3FCAB5" w14:textId="77777777" w:rsidTr="002730D2">
        <w:tblPrEx>
          <w:tblW w:w="8900" w:type="dxa"/>
          <w:tblInd w:w="265" w:type="dxa"/>
          <w:tblLook w:val="04A0"/>
        </w:tblPrEx>
        <w:trPr>
          <w:trHeight w:val="739"/>
        </w:trPr>
        <w:tc>
          <w:tcPr>
            <w:tcW w:w="4100" w:type="dxa"/>
            <w:tcBorders>
              <w:top w:val="single" w:sz="4" w:space="0" w:color="auto"/>
              <w:left w:val="single" w:sz="4" w:space="0" w:color="auto"/>
              <w:bottom w:val="single" w:sz="4" w:space="0" w:color="auto"/>
              <w:right w:val="single" w:sz="4" w:space="0" w:color="auto"/>
            </w:tcBorders>
            <w:shd w:val="clear" w:color="CCCCCC" w:fill="D9D9D9"/>
            <w:vAlign w:val="bottom"/>
            <w:hideMark/>
          </w:tcPr>
          <w:p w:rsidR="00E07338" w:rsidRPr="00C95384" w:rsidP="002730D2" w14:paraId="16E773FC" w14:textId="77777777">
            <w:pPr>
              <w:jc w:val="center"/>
              <w:rPr>
                <w:b/>
                <w:bCs/>
                <w:color w:val="000000"/>
                <w:sz w:val="24"/>
              </w:rPr>
            </w:pPr>
            <w:r w:rsidRPr="00C95384">
              <w:rPr>
                <w:b/>
                <w:bCs/>
                <w:color w:val="000000"/>
                <w:sz w:val="24"/>
              </w:rPr>
              <w:t xml:space="preserve">Task </w:t>
            </w:r>
          </w:p>
        </w:tc>
        <w:tc>
          <w:tcPr>
            <w:tcW w:w="1620" w:type="dxa"/>
            <w:tcBorders>
              <w:top w:val="single" w:sz="4" w:space="0" w:color="auto"/>
              <w:left w:val="nil"/>
              <w:bottom w:val="single" w:sz="4" w:space="0" w:color="auto"/>
              <w:right w:val="single" w:sz="4" w:space="0" w:color="auto"/>
            </w:tcBorders>
            <w:shd w:val="clear" w:color="CCCCCC" w:fill="D9D9D9"/>
            <w:vAlign w:val="bottom"/>
            <w:hideMark/>
          </w:tcPr>
          <w:p w:rsidR="00E07338" w:rsidRPr="00C95384" w:rsidP="002730D2" w14:paraId="48595387" w14:textId="77777777">
            <w:pPr>
              <w:jc w:val="center"/>
              <w:rPr>
                <w:b/>
                <w:bCs/>
                <w:color w:val="000000"/>
                <w:sz w:val="24"/>
              </w:rPr>
            </w:pPr>
            <w:r w:rsidRPr="00C95384">
              <w:rPr>
                <w:b/>
                <w:bCs/>
                <w:color w:val="000000"/>
                <w:sz w:val="24"/>
              </w:rPr>
              <w:t>Hourly Mean Wage</w:t>
            </w:r>
          </w:p>
        </w:tc>
        <w:tc>
          <w:tcPr>
            <w:tcW w:w="1480" w:type="dxa"/>
            <w:tcBorders>
              <w:top w:val="single" w:sz="4" w:space="0" w:color="auto"/>
              <w:left w:val="nil"/>
              <w:bottom w:val="single" w:sz="4" w:space="0" w:color="auto"/>
              <w:right w:val="single" w:sz="4" w:space="0" w:color="auto"/>
            </w:tcBorders>
            <w:shd w:val="clear" w:color="CCCCCC" w:fill="D9D9D9"/>
            <w:vAlign w:val="bottom"/>
            <w:hideMark/>
          </w:tcPr>
          <w:p w:rsidR="00E07338" w:rsidRPr="004A1FA1" w:rsidP="002730D2" w14:paraId="25E638BD" w14:textId="77777777">
            <w:pPr>
              <w:jc w:val="center"/>
              <w:rPr>
                <w:b/>
                <w:bCs/>
                <w:color w:val="000000"/>
                <w:sz w:val="24"/>
              </w:rPr>
            </w:pPr>
            <w:r w:rsidRPr="00C95384">
              <w:rPr>
                <w:b/>
                <w:bCs/>
                <w:color w:val="000000"/>
                <w:sz w:val="24"/>
              </w:rPr>
              <w:t>Hours/</w:t>
            </w:r>
          </w:p>
          <w:p w:rsidR="00E07338" w:rsidRPr="00C95384" w:rsidP="002730D2" w14:paraId="0C1B6435" w14:textId="77777777">
            <w:pPr>
              <w:jc w:val="center"/>
              <w:rPr>
                <w:b/>
                <w:bCs/>
                <w:color w:val="000000"/>
                <w:sz w:val="24"/>
              </w:rPr>
            </w:pPr>
            <w:r w:rsidRPr="00C95384">
              <w:rPr>
                <w:b/>
                <w:bCs/>
                <w:color w:val="000000"/>
                <w:sz w:val="24"/>
              </w:rPr>
              <w:t>Task</w:t>
            </w:r>
          </w:p>
        </w:tc>
        <w:tc>
          <w:tcPr>
            <w:tcW w:w="1700" w:type="dxa"/>
            <w:tcBorders>
              <w:top w:val="single" w:sz="4" w:space="0" w:color="auto"/>
              <w:left w:val="nil"/>
              <w:bottom w:val="single" w:sz="4" w:space="0" w:color="auto"/>
              <w:right w:val="single" w:sz="4" w:space="0" w:color="auto"/>
            </w:tcBorders>
            <w:shd w:val="clear" w:color="CCCCCC" w:fill="D9D9D9"/>
            <w:vAlign w:val="bottom"/>
            <w:hideMark/>
          </w:tcPr>
          <w:p w:rsidR="00E07338" w:rsidRPr="004A1FA1" w:rsidP="002730D2" w14:paraId="11E00BEA" w14:textId="77777777">
            <w:pPr>
              <w:jc w:val="center"/>
              <w:rPr>
                <w:b/>
                <w:bCs/>
                <w:color w:val="000000"/>
                <w:sz w:val="24"/>
              </w:rPr>
            </w:pPr>
            <w:r w:rsidRPr="00C95384">
              <w:rPr>
                <w:b/>
                <w:bCs/>
                <w:color w:val="000000"/>
                <w:sz w:val="24"/>
              </w:rPr>
              <w:t>Cost/</w:t>
            </w:r>
          </w:p>
          <w:p w:rsidR="00E07338" w:rsidRPr="00C95384" w:rsidP="002730D2" w14:paraId="5B35CE7F" w14:textId="77777777">
            <w:pPr>
              <w:jc w:val="center"/>
              <w:rPr>
                <w:b/>
                <w:bCs/>
                <w:color w:val="000000"/>
                <w:sz w:val="24"/>
              </w:rPr>
            </w:pPr>
            <w:r w:rsidRPr="00C95384">
              <w:rPr>
                <w:b/>
                <w:bCs/>
                <w:color w:val="000000"/>
                <w:sz w:val="24"/>
              </w:rPr>
              <w:t>Task</w:t>
            </w:r>
          </w:p>
        </w:tc>
      </w:tr>
      <w:tr w14:paraId="4F43F5CD" w14:textId="77777777" w:rsidTr="002730D2">
        <w:tblPrEx>
          <w:tblW w:w="8900" w:type="dxa"/>
          <w:tblInd w:w="265" w:type="dxa"/>
          <w:tblLook w:val="04A0"/>
        </w:tblPrEx>
        <w:trPr>
          <w:trHeight w:val="313"/>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E07338" w:rsidRPr="00C95384" w:rsidP="002730D2" w14:paraId="3C506329" w14:textId="77777777">
            <w:pPr>
              <w:rPr>
                <w:color w:val="000000"/>
                <w:sz w:val="24"/>
              </w:rPr>
            </w:pPr>
            <w:r w:rsidRPr="00C95384">
              <w:rPr>
                <w:color w:val="000000"/>
                <w:sz w:val="24"/>
              </w:rPr>
              <w:t>Registered Nurse</w:t>
            </w:r>
            <w:r>
              <w:rPr>
                <w:color w:val="000000"/>
                <w:sz w:val="24"/>
              </w:rPr>
              <w:t>/RN</w:t>
            </w:r>
          </w:p>
        </w:tc>
        <w:tc>
          <w:tcPr>
            <w:tcW w:w="1620" w:type="dxa"/>
            <w:tcBorders>
              <w:top w:val="nil"/>
              <w:left w:val="nil"/>
              <w:bottom w:val="single" w:sz="4" w:space="0" w:color="auto"/>
              <w:right w:val="single" w:sz="4" w:space="0" w:color="auto"/>
            </w:tcBorders>
            <w:shd w:val="clear" w:color="auto" w:fill="auto"/>
            <w:noWrap/>
            <w:vAlign w:val="bottom"/>
            <w:hideMark/>
          </w:tcPr>
          <w:p w:rsidR="00E07338" w:rsidRPr="00C95384" w:rsidP="002730D2" w14:paraId="72F8FAD3" w14:textId="77777777">
            <w:pPr>
              <w:jc w:val="center"/>
              <w:rPr>
                <w:color w:val="000000"/>
                <w:sz w:val="24"/>
              </w:rPr>
            </w:pPr>
            <w:r w:rsidRPr="00C95384">
              <w:rPr>
                <w:color w:val="000000"/>
                <w:sz w:val="24"/>
              </w:rPr>
              <w:t>$72</w:t>
            </w:r>
          </w:p>
        </w:tc>
        <w:tc>
          <w:tcPr>
            <w:tcW w:w="1480" w:type="dxa"/>
            <w:tcBorders>
              <w:top w:val="nil"/>
              <w:left w:val="nil"/>
              <w:bottom w:val="single" w:sz="4" w:space="0" w:color="auto"/>
              <w:right w:val="single" w:sz="4" w:space="0" w:color="auto"/>
            </w:tcBorders>
            <w:shd w:val="clear" w:color="auto" w:fill="auto"/>
            <w:vAlign w:val="bottom"/>
            <w:hideMark/>
          </w:tcPr>
          <w:p w:rsidR="00E07338" w:rsidRPr="00C95384" w:rsidP="002730D2" w14:paraId="54BB762C" w14:textId="77777777">
            <w:pPr>
              <w:jc w:val="center"/>
              <w:rPr>
                <w:color w:val="000000"/>
                <w:sz w:val="24"/>
              </w:rPr>
            </w:pPr>
            <w:r w:rsidRPr="00C95384">
              <w:rPr>
                <w:color w:val="000000"/>
                <w:sz w:val="24"/>
              </w:rPr>
              <w:t>6.0</w:t>
            </w:r>
          </w:p>
        </w:tc>
        <w:tc>
          <w:tcPr>
            <w:tcW w:w="1700" w:type="dxa"/>
            <w:tcBorders>
              <w:top w:val="nil"/>
              <w:left w:val="nil"/>
              <w:bottom w:val="single" w:sz="4" w:space="0" w:color="auto"/>
              <w:right w:val="single" w:sz="4" w:space="0" w:color="auto"/>
            </w:tcBorders>
            <w:shd w:val="clear" w:color="auto" w:fill="auto"/>
            <w:noWrap/>
            <w:vAlign w:val="bottom"/>
            <w:hideMark/>
          </w:tcPr>
          <w:p w:rsidR="00E07338" w:rsidRPr="00C95384" w:rsidP="002730D2" w14:paraId="36B16A33" w14:textId="77777777">
            <w:pPr>
              <w:jc w:val="center"/>
              <w:rPr>
                <w:color w:val="000000"/>
                <w:sz w:val="24"/>
              </w:rPr>
            </w:pPr>
            <w:r w:rsidRPr="00C95384">
              <w:rPr>
                <w:color w:val="000000"/>
                <w:sz w:val="24"/>
              </w:rPr>
              <w:t>$432</w:t>
            </w:r>
          </w:p>
        </w:tc>
      </w:tr>
      <w:tr w14:paraId="6D267A38" w14:textId="77777777" w:rsidTr="002730D2">
        <w:tblPrEx>
          <w:tblW w:w="8900" w:type="dxa"/>
          <w:tblInd w:w="265" w:type="dxa"/>
          <w:tblLook w:val="04A0"/>
        </w:tblPrEx>
        <w:trPr>
          <w:trHeight w:val="317"/>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E07338" w:rsidRPr="00C95384" w:rsidP="002730D2" w14:paraId="7D399A0D" w14:textId="77777777">
            <w:pPr>
              <w:jc w:val="right"/>
              <w:rPr>
                <w:color w:val="000000"/>
                <w:sz w:val="24"/>
              </w:rPr>
            </w:pPr>
            <w:r w:rsidRPr="00C95384">
              <w:rPr>
                <w:color w:val="000000"/>
                <w:sz w:val="24"/>
              </w:rPr>
              <w:t># of Facilities Impacted</w:t>
            </w:r>
          </w:p>
        </w:tc>
        <w:tc>
          <w:tcPr>
            <w:tcW w:w="1620" w:type="dxa"/>
            <w:tcBorders>
              <w:top w:val="nil"/>
              <w:left w:val="nil"/>
              <w:bottom w:val="single" w:sz="4" w:space="0" w:color="auto"/>
              <w:right w:val="single" w:sz="4" w:space="0" w:color="auto"/>
            </w:tcBorders>
            <w:shd w:val="clear" w:color="auto" w:fill="auto"/>
            <w:noWrap/>
            <w:vAlign w:val="bottom"/>
            <w:hideMark/>
          </w:tcPr>
          <w:p w:rsidR="00E07338" w:rsidRPr="00C95384" w:rsidP="002730D2" w14:paraId="25D7EA19" w14:textId="77777777">
            <w:pPr>
              <w:jc w:val="center"/>
              <w:rPr>
                <w:color w:val="000000"/>
                <w:sz w:val="24"/>
              </w:rPr>
            </w:pPr>
            <w:r w:rsidRPr="00C95384">
              <w:rPr>
                <w:color w:val="000000"/>
                <w:sz w:val="24"/>
              </w:rPr>
              <w:t>5,52</w:t>
            </w:r>
            <w:r>
              <w:rPr>
                <w:color w:val="000000"/>
                <w:sz w:val="24"/>
              </w:rPr>
              <w:t>3</w:t>
            </w:r>
          </w:p>
        </w:tc>
        <w:tc>
          <w:tcPr>
            <w:tcW w:w="1480" w:type="dxa"/>
            <w:tcBorders>
              <w:top w:val="nil"/>
              <w:left w:val="nil"/>
              <w:bottom w:val="single" w:sz="4" w:space="0" w:color="auto"/>
              <w:right w:val="single" w:sz="4" w:space="0" w:color="auto"/>
            </w:tcBorders>
            <w:shd w:val="clear" w:color="auto" w:fill="auto"/>
            <w:vAlign w:val="bottom"/>
            <w:hideMark/>
          </w:tcPr>
          <w:p w:rsidR="00E07338" w:rsidRPr="00C95384" w:rsidP="002730D2" w14:paraId="673C80D8" w14:textId="77777777">
            <w:pPr>
              <w:jc w:val="center"/>
              <w:rPr>
                <w:color w:val="000000"/>
                <w:sz w:val="24"/>
              </w:rPr>
            </w:pPr>
            <w:r w:rsidRPr="00C95384">
              <w:rPr>
                <w:color w:val="000000"/>
                <w:sz w:val="24"/>
              </w:rPr>
              <w:t> </w:t>
            </w:r>
          </w:p>
        </w:tc>
        <w:tc>
          <w:tcPr>
            <w:tcW w:w="1700" w:type="dxa"/>
            <w:tcBorders>
              <w:top w:val="nil"/>
              <w:left w:val="nil"/>
              <w:bottom w:val="single" w:sz="4" w:space="0" w:color="auto"/>
              <w:right w:val="single" w:sz="4" w:space="0" w:color="auto"/>
            </w:tcBorders>
            <w:shd w:val="clear" w:color="auto" w:fill="auto"/>
            <w:vAlign w:val="bottom"/>
            <w:hideMark/>
          </w:tcPr>
          <w:p w:rsidR="00E07338" w:rsidRPr="00C95384" w:rsidP="002730D2" w14:paraId="1727CE6A" w14:textId="77777777">
            <w:pPr>
              <w:jc w:val="center"/>
              <w:rPr>
                <w:color w:val="000000"/>
                <w:sz w:val="24"/>
              </w:rPr>
            </w:pPr>
            <w:r w:rsidRPr="00C95384">
              <w:rPr>
                <w:color w:val="000000"/>
                <w:sz w:val="24"/>
              </w:rPr>
              <w:t> </w:t>
            </w:r>
          </w:p>
        </w:tc>
      </w:tr>
      <w:tr w14:paraId="2CAF0F6B" w14:textId="77777777" w:rsidTr="002730D2">
        <w:tblPrEx>
          <w:tblW w:w="8900" w:type="dxa"/>
          <w:tblInd w:w="265" w:type="dxa"/>
          <w:tblLook w:val="04A0"/>
        </w:tblPrEx>
        <w:trPr>
          <w:trHeight w:val="317"/>
        </w:trPr>
        <w:tc>
          <w:tcPr>
            <w:tcW w:w="4100" w:type="dxa"/>
            <w:tcBorders>
              <w:top w:val="nil"/>
              <w:left w:val="single" w:sz="4" w:space="0" w:color="auto"/>
              <w:bottom w:val="single" w:sz="4" w:space="0" w:color="auto"/>
              <w:right w:val="single" w:sz="4" w:space="0" w:color="auto"/>
            </w:tcBorders>
            <w:shd w:val="clear" w:color="000000" w:fill="D9D9D9"/>
            <w:vAlign w:val="bottom"/>
            <w:hideMark/>
          </w:tcPr>
          <w:p w:rsidR="00E07338" w:rsidRPr="00C95384" w:rsidP="002730D2" w14:paraId="782B9BA5" w14:textId="77777777">
            <w:pPr>
              <w:jc w:val="right"/>
              <w:rPr>
                <w:b/>
                <w:bCs/>
                <w:color w:val="000000"/>
                <w:sz w:val="24"/>
              </w:rPr>
            </w:pPr>
            <w:r w:rsidRPr="00C95384">
              <w:rPr>
                <w:b/>
                <w:bCs/>
                <w:color w:val="000000"/>
                <w:sz w:val="24"/>
              </w:rPr>
              <w:t xml:space="preserve">Total Annual Burden/Costs </w:t>
            </w:r>
          </w:p>
        </w:tc>
        <w:tc>
          <w:tcPr>
            <w:tcW w:w="1620" w:type="dxa"/>
            <w:tcBorders>
              <w:top w:val="nil"/>
              <w:left w:val="nil"/>
              <w:bottom w:val="single" w:sz="4" w:space="0" w:color="auto"/>
              <w:right w:val="single" w:sz="4" w:space="0" w:color="auto"/>
            </w:tcBorders>
            <w:shd w:val="clear" w:color="000000" w:fill="D9D9D9"/>
            <w:vAlign w:val="bottom"/>
            <w:hideMark/>
          </w:tcPr>
          <w:p w:rsidR="00E07338" w:rsidRPr="00C95384" w:rsidP="002730D2" w14:paraId="3BFEF8F6" w14:textId="77777777">
            <w:pPr>
              <w:jc w:val="center"/>
              <w:rPr>
                <w:b/>
                <w:bCs/>
                <w:color w:val="000000"/>
                <w:sz w:val="24"/>
              </w:rPr>
            </w:pPr>
            <w:r w:rsidRPr="00C95384">
              <w:rPr>
                <w:b/>
                <w:bCs/>
                <w:color w:val="000000"/>
                <w:sz w:val="24"/>
              </w:rPr>
              <w:t> </w:t>
            </w:r>
          </w:p>
        </w:tc>
        <w:tc>
          <w:tcPr>
            <w:tcW w:w="1480" w:type="dxa"/>
            <w:tcBorders>
              <w:top w:val="nil"/>
              <w:left w:val="nil"/>
              <w:bottom w:val="single" w:sz="4" w:space="0" w:color="auto"/>
              <w:right w:val="single" w:sz="4" w:space="0" w:color="auto"/>
            </w:tcBorders>
            <w:shd w:val="clear" w:color="000000" w:fill="D9D9D9"/>
            <w:noWrap/>
            <w:vAlign w:val="bottom"/>
            <w:hideMark/>
          </w:tcPr>
          <w:p w:rsidR="00E07338" w:rsidRPr="00C95384" w:rsidP="002730D2" w14:paraId="3FA1BE1F" w14:textId="77777777">
            <w:pPr>
              <w:jc w:val="center"/>
              <w:rPr>
                <w:b/>
                <w:bCs/>
                <w:color w:val="000000"/>
                <w:sz w:val="24"/>
              </w:rPr>
            </w:pPr>
            <w:r w:rsidRPr="00C95384">
              <w:rPr>
                <w:b/>
                <w:bCs/>
                <w:color w:val="000000"/>
                <w:sz w:val="24"/>
              </w:rPr>
              <w:t>33,1</w:t>
            </w:r>
            <w:r>
              <w:rPr>
                <w:b/>
                <w:bCs/>
                <w:color w:val="000000"/>
                <w:sz w:val="24"/>
              </w:rPr>
              <w:t>38</w:t>
            </w:r>
          </w:p>
        </w:tc>
        <w:tc>
          <w:tcPr>
            <w:tcW w:w="1700" w:type="dxa"/>
            <w:tcBorders>
              <w:top w:val="nil"/>
              <w:left w:val="nil"/>
              <w:bottom w:val="single" w:sz="4" w:space="0" w:color="auto"/>
              <w:right w:val="single" w:sz="4" w:space="0" w:color="auto"/>
            </w:tcBorders>
            <w:shd w:val="clear" w:color="000000" w:fill="D9D9D9"/>
            <w:vAlign w:val="bottom"/>
            <w:hideMark/>
          </w:tcPr>
          <w:p w:rsidR="00E07338" w:rsidRPr="00C95384" w:rsidP="002730D2" w14:paraId="3B07936A" w14:textId="77777777">
            <w:pPr>
              <w:jc w:val="center"/>
              <w:rPr>
                <w:b/>
                <w:bCs/>
                <w:color w:val="000000"/>
                <w:sz w:val="24"/>
              </w:rPr>
            </w:pPr>
            <w:r w:rsidRPr="00C95384">
              <w:rPr>
                <w:b/>
                <w:bCs/>
                <w:color w:val="000000"/>
                <w:sz w:val="24"/>
              </w:rPr>
              <w:t>$2,38</w:t>
            </w:r>
            <w:r>
              <w:rPr>
                <w:b/>
                <w:bCs/>
                <w:color w:val="000000"/>
                <w:sz w:val="24"/>
              </w:rPr>
              <w:t>5,936</w:t>
            </w:r>
          </w:p>
        </w:tc>
      </w:tr>
    </w:tbl>
    <w:p w:rsidR="00BE240E" w:rsidP="00E07338" w14:paraId="2CB48CF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p>
    <w:p w:rsidR="00AF4E4C" w:rsidRPr="00372A46" w:rsidP="00FF25D1" w14:paraId="6AC2D22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napToGrid w:val="0"/>
          <w:sz w:val="24"/>
          <w:szCs w:val="20"/>
        </w:rPr>
      </w:pPr>
    </w:p>
    <w:p w:rsidR="00372A46" w:rsidRPr="00B1439A" w:rsidP="003B7CDD" w14:paraId="691A968E" w14:textId="65450CC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sz w:val="24"/>
          <w:szCs w:val="20"/>
          <w:u w:val="single"/>
        </w:rPr>
      </w:pPr>
      <w:r w:rsidRPr="002E66A9">
        <w:rPr>
          <w:b/>
          <w:bCs/>
          <w:snapToGrid w:val="0"/>
          <w:sz w:val="24"/>
          <w:szCs w:val="20"/>
          <w:u w:val="single"/>
        </w:rPr>
        <w:t>IC-3</w:t>
      </w:r>
      <w:r w:rsidRPr="002E66A9" w:rsidR="002E66A9">
        <w:rPr>
          <w:b/>
          <w:bCs/>
          <w:snapToGrid w:val="0"/>
          <w:sz w:val="24"/>
          <w:szCs w:val="20"/>
          <w:u w:val="single"/>
        </w:rPr>
        <w:t xml:space="preserve">: </w:t>
      </w:r>
      <w:r w:rsidRPr="002E66A9">
        <w:rPr>
          <w:b/>
          <w:bCs/>
          <w:snapToGrid w:val="0"/>
          <w:sz w:val="24"/>
          <w:szCs w:val="20"/>
          <w:u w:val="single"/>
        </w:rPr>
        <w:t>§483</w:t>
      </w:r>
      <w:r w:rsidRPr="002E66A9" w:rsidR="00F81ED0">
        <w:rPr>
          <w:b/>
          <w:bCs/>
          <w:snapToGrid w:val="0"/>
          <w:sz w:val="24"/>
          <w:szCs w:val="20"/>
          <w:u w:val="single"/>
        </w:rPr>
        <w:t xml:space="preserve">.460(a)(4)(ii), (iii), and (iv) </w:t>
      </w:r>
      <w:r w:rsidRPr="002E66A9" w:rsidR="003B7CDD">
        <w:rPr>
          <w:b/>
          <w:bCs/>
          <w:snapToGrid w:val="0"/>
          <w:sz w:val="24"/>
          <w:szCs w:val="20"/>
          <w:u w:val="single"/>
        </w:rPr>
        <w:t>- One time development of e</w:t>
      </w:r>
      <w:r w:rsidRPr="00B1439A" w:rsidR="00F81ED0">
        <w:rPr>
          <w:b/>
          <w:bCs/>
          <w:snapToGrid w:val="0"/>
          <w:sz w:val="24"/>
          <w:szCs w:val="20"/>
          <w:u w:val="single"/>
        </w:rPr>
        <w:t>ducation</w:t>
      </w:r>
      <w:r w:rsidRPr="00B1439A" w:rsidR="003B7CDD">
        <w:rPr>
          <w:b/>
          <w:bCs/>
          <w:snapToGrid w:val="0"/>
          <w:sz w:val="24"/>
          <w:szCs w:val="20"/>
          <w:u w:val="single"/>
        </w:rPr>
        <w:t>al material</w:t>
      </w:r>
      <w:r w:rsidRPr="00B1439A" w:rsidR="00F81ED0">
        <w:rPr>
          <w:b/>
          <w:bCs/>
          <w:snapToGrid w:val="0"/>
          <w:sz w:val="24"/>
          <w:szCs w:val="20"/>
          <w:u w:val="single"/>
        </w:rPr>
        <w:t xml:space="preserve">s for </w:t>
      </w:r>
      <w:r w:rsidRPr="00B1439A" w:rsidR="003B7CDD">
        <w:rPr>
          <w:b/>
          <w:bCs/>
          <w:snapToGrid w:val="0"/>
          <w:sz w:val="24"/>
          <w:szCs w:val="20"/>
          <w:u w:val="single"/>
        </w:rPr>
        <w:t>s</w:t>
      </w:r>
      <w:r w:rsidRPr="00B1439A" w:rsidR="00F81ED0">
        <w:rPr>
          <w:b/>
          <w:bCs/>
          <w:snapToGrid w:val="0"/>
          <w:sz w:val="24"/>
          <w:szCs w:val="20"/>
          <w:u w:val="single"/>
        </w:rPr>
        <w:t xml:space="preserve">taff and </w:t>
      </w:r>
      <w:r w:rsidRPr="00B1439A" w:rsidR="003B7CDD">
        <w:rPr>
          <w:b/>
          <w:bCs/>
          <w:snapToGrid w:val="0"/>
          <w:sz w:val="24"/>
          <w:szCs w:val="20"/>
          <w:u w:val="single"/>
        </w:rPr>
        <w:t>c</w:t>
      </w:r>
      <w:r w:rsidRPr="00B1439A" w:rsidR="00F81ED0">
        <w:rPr>
          <w:b/>
          <w:bCs/>
          <w:snapToGrid w:val="0"/>
          <w:sz w:val="24"/>
          <w:szCs w:val="20"/>
          <w:u w:val="single"/>
        </w:rPr>
        <w:t>lients</w:t>
      </w:r>
    </w:p>
    <w:p w:rsidR="003B7CDD" w:rsidRPr="00452AB6" w:rsidP="003B7CDD" w14:paraId="7A7B9A20" w14:textId="4D54C43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r>
        <w:rPr>
          <w:snapToGrid w:val="0"/>
          <w:sz w:val="24"/>
          <w:szCs w:val="20"/>
        </w:rPr>
        <w:t xml:space="preserve">As finalized in the </w:t>
      </w:r>
      <w:hyperlink r:id="rId12" w:anchor="h-24" w:history="1">
        <w:r w:rsidRPr="00992FF2">
          <w:rPr>
            <w:rStyle w:val="Hyperlink"/>
            <w:snapToGrid w:val="0"/>
            <w:sz w:val="24"/>
            <w:szCs w:val="20"/>
          </w:rPr>
          <w:t xml:space="preserve">June 2023 </w:t>
        </w:r>
        <w:r>
          <w:rPr>
            <w:rStyle w:val="Hyperlink"/>
            <w:snapToGrid w:val="0"/>
            <w:sz w:val="24"/>
            <w:szCs w:val="20"/>
          </w:rPr>
          <w:t>Final R</w:t>
        </w:r>
        <w:r w:rsidRPr="00992FF2">
          <w:rPr>
            <w:rStyle w:val="Hyperlink"/>
            <w:snapToGrid w:val="0"/>
            <w:sz w:val="24"/>
            <w:szCs w:val="20"/>
          </w:rPr>
          <w:t>ule</w:t>
        </w:r>
      </w:hyperlink>
      <w:r>
        <w:rPr>
          <w:snapToGrid w:val="0"/>
          <w:sz w:val="24"/>
          <w:szCs w:val="20"/>
        </w:rPr>
        <w:t>, the CoPs require ICFs-IID</w:t>
      </w:r>
      <w:r w:rsidRPr="00452AB6">
        <w:rPr>
          <w:snapToGrid w:val="0"/>
          <w:sz w:val="24"/>
          <w:szCs w:val="20"/>
        </w:rPr>
        <w:t xml:space="preserve"> to educate their staff (§483.460(a)(4)(ii)) and their clients</w:t>
      </w:r>
      <w:r>
        <w:rPr>
          <w:snapToGrid w:val="0"/>
          <w:sz w:val="24"/>
          <w:szCs w:val="20"/>
        </w:rPr>
        <w:t xml:space="preserve"> (or the client’s representative)</w:t>
      </w:r>
      <w:r w:rsidRPr="00452AB6">
        <w:rPr>
          <w:snapToGrid w:val="0"/>
          <w:sz w:val="24"/>
          <w:szCs w:val="20"/>
        </w:rPr>
        <w:t xml:space="preserve"> ((§483.460(a)(4)(iii))</w:t>
      </w:r>
      <w:r>
        <w:rPr>
          <w:snapToGrid w:val="0"/>
          <w:sz w:val="24"/>
          <w:szCs w:val="20"/>
        </w:rPr>
        <w:t xml:space="preserve"> about the </w:t>
      </w:r>
      <w:r w:rsidRPr="00372A46">
        <w:rPr>
          <w:snapToGrid w:val="0"/>
          <w:sz w:val="24"/>
          <w:szCs w:val="20"/>
        </w:rPr>
        <w:t xml:space="preserve">benefits and potential risks </w:t>
      </w:r>
      <w:r>
        <w:rPr>
          <w:snapToGrid w:val="0"/>
          <w:sz w:val="24"/>
          <w:szCs w:val="20"/>
        </w:rPr>
        <w:t xml:space="preserve">of taking or refusing to take </w:t>
      </w:r>
      <w:r w:rsidRPr="00F67479">
        <w:rPr>
          <w:snapToGrid w:val="0"/>
          <w:sz w:val="24"/>
          <w:szCs w:val="20"/>
        </w:rPr>
        <w:t>the COVID-19 vaccine</w:t>
      </w:r>
      <w:r>
        <w:rPr>
          <w:snapToGrid w:val="0"/>
          <w:sz w:val="24"/>
          <w:szCs w:val="20"/>
        </w:rPr>
        <w:t xml:space="preserve"> prior to being </w:t>
      </w:r>
      <w:r>
        <w:rPr>
          <w:snapToGrid w:val="0"/>
          <w:sz w:val="24"/>
          <w:szCs w:val="20"/>
        </w:rPr>
        <w:t>offered the vaccine.</w:t>
      </w:r>
      <w:r>
        <w:rPr>
          <w:rStyle w:val="FootnoteReference"/>
          <w:snapToGrid w:val="0"/>
          <w:szCs w:val="20"/>
        </w:rPr>
        <w:footnoteReference w:id="11"/>
      </w:r>
      <w:r>
        <w:rPr>
          <w:snapToGrid w:val="0"/>
          <w:sz w:val="24"/>
          <w:szCs w:val="20"/>
        </w:rPr>
        <w:t xml:space="preserve"> </w:t>
      </w:r>
      <w:r w:rsidR="005D4AD3">
        <w:rPr>
          <w:snapToGrid w:val="0"/>
          <w:sz w:val="24"/>
          <w:szCs w:val="20"/>
        </w:rPr>
        <w:t xml:space="preserve"> </w:t>
      </w:r>
      <w:r>
        <w:rPr>
          <w:snapToGrid w:val="0"/>
          <w:sz w:val="24"/>
          <w:szCs w:val="20"/>
        </w:rPr>
        <w:t xml:space="preserve">ICFs-IID must also educate staff and clients about the benefits and risks of taking </w:t>
      </w:r>
      <w:r w:rsidRPr="00372A46">
        <w:rPr>
          <w:snapToGrid w:val="0"/>
          <w:sz w:val="24"/>
          <w:szCs w:val="20"/>
        </w:rPr>
        <w:t>additional doses of the COVID-19 vaccine</w:t>
      </w:r>
      <w:r>
        <w:rPr>
          <w:snapToGrid w:val="0"/>
          <w:sz w:val="24"/>
          <w:szCs w:val="20"/>
        </w:rPr>
        <w:t xml:space="preserve"> prior to offering them to staff and clients per Section </w:t>
      </w:r>
      <w:r w:rsidRPr="00452AB6">
        <w:rPr>
          <w:snapToGrid w:val="0"/>
          <w:sz w:val="24"/>
          <w:szCs w:val="20"/>
        </w:rPr>
        <w:t>483.460(a)(4)(iv).</w:t>
      </w:r>
    </w:p>
    <w:p w:rsidR="003B7CDD" w:rsidP="003B7CDD" w14:paraId="72D4B28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p>
    <w:p w:rsidR="003B7CDD" w:rsidP="003B7CDD" w14:paraId="60F5FD24" w14:textId="38177F0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r>
        <w:rPr>
          <w:snapToGrid w:val="0"/>
          <w:sz w:val="24"/>
          <w:szCs w:val="20"/>
        </w:rPr>
        <w:t>In order to provide this education to staff and clients, the ICF-IID must first compile or create the educational materials that will be used to explain the risks and benefits. We assume each ICF-IID would tailor its educational materials based on the local and state laws of where the facility is located and the primary languages of clients or client representatives with Limited English Proficiency (LEP) per Title VI of the Civil Rights Act. In addition, the educational materials used must comply with all accessibility standards, such as Section 504 of the Rehabilitation Act. For example, the educational materials may need to be in</w:t>
      </w:r>
      <w:r w:rsidRPr="00F74E7E">
        <w:rPr>
          <w:snapToGrid w:val="0"/>
          <w:sz w:val="24"/>
          <w:szCs w:val="20"/>
        </w:rPr>
        <w:t xml:space="preserve"> braille or large print for those who are visually-impaired or in American Sign Language for those who are hearing-impaired</w:t>
      </w:r>
      <w:r>
        <w:rPr>
          <w:snapToGrid w:val="0"/>
          <w:sz w:val="24"/>
          <w:szCs w:val="20"/>
        </w:rPr>
        <w:t>.</w:t>
      </w:r>
      <w:r>
        <w:rPr>
          <w:rStyle w:val="FootnoteReference"/>
          <w:snapToGrid w:val="0"/>
          <w:szCs w:val="20"/>
        </w:rPr>
        <w:footnoteReference w:id="12"/>
      </w:r>
      <w:r>
        <w:rPr>
          <w:snapToGrid w:val="0"/>
          <w:sz w:val="24"/>
          <w:szCs w:val="20"/>
        </w:rPr>
        <w:t xml:space="preserve"> We also assume each ICF-IID could use existing, accessible educational materials created by trusted resources such as the CDC or FDA and the materials used to educate clients could also be used to educate staff.</w:t>
      </w:r>
    </w:p>
    <w:p w:rsidR="003B7CDD" w:rsidP="003B7CDD" w14:paraId="57FD265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p>
    <w:p w:rsidR="003B7CDD" w:rsidP="003B7CDD" w14:paraId="25B4D6C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r>
        <w:rPr>
          <w:snapToGrid w:val="0"/>
          <w:sz w:val="24"/>
          <w:szCs w:val="20"/>
        </w:rPr>
        <w:t xml:space="preserve">Based on these assumptions, we determine the one-time burden of developing the materials need to educate staff and clients about the benefits and potential risks of the required vaccines for both </w:t>
      </w:r>
      <w:r w:rsidRPr="00DD019A">
        <w:rPr>
          <w:b/>
          <w:bCs/>
          <w:i/>
          <w:iCs/>
          <w:snapToGrid w:val="0"/>
          <w:sz w:val="24"/>
          <w:szCs w:val="20"/>
        </w:rPr>
        <w:t>existing and newly certified</w:t>
      </w:r>
      <w:r>
        <w:rPr>
          <w:snapToGrid w:val="0"/>
          <w:sz w:val="24"/>
          <w:szCs w:val="20"/>
        </w:rPr>
        <w:t xml:space="preserve"> facilities below. We estimate that compiling and or creating the required education materials as discussed above would initially take 7 hours for an RN at each ICF-IID facility.</w:t>
      </w:r>
      <w:r>
        <w:rPr>
          <w:rStyle w:val="FootnoteReference"/>
          <w:snapToGrid w:val="0"/>
          <w:szCs w:val="20"/>
        </w:rPr>
        <w:footnoteReference w:id="13"/>
      </w:r>
      <w:r>
        <w:rPr>
          <w:snapToGrid w:val="0"/>
          <w:sz w:val="24"/>
          <w:szCs w:val="20"/>
        </w:rPr>
        <w:t xml:space="preserve"> </w:t>
      </w:r>
    </w:p>
    <w:p w:rsidR="00AF4E4C" w:rsidP="003B7CDD" w14:paraId="036566B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p>
    <w:p w:rsidR="003B7CDD" w:rsidP="003B7CDD" w14:paraId="7BDF2118" w14:textId="07A6F6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sz w:val="24"/>
          <w:szCs w:val="20"/>
        </w:rPr>
      </w:pPr>
      <w:r>
        <w:rPr>
          <w:b/>
          <w:bCs/>
          <w:snapToGrid w:val="0"/>
          <w:sz w:val="28"/>
          <w:szCs w:val="22"/>
        </w:rPr>
        <w:t xml:space="preserve">   </w:t>
      </w:r>
      <w:r w:rsidRPr="00140279">
        <w:rPr>
          <w:b/>
          <w:bCs/>
          <w:snapToGrid w:val="0"/>
          <w:sz w:val="28"/>
          <w:szCs w:val="22"/>
        </w:rPr>
        <w:t xml:space="preserve">Table </w:t>
      </w:r>
      <w:r>
        <w:rPr>
          <w:b/>
          <w:bCs/>
          <w:snapToGrid w:val="0"/>
          <w:sz w:val="28"/>
          <w:szCs w:val="22"/>
        </w:rPr>
        <w:t>5</w:t>
      </w:r>
      <w:r w:rsidRPr="00140279">
        <w:rPr>
          <w:b/>
          <w:bCs/>
          <w:snapToGrid w:val="0"/>
          <w:sz w:val="28"/>
          <w:szCs w:val="22"/>
        </w:rPr>
        <w:t>: I</w:t>
      </w:r>
      <w:r>
        <w:rPr>
          <w:b/>
          <w:bCs/>
          <w:snapToGrid w:val="0"/>
          <w:sz w:val="28"/>
          <w:szCs w:val="22"/>
        </w:rPr>
        <w:t>C-3:</w:t>
      </w:r>
      <w:r w:rsidRPr="00DD019A">
        <w:t xml:space="preserve"> </w:t>
      </w:r>
      <w:r w:rsidRPr="00DD019A">
        <w:rPr>
          <w:b/>
          <w:bCs/>
          <w:snapToGrid w:val="0"/>
          <w:sz w:val="28"/>
          <w:szCs w:val="22"/>
        </w:rPr>
        <w:t xml:space="preserve">One-time development of </w:t>
      </w:r>
      <w:r>
        <w:rPr>
          <w:b/>
          <w:bCs/>
          <w:snapToGrid w:val="0"/>
          <w:sz w:val="28"/>
          <w:szCs w:val="22"/>
        </w:rPr>
        <w:t>educational materials</w:t>
      </w:r>
    </w:p>
    <w:tbl>
      <w:tblPr>
        <w:tblW w:w="8900" w:type="dxa"/>
        <w:tblInd w:w="288" w:type="dxa"/>
        <w:tblLook w:val="04A0"/>
      </w:tblPr>
      <w:tblGrid>
        <w:gridCol w:w="3072"/>
        <w:gridCol w:w="1620"/>
        <w:gridCol w:w="1480"/>
        <w:gridCol w:w="2728"/>
      </w:tblGrid>
      <w:tr w14:paraId="71CDBFBD" w14:textId="77777777" w:rsidTr="00A71FE8">
        <w:tblPrEx>
          <w:tblW w:w="8900" w:type="dxa"/>
          <w:tblInd w:w="288" w:type="dxa"/>
          <w:tblLook w:val="04A0"/>
        </w:tblPrEx>
        <w:trPr>
          <w:trHeight w:val="317"/>
        </w:trPr>
        <w:tc>
          <w:tcPr>
            <w:tcW w:w="3072" w:type="dxa"/>
            <w:tcBorders>
              <w:top w:val="single" w:sz="4" w:space="0" w:color="auto"/>
              <w:left w:val="single" w:sz="4" w:space="0" w:color="auto"/>
              <w:bottom w:val="single" w:sz="4" w:space="0" w:color="auto"/>
              <w:right w:val="single" w:sz="4" w:space="0" w:color="auto"/>
            </w:tcBorders>
            <w:shd w:val="clear" w:color="CCCCCC" w:fill="D9D9D9"/>
            <w:vAlign w:val="bottom"/>
            <w:hideMark/>
          </w:tcPr>
          <w:p w:rsidR="003B7CDD" w:rsidRPr="00A71FE8" w:rsidP="00E820E7" w14:paraId="3A0596F9" w14:textId="3E4725C4">
            <w:pPr>
              <w:jc w:val="center"/>
              <w:rPr>
                <w:b/>
                <w:bCs/>
                <w:color w:val="000000"/>
                <w:sz w:val="24"/>
              </w:rPr>
            </w:pPr>
            <w:r w:rsidRPr="005640FF">
              <w:rPr>
                <w:b/>
                <w:bCs/>
                <w:color w:val="000000"/>
                <w:sz w:val="24"/>
              </w:rPr>
              <w:t>Task</w:t>
            </w:r>
            <w:r>
              <w:rPr>
                <w:b/>
                <w:bCs/>
                <w:color w:val="000000"/>
                <w:sz w:val="24"/>
              </w:rPr>
              <w:t xml:space="preserve"> per </w:t>
            </w:r>
            <w:r w:rsidRPr="005640FF">
              <w:rPr>
                <w:b/>
                <w:bCs/>
                <w:color w:val="000000"/>
                <w:sz w:val="24"/>
              </w:rPr>
              <w:t>Facility</w:t>
            </w:r>
          </w:p>
        </w:tc>
        <w:tc>
          <w:tcPr>
            <w:tcW w:w="1620" w:type="dxa"/>
            <w:tcBorders>
              <w:top w:val="single" w:sz="4" w:space="0" w:color="auto"/>
              <w:left w:val="nil"/>
              <w:bottom w:val="single" w:sz="4" w:space="0" w:color="auto"/>
              <w:right w:val="single" w:sz="4" w:space="0" w:color="auto"/>
            </w:tcBorders>
            <w:shd w:val="clear" w:color="CCCCCC" w:fill="D9D9D9"/>
            <w:vAlign w:val="bottom"/>
            <w:hideMark/>
          </w:tcPr>
          <w:p w:rsidR="003B7CDD" w:rsidRPr="00A71FE8" w:rsidP="00E820E7" w14:paraId="037D8EAD" w14:textId="77777777">
            <w:pPr>
              <w:jc w:val="center"/>
              <w:rPr>
                <w:b/>
                <w:bCs/>
                <w:color w:val="000000"/>
                <w:sz w:val="24"/>
              </w:rPr>
            </w:pPr>
            <w:r w:rsidRPr="00A71FE8">
              <w:rPr>
                <w:b/>
                <w:bCs/>
                <w:color w:val="000000"/>
                <w:sz w:val="24"/>
              </w:rPr>
              <w:t>Hourly Mean Wage</w:t>
            </w:r>
          </w:p>
        </w:tc>
        <w:tc>
          <w:tcPr>
            <w:tcW w:w="1480" w:type="dxa"/>
            <w:tcBorders>
              <w:top w:val="single" w:sz="4" w:space="0" w:color="auto"/>
              <w:left w:val="nil"/>
              <w:bottom w:val="single" w:sz="4" w:space="0" w:color="auto"/>
              <w:right w:val="single" w:sz="4" w:space="0" w:color="auto"/>
            </w:tcBorders>
            <w:shd w:val="clear" w:color="CCCCCC" w:fill="D9D9D9"/>
            <w:vAlign w:val="bottom"/>
            <w:hideMark/>
          </w:tcPr>
          <w:p w:rsidR="003B7CDD" w:rsidRPr="00A71FE8" w:rsidP="00E820E7" w14:paraId="02D72984" w14:textId="77777777">
            <w:pPr>
              <w:jc w:val="center"/>
              <w:rPr>
                <w:b/>
                <w:bCs/>
                <w:color w:val="000000"/>
                <w:sz w:val="24"/>
              </w:rPr>
            </w:pPr>
            <w:r w:rsidRPr="00A71FE8">
              <w:rPr>
                <w:b/>
                <w:bCs/>
                <w:color w:val="000000"/>
                <w:sz w:val="24"/>
              </w:rPr>
              <w:t>Hours/Task</w:t>
            </w:r>
          </w:p>
        </w:tc>
        <w:tc>
          <w:tcPr>
            <w:tcW w:w="2728" w:type="dxa"/>
            <w:tcBorders>
              <w:top w:val="single" w:sz="4" w:space="0" w:color="auto"/>
              <w:left w:val="nil"/>
              <w:bottom w:val="single" w:sz="4" w:space="0" w:color="auto"/>
              <w:right w:val="single" w:sz="4" w:space="0" w:color="auto"/>
            </w:tcBorders>
            <w:shd w:val="clear" w:color="CCCCCC" w:fill="D9D9D9"/>
            <w:vAlign w:val="bottom"/>
            <w:hideMark/>
          </w:tcPr>
          <w:p w:rsidR="003B7CDD" w:rsidRPr="00A71FE8" w:rsidP="00E820E7" w14:paraId="136055F1" w14:textId="77777777">
            <w:pPr>
              <w:jc w:val="center"/>
              <w:rPr>
                <w:b/>
                <w:bCs/>
                <w:color w:val="000000"/>
                <w:sz w:val="24"/>
              </w:rPr>
            </w:pPr>
            <w:r w:rsidRPr="00A71FE8">
              <w:rPr>
                <w:b/>
                <w:bCs/>
                <w:color w:val="000000"/>
                <w:sz w:val="24"/>
              </w:rPr>
              <w:t>Cost/Task</w:t>
            </w:r>
          </w:p>
        </w:tc>
      </w:tr>
      <w:tr w14:paraId="7184A879" w14:textId="77777777" w:rsidTr="00A71FE8">
        <w:tblPrEx>
          <w:tblW w:w="8900" w:type="dxa"/>
          <w:tblInd w:w="288" w:type="dxa"/>
          <w:tblLook w:val="04A0"/>
        </w:tblPrEx>
        <w:trPr>
          <w:trHeight w:val="317"/>
        </w:trPr>
        <w:tc>
          <w:tcPr>
            <w:tcW w:w="30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B7CDD" w:rsidRPr="005640FF" w:rsidP="00E820E7" w14:paraId="6C0A7F59" w14:textId="77777777">
            <w:pPr>
              <w:rPr>
                <w:color w:val="000000"/>
                <w:sz w:val="24"/>
              </w:rPr>
            </w:pPr>
            <w:r w:rsidRPr="005640FF">
              <w:rPr>
                <w:color w:val="000000"/>
                <w:sz w:val="24"/>
              </w:rPr>
              <w:t>Registered Nurse</w:t>
            </w:r>
            <w:r>
              <w:rPr>
                <w:color w:val="000000"/>
                <w:sz w:val="24"/>
              </w:rPr>
              <w:t>/RN</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3B7CDD" w:rsidRPr="005640FF" w:rsidP="00E820E7" w14:paraId="69C47A0E" w14:textId="77777777">
            <w:pPr>
              <w:jc w:val="center"/>
              <w:rPr>
                <w:color w:val="000000"/>
                <w:sz w:val="24"/>
              </w:rPr>
            </w:pPr>
            <w:r w:rsidRPr="005640FF">
              <w:rPr>
                <w:color w:val="000000"/>
                <w:sz w:val="24"/>
              </w:rPr>
              <w:t>$72</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rsidR="003B7CDD" w:rsidRPr="005640FF" w:rsidP="006B4EAF" w14:paraId="318B6DB0" w14:textId="77777777">
            <w:pPr>
              <w:jc w:val="center"/>
              <w:rPr>
                <w:color w:val="000000"/>
                <w:sz w:val="24"/>
              </w:rPr>
            </w:pPr>
            <w:r w:rsidRPr="005640FF">
              <w:rPr>
                <w:color w:val="000000"/>
                <w:sz w:val="24"/>
              </w:rPr>
              <w:t>7.0</w:t>
            </w:r>
          </w:p>
        </w:tc>
        <w:tc>
          <w:tcPr>
            <w:tcW w:w="2728" w:type="dxa"/>
            <w:tcBorders>
              <w:top w:val="single" w:sz="4" w:space="0" w:color="auto"/>
              <w:left w:val="nil"/>
              <w:bottom w:val="single" w:sz="4" w:space="0" w:color="auto"/>
              <w:right w:val="single" w:sz="4" w:space="0" w:color="auto"/>
            </w:tcBorders>
            <w:shd w:val="clear" w:color="auto" w:fill="auto"/>
            <w:noWrap/>
            <w:vAlign w:val="bottom"/>
            <w:hideMark/>
          </w:tcPr>
          <w:p w:rsidR="003B7CDD" w:rsidRPr="005640FF" w:rsidP="006B4EAF" w14:paraId="4CFBC36A" w14:textId="77777777">
            <w:pPr>
              <w:jc w:val="center"/>
              <w:rPr>
                <w:color w:val="000000"/>
                <w:sz w:val="24"/>
              </w:rPr>
            </w:pPr>
            <w:r w:rsidRPr="005640FF">
              <w:rPr>
                <w:color w:val="000000"/>
                <w:sz w:val="24"/>
              </w:rPr>
              <w:t>$504</w:t>
            </w:r>
          </w:p>
        </w:tc>
      </w:tr>
      <w:tr w14:paraId="56112545" w14:textId="77777777" w:rsidTr="00A71FE8">
        <w:tblPrEx>
          <w:tblW w:w="8900" w:type="dxa"/>
          <w:tblInd w:w="288" w:type="dxa"/>
          <w:tblLook w:val="04A0"/>
        </w:tblPrEx>
        <w:trPr>
          <w:trHeight w:val="317"/>
        </w:trPr>
        <w:tc>
          <w:tcPr>
            <w:tcW w:w="3072" w:type="dxa"/>
            <w:tcBorders>
              <w:top w:val="single" w:sz="4" w:space="0" w:color="auto"/>
              <w:bottom w:val="single" w:sz="4" w:space="0" w:color="auto"/>
            </w:tcBorders>
            <w:shd w:val="clear" w:color="auto" w:fill="auto"/>
            <w:vAlign w:val="bottom"/>
          </w:tcPr>
          <w:p w:rsidR="00A71FE8" w:rsidRPr="005640FF" w:rsidP="00A71FE8" w14:paraId="5F4E3B48" w14:textId="77777777">
            <w:pPr>
              <w:rPr>
                <w:color w:val="000000"/>
                <w:sz w:val="24"/>
              </w:rPr>
            </w:pPr>
          </w:p>
        </w:tc>
        <w:tc>
          <w:tcPr>
            <w:tcW w:w="1620" w:type="dxa"/>
            <w:tcBorders>
              <w:top w:val="single" w:sz="4" w:space="0" w:color="auto"/>
              <w:bottom w:val="single" w:sz="4" w:space="0" w:color="auto"/>
            </w:tcBorders>
            <w:shd w:val="clear" w:color="auto" w:fill="auto"/>
            <w:vAlign w:val="bottom"/>
          </w:tcPr>
          <w:p w:rsidR="00A71FE8" w:rsidRPr="005640FF" w:rsidP="00E820E7" w14:paraId="574525BA" w14:textId="77777777">
            <w:pPr>
              <w:jc w:val="center"/>
              <w:rPr>
                <w:color w:val="000000"/>
                <w:sz w:val="24"/>
              </w:rPr>
            </w:pPr>
          </w:p>
        </w:tc>
        <w:tc>
          <w:tcPr>
            <w:tcW w:w="1480" w:type="dxa"/>
            <w:tcBorders>
              <w:top w:val="single" w:sz="4" w:space="0" w:color="auto"/>
              <w:bottom w:val="single" w:sz="4" w:space="0" w:color="auto"/>
            </w:tcBorders>
            <w:shd w:val="clear" w:color="auto" w:fill="auto"/>
            <w:vAlign w:val="bottom"/>
          </w:tcPr>
          <w:p w:rsidR="00A71FE8" w:rsidRPr="00A71FE8" w:rsidP="00A71FE8" w14:paraId="12C531FB" w14:textId="77777777">
            <w:pPr>
              <w:rPr>
                <w:color w:val="000000"/>
                <w:szCs w:val="20"/>
              </w:rPr>
            </w:pPr>
          </w:p>
        </w:tc>
        <w:tc>
          <w:tcPr>
            <w:tcW w:w="2728" w:type="dxa"/>
            <w:tcBorders>
              <w:top w:val="single" w:sz="4" w:space="0" w:color="auto"/>
              <w:bottom w:val="single" w:sz="4" w:space="0" w:color="auto"/>
            </w:tcBorders>
            <w:shd w:val="clear" w:color="auto" w:fill="auto"/>
            <w:noWrap/>
            <w:vAlign w:val="bottom"/>
          </w:tcPr>
          <w:p w:rsidR="00A71FE8" w:rsidRPr="005640FF" w:rsidP="006B4EAF" w14:paraId="321B22C1" w14:textId="77777777">
            <w:pPr>
              <w:jc w:val="center"/>
              <w:rPr>
                <w:color w:val="000000"/>
                <w:sz w:val="24"/>
              </w:rPr>
            </w:pPr>
          </w:p>
        </w:tc>
      </w:tr>
      <w:tr w14:paraId="2E215C5B" w14:textId="77777777" w:rsidTr="00A71FE8">
        <w:tblPrEx>
          <w:tblW w:w="8900" w:type="dxa"/>
          <w:tblInd w:w="288" w:type="dxa"/>
          <w:tblLook w:val="04A0"/>
        </w:tblPrEx>
        <w:trPr>
          <w:trHeight w:val="317"/>
        </w:trPr>
        <w:tc>
          <w:tcPr>
            <w:tcW w:w="307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rsidR="00A71FE8" w:rsidRPr="005640FF" w:rsidP="00A71FE8" w14:paraId="3BAA0BAF" w14:textId="020453E6">
            <w:pPr>
              <w:jc w:val="center"/>
              <w:rPr>
                <w:b/>
                <w:bCs/>
                <w:color w:val="000000"/>
                <w:sz w:val="24"/>
              </w:rPr>
            </w:pPr>
            <w:r w:rsidRPr="005640FF">
              <w:rPr>
                <w:b/>
                <w:bCs/>
                <w:color w:val="000000"/>
                <w:sz w:val="24"/>
              </w:rPr>
              <w:t>T</w:t>
            </w:r>
            <w:r>
              <w:rPr>
                <w:b/>
                <w:bCs/>
                <w:color w:val="000000"/>
                <w:sz w:val="24"/>
              </w:rPr>
              <w:t>ask for all Facilities</w:t>
            </w:r>
          </w:p>
        </w:tc>
        <w:tc>
          <w:tcPr>
            <w:tcW w:w="1620" w:type="dxa"/>
            <w:tcBorders>
              <w:top w:val="single" w:sz="4" w:space="0" w:color="auto"/>
              <w:left w:val="nil"/>
              <w:bottom w:val="single" w:sz="4" w:space="0" w:color="auto"/>
              <w:right w:val="single" w:sz="4" w:space="0" w:color="auto"/>
            </w:tcBorders>
            <w:shd w:val="clear" w:color="auto" w:fill="D0CECE" w:themeFill="background2" w:themeFillShade="E6"/>
            <w:vAlign w:val="bottom"/>
          </w:tcPr>
          <w:p w:rsidR="00A71FE8" w:rsidRPr="005640FF" w:rsidP="00A71FE8" w14:paraId="058F1A0F" w14:textId="3A87AA41">
            <w:pPr>
              <w:jc w:val="center"/>
              <w:rPr>
                <w:color w:val="000000"/>
                <w:sz w:val="24"/>
              </w:rPr>
            </w:pPr>
            <w:r w:rsidRPr="005640FF">
              <w:rPr>
                <w:b/>
                <w:bCs/>
                <w:color w:val="000000"/>
                <w:sz w:val="24"/>
              </w:rPr>
              <w:t>Hourly Mean Wage</w:t>
            </w:r>
          </w:p>
        </w:tc>
        <w:tc>
          <w:tcPr>
            <w:tcW w:w="1480" w:type="dxa"/>
            <w:tcBorders>
              <w:top w:val="single" w:sz="4" w:space="0" w:color="auto"/>
              <w:left w:val="nil"/>
              <w:bottom w:val="single" w:sz="4" w:space="0" w:color="auto"/>
              <w:right w:val="single" w:sz="4" w:space="0" w:color="auto"/>
            </w:tcBorders>
            <w:shd w:val="clear" w:color="auto" w:fill="D0CECE" w:themeFill="background2" w:themeFillShade="E6"/>
            <w:vAlign w:val="bottom"/>
          </w:tcPr>
          <w:p w:rsidR="00A71FE8" w:rsidRPr="005640FF" w:rsidP="00A71FE8" w14:paraId="5DE770FD" w14:textId="019B4AC5">
            <w:pPr>
              <w:jc w:val="center"/>
              <w:rPr>
                <w:color w:val="000000"/>
                <w:sz w:val="24"/>
              </w:rPr>
            </w:pPr>
            <w:r w:rsidRPr="005640FF">
              <w:rPr>
                <w:b/>
                <w:bCs/>
                <w:color w:val="000000"/>
                <w:sz w:val="24"/>
              </w:rPr>
              <w:t>Hours/Task</w:t>
            </w:r>
          </w:p>
        </w:tc>
        <w:tc>
          <w:tcPr>
            <w:tcW w:w="2728"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rsidR="00A71FE8" w:rsidRPr="005640FF" w:rsidP="00A71FE8" w14:paraId="12E674F3" w14:textId="3D902229">
            <w:pPr>
              <w:jc w:val="center"/>
              <w:rPr>
                <w:color w:val="000000"/>
                <w:sz w:val="24"/>
              </w:rPr>
            </w:pPr>
            <w:r w:rsidRPr="005640FF">
              <w:rPr>
                <w:b/>
                <w:bCs/>
                <w:color w:val="000000"/>
                <w:sz w:val="24"/>
              </w:rPr>
              <w:t>Cost/Task</w:t>
            </w:r>
          </w:p>
        </w:tc>
      </w:tr>
      <w:tr w14:paraId="51772DC2" w14:textId="77777777" w:rsidTr="00A71FE8">
        <w:tblPrEx>
          <w:tblW w:w="8900" w:type="dxa"/>
          <w:tblInd w:w="288" w:type="dxa"/>
          <w:tblLook w:val="04A0"/>
        </w:tblPrEx>
        <w:trPr>
          <w:trHeight w:val="317"/>
        </w:trPr>
        <w:tc>
          <w:tcPr>
            <w:tcW w:w="3072" w:type="dxa"/>
            <w:tcBorders>
              <w:top w:val="nil"/>
              <w:left w:val="single" w:sz="4" w:space="0" w:color="auto"/>
              <w:bottom w:val="single" w:sz="4" w:space="0" w:color="auto"/>
              <w:right w:val="single" w:sz="4" w:space="0" w:color="auto"/>
            </w:tcBorders>
            <w:shd w:val="clear" w:color="000000" w:fill="F2F2F2"/>
            <w:vAlign w:val="bottom"/>
            <w:hideMark/>
          </w:tcPr>
          <w:p w:rsidR="00A71FE8" w:rsidRPr="005640FF" w:rsidP="00A71FE8" w14:paraId="09402A8A" w14:textId="77777777">
            <w:pPr>
              <w:rPr>
                <w:b/>
                <w:bCs/>
                <w:color w:val="000000"/>
                <w:sz w:val="24"/>
              </w:rPr>
            </w:pPr>
            <w:r w:rsidRPr="005640FF">
              <w:rPr>
                <w:b/>
                <w:bCs/>
                <w:color w:val="000000"/>
                <w:sz w:val="24"/>
              </w:rPr>
              <w:t># of Facilities Impacted</w:t>
            </w:r>
          </w:p>
        </w:tc>
        <w:tc>
          <w:tcPr>
            <w:tcW w:w="1620" w:type="dxa"/>
            <w:tcBorders>
              <w:top w:val="nil"/>
              <w:left w:val="nil"/>
              <w:bottom w:val="single" w:sz="4" w:space="0" w:color="auto"/>
              <w:right w:val="single" w:sz="4" w:space="0" w:color="auto"/>
            </w:tcBorders>
            <w:shd w:val="clear" w:color="auto" w:fill="auto"/>
            <w:vAlign w:val="bottom"/>
            <w:hideMark/>
          </w:tcPr>
          <w:p w:rsidR="00A71FE8" w:rsidRPr="005640FF" w:rsidP="00A71FE8" w14:paraId="7DAC97EB" w14:textId="77777777">
            <w:pPr>
              <w:jc w:val="center"/>
              <w:rPr>
                <w:color w:val="000000"/>
                <w:sz w:val="24"/>
              </w:rPr>
            </w:pPr>
            <w:r w:rsidRPr="005640FF">
              <w:rPr>
                <w:color w:val="000000"/>
                <w:sz w:val="24"/>
              </w:rPr>
              <w:t> </w:t>
            </w:r>
          </w:p>
        </w:tc>
        <w:tc>
          <w:tcPr>
            <w:tcW w:w="1480" w:type="dxa"/>
            <w:tcBorders>
              <w:top w:val="nil"/>
              <w:left w:val="nil"/>
              <w:bottom w:val="single" w:sz="4" w:space="0" w:color="auto"/>
              <w:right w:val="single" w:sz="4" w:space="0" w:color="auto"/>
            </w:tcBorders>
            <w:shd w:val="clear" w:color="auto" w:fill="auto"/>
            <w:vAlign w:val="bottom"/>
            <w:hideMark/>
          </w:tcPr>
          <w:p w:rsidR="00A71FE8" w:rsidRPr="005640FF" w:rsidP="00A71FE8" w14:paraId="614CFD84" w14:textId="77777777">
            <w:pPr>
              <w:jc w:val="right"/>
              <w:rPr>
                <w:color w:val="000000"/>
                <w:sz w:val="24"/>
              </w:rPr>
            </w:pPr>
            <w:r w:rsidRPr="005640FF">
              <w:rPr>
                <w:color w:val="000000"/>
                <w:sz w:val="24"/>
              </w:rPr>
              <w:t> </w:t>
            </w:r>
          </w:p>
        </w:tc>
        <w:tc>
          <w:tcPr>
            <w:tcW w:w="2728" w:type="dxa"/>
            <w:tcBorders>
              <w:top w:val="nil"/>
              <w:left w:val="nil"/>
              <w:bottom w:val="single" w:sz="4" w:space="0" w:color="auto"/>
              <w:right w:val="single" w:sz="4" w:space="0" w:color="auto"/>
            </w:tcBorders>
            <w:shd w:val="clear" w:color="auto" w:fill="auto"/>
            <w:noWrap/>
            <w:vAlign w:val="bottom"/>
            <w:hideMark/>
          </w:tcPr>
          <w:p w:rsidR="00A71FE8" w:rsidRPr="005640FF" w:rsidP="00A71FE8" w14:paraId="61A6A790" w14:textId="77777777">
            <w:pPr>
              <w:jc w:val="right"/>
              <w:rPr>
                <w:color w:val="000000"/>
                <w:sz w:val="24"/>
              </w:rPr>
            </w:pPr>
            <w:r w:rsidRPr="005640FF">
              <w:rPr>
                <w:color w:val="000000"/>
                <w:sz w:val="24"/>
              </w:rPr>
              <w:t> </w:t>
            </w:r>
          </w:p>
        </w:tc>
      </w:tr>
      <w:tr w14:paraId="0472C163" w14:textId="77777777" w:rsidTr="00A71FE8">
        <w:tblPrEx>
          <w:tblW w:w="8900" w:type="dxa"/>
          <w:tblInd w:w="288" w:type="dxa"/>
          <w:tblLook w:val="04A0"/>
        </w:tblPrEx>
        <w:trPr>
          <w:trHeight w:val="317"/>
        </w:trPr>
        <w:tc>
          <w:tcPr>
            <w:tcW w:w="3072" w:type="dxa"/>
            <w:tcBorders>
              <w:top w:val="nil"/>
              <w:left w:val="single" w:sz="4" w:space="0" w:color="auto"/>
              <w:bottom w:val="single" w:sz="4" w:space="0" w:color="auto"/>
              <w:right w:val="single" w:sz="4" w:space="0" w:color="auto"/>
            </w:tcBorders>
            <w:shd w:val="clear" w:color="auto" w:fill="auto"/>
            <w:vAlign w:val="bottom"/>
            <w:hideMark/>
          </w:tcPr>
          <w:p w:rsidR="00A71FE8" w:rsidRPr="005640FF" w:rsidP="00A71FE8" w14:paraId="64233B46" w14:textId="77777777">
            <w:pPr>
              <w:jc w:val="right"/>
              <w:rPr>
                <w:color w:val="000000"/>
                <w:sz w:val="24"/>
              </w:rPr>
            </w:pPr>
            <w:r w:rsidRPr="005640FF">
              <w:rPr>
                <w:color w:val="000000"/>
                <w:sz w:val="24"/>
              </w:rPr>
              <w:t>Existing Facilities</w:t>
            </w:r>
          </w:p>
        </w:tc>
        <w:tc>
          <w:tcPr>
            <w:tcW w:w="1620" w:type="dxa"/>
            <w:tcBorders>
              <w:top w:val="nil"/>
              <w:left w:val="nil"/>
              <w:bottom w:val="single" w:sz="4" w:space="0" w:color="auto"/>
              <w:right w:val="single" w:sz="4" w:space="0" w:color="auto"/>
            </w:tcBorders>
            <w:shd w:val="clear" w:color="auto" w:fill="auto"/>
            <w:noWrap/>
            <w:vAlign w:val="bottom"/>
            <w:hideMark/>
          </w:tcPr>
          <w:p w:rsidR="00A71FE8" w:rsidRPr="005640FF" w:rsidP="00A71FE8" w14:paraId="36A5D76E" w14:textId="77777777">
            <w:pPr>
              <w:jc w:val="center"/>
              <w:rPr>
                <w:color w:val="000000"/>
                <w:sz w:val="24"/>
              </w:rPr>
            </w:pPr>
            <w:r w:rsidRPr="005640FF">
              <w:rPr>
                <w:color w:val="000000"/>
                <w:sz w:val="24"/>
              </w:rPr>
              <w:t>5,52</w:t>
            </w:r>
            <w:r>
              <w:rPr>
                <w:color w:val="000000"/>
                <w:sz w:val="24"/>
              </w:rPr>
              <w:t>3</w:t>
            </w:r>
          </w:p>
        </w:tc>
        <w:tc>
          <w:tcPr>
            <w:tcW w:w="1480" w:type="dxa"/>
            <w:tcBorders>
              <w:top w:val="nil"/>
              <w:left w:val="nil"/>
              <w:bottom w:val="single" w:sz="4" w:space="0" w:color="auto"/>
              <w:right w:val="single" w:sz="4" w:space="0" w:color="auto"/>
            </w:tcBorders>
            <w:shd w:val="clear" w:color="auto" w:fill="auto"/>
            <w:hideMark/>
          </w:tcPr>
          <w:p w:rsidR="00A71FE8" w:rsidRPr="007A1430" w:rsidP="00A71FE8" w14:paraId="13465920" w14:textId="77777777">
            <w:pPr>
              <w:jc w:val="right"/>
              <w:rPr>
                <w:color w:val="000000"/>
                <w:sz w:val="24"/>
                <w:szCs w:val="32"/>
              </w:rPr>
            </w:pPr>
            <w:r w:rsidRPr="007A1430">
              <w:rPr>
                <w:sz w:val="24"/>
                <w:szCs w:val="32"/>
              </w:rPr>
              <w:t>38,661</w:t>
            </w:r>
          </w:p>
        </w:tc>
        <w:tc>
          <w:tcPr>
            <w:tcW w:w="2728" w:type="dxa"/>
            <w:tcBorders>
              <w:top w:val="nil"/>
              <w:left w:val="nil"/>
              <w:bottom w:val="single" w:sz="4" w:space="0" w:color="auto"/>
              <w:right w:val="single" w:sz="4" w:space="0" w:color="auto"/>
            </w:tcBorders>
            <w:shd w:val="clear" w:color="auto" w:fill="auto"/>
            <w:hideMark/>
          </w:tcPr>
          <w:p w:rsidR="00A71FE8" w:rsidRPr="007A1430" w:rsidP="00A71FE8" w14:paraId="0CD5E304" w14:textId="77777777">
            <w:pPr>
              <w:jc w:val="right"/>
              <w:rPr>
                <w:color w:val="000000"/>
                <w:sz w:val="24"/>
                <w:szCs w:val="32"/>
              </w:rPr>
            </w:pPr>
            <w:r w:rsidRPr="007A1430">
              <w:rPr>
                <w:sz w:val="24"/>
                <w:szCs w:val="32"/>
              </w:rPr>
              <w:t xml:space="preserve">$2,783,592 </w:t>
            </w:r>
          </w:p>
        </w:tc>
      </w:tr>
      <w:tr w14:paraId="3FAD3D86" w14:textId="77777777" w:rsidTr="00A71FE8">
        <w:tblPrEx>
          <w:tblW w:w="8900" w:type="dxa"/>
          <w:tblInd w:w="288" w:type="dxa"/>
          <w:tblLook w:val="04A0"/>
        </w:tblPrEx>
        <w:trPr>
          <w:trHeight w:val="317"/>
        </w:trPr>
        <w:tc>
          <w:tcPr>
            <w:tcW w:w="3072" w:type="dxa"/>
            <w:tcBorders>
              <w:top w:val="nil"/>
              <w:left w:val="single" w:sz="4" w:space="0" w:color="auto"/>
              <w:bottom w:val="single" w:sz="4" w:space="0" w:color="auto"/>
              <w:right w:val="single" w:sz="4" w:space="0" w:color="auto"/>
            </w:tcBorders>
            <w:shd w:val="clear" w:color="auto" w:fill="auto"/>
            <w:vAlign w:val="bottom"/>
            <w:hideMark/>
          </w:tcPr>
          <w:p w:rsidR="00A71FE8" w:rsidRPr="005640FF" w:rsidP="00A71FE8" w14:paraId="41719788" w14:textId="77777777">
            <w:pPr>
              <w:jc w:val="right"/>
              <w:rPr>
                <w:color w:val="000000"/>
                <w:sz w:val="24"/>
              </w:rPr>
            </w:pPr>
            <w:r w:rsidRPr="005640FF">
              <w:rPr>
                <w:color w:val="000000"/>
                <w:sz w:val="24"/>
              </w:rPr>
              <w:t>Newly Certified Facilities</w:t>
            </w:r>
          </w:p>
        </w:tc>
        <w:tc>
          <w:tcPr>
            <w:tcW w:w="1620" w:type="dxa"/>
            <w:tcBorders>
              <w:top w:val="nil"/>
              <w:left w:val="nil"/>
              <w:bottom w:val="single" w:sz="4" w:space="0" w:color="auto"/>
              <w:right w:val="single" w:sz="4" w:space="0" w:color="auto"/>
            </w:tcBorders>
            <w:shd w:val="clear" w:color="auto" w:fill="auto"/>
            <w:noWrap/>
            <w:vAlign w:val="bottom"/>
            <w:hideMark/>
          </w:tcPr>
          <w:p w:rsidR="00A71FE8" w:rsidRPr="005640FF" w:rsidP="00A71FE8" w14:paraId="3DCF0875" w14:textId="77777777">
            <w:pPr>
              <w:jc w:val="center"/>
              <w:rPr>
                <w:color w:val="000000"/>
                <w:sz w:val="24"/>
              </w:rPr>
            </w:pPr>
            <w:r w:rsidRPr="005640FF">
              <w:rPr>
                <w:color w:val="000000"/>
                <w:sz w:val="24"/>
              </w:rPr>
              <w:t>24</w:t>
            </w:r>
          </w:p>
        </w:tc>
        <w:tc>
          <w:tcPr>
            <w:tcW w:w="1480" w:type="dxa"/>
            <w:tcBorders>
              <w:top w:val="nil"/>
              <w:left w:val="nil"/>
              <w:bottom w:val="single" w:sz="4" w:space="0" w:color="auto"/>
              <w:right w:val="single" w:sz="4" w:space="0" w:color="auto"/>
            </w:tcBorders>
            <w:shd w:val="clear" w:color="auto" w:fill="auto"/>
            <w:hideMark/>
          </w:tcPr>
          <w:p w:rsidR="00A71FE8" w:rsidRPr="007A1430" w:rsidP="00A71FE8" w14:paraId="4A84585B" w14:textId="77777777">
            <w:pPr>
              <w:jc w:val="right"/>
              <w:rPr>
                <w:color w:val="000000"/>
                <w:sz w:val="24"/>
                <w:szCs w:val="32"/>
              </w:rPr>
            </w:pPr>
            <w:r w:rsidRPr="007A1430">
              <w:rPr>
                <w:sz w:val="24"/>
                <w:szCs w:val="32"/>
              </w:rPr>
              <w:t>168</w:t>
            </w:r>
          </w:p>
        </w:tc>
        <w:tc>
          <w:tcPr>
            <w:tcW w:w="2728" w:type="dxa"/>
            <w:tcBorders>
              <w:top w:val="nil"/>
              <w:left w:val="nil"/>
              <w:bottom w:val="single" w:sz="4" w:space="0" w:color="auto"/>
              <w:right w:val="single" w:sz="4" w:space="0" w:color="auto"/>
            </w:tcBorders>
            <w:shd w:val="clear" w:color="auto" w:fill="auto"/>
            <w:hideMark/>
          </w:tcPr>
          <w:p w:rsidR="00A71FE8" w:rsidRPr="007A1430" w:rsidP="00A71FE8" w14:paraId="523E6B75" w14:textId="77777777">
            <w:pPr>
              <w:jc w:val="right"/>
              <w:rPr>
                <w:color w:val="000000"/>
                <w:sz w:val="24"/>
                <w:szCs w:val="32"/>
              </w:rPr>
            </w:pPr>
            <w:r w:rsidRPr="007A1430">
              <w:rPr>
                <w:sz w:val="24"/>
                <w:szCs w:val="32"/>
              </w:rPr>
              <w:t xml:space="preserve">$12,096 </w:t>
            </w:r>
          </w:p>
        </w:tc>
      </w:tr>
      <w:tr w14:paraId="3EBB9307" w14:textId="77777777" w:rsidTr="00A71FE8">
        <w:tblPrEx>
          <w:tblW w:w="8900" w:type="dxa"/>
          <w:tblInd w:w="288" w:type="dxa"/>
          <w:tblLook w:val="04A0"/>
        </w:tblPrEx>
        <w:trPr>
          <w:trHeight w:val="317"/>
        </w:trPr>
        <w:tc>
          <w:tcPr>
            <w:tcW w:w="3072" w:type="dxa"/>
            <w:tcBorders>
              <w:top w:val="nil"/>
              <w:left w:val="single" w:sz="4" w:space="0" w:color="auto"/>
              <w:bottom w:val="single" w:sz="4" w:space="0" w:color="auto"/>
              <w:right w:val="single" w:sz="4" w:space="0" w:color="auto"/>
            </w:tcBorders>
            <w:shd w:val="clear" w:color="000000" w:fill="D9D9D9"/>
            <w:vAlign w:val="bottom"/>
            <w:hideMark/>
          </w:tcPr>
          <w:p w:rsidR="00A71FE8" w:rsidRPr="005640FF" w:rsidP="00A71FE8" w14:paraId="741E053C" w14:textId="77777777">
            <w:pPr>
              <w:jc w:val="right"/>
              <w:rPr>
                <w:b/>
                <w:bCs/>
                <w:color w:val="000000"/>
                <w:sz w:val="24"/>
              </w:rPr>
            </w:pPr>
            <w:r w:rsidRPr="005640FF">
              <w:rPr>
                <w:b/>
                <w:bCs/>
                <w:color w:val="000000"/>
                <w:sz w:val="24"/>
              </w:rPr>
              <w:t xml:space="preserve">Total Annual Burden/Costs </w:t>
            </w:r>
          </w:p>
        </w:tc>
        <w:tc>
          <w:tcPr>
            <w:tcW w:w="1620" w:type="dxa"/>
            <w:tcBorders>
              <w:top w:val="nil"/>
              <w:left w:val="nil"/>
              <w:bottom w:val="single" w:sz="4" w:space="0" w:color="auto"/>
              <w:right w:val="single" w:sz="4" w:space="0" w:color="auto"/>
            </w:tcBorders>
            <w:shd w:val="clear" w:color="000000" w:fill="D9D9D9"/>
            <w:vAlign w:val="bottom"/>
            <w:hideMark/>
          </w:tcPr>
          <w:p w:rsidR="00A71FE8" w:rsidRPr="005640FF" w:rsidP="00A71FE8" w14:paraId="3EBBBA8B" w14:textId="77777777">
            <w:pPr>
              <w:jc w:val="center"/>
              <w:rPr>
                <w:b/>
                <w:bCs/>
                <w:color w:val="000000"/>
                <w:sz w:val="24"/>
              </w:rPr>
            </w:pPr>
            <w:r w:rsidRPr="005640FF">
              <w:rPr>
                <w:b/>
                <w:bCs/>
                <w:color w:val="000000"/>
                <w:sz w:val="24"/>
              </w:rPr>
              <w:t> </w:t>
            </w:r>
          </w:p>
        </w:tc>
        <w:tc>
          <w:tcPr>
            <w:tcW w:w="1480" w:type="dxa"/>
            <w:tcBorders>
              <w:top w:val="nil"/>
              <w:left w:val="nil"/>
              <w:bottom w:val="single" w:sz="4" w:space="0" w:color="auto"/>
              <w:right w:val="single" w:sz="4" w:space="0" w:color="auto"/>
            </w:tcBorders>
            <w:shd w:val="clear" w:color="000000" w:fill="D9D9D9"/>
            <w:noWrap/>
            <w:hideMark/>
          </w:tcPr>
          <w:p w:rsidR="00A71FE8" w:rsidRPr="007A1430" w:rsidP="00A71FE8" w14:paraId="42F04821" w14:textId="5064BBB0">
            <w:pPr>
              <w:rPr>
                <w:b/>
                <w:bCs/>
                <w:color w:val="000000"/>
                <w:sz w:val="24"/>
                <w:szCs w:val="32"/>
              </w:rPr>
            </w:pPr>
            <w:r>
              <w:rPr>
                <w:b/>
                <w:bCs/>
                <w:sz w:val="24"/>
                <w:szCs w:val="32"/>
              </w:rPr>
              <w:t xml:space="preserve">        </w:t>
            </w:r>
            <w:r w:rsidRPr="007A1430">
              <w:rPr>
                <w:b/>
                <w:bCs/>
                <w:sz w:val="24"/>
                <w:szCs w:val="32"/>
              </w:rPr>
              <w:t>38,829</w:t>
            </w:r>
          </w:p>
        </w:tc>
        <w:tc>
          <w:tcPr>
            <w:tcW w:w="2728" w:type="dxa"/>
            <w:tcBorders>
              <w:top w:val="nil"/>
              <w:left w:val="nil"/>
              <w:bottom w:val="single" w:sz="4" w:space="0" w:color="auto"/>
              <w:right w:val="single" w:sz="4" w:space="0" w:color="auto"/>
            </w:tcBorders>
            <w:shd w:val="clear" w:color="000000" w:fill="D9D9D9"/>
            <w:hideMark/>
          </w:tcPr>
          <w:p w:rsidR="00A71FE8" w:rsidRPr="007A1430" w:rsidP="00A71FE8" w14:paraId="170BE778" w14:textId="4E1CB44A">
            <w:pPr>
              <w:jc w:val="center"/>
              <w:rPr>
                <w:b/>
                <w:bCs/>
                <w:color w:val="000000"/>
                <w:sz w:val="24"/>
                <w:szCs w:val="32"/>
              </w:rPr>
            </w:pPr>
            <w:r>
              <w:rPr>
                <w:b/>
                <w:bCs/>
                <w:sz w:val="24"/>
                <w:szCs w:val="32"/>
              </w:rPr>
              <w:t xml:space="preserve">                       </w:t>
            </w:r>
            <w:r w:rsidRPr="007A1430">
              <w:rPr>
                <w:b/>
                <w:bCs/>
                <w:sz w:val="24"/>
                <w:szCs w:val="32"/>
              </w:rPr>
              <w:t>$2,795,688</w:t>
            </w:r>
          </w:p>
        </w:tc>
      </w:tr>
    </w:tbl>
    <w:p w:rsidR="003B7CDD" w:rsidP="003B7CDD" w14:paraId="3D04425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p>
    <w:p w:rsidR="006B4EAF" w:rsidP="006B4EAF" w14:paraId="4E4CD5C3" w14:textId="7896409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r>
        <w:rPr>
          <w:snapToGrid w:val="0"/>
          <w:sz w:val="24"/>
          <w:szCs w:val="20"/>
        </w:rPr>
        <w:t>F</w:t>
      </w:r>
      <w:r w:rsidRPr="00372A46">
        <w:rPr>
          <w:snapToGrid w:val="0"/>
          <w:sz w:val="24"/>
          <w:szCs w:val="20"/>
        </w:rPr>
        <w:t xml:space="preserve">or each ICF-IID, the </w:t>
      </w:r>
      <w:r>
        <w:rPr>
          <w:snapToGrid w:val="0"/>
          <w:sz w:val="24"/>
          <w:szCs w:val="20"/>
        </w:rPr>
        <w:t xml:space="preserve">one-time </w:t>
      </w:r>
      <w:r w:rsidRPr="00372A46">
        <w:rPr>
          <w:snapToGrid w:val="0"/>
          <w:sz w:val="24"/>
          <w:szCs w:val="20"/>
        </w:rPr>
        <w:t xml:space="preserve">burden hours for </w:t>
      </w:r>
      <w:r>
        <w:rPr>
          <w:snapToGrid w:val="0"/>
          <w:sz w:val="24"/>
          <w:szCs w:val="20"/>
        </w:rPr>
        <w:t xml:space="preserve">developing educational materials for </w:t>
      </w:r>
      <w:r w:rsidRPr="00372A46">
        <w:rPr>
          <w:snapToGrid w:val="0"/>
          <w:sz w:val="24"/>
          <w:szCs w:val="20"/>
        </w:rPr>
        <w:t xml:space="preserve">the </w:t>
      </w:r>
      <w:r>
        <w:rPr>
          <w:snapToGrid w:val="0"/>
          <w:sz w:val="24"/>
          <w:szCs w:val="20"/>
        </w:rPr>
        <w:t xml:space="preserve">RN would be </w:t>
      </w:r>
      <w:r w:rsidR="00AF4E4C">
        <w:rPr>
          <w:snapToGrid w:val="0"/>
          <w:sz w:val="24"/>
          <w:szCs w:val="20"/>
        </w:rPr>
        <w:t>7</w:t>
      </w:r>
      <w:r>
        <w:rPr>
          <w:snapToGrid w:val="0"/>
          <w:sz w:val="24"/>
          <w:szCs w:val="20"/>
        </w:rPr>
        <w:t xml:space="preserve"> hours at an estimated cost of $</w:t>
      </w:r>
      <w:r w:rsidR="00AF4E4C">
        <w:rPr>
          <w:snapToGrid w:val="0"/>
          <w:sz w:val="24"/>
          <w:szCs w:val="20"/>
        </w:rPr>
        <w:t>504</w:t>
      </w:r>
      <w:r>
        <w:rPr>
          <w:snapToGrid w:val="0"/>
          <w:sz w:val="24"/>
          <w:szCs w:val="20"/>
        </w:rPr>
        <w:t xml:space="preserve"> (</w:t>
      </w:r>
      <w:r w:rsidR="00AF4E4C">
        <w:rPr>
          <w:snapToGrid w:val="0"/>
          <w:sz w:val="24"/>
          <w:szCs w:val="20"/>
        </w:rPr>
        <w:t>7</w:t>
      </w:r>
      <w:r>
        <w:rPr>
          <w:snapToGrid w:val="0"/>
          <w:sz w:val="24"/>
          <w:szCs w:val="20"/>
        </w:rPr>
        <w:t xml:space="preserve"> hours x $72/hour). For the initial year for all 5,523 ICFs-IID, the one-time burden hours would be </w:t>
      </w:r>
      <w:r w:rsidR="00AF4E4C">
        <w:rPr>
          <w:snapToGrid w:val="0"/>
          <w:sz w:val="24"/>
          <w:szCs w:val="20"/>
        </w:rPr>
        <w:t>38,661</w:t>
      </w:r>
      <w:r>
        <w:rPr>
          <w:snapToGrid w:val="0"/>
          <w:sz w:val="24"/>
          <w:szCs w:val="20"/>
        </w:rPr>
        <w:t xml:space="preserve"> (5,523 x </w:t>
      </w:r>
      <w:r w:rsidR="00AF4E4C">
        <w:rPr>
          <w:snapToGrid w:val="0"/>
          <w:sz w:val="24"/>
          <w:szCs w:val="20"/>
        </w:rPr>
        <w:t>7</w:t>
      </w:r>
      <w:r>
        <w:rPr>
          <w:snapToGrid w:val="0"/>
          <w:sz w:val="24"/>
          <w:szCs w:val="20"/>
        </w:rPr>
        <w:t xml:space="preserve"> hours) at an estimated cost of $</w:t>
      </w:r>
      <w:r w:rsidRPr="007A1430" w:rsidR="00AF4E4C">
        <w:rPr>
          <w:sz w:val="24"/>
          <w:szCs w:val="32"/>
        </w:rPr>
        <w:t>2,783,592</w:t>
      </w:r>
      <w:r>
        <w:rPr>
          <w:snapToGrid w:val="0"/>
          <w:sz w:val="24"/>
          <w:szCs w:val="20"/>
        </w:rPr>
        <w:t xml:space="preserve"> (5,523</w:t>
      </w:r>
      <w:r w:rsidR="005E7E9D">
        <w:rPr>
          <w:snapToGrid w:val="0"/>
          <w:sz w:val="24"/>
          <w:szCs w:val="20"/>
        </w:rPr>
        <w:t xml:space="preserve"> facilities</w:t>
      </w:r>
      <w:r>
        <w:rPr>
          <w:snapToGrid w:val="0"/>
          <w:sz w:val="24"/>
          <w:szCs w:val="20"/>
        </w:rPr>
        <w:t xml:space="preserve"> x $</w:t>
      </w:r>
      <w:r w:rsidR="00AF4E4C">
        <w:rPr>
          <w:snapToGrid w:val="0"/>
          <w:sz w:val="24"/>
          <w:szCs w:val="20"/>
        </w:rPr>
        <w:t>504</w:t>
      </w:r>
      <w:r w:rsidR="005E7E9D">
        <w:rPr>
          <w:snapToGrid w:val="0"/>
          <w:sz w:val="24"/>
          <w:szCs w:val="20"/>
        </w:rPr>
        <w:t xml:space="preserve"> per facility</w:t>
      </w:r>
      <w:r>
        <w:rPr>
          <w:snapToGrid w:val="0"/>
          <w:sz w:val="24"/>
          <w:szCs w:val="20"/>
        </w:rPr>
        <w:t>). In Years 2 and 3, assuming 24 newly certified facilities each year per Table 1, the total annual burden hours would be 1</w:t>
      </w:r>
      <w:r w:rsidR="00AF4E4C">
        <w:rPr>
          <w:snapToGrid w:val="0"/>
          <w:sz w:val="24"/>
          <w:szCs w:val="20"/>
        </w:rPr>
        <w:t>68</w:t>
      </w:r>
      <w:r>
        <w:rPr>
          <w:snapToGrid w:val="0"/>
          <w:sz w:val="24"/>
          <w:szCs w:val="20"/>
        </w:rPr>
        <w:t xml:space="preserve"> (24 new facilities x </w:t>
      </w:r>
      <w:r w:rsidR="00AF4E4C">
        <w:rPr>
          <w:snapToGrid w:val="0"/>
          <w:sz w:val="24"/>
          <w:szCs w:val="20"/>
        </w:rPr>
        <w:t>7</w:t>
      </w:r>
      <w:r>
        <w:rPr>
          <w:snapToGrid w:val="0"/>
          <w:sz w:val="24"/>
          <w:szCs w:val="20"/>
        </w:rPr>
        <w:t xml:space="preserve"> hours) at an estimated cost of $1</w:t>
      </w:r>
      <w:r w:rsidR="00AF4E4C">
        <w:rPr>
          <w:snapToGrid w:val="0"/>
          <w:sz w:val="24"/>
          <w:szCs w:val="20"/>
        </w:rPr>
        <w:t>2,096</w:t>
      </w:r>
      <w:r>
        <w:rPr>
          <w:snapToGrid w:val="0"/>
          <w:sz w:val="24"/>
          <w:szCs w:val="20"/>
        </w:rPr>
        <w:t xml:space="preserve"> (24 new facilities x $5</w:t>
      </w:r>
      <w:r w:rsidR="00AF4E4C">
        <w:rPr>
          <w:snapToGrid w:val="0"/>
          <w:sz w:val="24"/>
          <w:szCs w:val="20"/>
        </w:rPr>
        <w:t>04</w:t>
      </w:r>
      <w:r w:rsidR="005E7E9D">
        <w:rPr>
          <w:snapToGrid w:val="0"/>
          <w:sz w:val="24"/>
          <w:szCs w:val="20"/>
        </w:rPr>
        <w:t xml:space="preserve"> per facility</w:t>
      </w:r>
      <w:r>
        <w:rPr>
          <w:snapToGrid w:val="0"/>
          <w:sz w:val="24"/>
          <w:szCs w:val="20"/>
        </w:rPr>
        <w:t xml:space="preserve">) for the one-time development of </w:t>
      </w:r>
      <w:r w:rsidR="00AF4E4C">
        <w:rPr>
          <w:snapToGrid w:val="0"/>
          <w:sz w:val="24"/>
          <w:szCs w:val="20"/>
        </w:rPr>
        <w:t>educational materials each year</w:t>
      </w:r>
      <w:r>
        <w:rPr>
          <w:snapToGrid w:val="0"/>
          <w:sz w:val="24"/>
          <w:szCs w:val="20"/>
        </w:rPr>
        <w:t>.</w:t>
      </w:r>
    </w:p>
    <w:p w:rsidR="003B7CDD" w:rsidP="003B7CDD" w14:paraId="237142D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sz w:val="24"/>
          <w:szCs w:val="20"/>
          <w:u w:val="single"/>
        </w:rPr>
      </w:pPr>
    </w:p>
    <w:p w:rsidR="003B7CDD" w:rsidRPr="00361345" w:rsidP="003B7CDD" w14:paraId="6E76F5C9" w14:textId="5A85D51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sz w:val="24"/>
          <w:szCs w:val="20"/>
          <w:u w:val="single"/>
        </w:rPr>
      </w:pPr>
      <w:r w:rsidRPr="00361345">
        <w:rPr>
          <w:b/>
          <w:bCs/>
          <w:snapToGrid w:val="0"/>
          <w:sz w:val="24"/>
          <w:szCs w:val="20"/>
          <w:u w:val="single"/>
        </w:rPr>
        <w:t>IC</w:t>
      </w:r>
      <w:r w:rsidR="002E66A9">
        <w:rPr>
          <w:b/>
          <w:bCs/>
          <w:snapToGrid w:val="0"/>
          <w:sz w:val="24"/>
          <w:szCs w:val="20"/>
          <w:u w:val="single"/>
        </w:rPr>
        <w:t>-</w:t>
      </w:r>
      <w:r>
        <w:rPr>
          <w:b/>
          <w:bCs/>
          <w:snapToGrid w:val="0"/>
          <w:sz w:val="24"/>
          <w:szCs w:val="20"/>
          <w:u w:val="single"/>
        </w:rPr>
        <w:t>4</w:t>
      </w:r>
      <w:r w:rsidRPr="00361345">
        <w:rPr>
          <w:b/>
          <w:bCs/>
          <w:snapToGrid w:val="0"/>
          <w:sz w:val="24"/>
          <w:szCs w:val="20"/>
          <w:u w:val="single"/>
        </w:rPr>
        <w:t xml:space="preserve">: §483.460(a)(4)(ii), (iii), and (iv) </w:t>
      </w:r>
      <w:r>
        <w:rPr>
          <w:b/>
          <w:bCs/>
          <w:snapToGrid w:val="0"/>
          <w:sz w:val="24"/>
          <w:szCs w:val="20"/>
          <w:u w:val="single"/>
        </w:rPr>
        <w:t>–</w:t>
      </w:r>
      <w:r w:rsidRPr="00361345">
        <w:rPr>
          <w:b/>
          <w:bCs/>
          <w:snapToGrid w:val="0"/>
          <w:sz w:val="24"/>
          <w:szCs w:val="20"/>
          <w:u w:val="single"/>
        </w:rPr>
        <w:t xml:space="preserve"> </w:t>
      </w:r>
      <w:r>
        <w:rPr>
          <w:b/>
          <w:bCs/>
          <w:snapToGrid w:val="0"/>
          <w:sz w:val="24"/>
          <w:szCs w:val="20"/>
          <w:u w:val="single"/>
        </w:rPr>
        <w:t>Annual update of</w:t>
      </w:r>
      <w:r w:rsidRPr="00361345">
        <w:rPr>
          <w:b/>
          <w:bCs/>
          <w:snapToGrid w:val="0"/>
          <w:sz w:val="24"/>
          <w:szCs w:val="20"/>
          <w:u w:val="single"/>
        </w:rPr>
        <w:t xml:space="preserve"> educational materials for staff and clients</w:t>
      </w:r>
    </w:p>
    <w:p w:rsidR="003B7CDD" w:rsidP="003B7CDD" w14:paraId="64C01E4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r>
        <w:rPr>
          <w:snapToGrid w:val="0"/>
          <w:sz w:val="24"/>
          <w:szCs w:val="20"/>
        </w:rPr>
        <w:t>We estimate the additional burden to annually update the educational materials used to ensure the information provided is accurate and specific to the current vaccines available that year. We estimate it would take an RN at each facility 6 hours each year to review and update the educational materials on an ongoing basis. In addition, we estimate an ICF-IID Administrator would need 1 hour each year to review and approve the updated materials before the materials were provided to staff and clients.</w:t>
      </w:r>
    </w:p>
    <w:p w:rsidR="00A71FE8" w:rsidP="003B7CDD" w14:paraId="21E8847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p>
    <w:p w:rsidR="003B7CDD" w:rsidP="003B7CDD" w14:paraId="1351667A" w14:textId="246B892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r>
        <w:rPr>
          <w:b/>
          <w:bCs/>
          <w:snapToGrid w:val="0"/>
          <w:sz w:val="28"/>
          <w:szCs w:val="22"/>
        </w:rPr>
        <w:tab/>
      </w:r>
      <w:r>
        <w:rPr>
          <w:b/>
          <w:bCs/>
          <w:snapToGrid w:val="0"/>
          <w:sz w:val="28"/>
          <w:szCs w:val="22"/>
        </w:rPr>
        <w:tab/>
      </w:r>
      <w:r w:rsidRPr="00140279">
        <w:rPr>
          <w:b/>
          <w:bCs/>
          <w:snapToGrid w:val="0"/>
          <w:sz w:val="28"/>
          <w:szCs w:val="22"/>
        </w:rPr>
        <w:t xml:space="preserve">Table </w:t>
      </w:r>
      <w:r>
        <w:rPr>
          <w:b/>
          <w:bCs/>
          <w:snapToGrid w:val="0"/>
          <w:sz w:val="28"/>
          <w:szCs w:val="22"/>
        </w:rPr>
        <w:t>6</w:t>
      </w:r>
      <w:r w:rsidRPr="00140279">
        <w:rPr>
          <w:b/>
          <w:bCs/>
          <w:snapToGrid w:val="0"/>
          <w:sz w:val="28"/>
          <w:szCs w:val="22"/>
        </w:rPr>
        <w:t>: I</w:t>
      </w:r>
      <w:r>
        <w:rPr>
          <w:b/>
          <w:bCs/>
          <w:snapToGrid w:val="0"/>
          <w:sz w:val="28"/>
          <w:szCs w:val="22"/>
        </w:rPr>
        <w:t>C-4:Annual update of educational materials</w:t>
      </w:r>
    </w:p>
    <w:tbl>
      <w:tblPr>
        <w:tblW w:w="8490" w:type="dxa"/>
        <w:tblInd w:w="558" w:type="dxa"/>
        <w:tblLook w:val="04A0"/>
      </w:tblPr>
      <w:tblGrid>
        <w:gridCol w:w="4094"/>
        <w:gridCol w:w="1620"/>
        <w:gridCol w:w="1480"/>
        <w:gridCol w:w="1296"/>
      </w:tblGrid>
      <w:tr w14:paraId="7480C974" w14:textId="77777777" w:rsidTr="003B7CDD">
        <w:tblPrEx>
          <w:tblW w:w="8490" w:type="dxa"/>
          <w:tblInd w:w="558" w:type="dxa"/>
          <w:tblLook w:val="04A0"/>
        </w:tblPrEx>
        <w:trPr>
          <w:trHeight w:val="317"/>
        </w:trPr>
        <w:tc>
          <w:tcPr>
            <w:tcW w:w="4100" w:type="dxa"/>
            <w:tcBorders>
              <w:top w:val="single" w:sz="4" w:space="0" w:color="auto"/>
              <w:left w:val="single" w:sz="4" w:space="0" w:color="auto"/>
              <w:bottom w:val="single" w:sz="4" w:space="0" w:color="auto"/>
              <w:right w:val="single" w:sz="4" w:space="0" w:color="auto"/>
            </w:tcBorders>
            <w:shd w:val="clear" w:color="CCCCCC" w:fill="D9D9D9"/>
            <w:vAlign w:val="bottom"/>
            <w:hideMark/>
          </w:tcPr>
          <w:p w:rsidR="003B7CDD" w:rsidRPr="00DD019A" w:rsidP="00E820E7" w14:paraId="34D521A0" w14:textId="77777777">
            <w:pPr>
              <w:jc w:val="center"/>
              <w:rPr>
                <w:b/>
                <w:bCs/>
                <w:color w:val="000000"/>
                <w:sz w:val="24"/>
              </w:rPr>
            </w:pPr>
            <w:r w:rsidRPr="00DD019A">
              <w:rPr>
                <w:b/>
                <w:bCs/>
                <w:color w:val="000000"/>
                <w:sz w:val="24"/>
              </w:rPr>
              <w:t xml:space="preserve">Task </w:t>
            </w:r>
          </w:p>
        </w:tc>
        <w:tc>
          <w:tcPr>
            <w:tcW w:w="1620" w:type="dxa"/>
            <w:tcBorders>
              <w:top w:val="single" w:sz="4" w:space="0" w:color="auto"/>
              <w:left w:val="nil"/>
              <w:bottom w:val="single" w:sz="4" w:space="0" w:color="auto"/>
              <w:right w:val="single" w:sz="4" w:space="0" w:color="auto"/>
            </w:tcBorders>
            <w:shd w:val="clear" w:color="CCCCCC" w:fill="D9D9D9"/>
            <w:vAlign w:val="bottom"/>
            <w:hideMark/>
          </w:tcPr>
          <w:p w:rsidR="003B7CDD" w:rsidRPr="00DD019A" w:rsidP="00E820E7" w14:paraId="6F77BFA7" w14:textId="77777777">
            <w:pPr>
              <w:jc w:val="center"/>
              <w:rPr>
                <w:b/>
                <w:bCs/>
                <w:color w:val="000000"/>
                <w:sz w:val="24"/>
              </w:rPr>
            </w:pPr>
            <w:r w:rsidRPr="00DD019A">
              <w:rPr>
                <w:b/>
                <w:bCs/>
                <w:color w:val="000000"/>
                <w:sz w:val="24"/>
              </w:rPr>
              <w:t>Hourly Mean Wage</w:t>
            </w:r>
          </w:p>
        </w:tc>
        <w:tc>
          <w:tcPr>
            <w:tcW w:w="1480" w:type="dxa"/>
            <w:tcBorders>
              <w:top w:val="single" w:sz="4" w:space="0" w:color="auto"/>
              <w:left w:val="nil"/>
              <w:bottom w:val="single" w:sz="4" w:space="0" w:color="auto"/>
              <w:right w:val="single" w:sz="4" w:space="0" w:color="auto"/>
            </w:tcBorders>
            <w:shd w:val="clear" w:color="CCCCCC" w:fill="D9D9D9"/>
            <w:vAlign w:val="bottom"/>
            <w:hideMark/>
          </w:tcPr>
          <w:p w:rsidR="003B7CDD" w:rsidRPr="00DD019A" w:rsidP="00E820E7" w14:paraId="60006346" w14:textId="77777777">
            <w:pPr>
              <w:jc w:val="center"/>
              <w:rPr>
                <w:b/>
                <w:bCs/>
                <w:color w:val="000000"/>
                <w:sz w:val="24"/>
              </w:rPr>
            </w:pPr>
            <w:r w:rsidRPr="00DD019A">
              <w:rPr>
                <w:b/>
                <w:bCs/>
                <w:color w:val="000000"/>
                <w:sz w:val="24"/>
              </w:rPr>
              <w:t>Hours/Task</w:t>
            </w:r>
          </w:p>
        </w:tc>
        <w:tc>
          <w:tcPr>
            <w:tcW w:w="1290" w:type="dxa"/>
            <w:tcBorders>
              <w:top w:val="single" w:sz="4" w:space="0" w:color="auto"/>
              <w:left w:val="nil"/>
              <w:bottom w:val="single" w:sz="4" w:space="0" w:color="auto"/>
              <w:right w:val="single" w:sz="4" w:space="0" w:color="auto"/>
            </w:tcBorders>
            <w:shd w:val="clear" w:color="CCCCCC" w:fill="D9D9D9"/>
            <w:vAlign w:val="bottom"/>
            <w:hideMark/>
          </w:tcPr>
          <w:p w:rsidR="003B7CDD" w:rsidRPr="00DD019A" w:rsidP="00E820E7" w14:paraId="09ED6D25" w14:textId="77777777">
            <w:pPr>
              <w:jc w:val="center"/>
              <w:rPr>
                <w:b/>
                <w:bCs/>
                <w:color w:val="000000"/>
                <w:sz w:val="24"/>
              </w:rPr>
            </w:pPr>
            <w:r w:rsidRPr="00DD019A">
              <w:rPr>
                <w:b/>
                <w:bCs/>
                <w:color w:val="000000"/>
                <w:sz w:val="24"/>
              </w:rPr>
              <w:t>Cost/Task</w:t>
            </w:r>
          </w:p>
        </w:tc>
      </w:tr>
      <w:tr w14:paraId="32224CD3" w14:textId="77777777" w:rsidTr="003B7CDD">
        <w:tblPrEx>
          <w:tblW w:w="8490" w:type="dxa"/>
          <w:tblInd w:w="558" w:type="dxa"/>
          <w:tblLook w:val="04A0"/>
        </w:tblPrEx>
        <w:trPr>
          <w:trHeight w:val="317"/>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B7CDD" w:rsidRPr="00DD019A" w:rsidP="00E820E7" w14:paraId="0BBD5D02" w14:textId="77777777">
            <w:pPr>
              <w:rPr>
                <w:color w:val="000000"/>
                <w:sz w:val="24"/>
              </w:rPr>
            </w:pPr>
            <w:r w:rsidRPr="00DD019A">
              <w:rPr>
                <w:color w:val="000000"/>
                <w:sz w:val="24"/>
              </w:rPr>
              <w:t>Registered Nurse</w:t>
            </w:r>
            <w:r>
              <w:rPr>
                <w:color w:val="000000"/>
                <w:sz w:val="24"/>
              </w:rPr>
              <w:t>/RN</w:t>
            </w:r>
          </w:p>
        </w:tc>
        <w:tc>
          <w:tcPr>
            <w:tcW w:w="1620" w:type="dxa"/>
            <w:tcBorders>
              <w:top w:val="nil"/>
              <w:left w:val="nil"/>
              <w:bottom w:val="single" w:sz="4" w:space="0" w:color="auto"/>
              <w:right w:val="single" w:sz="4" w:space="0" w:color="auto"/>
            </w:tcBorders>
            <w:shd w:val="clear" w:color="auto" w:fill="auto"/>
            <w:noWrap/>
            <w:vAlign w:val="bottom"/>
            <w:hideMark/>
          </w:tcPr>
          <w:p w:rsidR="003B7CDD" w:rsidRPr="00DD019A" w:rsidP="00E820E7" w14:paraId="7AA5BE8F" w14:textId="77777777">
            <w:pPr>
              <w:jc w:val="center"/>
              <w:rPr>
                <w:color w:val="000000"/>
                <w:sz w:val="24"/>
              </w:rPr>
            </w:pPr>
            <w:r w:rsidRPr="00DD019A">
              <w:rPr>
                <w:color w:val="000000"/>
                <w:sz w:val="24"/>
              </w:rPr>
              <w:t>$72</w:t>
            </w:r>
          </w:p>
        </w:tc>
        <w:tc>
          <w:tcPr>
            <w:tcW w:w="1480" w:type="dxa"/>
            <w:tcBorders>
              <w:top w:val="nil"/>
              <w:left w:val="nil"/>
              <w:bottom w:val="single" w:sz="4" w:space="0" w:color="auto"/>
              <w:right w:val="single" w:sz="4" w:space="0" w:color="auto"/>
            </w:tcBorders>
            <w:shd w:val="clear" w:color="auto" w:fill="auto"/>
            <w:vAlign w:val="bottom"/>
            <w:hideMark/>
          </w:tcPr>
          <w:p w:rsidR="003B7CDD" w:rsidRPr="00DD019A" w:rsidP="00E820E7" w14:paraId="438C73ED" w14:textId="77777777">
            <w:pPr>
              <w:jc w:val="center"/>
              <w:rPr>
                <w:color w:val="000000"/>
                <w:sz w:val="24"/>
              </w:rPr>
            </w:pPr>
            <w:r w:rsidRPr="00DD019A">
              <w:rPr>
                <w:color w:val="000000"/>
                <w:sz w:val="24"/>
              </w:rPr>
              <w:t>6.0</w:t>
            </w:r>
          </w:p>
        </w:tc>
        <w:tc>
          <w:tcPr>
            <w:tcW w:w="1290" w:type="dxa"/>
            <w:tcBorders>
              <w:top w:val="nil"/>
              <w:left w:val="nil"/>
              <w:bottom w:val="single" w:sz="4" w:space="0" w:color="auto"/>
              <w:right w:val="single" w:sz="4" w:space="0" w:color="auto"/>
            </w:tcBorders>
            <w:shd w:val="clear" w:color="auto" w:fill="auto"/>
            <w:noWrap/>
            <w:vAlign w:val="bottom"/>
            <w:hideMark/>
          </w:tcPr>
          <w:p w:rsidR="003B7CDD" w:rsidRPr="00DD019A" w:rsidP="00E820E7" w14:paraId="7E482E39" w14:textId="77777777">
            <w:pPr>
              <w:jc w:val="center"/>
              <w:rPr>
                <w:color w:val="000000"/>
                <w:sz w:val="24"/>
              </w:rPr>
            </w:pPr>
            <w:r w:rsidRPr="00DD019A">
              <w:rPr>
                <w:color w:val="000000"/>
                <w:sz w:val="24"/>
              </w:rPr>
              <w:t>$432</w:t>
            </w:r>
          </w:p>
        </w:tc>
      </w:tr>
      <w:tr w14:paraId="3AE34572" w14:textId="77777777" w:rsidTr="003B7CDD">
        <w:tblPrEx>
          <w:tblW w:w="8490" w:type="dxa"/>
          <w:tblInd w:w="558" w:type="dxa"/>
          <w:tblLook w:val="04A0"/>
        </w:tblPrEx>
        <w:trPr>
          <w:trHeight w:val="317"/>
        </w:trPr>
        <w:tc>
          <w:tcPr>
            <w:tcW w:w="4100" w:type="dxa"/>
            <w:tcBorders>
              <w:top w:val="nil"/>
              <w:left w:val="single" w:sz="4" w:space="0" w:color="auto"/>
              <w:bottom w:val="single" w:sz="4" w:space="0" w:color="auto"/>
              <w:right w:val="single" w:sz="4" w:space="0" w:color="auto"/>
            </w:tcBorders>
            <w:shd w:val="clear" w:color="auto" w:fill="auto"/>
            <w:vAlign w:val="bottom"/>
          </w:tcPr>
          <w:p w:rsidR="003B7CDD" w:rsidRPr="00DD019A" w:rsidP="00E820E7" w14:paraId="68EA07E7" w14:textId="77777777">
            <w:pPr>
              <w:rPr>
                <w:color w:val="000000"/>
                <w:sz w:val="24"/>
              </w:rPr>
            </w:pPr>
            <w:r>
              <w:rPr>
                <w:color w:val="000000"/>
                <w:sz w:val="24"/>
              </w:rPr>
              <w:t>Administrator</w:t>
            </w:r>
          </w:p>
        </w:tc>
        <w:tc>
          <w:tcPr>
            <w:tcW w:w="1620" w:type="dxa"/>
            <w:tcBorders>
              <w:top w:val="nil"/>
              <w:left w:val="nil"/>
              <w:bottom w:val="single" w:sz="4" w:space="0" w:color="auto"/>
              <w:right w:val="single" w:sz="4" w:space="0" w:color="auto"/>
            </w:tcBorders>
            <w:shd w:val="clear" w:color="auto" w:fill="auto"/>
            <w:noWrap/>
            <w:vAlign w:val="bottom"/>
          </w:tcPr>
          <w:p w:rsidR="003B7CDD" w:rsidRPr="00DD019A" w:rsidP="00E820E7" w14:paraId="753E0D2B" w14:textId="77777777">
            <w:pPr>
              <w:jc w:val="center"/>
              <w:rPr>
                <w:color w:val="000000"/>
                <w:sz w:val="24"/>
              </w:rPr>
            </w:pPr>
            <w:r>
              <w:rPr>
                <w:color w:val="000000"/>
                <w:sz w:val="24"/>
              </w:rPr>
              <w:t>$74</w:t>
            </w:r>
          </w:p>
        </w:tc>
        <w:tc>
          <w:tcPr>
            <w:tcW w:w="1480" w:type="dxa"/>
            <w:tcBorders>
              <w:top w:val="nil"/>
              <w:left w:val="nil"/>
              <w:bottom w:val="single" w:sz="4" w:space="0" w:color="auto"/>
              <w:right w:val="single" w:sz="4" w:space="0" w:color="auto"/>
            </w:tcBorders>
            <w:shd w:val="clear" w:color="auto" w:fill="auto"/>
            <w:vAlign w:val="bottom"/>
          </w:tcPr>
          <w:p w:rsidR="003B7CDD" w:rsidRPr="00DD019A" w:rsidP="00E820E7" w14:paraId="688C2C2C" w14:textId="77777777">
            <w:pPr>
              <w:jc w:val="center"/>
              <w:rPr>
                <w:color w:val="000000"/>
                <w:sz w:val="24"/>
              </w:rPr>
            </w:pPr>
            <w:r>
              <w:rPr>
                <w:color w:val="000000"/>
                <w:sz w:val="24"/>
              </w:rPr>
              <w:t>1.0</w:t>
            </w:r>
          </w:p>
        </w:tc>
        <w:tc>
          <w:tcPr>
            <w:tcW w:w="1290" w:type="dxa"/>
            <w:tcBorders>
              <w:top w:val="nil"/>
              <w:left w:val="nil"/>
              <w:bottom w:val="single" w:sz="4" w:space="0" w:color="auto"/>
              <w:right w:val="single" w:sz="4" w:space="0" w:color="auto"/>
            </w:tcBorders>
            <w:shd w:val="clear" w:color="auto" w:fill="auto"/>
            <w:vAlign w:val="bottom"/>
          </w:tcPr>
          <w:p w:rsidR="003B7CDD" w:rsidRPr="00DD019A" w:rsidP="00E820E7" w14:paraId="64877012" w14:textId="77777777">
            <w:pPr>
              <w:jc w:val="center"/>
              <w:rPr>
                <w:color w:val="000000"/>
                <w:sz w:val="24"/>
              </w:rPr>
            </w:pPr>
            <w:r>
              <w:rPr>
                <w:color w:val="000000"/>
                <w:sz w:val="24"/>
              </w:rPr>
              <w:t>$74</w:t>
            </w:r>
          </w:p>
        </w:tc>
      </w:tr>
      <w:tr w14:paraId="2555B67D" w14:textId="77777777" w:rsidTr="003B7CDD">
        <w:tblPrEx>
          <w:tblW w:w="8490" w:type="dxa"/>
          <w:tblInd w:w="558" w:type="dxa"/>
          <w:tblLook w:val="04A0"/>
        </w:tblPrEx>
        <w:trPr>
          <w:trHeight w:val="317"/>
        </w:trPr>
        <w:tc>
          <w:tcPr>
            <w:tcW w:w="4100" w:type="dxa"/>
            <w:tcBorders>
              <w:top w:val="nil"/>
              <w:left w:val="single" w:sz="4" w:space="0" w:color="auto"/>
              <w:bottom w:val="single" w:sz="4" w:space="0" w:color="auto"/>
              <w:right w:val="single" w:sz="4" w:space="0" w:color="auto"/>
            </w:tcBorders>
            <w:shd w:val="clear" w:color="auto" w:fill="auto"/>
            <w:vAlign w:val="bottom"/>
          </w:tcPr>
          <w:p w:rsidR="003B7CDD" w:rsidRPr="00DD019A" w:rsidP="00E820E7" w14:paraId="3BEBF743" w14:textId="77777777">
            <w:pPr>
              <w:jc w:val="right"/>
              <w:rPr>
                <w:color w:val="000000"/>
                <w:sz w:val="24"/>
              </w:rPr>
            </w:pPr>
            <w:r w:rsidRPr="00140279">
              <w:rPr>
                <w:b/>
                <w:bCs/>
                <w:color w:val="000000"/>
                <w:sz w:val="24"/>
              </w:rPr>
              <w:t>Total Task/Facility</w:t>
            </w:r>
          </w:p>
        </w:tc>
        <w:tc>
          <w:tcPr>
            <w:tcW w:w="1620" w:type="dxa"/>
            <w:tcBorders>
              <w:top w:val="nil"/>
              <w:left w:val="nil"/>
              <w:bottom w:val="single" w:sz="4" w:space="0" w:color="auto"/>
              <w:right w:val="single" w:sz="4" w:space="0" w:color="auto"/>
            </w:tcBorders>
            <w:shd w:val="clear" w:color="auto" w:fill="auto"/>
            <w:noWrap/>
            <w:vAlign w:val="bottom"/>
          </w:tcPr>
          <w:p w:rsidR="003B7CDD" w:rsidRPr="00DD019A" w:rsidP="00E820E7" w14:paraId="66799ECD" w14:textId="77777777">
            <w:pPr>
              <w:jc w:val="center"/>
              <w:rPr>
                <w:color w:val="000000"/>
                <w:sz w:val="24"/>
              </w:rPr>
            </w:pPr>
            <w:r w:rsidRPr="00140279">
              <w:rPr>
                <w:b/>
                <w:bCs/>
                <w:color w:val="000000"/>
                <w:sz w:val="24"/>
              </w:rPr>
              <w:t> </w:t>
            </w:r>
          </w:p>
        </w:tc>
        <w:tc>
          <w:tcPr>
            <w:tcW w:w="1480" w:type="dxa"/>
            <w:tcBorders>
              <w:top w:val="nil"/>
              <w:left w:val="nil"/>
              <w:bottom w:val="single" w:sz="4" w:space="0" w:color="auto"/>
              <w:right w:val="single" w:sz="4" w:space="0" w:color="auto"/>
            </w:tcBorders>
            <w:shd w:val="clear" w:color="auto" w:fill="auto"/>
            <w:vAlign w:val="bottom"/>
          </w:tcPr>
          <w:p w:rsidR="003B7CDD" w:rsidRPr="00DD019A" w:rsidP="00E820E7" w14:paraId="62CE1A07" w14:textId="77777777">
            <w:pPr>
              <w:jc w:val="center"/>
              <w:rPr>
                <w:color w:val="000000"/>
                <w:sz w:val="24"/>
              </w:rPr>
            </w:pPr>
            <w:r>
              <w:rPr>
                <w:b/>
                <w:bCs/>
                <w:color w:val="000000"/>
                <w:sz w:val="24"/>
              </w:rPr>
              <w:t>7</w:t>
            </w:r>
            <w:r w:rsidRPr="00140279">
              <w:rPr>
                <w:b/>
                <w:bCs/>
                <w:color w:val="000000"/>
                <w:sz w:val="24"/>
              </w:rPr>
              <w:t>.0</w:t>
            </w:r>
          </w:p>
        </w:tc>
        <w:tc>
          <w:tcPr>
            <w:tcW w:w="1290" w:type="dxa"/>
            <w:tcBorders>
              <w:top w:val="nil"/>
              <w:left w:val="nil"/>
              <w:bottom w:val="single" w:sz="4" w:space="0" w:color="auto"/>
              <w:right w:val="single" w:sz="4" w:space="0" w:color="auto"/>
            </w:tcBorders>
            <w:shd w:val="clear" w:color="auto" w:fill="auto"/>
            <w:vAlign w:val="bottom"/>
          </w:tcPr>
          <w:p w:rsidR="003B7CDD" w:rsidRPr="00DD019A" w:rsidP="00E820E7" w14:paraId="17C96C8A" w14:textId="77777777">
            <w:pPr>
              <w:jc w:val="center"/>
              <w:rPr>
                <w:color w:val="000000"/>
                <w:sz w:val="24"/>
              </w:rPr>
            </w:pPr>
            <w:r w:rsidRPr="00140279">
              <w:rPr>
                <w:b/>
                <w:bCs/>
                <w:color w:val="000000"/>
                <w:sz w:val="24"/>
              </w:rPr>
              <w:t>$5</w:t>
            </w:r>
            <w:r>
              <w:rPr>
                <w:b/>
                <w:bCs/>
                <w:color w:val="000000"/>
                <w:sz w:val="24"/>
              </w:rPr>
              <w:t>06</w:t>
            </w:r>
          </w:p>
        </w:tc>
      </w:tr>
      <w:tr w14:paraId="6E044A5E" w14:textId="77777777" w:rsidTr="003B7CDD">
        <w:tblPrEx>
          <w:tblW w:w="8490" w:type="dxa"/>
          <w:tblInd w:w="558" w:type="dxa"/>
          <w:tblLook w:val="04A0"/>
        </w:tblPrEx>
        <w:trPr>
          <w:trHeight w:val="317"/>
        </w:trPr>
        <w:tc>
          <w:tcPr>
            <w:tcW w:w="4100" w:type="dxa"/>
            <w:tcBorders>
              <w:top w:val="nil"/>
              <w:left w:val="single" w:sz="4" w:space="0" w:color="auto"/>
              <w:bottom w:val="single" w:sz="4" w:space="0" w:color="auto"/>
              <w:right w:val="single" w:sz="4" w:space="0" w:color="auto"/>
            </w:tcBorders>
            <w:shd w:val="clear" w:color="auto" w:fill="auto"/>
            <w:vAlign w:val="bottom"/>
            <w:hideMark/>
          </w:tcPr>
          <w:p w:rsidR="003B7CDD" w:rsidRPr="00DD019A" w:rsidP="00E820E7" w14:paraId="64469068" w14:textId="77777777">
            <w:pPr>
              <w:jc w:val="right"/>
              <w:rPr>
                <w:color w:val="000000"/>
                <w:sz w:val="24"/>
              </w:rPr>
            </w:pPr>
            <w:r w:rsidRPr="00DD019A">
              <w:rPr>
                <w:color w:val="000000"/>
                <w:sz w:val="24"/>
              </w:rPr>
              <w:t># of Facilities Impacted</w:t>
            </w:r>
          </w:p>
        </w:tc>
        <w:tc>
          <w:tcPr>
            <w:tcW w:w="1620" w:type="dxa"/>
            <w:tcBorders>
              <w:top w:val="nil"/>
              <w:left w:val="nil"/>
              <w:bottom w:val="single" w:sz="4" w:space="0" w:color="auto"/>
              <w:right w:val="single" w:sz="4" w:space="0" w:color="auto"/>
            </w:tcBorders>
            <w:shd w:val="clear" w:color="auto" w:fill="auto"/>
            <w:noWrap/>
            <w:vAlign w:val="bottom"/>
            <w:hideMark/>
          </w:tcPr>
          <w:p w:rsidR="003B7CDD" w:rsidRPr="00DD019A" w:rsidP="00E820E7" w14:paraId="021ECC10" w14:textId="77777777">
            <w:pPr>
              <w:jc w:val="center"/>
              <w:rPr>
                <w:color w:val="000000"/>
                <w:sz w:val="24"/>
              </w:rPr>
            </w:pPr>
            <w:r w:rsidRPr="00DD019A">
              <w:rPr>
                <w:color w:val="000000"/>
                <w:sz w:val="24"/>
              </w:rPr>
              <w:t>5,52</w:t>
            </w:r>
            <w:r>
              <w:rPr>
                <w:color w:val="000000"/>
                <w:sz w:val="24"/>
              </w:rPr>
              <w:t>3</w:t>
            </w:r>
          </w:p>
        </w:tc>
        <w:tc>
          <w:tcPr>
            <w:tcW w:w="1480" w:type="dxa"/>
            <w:tcBorders>
              <w:top w:val="nil"/>
              <w:left w:val="nil"/>
              <w:bottom w:val="single" w:sz="4" w:space="0" w:color="auto"/>
              <w:right w:val="single" w:sz="4" w:space="0" w:color="auto"/>
            </w:tcBorders>
            <w:shd w:val="clear" w:color="auto" w:fill="auto"/>
            <w:vAlign w:val="bottom"/>
            <w:hideMark/>
          </w:tcPr>
          <w:p w:rsidR="003B7CDD" w:rsidRPr="00DD019A" w:rsidP="00E820E7" w14:paraId="728732F6" w14:textId="77777777">
            <w:pPr>
              <w:jc w:val="center"/>
              <w:rPr>
                <w:color w:val="000000"/>
                <w:sz w:val="24"/>
              </w:rPr>
            </w:pPr>
            <w:r w:rsidRPr="00DD019A">
              <w:rPr>
                <w:color w:val="000000"/>
                <w:sz w:val="24"/>
              </w:rPr>
              <w:t> </w:t>
            </w:r>
          </w:p>
        </w:tc>
        <w:tc>
          <w:tcPr>
            <w:tcW w:w="1290" w:type="dxa"/>
            <w:tcBorders>
              <w:top w:val="nil"/>
              <w:left w:val="nil"/>
              <w:bottom w:val="single" w:sz="4" w:space="0" w:color="auto"/>
              <w:right w:val="single" w:sz="4" w:space="0" w:color="auto"/>
            </w:tcBorders>
            <w:shd w:val="clear" w:color="auto" w:fill="auto"/>
            <w:vAlign w:val="bottom"/>
            <w:hideMark/>
          </w:tcPr>
          <w:p w:rsidR="003B7CDD" w:rsidRPr="00DD019A" w:rsidP="00E820E7" w14:paraId="47BB0D91" w14:textId="77777777">
            <w:pPr>
              <w:jc w:val="center"/>
              <w:rPr>
                <w:color w:val="000000"/>
                <w:sz w:val="24"/>
              </w:rPr>
            </w:pPr>
            <w:r w:rsidRPr="00DD019A">
              <w:rPr>
                <w:color w:val="000000"/>
                <w:sz w:val="24"/>
              </w:rPr>
              <w:t> </w:t>
            </w:r>
          </w:p>
        </w:tc>
      </w:tr>
      <w:tr w14:paraId="3335AE23" w14:textId="77777777" w:rsidTr="003B7CDD">
        <w:tblPrEx>
          <w:tblW w:w="8490" w:type="dxa"/>
          <w:tblInd w:w="558" w:type="dxa"/>
          <w:tblLook w:val="04A0"/>
        </w:tblPrEx>
        <w:trPr>
          <w:trHeight w:val="317"/>
        </w:trPr>
        <w:tc>
          <w:tcPr>
            <w:tcW w:w="4100" w:type="dxa"/>
            <w:tcBorders>
              <w:top w:val="nil"/>
              <w:left w:val="single" w:sz="4" w:space="0" w:color="auto"/>
              <w:bottom w:val="single" w:sz="4" w:space="0" w:color="auto"/>
              <w:right w:val="single" w:sz="4" w:space="0" w:color="auto"/>
            </w:tcBorders>
            <w:shd w:val="clear" w:color="000000" w:fill="D9D9D9"/>
            <w:vAlign w:val="bottom"/>
            <w:hideMark/>
          </w:tcPr>
          <w:p w:rsidR="003B7CDD" w:rsidRPr="00DD019A" w:rsidP="00E820E7" w14:paraId="35A5D80F" w14:textId="77777777">
            <w:pPr>
              <w:jc w:val="right"/>
              <w:rPr>
                <w:b/>
                <w:bCs/>
                <w:color w:val="000000"/>
                <w:sz w:val="24"/>
              </w:rPr>
            </w:pPr>
            <w:r w:rsidRPr="00DD019A">
              <w:rPr>
                <w:b/>
                <w:bCs/>
                <w:color w:val="000000"/>
                <w:sz w:val="24"/>
              </w:rPr>
              <w:t xml:space="preserve">Total Annual Burden/Costs </w:t>
            </w:r>
          </w:p>
        </w:tc>
        <w:tc>
          <w:tcPr>
            <w:tcW w:w="1620" w:type="dxa"/>
            <w:tcBorders>
              <w:top w:val="nil"/>
              <w:left w:val="nil"/>
              <w:bottom w:val="single" w:sz="4" w:space="0" w:color="auto"/>
              <w:right w:val="single" w:sz="4" w:space="0" w:color="auto"/>
            </w:tcBorders>
            <w:shd w:val="clear" w:color="000000" w:fill="D9D9D9"/>
            <w:vAlign w:val="bottom"/>
            <w:hideMark/>
          </w:tcPr>
          <w:p w:rsidR="003B7CDD" w:rsidRPr="00DD019A" w:rsidP="00E820E7" w14:paraId="365E7E1C" w14:textId="77777777">
            <w:pPr>
              <w:jc w:val="center"/>
              <w:rPr>
                <w:b/>
                <w:bCs/>
                <w:color w:val="000000"/>
                <w:sz w:val="24"/>
              </w:rPr>
            </w:pPr>
            <w:r w:rsidRPr="00DD019A">
              <w:rPr>
                <w:b/>
                <w:bCs/>
                <w:color w:val="000000"/>
                <w:sz w:val="24"/>
              </w:rPr>
              <w:t> </w:t>
            </w:r>
          </w:p>
        </w:tc>
        <w:tc>
          <w:tcPr>
            <w:tcW w:w="1480" w:type="dxa"/>
            <w:tcBorders>
              <w:top w:val="nil"/>
              <w:left w:val="nil"/>
              <w:bottom w:val="single" w:sz="4" w:space="0" w:color="auto"/>
              <w:right w:val="single" w:sz="4" w:space="0" w:color="auto"/>
            </w:tcBorders>
            <w:shd w:val="clear" w:color="000000" w:fill="D9D9D9"/>
            <w:noWrap/>
            <w:hideMark/>
          </w:tcPr>
          <w:p w:rsidR="003B7CDD" w:rsidRPr="007A1430" w:rsidP="00E820E7" w14:paraId="6218B6A9" w14:textId="77777777">
            <w:pPr>
              <w:jc w:val="center"/>
              <w:rPr>
                <w:b/>
                <w:bCs/>
                <w:color w:val="000000"/>
                <w:sz w:val="24"/>
                <w:szCs w:val="32"/>
              </w:rPr>
            </w:pPr>
            <w:r w:rsidRPr="007A1430">
              <w:rPr>
                <w:b/>
                <w:bCs/>
                <w:sz w:val="24"/>
                <w:szCs w:val="32"/>
              </w:rPr>
              <w:t>3</w:t>
            </w:r>
            <w:r>
              <w:rPr>
                <w:b/>
                <w:bCs/>
                <w:sz w:val="24"/>
                <w:szCs w:val="32"/>
              </w:rPr>
              <w:t>8</w:t>
            </w:r>
            <w:r w:rsidRPr="007A1430">
              <w:rPr>
                <w:b/>
                <w:bCs/>
                <w:sz w:val="24"/>
                <w:szCs w:val="32"/>
              </w:rPr>
              <w:t>,</w:t>
            </w:r>
            <w:r>
              <w:rPr>
                <w:b/>
                <w:bCs/>
                <w:sz w:val="24"/>
                <w:szCs w:val="32"/>
              </w:rPr>
              <w:t>661</w:t>
            </w:r>
          </w:p>
        </w:tc>
        <w:tc>
          <w:tcPr>
            <w:tcW w:w="1290" w:type="dxa"/>
            <w:tcBorders>
              <w:top w:val="nil"/>
              <w:left w:val="nil"/>
              <w:bottom w:val="single" w:sz="4" w:space="0" w:color="auto"/>
              <w:right w:val="single" w:sz="4" w:space="0" w:color="auto"/>
            </w:tcBorders>
            <w:shd w:val="clear" w:color="000000" w:fill="D9D9D9"/>
            <w:hideMark/>
          </w:tcPr>
          <w:p w:rsidR="003B7CDD" w:rsidRPr="007A1430" w:rsidP="00E820E7" w14:paraId="69245DF7" w14:textId="77777777">
            <w:pPr>
              <w:jc w:val="center"/>
              <w:rPr>
                <w:b/>
                <w:bCs/>
                <w:color w:val="000000"/>
                <w:sz w:val="24"/>
                <w:szCs w:val="32"/>
              </w:rPr>
            </w:pPr>
            <w:r w:rsidRPr="007A1430">
              <w:rPr>
                <w:b/>
                <w:bCs/>
                <w:sz w:val="24"/>
                <w:szCs w:val="32"/>
              </w:rPr>
              <w:t>$2,</w:t>
            </w:r>
            <w:r>
              <w:rPr>
                <w:b/>
                <w:bCs/>
                <w:sz w:val="24"/>
                <w:szCs w:val="32"/>
              </w:rPr>
              <w:t>794,638</w:t>
            </w:r>
          </w:p>
        </w:tc>
      </w:tr>
    </w:tbl>
    <w:p w:rsidR="003B7CDD" w:rsidP="00FF25D1" w14:paraId="7678811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napToGrid w:val="0"/>
          <w:sz w:val="24"/>
          <w:szCs w:val="20"/>
        </w:rPr>
      </w:pPr>
    </w:p>
    <w:p w:rsidR="00AF4E4C" w:rsidP="00FF25D1" w14:paraId="6A09A2F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napToGrid w:val="0"/>
          <w:sz w:val="24"/>
          <w:szCs w:val="20"/>
        </w:rPr>
      </w:pPr>
    </w:p>
    <w:p w:rsidR="002E2B45" w:rsidP="002E2B45" w14:paraId="3DBDD8E6" w14:textId="4375704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r>
        <w:rPr>
          <w:snapToGrid w:val="0"/>
          <w:sz w:val="24"/>
          <w:szCs w:val="20"/>
        </w:rPr>
        <w:t>F</w:t>
      </w:r>
      <w:r w:rsidRPr="00372A46">
        <w:rPr>
          <w:snapToGrid w:val="0"/>
          <w:sz w:val="24"/>
          <w:szCs w:val="20"/>
        </w:rPr>
        <w:t xml:space="preserve">or each ICF-IID, the burden hours for </w:t>
      </w:r>
      <w:r>
        <w:rPr>
          <w:snapToGrid w:val="0"/>
          <w:sz w:val="24"/>
          <w:szCs w:val="20"/>
        </w:rPr>
        <w:t>updating the educational materials each year would be 6 hours for an RN at an estimated cost of $432 (5 hours x $72/hour) and would be 1 hour for an Administrator at an estimated costs of $</w:t>
      </w:r>
      <w:r>
        <w:rPr>
          <w:snapToGrid w:val="0"/>
          <w:sz w:val="24"/>
          <w:szCs w:val="20"/>
        </w:rPr>
        <w:t>74</w:t>
      </w:r>
      <w:r>
        <w:rPr>
          <w:snapToGrid w:val="0"/>
          <w:sz w:val="24"/>
          <w:szCs w:val="20"/>
        </w:rPr>
        <w:t xml:space="preserve"> (</w:t>
      </w:r>
      <w:r>
        <w:rPr>
          <w:snapToGrid w:val="0"/>
          <w:sz w:val="24"/>
          <w:szCs w:val="20"/>
        </w:rPr>
        <w:t>1</w:t>
      </w:r>
      <w:r>
        <w:rPr>
          <w:snapToGrid w:val="0"/>
          <w:sz w:val="24"/>
          <w:szCs w:val="20"/>
        </w:rPr>
        <w:t xml:space="preserve"> hour x $74), for a total of </w:t>
      </w:r>
      <w:r>
        <w:rPr>
          <w:snapToGrid w:val="0"/>
          <w:sz w:val="24"/>
          <w:szCs w:val="20"/>
        </w:rPr>
        <w:t>7</w:t>
      </w:r>
      <w:r>
        <w:rPr>
          <w:snapToGrid w:val="0"/>
          <w:sz w:val="24"/>
          <w:szCs w:val="20"/>
        </w:rPr>
        <w:t xml:space="preserve"> hours at an estimated cost of $5</w:t>
      </w:r>
      <w:r>
        <w:rPr>
          <w:snapToGrid w:val="0"/>
          <w:sz w:val="24"/>
          <w:szCs w:val="20"/>
        </w:rPr>
        <w:t>06</w:t>
      </w:r>
      <w:r>
        <w:rPr>
          <w:snapToGrid w:val="0"/>
          <w:sz w:val="24"/>
          <w:szCs w:val="20"/>
        </w:rPr>
        <w:t xml:space="preserve"> per facility.</w:t>
      </w:r>
      <w:r w:rsidRPr="002E2B45">
        <w:rPr>
          <w:snapToGrid w:val="0"/>
          <w:sz w:val="24"/>
          <w:szCs w:val="20"/>
        </w:rPr>
        <w:t xml:space="preserve"> </w:t>
      </w:r>
      <w:r>
        <w:rPr>
          <w:snapToGrid w:val="0"/>
          <w:sz w:val="24"/>
          <w:szCs w:val="20"/>
        </w:rPr>
        <w:t>For all</w:t>
      </w:r>
      <w:r w:rsidRPr="00372A46">
        <w:rPr>
          <w:snapToGrid w:val="0"/>
          <w:sz w:val="24"/>
          <w:szCs w:val="20"/>
        </w:rPr>
        <w:t xml:space="preserve"> 5,</w:t>
      </w:r>
      <w:r>
        <w:rPr>
          <w:snapToGrid w:val="0"/>
          <w:sz w:val="24"/>
          <w:szCs w:val="20"/>
        </w:rPr>
        <w:t>523</w:t>
      </w:r>
      <w:r w:rsidRPr="00372A46">
        <w:rPr>
          <w:snapToGrid w:val="0"/>
          <w:sz w:val="24"/>
          <w:szCs w:val="20"/>
        </w:rPr>
        <w:t xml:space="preserve"> ICFs-IID, </w:t>
      </w:r>
      <w:r>
        <w:rPr>
          <w:snapToGrid w:val="0"/>
          <w:sz w:val="24"/>
          <w:szCs w:val="20"/>
        </w:rPr>
        <w:t>the annual burden hours to update educational materials</w:t>
      </w:r>
      <w:r w:rsidRPr="00372A46">
        <w:rPr>
          <w:snapToGrid w:val="0"/>
          <w:sz w:val="24"/>
          <w:szCs w:val="20"/>
        </w:rPr>
        <w:t xml:space="preserve"> would be </w:t>
      </w:r>
      <w:r>
        <w:rPr>
          <w:snapToGrid w:val="0"/>
          <w:sz w:val="24"/>
          <w:szCs w:val="20"/>
        </w:rPr>
        <w:t>38,661</w:t>
      </w:r>
      <w:r w:rsidRPr="00372A46">
        <w:rPr>
          <w:snapToGrid w:val="0"/>
          <w:sz w:val="24"/>
          <w:szCs w:val="20"/>
        </w:rPr>
        <w:t xml:space="preserve"> (</w:t>
      </w:r>
      <w:r>
        <w:rPr>
          <w:snapToGrid w:val="0"/>
          <w:sz w:val="24"/>
          <w:szCs w:val="20"/>
        </w:rPr>
        <w:t>5,523 facilities x 7 hours</w:t>
      </w:r>
      <w:r w:rsidRPr="00372A46">
        <w:rPr>
          <w:snapToGrid w:val="0"/>
          <w:sz w:val="24"/>
          <w:szCs w:val="20"/>
        </w:rPr>
        <w:t>) at an estimated cost of $</w:t>
      </w:r>
      <w:r>
        <w:rPr>
          <w:snapToGrid w:val="0"/>
          <w:sz w:val="24"/>
          <w:szCs w:val="20"/>
        </w:rPr>
        <w:t>2,794,638</w:t>
      </w:r>
      <w:r w:rsidRPr="00372A46">
        <w:rPr>
          <w:snapToGrid w:val="0"/>
          <w:sz w:val="24"/>
          <w:szCs w:val="20"/>
        </w:rPr>
        <w:t xml:space="preserve"> (</w:t>
      </w:r>
      <w:r>
        <w:rPr>
          <w:snapToGrid w:val="0"/>
          <w:sz w:val="24"/>
          <w:szCs w:val="20"/>
        </w:rPr>
        <w:t>5,523 facilities x $506</w:t>
      </w:r>
      <w:r w:rsidR="005E7E9D">
        <w:rPr>
          <w:snapToGrid w:val="0"/>
          <w:sz w:val="24"/>
          <w:szCs w:val="20"/>
        </w:rPr>
        <w:t xml:space="preserve"> per facility</w:t>
      </w:r>
      <w:r w:rsidRPr="00372A46">
        <w:rPr>
          <w:snapToGrid w:val="0"/>
          <w:sz w:val="24"/>
          <w:szCs w:val="20"/>
        </w:rPr>
        <w:t xml:space="preserve">). </w:t>
      </w:r>
    </w:p>
    <w:p w:rsidR="002E2B45" w:rsidP="002E2B45" w14:paraId="3736B7B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p>
    <w:p w:rsidR="00AF4E4C" w:rsidP="00FF25D1" w14:paraId="0EE7C6D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napToGrid w:val="0"/>
          <w:sz w:val="24"/>
          <w:szCs w:val="20"/>
        </w:rPr>
      </w:pPr>
    </w:p>
    <w:p w:rsidR="00B963C2" w14:paraId="268C41C0" w14:textId="77777777">
      <w:pPr>
        <w:rPr>
          <w:b/>
          <w:snapToGrid w:val="0"/>
          <w:sz w:val="24"/>
          <w:szCs w:val="20"/>
          <w:u w:val="single"/>
        </w:rPr>
      </w:pPr>
      <w:r>
        <w:rPr>
          <w:b/>
          <w:snapToGrid w:val="0"/>
          <w:szCs w:val="20"/>
          <w:u w:val="single"/>
        </w:rPr>
        <w:br w:type="page"/>
      </w:r>
    </w:p>
    <w:p w:rsidR="003B7CDD" w:rsidRPr="00D928D1" w:rsidP="003B7CDD" w14:paraId="1FE2C7E6" w14:textId="36D1B7FD">
      <w:pPr>
        <w:pStyle w:val="NormalWeb"/>
        <w:shd w:val="clear" w:color="auto" w:fill="FFFFFF"/>
        <w:spacing w:before="0" w:beforeAutospacing="0" w:after="288" w:afterAutospacing="0"/>
        <w:rPr>
          <w:b/>
          <w:snapToGrid w:val="0"/>
          <w:szCs w:val="20"/>
          <w:u w:val="single"/>
        </w:rPr>
      </w:pPr>
      <w:r w:rsidRPr="00D928D1">
        <w:rPr>
          <w:b/>
          <w:snapToGrid w:val="0"/>
          <w:szCs w:val="20"/>
          <w:u w:val="single"/>
        </w:rPr>
        <w:t>Documenting compliance with the “Educate and Offer” CoP</w:t>
      </w:r>
    </w:p>
    <w:p w:rsidR="003B7CDD" w:rsidRPr="00D46E61" w:rsidP="003B7CDD" w14:paraId="5A1B93E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sz w:val="24"/>
          <w:szCs w:val="20"/>
          <w:u w:val="single"/>
        </w:rPr>
      </w:pPr>
      <w:r w:rsidRPr="00D46E61">
        <w:rPr>
          <w:b/>
          <w:bCs/>
          <w:snapToGrid w:val="0"/>
          <w:sz w:val="24"/>
          <w:szCs w:val="20"/>
          <w:u w:val="single"/>
        </w:rPr>
        <w:t>483.460(a)(4)(vi) – Client’s Medical Record documentation</w:t>
      </w:r>
    </w:p>
    <w:p w:rsidR="003B7CDD" w:rsidP="003B7CDD" w14:paraId="6F06CEF9" w14:textId="038DB5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r>
        <w:rPr>
          <w:snapToGrid w:val="0"/>
          <w:sz w:val="24"/>
          <w:szCs w:val="20"/>
        </w:rPr>
        <w:t xml:space="preserve">The </w:t>
      </w:r>
      <w:hyperlink r:id="rId10" w:history="1">
        <w:r w:rsidRPr="0025679C">
          <w:rPr>
            <w:rStyle w:val="Hyperlink"/>
            <w:bCs/>
            <w:snapToGrid w:val="0"/>
            <w:sz w:val="24"/>
            <w:szCs w:val="20"/>
          </w:rPr>
          <w:t>May 2021 Interim Final Rule</w:t>
        </w:r>
      </w:hyperlink>
      <w:r>
        <w:rPr>
          <w:bCs/>
          <w:snapToGrid w:val="0"/>
          <w:sz w:val="24"/>
          <w:szCs w:val="20"/>
        </w:rPr>
        <w:t xml:space="preserve"> added a new CoP at Section 483.460(a)(4)(vi) that required ICFs-IID </w:t>
      </w:r>
      <w:r>
        <w:rPr>
          <w:snapToGrid w:val="0"/>
          <w:sz w:val="24"/>
          <w:szCs w:val="20"/>
        </w:rPr>
        <w:t>to document in the client’s medical record that</w:t>
      </w:r>
      <w:r w:rsidR="002C2BE6">
        <w:rPr>
          <w:snapToGrid w:val="0"/>
          <w:sz w:val="24"/>
          <w:szCs w:val="20"/>
        </w:rPr>
        <w:t>:</w:t>
      </w:r>
      <w:r>
        <w:rPr>
          <w:snapToGrid w:val="0"/>
          <w:sz w:val="24"/>
          <w:szCs w:val="20"/>
        </w:rPr>
        <w:t xml:space="preserve"> 1) the client (or client’s representative) was educated about the benefits and potential risks of the COVID-19; 2) details about each COVID-19 vaccine the client received or 3) if the client did not receive a vaccine, whether it was due to the client’s refusal or “medical contraindications.”</w:t>
      </w:r>
      <w:r>
        <w:rPr>
          <w:rStyle w:val="FootnoteReference"/>
          <w:snapToGrid w:val="0"/>
          <w:szCs w:val="20"/>
        </w:rPr>
        <w:footnoteReference w:id="14"/>
      </w:r>
      <w:r>
        <w:rPr>
          <w:snapToGrid w:val="0"/>
          <w:sz w:val="24"/>
          <w:szCs w:val="20"/>
        </w:rPr>
        <w:t xml:space="preserve"> </w:t>
      </w:r>
      <w:r w:rsidR="000D51F1">
        <w:rPr>
          <w:snapToGrid w:val="0"/>
          <w:sz w:val="24"/>
          <w:szCs w:val="20"/>
        </w:rPr>
        <w:t xml:space="preserve"> </w:t>
      </w:r>
      <w:r>
        <w:rPr>
          <w:snapToGrid w:val="0"/>
          <w:sz w:val="24"/>
          <w:szCs w:val="20"/>
        </w:rPr>
        <w:t xml:space="preserve">This CoP remained unchanged and was made final in the </w:t>
      </w:r>
      <w:hyperlink r:id="rId12" w:anchor="h-24" w:history="1">
        <w:r w:rsidRPr="00367E7E">
          <w:rPr>
            <w:rStyle w:val="Hyperlink"/>
            <w:bCs/>
            <w:snapToGrid w:val="0"/>
            <w:sz w:val="24"/>
            <w:szCs w:val="20"/>
          </w:rPr>
          <w:t xml:space="preserve">June 2023 Final </w:t>
        </w:r>
        <w:r>
          <w:rPr>
            <w:rStyle w:val="Hyperlink"/>
            <w:bCs/>
            <w:snapToGrid w:val="0"/>
            <w:sz w:val="24"/>
            <w:szCs w:val="20"/>
          </w:rPr>
          <w:t>R</w:t>
        </w:r>
        <w:r w:rsidRPr="00367E7E">
          <w:rPr>
            <w:rStyle w:val="Hyperlink"/>
            <w:bCs/>
            <w:snapToGrid w:val="0"/>
            <w:sz w:val="24"/>
            <w:szCs w:val="20"/>
          </w:rPr>
          <w:t>ule</w:t>
        </w:r>
      </w:hyperlink>
      <w:r>
        <w:rPr>
          <w:snapToGrid w:val="0"/>
          <w:sz w:val="24"/>
          <w:szCs w:val="20"/>
        </w:rPr>
        <w:t>.</w:t>
      </w:r>
      <w:r>
        <w:rPr>
          <w:rStyle w:val="FootnoteReference"/>
          <w:snapToGrid w:val="0"/>
          <w:szCs w:val="20"/>
        </w:rPr>
        <w:footnoteReference w:id="15"/>
      </w:r>
      <w:r>
        <w:rPr>
          <w:snapToGrid w:val="0"/>
          <w:sz w:val="24"/>
          <w:szCs w:val="20"/>
        </w:rPr>
        <w:t xml:space="preserve"> </w:t>
      </w:r>
      <w:r w:rsidR="000D51F1">
        <w:rPr>
          <w:snapToGrid w:val="0"/>
          <w:sz w:val="24"/>
          <w:szCs w:val="20"/>
        </w:rPr>
        <w:t xml:space="preserve"> </w:t>
      </w:r>
      <w:r>
        <w:rPr>
          <w:snapToGrid w:val="0"/>
          <w:sz w:val="24"/>
          <w:szCs w:val="20"/>
        </w:rPr>
        <w:t xml:space="preserve">This documentation is directly related to the treatment and procedures provided to the client at the facility and would occur regardless of the CoP requirement. As a result, the burden of documenting the client’s vaccine status should be considered </w:t>
      </w:r>
      <w:r w:rsidRPr="00D46E61">
        <w:rPr>
          <w:snapToGrid w:val="0"/>
          <w:sz w:val="24"/>
          <w:szCs w:val="20"/>
        </w:rPr>
        <w:t xml:space="preserve">usual and customary </w:t>
      </w:r>
      <w:r>
        <w:rPr>
          <w:snapToGrid w:val="0"/>
          <w:sz w:val="24"/>
          <w:szCs w:val="20"/>
        </w:rPr>
        <w:t xml:space="preserve">practice by a health facility </w:t>
      </w:r>
      <w:r w:rsidRPr="00D46E61">
        <w:rPr>
          <w:snapToGrid w:val="0"/>
          <w:sz w:val="24"/>
          <w:szCs w:val="20"/>
        </w:rPr>
        <w:t>and be exempt from the PRA in accordance with 5 CFR</w:t>
      </w:r>
      <w:r>
        <w:rPr>
          <w:snapToGrid w:val="0"/>
          <w:sz w:val="24"/>
          <w:szCs w:val="20"/>
        </w:rPr>
        <w:t xml:space="preserve"> §</w:t>
      </w:r>
      <w:r w:rsidRPr="00D46E61">
        <w:rPr>
          <w:snapToGrid w:val="0"/>
          <w:sz w:val="24"/>
          <w:szCs w:val="20"/>
        </w:rPr>
        <w:t>1320.3(b)(2).</w:t>
      </w:r>
      <w:r>
        <w:rPr>
          <w:rStyle w:val="FootnoteReference"/>
          <w:snapToGrid w:val="0"/>
          <w:szCs w:val="20"/>
        </w:rPr>
        <w:footnoteReference w:id="16"/>
      </w:r>
    </w:p>
    <w:p w:rsidR="003B7CDD" w:rsidP="00FF25D1" w14:paraId="5C37AA0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snapToGrid w:val="0"/>
          <w:sz w:val="24"/>
          <w:szCs w:val="20"/>
        </w:rPr>
      </w:pPr>
    </w:p>
    <w:p w:rsidR="00372A46" w:rsidRPr="00F81ED0" w:rsidP="00FF25D1" w14:paraId="5F648720" w14:textId="086282E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u w:val="single"/>
        </w:rPr>
      </w:pPr>
      <w:r w:rsidRPr="002E66A9">
        <w:rPr>
          <w:b/>
          <w:bCs/>
          <w:snapToGrid w:val="0"/>
          <w:sz w:val="24"/>
          <w:szCs w:val="20"/>
          <w:u w:val="single"/>
        </w:rPr>
        <w:t>483.4</w:t>
      </w:r>
      <w:r w:rsidRPr="002E66A9" w:rsidR="003B7CDD">
        <w:rPr>
          <w:b/>
          <w:bCs/>
          <w:snapToGrid w:val="0"/>
          <w:sz w:val="24"/>
          <w:szCs w:val="20"/>
          <w:u w:val="single"/>
        </w:rPr>
        <w:t>3</w:t>
      </w:r>
      <w:r w:rsidRPr="002E66A9">
        <w:rPr>
          <w:b/>
          <w:bCs/>
          <w:snapToGrid w:val="0"/>
          <w:sz w:val="24"/>
          <w:szCs w:val="20"/>
          <w:u w:val="single"/>
        </w:rPr>
        <w:t>0(f)</w:t>
      </w:r>
      <w:r w:rsidRPr="002E66A9" w:rsidR="003B7CDD">
        <w:rPr>
          <w:b/>
          <w:bCs/>
          <w:snapToGrid w:val="0"/>
          <w:sz w:val="24"/>
          <w:szCs w:val="20"/>
          <w:u w:val="single"/>
        </w:rPr>
        <w:t xml:space="preserve"> - Staff</w:t>
      </w:r>
      <w:r w:rsidRPr="002E66A9">
        <w:rPr>
          <w:b/>
          <w:bCs/>
          <w:snapToGrid w:val="0"/>
          <w:sz w:val="24"/>
          <w:szCs w:val="20"/>
          <w:u w:val="single"/>
        </w:rPr>
        <w:t xml:space="preserve"> </w:t>
      </w:r>
      <w:r w:rsidRPr="002E66A9">
        <w:rPr>
          <w:b/>
          <w:bCs/>
          <w:snapToGrid w:val="0"/>
          <w:sz w:val="24"/>
          <w:szCs w:val="20"/>
          <w:u w:val="single"/>
        </w:rPr>
        <w:t>Documentation</w:t>
      </w:r>
      <w:r w:rsidRPr="00F81ED0">
        <w:rPr>
          <w:snapToGrid w:val="0"/>
          <w:sz w:val="24"/>
          <w:szCs w:val="20"/>
          <w:u w:val="single"/>
        </w:rPr>
        <w:t xml:space="preserve"> </w:t>
      </w:r>
    </w:p>
    <w:p w:rsidR="00504E25" w:rsidP="00504E25" w14:paraId="4D4402F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4"/>
          <w:szCs w:val="20"/>
        </w:rPr>
      </w:pPr>
      <w:bookmarkStart w:id="4" w:name="_Hlk174621873"/>
      <w:r>
        <w:rPr>
          <w:bCs/>
          <w:snapToGrid w:val="0"/>
          <w:sz w:val="24"/>
          <w:szCs w:val="20"/>
        </w:rPr>
        <w:t xml:space="preserve">The </w:t>
      </w:r>
      <w:hyperlink r:id="rId10" w:history="1">
        <w:r w:rsidRPr="0025679C">
          <w:rPr>
            <w:rStyle w:val="Hyperlink"/>
            <w:bCs/>
            <w:snapToGrid w:val="0"/>
            <w:sz w:val="24"/>
            <w:szCs w:val="20"/>
          </w:rPr>
          <w:t>May 2021 Interim Final Rule</w:t>
        </w:r>
      </w:hyperlink>
      <w:r>
        <w:rPr>
          <w:bCs/>
          <w:snapToGrid w:val="0"/>
          <w:sz w:val="24"/>
          <w:szCs w:val="20"/>
        </w:rPr>
        <w:t xml:space="preserve"> added a new CoP at Section 483.430(f) that required ICFs-IID to “document </w:t>
      </w:r>
      <w:r w:rsidRPr="00B23437">
        <w:rPr>
          <w:bCs/>
          <w:snapToGrid w:val="0"/>
          <w:sz w:val="24"/>
          <w:szCs w:val="20"/>
        </w:rPr>
        <w:t>that their staff were provided education regarding the benefits and potential risks associated with the COVID–19 vaccine and that each staff member was offered the vaccine or was provided information on how to obtain it.</w:t>
      </w:r>
      <w:r>
        <w:rPr>
          <w:bCs/>
          <w:snapToGrid w:val="0"/>
          <w:sz w:val="24"/>
          <w:szCs w:val="20"/>
        </w:rPr>
        <w:t>”</w:t>
      </w:r>
      <w:r>
        <w:rPr>
          <w:rStyle w:val="FootnoteReference"/>
          <w:bCs/>
          <w:snapToGrid w:val="0"/>
          <w:szCs w:val="20"/>
        </w:rPr>
        <w:footnoteReference w:id="17"/>
      </w:r>
      <w:r w:rsidRPr="005C5C8E">
        <w:rPr>
          <w:bCs/>
          <w:snapToGrid w:val="0"/>
          <w:sz w:val="24"/>
          <w:szCs w:val="20"/>
        </w:rPr>
        <w:t xml:space="preserve"> </w:t>
      </w:r>
      <w:r>
        <w:rPr>
          <w:bCs/>
          <w:snapToGrid w:val="0"/>
          <w:sz w:val="24"/>
          <w:szCs w:val="20"/>
        </w:rPr>
        <w:t>The prior package included this activity as an information collection request that was subject to the PRA.</w:t>
      </w:r>
      <w:r>
        <w:rPr>
          <w:rStyle w:val="FootnoteReference"/>
          <w:bCs/>
          <w:snapToGrid w:val="0"/>
          <w:szCs w:val="20"/>
        </w:rPr>
        <w:footnoteReference w:id="18"/>
      </w:r>
      <w:r>
        <w:rPr>
          <w:bCs/>
          <w:snapToGrid w:val="0"/>
          <w:sz w:val="24"/>
          <w:szCs w:val="20"/>
        </w:rPr>
        <w:t xml:space="preserve">  </w:t>
      </w:r>
    </w:p>
    <w:bookmarkEnd w:id="4"/>
    <w:p w:rsidR="00504E25" w:rsidP="00504E25" w14:paraId="26BA9B1E" w14:textId="77777777">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4"/>
          <w:szCs w:val="20"/>
        </w:rPr>
      </w:pPr>
    </w:p>
    <w:p w:rsidR="00504E25" w:rsidP="00504E25" w14:paraId="3A242FBF" w14:textId="11A29F01">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4"/>
          <w:szCs w:val="20"/>
        </w:rPr>
      </w:pPr>
      <w:r>
        <w:rPr>
          <w:bCs/>
          <w:snapToGrid w:val="0"/>
          <w:sz w:val="24"/>
          <w:szCs w:val="20"/>
        </w:rPr>
        <w:t xml:space="preserve">The </w:t>
      </w:r>
      <w:hyperlink r:id="rId11" w:anchor="h-69" w:history="1">
        <w:r w:rsidRPr="000D6EA2">
          <w:rPr>
            <w:rStyle w:val="Hyperlink"/>
            <w:bCs/>
            <w:snapToGrid w:val="0"/>
            <w:sz w:val="24"/>
            <w:szCs w:val="20"/>
          </w:rPr>
          <w:t>November 2021 Interim Final Rule</w:t>
        </w:r>
      </w:hyperlink>
      <w:r>
        <w:rPr>
          <w:bCs/>
          <w:snapToGrid w:val="0"/>
          <w:sz w:val="24"/>
          <w:szCs w:val="20"/>
        </w:rPr>
        <w:t xml:space="preserve"> substantially expanded the staff documentation CoP at Section 483.430(f)(iv) – (f)(ix) for ICFs-IID to include the vaccine status of staff members, staff exemptions (that had to be signed by a second practitioner), or if they had medical reasons for not getting vaccinated.</w:t>
      </w:r>
      <w:r>
        <w:rPr>
          <w:rStyle w:val="FootnoteReference"/>
          <w:bCs/>
          <w:snapToGrid w:val="0"/>
          <w:szCs w:val="20"/>
        </w:rPr>
        <w:footnoteReference w:id="19"/>
      </w:r>
      <w:r>
        <w:rPr>
          <w:bCs/>
          <w:snapToGrid w:val="0"/>
          <w:sz w:val="24"/>
          <w:szCs w:val="20"/>
        </w:rPr>
        <w:t xml:space="preserve"> Analysis of the burden of this expanded information collection request was included in the November 2021 rule at </w:t>
      </w:r>
      <w:r w:rsidRPr="00D551A8">
        <w:rPr>
          <w:bCs/>
          <w:snapToGrid w:val="0"/>
          <w:sz w:val="24"/>
          <w:szCs w:val="20"/>
        </w:rPr>
        <w:t>86 FR 61555, 61593</w:t>
      </w:r>
      <w:r>
        <w:rPr>
          <w:bCs/>
          <w:snapToGrid w:val="0"/>
          <w:sz w:val="24"/>
          <w:szCs w:val="20"/>
        </w:rPr>
        <w:t xml:space="preserve"> and e</w:t>
      </w:r>
      <w:r w:rsidRPr="00D551A8">
        <w:rPr>
          <w:bCs/>
          <w:snapToGrid w:val="0"/>
          <w:sz w:val="24"/>
          <w:szCs w:val="20"/>
        </w:rPr>
        <w:t xml:space="preserve">stimated </w:t>
      </w:r>
      <w:r>
        <w:rPr>
          <w:bCs/>
          <w:snapToGrid w:val="0"/>
          <w:sz w:val="24"/>
          <w:szCs w:val="20"/>
        </w:rPr>
        <w:t xml:space="preserve">the annual burden hours </w:t>
      </w:r>
      <w:r w:rsidRPr="00D551A8">
        <w:rPr>
          <w:bCs/>
          <w:snapToGrid w:val="0"/>
          <w:sz w:val="24"/>
          <w:szCs w:val="20"/>
        </w:rPr>
        <w:t xml:space="preserve">to be </w:t>
      </w:r>
      <w:r>
        <w:rPr>
          <w:bCs/>
          <w:snapToGrid w:val="0"/>
          <w:sz w:val="24"/>
          <w:szCs w:val="20"/>
        </w:rPr>
        <w:t>6</w:t>
      </w:r>
      <w:r w:rsidRPr="00D551A8">
        <w:rPr>
          <w:bCs/>
          <w:snapToGrid w:val="0"/>
          <w:sz w:val="24"/>
          <w:szCs w:val="20"/>
        </w:rPr>
        <w:t>,664 at a cost of $459,816</w:t>
      </w:r>
      <w:r>
        <w:rPr>
          <w:bCs/>
          <w:snapToGrid w:val="0"/>
          <w:sz w:val="24"/>
          <w:szCs w:val="20"/>
        </w:rPr>
        <w:t xml:space="preserve"> for 5,780 ICF-IID facilities.</w:t>
      </w:r>
      <w:r>
        <w:rPr>
          <w:rStyle w:val="FootnoteReference"/>
          <w:bCs/>
          <w:snapToGrid w:val="0"/>
          <w:szCs w:val="20"/>
        </w:rPr>
        <w:footnoteReference w:id="20"/>
      </w:r>
    </w:p>
    <w:p w:rsidR="00504E25" w:rsidP="002C2BE6" w14:paraId="459347C4" w14:textId="2152908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 w:val="24"/>
          <w:szCs w:val="20"/>
        </w:rPr>
      </w:pPr>
      <w:r>
        <w:rPr>
          <w:bCs/>
          <w:snapToGrid w:val="0"/>
          <w:sz w:val="24"/>
          <w:szCs w:val="20"/>
        </w:rPr>
        <w:t>For reasons detailed in the preamble</w:t>
      </w:r>
      <w:r w:rsidR="002C2BE6">
        <w:rPr>
          <w:bCs/>
          <w:snapToGrid w:val="0"/>
          <w:sz w:val="24"/>
          <w:szCs w:val="20"/>
        </w:rPr>
        <w:t xml:space="preserve"> of the rule</w:t>
      </w:r>
      <w:r>
        <w:rPr>
          <w:bCs/>
          <w:snapToGrid w:val="0"/>
          <w:sz w:val="24"/>
          <w:szCs w:val="20"/>
        </w:rPr>
        <w:t xml:space="preserve">, the </w:t>
      </w:r>
      <w:hyperlink r:id="rId12" w:anchor="h-24" w:history="1">
        <w:r w:rsidRPr="00367E7E">
          <w:rPr>
            <w:rStyle w:val="Hyperlink"/>
            <w:bCs/>
            <w:snapToGrid w:val="0"/>
            <w:sz w:val="24"/>
            <w:szCs w:val="20"/>
          </w:rPr>
          <w:t xml:space="preserve">June 2023 Final </w:t>
        </w:r>
        <w:r>
          <w:rPr>
            <w:rStyle w:val="Hyperlink"/>
            <w:bCs/>
            <w:snapToGrid w:val="0"/>
            <w:sz w:val="24"/>
            <w:szCs w:val="20"/>
          </w:rPr>
          <w:t>R</w:t>
        </w:r>
        <w:r w:rsidRPr="00367E7E">
          <w:rPr>
            <w:rStyle w:val="Hyperlink"/>
            <w:bCs/>
            <w:snapToGrid w:val="0"/>
            <w:sz w:val="24"/>
            <w:szCs w:val="20"/>
          </w:rPr>
          <w:t>ule</w:t>
        </w:r>
      </w:hyperlink>
      <w:r>
        <w:rPr>
          <w:bCs/>
          <w:snapToGrid w:val="0"/>
          <w:sz w:val="24"/>
          <w:szCs w:val="20"/>
        </w:rPr>
        <w:t xml:space="preserve"> eliminated Section 483.430(f) in its entirety</w:t>
      </w:r>
      <w:r w:rsidRPr="00E4498D">
        <w:rPr>
          <w:bCs/>
          <w:snapToGrid w:val="0"/>
          <w:sz w:val="24"/>
          <w:szCs w:val="20"/>
        </w:rPr>
        <w:t>.</w:t>
      </w:r>
      <w:r>
        <w:rPr>
          <w:rStyle w:val="FootnoteReference"/>
          <w:bCs/>
          <w:snapToGrid w:val="0"/>
          <w:szCs w:val="20"/>
        </w:rPr>
        <w:footnoteReference w:id="21"/>
      </w:r>
      <w:r>
        <w:rPr>
          <w:bCs/>
          <w:snapToGrid w:val="0"/>
          <w:sz w:val="24"/>
          <w:szCs w:val="20"/>
        </w:rPr>
        <w:t xml:space="preserve"> This included Sections 483.430(f)(iv) – (f)(ix) which detailed what facilities needed to document after staff were educated and offered the vaccine. Although </w:t>
      </w:r>
      <w:r w:rsidRPr="00DB1187">
        <w:rPr>
          <w:sz w:val="24"/>
          <w:szCs w:val="32"/>
        </w:rPr>
        <w:t xml:space="preserve">CMS may have intended </w:t>
      </w:r>
      <w:r>
        <w:rPr>
          <w:sz w:val="24"/>
          <w:szCs w:val="32"/>
        </w:rPr>
        <w:t>to continue requiring ICFs-IID</w:t>
      </w:r>
      <w:r w:rsidRPr="00DB1187">
        <w:rPr>
          <w:sz w:val="24"/>
          <w:szCs w:val="32"/>
        </w:rPr>
        <w:t xml:space="preserve"> to document when staff are educated and offered vaccines</w:t>
      </w:r>
      <w:r>
        <w:rPr>
          <w:sz w:val="24"/>
          <w:szCs w:val="32"/>
        </w:rPr>
        <w:t xml:space="preserve">, as evidenced by language in the preamble, </w:t>
      </w:r>
      <w:r>
        <w:rPr>
          <w:bCs/>
          <w:snapToGrid w:val="0"/>
          <w:sz w:val="24"/>
          <w:szCs w:val="20"/>
        </w:rPr>
        <w:t>Section 483.460(a)(4)(v) - which only explains what documentation is required for ICFs-IID’ clients – has not been amended to include the term “staff” or “staff members.”</w:t>
      </w:r>
      <w:bookmarkStart w:id="5" w:name="_Hlk174636486"/>
      <w:r>
        <w:rPr>
          <w:rStyle w:val="FootnoteReference"/>
          <w:bCs/>
          <w:snapToGrid w:val="0"/>
          <w:szCs w:val="20"/>
        </w:rPr>
        <w:footnoteReference w:id="22"/>
      </w:r>
      <w:r w:rsidRPr="00777FC7">
        <w:rPr>
          <w:snapToGrid w:val="0"/>
          <w:sz w:val="24"/>
          <w:szCs w:val="20"/>
        </w:rPr>
        <w:t xml:space="preserve"> </w:t>
      </w:r>
      <w:bookmarkEnd w:id="5"/>
      <w:r>
        <w:rPr>
          <w:bCs/>
          <w:snapToGrid w:val="0"/>
          <w:sz w:val="24"/>
          <w:szCs w:val="20"/>
        </w:rPr>
        <w:t>As a result, there currently is no CoP that requires ICFs-IID to document if staff members were educated and offered the COVID-19 vaccine or their vaccine status.</w:t>
      </w:r>
      <w:r>
        <w:rPr>
          <w:rStyle w:val="FootnoteReference"/>
          <w:bCs/>
          <w:snapToGrid w:val="0"/>
          <w:szCs w:val="20"/>
        </w:rPr>
        <w:footnoteReference w:id="23"/>
      </w:r>
      <w:r>
        <w:rPr>
          <w:bCs/>
          <w:snapToGrid w:val="0"/>
          <w:sz w:val="24"/>
          <w:szCs w:val="20"/>
        </w:rPr>
        <w:t xml:space="preserve"> </w:t>
      </w:r>
    </w:p>
    <w:p w:rsidR="005D4AD3" w:rsidP="00504E25" w14:paraId="0714008E" w14:textId="77777777">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p>
    <w:p w:rsidR="00504E25" w:rsidP="00504E25" w14:paraId="0492AF5A" w14:textId="2911E945">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r>
        <w:rPr>
          <w:snapToGrid w:val="0"/>
          <w:sz w:val="24"/>
          <w:szCs w:val="20"/>
        </w:rPr>
        <w:t xml:space="preserve">Because the previous information collection request at 42 CFR </w:t>
      </w:r>
      <w:r w:rsidR="00B963C2">
        <w:rPr>
          <w:snapToGrid w:val="0"/>
          <w:sz w:val="24"/>
          <w:szCs w:val="20"/>
        </w:rPr>
        <w:t>§</w:t>
      </w:r>
      <w:r>
        <w:rPr>
          <w:snapToGrid w:val="0"/>
          <w:sz w:val="24"/>
          <w:szCs w:val="20"/>
        </w:rPr>
        <w:t>483.430(f) no longer exists and the requirement was not added elsewhere as a CoP, there currently is no burden on ICFs-IID to document the “educate and offer” activity for staff that is subject to the PRA.</w:t>
      </w:r>
    </w:p>
    <w:p w:rsidR="00504E25" w:rsidP="00504E25" w14:paraId="2615371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0"/>
        </w:rPr>
      </w:pPr>
    </w:p>
    <w:p w:rsidR="005D4AD3" w14:paraId="4B129D50" w14:textId="77777777">
      <w:pPr>
        <w:rPr>
          <w:b/>
          <w:bCs/>
          <w:sz w:val="24"/>
          <w:szCs w:val="32"/>
        </w:rPr>
      </w:pPr>
      <w:r>
        <w:rPr>
          <w:b/>
          <w:bCs/>
          <w:sz w:val="24"/>
          <w:szCs w:val="32"/>
        </w:rPr>
        <w:br w:type="page"/>
      </w:r>
    </w:p>
    <w:p w:rsidR="00A71FE8" w:rsidP="005D4AD3" w14:paraId="67329352" w14:textId="697CFB4A">
      <w:pPr>
        <w:tabs>
          <w:tab w:val="left" w:pos="432"/>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0"/>
        </w:rPr>
      </w:pPr>
      <w:r w:rsidRPr="004D57CF">
        <w:rPr>
          <w:b/>
          <w:bCs/>
          <w:sz w:val="24"/>
          <w:szCs w:val="32"/>
        </w:rPr>
        <w:t xml:space="preserve">Table </w:t>
      </w:r>
      <w:r>
        <w:rPr>
          <w:b/>
          <w:bCs/>
          <w:sz w:val="24"/>
          <w:szCs w:val="32"/>
        </w:rPr>
        <w:t>7</w:t>
      </w:r>
      <w:r w:rsidRPr="004D57CF">
        <w:rPr>
          <w:sz w:val="24"/>
          <w:szCs w:val="32"/>
        </w:rPr>
        <w:t xml:space="preserve"> </w:t>
      </w:r>
      <w:r w:rsidR="005D4AD3">
        <w:rPr>
          <w:sz w:val="24"/>
          <w:szCs w:val="32"/>
        </w:rPr>
        <w:t>below</w:t>
      </w:r>
      <w:r w:rsidRPr="004D57CF">
        <w:rPr>
          <w:sz w:val="24"/>
          <w:szCs w:val="32"/>
        </w:rPr>
        <w:t xml:space="preserve"> provides a summary of the information collections burden hours and costs within this package</w:t>
      </w:r>
      <w:r w:rsidR="00F1085B">
        <w:rPr>
          <w:sz w:val="24"/>
          <w:szCs w:val="32"/>
        </w:rPr>
        <w:t xml:space="preserve">. </w:t>
      </w:r>
      <w:r w:rsidRPr="00372A46">
        <w:rPr>
          <w:snapToGrid w:val="0"/>
          <w:sz w:val="24"/>
          <w:szCs w:val="20"/>
        </w:rPr>
        <w:t>In total, we estimate that information collection burden for all ICFs-IID would be  1</w:t>
      </w:r>
      <w:r>
        <w:rPr>
          <w:snapToGrid w:val="0"/>
          <w:sz w:val="24"/>
          <w:szCs w:val="20"/>
        </w:rPr>
        <w:t>55,004</w:t>
      </w:r>
      <w:r w:rsidRPr="00372A46">
        <w:rPr>
          <w:snapToGrid w:val="0"/>
          <w:sz w:val="24"/>
          <w:szCs w:val="20"/>
        </w:rPr>
        <w:t xml:space="preserve"> hours and $11,</w:t>
      </w:r>
      <w:r>
        <w:rPr>
          <w:snapToGrid w:val="0"/>
          <w:sz w:val="24"/>
          <w:szCs w:val="20"/>
        </w:rPr>
        <w:t>204,616.</w:t>
      </w:r>
      <w:r w:rsidRPr="004D57CF">
        <w:t xml:space="preserve"> </w:t>
      </w:r>
      <w:r w:rsidRPr="004D57CF">
        <w:rPr>
          <w:snapToGrid w:val="0"/>
          <w:sz w:val="24"/>
          <w:szCs w:val="20"/>
        </w:rPr>
        <w:t xml:space="preserve">Annualized over three years, the annual burden hours are </w:t>
      </w:r>
      <w:r w:rsidRPr="00BE240E">
        <w:rPr>
          <w:b/>
          <w:bCs/>
          <w:snapToGrid w:val="0"/>
          <w:sz w:val="24"/>
          <w:szCs w:val="20"/>
        </w:rPr>
        <w:t>75,721</w:t>
      </w:r>
      <w:r w:rsidRPr="004D57CF">
        <w:rPr>
          <w:snapToGrid w:val="0"/>
          <w:sz w:val="24"/>
          <w:szCs w:val="20"/>
        </w:rPr>
        <w:t xml:space="preserve"> and annual burden costs are </w:t>
      </w:r>
      <w:r w:rsidRPr="00BE240E">
        <w:rPr>
          <w:b/>
          <w:bCs/>
          <w:snapToGrid w:val="0"/>
          <w:sz w:val="24"/>
          <w:szCs w:val="20"/>
        </w:rPr>
        <w:t>$5,470,418</w:t>
      </w:r>
      <w:r w:rsidR="00BE240E">
        <w:rPr>
          <w:snapToGrid w:val="0"/>
          <w:sz w:val="24"/>
          <w:szCs w:val="20"/>
        </w:rPr>
        <w:t>.</w:t>
      </w:r>
    </w:p>
    <w:p w:rsidR="003F5CB8" w:rsidP="003F5CB8" w14:paraId="1A4A7740" w14:textId="0661E16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firstLine="720"/>
        <w:rPr>
          <w:b/>
          <w:bCs/>
          <w:snapToGrid w:val="0"/>
          <w:sz w:val="28"/>
          <w:szCs w:val="22"/>
        </w:rPr>
      </w:pPr>
      <w:r>
        <w:rPr>
          <w:b/>
          <w:bCs/>
          <w:snapToGrid w:val="0"/>
          <w:sz w:val="28"/>
          <w:szCs w:val="22"/>
        </w:rPr>
        <w:tab/>
      </w:r>
      <w:r w:rsidRPr="00140279">
        <w:rPr>
          <w:b/>
          <w:bCs/>
          <w:snapToGrid w:val="0"/>
          <w:sz w:val="28"/>
          <w:szCs w:val="22"/>
        </w:rPr>
        <w:t xml:space="preserve">Table </w:t>
      </w:r>
      <w:r w:rsidR="004D57CF">
        <w:rPr>
          <w:b/>
          <w:bCs/>
          <w:snapToGrid w:val="0"/>
          <w:sz w:val="28"/>
          <w:szCs w:val="22"/>
        </w:rPr>
        <w:t>7</w:t>
      </w:r>
      <w:r w:rsidRPr="00140279">
        <w:rPr>
          <w:b/>
          <w:bCs/>
          <w:snapToGrid w:val="0"/>
          <w:sz w:val="28"/>
          <w:szCs w:val="22"/>
        </w:rPr>
        <w:t xml:space="preserve">: </w:t>
      </w:r>
      <w:r>
        <w:rPr>
          <w:b/>
          <w:bCs/>
          <w:snapToGrid w:val="0"/>
          <w:sz w:val="28"/>
          <w:szCs w:val="22"/>
        </w:rPr>
        <w:t xml:space="preserve">Total Annual Burden Hours and Costs to Industry </w:t>
      </w:r>
    </w:p>
    <w:tbl>
      <w:tblPr>
        <w:tblW w:w="10080" w:type="dxa"/>
        <w:tblInd w:w="-455" w:type="dxa"/>
        <w:tblLayout w:type="fixed"/>
        <w:tblLook w:val="04A0"/>
      </w:tblPr>
      <w:tblGrid>
        <w:gridCol w:w="4590"/>
        <w:gridCol w:w="1260"/>
        <w:gridCol w:w="1440"/>
        <w:gridCol w:w="1324"/>
        <w:gridCol w:w="1440"/>
        <w:gridCol w:w="26"/>
      </w:tblGrid>
      <w:tr w14:paraId="7A42E914" w14:textId="77777777" w:rsidTr="00F1085B">
        <w:tblPrEx>
          <w:tblW w:w="10080" w:type="dxa"/>
          <w:tblInd w:w="-455" w:type="dxa"/>
          <w:tblLayout w:type="fixed"/>
          <w:tblLook w:val="04A0"/>
        </w:tblPrEx>
        <w:trPr>
          <w:gridAfter w:val="1"/>
          <w:wAfter w:w="26" w:type="dxa"/>
          <w:trHeight w:val="714"/>
        </w:trPr>
        <w:tc>
          <w:tcPr>
            <w:tcW w:w="4590" w:type="dxa"/>
            <w:tcBorders>
              <w:top w:val="single" w:sz="4" w:space="0" w:color="auto"/>
              <w:left w:val="single" w:sz="4" w:space="0" w:color="auto"/>
              <w:bottom w:val="single" w:sz="4" w:space="0" w:color="auto"/>
              <w:right w:val="single" w:sz="4" w:space="0" w:color="auto"/>
            </w:tcBorders>
            <w:shd w:val="clear" w:color="000000" w:fill="B3CEFB"/>
            <w:noWrap/>
            <w:vAlign w:val="center"/>
            <w:hideMark/>
          </w:tcPr>
          <w:p w:rsidR="001514A8" w:rsidRPr="00504E25" w:rsidP="002730D2" w14:paraId="35CD91DD" w14:textId="77777777">
            <w:pPr>
              <w:jc w:val="center"/>
              <w:rPr>
                <w:b/>
                <w:bCs/>
                <w:color w:val="000000"/>
                <w:sz w:val="24"/>
              </w:rPr>
            </w:pPr>
            <w:r w:rsidRPr="00504E25">
              <w:rPr>
                <w:b/>
                <w:bCs/>
                <w:color w:val="000000"/>
                <w:sz w:val="24"/>
              </w:rPr>
              <w:t>Information Collection No.</w:t>
            </w:r>
          </w:p>
        </w:tc>
        <w:tc>
          <w:tcPr>
            <w:tcW w:w="1260" w:type="dxa"/>
            <w:tcBorders>
              <w:top w:val="single" w:sz="4" w:space="0" w:color="auto"/>
              <w:left w:val="nil"/>
              <w:bottom w:val="single" w:sz="4" w:space="0" w:color="auto"/>
              <w:right w:val="single" w:sz="4" w:space="0" w:color="auto"/>
            </w:tcBorders>
            <w:shd w:val="clear" w:color="000000" w:fill="B3CEFB"/>
          </w:tcPr>
          <w:p w:rsidR="001514A8" w:rsidRPr="00F1085B" w:rsidP="002730D2" w14:paraId="0F08BA24" w14:textId="77777777">
            <w:pPr>
              <w:jc w:val="center"/>
              <w:rPr>
                <w:b/>
                <w:bCs/>
                <w:color w:val="000000"/>
                <w:sz w:val="22"/>
                <w:szCs w:val="22"/>
              </w:rPr>
            </w:pPr>
          </w:p>
          <w:p w:rsidR="001514A8" w:rsidRPr="00F1085B" w:rsidP="00F1085B" w14:paraId="36250613" w14:textId="0369DB25">
            <w:pPr>
              <w:rPr>
                <w:b/>
                <w:bCs/>
                <w:color w:val="000000"/>
                <w:sz w:val="22"/>
                <w:szCs w:val="22"/>
              </w:rPr>
            </w:pPr>
            <w:r w:rsidRPr="00F1085B">
              <w:rPr>
                <w:b/>
                <w:bCs/>
                <w:color w:val="000000"/>
                <w:sz w:val="22"/>
                <w:szCs w:val="22"/>
              </w:rPr>
              <w:t>Responses</w:t>
            </w:r>
          </w:p>
        </w:tc>
        <w:tc>
          <w:tcPr>
            <w:tcW w:w="1440" w:type="dxa"/>
            <w:tcBorders>
              <w:top w:val="single" w:sz="4" w:space="0" w:color="auto"/>
              <w:left w:val="single" w:sz="4" w:space="0" w:color="auto"/>
              <w:bottom w:val="single" w:sz="4" w:space="0" w:color="auto"/>
              <w:right w:val="single" w:sz="4" w:space="0" w:color="auto"/>
            </w:tcBorders>
            <w:shd w:val="clear" w:color="000000" w:fill="B3CEFB"/>
          </w:tcPr>
          <w:p w:rsidR="001514A8" w:rsidRPr="00F1085B" w:rsidP="002730D2" w14:paraId="1AD3D6BE" w14:textId="77777777">
            <w:pPr>
              <w:jc w:val="center"/>
              <w:rPr>
                <w:b/>
                <w:bCs/>
                <w:color w:val="000000"/>
                <w:sz w:val="22"/>
                <w:szCs w:val="22"/>
              </w:rPr>
            </w:pPr>
          </w:p>
          <w:p w:rsidR="001514A8" w:rsidRPr="00F1085B" w:rsidP="00F1085B" w14:paraId="2BEFC3E0" w14:textId="5289CBB6">
            <w:pPr>
              <w:rPr>
                <w:b/>
                <w:bCs/>
                <w:color w:val="000000"/>
                <w:sz w:val="22"/>
                <w:szCs w:val="22"/>
              </w:rPr>
            </w:pPr>
            <w:r w:rsidRPr="00F1085B">
              <w:rPr>
                <w:b/>
                <w:bCs/>
                <w:color w:val="000000"/>
                <w:sz w:val="22"/>
                <w:szCs w:val="22"/>
              </w:rPr>
              <w:t>Respondents</w:t>
            </w:r>
          </w:p>
        </w:tc>
        <w:tc>
          <w:tcPr>
            <w:tcW w:w="1324" w:type="dxa"/>
            <w:tcBorders>
              <w:top w:val="single" w:sz="4" w:space="0" w:color="auto"/>
              <w:left w:val="single" w:sz="4" w:space="0" w:color="auto"/>
              <w:bottom w:val="single" w:sz="4" w:space="0" w:color="auto"/>
              <w:right w:val="single" w:sz="4" w:space="0" w:color="auto"/>
            </w:tcBorders>
            <w:shd w:val="clear" w:color="000000" w:fill="B3CEFB"/>
            <w:vAlign w:val="bottom"/>
            <w:hideMark/>
          </w:tcPr>
          <w:p w:rsidR="001514A8" w:rsidRPr="00504E25" w:rsidP="002730D2" w14:paraId="2A61AD4B" w14:textId="516F0A6C">
            <w:pPr>
              <w:jc w:val="center"/>
              <w:rPr>
                <w:b/>
                <w:bCs/>
                <w:color w:val="000000"/>
                <w:sz w:val="24"/>
              </w:rPr>
            </w:pPr>
            <w:r w:rsidRPr="00504E25">
              <w:rPr>
                <w:b/>
                <w:bCs/>
                <w:color w:val="000000"/>
                <w:sz w:val="24"/>
              </w:rPr>
              <w:t>Annual Burden Hours</w:t>
            </w:r>
          </w:p>
        </w:tc>
        <w:tc>
          <w:tcPr>
            <w:tcW w:w="1440" w:type="dxa"/>
            <w:tcBorders>
              <w:top w:val="single" w:sz="4" w:space="0" w:color="auto"/>
              <w:left w:val="nil"/>
              <w:bottom w:val="single" w:sz="4" w:space="0" w:color="auto"/>
              <w:right w:val="single" w:sz="4" w:space="0" w:color="auto"/>
            </w:tcBorders>
            <w:shd w:val="clear" w:color="000000" w:fill="B3CEFB"/>
            <w:vAlign w:val="bottom"/>
            <w:hideMark/>
          </w:tcPr>
          <w:p w:rsidR="001514A8" w:rsidRPr="00504E25" w:rsidP="002730D2" w14:paraId="0041E034" w14:textId="77777777">
            <w:pPr>
              <w:ind w:right="-105"/>
              <w:jc w:val="center"/>
              <w:rPr>
                <w:b/>
                <w:bCs/>
                <w:color w:val="000000"/>
                <w:sz w:val="24"/>
              </w:rPr>
            </w:pPr>
            <w:r w:rsidRPr="00504E25">
              <w:rPr>
                <w:b/>
                <w:bCs/>
                <w:color w:val="000000"/>
                <w:sz w:val="24"/>
              </w:rPr>
              <w:t>Annual Burden Costs</w:t>
            </w:r>
          </w:p>
        </w:tc>
      </w:tr>
      <w:tr w14:paraId="7A14ADF9" w14:textId="77777777" w:rsidTr="000D51F1">
        <w:tblPrEx>
          <w:tblW w:w="10080" w:type="dxa"/>
          <w:tblInd w:w="-455" w:type="dxa"/>
          <w:tblLayout w:type="fixed"/>
          <w:tblLook w:val="04A0"/>
        </w:tblPrEx>
        <w:trPr>
          <w:gridAfter w:val="1"/>
          <w:wAfter w:w="26" w:type="dxa"/>
          <w:trHeight w:val="317"/>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14A8" w:rsidRPr="007942E5" w:rsidP="002730D2" w14:paraId="73F49B53" w14:textId="77777777">
            <w:pPr>
              <w:rPr>
                <w:color w:val="000000"/>
                <w:szCs w:val="20"/>
              </w:rPr>
            </w:pPr>
            <w:r w:rsidRPr="007942E5">
              <w:rPr>
                <w:b/>
                <w:bCs/>
                <w:color w:val="000000"/>
                <w:szCs w:val="20"/>
              </w:rPr>
              <w:t>IC-1</w:t>
            </w:r>
            <w:r w:rsidRPr="007942E5">
              <w:rPr>
                <w:color w:val="000000"/>
                <w:szCs w:val="20"/>
              </w:rPr>
              <w:t>: 483.460(a)(4) - One time development of policies</w:t>
            </w:r>
          </w:p>
        </w:tc>
        <w:tc>
          <w:tcPr>
            <w:tcW w:w="1260" w:type="dxa"/>
            <w:tcBorders>
              <w:top w:val="single" w:sz="4" w:space="0" w:color="auto"/>
              <w:left w:val="nil"/>
              <w:bottom w:val="single" w:sz="4" w:space="0" w:color="auto"/>
              <w:right w:val="single" w:sz="4" w:space="0" w:color="auto"/>
            </w:tcBorders>
            <w:vAlign w:val="bottom"/>
          </w:tcPr>
          <w:p w:rsidR="001514A8" w:rsidRPr="00504E25" w:rsidP="0017058A" w14:paraId="1621F233" w14:textId="5BC8F06E">
            <w:pPr>
              <w:jc w:val="center"/>
              <w:rPr>
                <w:color w:val="000000"/>
                <w:sz w:val="24"/>
              </w:rPr>
            </w:pPr>
            <w:r>
              <w:rPr>
                <w:color w:val="000000"/>
                <w:sz w:val="24"/>
              </w:rPr>
              <w:t>1</w:t>
            </w:r>
          </w:p>
        </w:tc>
        <w:tc>
          <w:tcPr>
            <w:tcW w:w="1440" w:type="dxa"/>
            <w:tcBorders>
              <w:top w:val="nil"/>
              <w:left w:val="single" w:sz="4" w:space="0" w:color="auto"/>
              <w:bottom w:val="single" w:sz="4" w:space="0" w:color="auto"/>
              <w:right w:val="single" w:sz="4" w:space="0" w:color="auto"/>
            </w:tcBorders>
            <w:vAlign w:val="bottom"/>
          </w:tcPr>
          <w:p w:rsidR="001514A8" w:rsidRPr="00504E25" w:rsidP="0017058A" w14:paraId="5D86CF9A" w14:textId="0864FE1F">
            <w:pPr>
              <w:jc w:val="center"/>
              <w:rPr>
                <w:color w:val="000000"/>
                <w:sz w:val="24"/>
              </w:rPr>
            </w:pPr>
            <w:r>
              <w:rPr>
                <w:color w:val="000000"/>
                <w:sz w:val="24"/>
              </w:rPr>
              <w:t>5,523</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514A8" w:rsidRPr="00504E25" w:rsidP="000715B0" w14:paraId="09F7BF82" w14:textId="283A3EC5">
            <w:pPr>
              <w:ind w:left="-36" w:right="9"/>
              <w:jc w:val="right"/>
              <w:rPr>
                <w:color w:val="000000"/>
                <w:sz w:val="24"/>
              </w:rPr>
            </w:pPr>
            <w:r w:rsidRPr="00504E25">
              <w:rPr>
                <w:color w:val="000000"/>
                <w:sz w:val="24"/>
              </w:rPr>
              <w:t>44,376</w:t>
            </w:r>
          </w:p>
        </w:tc>
        <w:tc>
          <w:tcPr>
            <w:tcW w:w="1440" w:type="dxa"/>
            <w:tcBorders>
              <w:top w:val="nil"/>
              <w:left w:val="nil"/>
              <w:bottom w:val="single" w:sz="4" w:space="0" w:color="auto"/>
              <w:right w:val="single" w:sz="4" w:space="0" w:color="auto"/>
            </w:tcBorders>
            <w:shd w:val="clear" w:color="auto" w:fill="auto"/>
            <w:noWrap/>
            <w:vAlign w:val="bottom"/>
            <w:hideMark/>
          </w:tcPr>
          <w:p w:rsidR="001514A8" w:rsidRPr="00504E25" w:rsidP="002730D2" w14:paraId="007A978D" w14:textId="77777777">
            <w:pPr>
              <w:jc w:val="right"/>
              <w:rPr>
                <w:color w:val="000000"/>
                <w:sz w:val="24"/>
              </w:rPr>
            </w:pPr>
            <w:r w:rsidRPr="00504E25">
              <w:rPr>
                <w:color w:val="000000"/>
                <w:sz w:val="24"/>
              </w:rPr>
              <w:t>$3,228,354</w:t>
            </w:r>
          </w:p>
        </w:tc>
      </w:tr>
      <w:tr w14:paraId="61F78866" w14:textId="77777777" w:rsidTr="000D51F1">
        <w:tblPrEx>
          <w:tblW w:w="10080" w:type="dxa"/>
          <w:tblInd w:w="-455" w:type="dxa"/>
          <w:tblLayout w:type="fixed"/>
          <w:tblLook w:val="04A0"/>
        </w:tblPrEx>
        <w:trPr>
          <w:gridAfter w:val="1"/>
          <w:wAfter w:w="26" w:type="dxa"/>
          <w:trHeight w:val="317"/>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058A" w:rsidRPr="007942E5" w:rsidP="0017058A" w14:paraId="06631AAE" w14:textId="77777777">
            <w:pPr>
              <w:rPr>
                <w:color w:val="000000"/>
                <w:szCs w:val="20"/>
              </w:rPr>
            </w:pPr>
            <w:r w:rsidRPr="007942E5">
              <w:rPr>
                <w:b/>
                <w:bCs/>
                <w:color w:val="000000"/>
                <w:szCs w:val="20"/>
              </w:rPr>
              <w:t>IC-2</w:t>
            </w:r>
            <w:r w:rsidRPr="007942E5">
              <w:rPr>
                <w:color w:val="000000"/>
                <w:szCs w:val="20"/>
              </w:rPr>
              <w:t>: 483.460(a)(4) - Annual update of policies</w:t>
            </w:r>
          </w:p>
        </w:tc>
        <w:tc>
          <w:tcPr>
            <w:tcW w:w="1260" w:type="dxa"/>
            <w:tcBorders>
              <w:top w:val="single" w:sz="4" w:space="0" w:color="auto"/>
              <w:left w:val="nil"/>
              <w:bottom w:val="single" w:sz="4" w:space="0" w:color="auto"/>
              <w:right w:val="single" w:sz="4" w:space="0" w:color="auto"/>
            </w:tcBorders>
            <w:vAlign w:val="bottom"/>
          </w:tcPr>
          <w:p w:rsidR="0017058A" w:rsidRPr="00504E25" w:rsidP="0017058A" w14:paraId="7613E38C" w14:textId="708F34CE">
            <w:pPr>
              <w:jc w:val="center"/>
              <w:rPr>
                <w:color w:val="000000"/>
                <w:sz w:val="24"/>
              </w:rPr>
            </w:pPr>
            <w:r>
              <w:rPr>
                <w:color w:val="000000"/>
                <w:sz w:val="24"/>
              </w:rPr>
              <w:t>1</w:t>
            </w:r>
          </w:p>
        </w:tc>
        <w:tc>
          <w:tcPr>
            <w:tcW w:w="1440" w:type="dxa"/>
            <w:tcBorders>
              <w:top w:val="nil"/>
              <w:left w:val="single" w:sz="4" w:space="0" w:color="auto"/>
              <w:bottom w:val="single" w:sz="4" w:space="0" w:color="auto"/>
              <w:right w:val="single" w:sz="4" w:space="0" w:color="auto"/>
            </w:tcBorders>
            <w:vAlign w:val="bottom"/>
          </w:tcPr>
          <w:p w:rsidR="0017058A" w:rsidRPr="00504E25" w:rsidP="0017058A" w14:paraId="32AA1559" w14:textId="40E9A9F0">
            <w:pPr>
              <w:jc w:val="center"/>
              <w:rPr>
                <w:color w:val="000000"/>
                <w:sz w:val="24"/>
              </w:rPr>
            </w:pPr>
            <w:r>
              <w:rPr>
                <w:color w:val="000000"/>
                <w:sz w:val="24"/>
              </w:rPr>
              <w:t>5,523</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7058A" w:rsidRPr="00504E25" w:rsidP="0017058A" w14:paraId="23032F8C" w14:textId="17D71E17">
            <w:pPr>
              <w:jc w:val="right"/>
              <w:rPr>
                <w:color w:val="000000"/>
                <w:sz w:val="24"/>
              </w:rPr>
            </w:pPr>
            <w:r w:rsidRPr="00504E25">
              <w:rPr>
                <w:color w:val="000000"/>
                <w:sz w:val="24"/>
              </w:rPr>
              <w:t>33,138</w:t>
            </w:r>
          </w:p>
        </w:tc>
        <w:tc>
          <w:tcPr>
            <w:tcW w:w="1440" w:type="dxa"/>
            <w:tcBorders>
              <w:top w:val="nil"/>
              <w:left w:val="nil"/>
              <w:bottom w:val="single" w:sz="4" w:space="0" w:color="auto"/>
              <w:right w:val="single" w:sz="4" w:space="0" w:color="auto"/>
            </w:tcBorders>
            <w:shd w:val="clear" w:color="auto" w:fill="auto"/>
            <w:noWrap/>
            <w:vAlign w:val="bottom"/>
            <w:hideMark/>
          </w:tcPr>
          <w:p w:rsidR="0017058A" w:rsidRPr="00504E25" w:rsidP="0017058A" w14:paraId="4C43D963" w14:textId="77777777">
            <w:pPr>
              <w:jc w:val="right"/>
              <w:rPr>
                <w:color w:val="000000"/>
                <w:sz w:val="24"/>
              </w:rPr>
            </w:pPr>
            <w:r w:rsidRPr="00504E25">
              <w:rPr>
                <w:color w:val="000000"/>
                <w:sz w:val="24"/>
              </w:rPr>
              <w:t>$2,385,936</w:t>
            </w:r>
          </w:p>
        </w:tc>
      </w:tr>
      <w:tr w14:paraId="40C1DE76" w14:textId="77777777" w:rsidTr="000D51F1">
        <w:tblPrEx>
          <w:tblW w:w="10080" w:type="dxa"/>
          <w:tblInd w:w="-455" w:type="dxa"/>
          <w:tblLayout w:type="fixed"/>
          <w:tblLook w:val="04A0"/>
        </w:tblPrEx>
        <w:trPr>
          <w:gridAfter w:val="1"/>
          <w:wAfter w:w="26" w:type="dxa"/>
          <w:trHeight w:val="317"/>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058A" w:rsidRPr="007942E5" w:rsidP="0017058A" w14:paraId="70389E4C" w14:textId="77777777">
            <w:pPr>
              <w:rPr>
                <w:color w:val="000000"/>
                <w:szCs w:val="20"/>
              </w:rPr>
            </w:pPr>
            <w:r w:rsidRPr="007942E5">
              <w:rPr>
                <w:b/>
                <w:bCs/>
                <w:color w:val="000000"/>
                <w:szCs w:val="20"/>
              </w:rPr>
              <w:t>IC-3</w:t>
            </w:r>
            <w:r w:rsidRPr="007942E5">
              <w:rPr>
                <w:color w:val="000000"/>
                <w:szCs w:val="20"/>
              </w:rPr>
              <w:t>: 483.460(a)(4)(ii), (iii), and (iv) - One time development of educational materials</w:t>
            </w:r>
          </w:p>
        </w:tc>
        <w:tc>
          <w:tcPr>
            <w:tcW w:w="1260" w:type="dxa"/>
            <w:tcBorders>
              <w:top w:val="single" w:sz="4" w:space="0" w:color="auto"/>
              <w:left w:val="nil"/>
              <w:bottom w:val="single" w:sz="4" w:space="0" w:color="auto"/>
              <w:right w:val="single" w:sz="4" w:space="0" w:color="auto"/>
            </w:tcBorders>
            <w:vAlign w:val="bottom"/>
          </w:tcPr>
          <w:p w:rsidR="0017058A" w:rsidRPr="00504E25" w:rsidP="0017058A" w14:paraId="429E6468" w14:textId="7B0565D5">
            <w:pPr>
              <w:jc w:val="center"/>
              <w:rPr>
                <w:color w:val="000000"/>
                <w:sz w:val="24"/>
              </w:rPr>
            </w:pPr>
            <w:r>
              <w:rPr>
                <w:color w:val="000000"/>
                <w:sz w:val="24"/>
              </w:rPr>
              <w:t>1</w:t>
            </w:r>
          </w:p>
        </w:tc>
        <w:tc>
          <w:tcPr>
            <w:tcW w:w="1440" w:type="dxa"/>
            <w:tcBorders>
              <w:top w:val="nil"/>
              <w:left w:val="single" w:sz="4" w:space="0" w:color="auto"/>
              <w:bottom w:val="single" w:sz="4" w:space="0" w:color="auto"/>
              <w:right w:val="single" w:sz="4" w:space="0" w:color="auto"/>
            </w:tcBorders>
            <w:vAlign w:val="bottom"/>
          </w:tcPr>
          <w:p w:rsidR="0017058A" w:rsidRPr="00504E25" w:rsidP="0017058A" w14:paraId="59EDA03A" w14:textId="19208788">
            <w:pPr>
              <w:jc w:val="center"/>
              <w:rPr>
                <w:color w:val="000000"/>
                <w:sz w:val="24"/>
              </w:rPr>
            </w:pPr>
            <w:r>
              <w:rPr>
                <w:color w:val="000000"/>
                <w:sz w:val="24"/>
              </w:rPr>
              <w:t>5,523</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7058A" w:rsidRPr="00504E25" w:rsidP="0017058A" w14:paraId="471DC35E" w14:textId="4201CBA0">
            <w:pPr>
              <w:jc w:val="right"/>
              <w:rPr>
                <w:color w:val="000000"/>
                <w:sz w:val="24"/>
              </w:rPr>
            </w:pPr>
            <w:r w:rsidRPr="00504E25">
              <w:rPr>
                <w:color w:val="000000"/>
                <w:sz w:val="24"/>
              </w:rPr>
              <w:t>38,829</w:t>
            </w:r>
          </w:p>
        </w:tc>
        <w:tc>
          <w:tcPr>
            <w:tcW w:w="1440" w:type="dxa"/>
            <w:tcBorders>
              <w:top w:val="nil"/>
              <w:left w:val="nil"/>
              <w:bottom w:val="single" w:sz="4" w:space="0" w:color="auto"/>
              <w:right w:val="single" w:sz="4" w:space="0" w:color="auto"/>
            </w:tcBorders>
            <w:shd w:val="clear" w:color="auto" w:fill="auto"/>
            <w:noWrap/>
            <w:vAlign w:val="bottom"/>
            <w:hideMark/>
          </w:tcPr>
          <w:p w:rsidR="0017058A" w:rsidRPr="00504E25" w:rsidP="0017058A" w14:paraId="5BDCCD6E" w14:textId="77777777">
            <w:pPr>
              <w:jc w:val="right"/>
              <w:rPr>
                <w:color w:val="000000"/>
                <w:sz w:val="24"/>
              </w:rPr>
            </w:pPr>
            <w:r w:rsidRPr="00504E25">
              <w:rPr>
                <w:color w:val="000000"/>
                <w:sz w:val="24"/>
              </w:rPr>
              <w:t>$2,795,688</w:t>
            </w:r>
          </w:p>
        </w:tc>
      </w:tr>
      <w:tr w14:paraId="5A32732E" w14:textId="77777777" w:rsidTr="000D51F1">
        <w:tblPrEx>
          <w:tblW w:w="10080" w:type="dxa"/>
          <w:tblInd w:w="-455" w:type="dxa"/>
          <w:tblLayout w:type="fixed"/>
          <w:tblLook w:val="04A0"/>
        </w:tblPrEx>
        <w:trPr>
          <w:gridAfter w:val="1"/>
          <w:wAfter w:w="26" w:type="dxa"/>
          <w:trHeight w:val="317"/>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058A" w:rsidRPr="007942E5" w:rsidP="0017058A" w14:paraId="6880251D" w14:textId="77777777">
            <w:pPr>
              <w:rPr>
                <w:color w:val="000000"/>
                <w:szCs w:val="20"/>
              </w:rPr>
            </w:pPr>
            <w:r w:rsidRPr="007942E5">
              <w:rPr>
                <w:b/>
                <w:bCs/>
                <w:color w:val="000000"/>
                <w:szCs w:val="20"/>
              </w:rPr>
              <w:t>IC-4</w:t>
            </w:r>
            <w:r w:rsidRPr="007942E5">
              <w:rPr>
                <w:color w:val="000000"/>
                <w:szCs w:val="20"/>
              </w:rPr>
              <w:t>: 483.460(a)(4)(ii), (iii), and (iv) - Annual update of educational materials</w:t>
            </w:r>
          </w:p>
        </w:tc>
        <w:tc>
          <w:tcPr>
            <w:tcW w:w="1260" w:type="dxa"/>
            <w:tcBorders>
              <w:top w:val="single" w:sz="4" w:space="0" w:color="auto"/>
              <w:left w:val="nil"/>
              <w:bottom w:val="single" w:sz="4" w:space="0" w:color="auto"/>
              <w:right w:val="single" w:sz="4" w:space="0" w:color="auto"/>
            </w:tcBorders>
            <w:vAlign w:val="bottom"/>
          </w:tcPr>
          <w:p w:rsidR="0017058A" w:rsidRPr="00504E25" w:rsidP="0017058A" w14:paraId="04775B38" w14:textId="7EEAC113">
            <w:pPr>
              <w:jc w:val="center"/>
              <w:rPr>
                <w:color w:val="000000"/>
                <w:sz w:val="24"/>
              </w:rPr>
            </w:pPr>
            <w:r>
              <w:rPr>
                <w:color w:val="000000"/>
                <w:sz w:val="24"/>
              </w:rPr>
              <w:t>1</w:t>
            </w:r>
          </w:p>
        </w:tc>
        <w:tc>
          <w:tcPr>
            <w:tcW w:w="1440" w:type="dxa"/>
            <w:tcBorders>
              <w:top w:val="nil"/>
              <w:left w:val="single" w:sz="4" w:space="0" w:color="auto"/>
              <w:bottom w:val="single" w:sz="4" w:space="0" w:color="auto"/>
              <w:right w:val="single" w:sz="4" w:space="0" w:color="auto"/>
            </w:tcBorders>
            <w:vAlign w:val="bottom"/>
          </w:tcPr>
          <w:p w:rsidR="0017058A" w:rsidRPr="00504E25" w:rsidP="0017058A" w14:paraId="0ED58275" w14:textId="0EFDEF4A">
            <w:pPr>
              <w:jc w:val="center"/>
              <w:rPr>
                <w:color w:val="000000"/>
                <w:sz w:val="24"/>
              </w:rPr>
            </w:pPr>
            <w:r>
              <w:rPr>
                <w:color w:val="000000"/>
                <w:sz w:val="24"/>
              </w:rPr>
              <w:t>5,523</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7058A" w:rsidRPr="00504E25" w:rsidP="0017058A" w14:paraId="171CB7FB" w14:textId="0C28A884">
            <w:pPr>
              <w:jc w:val="right"/>
              <w:rPr>
                <w:color w:val="000000"/>
                <w:sz w:val="24"/>
              </w:rPr>
            </w:pPr>
            <w:r w:rsidRPr="00504E25">
              <w:rPr>
                <w:color w:val="000000"/>
                <w:sz w:val="24"/>
              </w:rPr>
              <w:t>38,661</w:t>
            </w:r>
          </w:p>
        </w:tc>
        <w:tc>
          <w:tcPr>
            <w:tcW w:w="1440" w:type="dxa"/>
            <w:tcBorders>
              <w:top w:val="nil"/>
              <w:left w:val="nil"/>
              <w:bottom w:val="single" w:sz="4" w:space="0" w:color="auto"/>
              <w:right w:val="single" w:sz="4" w:space="0" w:color="auto"/>
            </w:tcBorders>
            <w:shd w:val="clear" w:color="auto" w:fill="auto"/>
            <w:noWrap/>
            <w:vAlign w:val="bottom"/>
            <w:hideMark/>
          </w:tcPr>
          <w:p w:rsidR="0017058A" w:rsidRPr="00504E25" w:rsidP="0017058A" w14:paraId="43CAE7FB" w14:textId="77777777">
            <w:pPr>
              <w:jc w:val="right"/>
              <w:rPr>
                <w:color w:val="000000"/>
                <w:sz w:val="24"/>
              </w:rPr>
            </w:pPr>
            <w:r w:rsidRPr="00504E25">
              <w:rPr>
                <w:color w:val="000000"/>
                <w:sz w:val="24"/>
              </w:rPr>
              <w:t>$2,794,638</w:t>
            </w:r>
          </w:p>
        </w:tc>
      </w:tr>
      <w:tr w14:paraId="4A876719" w14:textId="77777777" w:rsidTr="00F1085B">
        <w:tblPrEx>
          <w:tblW w:w="10080" w:type="dxa"/>
          <w:tblInd w:w="-455" w:type="dxa"/>
          <w:tblLayout w:type="fixed"/>
          <w:tblLook w:val="04A0"/>
        </w:tblPrEx>
        <w:trPr>
          <w:gridAfter w:val="1"/>
          <w:wAfter w:w="26" w:type="dxa"/>
          <w:trHeight w:val="317"/>
        </w:trPr>
        <w:tc>
          <w:tcPr>
            <w:tcW w:w="4590" w:type="dxa"/>
            <w:tcBorders>
              <w:top w:val="single" w:sz="4" w:space="0" w:color="auto"/>
              <w:left w:val="single" w:sz="4" w:space="0" w:color="auto"/>
              <w:bottom w:val="single" w:sz="4" w:space="0" w:color="auto"/>
              <w:right w:val="single" w:sz="4" w:space="0" w:color="auto"/>
            </w:tcBorders>
            <w:shd w:val="clear" w:color="000000" w:fill="B3CEFB"/>
            <w:noWrap/>
            <w:vAlign w:val="bottom"/>
            <w:hideMark/>
          </w:tcPr>
          <w:p w:rsidR="0017058A" w:rsidRPr="00CD0BA0" w:rsidP="0017058A" w14:paraId="5C79943C" w14:textId="0FD13BC1">
            <w:pPr>
              <w:rPr>
                <w:color w:val="000000"/>
                <w:sz w:val="24"/>
              </w:rPr>
            </w:pPr>
            <w:r w:rsidRPr="00CD0BA0">
              <w:rPr>
                <w:color w:val="000000"/>
                <w:sz w:val="24"/>
              </w:rPr>
              <w:t>Total Burden Hours and Costs to Industry</w:t>
            </w:r>
          </w:p>
        </w:tc>
        <w:tc>
          <w:tcPr>
            <w:tcW w:w="1260" w:type="dxa"/>
            <w:tcBorders>
              <w:top w:val="single" w:sz="4" w:space="0" w:color="auto"/>
              <w:left w:val="nil"/>
              <w:bottom w:val="single" w:sz="4" w:space="0" w:color="auto"/>
              <w:right w:val="single" w:sz="4" w:space="0" w:color="auto"/>
            </w:tcBorders>
            <w:shd w:val="clear" w:color="000000" w:fill="B3CEFB"/>
          </w:tcPr>
          <w:p w:rsidR="0017058A" w:rsidRPr="00CD0BA0" w:rsidP="0017058A" w14:paraId="1595B573" w14:textId="77777777">
            <w:pPr>
              <w:jc w:val="right"/>
              <w:rPr>
                <w:color w:val="000000"/>
                <w:sz w:val="24"/>
              </w:rPr>
            </w:pPr>
          </w:p>
        </w:tc>
        <w:tc>
          <w:tcPr>
            <w:tcW w:w="1440" w:type="dxa"/>
            <w:tcBorders>
              <w:top w:val="nil"/>
              <w:left w:val="single" w:sz="4" w:space="0" w:color="auto"/>
              <w:bottom w:val="single" w:sz="4" w:space="0" w:color="auto"/>
              <w:right w:val="single" w:sz="4" w:space="0" w:color="auto"/>
            </w:tcBorders>
            <w:shd w:val="clear" w:color="000000" w:fill="B3CEFB"/>
          </w:tcPr>
          <w:p w:rsidR="0017058A" w:rsidRPr="00CD0BA0" w:rsidP="0017058A" w14:paraId="38FF93AA" w14:textId="77777777">
            <w:pPr>
              <w:jc w:val="right"/>
              <w:rPr>
                <w:color w:val="000000"/>
                <w:sz w:val="24"/>
              </w:rPr>
            </w:pPr>
          </w:p>
        </w:tc>
        <w:tc>
          <w:tcPr>
            <w:tcW w:w="1324" w:type="dxa"/>
            <w:tcBorders>
              <w:top w:val="nil"/>
              <w:left w:val="single" w:sz="4" w:space="0" w:color="auto"/>
              <w:bottom w:val="single" w:sz="4" w:space="0" w:color="auto"/>
              <w:right w:val="single" w:sz="4" w:space="0" w:color="auto"/>
            </w:tcBorders>
            <w:shd w:val="clear" w:color="000000" w:fill="B3CEFB"/>
            <w:noWrap/>
            <w:vAlign w:val="bottom"/>
            <w:hideMark/>
          </w:tcPr>
          <w:p w:rsidR="0017058A" w:rsidRPr="0081631C" w:rsidP="0017058A" w14:paraId="3F38AA8C" w14:textId="2FFA8651">
            <w:pPr>
              <w:jc w:val="right"/>
              <w:rPr>
                <w:color w:val="000000"/>
                <w:sz w:val="22"/>
                <w:szCs w:val="22"/>
              </w:rPr>
            </w:pPr>
            <w:r w:rsidRPr="0081631C">
              <w:rPr>
                <w:color w:val="000000"/>
                <w:sz w:val="22"/>
                <w:szCs w:val="22"/>
              </w:rPr>
              <w:t>155,004</w:t>
            </w:r>
          </w:p>
        </w:tc>
        <w:tc>
          <w:tcPr>
            <w:tcW w:w="1440" w:type="dxa"/>
            <w:tcBorders>
              <w:top w:val="nil"/>
              <w:left w:val="nil"/>
              <w:bottom w:val="single" w:sz="4" w:space="0" w:color="auto"/>
              <w:right w:val="single" w:sz="4" w:space="0" w:color="auto"/>
            </w:tcBorders>
            <w:shd w:val="clear" w:color="000000" w:fill="B3CEFB"/>
            <w:noWrap/>
            <w:vAlign w:val="bottom"/>
            <w:hideMark/>
          </w:tcPr>
          <w:p w:rsidR="0017058A" w:rsidRPr="0081631C" w:rsidP="0017058A" w14:paraId="7BF39426" w14:textId="77777777">
            <w:pPr>
              <w:jc w:val="right"/>
              <w:rPr>
                <w:color w:val="000000"/>
                <w:sz w:val="22"/>
                <w:szCs w:val="22"/>
              </w:rPr>
            </w:pPr>
            <w:r w:rsidRPr="0081631C">
              <w:rPr>
                <w:color w:val="000000"/>
                <w:sz w:val="22"/>
                <w:szCs w:val="22"/>
              </w:rPr>
              <w:t>$11,204,616</w:t>
            </w:r>
          </w:p>
        </w:tc>
      </w:tr>
      <w:tr w14:paraId="04EE0445" w14:textId="77777777" w:rsidTr="00F1085B">
        <w:tblPrEx>
          <w:tblW w:w="10080" w:type="dxa"/>
          <w:tblInd w:w="-455" w:type="dxa"/>
          <w:tblLayout w:type="fixed"/>
          <w:tblLook w:val="04A0"/>
        </w:tblPrEx>
        <w:trPr>
          <w:trHeight w:val="317"/>
        </w:trPr>
        <w:tc>
          <w:tcPr>
            <w:tcW w:w="100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17058A" w:rsidRPr="00457F71" w:rsidP="0017058A" w14:paraId="705195D5" w14:textId="08CDADFD">
            <w:pPr>
              <w:jc w:val="center"/>
              <w:rPr>
                <w:b/>
                <w:bCs/>
                <w:color w:val="000000"/>
                <w:sz w:val="24"/>
              </w:rPr>
            </w:pPr>
            <w:r w:rsidRPr="00457F71">
              <w:rPr>
                <w:b/>
                <w:bCs/>
                <w:color w:val="000000"/>
                <w:sz w:val="24"/>
              </w:rPr>
              <w:t>Burden Hours Annualized over Three Years</w:t>
            </w:r>
          </w:p>
        </w:tc>
      </w:tr>
      <w:tr w14:paraId="439F09E7" w14:textId="77777777" w:rsidTr="000D51F1">
        <w:tblPrEx>
          <w:tblW w:w="10080" w:type="dxa"/>
          <w:tblInd w:w="-455" w:type="dxa"/>
          <w:tblLayout w:type="fixed"/>
          <w:tblLook w:val="04A0"/>
        </w:tblPrEx>
        <w:trPr>
          <w:gridAfter w:val="1"/>
          <w:wAfter w:w="26" w:type="dxa"/>
          <w:trHeight w:val="317"/>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058A" w:rsidRPr="007942E5" w:rsidP="0017058A" w14:paraId="478AF622" w14:textId="77777777">
            <w:pPr>
              <w:rPr>
                <w:color w:val="000000"/>
                <w:szCs w:val="20"/>
              </w:rPr>
            </w:pPr>
            <w:r w:rsidRPr="007942E5">
              <w:rPr>
                <w:color w:val="000000"/>
                <w:szCs w:val="20"/>
              </w:rPr>
              <w:t>Year 1 (IC 1 &amp; IC 3 - Existing Facilities)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7058A" w:rsidRPr="00504E25" w:rsidP="0017058A" w14:paraId="6D655F36" w14:textId="4EC6A3CD">
            <w:pPr>
              <w:jc w:val="center"/>
              <w:rPr>
                <w:color w:val="000000"/>
                <w:sz w:val="24"/>
              </w:rPr>
            </w:pPr>
            <w:r>
              <w:rPr>
                <w:color w:val="000000"/>
                <w:sz w:val="24"/>
              </w:rPr>
              <w:t>1</w:t>
            </w:r>
          </w:p>
        </w:tc>
        <w:tc>
          <w:tcPr>
            <w:tcW w:w="1440" w:type="dxa"/>
            <w:tcBorders>
              <w:top w:val="nil"/>
              <w:left w:val="single" w:sz="4" w:space="0" w:color="auto"/>
              <w:bottom w:val="single" w:sz="4" w:space="0" w:color="auto"/>
              <w:right w:val="single" w:sz="4" w:space="0" w:color="auto"/>
            </w:tcBorders>
            <w:shd w:val="clear" w:color="auto" w:fill="auto"/>
            <w:vAlign w:val="bottom"/>
          </w:tcPr>
          <w:p w:rsidR="0017058A" w:rsidRPr="00504E25" w:rsidP="0017058A" w14:paraId="431AEDB5" w14:textId="58EAFC5B">
            <w:pPr>
              <w:jc w:val="center"/>
              <w:rPr>
                <w:color w:val="000000"/>
                <w:sz w:val="24"/>
              </w:rPr>
            </w:pPr>
            <w:r w:rsidRPr="00185D0C">
              <w:rPr>
                <w:color w:val="000000"/>
                <w:sz w:val="24"/>
              </w:rPr>
              <w:t>5,523</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7058A" w:rsidRPr="00504E25" w:rsidP="0017058A" w14:paraId="39115E34" w14:textId="3FD0AA1D">
            <w:pPr>
              <w:jc w:val="right"/>
              <w:rPr>
                <w:color w:val="000000"/>
                <w:sz w:val="24"/>
              </w:rPr>
            </w:pPr>
            <w:r w:rsidRPr="00504E25">
              <w:rPr>
                <w:color w:val="000000"/>
                <w:sz w:val="24"/>
              </w:rPr>
              <w:t>82,845</w:t>
            </w:r>
          </w:p>
        </w:tc>
        <w:tc>
          <w:tcPr>
            <w:tcW w:w="1440" w:type="dxa"/>
            <w:tcBorders>
              <w:top w:val="nil"/>
              <w:left w:val="nil"/>
              <w:bottom w:val="single" w:sz="4" w:space="0" w:color="auto"/>
              <w:right w:val="single" w:sz="4" w:space="0" w:color="auto"/>
            </w:tcBorders>
            <w:shd w:val="clear" w:color="auto" w:fill="auto"/>
            <w:noWrap/>
            <w:vAlign w:val="bottom"/>
            <w:hideMark/>
          </w:tcPr>
          <w:p w:rsidR="0017058A" w:rsidRPr="00504E25" w:rsidP="0017058A" w14:paraId="6A57C149" w14:textId="77777777">
            <w:pPr>
              <w:jc w:val="right"/>
              <w:rPr>
                <w:color w:val="000000"/>
                <w:sz w:val="24"/>
              </w:rPr>
            </w:pPr>
            <w:r w:rsidRPr="00504E25">
              <w:rPr>
                <w:color w:val="000000"/>
                <w:sz w:val="24"/>
              </w:rPr>
              <w:t>$5,997,978</w:t>
            </w:r>
          </w:p>
        </w:tc>
      </w:tr>
      <w:tr w14:paraId="6D4909E9" w14:textId="77777777" w:rsidTr="000D51F1">
        <w:tblPrEx>
          <w:tblW w:w="10080" w:type="dxa"/>
          <w:tblInd w:w="-455" w:type="dxa"/>
          <w:tblLayout w:type="fixed"/>
          <w:tblLook w:val="04A0"/>
        </w:tblPrEx>
        <w:trPr>
          <w:gridAfter w:val="1"/>
          <w:wAfter w:w="26" w:type="dxa"/>
          <w:trHeight w:val="317"/>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058A" w:rsidRPr="007942E5" w:rsidP="0017058A" w14:paraId="474BAA79" w14:textId="77777777">
            <w:pPr>
              <w:rPr>
                <w:color w:val="000000"/>
                <w:szCs w:val="20"/>
              </w:rPr>
            </w:pPr>
            <w:r w:rsidRPr="007942E5">
              <w:rPr>
                <w:color w:val="000000"/>
                <w:szCs w:val="20"/>
              </w:rPr>
              <w:t>Year 2 (IC 1 &amp; IC 3 - New Facilities and  IC 2 &amp; IC 4 - All Facilities)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7058A" w:rsidRPr="00504E25" w:rsidP="0017058A" w14:paraId="2C3A273B" w14:textId="3586D899">
            <w:pPr>
              <w:jc w:val="center"/>
              <w:rPr>
                <w:color w:val="000000"/>
                <w:sz w:val="24"/>
              </w:rPr>
            </w:pPr>
            <w:r>
              <w:rPr>
                <w:color w:val="000000"/>
                <w:sz w:val="24"/>
              </w:rPr>
              <w:t>1</w:t>
            </w:r>
          </w:p>
        </w:tc>
        <w:tc>
          <w:tcPr>
            <w:tcW w:w="1440" w:type="dxa"/>
            <w:tcBorders>
              <w:top w:val="nil"/>
              <w:left w:val="single" w:sz="4" w:space="0" w:color="auto"/>
              <w:bottom w:val="single" w:sz="4" w:space="0" w:color="auto"/>
              <w:right w:val="single" w:sz="4" w:space="0" w:color="auto"/>
            </w:tcBorders>
            <w:shd w:val="clear" w:color="auto" w:fill="auto"/>
            <w:vAlign w:val="bottom"/>
          </w:tcPr>
          <w:p w:rsidR="0017058A" w:rsidRPr="00504E25" w:rsidP="0017058A" w14:paraId="498E7BFB" w14:textId="49E01AE1">
            <w:pPr>
              <w:jc w:val="center"/>
              <w:rPr>
                <w:color w:val="000000"/>
                <w:sz w:val="24"/>
              </w:rPr>
            </w:pPr>
            <w:r w:rsidRPr="00185D0C">
              <w:rPr>
                <w:color w:val="000000"/>
                <w:sz w:val="24"/>
              </w:rPr>
              <w:t>5,523</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7058A" w:rsidRPr="00504E25" w:rsidP="0017058A" w14:paraId="3CD7CFB4" w14:textId="7B1E040E">
            <w:pPr>
              <w:jc w:val="right"/>
              <w:rPr>
                <w:color w:val="000000"/>
                <w:sz w:val="24"/>
              </w:rPr>
            </w:pPr>
            <w:r w:rsidRPr="00504E25">
              <w:rPr>
                <w:color w:val="000000"/>
                <w:sz w:val="24"/>
              </w:rPr>
              <w:t>72,159</w:t>
            </w:r>
          </w:p>
        </w:tc>
        <w:tc>
          <w:tcPr>
            <w:tcW w:w="1440" w:type="dxa"/>
            <w:tcBorders>
              <w:top w:val="nil"/>
              <w:left w:val="nil"/>
              <w:bottom w:val="single" w:sz="4" w:space="0" w:color="auto"/>
              <w:right w:val="single" w:sz="4" w:space="0" w:color="auto"/>
            </w:tcBorders>
            <w:shd w:val="clear" w:color="auto" w:fill="auto"/>
            <w:noWrap/>
            <w:vAlign w:val="bottom"/>
            <w:hideMark/>
          </w:tcPr>
          <w:p w:rsidR="0017058A" w:rsidRPr="00504E25" w:rsidP="0017058A" w14:paraId="3E480DDF" w14:textId="77777777">
            <w:pPr>
              <w:jc w:val="right"/>
              <w:rPr>
                <w:color w:val="000000"/>
                <w:sz w:val="24"/>
              </w:rPr>
            </w:pPr>
            <w:r w:rsidRPr="00504E25">
              <w:rPr>
                <w:color w:val="000000"/>
                <w:sz w:val="24"/>
              </w:rPr>
              <w:t>$5,206,638</w:t>
            </w:r>
          </w:p>
        </w:tc>
      </w:tr>
      <w:tr w14:paraId="68BC1FF9" w14:textId="77777777" w:rsidTr="000D51F1">
        <w:tblPrEx>
          <w:tblW w:w="10080" w:type="dxa"/>
          <w:tblInd w:w="-455" w:type="dxa"/>
          <w:tblLayout w:type="fixed"/>
          <w:tblLook w:val="04A0"/>
        </w:tblPrEx>
        <w:trPr>
          <w:gridAfter w:val="1"/>
          <w:wAfter w:w="26" w:type="dxa"/>
          <w:trHeight w:val="317"/>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058A" w:rsidRPr="007942E5" w:rsidP="0017058A" w14:paraId="260E310C" w14:textId="77777777">
            <w:pPr>
              <w:rPr>
                <w:color w:val="000000"/>
                <w:szCs w:val="20"/>
              </w:rPr>
            </w:pPr>
            <w:r w:rsidRPr="007942E5">
              <w:rPr>
                <w:color w:val="000000"/>
                <w:szCs w:val="20"/>
              </w:rPr>
              <w:t>Year 3 (IC 1 &amp; IC 3 - New Facilities and  IC 2 &amp; IC 4 - All Facilities)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7058A" w:rsidRPr="00504E25" w:rsidP="0017058A" w14:paraId="6BFA17DE" w14:textId="1130395B">
            <w:pPr>
              <w:jc w:val="center"/>
              <w:rPr>
                <w:color w:val="000000"/>
                <w:sz w:val="24"/>
              </w:rPr>
            </w:pPr>
            <w:r>
              <w:rPr>
                <w:color w:val="000000"/>
                <w:sz w:val="24"/>
              </w:rPr>
              <w:t>1</w:t>
            </w:r>
          </w:p>
        </w:tc>
        <w:tc>
          <w:tcPr>
            <w:tcW w:w="1440" w:type="dxa"/>
            <w:tcBorders>
              <w:top w:val="nil"/>
              <w:left w:val="single" w:sz="4" w:space="0" w:color="auto"/>
              <w:bottom w:val="single" w:sz="4" w:space="0" w:color="auto"/>
              <w:right w:val="single" w:sz="4" w:space="0" w:color="auto"/>
            </w:tcBorders>
            <w:shd w:val="clear" w:color="auto" w:fill="auto"/>
            <w:vAlign w:val="bottom"/>
          </w:tcPr>
          <w:p w:rsidR="0017058A" w:rsidRPr="00504E25" w:rsidP="0017058A" w14:paraId="2FBD913C" w14:textId="35741230">
            <w:pPr>
              <w:jc w:val="center"/>
              <w:rPr>
                <w:color w:val="000000"/>
                <w:sz w:val="24"/>
              </w:rPr>
            </w:pPr>
            <w:r w:rsidRPr="00185D0C">
              <w:rPr>
                <w:color w:val="000000"/>
                <w:sz w:val="24"/>
              </w:rPr>
              <w:t>5,523</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7058A" w:rsidRPr="00504E25" w:rsidP="0017058A" w14:paraId="097C6783" w14:textId="7A371F6D">
            <w:pPr>
              <w:jc w:val="right"/>
              <w:rPr>
                <w:color w:val="000000"/>
                <w:sz w:val="24"/>
              </w:rPr>
            </w:pPr>
            <w:r w:rsidRPr="00504E25">
              <w:rPr>
                <w:color w:val="000000"/>
                <w:sz w:val="24"/>
              </w:rPr>
              <w:t>72,159</w:t>
            </w:r>
          </w:p>
        </w:tc>
        <w:tc>
          <w:tcPr>
            <w:tcW w:w="1440" w:type="dxa"/>
            <w:tcBorders>
              <w:top w:val="nil"/>
              <w:left w:val="nil"/>
              <w:bottom w:val="single" w:sz="4" w:space="0" w:color="auto"/>
              <w:right w:val="single" w:sz="4" w:space="0" w:color="auto"/>
            </w:tcBorders>
            <w:shd w:val="clear" w:color="auto" w:fill="auto"/>
            <w:noWrap/>
            <w:vAlign w:val="bottom"/>
            <w:hideMark/>
          </w:tcPr>
          <w:p w:rsidR="0017058A" w:rsidRPr="00504E25" w:rsidP="0017058A" w14:paraId="049BD161" w14:textId="77777777">
            <w:pPr>
              <w:jc w:val="right"/>
              <w:rPr>
                <w:color w:val="000000"/>
                <w:sz w:val="24"/>
              </w:rPr>
            </w:pPr>
            <w:r w:rsidRPr="00504E25">
              <w:rPr>
                <w:color w:val="000000"/>
                <w:sz w:val="24"/>
              </w:rPr>
              <w:t>$5,206,638</w:t>
            </w:r>
          </w:p>
        </w:tc>
      </w:tr>
      <w:tr w14:paraId="336DA022" w14:textId="77777777" w:rsidTr="000D51F1">
        <w:tblPrEx>
          <w:tblW w:w="10080" w:type="dxa"/>
          <w:tblInd w:w="-455" w:type="dxa"/>
          <w:tblLayout w:type="fixed"/>
          <w:tblLook w:val="04A0"/>
        </w:tblPrEx>
        <w:trPr>
          <w:gridAfter w:val="1"/>
          <w:wAfter w:w="26" w:type="dxa"/>
          <w:trHeight w:val="317"/>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058A" w:rsidRPr="00457F71" w:rsidP="0017058A" w14:paraId="142373F8" w14:textId="77777777">
            <w:pPr>
              <w:jc w:val="right"/>
              <w:rPr>
                <w:color w:val="000000"/>
                <w:sz w:val="24"/>
              </w:rPr>
            </w:pPr>
            <w:r w:rsidRPr="00457F71">
              <w:rPr>
                <w:color w:val="000000"/>
                <w:sz w:val="24"/>
              </w:rPr>
              <w:t>3 Year Total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7058A" w:rsidRPr="00457F71" w:rsidP="0017058A" w14:paraId="68690E2F" w14:textId="77777777">
            <w:pPr>
              <w:jc w:val="right"/>
              <w:rPr>
                <w:color w:val="000000"/>
                <w:sz w:val="24"/>
              </w:rPr>
            </w:pPr>
          </w:p>
        </w:tc>
        <w:tc>
          <w:tcPr>
            <w:tcW w:w="1440" w:type="dxa"/>
            <w:tcBorders>
              <w:top w:val="nil"/>
              <w:left w:val="single" w:sz="4" w:space="0" w:color="auto"/>
              <w:bottom w:val="single" w:sz="4" w:space="0" w:color="auto"/>
              <w:right w:val="single" w:sz="4" w:space="0" w:color="auto"/>
            </w:tcBorders>
            <w:shd w:val="clear" w:color="auto" w:fill="auto"/>
            <w:vAlign w:val="bottom"/>
          </w:tcPr>
          <w:p w:rsidR="0017058A" w:rsidRPr="00457F71" w:rsidP="0017058A" w14:paraId="4BB1D79D" w14:textId="77777777">
            <w:pPr>
              <w:jc w:val="right"/>
              <w:rPr>
                <w:color w:val="000000"/>
                <w:sz w:val="24"/>
              </w:rPr>
            </w:pP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7058A" w:rsidRPr="00457F71" w:rsidP="0017058A" w14:paraId="2F24A2C6" w14:textId="16796F5C">
            <w:pPr>
              <w:jc w:val="right"/>
              <w:rPr>
                <w:color w:val="000000"/>
                <w:sz w:val="24"/>
              </w:rPr>
            </w:pPr>
            <w:r w:rsidRPr="00457F71">
              <w:rPr>
                <w:color w:val="000000"/>
                <w:sz w:val="24"/>
              </w:rPr>
              <w:t>227,163</w:t>
            </w:r>
          </w:p>
        </w:tc>
        <w:tc>
          <w:tcPr>
            <w:tcW w:w="1440" w:type="dxa"/>
            <w:tcBorders>
              <w:top w:val="nil"/>
              <w:left w:val="nil"/>
              <w:bottom w:val="single" w:sz="4" w:space="0" w:color="auto"/>
              <w:right w:val="single" w:sz="4" w:space="0" w:color="auto"/>
            </w:tcBorders>
            <w:shd w:val="clear" w:color="auto" w:fill="auto"/>
            <w:noWrap/>
            <w:vAlign w:val="bottom"/>
            <w:hideMark/>
          </w:tcPr>
          <w:p w:rsidR="0017058A" w:rsidRPr="00457F71" w:rsidP="0017058A" w14:paraId="2B8549D1" w14:textId="77777777">
            <w:pPr>
              <w:jc w:val="right"/>
              <w:rPr>
                <w:color w:val="000000"/>
                <w:sz w:val="24"/>
              </w:rPr>
            </w:pPr>
            <w:r w:rsidRPr="00457F71">
              <w:rPr>
                <w:color w:val="000000"/>
                <w:sz w:val="24"/>
              </w:rPr>
              <w:t>$16,411,254</w:t>
            </w:r>
          </w:p>
        </w:tc>
      </w:tr>
      <w:tr w14:paraId="5A05B6CC" w14:textId="77777777" w:rsidTr="00BE240E">
        <w:tblPrEx>
          <w:tblW w:w="10080" w:type="dxa"/>
          <w:tblInd w:w="-455" w:type="dxa"/>
          <w:tblLayout w:type="fixed"/>
          <w:tblLook w:val="04A0"/>
        </w:tblPrEx>
        <w:trPr>
          <w:gridAfter w:val="1"/>
          <w:wAfter w:w="26" w:type="dxa"/>
          <w:trHeight w:val="602"/>
        </w:trPr>
        <w:tc>
          <w:tcPr>
            <w:tcW w:w="4590" w:type="dxa"/>
            <w:tcBorders>
              <w:top w:val="single" w:sz="4" w:space="0" w:color="auto"/>
              <w:left w:val="single" w:sz="4" w:space="0" w:color="auto"/>
              <w:bottom w:val="single" w:sz="4" w:space="0" w:color="auto"/>
              <w:right w:val="single" w:sz="4" w:space="0" w:color="auto"/>
            </w:tcBorders>
            <w:shd w:val="clear" w:color="auto" w:fill="9CC2E5" w:themeFill="accent5" w:themeFillTint="99"/>
            <w:noWrap/>
            <w:vAlign w:val="bottom"/>
            <w:hideMark/>
          </w:tcPr>
          <w:p w:rsidR="0017058A" w:rsidRPr="00CD0BA0" w:rsidP="0017058A" w14:paraId="0FA4FD97" w14:textId="4F10AE50">
            <w:pPr>
              <w:rPr>
                <w:b/>
                <w:bCs/>
                <w:color w:val="000000"/>
                <w:sz w:val="24"/>
              </w:rPr>
            </w:pPr>
            <w:r w:rsidRPr="00CD0BA0">
              <w:rPr>
                <w:b/>
                <w:bCs/>
                <w:color w:val="000000"/>
                <w:sz w:val="24"/>
              </w:rPr>
              <w:t xml:space="preserve">Annualized Burden Hours and Costs </w:t>
            </w:r>
            <w:r>
              <w:rPr>
                <w:b/>
                <w:bCs/>
                <w:color w:val="000000"/>
                <w:sz w:val="24"/>
              </w:rPr>
              <w:t xml:space="preserve">to Industry </w:t>
            </w:r>
            <w:r w:rsidRPr="00CD0BA0">
              <w:rPr>
                <w:b/>
                <w:bCs/>
                <w:color w:val="000000"/>
                <w:sz w:val="24"/>
              </w:rPr>
              <w:t>over 3 years</w:t>
            </w:r>
          </w:p>
        </w:tc>
        <w:tc>
          <w:tcPr>
            <w:tcW w:w="1260" w:type="dxa"/>
            <w:tcBorders>
              <w:top w:val="single" w:sz="4" w:space="0" w:color="auto"/>
              <w:left w:val="nil"/>
              <w:bottom w:val="single" w:sz="4" w:space="0" w:color="auto"/>
              <w:right w:val="single" w:sz="4" w:space="0" w:color="auto"/>
            </w:tcBorders>
            <w:shd w:val="clear" w:color="auto" w:fill="9CC2E5" w:themeFill="accent5" w:themeFillTint="99"/>
          </w:tcPr>
          <w:p w:rsidR="0017058A" w:rsidRPr="00CD0BA0" w:rsidP="0017058A" w14:paraId="651E861F" w14:textId="77777777">
            <w:pPr>
              <w:jc w:val="center"/>
              <w:rPr>
                <w:b/>
                <w:bCs/>
                <w:color w:val="000000"/>
                <w:sz w:val="24"/>
              </w:rPr>
            </w:pPr>
          </w:p>
        </w:tc>
        <w:tc>
          <w:tcPr>
            <w:tcW w:w="1440" w:type="dxa"/>
            <w:tcBorders>
              <w:top w:val="nil"/>
              <w:left w:val="single" w:sz="4" w:space="0" w:color="auto"/>
              <w:bottom w:val="single" w:sz="4" w:space="0" w:color="auto"/>
              <w:right w:val="single" w:sz="4" w:space="0" w:color="auto"/>
            </w:tcBorders>
            <w:shd w:val="clear" w:color="auto" w:fill="9CC2E5" w:themeFill="accent5" w:themeFillTint="99"/>
          </w:tcPr>
          <w:p w:rsidR="0017058A" w:rsidRPr="00CD0BA0" w:rsidP="0017058A" w14:paraId="03DC3134" w14:textId="77777777">
            <w:pPr>
              <w:jc w:val="center"/>
              <w:rPr>
                <w:b/>
                <w:bCs/>
                <w:color w:val="000000"/>
                <w:sz w:val="24"/>
              </w:rPr>
            </w:pPr>
          </w:p>
        </w:tc>
        <w:tc>
          <w:tcPr>
            <w:tcW w:w="1324" w:type="dxa"/>
            <w:tcBorders>
              <w:top w:val="nil"/>
              <w:left w:val="single" w:sz="4" w:space="0" w:color="auto"/>
              <w:bottom w:val="single" w:sz="4" w:space="0" w:color="auto"/>
              <w:right w:val="single" w:sz="4" w:space="0" w:color="auto"/>
            </w:tcBorders>
            <w:shd w:val="clear" w:color="auto" w:fill="9CC2E5" w:themeFill="accent5" w:themeFillTint="99"/>
            <w:noWrap/>
            <w:vAlign w:val="bottom"/>
            <w:hideMark/>
          </w:tcPr>
          <w:p w:rsidR="0017058A" w:rsidRPr="00CD0BA0" w:rsidP="0017058A" w14:paraId="47A13709" w14:textId="00A98EE9">
            <w:pPr>
              <w:jc w:val="center"/>
              <w:rPr>
                <w:b/>
                <w:bCs/>
                <w:color w:val="000000"/>
                <w:sz w:val="24"/>
              </w:rPr>
            </w:pPr>
            <w:r w:rsidRPr="00CD0BA0">
              <w:rPr>
                <w:b/>
                <w:bCs/>
                <w:color w:val="000000"/>
                <w:sz w:val="24"/>
              </w:rPr>
              <w:t>75,721</w:t>
            </w:r>
          </w:p>
        </w:tc>
        <w:tc>
          <w:tcPr>
            <w:tcW w:w="1440" w:type="dxa"/>
            <w:tcBorders>
              <w:top w:val="nil"/>
              <w:left w:val="nil"/>
              <w:bottom w:val="single" w:sz="4" w:space="0" w:color="auto"/>
              <w:right w:val="single" w:sz="4" w:space="0" w:color="auto"/>
            </w:tcBorders>
            <w:shd w:val="clear" w:color="auto" w:fill="9CC2E5" w:themeFill="accent5" w:themeFillTint="99"/>
            <w:noWrap/>
            <w:vAlign w:val="bottom"/>
            <w:hideMark/>
          </w:tcPr>
          <w:p w:rsidR="0017058A" w:rsidRPr="00CD0BA0" w:rsidP="0017058A" w14:paraId="0EC9426B" w14:textId="77777777">
            <w:pPr>
              <w:jc w:val="center"/>
              <w:rPr>
                <w:b/>
                <w:bCs/>
                <w:color w:val="000000"/>
                <w:sz w:val="24"/>
              </w:rPr>
            </w:pPr>
            <w:r w:rsidRPr="00CD0BA0">
              <w:rPr>
                <w:b/>
                <w:bCs/>
                <w:color w:val="000000"/>
                <w:sz w:val="24"/>
              </w:rPr>
              <w:t>$5,470,418</w:t>
            </w:r>
          </w:p>
        </w:tc>
      </w:tr>
    </w:tbl>
    <w:p w:rsidR="00F367B4" w:rsidP="004D57CF" w14:paraId="669E08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32"/>
        </w:rPr>
      </w:pPr>
    </w:p>
    <w:p w:rsidR="008F1EB4" w:rsidP="00FF25D1" w14:paraId="4FA642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P="00FF25D1" w14:paraId="3845CA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1085B" w14:paraId="18EF2AC8" w14:textId="6E6DF2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capital costs associated with the information collection requirements.</w:t>
      </w:r>
    </w:p>
    <w:p w:rsidR="008F1EB4" w:rsidP="00FF25D1" w14:paraId="2A48EE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350F6E" w:rsidP="00FF25D1" w14:paraId="4AE73F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50F6E">
        <w:rPr>
          <w:sz w:val="24"/>
        </w:rPr>
        <w:t>14.</w:t>
      </w:r>
      <w:r w:rsidRPr="00350F6E">
        <w:rPr>
          <w:sz w:val="24"/>
        </w:rPr>
        <w:tab/>
      </w:r>
      <w:r w:rsidRPr="00350F6E">
        <w:rPr>
          <w:sz w:val="24"/>
          <w:u w:val="single"/>
        </w:rPr>
        <w:t>Cost to Federal Government</w:t>
      </w:r>
    </w:p>
    <w:p w:rsidR="00F1085B" w:rsidP="00504E25" w14:paraId="794F333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sz w:val="24"/>
        </w:rPr>
      </w:pPr>
    </w:p>
    <w:p w:rsidR="00504E25" w:rsidP="00504E25" w14:paraId="4C440335" w14:textId="10936FC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sz w:val="24"/>
        </w:rPr>
      </w:pPr>
      <w:r w:rsidRPr="00984729">
        <w:rPr>
          <w:snapToGrid w:val="0"/>
          <w:sz w:val="24"/>
        </w:rPr>
        <w:t>Section</w:t>
      </w:r>
      <w:r w:rsidR="00BE240E">
        <w:rPr>
          <w:snapToGrid w:val="0"/>
          <w:sz w:val="24"/>
        </w:rPr>
        <w:t>s</w:t>
      </w:r>
      <w:r w:rsidRPr="00984729">
        <w:rPr>
          <w:snapToGrid w:val="0"/>
          <w:sz w:val="24"/>
        </w:rPr>
        <w:t xml:space="preserve"> 1905(c) and (d) of the Social Security Act provide for the use of State survey agencies to ascertain </w:t>
      </w:r>
      <w:r w:rsidR="00BE240E">
        <w:rPr>
          <w:snapToGrid w:val="0"/>
          <w:sz w:val="24"/>
        </w:rPr>
        <w:t xml:space="preserve">whether </w:t>
      </w:r>
      <w:r w:rsidRPr="00984729">
        <w:rPr>
          <w:snapToGrid w:val="0"/>
          <w:sz w:val="24"/>
        </w:rPr>
        <w:t xml:space="preserve">Intermediate Care Facilities for Individuals with Intellectual Disabilities (ICFs-IID) comply with the applicable statutory definitions and implementing regulations for that provider or supplier type. The burden and costs to the federal government for this ICR are estimated to include the time spent by CMS </w:t>
      </w:r>
      <w:r>
        <w:rPr>
          <w:snapToGrid w:val="0"/>
          <w:sz w:val="24"/>
        </w:rPr>
        <w:t>State S</w:t>
      </w:r>
      <w:r w:rsidRPr="00984729">
        <w:rPr>
          <w:snapToGrid w:val="0"/>
          <w:sz w:val="24"/>
        </w:rPr>
        <w:t xml:space="preserve">urveyors to complete CoP compliance evaluations for </w:t>
      </w:r>
      <w:r>
        <w:rPr>
          <w:snapToGrid w:val="0"/>
          <w:sz w:val="24"/>
        </w:rPr>
        <w:t>ICFs-IID</w:t>
      </w:r>
      <w:r w:rsidRPr="00984729">
        <w:rPr>
          <w:snapToGrid w:val="0"/>
          <w:sz w:val="24"/>
        </w:rPr>
        <w:t xml:space="preserve">. There are multiple points in time when CMS conducts evaluations of </w:t>
      </w:r>
      <w:r>
        <w:rPr>
          <w:snapToGrid w:val="0"/>
          <w:sz w:val="24"/>
        </w:rPr>
        <w:t xml:space="preserve">certified facilities </w:t>
      </w:r>
      <w:r w:rsidRPr="00984729">
        <w:rPr>
          <w:snapToGrid w:val="0"/>
          <w:sz w:val="24"/>
        </w:rPr>
        <w:t xml:space="preserve">for compliance with CoPs. First, each </w:t>
      </w:r>
      <w:r>
        <w:rPr>
          <w:snapToGrid w:val="0"/>
          <w:sz w:val="24"/>
        </w:rPr>
        <w:t>facility</w:t>
      </w:r>
      <w:r w:rsidRPr="00984729">
        <w:rPr>
          <w:snapToGrid w:val="0"/>
          <w:sz w:val="24"/>
        </w:rPr>
        <w:t xml:space="preserve"> undergoes a CMS compliance review at the time of initial application for Medicare approval. Subsequent surveys for every hospital are conducted an average of every 4.5 years, but it varies between 3 and 6 years.</w:t>
      </w:r>
    </w:p>
    <w:p w:rsidR="00BE240E" w:rsidP="00504E25" w14:paraId="1B826B7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sz w:val="24"/>
        </w:rPr>
      </w:pPr>
    </w:p>
    <w:p w:rsidR="00EB41F8" w:rsidP="00EB41F8" w14:paraId="19B6D0DA" w14:textId="0DF7FB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17D88">
        <w:rPr>
          <w:sz w:val="24"/>
          <w:u w:val="single"/>
        </w:rPr>
        <w:t xml:space="preserve">Cost to </w:t>
      </w:r>
      <w:r>
        <w:rPr>
          <w:sz w:val="24"/>
          <w:u w:val="single"/>
        </w:rPr>
        <w:t xml:space="preserve">Perform </w:t>
      </w:r>
      <w:r w:rsidRPr="00617D88">
        <w:rPr>
          <w:sz w:val="24"/>
          <w:u w:val="single"/>
        </w:rPr>
        <w:t>Survey</w:t>
      </w:r>
    </w:p>
    <w:p w:rsidR="00504E25" w:rsidP="00504E25" w14:paraId="58B261E5" w14:textId="105F459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sz w:val="24"/>
        </w:rPr>
      </w:pPr>
      <w:r w:rsidRPr="00984729">
        <w:rPr>
          <w:snapToGrid w:val="0"/>
          <w:sz w:val="24"/>
        </w:rPr>
        <w:t>The burden for completing these responsibilities was calculated using a loaded hourly median wage of $</w:t>
      </w:r>
      <w:r>
        <w:rPr>
          <w:snapToGrid w:val="0"/>
          <w:sz w:val="24"/>
        </w:rPr>
        <w:t>91</w:t>
      </w:r>
      <w:r w:rsidRPr="00984729">
        <w:rPr>
          <w:snapToGrid w:val="0"/>
          <w:sz w:val="24"/>
        </w:rPr>
        <w:t xml:space="preserve"> per hour </w:t>
      </w:r>
      <w:r>
        <w:rPr>
          <w:snapToGrid w:val="0"/>
          <w:sz w:val="24"/>
        </w:rPr>
        <w:t xml:space="preserve">(including benefits) </w:t>
      </w:r>
      <w:r w:rsidRPr="00984729">
        <w:rPr>
          <w:snapToGrid w:val="0"/>
          <w:sz w:val="24"/>
        </w:rPr>
        <w:t xml:space="preserve">for a </w:t>
      </w:r>
      <w:r>
        <w:rPr>
          <w:snapToGrid w:val="0"/>
          <w:sz w:val="24"/>
        </w:rPr>
        <w:t xml:space="preserve">CMS State Surveyor, based on the </w:t>
      </w:r>
      <w:r w:rsidRPr="00C83965">
        <w:rPr>
          <w:snapToGrid w:val="0"/>
          <w:sz w:val="24"/>
        </w:rPr>
        <w:t xml:space="preserve">BLS Industry-Specific estimate for </w:t>
      </w:r>
      <w:r>
        <w:rPr>
          <w:snapToGrid w:val="0"/>
          <w:sz w:val="24"/>
        </w:rPr>
        <w:t>“</w:t>
      </w:r>
      <w:r w:rsidRPr="00D15C2F">
        <w:rPr>
          <w:snapToGrid w:val="0"/>
          <w:sz w:val="24"/>
        </w:rPr>
        <w:t>Compliance Officer – Federal/State Government</w:t>
      </w:r>
      <w:r>
        <w:rPr>
          <w:snapToGrid w:val="0"/>
          <w:sz w:val="24"/>
        </w:rPr>
        <w:t>” (</w:t>
      </w:r>
      <w:r w:rsidRPr="00D15C2F">
        <w:rPr>
          <w:snapToGrid w:val="0"/>
          <w:sz w:val="24"/>
        </w:rPr>
        <w:t>13-1041</w:t>
      </w:r>
      <w:r>
        <w:rPr>
          <w:snapToGrid w:val="0"/>
          <w:sz w:val="24"/>
        </w:rPr>
        <w:t>)</w:t>
      </w:r>
      <w:r w:rsidRPr="00984729">
        <w:rPr>
          <w:snapToGrid w:val="0"/>
          <w:sz w:val="24"/>
        </w:rPr>
        <w:t>.</w:t>
      </w:r>
      <w:r>
        <w:rPr>
          <w:rStyle w:val="FootnoteReference"/>
          <w:snapToGrid w:val="0"/>
        </w:rPr>
        <w:footnoteReference w:id="24"/>
      </w:r>
      <w:r w:rsidRPr="00984729">
        <w:rPr>
          <w:snapToGrid w:val="0"/>
          <w:sz w:val="24"/>
        </w:rPr>
        <w:t xml:space="preserve"> For the initial compliance review, we estimate the cost to the Federal government to ensure each facility’s compliance to be 4 hours, with a net cost of $</w:t>
      </w:r>
      <w:r>
        <w:rPr>
          <w:snapToGrid w:val="0"/>
          <w:sz w:val="24"/>
        </w:rPr>
        <w:t>364</w:t>
      </w:r>
      <w:r w:rsidRPr="00984729">
        <w:rPr>
          <w:snapToGrid w:val="0"/>
          <w:sz w:val="24"/>
        </w:rPr>
        <w:t xml:space="preserve"> per facility (4 hours x $</w:t>
      </w:r>
      <w:r>
        <w:rPr>
          <w:snapToGrid w:val="0"/>
          <w:sz w:val="24"/>
        </w:rPr>
        <w:t>91</w:t>
      </w:r>
      <w:r w:rsidRPr="00984729">
        <w:rPr>
          <w:snapToGrid w:val="0"/>
          <w:sz w:val="24"/>
        </w:rPr>
        <w:t>). For ongoing compliance, we estimate the cost to the Federal government to ensure each facility’s compliance to be 1 hour, with a net cost of $</w:t>
      </w:r>
      <w:r>
        <w:rPr>
          <w:snapToGrid w:val="0"/>
          <w:sz w:val="24"/>
        </w:rPr>
        <w:t>91</w:t>
      </w:r>
      <w:r w:rsidRPr="00984729">
        <w:rPr>
          <w:snapToGrid w:val="0"/>
          <w:sz w:val="24"/>
        </w:rPr>
        <w:t xml:space="preserve"> per facility (1 hour x $</w:t>
      </w:r>
      <w:r>
        <w:rPr>
          <w:snapToGrid w:val="0"/>
          <w:sz w:val="24"/>
        </w:rPr>
        <w:t>91</w:t>
      </w:r>
      <w:r w:rsidRPr="00984729">
        <w:rPr>
          <w:snapToGrid w:val="0"/>
          <w:sz w:val="24"/>
        </w:rPr>
        <w:t>). The burden to the Federal government for each applicable information collection (IC) is calculated below with only those facilities that are impacted by each IC.</w:t>
      </w:r>
    </w:p>
    <w:p w:rsidR="00504E25" w:rsidP="00504E25" w14:paraId="4E6282D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sz w:val="24"/>
        </w:rPr>
      </w:pPr>
    </w:p>
    <w:p w:rsidR="00855F9E" w:rsidP="00855F9E" w14:paraId="3A13155B" w14:textId="5EB248E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sz w:val="24"/>
        </w:rPr>
      </w:pPr>
      <w:r w:rsidRPr="00984729">
        <w:rPr>
          <w:snapToGrid w:val="0"/>
          <w:sz w:val="24"/>
        </w:rPr>
        <w:t xml:space="preserve">For this reinstatement, the total annual burden hours to the federal government is </w:t>
      </w:r>
      <w:r w:rsidRPr="00BE240E">
        <w:rPr>
          <w:b/>
          <w:bCs/>
          <w:snapToGrid w:val="0"/>
          <w:sz w:val="24"/>
        </w:rPr>
        <w:t>55,422</w:t>
      </w:r>
      <w:r>
        <w:rPr>
          <w:snapToGrid w:val="0"/>
          <w:sz w:val="24"/>
        </w:rPr>
        <w:t xml:space="preserve"> </w:t>
      </w:r>
      <w:r w:rsidRPr="00984729">
        <w:rPr>
          <w:snapToGrid w:val="0"/>
          <w:sz w:val="24"/>
        </w:rPr>
        <w:t xml:space="preserve">with an annual cost of </w:t>
      </w:r>
      <w:r w:rsidRPr="00BE240E">
        <w:rPr>
          <w:b/>
          <w:bCs/>
          <w:snapToGrid w:val="0"/>
          <w:sz w:val="24"/>
        </w:rPr>
        <w:t>$5,043,402</w:t>
      </w:r>
      <w:r w:rsidRPr="00984729" w:rsidR="00F1085B">
        <w:rPr>
          <w:snapToGrid w:val="0"/>
          <w:sz w:val="24"/>
        </w:rPr>
        <w:t>.</w:t>
      </w:r>
      <w:r w:rsidR="00F1085B">
        <w:rPr>
          <w:snapToGrid w:val="0"/>
          <w:sz w:val="24"/>
        </w:rPr>
        <w:t xml:space="preserve"> </w:t>
      </w:r>
      <w:r>
        <w:rPr>
          <w:sz w:val="24"/>
        </w:rPr>
        <w:t>Assuming an FTE is 1,920 hours per year then we estimate there would be 29 FTEs (</w:t>
      </w:r>
      <w:r>
        <w:rPr>
          <w:snapToGrid w:val="0"/>
          <w:sz w:val="24"/>
        </w:rPr>
        <w:t>55,422 /1,920 =</w:t>
      </w:r>
      <w:r w:rsidR="00BE240E">
        <w:rPr>
          <w:snapToGrid w:val="0"/>
          <w:sz w:val="24"/>
        </w:rPr>
        <w:t xml:space="preserve"> </w:t>
      </w:r>
      <w:r>
        <w:rPr>
          <w:snapToGrid w:val="0"/>
          <w:sz w:val="24"/>
        </w:rPr>
        <w:t>29</w:t>
      </w:r>
      <w:r w:rsidR="00E7002C">
        <w:rPr>
          <w:snapToGrid w:val="0"/>
          <w:sz w:val="24"/>
        </w:rPr>
        <w:t xml:space="preserve"> </w:t>
      </w:r>
      <w:r>
        <w:rPr>
          <w:snapToGrid w:val="0"/>
          <w:sz w:val="24"/>
        </w:rPr>
        <w:t>FTEs)</w:t>
      </w:r>
      <w:r>
        <w:rPr>
          <w:sz w:val="24"/>
        </w:rPr>
        <w:t>.</w:t>
      </w:r>
    </w:p>
    <w:p w:rsidR="003F5CB8" w:rsidP="00FF25D1" w14:paraId="731E050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504E25" w:rsidRPr="00CC64CD" w:rsidP="00504E25" w14:paraId="012782CF" w14:textId="4902978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sz w:val="24"/>
          <w:szCs w:val="20"/>
        </w:rPr>
      </w:pPr>
      <w:r>
        <w:rPr>
          <w:b/>
          <w:bCs/>
          <w:snapToGrid w:val="0"/>
          <w:sz w:val="28"/>
          <w:szCs w:val="22"/>
        </w:rPr>
        <w:t xml:space="preserve"> </w:t>
      </w:r>
      <w:r w:rsidRPr="00140279">
        <w:rPr>
          <w:b/>
          <w:bCs/>
          <w:snapToGrid w:val="0"/>
          <w:sz w:val="28"/>
          <w:szCs w:val="22"/>
        </w:rPr>
        <w:t xml:space="preserve">Table </w:t>
      </w:r>
      <w:r w:rsidR="004D57CF">
        <w:rPr>
          <w:b/>
          <w:bCs/>
          <w:snapToGrid w:val="0"/>
          <w:sz w:val="28"/>
          <w:szCs w:val="22"/>
        </w:rPr>
        <w:t>8</w:t>
      </w:r>
      <w:r w:rsidRPr="00140279">
        <w:rPr>
          <w:b/>
          <w:bCs/>
          <w:snapToGrid w:val="0"/>
          <w:sz w:val="28"/>
          <w:szCs w:val="22"/>
        </w:rPr>
        <w:t xml:space="preserve">: </w:t>
      </w:r>
      <w:r>
        <w:rPr>
          <w:b/>
          <w:bCs/>
          <w:snapToGrid w:val="0"/>
          <w:sz w:val="28"/>
          <w:szCs w:val="22"/>
        </w:rPr>
        <w:t xml:space="preserve">Total Annual Burden Hours and Costs to Federal Government </w:t>
      </w:r>
    </w:p>
    <w:tbl>
      <w:tblPr>
        <w:tblW w:w="10043" w:type="dxa"/>
        <w:tblInd w:w="118" w:type="dxa"/>
        <w:tblLook w:val="04A0"/>
      </w:tblPr>
      <w:tblGrid>
        <w:gridCol w:w="4670"/>
        <w:gridCol w:w="1136"/>
        <w:gridCol w:w="950"/>
        <w:gridCol w:w="923"/>
        <w:gridCol w:w="7"/>
        <w:gridCol w:w="1050"/>
        <w:gridCol w:w="7"/>
        <w:gridCol w:w="1293"/>
        <w:gridCol w:w="7"/>
      </w:tblGrid>
      <w:tr w14:paraId="610D2EAB" w14:textId="77777777" w:rsidTr="00E820E7">
        <w:tblPrEx>
          <w:tblW w:w="10043" w:type="dxa"/>
          <w:tblInd w:w="118" w:type="dxa"/>
          <w:tblLook w:val="04A0"/>
        </w:tblPrEx>
        <w:trPr>
          <w:gridAfter w:val="1"/>
          <w:wAfter w:w="7" w:type="dxa"/>
          <w:trHeight w:val="702"/>
        </w:trPr>
        <w:tc>
          <w:tcPr>
            <w:tcW w:w="4670" w:type="dxa"/>
            <w:tcBorders>
              <w:top w:val="single" w:sz="8" w:space="0" w:color="auto"/>
              <w:left w:val="single" w:sz="8" w:space="0" w:color="auto"/>
              <w:bottom w:val="single" w:sz="8" w:space="0" w:color="auto"/>
              <w:right w:val="single" w:sz="4" w:space="0" w:color="auto"/>
            </w:tcBorders>
            <w:shd w:val="clear" w:color="auto" w:fill="BFBFBF"/>
            <w:noWrap/>
            <w:vAlign w:val="center"/>
            <w:hideMark/>
          </w:tcPr>
          <w:p w:rsidR="00504E25" w:rsidRPr="00CC64CD" w:rsidP="00E820E7" w14:paraId="63D1E902" w14:textId="77777777">
            <w:pPr>
              <w:jc w:val="center"/>
              <w:rPr>
                <w:b/>
                <w:bCs/>
                <w:color w:val="000000"/>
                <w:sz w:val="24"/>
              </w:rPr>
            </w:pPr>
            <w:r w:rsidRPr="00CC64CD">
              <w:rPr>
                <w:b/>
                <w:bCs/>
                <w:color w:val="000000"/>
                <w:sz w:val="24"/>
              </w:rPr>
              <w:t>Information Collection No.</w:t>
            </w:r>
          </w:p>
        </w:tc>
        <w:tc>
          <w:tcPr>
            <w:tcW w:w="1136" w:type="dxa"/>
            <w:tcBorders>
              <w:top w:val="single" w:sz="8" w:space="0" w:color="auto"/>
              <w:left w:val="nil"/>
              <w:bottom w:val="single" w:sz="8" w:space="0" w:color="auto"/>
              <w:right w:val="single" w:sz="4" w:space="0" w:color="auto"/>
            </w:tcBorders>
            <w:shd w:val="clear" w:color="auto" w:fill="BFBFBF"/>
            <w:vAlign w:val="center"/>
            <w:hideMark/>
          </w:tcPr>
          <w:p w:rsidR="00504E25" w:rsidRPr="00CC64CD" w:rsidP="00E820E7" w14:paraId="06E4D935" w14:textId="77777777">
            <w:pPr>
              <w:jc w:val="center"/>
              <w:rPr>
                <w:b/>
                <w:bCs/>
                <w:color w:val="000000"/>
                <w:sz w:val="24"/>
              </w:rPr>
            </w:pPr>
            <w:r w:rsidRPr="00CC64CD">
              <w:rPr>
                <w:b/>
                <w:bCs/>
                <w:color w:val="000000"/>
                <w:sz w:val="24"/>
              </w:rPr>
              <w:t># of Facilities</w:t>
            </w:r>
          </w:p>
        </w:tc>
        <w:tc>
          <w:tcPr>
            <w:tcW w:w="950" w:type="dxa"/>
            <w:tcBorders>
              <w:top w:val="single" w:sz="8" w:space="0" w:color="auto"/>
              <w:left w:val="nil"/>
              <w:bottom w:val="single" w:sz="8" w:space="0" w:color="auto"/>
              <w:right w:val="single" w:sz="4" w:space="0" w:color="auto"/>
            </w:tcBorders>
            <w:shd w:val="clear" w:color="auto" w:fill="BFBFBF"/>
            <w:vAlign w:val="center"/>
            <w:hideMark/>
          </w:tcPr>
          <w:p w:rsidR="00504E25" w:rsidRPr="00CC64CD" w:rsidP="00E820E7" w14:paraId="146D7F47" w14:textId="77777777">
            <w:pPr>
              <w:jc w:val="center"/>
              <w:rPr>
                <w:b/>
                <w:bCs/>
                <w:color w:val="000000"/>
                <w:sz w:val="24"/>
              </w:rPr>
            </w:pPr>
            <w:r w:rsidRPr="00CC64CD">
              <w:rPr>
                <w:b/>
                <w:bCs/>
                <w:color w:val="000000"/>
                <w:sz w:val="24"/>
              </w:rPr>
              <w:t>Hourly Wage</w:t>
            </w:r>
          </w:p>
        </w:tc>
        <w:tc>
          <w:tcPr>
            <w:tcW w:w="923" w:type="dxa"/>
            <w:tcBorders>
              <w:top w:val="single" w:sz="8" w:space="0" w:color="auto"/>
              <w:left w:val="nil"/>
              <w:bottom w:val="single" w:sz="8" w:space="0" w:color="auto"/>
              <w:right w:val="single" w:sz="4" w:space="0" w:color="auto"/>
            </w:tcBorders>
            <w:shd w:val="clear" w:color="auto" w:fill="BFBFBF"/>
            <w:vAlign w:val="center"/>
            <w:hideMark/>
          </w:tcPr>
          <w:p w:rsidR="00504E25" w:rsidRPr="00CC64CD" w:rsidP="00E820E7" w14:paraId="47B88309" w14:textId="77777777">
            <w:pPr>
              <w:jc w:val="center"/>
              <w:rPr>
                <w:b/>
                <w:bCs/>
                <w:color w:val="000000"/>
                <w:sz w:val="24"/>
              </w:rPr>
            </w:pPr>
            <w:r w:rsidRPr="00CC64CD">
              <w:rPr>
                <w:b/>
                <w:bCs/>
                <w:color w:val="000000"/>
                <w:sz w:val="24"/>
              </w:rPr>
              <w:t>Hours/ Task</w:t>
            </w:r>
          </w:p>
        </w:tc>
        <w:tc>
          <w:tcPr>
            <w:tcW w:w="1057" w:type="dxa"/>
            <w:gridSpan w:val="2"/>
            <w:tcBorders>
              <w:top w:val="single" w:sz="8" w:space="0" w:color="auto"/>
              <w:left w:val="nil"/>
              <w:bottom w:val="single" w:sz="8" w:space="0" w:color="auto"/>
              <w:right w:val="single" w:sz="4" w:space="0" w:color="auto"/>
            </w:tcBorders>
            <w:shd w:val="clear" w:color="auto" w:fill="BFBFBF"/>
            <w:vAlign w:val="center"/>
            <w:hideMark/>
          </w:tcPr>
          <w:p w:rsidR="00504E25" w:rsidRPr="00CC64CD" w:rsidP="00E820E7" w14:paraId="0C87CB9C" w14:textId="77777777">
            <w:pPr>
              <w:jc w:val="center"/>
              <w:rPr>
                <w:b/>
                <w:bCs/>
                <w:color w:val="000000"/>
                <w:sz w:val="24"/>
              </w:rPr>
            </w:pPr>
            <w:r w:rsidRPr="00CC64CD">
              <w:rPr>
                <w:b/>
                <w:bCs/>
                <w:color w:val="000000"/>
                <w:sz w:val="24"/>
              </w:rPr>
              <w:t>Total    Burden Hours</w:t>
            </w:r>
          </w:p>
        </w:tc>
        <w:tc>
          <w:tcPr>
            <w:tcW w:w="1300" w:type="dxa"/>
            <w:gridSpan w:val="2"/>
            <w:tcBorders>
              <w:top w:val="single" w:sz="8" w:space="0" w:color="auto"/>
              <w:left w:val="nil"/>
              <w:bottom w:val="single" w:sz="8" w:space="0" w:color="auto"/>
              <w:right w:val="single" w:sz="8" w:space="0" w:color="auto"/>
            </w:tcBorders>
            <w:shd w:val="clear" w:color="auto" w:fill="BFBFBF"/>
            <w:vAlign w:val="center"/>
            <w:hideMark/>
          </w:tcPr>
          <w:p w:rsidR="00504E25" w:rsidRPr="00CC64CD" w:rsidP="00E820E7" w14:paraId="509AE342" w14:textId="77777777">
            <w:pPr>
              <w:jc w:val="center"/>
              <w:rPr>
                <w:b/>
                <w:bCs/>
                <w:color w:val="000000"/>
                <w:sz w:val="24"/>
              </w:rPr>
            </w:pPr>
            <w:r w:rsidRPr="00CC64CD">
              <w:rPr>
                <w:b/>
                <w:bCs/>
                <w:color w:val="000000"/>
                <w:sz w:val="24"/>
              </w:rPr>
              <w:t>Total  Burden Costs</w:t>
            </w:r>
          </w:p>
        </w:tc>
      </w:tr>
      <w:tr w14:paraId="40653E43" w14:textId="77777777" w:rsidTr="00E820E7">
        <w:tblPrEx>
          <w:tblW w:w="10043" w:type="dxa"/>
          <w:tblInd w:w="118" w:type="dxa"/>
          <w:tblLook w:val="04A0"/>
        </w:tblPrEx>
        <w:trPr>
          <w:gridAfter w:val="1"/>
          <w:wAfter w:w="7" w:type="dxa"/>
          <w:trHeight w:val="317"/>
        </w:trPr>
        <w:tc>
          <w:tcPr>
            <w:tcW w:w="4670" w:type="dxa"/>
            <w:tcBorders>
              <w:top w:val="nil"/>
              <w:left w:val="single" w:sz="8" w:space="0" w:color="auto"/>
              <w:bottom w:val="single" w:sz="4" w:space="0" w:color="auto"/>
              <w:right w:val="single" w:sz="4" w:space="0" w:color="auto"/>
            </w:tcBorders>
            <w:shd w:val="clear" w:color="auto" w:fill="auto"/>
            <w:noWrap/>
            <w:hideMark/>
          </w:tcPr>
          <w:p w:rsidR="00504E25" w:rsidRPr="00CC64CD" w:rsidP="00E820E7" w14:paraId="51C45234" w14:textId="05407C69">
            <w:pPr>
              <w:rPr>
                <w:color w:val="000000"/>
                <w:sz w:val="24"/>
              </w:rPr>
            </w:pPr>
            <w:r w:rsidRPr="00CC64CD">
              <w:rPr>
                <w:b/>
                <w:bCs/>
                <w:color w:val="000000"/>
                <w:sz w:val="24"/>
              </w:rPr>
              <w:t>IC</w:t>
            </w:r>
            <w:r w:rsidR="00A63BE6">
              <w:rPr>
                <w:b/>
                <w:bCs/>
                <w:color w:val="000000"/>
                <w:sz w:val="24"/>
              </w:rPr>
              <w:t>-</w:t>
            </w:r>
            <w:r w:rsidRPr="00CC64CD">
              <w:rPr>
                <w:b/>
                <w:bCs/>
                <w:color w:val="000000"/>
                <w:sz w:val="24"/>
              </w:rPr>
              <w:t>1</w:t>
            </w:r>
            <w:r w:rsidRPr="00CC64CD">
              <w:rPr>
                <w:color w:val="000000"/>
                <w:sz w:val="24"/>
              </w:rPr>
              <w:t>: 483.460(a)(4) - One time development of policies</w:t>
            </w:r>
          </w:p>
        </w:tc>
        <w:tc>
          <w:tcPr>
            <w:tcW w:w="1136" w:type="dxa"/>
            <w:tcBorders>
              <w:top w:val="nil"/>
              <w:left w:val="nil"/>
              <w:bottom w:val="single" w:sz="4" w:space="0" w:color="auto"/>
              <w:right w:val="single" w:sz="4" w:space="0" w:color="auto"/>
            </w:tcBorders>
            <w:shd w:val="clear" w:color="auto" w:fill="auto"/>
            <w:noWrap/>
            <w:hideMark/>
          </w:tcPr>
          <w:p w:rsidR="00504E25" w:rsidRPr="00CC64CD" w:rsidP="00E820E7" w14:paraId="739266EF" w14:textId="77777777">
            <w:pPr>
              <w:rPr>
                <w:color w:val="000000"/>
                <w:sz w:val="24"/>
              </w:rPr>
            </w:pPr>
            <w:r w:rsidRPr="00CC64CD">
              <w:rPr>
                <w:color w:val="000000"/>
                <w:sz w:val="24"/>
              </w:rPr>
              <w:t> </w:t>
            </w:r>
          </w:p>
        </w:tc>
        <w:tc>
          <w:tcPr>
            <w:tcW w:w="950" w:type="dxa"/>
            <w:tcBorders>
              <w:top w:val="nil"/>
              <w:left w:val="nil"/>
              <w:bottom w:val="single" w:sz="4" w:space="0" w:color="auto"/>
              <w:right w:val="single" w:sz="4" w:space="0" w:color="auto"/>
            </w:tcBorders>
            <w:shd w:val="clear" w:color="auto" w:fill="auto"/>
            <w:vAlign w:val="center"/>
            <w:hideMark/>
          </w:tcPr>
          <w:p w:rsidR="00504E25" w:rsidRPr="00CC64CD" w:rsidP="00E820E7" w14:paraId="5283DB0E" w14:textId="77777777">
            <w:pPr>
              <w:jc w:val="center"/>
              <w:rPr>
                <w:color w:val="000000"/>
                <w:sz w:val="24"/>
              </w:rPr>
            </w:pPr>
            <w:r w:rsidRPr="00CC64CD">
              <w:rPr>
                <w:color w:val="000000"/>
                <w:sz w:val="24"/>
              </w:rPr>
              <w:t> </w:t>
            </w:r>
          </w:p>
        </w:tc>
        <w:tc>
          <w:tcPr>
            <w:tcW w:w="923" w:type="dxa"/>
            <w:tcBorders>
              <w:top w:val="nil"/>
              <w:left w:val="nil"/>
              <w:bottom w:val="single" w:sz="4" w:space="0" w:color="auto"/>
              <w:right w:val="single" w:sz="4" w:space="0" w:color="auto"/>
            </w:tcBorders>
            <w:shd w:val="clear" w:color="auto" w:fill="auto"/>
            <w:vAlign w:val="center"/>
            <w:hideMark/>
          </w:tcPr>
          <w:p w:rsidR="00504E25" w:rsidRPr="00CC64CD" w:rsidP="00E820E7" w14:paraId="27778839" w14:textId="77777777">
            <w:pPr>
              <w:jc w:val="center"/>
              <w:rPr>
                <w:color w:val="000000"/>
                <w:sz w:val="24"/>
              </w:rPr>
            </w:pPr>
            <w:r w:rsidRPr="00CC64CD">
              <w:rPr>
                <w:color w:val="000000"/>
                <w:sz w:val="24"/>
              </w:rPr>
              <w:t> </w:t>
            </w:r>
          </w:p>
        </w:tc>
        <w:tc>
          <w:tcPr>
            <w:tcW w:w="1057" w:type="dxa"/>
            <w:gridSpan w:val="2"/>
            <w:tcBorders>
              <w:top w:val="nil"/>
              <w:left w:val="nil"/>
              <w:bottom w:val="single" w:sz="4" w:space="0" w:color="auto"/>
              <w:right w:val="single" w:sz="4" w:space="0" w:color="auto"/>
            </w:tcBorders>
            <w:shd w:val="clear" w:color="auto" w:fill="auto"/>
            <w:noWrap/>
            <w:vAlign w:val="center"/>
            <w:hideMark/>
          </w:tcPr>
          <w:p w:rsidR="00504E25" w:rsidRPr="00CC64CD" w:rsidP="00E820E7" w14:paraId="2FB1A7E8" w14:textId="77777777">
            <w:pPr>
              <w:jc w:val="center"/>
              <w:rPr>
                <w:color w:val="000000"/>
                <w:sz w:val="24"/>
              </w:rPr>
            </w:pPr>
            <w:r w:rsidRPr="00CC64CD">
              <w:rPr>
                <w:color w:val="000000"/>
                <w:sz w:val="24"/>
              </w:rPr>
              <w:t> </w:t>
            </w:r>
          </w:p>
        </w:tc>
        <w:tc>
          <w:tcPr>
            <w:tcW w:w="1300" w:type="dxa"/>
            <w:gridSpan w:val="2"/>
            <w:tcBorders>
              <w:top w:val="nil"/>
              <w:left w:val="nil"/>
              <w:bottom w:val="single" w:sz="4" w:space="0" w:color="auto"/>
              <w:right w:val="single" w:sz="8" w:space="0" w:color="auto"/>
            </w:tcBorders>
            <w:shd w:val="clear" w:color="auto" w:fill="auto"/>
            <w:noWrap/>
            <w:vAlign w:val="center"/>
            <w:hideMark/>
          </w:tcPr>
          <w:p w:rsidR="00504E25" w:rsidRPr="00CC64CD" w:rsidP="00E820E7" w14:paraId="4D8347C5" w14:textId="77777777">
            <w:pPr>
              <w:jc w:val="center"/>
              <w:rPr>
                <w:color w:val="000000"/>
                <w:sz w:val="24"/>
              </w:rPr>
            </w:pPr>
            <w:r w:rsidRPr="00CC64CD">
              <w:rPr>
                <w:color w:val="000000"/>
                <w:sz w:val="24"/>
              </w:rPr>
              <w:t> </w:t>
            </w:r>
          </w:p>
        </w:tc>
      </w:tr>
      <w:tr w14:paraId="698CC0B5" w14:textId="77777777" w:rsidTr="000D51F1">
        <w:tblPrEx>
          <w:tblW w:w="10043" w:type="dxa"/>
          <w:tblInd w:w="118" w:type="dxa"/>
          <w:tblLook w:val="04A0"/>
        </w:tblPrEx>
        <w:trPr>
          <w:gridAfter w:val="1"/>
          <w:wAfter w:w="7" w:type="dxa"/>
          <w:trHeight w:val="317"/>
        </w:trPr>
        <w:tc>
          <w:tcPr>
            <w:tcW w:w="46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04E25" w:rsidRPr="00CC64CD" w:rsidP="00E820E7" w14:paraId="0712672F" w14:textId="77777777">
            <w:pPr>
              <w:jc w:val="right"/>
              <w:rPr>
                <w:color w:val="000000"/>
                <w:sz w:val="24"/>
              </w:rPr>
            </w:pPr>
            <w:r w:rsidRPr="00CC64CD">
              <w:rPr>
                <w:color w:val="000000"/>
                <w:sz w:val="24"/>
              </w:rPr>
              <w:t>Existing Facilities</w:t>
            </w:r>
          </w:p>
        </w:tc>
        <w:tc>
          <w:tcPr>
            <w:tcW w:w="1136" w:type="dxa"/>
            <w:tcBorders>
              <w:top w:val="nil"/>
              <w:left w:val="nil"/>
              <w:bottom w:val="single" w:sz="4" w:space="0" w:color="auto"/>
              <w:right w:val="single" w:sz="4" w:space="0" w:color="auto"/>
            </w:tcBorders>
            <w:shd w:val="clear" w:color="auto" w:fill="auto"/>
            <w:noWrap/>
            <w:vAlign w:val="center"/>
            <w:hideMark/>
          </w:tcPr>
          <w:p w:rsidR="00504E25" w:rsidRPr="00CC64CD" w:rsidP="00E820E7" w14:paraId="680D3D8E" w14:textId="77777777">
            <w:pPr>
              <w:jc w:val="center"/>
              <w:rPr>
                <w:color w:val="000000"/>
                <w:sz w:val="24"/>
              </w:rPr>
            </w:pPr>
            <w:r w:rsidRPr="00E05964">
              <w:rPr>
                <w:sz w:val="24"/>
              </w:rPr>
              <w:t>5,523</w:t>
            </w:r>
          </w:p>
        </w:tc>
        <w:tc>
          <w:tcPr>
            <w:tcW w:w="950" w:type="dxa"/>
            <w:tcBorders>
              <w:top w:val="nil"/>
              <w:left w:val="nil"/>
              <w:bottom w:val="single" w:sz="4" w:space="0" w:color="auto"/>
              <w:right w:val="single" w:sz="4" w:space="0" w:color="auto"/>
            </w:tcBorders>
            <w:shd w:val="clear" w:color="auto" w:fill="auto"/>
            <w:vAlign w:val="center"/>
            <w:hideMark/>
          </w:tcPr>
          <w:p w:rsidR="00504E25" w:rsidRPr="00CC64CD" w:rsidP="00E820E7" w14:paraId="5EFF555D" w14:textId="77777777">
            <w:pPr>
              <w:jc w:val="center"/>
              <w:rPr>
                <w:color w:val="000000"/>
                <w:sz w:val="24"/>
              </w:rPr>
            </w:pPr>
            <w:r w:rsidRPr="00CC64CD">
              <w:rPr>
                <w:color w:val="000000"/>
                <w:sz w:val="24"/>
              </w:rPr>
              <w:t>$91</w:t>
            </w:r>
          </w:p>
        </w:tc>
        <w:tc>
          <w:tcPr>
            <w:tcW w:w="923" w:type="dxa"/>
            <w:tcBorders>
              <w:top w:val="nil"/>
              <w:left w:val="nil"/>
              <w:bottom w:val="single" w:sz="4" w:space="0" w:color="auto"/>
              <w:right w:val="single" w:sz="4" w:space="0" w:color="auto"/>
            </w:tcBorders>
            <w:shd w:val="clear" w:color="auto" w:fill="auto"/>
            <w:vAlign w:val="center"/>
            <w:hideMark/>
          </w:tcPr>
          <w:p w:rsidR="00504E25" w:rsidRPr="00CC64CD" w:rsidP="00E820E7" w14:paraId="047AB664" w14:textId="77777777">
            <w:pPr>
              <w:jc w:val="center"/>
              <w:rPr>
                <w:color w:val="000000"/>
                <w:sz w:val="24"/>
              </w:rPr>
            </w:pPr>
            <w:r w:rsidRPr="00CC64CD">
              <w:rPr>
                <w:color w:val="000000"/>
                <w:sz w:val="24"/>
              </w:rPr>
              <w:t>4</w:t>
            </w:r>
          </w:p>
        </w:tc>
        <w:tc>
          <w:tcPr>
            <w:tcW w:w="1057" w:type="dxa"/>
            <w:gridSpan w:val="2"/>
            <w:tcBorders>
              <w:top w:val="nil"/>
              <w:left w:val="nil"/>
              <w:bottom w:val="single" w:sz="4" w:space="0" w:color="auto"/>
              <w:right w:val="single" w:sz="4" w:space="0" w:color="auto"/>
            </w:tcBorders>
            <w:shd w:val="clear" w:color="auto" w:fill="auto"/>
            <w:noWrap/>
            <w:vAlign w:val="center"/>
            <w:hideMark/>
          </w:tcPr>
          <w:p w:rsidR="00504E25" w:rsidRPr="00CC64CD" w:rsidP="00E820E7" w14:paraId="72B3D97D" w14:textId="77777777">
            <w:pPr>
              <w:jc w:val="center"/>
              <w:rPr>
                <w:color w:val="000000"/>
                <w:sz w:val="24"/>
              </w:rPr>
            </w:pPr>
            <w:r w:rsidRPr="00E05964">
              <w:rPr>
                <w:sz w:val="24"/>
              </w:rPr>
              <w:t>22,092</w:t>
            </w:r>
          </w:p>
        </w:tc>
        <w:tc>
          <w:tcPr>
            <w:tcW w:w="1300" w:type="dxa"/>
            <w:gridSpan w:val="2"/>
            <w:tcBorders>
              <w:top w:val="nil"/>
              <w:left w:val="nil"/>
              <w:bottom w:val="single" w:sz="4" w:space="0" w:color="auto"/>
              <w:right w:val="single" w:sz="8" w:space="0" w:color="auto"/>
            </w:tcBorders>
            <w:shd w:val="clear" w:color="auto" w:fill="auto"/>
            <w:noWrap/>
            <w:vAlign w:val="center"/>
            <w:hideMark/>
          </w:tcPr>
          <w:p w:rsidR="00504E25" w:rsidRPr="00CC64CD" w:rsidP="00E820E7" w14:paraId="78AB9554" w14:textId="77777777">
            <w:pPr>
              <w:jc w:val="center"/>
              <w:rPr>
                <w:color w:val="000000"/>
                <w:sz w:val="24"/>
              </w:rPr>
            </w:pPr>
            <w:r w:rsidRPr="00E05964">
              <w:rPr>
                <w:sz w:val="24"/>
              </w:rPr>
              <w:t xml:space="preserve">$2,010,372 </w:t>
            </w:r>
          </w:p>
        </w:tc>
      </w:tr>
      <w:tr w14:paraId="70E726B4" w14:textId="77777777" w:rsidTr="000D51F1">
        <w:tblPrEx>
          <w:tblW w:w="10043" w:type="dxa"/>
          <w:tblInd w:w="118" w:type="dxa"/>
          <w:tblLook w:val="04A0"/>
        </w:tblPrEx>
        <w:trPr>
          <w:gridAfter w:val="1"/>
          <w:wAfter w:w="7" w:type="dxa"/>
          <w:trHeight w:val="317"/>
        </w:trPr>
        <w:tc>
          <w:tcPr>
            <w:tcW w:w="46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04E25" w:rsidRPr="00CC64CD" w:rsidP="00E820E7" w14:paraId="57C9D012" w14:textId="77777777">
            <w:pPr>
              <w:jc w:val="right"/>
              <w:rPr>
                <w:color w:val="000000"/>
                <w:sz w:val="24"/>
              </w:rPr>
            </w:pPr>
            <w:r w:rsidRPr="00CC64CD">
              <w:rPr>
                <w:color w:val="000000"/>
                <w:sz w:val="24"/>
              </w:rPr>
              <w:t>Newly Certified Facilities</w:t>
            </w:r>
          </w:p>
        </w:tc>
        <w:tc>
          <w:tcPr>
            <w:tcW w:w="1136" w:type="dxa"/>
            <w:tcBorders>
              <w:top w:val="nil"/>
              <w:left w:val="nil"/>
              <w:bottom w:val="single" w:sz="4" w:space="0" w:color="auto"/>
              <w:right w:val="single" w:sz="4" w:space="0" w:color="auto"/>
            </w:tcBorders>
            <w:shd w:val="clear" w:color="auto" w:fill="auto"/>
            <w:noWrap/>
            <w:vAlign w:val="center"/>
            <w:hideMark/>
          </w:tcPr>
          <w:p w:rsidR="00504E25" w:rsidRPr="00CC64CD" w:rsidP="00E820E7" w14:paraId="74402717" w14:textId="77777777">
            <w:pPr>
              <w:jc w:val="center"/>
              <w:rPr>
                <w:color w:val="000000"/>
                <w:sz w:val="24"/>
              </w:rPr>
            </w:pPr>
            <w:r w:rsidRPr="00E05964">
              <w:rPr>
                <w:sz w:val="24"/>
              </w:rPr>
              <w:t>24</w:t>
            </w:r>
          </w:p>
        </w:tc>
        <w:tc>
          <w:tcPr>
            <w:tcW w:w="950" w:type="dxa"/>
            <w:tcBorders>
              <w:top w:val="nil"/>
              <w:left w:val="nil"/>
              <w:bottom w:val="single" w:sz="4" w:space="0" w:color="auto"/>
              <w:right w:val="single" w:sz="4" w:space="0" w:color="auto"/>
            </w:tcBorders>
            <w:shd w:val="clear" w:color="auto" w:fill="auto"/>
            <w:vAlign w:val="center"/>
            <w:hideMark/>
          </w:tcPr>
          <w:p w:rsidR="00504E25" w:rsidRPr="00CC64CD" w:rsidP="00E820E7" w14:paraId="5C28946A" w14:textId="77777777">
            <w:pPr>
              <w:jc w:val="center"/>
              <w:rPr>
                <w:color w:val="000000"/>
                <w:sz w:val="24"/>
              </w:rPr>
            </w:pPr>
            <w:r w:rsidRPr="00CC64CD">
              <w:rPr>
                <w:color w:val="000000"/>
                <w:sz w:val="24"/>
              </w:rPr>
              <w:t>$91</w:t>
            </w:r>
          </w:p>
        </w:tc>
        <w:tc>
          <w:tcPr>
            <w:tcW w:w="923" w:type="dxa"/>
            <w:tcBorders>
              <w:top w:val="nil"/>
              <w:left w:val="nil"/>
              <w:bottom w:val="single" w:sz="4" w:space="0" w:color="auto"/>
              <w:right w:val="single" w:sz="4" w:space="0" w:color="auto"/>
            </w:tcBorders>
            <w:shd w:val="clear" w:color="auto" w:fill="auto"/>
            <w:vAlign w:val="center"/>
            <w:hideMark/>
          </w:tcPr>
          <w:p w:rsidR="00504E25" w:rsidRPr="00CC64CD" w:rsidP="00E820E7" w14:paraId="1BD2987A" w14:textId="77777777">
            <w:pPr>
              <w:jc w:val="center"/>
              <w:rPr>
                <w:color w:val="000000"/>
                <w:sz w:val="24"/>
              </w:rPr>
            </w:pPr>
            <w:r w:rsidRPr="00CC64CD">
              <w:rPr>
                <w:color w:val="000000"/>
                <w:sz w:val="24"/>
              </w:rPr>
              <w:t>4</w:t>
            </w:r>
          </w:p>
        </w:tc>
        <w:tc>
          <w:tcPr>
            <w:tcW w:w="1057" w:type="dxa"/>
            <w:gridSpan w:val="2"/>
            <w:tcBorders>
              <w:top w:val="nil"/>
              <w:left w:val="nil"/>
              <w:bottom w:val="single" w:sz="4" w:space="0" w:color="auto"/>
              <w:right w:val="single" w:sz="4" w:space="0" w:color="auto"/>
            </w:tcBorders>
            <w:shd w:val="clear" w:color="auto" w:fill="auto"/>
            <w:noWrap/>
            <w:vAlign w:val="center"/>
            <w:hideMark/>
          </w:tcPr>
          <w:p w:rsidR="00504E25" w:rsidRPr="00CC64CD" w:rsidP="00E820E7" w14:paraId="79303E5C" w14:textId="77777777">
            <w:pPr>
              <w:jc w:val="center"/>
              <w:rPr>
                <w:color w:val="000000"/>
                <w:sz w:val="24"/>
              </w:rPr>
            </w:pPr>
            <w:r w:rsidRPr="00E05964">
              <w:rPr>
                <w:sz w:val="24"/>
              </w:rPr>
              <w:t>96</w:t>
            </w:r>
          </w:p>
        </w:tc>
        <w:tc>
          <w:tcPr>
            <w:tcW w:w="1300" w:type="dxa"/>
            <w:gridSpan w:val="2"/>
            <w:tcBorders>
              <w:top w:val="nil"/>
              <w:left w:val="nil"/>
              <w:bottom w:val="single" w:sz="4" w:space="0" w:color="auto"/>
              <w:right w:val="single" w:sz="8" w:space="0" w:color="auto"/>
            </w:tcBorders>
            <w:shd w:val="clear" w:color="auto" w:fill="auto"/>
            <w:noWrap/>
            <w:vAlign w:val="center"/>
            <w:hideMark/>
          </w:tcPr>
          <w:p w:rsidR="00504E25" w:rsidRPr="00CC64CD" w:rsidP="00E820E7" w14:paraId="4AD5388C" w14:textId="77777777">
            <w:pPr>
              <w:jc w:val="center"/>
              <w:rPr>
                <w:color w:val="000000"/>
                <w:sz w:val="24"/>
              </w:rPr>
            </w:pPr>
            <w:r w:rsidRPr="00E05964">
              <w:rPr>
                <w:sz w:val="24"/>
              </w:rPr>
              <w:t xml:space="preserve">$8,736 </w:t>
            </w:r>
          </w:p>
        </w:tc>
      </w:tr>
      <w:tr w14:paraId="1AB9686D" w14:textId="77777777" w:rsidTr="000D51F1">
        <w:tblPrEx>
          <w:tblW w:w="10043" w:type="dxa"/>
          <w:tblInd w:w="118" w:type="dxa"/>
          <w:tblLook w:val="04A0"/>
        </w:tblPrEx>
        <w:trPr>
          <w:gridAfter w:val="1"/>
          <w:wAfter w:w="7" w:type="dxa"/>
          <w:trHeight w:val="317"/>
        </w:trPr>
        <w:tc>
          <w:tcPr>
            <w:tcW w:w="4670" w:type="dxa"/>
            <w:tcBorders>
              <w:top w:val="single" w:sz="4" w:space="0" w:color="auto"/>
              <w:left w:val="single" w:sz="8" w:space="0" w:color="auto"/>
              <w:bottom w:val="single" w:sz="4" w:space="0" w:color="auto"/>
              <w:right w:val="single" w:sz="4" w:space="0" w:color="auto"/>
            </w:tcBorders>
            <w:shd w:val="clear" w:color="auto" w:fill="auto"/>
            <w:noWrap/>
            <w:hideMark/>
          </w:tcPr>
          <w:p w:rsidR="00504E25" w:rsidRPr="00CC64CD" w:rsidP="00E820E7" w14:paraId="6EC4AB0B" w14:textId="7D38BF13">
            <w:pPr>
              <w:rPr>
                <w:color w:val="000000"/>
                <w:sz w:val="24"/>
              </w:rPr>
            </w:pPr>
            <w:r w:rsidRPr="00CC64CD">
              <w:rPr>
                <w:b/>
                <w:bCs/>
                <w:color w:val="000000"/>
                <w:sz w:val="24"/>
              </w:rPr>
              <w:t>IC</w:t>
            </w:r>
            <w:r w:rsidR="00A63BE6">
              <w:rPr>
                <w:b/>
                <w:bCs/>
                <w:color w:val="000000"/>
                <w:sz w:val="24"/>
              </w:rPr>
              <w:t>-</w:t>
            </w:r>
            <w:r w:rsidRPr="00CC64CD">
              <w:rPr>
                <w:b/>
                <w:bCs/>
                <w:color w:val="000000"/>
                <w:sz w:val="24"/>
              </w:rPr>
              <w:t>2</w:t>
            </w:r>
            <w:r w:rsidRPr="00CC64CD">
              <w:rPr>
                <w:color w:val="000000"/>
                <w:sz w:val="24"/>
              </w:rPr>
              <w:t>: 483.460(a)(4) - Annual update of policies</w:t>
            </w:r>
          </w:p>
        </w:tc>
        <w:tc>
          <w:tcPr>
            <w:tcW w:w="1136" w:type="dxa"/>
            <w:tcBorders>
              <w:top w:val="nil"/>
              <w:left w:val="nil"/>
              <w:bottom w:val="single" w:sz="4" w:space="0" w:color="auto"/>
              <w:right w:val="single" w:sz="4" w:space="0" w:color="auto"/>
            </w:tcBorders>
            <w:shd w:val="clear" w:color="auto" w:fill="auto"/>
            <w:noWrap/>
            <w:vAlign w:val="center"/>
            <w:hideMark/>
          </w:tcPr>
          <w:p w:rsidR="00504E25" w:rsidRPr="00CC64CD" w:rsidP="00E820E7" w14:paraId="09E2B551" w14:textId="77777777">
            <w:pPr>
              <w:jc w:val="center"/>
              <w:rPr>
                <w:color w:val="000000"/>
                <w:sz w:val="24"/>
              </w:rPr>
            </w:pPr>
            <w:r w:rsidRPr="00E05964">
              <w:rPr>
                <w:sz w:val="24"/>
              </w:rPr>
              <w:t>5,523</w:t>
            </w:r>
          </w:p>
        </w:tc>
        <w:tc>
          <w:tcPr>
            <w:tcW w:w="950" w:type="dxa"/>
            <w:tcBorders>
              <w:top w:val="nil"/>
              <w:left w:val="nil"/>
              <w:bottom w:val="single" w:sz="4" w:space="0" w:color="auto"/>
              <w:right w:val="single" w:sz="4" w:space="0" w:color="auto"/>
            </w:tcBorders>
            <w:shd w:val="clear" w:color="auto" w:fill="auto"/>
            <w:vAlign w:val="center"/>
            <w:hideMark/>
          </w:tcPr>
          <w:p w:rsidR="00504E25" w:rsidRPr="00CC64CD" w:rsidP="00E820E7" w14:paraId="5952A2B1" w14:textId="77777777">
            <w:pPr>
              <w:jc w:val="center"/>
              <w:rPr>
                <w:color w:val="000000"/>
                <w:sz w:val="24"/>
              </w:rPr>
            </w:pPr>
            <w:r w:rsidRPr="00CC64CD">
              <w:rPr>
                <w:color w:val="000000"/>
                <w:sz w:val="24"/>
              </w:rPr>
              <w:t>$91</w:t>
            </w:r>
          </w:p>
        </w:tc>
        <w:tc>
          <w:tcPr>
            <w:tcW w:w="923" w:type="dxa"/>
            <w:tcBorders>
              <w:top w:val="nil"/>
              <w:left w:val="nil"/>
              <w:bottom w:val="single" w:sz="4" w:space="0" w:color="auto"/>
              <w:right w:val="single" w:sz="4" w:space="0" w:color="auto"/>
            </w:tcBorders>
            <w:shd w:val="clear" w:color="auto" w:fill="auto"/>
            <w:vAlign w:val="center"/>
            <w:hideMark/>
          </w:tcPr>
          <w:p w:rsidR="00504E25" w:rsidRPr="00CC64CD" w:rsidP="00E820E7" w14:paraId="523837F7" w14:textId="77777777">
            <w:pPr>
              <w:jc w:val="center"/>
              <w:rPr>
                <w:color w:val="000000"/>
                <w:sz w:val="24"/>
              </w:rPr>
            </w:pPr>
            <w:r w:rsidRPr="00CC64CD">
              <w:rPr>
                <w:color w:val="000000"/>
                <w:sz w:val="24"/>
              </w:rPr>
              <w:t>1</w:t>
            </w:r>
          </w:p>
        </w:tc>
        <w:tc>
          <w:tcPr>
            <w:tcW w:w="1057" w:type="dxa"/>
            <w:gridSpan w:val="2"/>
            <w:tcBorders>
              <w:top w:val="nil"/>
              <w:left w:val="nil"/>
              <w:bottom w:val="single" w:sz="4" w:space="0" w:color="auto"/>
              <w:right w:val="single" w:sz="4" w:space="0" w:color="auto"/>
            </w:tcBorders>
            <w:shd w:val="clear" w:color="auto" w:fill="auto"/>
            <w:noWrap/>
            <w:vAlign w:val="center"/>
            <w:hideMark/>
          </w:tcPr>
          <w:p w:rsidR="00504E25" w:rsidRPr="00CC64CD" w:rsidP="00E820E7" w14:paraId="51C7EC80" w14:textId="77777777">
            <w:pPr>
              <w:jc w:val="center"/>
              <w:rPr>
                <w:color w:val="000000"/>
                <w:sz w:val="24"/>
              </w:rPr>
            </w:pPr>
            <w:r w:rsidRPr="00E05964">
              <w:rPr>
                <w:sz w:val="24"/>
              </w:rPr>
              <w:t>5,523</w:t>
            </w:r>
          </w:p>
        </w:tc>
        <w:tc>
          <w:tcPr>
            <w:tcW w:w="1300" w:type="dxa"/>
            <w:gridSpan w:val="2"/>
            <w:tcBorders>
              <w:top w:val="nil"/>
              <w:left w:val="nil"/>
              <w:bottom w:val="single" w:sz="4" w:space="0" w:color="auto"/>
              <w:right w:val="single" w:sz="8" w:space="0" w:color="auto"/>
            </w:tcBorders>
            <w:shd w:val="clear" w:color="auto" w:fill="auto"/>
            <w:noWrap/>
            <w:vAlign w:val="center"/>
            <w:hideMark/>
          </w:tcPr>
          <w:p w:rsidR="00504E25" w:rsidRPr="00CC64CD" w:rsidP="00E820E7" w14:paraId="7DC8C84F" w14:textId="77777777">
            <w:pPr>
              <w:jc w:val="center"/>
              <w:rPr>
                <w:color w:val="000000"/>
                <w:sz w:val="24"/>
              </w:rPr>
            </w:pPr>
            <w:r w:rsidRPr="00E05964">
              <w:rPr>
                <w:sz w:val="24"/>
              </w:rPr>
              <w:t xml:space="preserve">$502,593 </w:t>
            </w:r>
          </w:p>
        </w:tc>
      </w:tr>
      <w:tr w14:paraId="4086FABB" w14:textId="77777777" w:rsidTr="000D51F1">
        <w:tblPrEx>
          <w:tblW w:w="10043" w:type="dxa"/>
          <w:tblInd w:w="118" w:type="dxa"/>
          <w:tblLook w:val="04A0"/>
        </w:tblPrEx>
        <w:trPr>
          <w:gridAfter w:val="1"/>
          <w:wAfter w:w="7" w:type="dxa"/>
          <w:trHeight w:val="317"/>
        </w:trPr>
        <w:tc>
          <w:tcPr>
            <w:tcW w:w="4670" w:type="dxa"/>
            <w:tcBorders>
              <w:top w:val="single" w:sz="4" w:space="0" w:color="auto"/>
              <w:left w:val="single" w:sz="8" w:space="0" w:color="auto"/>
              <w:bottom w:val="single" w:sz="4" w:space="0" w:color="auto"/>
              <w:right w:val="single" w:sz="4" w:space="0" w:color="auto"/>
            </w:tcBorders>
            <w:shd w:val="clear" w:color="auto" w:fill="auto"/>
            <w:noWrap/>
            <w:hideMark/>
          </w:tcPr>
          <w:p w:rsidR="00504E25" w:rsidRPr="00CC64CD" w:rsidP="00E820E7" w14:paraId="55E7DC76" w14:textId="47BF748F">
            <w:pPr>
              <w:rPr>
                <w:color w:val="000000"/>
                <w:sz w:val="24"/>
              </w:rPr>
            </w:pPr>
            <w:r w:rsidRPr="00CC64CD">
              <w:rPr>
                <w:b/>
                <w:bCs/>
                <w:color w:val="000000"/>
                <w:sz w:val="24"/>
              </w:rPr>
              <w:t>IC</w:t>
            </w:r>
            <w:r w:rsidR="00A63BE6">
              <w:rPr>
                <w:b/>
                <w:bCs/>
                <w:color w:val="000000"/>
                <w:sz w:val="24"/>
              </w:rPr>
              <w:t>-</w:t>
            </w:r>
            <w:r w:rsidRPr="00CC64CD">
              <w:rPr>
                <w:b/>
                <w:bCs/>
                <w:color w:val="000000"/>
                <w:sz w:val="24"/>
              </w:rPr>
              <w:t>3</w:t>
            </w:r>
            <w:r w:rsidRPr="00CC64CD">
              <w:rPr>
                <w:color w:val="000000"/>
                <w:sz w:val="24"/>
              </w:rPr>
              <w:t>: 483.460(a)(4)(ii), (iii), and (iv)  - One time development of educational materials</w:t>
            </w:r>
          </w:p>
        </w:tc>
        <w:tc>
          <w:tcPr>
            <w:tcW w:w="1136" w:type="dxa"/>
            <w:tcBorders>
              <w:top w:val="nil"/>
              <w:left w:val="nil"/>
              <w:bottom w:val="single" w:sz="4" w:space="0" w:color="auto"/>
              <w:right w:val="single" w:sz="4" w:space="0" w:color="auto"/>
            </w:tcBorders>
            <w:shd w:val="clear" w:color="auto" w:fill="auto"/>
            <w:noWrap/>
            <w:vAlign w:val="center"/>
            <w:hideMark/>
          </w:tcPr>
          <w:p w:rsidR="00504E25" w:rsidRPr="00CC64CD" w:rsidP="00E820E7" w14:paraId="3B0183EB" w14:textId="77777777">
            <w:pPr>
              <w:jc w:val="center"/>
              <w:rPr>
                <w:color w:val="000000"/>
                <w:sz w:val="24"/>
              </w:rPr>
            </w:pPr>
          </w:p>
        </w:tc>
        <w:tc>
          <w:tcPr>
            <w:tcW w:w="950" w:type="dxa"/>
            <w:tcBorders>
              <w:top w:val="nil"/>
              <w:left w:val="nil"/>
              <w:bottom w:val="single" w:sz="4" w:space="0" w:color="auto"/>
              <w:right w:val="single" w:sz="4" w:space="0" w:color="auto"/>
            </w:tcBorders>
            <w:shd w:val="clear" w:color="auto" w:fill="auto"/>
            <w:vAlign w:val="center"/>
            <w:hideMark/>
          </w:tcPr>
          <w:p w:rsidR="00504E25" w:rsidRPr="00CC64CD" w:rsidP="00E820E7" w14:paraId="442E9B2C" w14:textId="77777777">
            <w:pPr>
              <w:jc w:val="center"/>
              <w:rPr>
                <w:color w:val="000000"/>
                <w:sz w:val="24"/>
              </w:rPr>
            </w:pPr>
            <w:r w:rsidRPr="00CC64CD">
              <w:rPr>
                <w:color w:val="000000"/>
                <w:sz w:val="24"/>
              </w:rPr>
              <w:t> </w:t>
            </w:r>
          </w:p>
        </w:tc>
        <w:tc>
          <w:tcPr>
            <w:tcW w:w="923" w:type="dxa"/>
            <w:tcBorders>
              <w:top w:val="nil"/>
              <w:left w:val="nil"/>
              <w:bottom w:val="single" w:sz="4" w:space="0" w:color="auto"/>
              <w:right w:val="single" w:sz="4" w:space="0" w:color="auto"/>
            </w:tcBorders>
            <w:shd w:val="clear" w:color="auto" w:fill="auto"/>
            <w:vAlign w:val="center"/>
            <w:hideMark/>
          </w:tcPr>
          <w:p w:rsidR="00504E25" w:rsidRPr="00CC64CD" w:rsidP="00E820E7" w14:paraId="4B03C7CB" w14:textId="77777777">
            <w:pPr>
              <w:jc w:val="center"/>
              <w:rPr>
                <w:color w:val="000000"/>
                <w:sz w:val="24"/>
              </w:rPr>
            </w:pPr>
            <w:r w:rsidRPr="00CC64CD">
              <w:rPr>
                <w:color w:val="000000"/>
                <w:sz w:val="24"/>
              </w:rPr>
              <w:t> </w:t>
            </w:r>
          </w:p>
        </w:tc>
        <w:tc>
          <w:tcPr>
            <w:tcW w:w="1057" w:type="dxa"/>
            <w:gridSpan w:val="2"/>
            <w:tcBorders>
              <w:top w:val="nil"/>
              <w:left w:val="nil"/>
              <w:bottom w:val="single" w:sz="4" w:space="0" w:color="auto"/>
              <w:right w:val="single" w:sz="4" w:space="0" w:color="auto"/>
            </w:tcBorders>
            <w:shd w:val="clear" w:color="auto" w:fill="auto"/>
            <w:noWrap/>
            <w:vAlign w:val="center"/>
            <w:hideMark/>
          </w:tcPr>
          <w:p w:rsidR="00504E25" w:rsidRPr="00CC64CD" w:rsidP="00E820E7" w14:paraId="6B14844B" w14:textId="77777777">
            <w:pPr>
              <w:jc w:val="center"/>
              <w:rPr>
                <w:color w:val="000000"/>
                <w:sz w:val="24"/>
              </w:rPr>
            </w:pPr>
          </w:p>
        </w:tc>
        <w:tc>
          <w:tcPr>
            <w:tcW w:w="1300" w:type="dxa"/>
            <w:gridSpan w:val="2"/>
            <w:tcBorders>
              <w:top w:val="nil"/>
              <w:left w:val="nil"/>
              <w:bottom w:val="single" w:sz="4" w:space="0" w:color="auto"/>
              <w:right w:val="single" w:sz="8" w:space="0" w:color="auto"/>
            </w:tcBorders>
            <w:shd w:val="clear" w:color="auto" w:fill="auto"/>
            <w:noWrap/>
            <w:vAlign w:val="center"/>
            <w:hideMark/>
          </w:tcPr>
          <w:p w:rsidR="00504E25" w:rsidRPr="00CC64CD" w:rsidP="00E820E7" w14:paraId="0D243160" w14:textId="77777777">
            <w:pPr>
              <w:jc w:val="center"/>
              <w:rPr>
                <w:color w:val="000000"/>
                <w:sz w:val="24"/>
              </w:rPr>
            </w:pPr>
          </w:p>
        </w:tc>
      </w:tr>
      <w:tr w14:paraId="574459CC" w14:textId="77777777" w:rsidTr="000D51F1">
        <w:tblPrEx>
          <w:tblW w:w="10043" w:type="dxa"/>
          <w:tblInd w:w="118" w:type="dxa"/>
          <w:tblLook w:val="04A0"/>
        </w:tblPrEx>
        <w:trPr>
          <w:gridAfter w:val="1"/>
          <w:wAfter w:w="7" w:type="dxa"/>
          <w:trHeight w:val="317"/>
        </w:trPr>
        <w:tc>
          <w:tcPr>
            <w:tcW w:w="46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04E25" w:rsidRPr="00CC64CD" w:rsidP="00E820E7" w14:paraId="154D9D05" w14:textId="77777777">
            <w:pPr>
              <w:jc w:val="right"/>
              <w:rPr>
                <w:color w:val="000000"/>
                <w:sz w:val="24"/>
              </w:rPr>
            </w:pPr>
            <w:r w:rsidRPr="00CC64CD">
              <w:rPr>
                <w:color w:val="000000"/>
                <w:sz w:val="24"/>
              </w:rPr>
              <w:t>Existing Facilities</w:t>
            </w:r>
          </w:p>
        </w:tc>
        <w:tc>
          <w:tcPr>
            <w:tcW w:w="1136" w:type="dxa"/>
            <w:tcBorders>
              <w:top w:val="nil"/>
              <w:left w:val="nil"/>
              <w:bottom w:val="single" w:sz="4" w:space="0" w:color="auto"/>
              <w:right w:val="single" w:sz="4" w:space="0" w:color="auto"/>
            </w:tcBorders>
            <w:shd w:val="clear" w:color="auto" w:fill="auto"/>
            <w:noWrap/>
            <w:vAlign w:val="center"/>
            <w:hideMark/>
          </w:tcPr>
          <w:p w:rsidR="00504E25" w:rsidRPr="00CC64CD" w:rsidP="00E820E7" w14:paraId="5D8D8E6C" w14:textId="77777777">
            <w:pPr>
              <w:jc w:val="center"/>
              <w:rPr>
                <w:color w:val="000000"/>
                <w:sz w:val="24"/>
              </w:rPr>
            </w:pPr>
            <w:r w:rsidRPr="00E05964">
              <w:rPr>
                <w:sz w:val="24"/>
              </w:rPr>
              <w:t>5,523</w:t>
            </w:r>
          </w:p>
        </w:tc>
        <w:tc>
          <w:tcPr>
            <w:tcW w:w="950" w:type="dxa"/>
            <w:tcBorders>
              <w:top w:val="nil"/>
              <w:left w:val="nil"/>
              <w:bottom w:val="single" w:sz="4" w:space="0" w:color="auto"/>
              <w:right w:val="single" w:sz="4" w:space="0" w:color="auto"/>
            </w:tcBorders>
            <w:shd w:val="clear" w:color="auto" w:fill="auto"/>
            <w:vAlign w:val="center"/>
            <w:hideMark/>
          </w:tcPr>
          <w:p w:rsidR="00504E25" w:rsidRPr="00CC64CD" w:rsidP="00E820E7" w14:paraId="1A9DBBA0" w14:textId="77777777">
            <w:pPr>
              <w:jc w:val="center"/>
              <w:rPr>
                <w:color w:val="000000"/>
                <w:sz w:val="24"/>
              </w:rPr>
            </w:pPr>
            <w:r w:rsidRPr="00CC64CD">
              <w:rPr>
                <w:color w:val="000000"/>
                <w:sz w:val="24"/>
              </w:rPr>
              <w:t>$91</w:t>
            </w:r>
          </w:p>
        </w:tc>
        <w:tc>
          <w:tcPr>
            <w:tcW w:w="923" w:type="dxa"/>
            <w:tcBorders>
              <w:top w:val="nil"/>
              <w:left w:val="nil"/>
              <w:bottom w:val="single" w:sz="4" w:space="0" w:color="auto"/>
              <w:right w:val="single" w:sz="4" w:space="0" w:color="auto"/>
            </w:tcBorders>
            <w:shd w:val="clear" w:color="auto" w:fill="auto"/>
            <w:vAlign w:val="center"/>
            <w:hideMark/>
          </w:tcPr>
          <w:p w:rsidR="00504E25" w:rsidRPr="00CC64CD" w:rsidP="00E820E7" w14:paraId="30339C4D" w14:textId="77777777">
            <w:pPr>
              <w:jc w:val="center"/>
              <w:rPr>
                <w:color w:val="000000"/>
                <w:sz w:val="24"/>
              </w:rPr>
            </w:pPr>
            <w:r w:rsidRPr="00CC64CD">
              <w:rPr>
                <w:color w:val="000000"/>
                <w:sz w:val="24"/>
              </w:rPr>
              <w:t>4</w:t>
            </w:r>
          </w:p>
        </w:tc>
        <w:tc>
          <w:tcPr>
            <w:tcW w:w="1057" w:type="dxa"/>
            <w:gridSpan w:val="2"/>
            <w:tcBorders>
              <w:top w:val="nil"/>
              <w:left w:val="nil"/>
              <w:bottom w:val="single" w:sz="4" w:space="0" w:color="auto"/>
              <w:right w:val="single" w:sz="4" w:space="0" w:color="auto"/>
            </w:tcBorders>
            <w:shd w:val="clear" w:color="auto" w:fill="auto"/>
            <w:noWrap/>
            <w:vAlign w:val="center"/>
            <w:hideMark/>
          </w:tcPr>
          <w:p w:rsidR="00504E25" w:rsidRPr="00CC64CD" w:rsidP="00E820E7" w14:paraId="47001222" w14:textId="77777777">
            <w:pPr>
              <w:jc w:val="center"/>
              <w:rPr>
                <w:color w:val="000000"/>
                <w:sz w:val="24"/>
              </w:rPr>
            </w:pPr>
            <w:r w:rsidRPr="00E05964">
              <w:rPr>
                <w:sz w:val="24"/>
              </w:rPr>
              <w:t>22,092</w:t>
            </w:r>
          </w:p>
        </w:tc>
        <w:tc>
          <w:tcPr>
            <w:tcW w:w="1300" w:type="dxa"/>
            <w:gridSpan w:val="2"/>
            <w:tcBorders>
              <w:top w:val="nil"/>
              <w:left w:val="nil"/>
              <w:bottom w:val="single" w:sz="4" w:space="0" w:color="auto"/>
              <w:right w:val="single" w:sz="8" w:space="0" w:color="auto"/>
            </w:tcBorders>
            <w:shd w:val="clear" w:color="auto" w:fill="auto"/>
            <w:noWrap/>
            <w:vAlign w:val="center"/>
            <w:hideMark/>
          </w:tcPr>
          <w:p w:rsidR="00504E25" w:rsidRPr="00CC64CD" w:rsidP="00E820E7" w14:paraId="68C48C39" w14:textId="77777777">
            <w:pPr>
              <w:jc w:val="center"/>
              <w:rPr>
                <w:color w:val="000000"/>
                <w:sz w:val="24"/>
              </w:rPr>
            </w:pPr>
            <w:r w:rsidRPr="00E05964">
              <w:rPr>
                <w:sz w:val="24"/>
              </w:rPr>
              <w:t xml:space="preserve">$2,010,372 </w:t>
            </w:r>
          </w:p>
        </w:tc>
      </w:tr>
      <w:tr w14:paraId="7DE5D27E" w14:textId="77777777" w:rsidTr="000D51F1">
        <w:tblPrEx>
          <w:tblW w:w="10043" w:type="dxa"/>
          <w:tblInd w:w="118" w:type="dxa"/>
          <w:tblLook w:val="04A0"/>
        </w:tblPrEx>
        <w:trPr>
          <w:gridAfter w:val="1"/>
          <w:wAfter w:w="7" w:type="dxa"/>
          <w:trHeight w:val="317"/>
        </w:trPr>
        <w:tc>
          <w:tcPr>
            <w:tcW w:w="46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04E25" w:rsidRPr="00CC64CD" w:rsidP="00E820E7" w14:paraId="7435C0F2" w14:textId="77777777">
            <w:pPr>
              <w:jc w:val="right"/>
              <w:rPr>
                <w:color w:val="000000"/>
                <w:sz w:val="24"/>
              </w:rPr>
            </w:pPr>
            <w:r w:rsidRPr="00CC64CD">
              <w:rPr>
                <w:color w:val="000000"/>
                <w:sz w:val="24"/>
              </w:rPr>
              <w:t>Newly Certified Facilities</w:t>
            </w:r>
          </w:p>
        </w:tc>
        <w:tc>
          <w:tcPr>
            <w:tcW w:w="1136" w:type="dxa"/>
            <w:tcBorders>
              <w:top w:val="nil"/>
              <w:left w:val="nil"/>
              <w:bottom w:val="single" w:sz="4" w:space="0" w:color="auto"/>
              <w:right w:val="single" w:sz="4" w:space="0" w:color="auto"/>
            </w:tcBorders>
            <w:shd w:val="clear" w:color="auto" w:fill="auto"/>
            <w:noWrap/>
            <w:vAlign w:val="center"/>
            <w:hideMark/>
          </w:tcPr>
          <w:p w:rsidR="00504E25" w:rsidRPr="00CC64CD" w:rsidP="00E820E7" w14:paraId="4D37FBF3" w14:textId="77777777">
            <w:pPr>
              <w:jc w:val="center"/>
              <w:rPr>
                <w:color w:val="000000"/>
                <w:sz w:val="24"/>
              </w:rPr>
            </w:pPr>
            <w:r w:rsidRPr="00E05964">
              <w:rPr>
                <w:sz w:val="24"/>
              </w:rPr>
              <w:t>24</w:t>
            </w:r>
          </w:p>
        </w:tc>
        <w:tc>
          <w:tcPr>
            <w:tcW w:w="950" w:type="dxa"/>
            <w:tcBorders>
              <w:top w:val="nil"/>
              <w:left w:val="nil"/>
              <w:bottom w:val="single" w:sz="4" w:space="0" w:color="auto"/>
              <w:right w:val="single" w:sz="4" w:space="0" w:color="auto"/>
            </w:tcBorders>
            <w:shd w:val="clear" w:color="auto" w:fill="auto"/>
            <w:vAlign w:val="center"/>
            <w:hideMark/>
          </w:tcPr>
          <w:p w:rsidR="00504E25" w:rsidRPr="00CC64CD" w:rsidP="00E820E7" w14:paraId="77C972D0" w14:textId="77777777">
            <w:pPr>
              <w:jc w:val="center"/>
              <w:rPr>
                <w:color w:val="000000"/>
                <w:sz w:val="24"/>
              </w:rPr>
            </w:pPr>
            <w:r w:rsidRPr="00CC64CD">
              <w:rPr>
                <w:color w:val="000000"/>
                <w:sz w:val="24"/>
              </w:rPr>
              <w:t>$91</w:t>
            </w:r>
          </w:p>
        </w:tc>
        <w:tc>
          <w:tcPr>
            <w:tcW w:w="923" w:type="dxa"/>
            <w:tcBorders>
              <w:top w:val="nil"/>
              <w:left w:val="nil"/>
              <w:bottom w:val="single" w:sz="4" w:space="0" w:color="auto"/>
              <w:right w:val="single" w:sz="4" w:space="0" w:color="auto"/>
            </w:tcBorders>
            <w:shd w:val="clear" w:color="auto" w:fill="auto"/>
            <w:vAlign w:val="center"/>
            <w:hideMark/>
          </w:tcPr>
          <w:p w:rsidR="00504E25" w:rsidRPr="00CC64CD" w:rsidP="00E820E7" w14:paraId="06469817" w14:textId="77777777">
            <w:pPr>
              <w:jc w:val="center"/>
              <w:rPr>
                <w:color w:val="000000"/>
                <w:sz w:val="24"/>
              </w:rPr>
            </w:pPr>
            <w:r w:rsidRPr="00CC64CD">
              <w:rPr>
                <w:color w:val="000000"/>
                <w:sz w:val="24"/>
              </w:rPr>
              <w:t>4</w:t>
            </w:r>
          </w:p>
        </w:tc>
        <w:tc>
          <w:tcPr>
            <w:tcW w:w="1057" w:type="dxa"/>
            <w:gridSpan w:val="2"/>
            <w:tcBorders>
              <w:top w:val="nil"/>
              <w:left w:val="nil"/>
              <w:bottom w:val="single" w:sz="4" w:space="0" w:color="auto"/>
              <w:right w:val="single" w:sz="4" w:space="0" w:color="auto"/>
            </w:tcBorders>
            <w:shd w:val="clear" w:color="auto" w:fill="auto"/>
            <w:noWrap/>
            <w:vAlign w:val="center"/>
            <w:hideMark/>
          </w:tcPr>
          <w:p w:rsidR="00504E25" w:rsidRPr="00CC64CD" w:rsidP="00E820E7" w14:paraId="5D456E04" w14:textId="77777777">
            <w:pPr>
              <w:jc w:val="center"/>
              <w:rPr>
                <w:color w:val="000000"/>
                <w:sz w:val="24"/>
              </w:rPr>
            </w:pPr>
            <w:r w:rsidRPr="00E05964">
              <w:rPr>
                <w:sz w:val="24"/>
              </w:rPr>
              <w:t>96</w:t>
            </w:r>
          </w:p>
        </w:tc>
        <w:tc>
          <w:tcPr>
            <w:tcW w:w="1300" w:type="dxa"/>
            <w:gridSpan w:val="2"/>
            <w:tcBorders>
              <w:top w:val="nil"/>
              <w:left w:val="nil"/>
              <w:bottom w:val="single" w:sz="4" w:space="0" w:color="auto"/>
              <w:right w:val="single" w:sz="8" w:space="0" w:color="auto"/>
            </w:tcBorders>
            <w:shd w:val="clear" w:color="auto" w:fill="auto"/>
            <w:noWrap/>
            <w:vAlign w:val="center"/>
            <w:hideMark/>
          </w:tcPr>
          <w:p w:rsidR="00504E25" w:rsidRPr="00CC64CD" w:rsidP="00E820E7" w14:paraId="4B9A6A1E" w14:textId="77777777">
            <w:pPr>
              <w:jc w:val="center"/>
              <w:rPr>
                <w:color w:val="000000"/>
                <w:sz w:val="24"/>
              </w:rPr>
            </w:pPr>
            <w:r w:rsidRPr="00E05964">
              <w:rPr>
                <w:sz w:val="24"/>
              </w:rPr>
              <w:t xml:space="preserve">$8,736 </w:t>
            </w:r>
          </w:p>
        </w:tc>
      </w:tr>
      <w:tr w14:paraId="05B2DB9D" w14:textId="77777777" w:rsidTr="000D51F1">
        <w:tblPrEx>
          <w:tblW w:w="10043" w:type="dxa"/>
          <w:tblInd w:w="118" w:type="dxa"/>
          <w:tblLook w:val="04A0"/>
        </w:tblPrEx>
        <w:trPr>
          <w:gridAfter w:val="1"/>
          <w:wAfter w:w="7" w:type="dxa"/>
          <w:trHeight w:val="317"/>
        </w:trPr>
        <w:tc>
          <w:tcPr>
            <w:tcW w:w="4670" w:type="dxa"/>
            <w:tcBorders>
              <w:top w:val="single" w:sz="4" w:space="0" w:color="auto"/>
              <w:left w:val="single" w:sz="8" w:space="0" w:color="auto"/>
              <w:bottom w:val="nil"/>
              <w:right w:val="single" w:sz="4" w:space="0" w:color="auto"/>
            </w:tcBorders>
            <w:shd w:val="clear" w:color="auto" w:fill="auto"/>
            <w:noWrap/>
            <w:hideMark/>
          </w:tcPr>
          <w:p w:rsidR="00504E25" w:rsidRPr="00CC64CD" w:rsidP="00E820E7" w14:paraId="74C9248E" w14:textId="54CD15F1">
            <w:pPr>
              <w:rPr>
                <w:color w:val="000000"/>
                <w:sz w:val="24"/>
              </w:rPr>
            </w:pPr>
            <w:r w:rsidRPr="00CC64CD">
              <w:rPr>
                <w:b/>
                <w:bCs/>
                <w:color w:val="000000"/>
                <w:sz w:val="24"/>
              </w:rPr>
              <w:t>IC</w:t>
            </w:r>
            <w:r w:rsidR="00A63BE6">
              <w:rPr>
                <w:b/>
                <w:bCs/>
                <w:color w:val="000000"/>
                <w:sz w:val="24"/>
              </w:rPr>
              <w:t>-</w:t>
            </w:r>
            <w:r w:rsidRPr="00CC64CD">
              <w:rPr>
                <w:b/>
                <w:bCs/>
                <w:color w:val="000000"/>
                <w:sz w:val="24"/>
              </w:rPr>
              <w:t>4</w:t>
            </w:r>
            <w:r w:rsidRPr="00CC64CD">
              <w:rPr>
                <w:color w:val="000000"/>
                <w:sz w:val="24"/>
              </w:rPr>
              <w:t>: 483.460(a)(4)(ii), (iii), and (iv) - Annual update of educational materials</w:t>
            </w:r>
          </w:p>
        </w:tc>
        <w:tc>
          <w:tcPr>
            <w:tcW w:w="1136" w:type="dxa"/>
            <w:tcBorders>
              <w:top w:val="nil"/>
              <w:left w:val="nil"/>
              <w:bottom w:val="nil"/>
              <w:right w:val="single" w:sz="4" w:space="0" w:color="auto"/>
            </w:tcBorders>
            <w:shd w:val="clear" w:color="auto" w:fill="auto"/>
            <w:noWrap/>
            <w:vAlign w:val="center"/>
            <w:hideMark/>
          </w:tcPr>
          <w:p w:rsidR="00504E25" w:rsidRPr="00CC64CD" w:rsidP="00E820E7" w14:paraId="638C544B" w14:textId="77777777">
            <w:pPr>
              <w:jc w:val="center"/>
              <w:rPr>
                <w:color w:val="000000"/>
                <w:sz w:val="24"/>
              </w:rPr>
            </w:pPr>
            <w:r w:rsidRPr="00E05964">
              <w:rPr>
                <w:sz w:val="24"/>
              </w:rPr>
              <w:t>5,523</w:t>
            </w:r>
          </w:p>
        </w:tc>
        <w:tc>
          <w:tcPr>
            <w:tcW w:w="950" w:type="dxa"/>
            <w:tcBorders>
              <w:top w:val="nil"/>
              <w:left w:val="nil"/>
              <w:bottom w:val="nil"/>
              <w:right w:val="single" w:sz="4" w:space="0" w:color="auto"/>
            </w:tcBorders>
            <w:shd w:val="clear" w:color="auto" w:fill="auto"/>
            <w:vAlign w:val="center"/>
            <w:hideMark/>
          </w:tcPr>
          <w:p w:rsidR="00504E25" w:rsidRPr="00CC64CD" w:rsidP="00E820E7" w14:paraId="198AB311" w14:textId="77777777">
            <w:pPr>
              <w:jc w:val="center"/>
              <w:rPr>
                <w:color w:val="000000"/>
                <w:sz w:val="24"/>
              </w:rPr>
            </w:pPr>
            <w:r w:rsidRPr="00CC64CD">
              <w:rPr>
                <w:color w:val="000000"/>
                <w:sz w:val="24"/>
              </w:rPr>
              <w:t>$91</w:t>
            </w:r>
          </w:p>
        </w:tc>
        <w:tc>
          <w:tcPr>
            <w:tcW w:w="923" w:type="dxa"/>
            <w:tcBorders>
              <w:top w:val="nil"/>
              <w:left w:val="nil"/>
              <w:bottom w:val="nil"/>
              <w:right w:val="single" w:sz="4" w:space="0" w:color="auto"/>
            </w:tcBorders>
            <w:shd w:val="clear" w:color="auto" w:fill="auto"/>
            <w:vAlign w:val="center"/>
            <w:hideMark/>
          </w:tcPr>
          <w:p w:rsidR="00504E25" w:rsidRPr="00CC64CD" w:rsidP="00E820E7" w14:paraId="79044347" w14:textId="77777777">
            <w:pPr>
              <w:jc w:val="center"/>
              <w:rPr>
                <w:color w:val="000000"/>
                <w:sz w:val="24"/>
              </w:rPr>
            </w:pPr>
            <w:r w:rsidRPr="00CC64CD">
              <w:rPr>
                <w:color w:val="000000"/>
                <w:sz w:val="24"/>
              </w:rPr>
              <w:t>1</w:t>
            </w:r>
          </w:p>
        </w:tc>
        <w:tc>
          <w:tcPr>
            <w:tcW w:w="1057" w:type="dxa"/>
            <w:gridSpan w:val="2"/>
            <w:tcBorders>
              <w:top w:val="nil"/>
              <w:left w:val="nil"/>
              <w:bottom w:val="single" w:sz="4" w:space="0" w:color="auto"/>
              <w:right w:val="single" w:sz="4" w:space="0" w:color="auto"/>
            </w:tcBorders>
            <w:shd w:val="clear" w:color="auto" w:fill="auto"/>
            <w:noWrap/>
            <w:vAlign w:val="center"/>
            <w:hideMark/>
          </w:tcPr>
          <w:p w:rsidR="00504E25" w:rsidRPr="00CC64CD" w:rsidP="00E820E7" w14:paraId="3395EC29" w14:textId="77777777">
            <w:pPr>
              <w:jc w:val="center"/>
              <w:rPr>
                <w:color w:val="000000"/>
                <w:sz w:val="24"/>
              </w:rPr>
            </w:pPr>
            <w:r w:rsidRPr="00E05964">
              <w:rPr>
                <w:sz w:val="24"/>
              </w:rPr>
              <w:t>5,523</w:t>
            </w:r>
          </w:p>
        </w:tc>
        <w:tc>
          <w:tcPr>
            <w:tcW w:w="1300" w:type="dxa"/>
            <w:gridSpan w:val="2"/>
            <w:tcBorders>
              <w:top w:val="nil"/>
              <w:left w:val="nil"/>
              <w:bottom w:val="single" w:sz="4" w:space="0" w:color="auto"/>
              <w:right w:val="single" w:sz="8" w:space="0" w:color="auto"/>
            </w:tcBorders>
            <w:shd w:val="clear" w:color="auto" w:fill="auto"/>
            <w:noWrap/>
            <w:vAlign w:val="center"/>
            <w:hideMark/>
          </w:tcPr>
          <w:p w:rsidR="00504E25" w:rsidRPr="00CC64CD" w:rsidP="00E820E7" w14:paraId="1991B3FE" w14:textId="77777777">
            <w:pPr>
              <w:jc w:val="center"/>
              <w:rPr>
                <w:color w:val="000000"/>
                <w:sz w:val="24"/>
              </w:rPr>
            </w:pPr>
            <w:r w:rsidRPr="00E05964">
              <w:rPr>
                <w:sz w:val="24"/>
              </w:rPr>
              <w:t xml:space="preserve">$502,593 </w:t>
            </w:r>
          </w:p>
        </w:tc>
      </w:tr>
      <w:tr w14:paraId="423C5F79" w14:textId="77777777" w:rsidTr="00E7002C">
        <w:tblPrEx>
          <w:tblW w:w="10043" w:type="dxa"/>
          <w:tblInd w:w="118" w:type="dxa"/>
          <w:tblLook w:val="04A0"/>
        </w:tblPrEx>
        <w:trPr>
          <w:trHeight w:val="317"/>
        </w:trPr>
        <w:tc>
          <w:tcPr>
            <w:tcW w:w="768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04E25" w:rsidRPr="00CC64CD" w:rsidP="00E7002C" w14:paraId="399FBC53" w14:textId="1ED17024">
            <w:pPr>
              <w:jc w:val="right"/>
              <w:rPr>
                <w:b/>
                <w:bCs/>
                <w:color w:val="000000"/>
                <w:sz w:val="24"/>
              </w:rPr>
            </w:pPr>
            <w:r>
              <w:rPr>
                <w:b/>
                <w:bCs/>
                <w:color w:val="000000"/>
                <w:sz w:val="24"/>
              </w:rPr>
              <w:t xml:space="preserve"> Costs to Perform Survey over 3 years</w:t>
            </w:r>
          </w:p>
        </w:tc>
        <w:tc>
          <w:tcPr>
            <w:tcW w:w="1057" w:type="dxa"/>
            <w:gridSpan w:val="2"/>
            <w:tcBorders>
              <w:top w:val="single" w:sz="8" w:space="0" w:color="auto"/>
              <w:left w:val="nil"/>
              <w:bottom w:val="single" w:sz="8" w:space="0" w:color="auto"/>
              <w:right w:val="single" w:sz="4" w:space="0" w:color="auto"/>
            </w:tcBorders>
            <w:shd w:val="clear" w:color="auto" w:fill="auto"/>
            <w:noWrap/>
            <w:vAlign w:val="center"/>
            <w:hideMark/>
          </w:tcPr>
          <w:p w:rsidR="00504E25" w:rsidRPr="00CC64CD" w:rsidP="00E820E7" w14:paraId="40088F06" w14:textId="77777777">
            <w:pPr>
              <w:jc w:val="center"/>
              <w:rPr>
                <w:b/>
                <w:bCs/>
                <w:color w:val="000000"/>
                <w:sz w:val="24"/>
              </w:rPr>
            </w:pPr>
            <w:r w:rsidRPr="00CC64CD">
              <w:rPr>
                <w:b/>
                <w:bCs/>
                <w:color w:val="000000"/>
                <w:sz w:val="24"/>
              </w:rPr>
              <w:t>55,4</w:t>
            </w:r>
            <w:r>
              <w:rPr>
                <w:b/>
                <w:bCs/>
                <w:color w:val="000000"/>
                <w:sz w:val="24"/>
              </w:rPr>
              <w:t>2</w:t>
            </w:r>
            <w:r w:rsidRPr="00CC64CD">
              <w:rPr>
                <w:b/>
                <w:bCs/>
                <w:color w:val="000000"/>
                <w:sz w:val="24"/>
              </w:rPr>
              <w:t>2</w:t>
            </w:r>
          </w:p>
        </w:tc>
        <w:tc>
          <w:tcPr>
            <w:tcW w:w="1300" w:type="dxa"/>
            <w:gridSpan w:val="2"/>
            <w:tcBorders>
              <w:top w:val="single" w:sz="8" w:space="0" w:color="auto"/>
              <w:left w:val="nil"/>
              <w:bottom w:val="single" w:sz="8" w:space="0" w:color="auto"/>
              <w:right w:val="single" w:sz="8" w:space="0" w:color="auto"/>
            </w:tcBorders>
            <w:shd w:val="clear" w:color="auto" w:fill="auto"/>
            <w:noWrap/>
            <w:vAlign w:val="center"/>
            <w:hideMark/>
          </w:tcPr>
          <w:p w:rsidR="00504E25" w:rsidRPr="00CC64CD" w:rsidP="00E820E7" w14:paraId="2363AEFA" w14:textId="77777777">
            <w:pPr>
              <w:jc w:val="center"/>
              <w:rPr>
                <w:b/>
                <w:bCs/>
                <w:color w:val="000000"/>
                <w:sz w:val="24"/>
              </w:rPr>
            </w:pPr>
            <w:r w:rsidRPr="00CC64CD">
              <w:rPr>
                <w:b/>
                <w:bCs/>
                <w:color w:val="000000"/>
                <w:sz w:val="24"/>
              </w:rPr>
              <w:t>$5,04</w:t>
            </w:r>
            <w:r>
              <w:rPr>
                <w:b/>
                <w:bCs/>
                <w:color w:val="000000"/>
                <w:sz w:val="24"/>
              </w:rPr>
              <w:t>3</w:t>
            </w:r>
            <w:r w:rsidRPr="00CC64CD">
              <w:rPr>
                <w:b/>
                <w:bCs/>
                <w:color w:val="000000"/>
                <w:sz w:val="24"/>
              </w:rPr>
              <w:t>,</w:t>
            </w:r>
            <w:r>
              <w:rPr>
                <w:b/>
                <w:bCs/>
                <w:color w:val="000000"/>
                <w:sz w:val="24"/>
              </w:rPr>
              <w:t>40</w:t>
            </w:r>
            <w:r w:rsidRPr="00CC64CD">
              <w:rPr>
                <w:b/>
                <w:bCs/>
                <w:color w:val="000000"/>
                <w:sz w:val="24"/>
              </w:rPr>
              <w:t xml:space="preserve">2 </w:t>
            </w:r>
          </w:p>
        </w:tc>
      </w:tr>
      <w:tr w14:paraId="520B48C8" w14:textId="77777777" w:rsidTr="00E7002C">
        <w:tblPrEx>
          <w:tblW w:w="10043" w:type="dxa"/>
          <w:tblInd w:w="118" w:type="dxa"/>
          <w:tblLook w:val="04A0"/>
        </w:tblPrEx>
        <w:trPr>
          <w:trHeight w:val="317"/>
        </w:trPr>
        <w:tc>
          <w:tcPr>
            <w:tcW w:w="768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tcPr>
          <w:p w:rsidR="00E7002C" w:rsidRPr="00CC64CD" w:rsidP="00E7002C" w14:paraId="6140C8B9" w14:textId="7B1B1455">
            <w:pPr>
              <w:jc w:val="right"/>
              <w:rPr>
                <w:b/>
                <w:bCs/>
                <w:color w:val="000000"/>
                <w:sz w:val="24"/>
              </w:rPr>
            </w:pPr>
            <w:r>
              <w:rPr>
                <w:b/>
                <w:bCs/>
                <w:color w:val="000000"/>
                <w:sz w:val="24"/>
              </w:rPr>
              <w:t>Other Costs</w:t>
            </w:r>
          </w:p>
        </w:tc>
        <w:tc>
          <w:tcPr>
            <w:tcW w:w="1057" w:type="dxa"/>
            <w:gridSpan w:val="2"/>
            <w:tcBorders>
              <w:top w:val="single" w:sz="8" w:space="0" w:color="auto"/>
              <w:left w:val="nil"/>
              <w:bottom w:val="single" w:sz="8" w:space="0" w:color="auto"/>
              <w:right w:val="single" w:sz="4" w:space="0" w:color="auto"/>
            </w:tcBorders>
            <w:shd w:val="clear" w:color="auto" w:fill="auto"/>
            <w:noWrap/>
            <w:vAlign w:val="center"/>
          </w:tcPr>
          <w:p w:rsidR="00E7002C" w:rsidRPr="00CC64CD" w:rsidP="00E7002C" w14:paraId="0D613CC6" w14:textId="290D5557">
            <w:pPr>
              <w:jc w:val="center"/>
              <w:rPr>
                <w:b/>
                <w:bCs/>
                <w:color w:val="000000"/>
                <w:sz w:val="24"/>
              </w:rPr>
            </w:pPr>
            <w:r>
              <w:rPr>
                <w:b/>
                <w:bCs/>
                <w:color w:val="000000"/>
                <w:sz w:val="24"/>
              </w:rPr>
              <w:t xml:space="preserve">      30</w:t>
            </w:r>
          </w:p>
        </w:tc>
        <w:tc>
          <w:tcPr>
            <w:tcW w:w="1300" w:type="dxa"/>
            <w:gridSpan w:val="2"/>
            <w:tcBorders>
              <w:top w:val="single" w:sz="8" w:space="0" w:color="auto"/>
              <w:left w:val="nil"/>
              <w:bottom w:val="single" w:sz="8" w:space="0" w:color="auto"/>
              <w:right w:val="single" w:sz="8" w:space="0" w:color="auto"/>
            </w:tcBorders>
            <w:shd w:val="clear" w:color="auto" w:fill="auto"/>
            <w:noWrap/>
            <w:vAlign w:val="center"/>
          </w:tcPr>
          <w:p w:rsidR="00E7002C" w:rsidRPr="00CC64CD" w:rsidP="00E7002C" w14:paraId="66652A0E" w14:textId="71765772">
            <w:pPr>
              <w:jc w:val="center"/>
              <w:rPr>
                <w:b/>
                <w:bCs/>
                <w:color w:val="000000"/>
                <w:sz w:val="24"/>
              </w:rPr>
            </w:pPr>
            <w:r>
              <w:rPr>
                <w:b/>
                <w:bCs/>
                <w:color w:val="000000"/>
                <w:sz w:val="24"/>
              </w:rPr>
              <w:t xml:space="preserve">      $1,710</w:t>
            </w:r>
          </w:p>
        </w:tc>
      </w:tr>
      <w:tr w14:paraId="7E941435" w14:textId="77777777" w:rsidTr="007942E5">
        <w:tblPrEx>
          <w:tblW w:w="10043" w:type="dxa"/>
          <w:tblInd w:w="118" w:type="dxa"/>
          <w:tblLook w:val="04A0"/>
        </w:tblPrEx>
        <w:trPr>
          <w:trHeight w:val="317"/>
        </w:trPr>
        <w:tc>
          <w:tcPr>
            <w:tcW w:w="7686" w:type="dxa"/>
            <w:gridSpan w:val="5"/>
            <w:tcBorders>
              <w:top w:val="single" w:sz="8" w:space="0" w:color="auto"/>
              <w:left w:val="single" w:sz="8" w:space="0" w:color="auto"/>
              <w:bottom w:val="single" w:sz="8" w:space="0" w:color="auto"/>
              <w:right w:val="single" w:sz="8" w:space="0" w:color="000000"/>
            </w:tcBorders>
            <w:shd w:val="clear" w:color="auto" w:fill="AEAAAA" w:themeFill="background2" w:themeFillShade="BF"/>
            <w:noWrap/>
            <w:vAlign w:val="center"/>
          </w:tcPr>
          <w:p w:rsidR="00E7002C" w:rsidRPr="00CC64CD" w:rsidP="00E7002C" w14:paraId="539A3B84" w14:textId="335A87B4">
            <w:pPr>
              <w:jc w:val="right"/>
              <w:rPr>
                <w:b/>
                <w:bCs/>
                <w:color w:val="000000"/>
                <w:sz w:val="24"/>
              </w:rPr>
            </w:pPr>
            <w:r>
              <w:rPr>
                <w:b/>
                <w:bCs/>
                <w:color w:val="000000"/>
                <w:sz w:val="24"/>
              </w:rPr>
              <w:t>Total</w:t>
            </w:r>
            <w:r w:rsidR="007942E5">
              <w:rPr>
                <w:b/>
                <w:bCs/>
                <w:color w:val="000000"/>
                <w:sz w:val="24"/>
              </w:rPr>
              <w:t xml:space="preserve"> Cost to Federal Government</w:t>
            </w:r>
            <w:r>
              <w:rPr>
                <w:b/>
                <w:bCs/>
                <w:color w:val="000000"/>
                <w:sz w:val="24"/>
              </w:rPr>
              <w:t xml:space="preserve"> </w:t>
            </w:r>
          </w:p>
        </w:tc>
        <w:tc>
          <w:tcPr>
            <w:tcW w:w="1057" w:type="dxa"/>
            <w:gridSpan w:val="2"/>
            <w:tcBorders>
              <w:top w:val="single" w:sz="8" w:space="0" w:color="auto"/>
              <w:left w:val="nil"/>
              <w:bottom w:val="single" w:sz="8" w:space="0" w:color="auto"/>
              <w:right w:val="single" w:sz="4" w:space="0" w:color="auto"/>
            </w:tcBorders>
            <w:shd w:val="clear" w:color="auto" w:fill="AEAAAA" w:themeFill="background2" w:themeFillShade="BF"/>
            <w:noWrap/>
            <w:vAlign w:val="center"/>
          </w:tcPr>
          <w:p w:rsidR="00E7002C" w:rsidRPr="00CC64CD" w:rsidP="00E7002C" w14:paraId="5EEA2612" w14:textId="4C4C5E26">
            <w:pPr>
              <w:jc w:val="center"/>
              <w:rPr>
                <w:b/>
                <w:bCs/>
                <w:color w:val="000000"/>
                <w:sz w:val="24"/>
              </w:rPr>
            </w:pPr>
            <w:r>
              <w:rPr>
                <w:b/>
                <w:bCs/>
                <w:color w:val="000000"/>
                <w:sz w:val="24"/>
              </w:rPr>
              <w:t>55,452</w:t>
            </w:r>
          </w:p>
        </w:tc>
        <w:tc>
          <w:tcPr>
            <w:tcW w:w="1300" w:type="dxa"/>
            <w:gridSpan w:val="2"/>
            <w:tcBorders>
              <w:top w:val="single" w:sz="8" w:space="0" w:color="auto"/>
              <w:left w:val="nil"/>
              <w:bottom w:val="single" w:sz="8" w:space="0" w:color="auto"/>
              <w:right w:val="single" w:sz="8" w:space="0" w:color="auto"/>
            </w:tcBorders>
            <w:shd w:val="clear" w:color="auto" w:fill="AEAAAA" w:themeFill="background2" w:themeFillShade="BF"/>
            <w:noWrap/>
            <w:vAlign w:val="center"/>
          </w:tcPr>
          <w:p w:rsidR="00E7002C" w:rsidRPr="00CC64CD" w:rsidP="00E7002C" w14:paraId="57C368B0" w14:textId="4141C79D">
            <w:pPr>
              <w:jc w:val="center"/>
              <w:rPr>
                <w:b/>
                <w:bCs/>
                <w:color w:val="000000"/>
                <w:sz w:val="24"/>
              </w:rPr>
            </w:pPr>
            <w:r>
              <w:rPr>
                <w:b/>
                <w:bCs/>
                <w:color w:val="000000"/>
                <w:sz w:val="24"/>
              </w:rPr>
              <w:t>$5,045,112</w:t>
            </w:r>
          </w:p>
        </w:tc>
      </w:tr>
      <w:tr w14:paraId="6021069D" w14:textId="77777777" w:rsidTr="007942E5">
        <w:tblPrEx>
          <w:tblW w:w="10043" w:type="dxa"/>
          <w:tblInd w:w="118" w:type="dxa"/>
          <w:tblLook w:val="04A0"/>
        </w:tblPrEx>
        <w:trPr>
          <w:trHeight w:val="317"/>
        </w:trPr>
        <w:tc>
          <w:tcPr>
            <w:tcW w:w="7686" w:type="dxa"/>
            <w:gridSpan w:val="5"/>
            <w:tcBorders>
              <w:top w:val="single" w:sz="8" w:space="0" w:color="auto"/>
              <w:left w:val="single" w:sz="8" w:space="0" w:color="auto"/>
              <w:bottom w:val="single" w:sz="8" w:space="0" w:color="auto"/>
              <w:right w:val="single" w:sz="8" w:space="0" w:color="000000"/>
            </w:tcBorders>
            <w:shd w:val="clear" w:color="auto" w:fill="AEAAAA" w:themeFill="background2" w:themeFillShade="BF"/>
            <w:noWrap/>
            <w:vAlign w:val="center"/>
          </w:tcPr>
          <w:p w:rsidR="00E7002C" w:rsidP="00E7002C" w14:paraId="2C8FA44C" w14:textId="7946E79A">
            <w:pPr>
              <w:jc w:val="right"/>
              <w:rPr>
                <w:b/>
                <w:bCs/>
                <w:color w:val="000000"/>
                <w:sz w:val="24"/>
              </w:rPr>
            </w:pPr>
            <w:r>
              <w:rPr>
                <w:b/>
                <w:bCs/>
                <w:color w:val="000000"/>
                <w:sz w:val="24"/>
              </w:rPr>
              <w:t>Number of FTEs</w:t>
            </w:r>
          </w:p>
        </w:tc>
        <w:tc>
          <w:tcPr>
            <w:tcW w:w="1057" w:type="dxa"/>
            <w:gridSpan w:val="2"/>
            <w:tcBorders>
              <w:top w:val="single" w:sz="8" w:space="0" w:color="auto"/>
              <w:left w:val="nil"/>
              <w:bottom w:val="single" w:sz="8" w:space="0" w:color="auto"/>
              <w:right w:val="single" w:sz="4" w:space="0" w:color="auto"/>
            </w:tcBorders>
            <w:shd w:val="clear" w:color="auto" w:fill="AEAAAA" w:themeFill="background2" w:themeFillShade="BF"/>
            <w:noWrap/>
            <w:vAlign w:val="center"/>
          </w:tcPr>
          <w:p w:rsidR="00E7002C" w:rsidP="00E7002C" w14:paraId="1D9EC83C" w14:textId="1741441E">
            <w:pPr>
              <w:jc w:val="center"/>
              <w:rPr>
                <w:b/>
                <w:bCs/>
                <w:color w:val="000000"/>
                <w:sz w:val="24"/>
              </w:rPr>
            </w:pPr>
            <w:r>
              <w:rPr>
                <w:b/>
                <w:bCs/>
                <w:color w:val="000000"/>
                <w:sz w:val="24"/>
              </w:rPr>
              <w:t xml:space="preserve">       29</w:t>
            </w:r>
          </w:p>
        </w:tc>
        <w:tc>
          <w:tcPr>
            <w:tcW w:w="1300" w:type="dxa"/>
            <w:gridSpan w:val="2"/>
            <w:tcBorders>
              <w:top w:val="single" w:sz="8" w:space="0" w:color="auto"/>
              <w:left w:val="nil"/>
              <w:bottom w:val="single" w:sz="8" w:space="0" w:color="auto"/>
              <w:right w:val="single" w:sz="8" w:space="0" w:color="auto"/>
            </w:tcBorders>
            <w:shd w:val="clear" w:color="auto" w:fill="AEAAAA" w:themeFill="background2" w:themeFillShade="BF"/>
            <w:noWrap/>
            <w:vAlign w:val="center"/>
          </w:tcPr>
          <w:p w:rsidR="00E7002C" w:rsidP="00E7002C" w14:paraId="6F746A5B" w14:textId="77777777">
            <w:pPr>
              <w:jc w:val="center"/>
              <w:rPr>
                <w:b/>
                <w:bCs/>
                <w:color w:val="000000"/>
                <w:sz w:val="24"/>
              </w:rPr>
            </w:pPr>
          </w:p>
        </w:tc>
      </w:tr>
    </w:tbl>
    <w:p w:rsidR="00F1085B" w:rsidP="007942E5" w14:paraId="7BCD11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432" w:firstLine="115"/>
        <w:rPr>
          <w:sz w:val="24"/>
          <w:u w:val="single"/>
        </w:rPr>
      </w:pPr>
    </w:p>
    <w:p w:rsidR="00F1085B" w:rsidP="007942E5" w14:paraId="6C269F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432" w:firstLine="115"/>
        <w:rPr>
          <w:sz w:val="24"/>
          <w:u w:val="single"/>
        </w:rPr>
      </w:pPr>
    </w:p>
    <w:p w:rsidR="00AF465E" w:rsidP="007942E5" w14:paraId="134B21A8" w14:textId="051E0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432" w:firstLine="115"/>
        <w:rPr>
          <w:sz w:val="24"/>
        </w:rPr>
      </w:pPr>
      <w:r>
        <w:rPr>
          <w:sz w:val="24"/>
          <w:u w:val="single"/>
        </w:rPr>
        <w:t>Other Costs</w:t>
      </w:r>
    </w:p>
    <w:p w:rsidR="00AF465E" w:rsidP="00AF465E" w14:paraId="21D34254" w14:textId="2FC5B1AB">
      <w:pPr>
        <w:ind w:left="551"/>
        <w:rPr>
          <w:color w:val="000000"/>
          <w:sz w:val="24"/>
        </w:rPr>
      </w:pPr>
      <w:r>
        <w:rPr>
          <w:color w:val="000000"/>
          <w:sz w:val="24"/>
        </w:rPr>
        <w:t>In addition</w:t>
      </w:r>
      <w:r w:rsidR="00855F9E">
        <w:rPr>
          <w:color w:val="000000"/>
          <w:sz w:val="24"/>
        </w:rPr>
        <w:t>,</w:t>
      </w:r>
      <w:r>
        <w:rPr>
          <w:color w:val="000000"/>
          <w:sz w:val="24"/>
        </w:rPr>
        <w:t xml:space="preserve"> the cost to </w:t>
      </w:r>
      <w:r w:rsidR="00F1085B">
        <w:rPr>
          <w:color w:val="000000"/>
          <w:sz w:val="24"/>
        </w:rPr>
        <w:t>the federal</w:t>
      </w:r>
      <w:r>
        <w:rPr>
          <w:color w:val="000000"/>
          <w:sz w:val="24"/>
        </w:rPr>
        <w:t xml:space="preserve"> government also includes the cost to develop and submit this PRA package for OMB compliance. To </w:t>
      </w:r>
      <w:r w:rsidR="00F1085B">
        <w:rPr>
          <w:color w:val="000000"/>
          <w:sz w:val="24"/>
        </w:rPr>
        <w:t>determine</w:t>
      </w:r>
      <w:r>
        <w:rPr>
          <w:color w:val="000000"/>
          <w:sz w:val="24"/>
        </w:rPr>
        <w:t xml:space="preserve"> this cost, we </w:t>
      </w:r>
      <w:r w:rsidR="003D08CF">
        <w:rPr>
          <w:color w:val="000000"/>
          <w:sz w:val="24"/>
        </w:rPr>
        <w:t>estimate</w:t>
      </w:r>
      <w:r>
        <w:rPr>
          <w:color w:val="000000"/>
          <w:sz w:val="24"/>
        </w:rPr>
        <w:t xml:space="preserve"> </w:t>
      </w:r>
      <w:r w:rsidR="003D08CF">
        <w:rPr>
          <w:color w:val="000000"/>
          <w:sz w:val="24"/>
        </w:rPr>
        <w:t>the t</w:t>
      </w:r>
      <w:r>
        <w:rPr>
          <w:color w:val="000000"/>
          <w:sz w:val="24"/>
        </w:rPr>
        <w:t>ime it takes to develop</w:t>
      </w:r>
      <w:r w:rsidR="003D08CF">
        <w:rPr>
          <w:color w:val="000000"/>
          <w:sz w:val="24"/>
        </w:rPr>
        <w:t xml:space="preserve"> and or update this</w:t>
      </w:r>
      <w:r>
        <w:rPr>
          <w:color w:val="000000"/>
          <w:sz w:val="24"/>
        </w:rPr>
        <w:t xml:space="preserve"> PRA package. </w:t>
      </w:r>
      <w:r w:rsidR="003D08CF">
        <w:rPr>
          <w:color w:val="000000"/>
          <w:sz w:val="24"/>
        </w:rPr>
        <w:t>W</w:t>
      </w:r>
      <w:r>
        <w:rPr>
          <w:color w:val="000000"/>
          <w:sz w:val="24"/>
        </w:rPr>
        <w:t>e</w:t>
      </w:r>
      <w:r w:rsidR="003D08CF">
        <w:rPr>
          <w:color w:val="000000"/>
          <w:sz w:val="24"/>
        </w:rPr>
        <w:t xml:space="preserve"> estimate it </w:t>
      </w:r>
      <w:r>
        <w:rPr>
          <w:color w:val="000000"/>
          <w:sz w:val="24"/>
        </w:rPr>
        <w:t xml:space="preserve">takes about 90 hours per three-year period or about 30 hours per year or 0.01 FTEs to develop </w:t>
      </w:r>
      <w:r w:rsidR="003D08CF">
        <w:rPr>
          <w:color w:val="000000"/>
          <w:sz w:val="24"/>
        </w:rPr>
        <w:t xml:space="preserve">or update this </w:t>
      </w:r>
      <w:r>
        <w:rPr>
          <w:color w:val="000000"/>
          <w:sz w:val="24"/>
        </w:rPr>
        <w:t>package. Typically, a GS-13, step 1 federal government employee</w:t>
      </w:r>
      <w:r w:rsidR="003D08CF">
        <w:rPr>
          <w:color w:val="000000"/>
          <w:sz w:val="24"/>
        </w:rPr>
        <w:t xml:space="preserve">, located in </w:t>
      </w:r>
      <w:r w:rsidRPr="003D08CF" w:rsidR="003D08CF">
        <w:rPr>
          <w:color w:val="000000"/>
          <w:sz w:val="24"/>
        </w:rPr>
        <w:t xml:space="preserve">Baltimore-Arlington, </w:t>
      </w:r>
      <w:r w:rsidR="003D08CF">
        <w:rPr>
          <w:color w:val="000000"/>
          <w:sz w:val="24"/>
        </w:rPr>
        <w:t xml:space="preserve">Washington D.C, </w:t>
      </w:r>
      <w:r w:rsidRPr="003D08CF" w:rsidR="003D08CF">
        <w:rPr>
          <w:color w:val="000000"/>
          <w:sz w:val="24"/>
        </w:rPr>
        <w:t xml:space="preserve">Locality Pay Area of </w:t>
      </w:r>
      <w:r>
        <w:rPr>
          <w:color w:val="000000"/>
          <w:sz w:val="24"/>
        </w:rPr>
        <w:t>completes this PRA packages</w:t>
      </w:r>
      <w:r w:rsidR="00855F9E">
        <w:rPr>
          <w:color w:val="000000"/>
          <w:sz w:val="24"/>
        </w:rPr>
        <w:t>.</w:t>
      </w:r>
      <w:r w:rsidR="003D08CF">
        <w:rPr>
          <w:color w:val="000000"/>
          <w:sz w:val="24"/>
        </w:rPr>
        <w:t xml:space="preserve"> According to The U.S. Office of Personnel Management, in 2024 the </w:t>
      </w:r>
      <w:r>
        <w:rPr>
          <w:color w:val="000000"/>
          <w:sz w:val="24"/>
        </w:rPr>
        <w:t xml:space="preserve">cost </w:t>
      </w:r>
      <w:r w:rsidR="003D08CF">
        <w:rPr>
          <w:color w:val="000000"/>
          <w:sz w:val="24"/>
        </w:rPr>
        <w:t>for this labor is $</w:t>
      </w:r>
      <w:r w:rsidRPr="003D08CF" w:rsidR="003D08CF">
        <w:rPr>
          <w:color w:val="000000"/>
          <w:sz w:val="24"/>
        </w:rPr>
        <w:t xml:space="preserve">56.52 </w:t>
      </w:r>
      <w:r w:rsidR="003D08CF">
        <w:rPr>
          <w:color w:val="000000"/>
          <w:sz w:val="24"/>
        </w:rPr>
        <w:t>per hour</w:t>
      </w:r>
      <w:r>
        <w:rPr>
          <w:color w:val="000000"/>
          <w:sz w:val="24"/>
        </w:rPr>
        <w:t xml:space="preserve">. </w:t>
      </w:r>
      <w:r w:rsidR="003D08CF">
        <w:rPr>
          <w:color w:val="000000"/>
          <w:sz w:val="24"/>
        </w:rPr>
        <w:t>The additional cost to complete this PRA package is $1,710 per year.</w:t>
      </w:r>
    </w:p>
    <w:p w:rsidR="003D08CF" w:rsidRPr="00F1085B" w:rsidP="00BE240E" w14:paraId="43CC515A" w14:textId="7560D9A4">
      <w:pPr>
        <w:tabs>
          <w:tab w:val="left" w:pos="4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ind w:left="540"/>
        <w:rPr>
          <w:color w:val="000000"/>
          <w:sz w:val="24"/>
          <w:u w:val="single"/>
        </w:rPr>
      </w:pPr>
      <w:r w:rsidRPr="00F1085B">
        <w:rPr>
          <w:color w:val="000000"/>
          <w:sz w:val="24"/>
          <w:u w:val="single"/>
        </w:rPr>
        <w:t xml:space="preserve">Total Cost to the </w:t>
      </w:r>
      <w:r w:rsidRPr="00F1085B" w:rsidR="00F1085B">
        <w:rPr>
          <w:color w:val="000000"/>
          <w:sz w:val="24"/>
          <w:u w:val="single"/>
        </w:rPr>
        <w:t>F</w:t>
      </w:r>
      <w:r w:rsidRPr="00F1085B">
        <w:rPr>
          <w:color w:val="000000"/>
          <w:sz w:val="24"/>
          <w:u w:val="single"/>
        </w:rPr>
        <w:t xml:space="preserve">ederal </w:t>
      </w:r>
      <w:r w:rsidRPr="00F1085B" w:rsidR="00F1085B">
        <w:rPr>
          <w:color w:val="000000"/>
          <w:sz w:val="24"/>
          <w:u w:val="single"/>
        </w:rPr>
        <w:t>G</w:t>
      </w:r>
      <w:r w:rsidRPr="00F1085B">
        <w:rPr>
          <w:color w:val="000000"/>
          <w:sz w:val="24"/>
          <w:u w:val="single"/>
        </w:rPr>
        <w:t>overnment</w:t>
      </w:r>
    </w:p>
    <w:p w:rsidR="00AF465E" w:rsidP="007942E5" w14:paraId="04E5BD74" w14:textId="61FC25EE">
      <w:pPr>
        <w:ind w:left="540"/>
        <w:rPr>
          <w:color w:val="000000"/>
          <w:sz w:val="24"/>
        </w:rPr>
      </w:pPr>
      <w:bookmarkStart w:id="7" w:name="_Hlk201586427"/>
      <w:r w:rsidRPr="00874837">
        <w:rPr>
          <w:color w:val="000000"/>
          <w:sz w:val="24"/>
        </w:rPr>
        <w:t xml:space="preserve">Total cost to the </w:t>
      </w:r>
      <w:r w:rsidRPr="00874837">
        <w:rPr>
          <w:color w:val="000000"/>
          <w:sz w:val="24"/>
        </w:rPr>
        <w:t xml:space="preserve">federal government is </w:t>
      </w:r>
      <w:r w:rsidRPr="00EB41F8" w:rsidR="00874837">
        <w:rPr>
          <w:color w:val="000000"/>
          <w:sz w:val="24"/>
        </w:rPr>
        <w:t>$5,04</w:t>
      </w:r>
      <w:r w:rsidR="00D45132">
        <w:rPr>
          <w:color w:val="000000"/>
          <w:sz w:val="24"/>
        </w:rPr>
        <w:t>5</w:t>
      </w:r>
      <w:r w:rsidRPr="00EB41F8" w:rsidR="00874837">
        <w:rPr>
          <w:color w:val="000000"/>
          <w:sz w:val="24"/>
        </w:rPr>
        <w:t>,</w:t>
      </w:r>
      <w:r w:rsidR="00D45132">
        <w:rPr>
          <w:color w:val="000000"/>
          <w:sz w:val="24"/>
        </w:rPr>
        <w:t>11</w:t>
      </w:r>
      <w:r w:rsidRPr="00EB41F8" w:rsidR="00874837">
        <w:rPr>
          <w:color w:val="000000"/>
          <w:sz w:val="24"/>
        </w:rPr>
        <w:t xml:space="preserve">2 </w:t>
      </w:r>
      <w:r w:rsidRPr="00874837">
        <w:rPr>
          <w:color w:val="000000"/>
          <w:sz w:val="24"/>
        </w:rPr>
        <w:t>per year ($</w:t>
      </w:r>
      <w:r w:rsidRPr="00EB41F8" w:rsidR="00874837">
        <w:rPr>
          <w:color w:val="000000"/>
          <w:sz w:val="24"/>
        </w:rPr>
        <w:t xml:space="preserve">5,043,402 </w:t>
      </w:r>
      <w:r w:rsidRPr="00874837">
        <w:rPr>
          <w:color w:val="000000"/>
          <w:sz w:val="24"/>
        </w:rPr>
        <w:t>+ $</w:t>
      </w:r>
      <w:r w:rsidRPr="00874837" w:rsidR="00874837">
        <w:rPr>
          <w:color w:val="000000"/>
          <w:sz w:val="24"/>
        </w:rPr>
        <w:t xml:space="preserve">1,710 </w:t>
      </w:r>
      <w:r w:rsidRPr="00874837">
        <w:rPr>
          <w:color w:val="000000"/>
          <w:sz w:val="24"/>
        </w:rPr>
        <w:t>=</w:t>
      </w:r>
      <w:r w:rsidR="00BE240E">
        <w:rPr>
          <w:color w:val="000000"/>
          <w:sz w:val="24"/>
        </w:rPr>
        <w:t xml:space="preserve"> </w:t>
      </w:r>
      <w:r w:rsidRPr="00874837">
        <w:rPr>
          <w:color w:val="000000"/>
          <w:sz w:val="24"/>
        </w:rPr>
        <w:t>$</w:t>
      </w:r>
      <w:r w:rsidRPr="00EB41F8" w:rsidR="00874837">
        <w:rPr>
          <w:color w:val="000000"/>
          <w:sz w:val="24"/>
        </w:rPr>
        <w:t>5,045,112</w:t>
      </w:r>
      <w:r w:rsidRPr="00874837">
        <w:rPr>
          <w:color w:val="000000"/>
          <w:sz w:val="24"/>
        </w:rPr>
        <w:t xml:space="preserve">) expressed as </w:t>
      </w:r>
      <w:r w:rsidRPr="00874837" w:rsidR="00874837">
        <w:rPr>
          <w:color w:val="000000"/>
          <w:sz w:val="24"/>
        </w:rPr>
        <w:t>55,452</w:t>
      </w:r>
      <w:r w:rsidRPr="00874837">
        <w:rPr>
          <w:color w:val="000000"/>
          <w:sz w:val="24"/>
        </w:rPr>
        <w:t xml:space="preserve"> hours per year (</w:t>
      </w:r>
      <w:r w:rsidRPr="00EB41F8" w:rsidR="00874837">
        <w:rPr>
          <w:color w:val="000000"/>
          <w:sz w:val="24"/>
        </w:rPr>
        <w:t>55,422</w:t>
      </w:r>
      <w:r w:rsidRPr="00874837">
        <w:rPr>
          <w:color w:val="000000"/>
          <w:sz w:val="24"/>
        </w:rPr>
        <w:t>+30 =</w:t>
      </w:r>
      <w:r w:rsidRPr="00874837" w:rsidR="00874837">
        <w:rPr>
          <w:color w:val="000000"/>
          <w:sz w:val="24"/>
        </w:rPr>
        <w:t>55,452</w:t>
      </w:r>
      <w:r w:rsidRPr="00874837">
        <w:rPr>
          <w:color w:val="000000"/>
          <w:sz w:val="24"/>
        </w:rPr>
        <w:t xml:space="preserve">) or </w:t>
      </w:r>
      <w:r w:rsidRPr="00874837" w:rsidR="00874837">
        <w:rPr>
          <w:color w:val="000000"/>
          <w:sz w:val="24"/>
        </w:rPr>
        <w:t>29</w:t>
      </w:r>
      <w:r w:rsidRPr="00874837">
        <w:rPr>
          <w:color w:val="000000"/>
          <w:sz w:val="24"/>
        </w:rPr>
        <w:t xml:space="preserve"> FTEs (</w:t>
      </w:r>
      <w:r w:rsidRPr="00874837" w:rsidR="00874837">
        <w:rPr>
          <w:color w:val="000000"/>
          <w:sz w:val="24"/>
        </w:rPr>
        <w:t xml:space="preserve">55,452 hours /1,920 </w:t>
      </w:r>
      <w:r w:rsidRPr="00874837" w:rsidR="00CC79BB">
        <w:rPr>
          <w:color w:val="000000"/>
          <w:sz w:val="24"/>
        </w:rPr>
        <w:t>hours</w:t>
      </w:r>
      <w:r w:rsidR="00CC79BB">
        <w:rPr>
          <w:color w:val="000000"/>
          <w:sz w:val="24"/>
        </w:rPr>
        <w:t xml:space="preserve"> </w:t>
      </w:r>
      <w:r w:rsidRPr="00874837" w:rsidR="00CC79BB">
        <w:rPr>
          <w:color w:val="000000"/>
          <w:sz w:val="24"/>
        </w:rPr>
        <w:t>=</w:t>
      </w:r>
      <w:r w:rsidRPr="00874837" w:rsidR="00874837">
        <w:rPr>
          <w:color w:val="000000"/>
          <w:sz w:val="24"/>
        </w:rPr>
        <w:t xml:space="preserve"> </w:t>
      </w:r>
      <w:r w:rsidR="00874837">
        <w:rPr>
          <w:color w:val="000000"/>
          <w:sz w:val="24"/>
        </w:rPr>
        <w:t>29 FTEs).</w:t>
      </w:r>
    </w:p>
    <w:bookmarkEnd w:id="7"/>
    <w:p w:rsidR="00F367B4" w:rsidRPr="00EB41F8" w:rsidP="00F1085B" w14:paraId="4E28F11C" w14:textId="77777777">
      <w:pPr>
        <w:rPr>
          <w:color w:val="000000"/>
          <w:sz w:val="24"/>
        </w:rPr>
      </w:pPr>
    </w:p>
    <w:p w:rsidR="008F1EB4" w:rsidP="00FF25D1" w14:paraId="5743A5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504E25" w:rsidP="00F1085B" w14:paraId="126DF969" w14:textId="6286401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450"/>
      </w:pPr>
      <w:bookmarkStart w:id="8" w:name="_Hlk173833467"/>
      <w:r>
        <w:rPr>
          <w:color w:val="000000"/>
        </w:rPr>
        <w:t xml:space="preserve">The annual burden to industry decreased from 114,478 hours to 75,721 hours. </w:t>
      </w:r>
      <w:bookmarkEnd w:id="8"/>
      <w:r>
        <w:t xml:space="preserve">The decrease in burden hours is primarily due to the elimination of the CoP at </w:t>
      </w:r>
      <w:r w:rsidR="00BE240E">
        <w:t xml:space="preserve">Section </w:t>
      </w:r>
      <w:r>
        <w:t xml:space="preserve">483.430(f) requiring ICFs-IID to document the “educate and offer of the COVID-19 vaccine” task for </w:t>
      </w:r>
      <w:r w:rsidRPr="00F6282B">
        <w:rPr>
          <w:u w:val="single"/>
        </w:rPr>
        <w:t>every staff member</w:t>
      </w:r>
      <w:r>
        <w:t>. A small portion of the decrease is also due to an overcount of hours in the prior package for Year 1 in Information Collection No. 3, discussed in detail in footnote 1</w:t>
      </w:r>
      <w:r w:rsidR="00A63BE6">
        <w:t>2.</w:t>
      </w:r>
      <w:r>
        <w:t xml:space="preserve"> </w:t>
      </w:r>
    </w:p>
    <w:p w:rsidR="008F1EB4" w:rsidP="00FF25D1" w14:paraId="0F041D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F25D1" w14:paraId="2BF097C1" w14:textId="60B925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r w:rsidR="00B1439A">
        <w:rPr>
          <w:sz w:val="24"/>
          <w:u w:val="single"/>
        </w:rPr>
        <w:t xml:space="preserve">  </w:t>
      </w:r>
    </w:p>
    <w:p w:rsidR="008F1EB4" w:rsidP="00FF25D1" w14:paraId="47FA95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F25D1" w14:paraId="735135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plans to publish the info</w:t>
      </w:r>
      <w:r w:rsidR="005B03BF">
        <w:rPr>
          <w:sz w:val="24"/>
        </w:rPr>
        <w:t>rmation.</w:t>
      </w:r>
    </w:p>
    <w:p w:rsidR="008F1EB4" w:rsidP="00FF25D1" w14:paraId="0D816EB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F25D1" w14:paraId="398252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17.</w:t>
      </w:r>
      <w:r>
        <w:rPr>
          <w:sz w:val="24"/>
        </w:rPr>
        <w:tab/>
      </w:r>
      <w:r>
        <w:rPr>
          <w:sz w:val="24"/>
          <w:u w:val="single"/>
        </w:rPr>
        <w:t>Expiration Date</w:t>
      </w:r>
    </w:p>
    <w:p w:rsidR="00F81ED0" w:rsidP="00FF25D1" w14:paraId="579687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F3AF4" w:rsidP="00455066" w14:paraId="44E935D6" w14:textId="3CD9FD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collection does not lend itself to the displaying of an expiration date.</w:t>
      </w:r>
      <w:r w:rsidRPr="00F81ED0" w:rsidR="00F81ED0">
        <w:rPr>
          <w:sz w:val="24"/>
        </w:rPr>
        <w:t xml:space="preserve"> </w:t>
      </w:r>
    </w:p>
    <w:p w:rsidR="008F1EB4" w:rsidP="00FF25D1" w14:paraId="41C329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F25D1" w14:paraId="770B07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P="00FF25D1" w14:paraId="7D3A1D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F25D1" w14:paraId="399DC9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 have not identified any exceptions</w:t>
      </w:r>
      <w:r w:rsidR="00F81ED0">
        <w:rPr>
          <w:sz w:val="24"/>
        </w:rPr>
        <w:t>.</w:t>
      </w:r>
    </w:p>
    <w:p w:rsidR="000F3AF4" w:rsidP="00FF25D1" w14:paraId="7539DC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footerReference w:type="default" r:id="rId15"/>
      <w:endnotePr>
        <w:numFmt w:val="decimal"/>
      </w:endnotePr>
      <w:type w:val="continuous"/>
      <w:pgSz w:w="12240" w:h="15840"/>
      <w:pgMar w:top="1440" w:right="1296"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3B8C" w14:paraId="10AFC96B" w14:textId="77777777">
    <w:pPr>
      <w:spacing w:line="240" w:lineRule="exact"/>
    </w:pPr>
  </w:p>
  <w:p w:rsidR="006D3B8C" w14:paraId="42CEC95D" w14:textId="7777777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02F42">
      <w:rPr>
        <w:noProof/>
        <w:sz w:val="24"/>
      </w:rPr>
      <w:t>10</w:t>
    </w:r>
    <w:r>
      <w:rPr>
        <w:sz w:val="24"/>
      </w:rPr>
      <w:fldChar w:fldCharType="end"/>
    </w:r>
  </w:p>
  <w:p w:rsidR="006D3B8C" w14:paraId="120FD72B" w14:textId="77777777">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7336B" w14:paraId="5AC784FC" w14:textId="77777777">
      <w:r>
        <w:separator/>
      </w:r>
    </w:p>
  </w:footnote>
  <w:footnote w:type="continuationSeparator" w:id="1">
    <w:p w:rsidR="00E7336B" w14:paraId="12EC6657" w14:textId="77777777">
      <w:r>
        <w:continuationSeparator/>
      </w:r>
    </w:p>
  </w:footnote>
  <w:footnote w:id="2">
    <w:p w:rsidR="000C451B" w14:paraId="2334B1DC" w14:textId="72EBC621">
      <w:pPr>
        <w:pStyle w:val="FootnoteText"/>
      </w:pPr>
      <w:r>
        <w:rPr>
          <w:rStyle w:val="FootnoteReference"/>
        </w:rPr>
        <w:footnoteRef/>
      </w:r>
      <w:r>
        <w:t xml:space="preserve"> </w:t>
      </w:r>
      <w:r w:rsidRPr="000C451B">
        <w:t>The appropriate term for an individual receiving care and services varies by provider. Most providers use the term “patients,” but LTC facilities use the term “residents” and ICF IID facilities use the term “clients.”</w:t>
      </w:r>
    </w:p>
  </w:footnote>
  <w:footnote w:id="3">
    <w:p w:rsidR="00FF25D1" w:rsidP="00FF25D1" w14:paraId="3EC5065E" w14:textId="657A1716">
      <w:pPr>
        <w:pStyle w:val="FootnoteText"/>
      </w:pPr>
      <w:r>
        <w:rPr>
          <w:rStyle w:val="FootnoteReference"/>
        </w:rPr>
        <w:footnoteRef/>
      </w:r>
      <w:r>
        <w:t xml:space="preserve"> </w:t>
      </w:r>
      <w:bookmarkStart w:id="0" w:name="_Hlk184728237"/>
      <w:hyperlink r:id="rId1" w:history="1">
        <w:r w:rsidRPr="009A7FBC">
          <w:rPr>
            <w:rStyle w:val="Hyperlink"/>
          </w:rPr>
          <w:t>COVID-19 Vaccine Requirements for Long-Term Care (LTC) Facilities and Intermediate Care Facilities for Individuals with Intellectual Disabilities (ICFs-IID) Residents, Clients, and Staff</w:t>
        </w:r>
      </w:hyperlink>
      <w:r>
        <w:t xml:space="preserve">, </w:t>
      </w:r>
      <w:r w:rsidRPr="001E365F">
        <w:t>86 FR 26306</w:t>
      </w:r>
      <w:r>
        <w:t>, 26317-26319 (May 13, 2021)</w:t>
      </w:r>
      <w:r w:rsidRPr="001E365F">
        <w:t>.</w:t>
      </w:r>
    </w:p>
    <w:bookmarkEnd w:id="0"/>
  </w:footnote>
  <w:footnote w:id="4">
    <w:p w:rsidR="00FF25D1" w:rsidP="00FF25D1" w14:paraId="5BB5D208" w14:textId="77777777">
      <w:pPr>
        <w:pStyle w:val="FootnoteText"/>
      </w:pPr>
      <w:r>
        <w:rPr>
          <w:rStyle w:val="FootnoteReference"/>
        </w:rPr>
        <w:footnoteRef/>
      </w:r>
      <w:r>
        <w:t xml:space="preserve"> </w:t>
      </w:r>
      <w:bookmarkStart w:id="1" w:name="_Hlk184728251"/>
      <w:hyperlink r:id="rId2" w:anchor="h-69" w:history="1">
        <w:r w:rsidRPr="009963E6">
          <w:rPr>
            <w:rStyle w:val="Hyperlink"/>
          </w:rPr>
          <w:t>Medicare and Medicaid Programs; Omnibus COVID-19 Health Care Staff Vaccination</w:t>
        </w:r>
      </w:hyperlink>
      <w:r w:rsidRPr="009963E6">
        <w:t>, 86 FR 61555</w:t>
      </w:r>
      <w:r>
        <w:t>, 61620</w:t>
      </w:r>
      <w:r w:rsidRPr="009963E6">
        <w:t xml:space="preserve"> (November 5, 2021)</w:t>
      </w:r>
      <w:bookmarkEnd w:id="1"/>
    </w:p>
  </w:footnote>
  <w:footnote w:id="5">
    <w:p w:rsidR="00FF25D1" w:rsidP="00FF25D1" w14:paraId="69476BB9" w14:textId="77777777">
      <w:pPr>
        <w:pStyle w:val="FootnoteText"/>
      </w:pPr>
      <w:r>
        <w:rPr>
          <w:rStyle w:val="FootnoteReference"/>
        </w:rPr>
        <w:footnoteRef/>
      </w:r>
      <w:r>
        <w:t xml:space="preserve"> </w:t>
      </w:r>
      <w:hyperlink r:id="rId2" w:anchor="h-69" w:history="1">
        <w:r w:rsidRPr="009963E6">
          <w:rPr>
            <w:rStyle w:val="Hyperlink"/>
          </w:rPr>
          <w:t>Medicare and Medicaid Programs; Omnibus COVID-19 Health Care Staff Vaccination</w:t>
        </w:r>
      </w:hyperlink>
      <w:r w:rsidRPr="009963E6">
        <w:t>, 86 FR 61555</w:t>
      </w:r>
      <w:r>
        <w:t>, 61570-72</w:t>
      </w:r>
      <w:r w:rsidRPr="009963E6">
        <w:t xml:space="preserve"> (November 5, 2021)</w:t>
      </w:r>
    </w:p>
  </w:footnote>
  <w:footnote w:id="6">
    <w:p w:rsidR="00FF25D1" w:rsidP="00FF25D1" w14:paraId="2C5B68BA" w14:textId="7F2D40BC">
      <w:pPr>
        <w:pStyle w:val="FootnoteText"/>
      </w:pPr>
      <w:r>
        <w:rPr>
          <w:rStyle w:val="FootnoteReference"/>
        </w:rPr>
        <w:footnoteRef/>
      </w:r>
      <w:r>
        <w:t xml:space="preserve"> </w:t>
      </w:r>
      <w:hyperlink r:id="rId3" w:anchor="h-24" w:history="1">
        <w:r w:rsidRPr="00FB35B6">
          <w:rPr>
            <w:rStyle w:val="Hyperlink"/>
          </w:rPr>
          <w:t>Medicare and Medicaid Programs; Policy and Regulatory Changes to the Omnibus COVID-19 Health Care Staff Vaccination Requirements; Additional Policy and Regulatory Changes to the Requirements for Long-Term Care (LTC) Facilities and Intermediate Care Facilities for Individuals With Intellectual Disabilities (ICFs-IID) To Provide COVID-19 Vaccine Education and Offer Vaccinations to Residents, Clients, and Staff; Policy and Regulatory Changes to the Long Term Care Facility COVID-19 Testing Requirements</w:t>
        </w:r>
      </w:hyperlink>
      <w:r>
        <w:t xml:space="preserve">, </w:t>
      </w:r>
      <w:bookmarkStart w:id="3" w:name="_Hlk184728307"/>
      <w:r w:rsidRPr="00065968">
        <w:t>88 FR 36485</w:t>
      </w:r>
      <w:r>
        <w:t>, 36499-36500 (June 5, 2023)</w:t>
      </w:r>
      <w:bookmarkEnd w:id="3"/>
    </w:p>
  </w:footnote>
  <w:footnote w:id="7">
    <w:p w:rsidR="00FF25D1" w:rsidP="00FF25D1" w14:paraId="27CD37D1" w14:textId="010E28ED">
      <w:pPr>
        <w:pStyle w:val="FootnoteText"/>
      </w:pPr>
      <w:r>
        <w:rPr>
          <w:rStyle w:val="FootnoteReference"/>
        </w:rPr>
        <w:footnoteRef/>
      </w:r>
      <w:r>
        <w:t xml:space="preserve"> </w:t>
      </w:r>
      <w:hyperlink r:id="rId4" w:history="1">
        <w:r w:rsidRPr="006D3BC2">
          <w:rPr>
            <w:rStyle w:val="Hyperlink"/>
          </w:rPr>
          <w:t>https://www.hhs.gov/coronavirus/covid-19-public-health-emergency/index.html</w:t>
        </w:r>
      </w:hyperlink>
      <w:r>
        <w:t xml:space="preserve"> </w:t>
      </w:r>
    </w:p>
  </w:footnote>
  <w:footnote w:id="8">
    <w:p w:rsidR="00D879A1" w14:paraId="403BE7D6" w14:textId="72FA19C4">
      <w:pPr>
        <w:pStyle w:val="FootnoteText"/>
      </w:pPr>
      <w:r>
        <w:rPr>
          <w:rStyle w:val="FootnoteReference"/>
        </w:rPr>
        <w:footnoteRef/>
      </w:r>
      <w:r>
        <w:t xml:space="preserve"> Based on ICFs-IID client population total of 64,812 provided in </w:t>
      </w:r>
      <w:hyperlink r:id="rId1" w:history="1">
        <w:r w:rsidRPr="009A7FBC">
          <w:rPr>
            <w:rStyle w:val="Hyperlink"/>
          </w:rPr>
          <w:t>COVID-19 Vaccine Requirements for Long-Term Care (LTC) Facilities and Intermediate Care Facilities for Individuals with Intellectual Disabilities (ICFs-IID) Residents, Clients, and Staff</w:t>
        </w:r>
      </w:hyperlink>
      <w:r>
        <w:t xml:space="preserve">, </w:t>
      </w:r>
      <w:r w:rsidRPr="001E365F">
        <w:t>86 FR 26306</w:t>
      </w:r>
      <w:r>
        <w:t>, 26308 (May 13, 2021)</w:t>
      </w:r>
      <w:r w:rsidR="005D4AD3">
        <w:t>.</w:t>
      </w:r>
    </w:p>
  </w:footnote>
  <w:footnote w:id="9">
    <w:p w:rsidR="00A602C3" w:rsidP="00A602C3" w14:paraId="001D828B" w14:textId="7A89D983">
      <w:pPr>
        <w:pStyle w:val="FootnoteText"/>
      </w:pPr>
      <w:r>
        <w:rPr>
          <w:rStyle w:val="FootnoteReference"/>
        </w:rPr>
        <w:footnoteRef/>
      </w:r>
      <w:r w:rsidR="00A63BE6">
        <w:t xml:space="preserve"> </w:t>
      </w:r>
      <w:r w:rsidRPr="00427150">
        <w:t>Source: CASPER (08/11/2024)</w:t>
      </w:r>
      <w:r>
        <w:t xml:space="preserve">, accessed via </w:t>
      </w:r>
      <w:r w:rsidRPr="00E05964">
        <w:t>S&amp;C's Quality, Certification and Oversight Reports (QCOR)</w:t>
      </w:r>
      <w:r>
        <w:t xml:space="preserve"> at </w:t>
      </w:r>
      <w:hyperlink r:id="rId5" w:history="1">
        <w:r w:rsidRPr="00286D25">
          <w:rPr>
            <w:rStyle w:val="Hyperlink"/>
          </w:rPr>
          <w:t>https://qcor.cms.gov/index_new.jsp</w:t>
        </w:r>
      </w:hyperlink>
      <w:r>
        <w:t xml:space="preserve"> </w:t>
      </w:r>
    </w:p>
  </w:footnote>
  <w:footnote w:id="10">
    <w:p w:rsidR="00A602C3" w:rsidP="00A602C3" w14:paraId="11767364" w14:textId="77777777">
      <w:pPr>
        <w:pStyle w:val="FootnoteText"/>
      </w:pPr>
      <w:r>
        <w:rPr>
          <w:rStyle w:val="FootnoteReference"/>
        </w:rPr>
        <w:footnoteRef/>
      </w:r>
      <w:r>
        <w:t xml:space="preserve"> </w:t>
      </w:r>
      <w:r w:rsidRPr="0068781E">
        <w:rPr>
          <w:szCs w:val="16"/>
        </w:rPr>
        <w:t>If the total cost after doubling resulted in 0.50 or more, the cost was rounded up to the next dollar. If it was 0.49 or below, the total cost was rounded down to the next dollar.</w:t>
      </w:r>
    </w:p>
  </w:footnote>
  <w:footnote w:id="11">
    <w:p w:rsidR="003B7CDD" w:rsidP="003B7CDD" w14:paraId="48A6A6E9" w14:textId="77777777">
      <w:pPr>
        <w:pStyle w:val="FootnoteText"/>
      </w:pPr>
      <w:r>
        <w:rPr>
          <w:rStyle w:val="FootnoteReference"/>
        </w:rPr>
        <w:footnoteRef/>
      </w:r>
      <w:r>
        <w:t xml:space="preserve"> </w:t>
      </w:r>
      <w:hyperlink r:id="rId3" w:anchor="h-24" w:history="1">
        <w:r w:rsidRPr="00FB35B6">
          <w:rPr>
            <w:rStyle w:val="Hyperlink"/>
          </w:rPr>
          <w:t>Medicare and Medicaid Programs; Policy and Regulatory Changes to the Omnibus COVID-19 Health Care Staff Vaccination Requirements; Additional Policy and Regulatory Changes to the Requirements for Long-Term Care (LTC) Facilities and Intermediate Care Facilities for Individuals With Intellectual Disabilities (ICFs-IID) To Provide COVID-19 Vaccine Education and Offer Vaccinations to Residents, Clients, and Staff; Policy and Regulatory Changes to the Long Term Care Facility COVID-19 Testing Requirements</w:t>
        </w:r>
      </w:hyperlink>
      <w:r>
        <w:t xml:space="preserve">, </w:t>
      </w:r>
      <w:r w:rsidRPr="00065968">
        <w:t>88 FR 36485</w:t>
      </w:r>
      <w:r>
        <w:t xml:space="preserve"> (June 5, 2023).</w:t>
      </w:r>
    </w:p>
  </w:footnote>
  <w:footnote w:id="12">
    <w:p w:rsidR="003B7CDD" w:rsidP="003B7CDD" w14:paraId="3C5E21FF" w14:textId="77777777">
      <w:pPr>
        <w:pStyle w:val="FootnoteText"/>
      </w:pPr>
      <w:r>
        <w:rPr>
          <w:rStyle w:val="FootnoteReference"/>
        </w:rPr>
        <w:footnoteRef/>
      </w:r>
      <w:hyperlink r:id="rId1" w:history="1">
        <w:r w:rsidRPr="009A7FBC">
          <w:rPr>
            <w:rStyle w:val="Hyperlink"/>
          </w:rPr>
          <w:t>COVID-19 Vaccine Requirements for Long-Term Care (LTC) Facilities and Intermediate Care Facilities for Individuals with Intellectual Disabilities (ICFs-IID) Residents, Clients, and Staff</w:t>
        </w:r>
      </w:hyperlink>
      <w:r>
        <w:t xml:space="preserve">, </w:t>
      </w:r>
      <w:r w:rsidRPr="001E365F">
        <w:t>86 FR 26306</w:t>
      </w:r>
      <w:r>
        <w:t>, 26319 (May 13, 2021)(stating “educational materials and delivery must meet relevant standards in Section 504 of the Rehabilitation Act, which may include making such material available in large print, Braille, and American Sign Language, and using close captioning, audio descriptions, and plain language for people with vision, hearing, cognitive, and learning disabilities.”).</w:t>
      </w:r>
    </w:p>
  </w:footnote>
  <w:footnote w:id="13">
    <w:p w:rsidR="003B7CDD" w:rsidP="003B7CDD" w14:paraId="7ABD06EE" w14:textId="77777777">
      <w:pPr>
        <w:pStyle w:val="FootnoteText"/>
      </w:pPr>
      <w:r>
        <w:rPr>
          <w:rStyle w:val="FootnoteReference"/>
        </w:rPr>
        <w:footnoteRef/>
      </w:r>
      <w:r>
        <w:t xml:space="preserve"> The prior package estimated for IC-3 that the RN would spend 13 hours in the first year to initially create the educational materials (7 hours) and to update the materials that first year (6 hours) on top of 6 hours for all facilities to annually update the materials. To avoid double counting the hours for the annual update in Year 1, the initial development of the materials and the annual update are considered two separate events.</w:t>
      </w:r>
    </w:p>
  </w:footnote>
  <w:footnote w:id="14">
    <w:p w:rsidR="003B7CDD" w:rsidP="003B7CDD" w14:paraId="733F2B87" w14:textId="77777777">
      <w:pPr>
        <w:pStyle w:val="FootnoteText"/>
      </w:pPr>
      <w:r>
        <w:rPr>
          <w:rStyle w:val="FootnoteReference"/>
        </w:rPr>
        <w:footnoteRef/>
      </w:r>
      <w:r>
        <w:t xml:space="preserve"> </w:t>
      </w:r>
      <w:hyperlink r:id="rId1" w:history="1">
        <w:r w:rsidRPr="009A7FBC">
          <w:rPr>
            <w:rStyle w:val="Hyperlink"/>
          </w:rPr>
          <w:t>COVID-19 Vaccine Requirements for Long-Term Care (LTC) Facilities and Intermediate Care Facilities for Individuals with Intellectual Disabilities (ICFs-IID) Residents, Clients, and Staff</w:t>
        </w:r>
      </w:hyperlink>
      <w:r>
        <w:t xml:space="preserve">, </w:t>
      </w:r>
      <w:r w:rsidRPr="001E365F">
        <w:t>86 FR 26306</w:t>
      </w:r>
      <w:r>
        <w:t>, 26326 (May 13, 2021)</w:t>
      </w:r>
      <w:r w:rsidRPr="001E365F">
        <w:t>.</w:t>
      </w:r>
    </w:p>
  </w:footnote>
  <w:footnote w:id="15">
    <w:p w:rsidR="003B7CDD" w:rsidP="003B7CDD" w14:paraId="5975CAA9" w14:textId="77777777">
      <w:pPr>
        <w:pStyle w:val="FootnoteText"/>
      </w:pPr>
      <w:r>
        <w:rPr>
          <w:rStyle w:val="FootnoteReference"/>
        </w:rPr>
        <w:footnoteRef/>
      </w:r>
      <w:r>
        <w:t xml:space="preserve"> </w:t>
      </w:r>
      <w:hyperlink r:id="rId3" w:anchor="h-24" w:history="1">
        <w:r w:rsidRPr="00FB35B6">
          <w:rPr>
            <w:rStyle w:val="Hyperlink"/>
          </w:rPr>
          <w:t>Medicare and Medicaid Programs; Policy and Regulatory Changes to the Omnibus COVID-19 Health Care Staff Vaccination Requirements; Additional Policy and Regulatory Changes to the Requirements for Long-Term Care (LTC) Facilities and Intermediate Care Facilities for Individuals With Intellectual Disabilities (ICFs-IID) To Provide COVID-19 Vaccine Education and Offer Vaccinations to Residents, Clients, and Staff; Policy and Regulatory Changes to the Long Term Care Facility COVID-19 Testing Requirements</w:t>
        </w:r>
      </w:hyperlink>
      <w:r>
        <w:t xml:space="preserve">, </w:t>
      </w:r>
      <w:r w:rsidRPr="00065968">
        <w:t>88 FR 36485</w:t>
      </w:r>
      <w:r>
        <w:t>, 36503 (June 5, 2023)(stating “ICFs-IID must continue to educate clients, client representatives, and staff and offer the COVID–19 vaccine to clients and staff, as well as perform the appropriate documentation for these activities.”).</w:t>
      </w:r>
    </w:p>
  </w:footnote>
  <w:footnote w:id="16">
    <w:p w:rsidR="003B7CDD" w:rsidP="003B7CDD" w14:paraId="16EC8F89" w14:textId="77777777">
      <w:pPr>
        <w:pStyle w:val="FootnoteText"/>
      </w:pPr>
      <w:r>
        <w:rPr>
          <w:rStyle w:val="FootnoteReference"/>
        </w:rPr>
        <w:footnoteRef/>
      </w:r>
      <w:r>
        <w:t xml:space="preserve"> The burden from this CoP was also deemed exempt from the PRA as usual and customary business practice per </w:t>
      </w:r>
      <w:r w:rsidRPr="0025679C">
        <w:t>5 CFR §1320.3(b)(2)</w:t>
      </w:r>
      <w:r>
        <w:t xml:space="preserve"> in the </w:t>
      </w:r>
      <w:hyperlink r:id="rId1" w:history="1">
        <w:r w:rsidRPr="00F52DE8">
          <w:rPr>
            <w:rStyle w:val="Hyperlink"/>
          </w:rPr>
          <w:t>May 2021 Interim Final Rule</w:t>
        </w:r>
      </w:hyperlink>
      <w:r>
        <w:t xml:space="preserve"> at 86 FR 26306, 26326.</w:t>
      </w:r>
    </w:p>
  </w:footnote>
  <w:footnote w:id="17">
    <w:p w:rsidR="00504E25" w:rsidP="00504E25" w14:paraId="4532970C" w14:textId="77777777">
      <w:pPr>
        <w:pStyle w:val="FootnoteText"/>
      </w:pPr>
      <w:r>
        <w:rPr>
          <w:rStyle w:val="FootnoteReference"/>
        </w:rPr>
        <w:footnoteRef/>
      </w:r>
      <w:r>
        <w:t xml:space="preserve"> </w:t>
      </w:r>
      <w:hyperlink r:id="rId1" w:history="1">
        <w:r w:rsidRPr="009A7FBC">
          <w:rPr>
            <w:rStyle w:val="Hyperlink"/>
          </w:rPr>
          <w:t>COVID-19 Vaccine Requirements for Long-Term Care (LTC) Facilities and Intermediate Care Facilities for Individuals with Intellectual Disabilities (ICFs-IID) Residents, Clients, and Staff</w:t>
        </w:r>
      </w:hyperlink>
      <w:r>
        <w:t xml:space="preserve">, </w:t>
      </w:r>
      <w:r w:rsidRPr="001E365F">
        <w:t>86 FR 26306</w:t>
      </w:r>
      <w:r>
        <w:t>, 26326 (May 13, 2021)</w:t>
      </w:r>
      <w:r w:rsidRPr="001E365F">
        <w:t>.</w:t>
      </w:r>
    </w:p>
  </w:footnote>
  <w:footnote w:id="18">
    <w:p w:rsidR="00504E25" w:rsidP="00504E25" w14:paraId="40D96E9E" w14:textId="77777777">
      <w:pPr>
        <w:pStyle w:val="FootnoteText"/>
      </w:pPr>
      <w:r>
        <w:rPr>
          <w:rStyle w:val="FootnoteReference"/>
        </w:rPr>
        <w:footnoteRef/>
      </w:r>
      <w:r>
        <w:t xml:space="preserve"> The prior package applied the same assumptions used in the </w:t>
      </w:r>
      <w:hyperlink r:id="rId1" w:history="1">
        <w:r w:rsidRPr="005C5C8E">
          <w:rPr>
            <w:rStyle w:val="Hyperlink"/>
          </w:rPr>
          <w:t>May 2021 Interim Final Rule</w:t>
        </w:r>
      </w:hyperlink>
      <w:r>
        <w:t xml:space="preserve"> and estimated </w:t>
      </w:r>
      <w:r w:rsidRPr="00975F78">
        <w:t xml:space="preserve">17,316 burden hours </w:t>
      </w:r>
      <w:r>
        <w:t xml:space="preserve">and a burden </w:t>
      </w:r>
      <w:r w:rsidRPr="00975F78">
        <w:t>cost of $709,956</w:t>
      </w:r>
      <w:r>
        <w:t xml:space="preserve"> for 5,772 ICF IID facilities for this staff documentation requirement. Note the prior package incorrectly labeled this CoP as §483.460(f) instead of §483.430(f).</w:t>
      </w:r>
    </w:p>
  </w:footnote>
  <w:footnote w:id="19">
    <w:p w:rsidR="00504E25" w:rsidP="00504E25" w14:paraId="1948961E" w14:textId="77777777">
      <w:pPr>
        <w:pStyle w:val="NormalWeb"/>
        <w:shd w:val="clear" w:color="auto" w:fill="FFFFFF"/>
        <w:spacing w:before="0" w:beforeAutospacing="0" w:after="0" w:afterAutospacing="0"/>
      </w:pPr>
      <w:r>
        <w:rPr>
          <w:rStyle w:val="FootnoteReference"/>
        </w:rPr>
        <w:footnoteRef/>
      </w:r>
      <w:r w:rsidRPr="002E66A9">
        <w:rPr>
          <w:sz w:val="18"/>
          <w:szCs w:val="18"/>
        </w:rPr>
        <w:t xml:space="preserve"> </w:t>
      </w:r>
      <w:hyperlink r:id="rId2" w:anchor="h-69" w:history="1">
        <w:r w:rsidRPr="002E66A9">
          <w:rPr>
            <w:rStyle w:val="Hyperlink"/>
            <w:sz w:val="18"/>
            <w:szCs w:val="18"/>
          </w:rPr>
          <w:t>Medicare and Medicaid Programs; Omnibus COVID-19 Health Care Staff Vaccination</w:t>
        </w:r>
      </w:hyperlink>
      <w:r w:rsidRPr="002E66A9">
        <w:rPr>
          <w:sz w:val="18"/>
          <w:szCs w:val="18"/>
        </w:rPr>
        <w:t xml:space="preserve">, 86 FR 61555, 61620-21 (November 5, 2021). </w:t>
      </w:r>
    </w:p>
  </w:footnote>
  <w:footnote w:id="20">
    <w:p w:rsidR="00504E25" w:rsidP="00504E25" w14:paraId="10B3CDAD" w14:textId="77777777">
      <w:pPr>
        <w:pStyle w:val="FootnoteText"/>
      </w:pPr>
      <w:r>
        <w:rPr>
          <w:rStyle w:val="FootnoteReference"/>
        </w:rPr>
        <w:footnoteRef/>
      </w:r>
      <w:r>
        <w:t xml:space="preserve"> The burden assumptions included the task for staff documentation for every staff member would be </w:t>
      </w:r>
      <w:r w:rsidRPr="00897D19">
        <w:t>5 minutes (or .0833 hours) for a</w:t>
      </w:r>
      <w:r>
        <w:t>n</w:t>
      </w:r>
      <w:r w:rsidRPr="00897D19">
        <w:t xml:space="preserve"> RN </w:t>
      </w:r>
      <w:r>
        <w:t xml:space="preserve">(at an hourly rate of $69) and that there were 80,000 staff members </w:t>
      </w:r>
      <w:r w:rsidRPr="00897D19">
        <w:t>at 5,780 ICF-IID facilities</w:t>
      </w:r>
      <w:r>
        <w:t xml:space="preserve">. </w:t>
      </w:r>
    </w:p>
  </w:footnote>
  <w:footnote w:id="21">
    <w:p w:rsidR="00504E25" w:rsidP="00504E25" w14:paraId="3E34F3A2" w14:textId="77777777">
      <w:pPr>
        <w:pStyle w:val="FootnoteText"/>
      </w:pPr>
      <w:r w:rsidRPr="00907B8F">
        <w:rPr>
          <w:rStyle w:val="FootnoteReference"/>
        </w:rPr>
        <w:footnoteRef/>
      </w:r>
      <w:r w:rsidRPr="00907B8F">
        <w:rPr>
          <w:rStyle w:val="FootnoteReference"/>
        </w:rPr>
        <w:t xml:space="preserve"> </w:t>
      </w:r>
      <w:hyperlink r:id="rId3" w:anchor="h-24" w:history="1">
        <w:r w:rsidRPr="00FB35B6">
          <w:rPr>
            <w:rStyle w:val="Hyperlink"/>
          </w:rPr>
          <w:t>Medicare and Medicaid Programs; Policy and Regulatory Changes to the Omnibus COVID-19 Health Care Staff Vaccination Requirements; Additional Policy and Regulatory Changes to the Requirements for Long-Term Care (LTC) Facilities and Intermediate Care Facilities for Individuals With Intellectual Disabilities (ICFs-IID) To Provide COVID-19 Vaccine Education and Offer Vaccinations to Residents, Clients, and Staff; Policy and Regulatory Changes to the Long Term Care Facility COVID-19 Testing Requirements</w:t>
        </w:r>
      </w:hyperlink>
      <w:r>
        <w:t xml:space="preserve">, </w:t>
      </w:r>
      <w:r w:rsidRPr="00065968">
        <w:t>88 FR 36485</w:t>
      </w:r>
      <w:r>
        <w:t>, 36486-87 (June 5, 2023)(stating “</w:t>
      </w:r>
      <w:r w:rsidRPr="00E4498D">
        <w:t>CMS intends to encourage ongoing COVID–19 vaccination through its quality reporting and value-based incentive programs in the near future</w:t>
      </w:r>
      <w:r>
        <w:t xml:space="preserve">” and is </w:t>
      </w:r>
      <w:r w:rsidRPr="00E4498D">
        <w:t>“now aligning our approach with those for other infectious diseases, specifically influenza</w:t>
      </w:r>
      <w:r>
        <w:t>.”)</w:t>
      </w:r>
    </w:p>
  </w:footnote>
  <w:footnote w:id="22">
    <w:p w:rsidR="00504E25" w:rsidP="00504E25" w14:paraId="107367FE" w14:textId="77777777">
      <w:pPr>
        <w:pStyle w:val="FootnoteText"/>
      </w:pPr>
      <w:r>
        <w:rPr>
          <w:rStyle w:val="FootnoteReference"/>
        </w:rPr>
        <w:footnoteRef/>
      </w:r>
      <w:r>
        <w:t xml:space="preserve"> The </w:t>
      </w:r>
      <w:hyperlink r:id="rId3" w:anchor="h-24" w:history="1">
        <w:r w:rsidRPr="005026BE">
          <w:rPr>
            <w:rStyle w:val="Hyperlink"/>
          </w:rPr>
          <w:t>June 2023 Final Rule</w:t>
        </w:r>
      </w:hyperlink>
      <w:r>
        <w:t xml:space="preserve"> preamble states at </w:t>
      </w:r>
      <w:r w:rsidRPr="00065968">
        <w:t>88 FR 36485</w:t>
      </w:r>
      <w:r>
        <w:t>, 36492 that “</w:t>
      </w:r>
      <w:r w:rsidRPr="00725BBC">
        <w:t>we</w:t>
      </w:r>
      <w:r>
        <w:t xml:space="preserve"> [CMS]</w:t>
      </w:r>
      <w:r w:rsidRPr="00725BBC">
        <w:t xml:space="preserve"> are finalizing the requirements for COVID–19 vaccination of </w:t>
      </w:r>
      <w:r w:rsidRPr="00725BBC">
        <w:rPr>
          <w:b/>
          <w:bCs/>
          <w:i/>
          <w:iCs/>
        </w:rPr>
        <w:t>facility staff</w:t>
      </w:r>
      <w:r w:rsidRPr="00725BBC">
        <w:t xml:space="preserve"> and ‘‘educate and offer’’ process that ICFs–IID must meet to participate in the Medicare and Medicaid programs, as first set out in the educate and offer IFC [May 2021 Interim Final Rule] and </w:t>
      </w:r>
      <w:r w:rsidRPr="00725BBC">
        <w:rPr>
          <w:b/>
          <w:bCs/>
          <w:i/>
          <w:iCs/>
        </w:rPr>
        <w:t>amended by the staff vaccination</w:t>
      </w:r>
      <w:r w:rsidRPr="00725BBC">
        <w:t xml:space="preserve"> IFC [November 2021 Interim Final Rule</w:t>
      </w:r>
      <w:r>
        <w:t xml:space="preserve">.” </w:t>
      </w:r>
      <w:r w:rsidRPr="005026BE">
        <w:t>(emphasis added)</w:t>
      </w:r>
      <w:r>
        <w:t xml:space="preserve">. In addition, the preamble at </w:t>
      </w:r>
      <w:r w:rsidRPr="00DB1187">
        <w:t>88 FR 36485, 36503</w:t>
      </w:r>
      <w:bookmarkStart w:id="6" w:name="_Hlk174636009"/>
      <w:r>
        <w:t xml:space="preserve"> states that ICFs-IID must “</w:t>
      </w:r>
      <w:r w:rsidRPr="005026BE">
        <w:t xml:space="preserve">continue to educate clients, client representatives, </w:t>
      </w:r>
      <w:r w:rsidRPr="005026BE">
        <w:rPr>
          <w:b/>
          <w:bCs/>
          <w:i/>
          <w:iCs/>
        </w:rPr>
        <w:t>and staff</w:t>
      </w:r>
      <w:r w:rsidRPr="005026BE">
        <w:t xml:space="preserve"> and offer the COVID–19 vaccine to clients </w:t>
      </w:r>
      <w:r w:rsidRPr="005026BE">
        <w:rPr>
          <w:b/>
          <w:bCs/>
          <w:i/>
          <w:iCs/>
        </w:rPr>
        <w:t>and staff, as well as perform the appropriate documentation for these activities</w:t>
      </w:r>
      <w:r w:rsidRPr="005026BE">
        <w:t>.” (emphasis added)</w:t>
      </w:r>
      <w:r>
        <w:t>.</w:t>
      </w:r>
      <w:bookmarkEnd w:id="6"/>
    </w:p>
  </w:footnote>
  <w:footnote w:id="23">
    <w:p w:rsidR="00504E25" w:rsidP="00504E25" w14:paraId="36694275" w14:textId="77777777">
      <w:pPr>
        <w:pStyle w:val="FootnoteText"/>
      </w:pPr>
      <w:r>
        <w:rPr>
          <w:rStyle w:val="FootnoteReference"/>
        </w:rPr>
        <w:footnoteRef/>
      </w:r>
      <w:r>
        <w:t xml:space="preserve"> See all relevant CoPs for ICFs-IID at 42 CFR Part 483 Subpart I (2024).</w:t>
      </w:r>
    </w:p>
  </w:footnote>
  <w:footnote w:id="24">
    <w:p w:rsidR="00504E25" w:rsidP="00504E25" w14:paraId="04563804" w14:textId="77777777">
      <w:pPr>
        <w:pStyle w:val="FootnoteText"/>
      </w:pPr>
      <w:r>
        <w:rPr>
          <w:rStyle w:val="FootnoteReference"/>
        </w:rPr>
        <w:footnoteRef/>
      </w:r>
      <w:r>
        <w:t xml:space="preserve"> The hourly median wage for </w:t>
      </w:r>
      <w:r w:rsidRPr="00F6282B">
        <w:t>BLS Occupation Code 13-1041 (Compliance Officer – Federal/State Government)</w:t>
      </w:r>
      <w:r>
        <w:t xml:space="preserve"> for the </w:t>
      </w:r>
      <w:r w:rsidRPr="000E3591">
        <w:t>Residential Intellectual and Developmental Disability Facilities</w:t>
      </w:r>
      <w:r>
        <w:t xml:space="preserve"> Sector is $45.35 per</w:t>
      </w:r>
      <w:r w:rsidRPr="000E3591">
        <w:t xml:space="preserve"> May 2023 OEWS Industry-Specific Occupational Employment and Wage Estimates (bls.gov) </w:t>
      </w:r>
      <w:r>
        <w:t xml:space="preserve">accessed at: </w:t>
      </w:r>
      <w:hyperlink r:id="rId6" w:history="1">
        <w:r w:rsidRPr="00286D25">
          <w:rPr>
            <w:rStyle w:val="Hyperlink"/>
          </w:rPr>
          <w:t>https://www.bls.gov/oes/current/naics5_623210.htm</w:t>
        </w:r>
      </w:hyperlink>
      <w:r>
        <w:t>. Applying 100% for benefits and rounded up, the loaded hourly median wage is $91.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156E0"/>
    <w:rsid w:val="00017D9C"/>
    <w:rsid w:val="00046AB0"/>
    <w:rsid w:val="00065968"/>
    <w:rsid w:val="000715B0"/>
    <w:rsid w:val="00081513"/>
    <w:rsid w:val="00087EC0"/>
    <w:rsid w:val="000B0EDE"/>
    <w:rsid w:val="000B498D"/>
    <w:rsid w:val="000C451B"/>
    <w:rsid w:val="000D51F1"/>
    <w:rsid w:val="000D6EA2"/>
    <w:rsid w:val="000E1222"/>
    <w:rsid w:val="000E3591"/>
    <w:rsid w:val="000F3AF4"/>
    <w:rsid w:val="00105E97"/>
    <w:rsid w:val="0011164E"/>
    <w:rsid w:val="0013431D"/>
    <w:rsid w:val="00136808"/>
    <w:rsid w:val="00140279"/>
    <w:rsid w:val="001442E2"/>
    <w:rsid w:val="00146944"/>
    <w:rsid w:val="001476BD"/>
    <w:rsid w:val="001514A8"/>
    <w:rsid w:val="0017058A"/>
    <w:rsid w:val="00180C43"/>
    <w:rsid w:val="001857C8"/>
    <w:rsid w:val="00185D0C"/>
    <w:rsid w:val="001A4B2C"/>
    <w:rsid w:val="001B346A"/>
    <w:rsid w:val="001B53C0"/>
    <w:rsid w:val="001D5504"/>
    <w:rsid w:val="001D75C2"/>
    <w:rsid w:val="001E2E8F"/>
    <w:rsid w:val="001E365F"/>
    <w:rsid w:val="001F3339"/>
    <w:rsid w:val="00212FF8"/>
    <w:rsid w:val="00233A49"/>
    <w:rsid w:val="00247D50"/>
    <w:rsid w:val="00252F33"/>
    <w:rsid w:val="0025679C"/>
    <w:rsid w:val="002730D2"/>
    <w:rsid w:val="00282C36"/>
    <w:rsid w:val="0028350F"/>
    <w:rsid w:val="00283A3F"/>
    <w:rsid w:val="00286D25"/>
    <w:rsid w:val="002977C7"/>
    <w:rsid w:val="002C2BE6"/>
    <w:rsid w:val="002D2210"/>
    <w:rsid w:val="002D5802"/>
    <w:rsid w:val="002E2B45"/>
    <w:rsid w:val="002E30F6"/>
    <w:rsid w:val="002E66A9"/>
    <w:rsid w:val="00305FAE"/>
    <w:rsid w:val="003141F1"/>
    <w:rsid w:val="00321C3C"/>
    <w:rsid w:val="0034758E"/>
    <w:rsid w:val="00350F6E"/>
    <w:rsid w:val="00351DC9"/>
    <w:rsid w:val="00361345"/>
    <w:rsid w:val="00367E7E"/>
    <w:rsid w:val="00372A46"/>
    <w:rsid w:val="00381CA0"/>
    <w:rsid w:val="003946AC"/>
    <w:rsid w:val="003A61F1"/>
    <w:rsid w:val="003B7CDD"/>
    <w:rsid w:val="003D08CF"/>
    <w:rsid w:val="003D2894"/>
    <w:rsid w:val="003E18C3"/>
    <w:rsid w:val="003F5CB8"/>
    <w:rsid w:val="00402096"/>
    <w:rsid w:val="00424DC8"/>
    <w:rsid w:val="00427150"/>
    <w:rsid w:val="004316BE"/>
    <w:rsid w:val="00434049"/>
    <w:rsid w:val="00452AB6"/>
    <w:rsid w:val="00455066"/>
    <w:rsid w:val="00457F71"/>
    <w:rsid w:val="004A1FA1"/>
    <w:rsid w:val="004A494D"/>
    <w:rsid w:val="004B239D"/>
    <w:rsid w:val="004B2DC5"/>
    <w:rsid w:val="004C6147"/>
    <w:rsid w:val="004D3059"/>
    <w:rsid w:val="004D57CF"/>
    <w:rsid w:val="004E07DB"/>
    <w:rsid w:val="004E2A15"/>
    <w:rsid w:val="004F2F34"/>
    <w:rsid w:val="00500A5C"/>
    <w:rsid w:val="005020FD"/>
    <w:rsid w:val="005026BE"/>
    <w:rsid w:val="00504E25"/>
    <w:rsid w:val="0051060C"/>
    <w:rsid w:val="00533981"/>
    <w:rsid w:val="00561AC4"/>
    <w:rsid w:val="005640FF"/>
    <w:rsid w:val="00574FDE"/>
    <w:rsid w:val="005979DB"/>
    <w:rsid w:val="005A562D"/>
    <w:rsid w:val="005B03BF"/>
    <w:rsid w:val="005C2B16"/>
    <w:rsid w:val="005C42C7"/>
    <w:rsid w:val="005C5C8E"/>
    <w:rsid w:val="005D4AD3"/>
    <w:rsid w:val="005E7E9D"/>
    <w:rsid w:val="00606408"/>
    <w:rsid w:val="00617D88"/>
    <w:rsid w:val="006348AF"/>
    <w:rsid w:val="00642ACD"/>
    <w:rsid w:val="006516E1"/>
    <w:rsid w:val="006541A4"/>
    <w:rsid w:val="00655BF5"/>
    <w:rsid w:val="00664E82"/>
    <w:rsid w:val="006734E6"/>
    <w:rsid w:val="00683310"/>
    <w:rsid w:val="0068781E"/>
    <w:rsid w:val="00693CC7"/>
    <w:rsid w:val="006A5E55"/>
    <w:rsid w:val="006B4EAF"/>
    <w:rsid w:val="006C6E62"/>
    <w:rsid w:val="006D3B8C"/>
    <w:rsid w:val="006D3BC2"/>
    <w:rsid w:val="006E393B"/>
    <w:rsid w:val="00725BBC"/>
    <w:rsid w:val="0074360E"/>
    <w:rsid w:val="00762CA7"/>
    <w:rsid w:val="00777FC7"/>
    <w:rsid w:val="00793BC2"/>
    <w:rsid w:val="007942E5"/>
    <w:rsid w:val="00794F0F"/>
    <w:rsid w:val="007A1430"/>
    <w:rsid w:val="007A6DD8"/>
    <w:rsid w:val="00801D56"/>
    <w:rsid w:val="00802F42"/>
    <w:rsid w:val="008130BF"/>
    <w:rsid w:val="0081631C"/>
    <w:rsid w:val="00821C87"/>
    <w:rsid w:val="008234B8"/>
    <w:rsid w:val="00837783"/>
    <w:rsid w:val="00855F9E"/>
    <w:rsid w:val="00870D59"/>
    <w:rsid w:val="00874837"/>
    <w:rsid w:val="00884120"/>
    <w:rsid w:val="00890284"/>
    <w:rsid w:val="008960EB"/>
    <w:rsid w:val="00897D19"/>
    <w:rsid w:val="008A0CDC"/>
    <w:rsid w:val="008B047A"/>
    <w:rsid w:val="008C7260"/>
    <w:rsid w:val="008E222F"/>
    <w:rsid w:val="008E7A67"/>
    <w:rsid w:val="008F1EB4"/>
    <w:rsid w:val="008F2CA4"/>
    <w:rsid w:val="00907B8F"/>
    <w:rsid w:val="00922A9B"/>
    <w:rsid w:val="00975F78"/>
    <w:rsid w:val="00984729"/>
    <w:rsid w:val="00992FF2"/>
    <w:rsid w:val="009943DC"/>
    <w:rsid w:val="009963E6"/>
    <w:rsid w:val="009A3E3C"/>
    <w:rsid w:val="009A7FBC"/>
    <w:rsid w:val="009C2F15"/>
    <w:rsid w:val="009C7A4C"/>
    <w:rsid w:val="009F06FB"/>
    <w:rsid w:val="009F4D0E"/>
    <w:rsid w:val="00A26F99"/>
    <w:rsid w:val="00A2777D"/>
    <w:rsid w:val="00A37FDB"/>
    <w:rsid w:val="00A4119B"/>
    <w:rsid w:val="00A432BC"/>
    <w:rsid w:val="00A602C3"/>
    <w:rsid w:val="00A63BE6"/>
    <w:rsid w:val="00A6585D"/>
    <w:rsid w:val="00A71FE8"/>
    <w:rsid w:val="00A83DCB"/>
    <w:rsid w:val="00A91837"/>
    <w:rsid w:val="00A97A46"/>
    <w:rsid w:val="00AA20A7"/>
    <w:rsid w:val="00AA4CF8"/>
    <w:rsid w:val="00AD2314"/>
    <w:rsid w:val="00AD49AE"/>
    <w:rsid w:val="00AE58CD"/>
    <w:rsid w:val="00AF465E"/>
    <w:rsid w:val="00AF4E4C"/>
    <w:rsid w:val="00AF7AD4"/>
    <w:rsid w:val="00B05E62"/>
    <w:rsid w:val="00B13C27"/>
    <w:rsid w:val="00B1439A"/>
    <w:rsid w:val="00B17474"/>
    <w:rsid w:val="00B23437"/>
    <w:rsid w:val="00B34F0F"/>
    <w:rsid w:val="00B40115"/>
    <w:rsid w:val="00B40A77"/>
    <w:rsid w:val="00B577ED"/>
    <w:rsid w:val="00B6451C"/>
    <w:rsid w:val="00B720EF"/>
    <w:rsid w:val="00B963C2"/>
    <w:rsid w:val="00B96594"/>
    <w:rsid w:val="00BA13D1"/>
    <w:rsid w:val="00BA57F3"/>
    <w:rsid w:val="00BB0F83"/>
    <w:rsid w:val="00BC6BB9"/>
    <w:rsid w:val="00BD3DDE"/>
    <w:rsid w:val="00BD75FB"/>
    <w:rsid w:val="00BE240E"/>
    <w:rsid w:val="00C041CF"/>
    <w:rsid w:val="00C31A48"/>
    <w:rsid w:val="00C34B34"/>
    <w:rsid w:val="00C5136A"/>
    <w:rsid w:val="00C609DC"/>
    <w:rsid w:val="00C6125A"/>
    <w:rsid w:val="00C6269A"/>
    <w:rsid w:val="00C73B60"/>
    <w:rsid w:val="00C75D4A"/>
    <w:rsid w:val="00C83965"/>
    <w:rsid w:val="00C9460E"/>
    <w:rsid w:val="00C95384"/>
    <w:rsid w:val="00CA3F5A"/>
    <w:rsid w:val="00CA67AB"/>
    <w:rsid w:val="00CC64CD"/>
    <w:rsid w:val="00CC79BB"/>
    <w:rsid w:val="00CD0BA0"/>
    <w:rsid w:val="00CE7B51"/>
    <w:rsid w:val="00D10236"/>
    <w:rsid w:val="00D15C2F"/>
    <w:rsid w:val="00D23736"/>
    <w:rsid w:val="00D45132"/>
    <w:rsid w:val="00D46E61"/>
    <w:rsid w:val="00D551A8"/>
    <w:rsid w:val="00D5713E"/>
    <w:rsid w:val="00D70DCD"/>
    <w:rsid w:val="00D7773E"/>
    <w:rsid w:val="00D82ABB"/>
    <w:rsid w:val="00D879A1"/>
    <w:rsid w:val="00D928D1"/>
    <w:rsid w:val="00DB1187"/>
    <w:rsid w:val="00DB167F"/>
    <w:rsid w:val="00DC7104"/>
    <w:rsid w:val="00DD019A"/>
    <w:rsid w:val="00DD160C"/>
    <w:rsid w:val="00DE3956"/>
    <w:rsid w:val="00E05497"/>
    <w:rsid w:val="00E05964"/>
    <w:rsid w:val="00E07338"/>
    <w:rsid w:val="00E2379E"/>
    <w:rsid w:val="00E31C8B"/>
    <w:rsid w:val="00E33266"/>
    <w:rsid w:val="00E42A2E"/>
    <w:rsid w:val="00E4498D"/>
    <w:rsid w:val="00E47F47"/>
    <w:rsid w:val="00E500C9"/>
    <w:rsid w:val="00E51396"/>
    <w:rsid w:val="00E55902"/>
    <w:rsid w:val="00E7002C"/>
    <w:rsid w:val="00E7336B"/>
    <w:rsid w:val="00E76F07"/>
    <w:rsid w:val="00E820E7"/>
    <w:rsid w:val="00EA36ED"/>
    <w:rsid w:val="00EA41B3"/>
    <w:rsid w:val="00EA464A"/>
    <w:rsid w:val="00EB41F8"/>
    <w:rsid w:val="00EC5D43"/>
    <w:rsid w:val="00EF6143"/>
    <w:rsid w:val="00F1085B"/>
    <w:rsid w:val="00F25AE9"/>
    <w:rsid w:val="00F324CA"/>
    <w:rsid w:val="00F367B4"/>
    <w:rsid w:val="00F52DE8"/>
    <w:rsid w:val="00F6282B"/>
    <w:rsid w:val="00F66C2E"/>
    <w:rsid w:val="00F67479"/>
    <w:rsid w:val="00F74E7E"/>
    <w:rsid w:val="00F802A9"/>
    <w:rsid w:val="00F81ED0"/>
    <w:rsid w:val="00F82C86"/>
    <w:rsid w:val="00FA437C"/>
    <w:rsid w:val="00FA68D3"/>
    <w:rsid w:val="00FB35B6"/>
    <w:rsid w:val="00FC0371"/>
    <w:rsid w:val="00FD1135"/>
    <w:rsid w:val="00FF0BB8"/>
    <w:rsid w:val="00FF2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5CEEF1"/>
  <w15:chartTrackingRefBased/>
  <w15:docId w15:val="{A3759C50-3B48-409E-8B40-48909D8B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1FE8"/>
    <w:rPr>
      <w:szCs w:val="24"/>
    </w:rPr>
  </w:style>
  <w:style w:type="paragraph" w:styleId="Heading5">
    <w:name w:val="heading 5"/>
    <w:basedOn w:val="Normal"/>
    <w:next w:val="Normal"/>
    <w:link w:val="Heading5Char"/>
    <w:semiHidden/>
    <w:unhideWhenUsed/>
    <w:qFormat/>
    <w:rsid w:val="00A602C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qFormat/>
    <w:rsid w:val="006516E1"/>
    <w:rPr>
      <w:rFonts w:ascii="Times New Roman" w:hAnsi="Times New Roman"/>
      <w:b w:val="0"/>
      <w:i w:val="0"/>
      <w:caps w:val="0"/>
      <w:smallCaps w:val="0"/>
      <w:strike w:val="0"/>
      <w:dstrike w:val="0"/>
      <w:vanish w:val="0"/>
      <w:color w:val="auto"/>
      <w:sz w:val="22"/>
      <w:vertAlign w:val="superscript"/>
      <w14:shadow w14:blurRad="0" w14:dist="0" w14:dir="0" w14:sx="0" w14:sy="0" w14:kx="0" w14:ky="0" w14:algn="none">
        <w14:srgbClr w14:val="000000"/>
      </w14:shadow>
      <w14:textOutline w14:w="0" w14:cap="rnd">
        <w14:noFill/>
        <w14:prstDash w14:val="solid"/>
        <w14:bevel/>
      </w14:textOutline>
    </w:rPr>
  </w:style>
  <w:style w:type="paragraph" w:styleId="FootnoteText">
    <w:name w:val="footnote text"/>
    <w:basedOn w:val="Normal"/>
    <w:link w:val="FootnoteTextChar"/>
    <w:autoRedefine/>
    <w:uiPriority w:val="99"/>
    <w:qFormat/>
    <w:rsid w:val="000C451B"/>
    <w:rPr>
      <w:snapToGrid w:val="0"/>
      <w:sz w:val="18"/>
      <w:szCs w:val="20"/>
    </w:rPr>
  </w:style>
  <w:style w:type="character" w:customStyle="1" w:styleId="FootnoteTextChar">
    <w:name w:val="Footnote Text Char"/>
    <w:link w:val="FootnoteText"/>
    <w:uiPriority w:val="99"/>
    <w:rsid w:val="000C451B"/>
    <w:rPr>
      <w:snapToGrid w:val="0"/>
      <w:sz w:val="18"/>
    </w:rPr>
  </w:style>
  <w:style w:type="table" w:styleId="TableGrid">
    <w:name w:val="Table Grid"/>
    <w:basedOn w:val="TableNormal"/>
    <w:rsid w:val="00372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1C87"/>
    <w:pPr>
      <w:spacing w:before="100" w:beforeAutospacing="1" w:after="100" w:afterAutospacing="1"/>
    </w:pPr>
    <w:rPr>
      <w:sz w:val="24"/>
    </w:rPr>
  </w:style>
  <w:style w:type="character" w:styleId="CommentReference">
    <w:name w:val="annotation reference"/>
    <w:rsid w:val="00046AB0"/>
    <w:rPr>
      <w:sz w:val="16"/>
      <w:szCs w:val="16"/>
    </w:rPr>
  </w:style>
  <w:style w:type="paragraph" w:styleId="CommentText">
    <w:name w:val="annotation text"/>
    <w:basedOn w:val="Normal"/>
    <w:link w:val="CommentTextChar"/>
    <w:rsid w:val="00046AB0"/>
    <w:rPr>
      <w:szCs w:val="20"/>
    </w:rPr>
  </w:style>
  <w:style w:type="character" w:customStyle="1" w:styleId="CommentTextChar">
    <w:name w:val="Comment Text Char"/>
    <w:basedOn w:val="DefaultParagraphFont"/>
    <w:link w:val="CommentText"/>
    <w:rsid w:val="00046AB0"/>
  </w:style>
  <w:style w:type="paragraph" w:styleId="CommentSubject">
    <w:name w:val="annotation subject"/>
    <w:basedOn w:val="CommentText"/>
    <w:next w:val="CommentText"/>
    <w:link w:val="CommentSubjectChar"/>
    <w:rsid w:val="00046AB0"/>
    <w:rPr>
      <w:b/>
      <w:bCs/>
    </w:rPr>
  </w:style>
  <w:style w:type="character" w:customStyle="1" w:styleId="CommentSubjectChar">
    <w:name w:val="Comment Subject Char"/>
    <w:link w:val="CommentSubject"/>
    <w:rsid w:val="00046AB0"/>
    <w:rPr>
      <w:b/>
      <w:bCs/>
    </w:rPr>
  </w:style>
  <w:style w:type="paragraph" w:styleId="BalloonText">
    <w:name w:val="Balloon Text"/>
    <w:basedOn w:val="Normal"/>
    <w:link w:val="BalloonTextChar"/>
    <w:rsid w:val="00046AB0"/>
    <w:rPr>
      <w:rFonts w:ascii="Segoe UI" w:hAnsi="Segoe UI" w:cs="Segoe UI"/>
      <w:sz w:val="18"/>
      <w:szCs w:val="18"/>
    </w:rPr>
  </w:style>
  <w:style w:type="character" w:customStyle="1" w:styleId="BalloonTextChar">
    <w:name w:val="Balloon Text Char"/>
    <w:link w:val="BalloonText"/>
    <w:rsid w:val="00046AB0"/>
    <w:rPr>
      <w:rFonts w:ascii="Segoe UI" w:hAnsi="Segoe UI" w:cs="Segoe UI"/>
      <w:sz w:val="18"/>
      <w:szCs w:val="18"/>
    </w:rPr>
  </w:style>
  <w:style w:type="character" w:styleId="Hyperlink">
    <w:name w:val="Hyperlink"/>
    <w:uiPriority w:val="99"/>
    <w:rsid w:val="00802F42"/>
    <w:rPr>
      <w:color w:val="0000FF"/>
      <w:u w:val="single"/>
    </w:rPr>
  </w:style>
  <w:style w:type="paragraph" w:styleId="Revision">
    <w:name w:val="Revision"/>
    <w:hidden/>
    <w:uiPriority w:val="99"/>
    <w:semiHidden/>
    <w:rsid w:val="008234B8"/>
    <w:rPr>
      <w:szCs w:val="24"/>
    </w:rPr>
  </w:style>
  <w:style w:type="character" w:customStyle="1" w:styleId="StyleFootnoteReference11ptSuperscript">
    <w:name w:val="Style Footnote Reference + 11 pt Superscript"/>
    <w:qFormat/>
    <w:rsid w:val="006516E1"/>
    <w:rPr>
      <w:rFonts w:ascii="Times New Roman" w:hAnsi="Times New Roman"/>
      <w:b w:val="0"/>
      <w:i w:val="0"/>
      <w:caps w:val="0"/>
      <w:smallCaps w:val="0"/>
      <w:strike w:val="0"/>
      <w:dstrike w:val="0"/>
      <w:vanish w:val="0"/>
      <w:color w:val="auto"/>
      <w:sz w:val="22"/>
      <w:vertAlign w:val="superscript"/>
      <w14:shadow w14:blurRad="0" w14:dist="0" w14:dir="0" w14:sx="0" w14:sy="0" w14:kx="0" w14:ky="0" w14:algn="none">
        <w14:srgbClr w14:val="000000"/>
      </w14:shadow>
      <w14:textOutline w14:w="0" w14:cap="rnd">
        <w14:noFill/>
        <w14:prstDash w14:val="solid"/>
        <w14:bevel/>
      </w14:textOutline>
    </w:rPr>
  </w:style>
  <w:style w:type="character" w:styleId="UnresolvedMention">
    <w:name w:val="Unresolved Mention"/>
    <w:uiPriority w:val="99"/>
    <w:semiHidden/>
    <w:unhideWhenUsed/>
    <w:rsid w:val="00FF25D1"/>
    <w:rPr>
      <w:color w:val="605E5C"/>
      <w:shd w:val="clear" w:color="auto" w:fill="E1DFDD"/>
    </w:rPr>
  </w:style>
  <w:style w:type="paragraph" w:styleId="ListParagraph">
    <w:name w:val="List Paragraph"/>
    <w:basedOn w:val="Normal"/>
    <w:uiPriority w:val="34"/>
    <w:qFormat/>
    <w:rsid w:val="0014694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napToGrid w:val="0"/>
      <w:color w:val="000000"/>
      <w:sz w:val="24"/>
      <w:szCs w:val="20"/>
    </w:rPr>
  </w:style>
  <w:style w:type="paragraph" w:customStyle="1" w:styleId="HeadingLevel5">
    <w:name w:val="Heading Level 5"/>
    <w:basedOn w:val="Heading5"/>
    <w:link w:val="HeadingLevel5Char"/>
    <w:qFormat/>
    <w:rsid w:val="00A602C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0"/>
      <w:ind w:left="720"/>
      <w:jc w:val="center"/>
    </w:pPr>
    <w:rPr>
      <w:rFonts w:ascii="Times New Roman" w:hAnsi="Times New Roman"/>
      <w:i w:val="0"/>
      <w:color w:val="000000"/>
      <w:sz w:val="24"/>
      <w:szCs w:val="20"/>
      <w:u w:val="single"/>
    </w:rPr>
  </w:style>
  <w:style w:type="character" w:customStyle="1" w:styleId="HeadingLevel5Char">
    <w:name w:val="Heading Level 5 Char"/>
    <w:link w:val="HeadingLevel5"/>
    <w:rsid w:val="00A602C3"/>
    <w:rPr>
      <w:b/>
      <w:bCs/>
      <w:iCs/>
      <w:color w:val="000000"/>
      <w:sz w:val="24"/>
      <w:u w:val="single"/>
    </w:rPr>
  </w:style>
  <w:style w:type="character" w:customStyle="1" w:styleId="Heading5Char">
    <w:name w:val="Heading 5 Char"/>
    <w:link w:val="Heading5"/>
    <w:semiHidden/>
    <w:rsid w:val="00A602C3"/>
    <w:rPr>
      <w:rFonts w:ascii="Calibri" w:eastAsia="Times New Roman" w:hAnsi="Calibri" w:cs="Times New Roman"/>
      <w:b/>
      <w:bCs/>
      <w:i/>
      <w:iCs/>
      <w:sz w:val="26"/>
      <w:szCs w:val="26"/>
    </w:rPr>
  </w:style>
  <w:style w:type="paragraph" w:customStyle="1" w:styleId="Style0">
    <w:name w:val="Style0"/>
    <w:link w:val="Style0Char"/>
    <w:rsid w:val="00504E25"/>
    <w:rPr>
      <w:snapToGrid w:val="0"/>
      <w:sz w:val="24"/>
    </w:rPr>
  </w:style>
  <w:style w:type="character" w:customStyle="1" w:styleId="Style0Char">
    <w:name w:val="Style0 Char"/>
    <w:link w:val="Style0"/>
    <w:rsid w:val="00504E2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1/05/13/2021-10122/medicare-and-medicaid-programs-covid-19-vaccine-requirements-for-long-term-care-ltc-facilities-and" TargetMode="External" /><Relationship Id="rId11" Type="http://schemas.openxmlformats.org/officeDocument/2006/relationships/hyperlink" Target="https://www.federalregister.gov/documents/2021/11/05/2021-23831/medicare-and-medicaid-programs-omnibus-covid-19-health-care-staff-vaccination" TargetMode="External" /><Relationship Id="rId12" Type="http://schemas.openxmlformats.org/officeDocument/2006/relationships/hyperlink" Target="https://www.federalregister.gov/documents/2023/06/05/2023-11449/medicare-and-medicaid-programs-policy-and-regulatory-changes-to-the-omnibus-covid-19-health-care" TargetMode="External" /><Relationship Id="rId13" Type="http://schemas.openxmlformats.org/officeDocument/2006/relationships/hyperlink" Target="https://www.bls.gov/oes/current/naics5_623210.htm" TargetMode="External" /><Relationship Id="rId14" Type="http://schemas.openxmlformats.org/officeDocument/2006/relationships/hyperlink" Target="https://www.naics.com/naics-code-description/?code=623210"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1/05/13/2021-10122/medicare-and-medicaid-programs-covid-19-vaccine-requirements-for-long-term-care-ltc-facilities-and" TargetMode="External" /><Relationship Id="rId2" Type="http://schemas.openxmlformats.org/officeDocument/2006/relationships/hyperlink" Target="https://www.federalregister.gov/documents/2021/11/05/2021-23831/medicare-and-medicaid-programs-omnibus-covid-19-health-care-staff-vaccination" TargetMode="External" /><Relationship Id="rId3" Type="http://schemas.openxmlformats.org/officeDocument/2006/relationships/hyperlink" Target="https://www.federalregister.gov/documents/2023/06/05/2023-11449/medicare-and-medicaid-programs-policy-and-regulatory-changes-to-the-omnibus-covid-19-health-care" TargetMode="External" /><Relationship Id="rId4" Type="http://schemas.openxmlformats.org/officeDocument/2006/relationships/hyperlink" Target="https://www.hhs.gov/coronavirus/covid-19-public-health-emergency/index.html" TargetMode="External" /><Relationship Id="rId5" Type="http://schemas.openxmlformats.org/officeDocument/2006/relationships/hyperlink" Target="https://qcor.cms.gov/index_new.jsp" TargetMode="External" /><Relationship Id="rId6" Type="http://schemas.openxmlformats.org/officeDocument/2006/relationships/hyperlink" Target="https://www.bls.gov/oes/current/naics5_62321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D5248AA31B054B851509F89626049A" ma:contentTypeVersion="12" ma:contentTypeDescription="Create a new document." ma:contentTypeScope="" ma:versionID="d36315b0857f3a34e31e7a19a6983f09">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80858-2CCB-4574-8F52-77D04E6F1020}">
  <ds:schemaRefs>
    <ds:schemaRef ds:uri="Microsoft.SharePoint.Taxonomy.ContentTypeSync"/>
  </ds:schemaRefs>
</ds:datastoreItem>
</file>

<file path=customXml/itemProps2.xml><?xml version="1.0" encoding="utf-8"?>
<ds:datastoreItem xmlns:ds="http://schemas.openxmlformats.org/officeDocument/2006/customXml" ds:itemID="{545C594B-278B-438F-9C51-CC3A0FD1404C}">
  <ds:schemaRefs>
    <ds:schemaRef ds:uri="http://schemas.openxmlformats.org/officeDocument/2006/bibliography"/>
  </ds:schemaRefs>
</ds:datastoreItem>
</file>

<file path=customXml/itemProps3.xml><?xml version="1.0" encoding="utf-8"?>
<ds:datastoreItem xmlns:ds="http://schemas.openxmlformats.org/officeDocument/2006/customXml" ds:itemID="{6A9E5CEE-BC91-4B83-89B4-49F3BA890A1A}">
  <ds:schemaRefs>
    <ds:schemaRef ds:uri="http://schemas.microsoft.com/sharepoint/v3/contenttype/forms"/>
  </ds:schemaRefs>
</ds:datastoreItem>
</file>

<file path=customXml/itemProps4.xml><?xml version="1.0" encoding="utf-8"?>
<ds:datastoreItem xmlns:ds="http://schemas.openxmlformats.org/officeDocument/2006/customXml" ds:itemID="{4F790FE1-B5E2-41ED-8B8A-1ED4D8FD01D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2A7D687-739F-49F5-AAA8-DAB116319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4831</Words>
  <Characters>29323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King, Denise (CMS/OSORA)</cp:lastModifiedBy>
  <cp:revision>3</cp:revision>
  <dcterms:created xsi:type="dcterms:W3CDTF">2024-12-10T21:36:00Z</dcterms:created>
  <dcterms:modified xsi:type="dcterms:W3CDTF">2025-06-23T19:58:00Z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