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79"/>
        <w:ind w:left="0" w:right="358" w:firstLine="0"/>
        <w:jc w:val="center"/>
        <w:rPr>
          <w:b/>
          <w:sz w:val="24"/>
        </w:rPr>
      </w:pPr>
      <w:r>
        <w:rPr>
          <w:b/>
          <w:sz w:val="24"/>
        </w:rPr>
        <w:t>SUPPORTING</w:t>
      </w:r>
      <w:r>
        <w:rPr>
          <w:b/>
          <w:spacing w:val="-1"/>
          <w:sz w:val="24"/>
        </w:rPr>
        <w:t xml:space="preserve"> </w:t>
      </w:r>
      <w:r>
        <w:rPr>
          <w:b/>
          <w:spacing w:val="-2"/>
          <w:sz w:val="24"/>
        </w:rPr>
        <w:t>STATEMENT</w:t>
      </w:r>
    </w:p>
    <w:p>
      <w:pPr>
        <w:spacing w:before="0"/>
        <w:ind w:left="960" w:right="1319" w:firstLine="0"/>
        <w:jc w:val="center"/>
        <w:rPr>
          <w:b/>
          <w:sz w:val="24"/>
        </w:rPr>
      </w:pPr>
      <w:r>
        <w:rPr>
          <w:b/>
          <w:sz w:val="24"/>
        </w:rPr>
        <w:t>Clearance</w:t>
      </w:r>
      <w:r>
        <w:rPr>
          <w:b/>
          <w:spacing w:val="-6"/>
          <w:sz w:val="24"/>
        </w:rPr>
        <w:t xml:space="preserve"> </w:t>
      </w:r>
      <w:r>
        <w:rPr>
          <w:b/>
          <w:sz w:val="24"/>
        </w:rPr>
        <w:t>for</w:t>
      </w:r>
      <w:r>
        <w:rPr>
          <w:b/>
          <w:spacing w:val="-5"/>
          <w:sz w:val="24"/>
        </w:rPr>
        <w:t xml:space="preserve"> </w:t>
      </w:r>
      <w:r>
        <w:rPr>
          <w:b/>
          <w:sz w:val="24"/>
        </w:rPr>
        <w:t>Evaluation</w:t>
      </w:r>
      <w:r>
        <w:rPr>
          <w:b/>
          <w:spacing w:val="-5"/>
          <w:sz w:val="24"/>
        </w:rPr>
        <w:t xml:space="preserve"> </w:t>
      </w:r>
      <w:r>
        <w:rPr>
          <w:b/>
          <w:sz w:val="24"/>
        </w:rPr>
        <w:t>of</w:t>
      </w:r>
      <w:r>
        <w:rPr>
          <w:b/>
          <w:spacing w:val="-5"/>
          <w:sz w:val="24"/>
        </w:rPr>
        <w:t xml:space="preserve"> </w:t>
      </w:r>
      <w:r>
        <w:rPr>
          <w:b/>
          <w:sz w:val="24"/>
        </w:rPr>
        <w:t>Stakeholder</w:t>
      </w:r>
      <w:r>
        <w:rPr>
          <w:b/>
          <w:spacing w:val="-6"/>
          <w:sz w:val="24"/>
        </w:rPr>
        <w:t xml:space="preserve"> </w:t>
      </w:r>
      <w:r>
        <w:rPr>
          <w:b/>
          <w:sz w:val="24"/>
        </w:rPr>
        <w:t>Training</w:t>
      </w:r>
      <w:r>
        <w:rPr>
          <w:b/>
          <w:spacing w:val="-5"/>
          <w:sz w:val="24"/>
        </w:rPr>
        <w:t xml:space="preserve"> </w:t>
      </w:r>
      <w:r>
        <w:rPr>
          <w:b/>
          <w:sz w:val="24"/>
        </w:rPr>
        <w:t>and</w:t>
      </w:r>
      <w:r>
        <w:rPr>
          <w:b/>
          <w:spacing w:val="-5"/>
          <w:sz w:val="24"/>
        </w:rPr>
        <w:t xml:space="preserve"> </w:t>
      </w:r>
      <w:r>
        <w:rPr>
          <w:b/>
          <w:sz w:val="24"/>
        </w:rPr>
        <w:t>Program</w:t>
      </w:r>
      <w:r>
        <w:rPr>
          <w:b/>
          <w:spacing w:val="-4"/>
          <w:sz w:val="24"/>
        </w:rPr>
        <w:t xml:space="preserve"> </w:t>
      </w:r>
      <w:r>
        <w:rPr>
          <w:b/>
          <w:sz w:val="24"/>
        </w:rPr>
        <w:t xml:space="preserve">Support </w:t>
      </w:r>
      <w:r>
        <w:rPr>
          <w:b/>
          <w:spacing w:val="-2"/>
          <w:sz w:val="24"/>
        </w:rPr>
        <w:t>CMS-10598/OMB-0938-1331</w:t>
      </w:r>
    </w:p>
    <w:p>
      <w:pPr>
        <w:pStyle w:val="BodyText"/>
        <w:rPr>
          <w:b/>
        </w:rPr>
      </w:pPr>
    </w:p>
    <w:p>
      <w:pPr>
        <w:spacing w:before="0"/>
        <w:ind w:left="720" w:right="0" w:firstLine="0"/>
        <w:jc w:val="left"/>
        <w:rPr>
          <w:b/>
          <w:sz w:val="24"/>
        </w:rPr>
      </w:pPr>
      <w:r>
        <w:rPr>
          <w:b/>
          <w:spacing w:val="-2"/>
          <w:sz w:val="24"/>
          <w:u w:val="single"/>
        </w:rPr>
        <w:t>BACKGROUND</w:t>
      </w:r>
    </w:p>
    <w:p>
      <w:pPr>
        <w:pStyle w:val="BodyText"/>
        <w:rPr>
          <w:b/>
        </w:rPr>
      </w:pPr>
    </w:p>
    <w:p>
      <w:pPr>
        <w:pStyle w:val="BodyText"/>
        <w:ind w:left="720" w:right="370"/>
      </w:pPr>
      <w:r>
        <w:t>The</w:t>
      </w:r>
      <w:r>
        <w:rPr>
          <w:spacing w:val="-5"/>
        </w:rPr>
        <w:t xml:space="preserve"> </w:t>
      </w:r>
      <w:r>
        <w:t>Affordable</w:t>
      </w:r>
      <w:r>
        <w:rPr>
          <w:spacing w:val="-3"/>
        </w:rPr>
        <w:t xml:space="preserve"> </w:t>
      </w:r>
      <w:r>
        <w:t>Care</w:t>
      </w:r>
      <w:r>
        <w:rPr>
          <w:spacing w:val="-5"/>
        </w:rPr>
        <w:t xml:space="preserve"> </w:t>
      </w:r>
      <w:r>
        <w:t>Act</w:t>
      </w:r>
      <w:r>
        <w:rPr>
          <w:spacing w:val="-3"/>
        </w:rPr>
        <w:t xml:space="preserve"> </w:t>
      </w:r>
      <w:r>
        <w:t>(ACA)</w:t>
      </w:r>
      <w:r>
        <w:rPr>
          <w:spacing w:val="-5"/>
        </w:rPr>
        <w:t xml:space="preserve"> </w:t>
      </w:r>
      <w:r>
        <w:t>was</w:t>
      </w:r>
      <w:r>
        <w:rPr>
          <w:spacing w:val="-1"/>
        </w:rPr>
        <w:t xml:space="preserve"> </w:t>
      </w:r>
      <w:r>
        <w:t>enacted</w:t>
      </w:r>
      <w:r>
        <w:rPr>
          <w:spacing w:val="-3"/>
        </w:rPr>
        <w:t xml:space="preserve"> </w:t>
      </w:r>
      <w:r>
        <w:t>to</w:t>
      </w:r>
      <w:r>
        <w:rPr>
          <w:spacing w:val="-3"/>
        </w:rPr>
        <w:t xml:space="preserve"> </w:t>
      </w:r>
      <w:r>
        <w:t>assist</w:t>
      </w:r>
      <w:r>
        <w:rPr>
          <w:spacing w:val="-3"/>
        </w:rPr>
        <w:t xml:space="preserve"> </w:t>
      </w:r>
      <w:r>
        <w:t>millions</w:t>
      </w:r>
      <w:r>
        <w:rPr>
          <w:spacing w:val="-3"/>
        </w:rPr>
        <w:t xml:space="preserve"> </w:t>
      </w:r>
      <w:r>
        <w:t>of</w:t>
      </w:r>
      <w:r>
        <w:rPr>
          <w:spacing w:val="-3"/>
        </w:rPr>
        <w:t xml:space="preserve"> </w:t>
      </w:r>
      <w:r>
        <w:t>Americans</w:t>
      </w:r>
      <w:r>
        <w:rPr>
          <w:spacing w:val="-3"/>
        </w:rPr>
        <w:t xml:space="preserve"> </w:t>
      </w:r>
      <w:r>
        <w:t>in</w:t>
      </w:r>
      <w:r>
        <w:rPr>
          <w:spacing w:val="-3"/>
        </w:rPr>
        <w:t xml:space="preserve"> </w:t>
      </w:r>
      <w:r>
        <w:t>obtaining affordable health care services and to allow more employers to offer insurance coverage to</w:t>
      </w:r>
      <w:r>
        <w:rPr>
          <w:spacing w:val="-1"/>
        </w:rPr>
        <w:t xml:space="preserve"> </w:t>
      </w:r>
      <w:r>
        <w:t>their</w:t>
      </w:r>
      <w:r>
        <w:rPr>
          <w:spacing w:val="-1"/>
        </w:rPr>
        <w:t xml:space="preserve"> </w:t>
      </w:r>
      <w:r>
        <w:t>employees</w:t>
      </w:r>
      <w:r>
        <w:rPr>
          <w:spacing w:val="-1"/>
        </w:rPr>
        <w:t xml:space="preserve"> </w:t>
      </w:r>
      <w:r>
        <w:t>in</w:t>
      </w:r>
      <w:r>
        <w:rPr>
          <w:spacing w:val="-1"/>
        </w:rPr>
        <w:t xml:space="preserve"> </w:t>
      </w:r>
      <w:r>
        <w:t>a</w:t>
      </w:r>
      <w:r>
        <w:rPr>
          <w:spacing w:val="-2"/>
        </w:rPr>
        <w:t xml:space="preserve"> </w:t>
      </w:r>
      <w:r>
        <w:t>cost-effective</w:t>
      </w:r>
      <w:r>
        <w:rPr>
          <w:spacing w:val="-1"/>
        </w:rPr>
        <w:t xml:space="preserve"> </w:t>
      </w:r>
      <w:r>
        <w:t>manner.</w:t>
      </w:r>
      <w:r>
        <w:rPr>
          <w:spacing w:val="-2"/>
        </w:rPr>
        <w:t xml:space="preserve"> </w:t>
      </w:r>
      <w:r>
        <w:t>Since</w:t>
      </w:r>
      <w:r>
        <w:rPr>
          <w:spacing w:val="-3"/>
        </w:rPr>
        <w:t xml:space="preserve"> </w:t>
      </w:r>
      <w:r>
        <w:t>the</w:t>
      </w:r>
      <w:r>
        <w:rPr>
          <w:spacing w:val="-1"/>
        </w:rPr>
        <w:t xml:space="preserve"> </w:t>
      </w:r>
      <w:r>
        <w:t>implementation</w:t>
      </w:r>
      <w:r>
        <w:rPr>
          <w:spacing w:val="-1"/>
        </w:rPr>
        <w:t xml:space="preserve"> </w:t>
      </w:r>
      <w:r>
        <w:t>of ACA</w:t>
      </w:r>
      <w:r>
        <w:rPr>
          <w:spacing w:val="-1"/>
        </w:rPr>
        <w:t xml:space="preserve"> </w:t>
      </w:r>
      <w:r>
        <w:t>in</w:t>
      </w:r>
      <w:r>
        <w:rPr>
          <w:spacing w:val="-1"/>
        </w:rPr>
        <w:t xml:space="preserve"> </w:t>
      </w:r>
      <w:r>
        <w:t>2014, individuals and small businesses have been able to purchase private health insurance through competitive marketplaces called the “Health Insurance Marketplace” (Marketplace). The Centers for Medicare &amp; Medicaid Services (CMS) issued regulations for the establishment and practices of Marketplaces in States. The cooperation and coordination of States, health insurance issuers, the Federal Government and other key stakeholders is essential to the continued success of the Marketplace.</w:t>
      </w:r>
    </w:p>
    <w:p>
      <w:pPr>
        <w:pStyle w:val="BodyText"/>
        <w:spacing w:before="1"/>
      </w:pPr>
    </w:p>
    <w:p>
      <w:pPr>
        <w:pStyle w:val="BodyText"/>
        <w:ind w:left="720" w:right="529"/>
      </w:pPr>
      <w:r>
        <w:t>The Consolidated Appropriations Act (CAA) of 2021 became law on December 27, 2020.</w:t>
      </w:r>
      <w:r>
        <w:rPr>
          <w:spacing w:val="-2"/>
        </w:rPr>
        <w:t xml:space="preserve"> </w:t>
      </w:r>
      <w:r>
        <w:t>It</w:t>
      </w:r>
      <w:r>
        <w:rPr>
          <w:spacing w:val="-2"/>
        </w:rPr>
        <w:t xml:space="preserve"> </w:t>
      </w:r>
      <w:r>
        <w:t>is</w:t>
      </w:r>
      <w:r>
        <w:rPr>
          <w:spacing w:val="-2"/>
        </w:rPr>
        <w:t xml:space="preserve"> </w:t>
      </w:r>
      <w:r>
        <w:t>a</w:t>
      </w:r>
      <w:r>
        <w:rPr>
          <w:spacing w:val="-3"/>
        </w:rPr>
        <w:t xml:space="preserve"> </w:t>
      </w:r>
      <w:r>
        <w:t>$1.4</w:t>
      </w:r>
      <w:r>
        <w:rPr>
          <w:spacing w:val="-2"/>
        </w:rPr>
        <w:t xml:space="preserve"> </w:t>
      </w:r>
      <w:r>
        <w:t>trillion</w:t>
      </w:r>
      <w:r>
        <w:rPr>
          <w:spacing w:val="-1"/>
        </w:rPr>
        <w:t xml:space="preserve"> </w:t>
      </w:r>
      <w:r>
        <w:t>omnibus</w:t>
      </w:r>
      <w:r>
        <w:rPr>
          <w:spacing w:val="-2"/>
        </w:rPr>
        <w:t xml:space="preserve"> </w:t>
      </w:r>
      <w:r>
        <w:t>spending</w:t>
      </w:r>
      <w:r>
        <w:rPr>
          <w:spacing w:val="-2"/>
        </w:rPr>
        <w:t xml:space="preserve"> </w:t>
      </w:r>
      <w:r>
        <w:t>agreement</w:t>
      </w:r>
      <w:r>
        <w:rPr>
          <w:spacing w:val="-2"/>
        </w:rPr>
        <w:t xml:space="preserve"> </w:t>
      </w:r>
      <w:r>
        <w:t>that</w:t>
      </w:r>
      <w:r>
        <w:rPr>
          <w:spacing w:val="-2"/>
        </w:rPr>
        <w:t xml:space="preserve"> </w:t>
      </w:r>
      <w:r>
        <w:t>encompasses many</w:t>
      </w:r>
      <w:r>
        <w:rPr>
          <w:spacing w:val="-1"/>
        </w:rPr>
        <w:t xml:space="preserve"> </w:t>
      </w:r>
      <w:r>
        <w:t>different provisions.</w:t>
      </w:r>
      <w:r>
        <w:rPr>
          <w:spacing w:val="-3"/>
        </w:rPr>
        <w:t xml:space="preserve"> </w:t>
      </w:r>
      <w:r>
        <w:t>Two</w:t>
      </w:r>
      <w:r>
        <w:rPr>
          <w:spacing w:val="-3"/>
        </w:rPr>
        <w:t xml:space="preserve"> </w:t>
      </w:r>
      <w:r>
        <w:t>(2)</w:t>
      </w:r>
      <w:r>
        <w:rPr>
          <w:spacing w:val="-5"/>
        </w:rPr>
        <w:t xml:space="preserve"> </w:t>
      </w:r>
      <w:r>
        <w:t>acts</w:t>
      </w:r>
      <w:r>
        <w:rPr>
          <w:spacing w:val="-1"/>
        </w:rPr>
        <w:t xml:space="preserve"> </w:t>
      </w:r>
      <w:r>
        <w:t>within</w:t>
      </w:r>
      <w:r>
        <w:rPr>
          <w:spacing w:val="-3"/>
        </w:rPr>
        <w:t xml:space="preserve"> </w:t>
      </w:r>
      <w:r>
        <w:t>the</w:t>
      </w:r>
      <w:r>
        <w:rPr>
          <w:spacing w:val="-3"/>
        </w:rPr>
        <w:t xml:space="preserve"> </w:t>
      </w:r>
      <w:r>
        <w:t>law</w:t>
      </w:r>
      <w:r>
        <w:rPr>
          <w:spacing w:val="-2"/>
        </w:rPr>
        <w:t xml:space="preserve"> </w:t>
      </w:r>
      <w:r>
        <w:t>apply</w:t>
      </w:r>
      <w:r>
        <w:rPr>
          <w:spacing w:val="-3"/>
        </w:rPr>
        <w:t xml:space="preserve"> </w:t>
      </w:r>
      <w:r>
        <w:t>to</w:t>
      </w:r>
      <w:r>
        <w:rPr>
          <w:spacing w:val="-3"/>
        </w:rPr>
        <w:t xml:space="preserve"> </w:t>
      </w:r>
      <w:r>
        <w:t>the</w:t>
      </w:r>
      <w:r>
        <w:rPr>
          <w:spacing w:val="-4"/>
        </w:rPr>
        <w:t xml:space="preserve"> </w:t>
      </w:r>
      <w:r>
        <w:t>Centers</w:t>
      </w:r>
      <w:r>
        <w:rPr>
          <w:spacing w:val="-3"/>
        </w:rPr>
        <w:t xml:space="preserve"> </w:t>
      </w:r>
      <w:r>
        <w:t>for</w:t>
      </w:r>
      <w:r>
        <w:rPr>
          <w:spacing w:val="-3"/>
        </w:rPr>
        <w:t xml:space="preserve"> </w:t>
      </w:r>
      <w:r>
        <w:t>Medicare</w:t>
      </w:r>
      <w:r>
        <w:rPr>
          <w:spacing w:val="-3"/>
        </w:rPr>
        <w:t xml:space="preserve"> </w:t>
      </w:r>
      <w:r>
        <w:t>and</w:t>
      </w:r>
      <w:r>
        <w:rPr>
          <w:spacing w:val="-3"/>
        </w:rPr>
        <w:t xml:space="preserve"> </w:t>
      </w:r>
      <w:r>
        <w:t>Medicaid Services (CMS) Center for Consumer Information and Insurance Oversight (CCIIO):</w:t>
      </w:r>
    </w:p>
    <w:p>
      <w:pPr>
        <w:pStyle w:val="BodyText"/>
        <w:ind w:left="720"/>
      </w:pPr>
      <w:r>
        <w:t>Title</w:t>
      </w:r>
      <w:r>
        <w:rPr>
          <w:spacing w:val="-4"/>
        </w:rPr>
        <w:t xml:space="preserve"> </w:t>
      </w:r>
      <w:r>
        <w:t>I,</w:t>
      </w:r>
      <w:r>
        <w:rPr>
          <w:spacing w:val="-1"/>
        </w:rPr>
        <w:t xml:space="preserve"> </w:t>
      </w:r>
      <w:r>
        <w:t>“No</w:t>
      </w:r>
      <w:r>
        <w:rPr>
          <w:spacing w:val="-3"/>
        </w:rPr>
        <w:t xml:space="preserve"> </w:t>
      </w:r>
      <w:r>
        <w:t>Surprises</w:t>
      </w:r>
      <w:r>
        <w:rPr>
          <w:spacing w:val="-4"/>
        </w:rPr>
        <w:t xml:space="preserve"> </w:t>
      </w:r>
      <w:r>
        <w:t>Act”</w:t>
      </w:r>
      <w:r>
        <w:rPr>
          <w:spacing w:val="-2"/>
        </w:rPr>
        <w:t xml:space="preserve"> </w:t>
      </w:r>
      <w:r>
        <w:t>and</w:t>
      </w:r>
      <w:r>
        <w:rPr>
          <w:spacing w:val="-3"/>
        </w:rPr>
        <w:t xml:space="preserve"> </w:t>
      </w:r>
      <w:r>
        <w:t>Title</w:t>
      </w:r>
      <w:r>
        <w:rPr>
          <w:spacing w:val="-2"/>
        </w:rPr>
        <w:t xml:space="preserve"> </w:t>
      </w:r>
      <w:r>
        <w:t>II,</w:t>
      </w:r>
      <w:r>
        <w:rPr>
          <w:spacing w:val="-3"/>
        </w:rPr>
        <w:t xml:space="preserve"> </w:t>
      </w:r>
      <w:r>
        <w:t>“Transparency”</w:t>
      </w:r>
      <w:r>
        <w:rPr>
          <w:spacing w:val="-3"/>
        </w:rPr>
        <w:t xml:space="preserve"> </w:t>
      </w:r>
      <w:r>
        <w:t>(NST).</w:t>
      </w:r>
      <w:r>
        <w:rPr>
          <w:spacing w:val="-3"/>
        </w:rPr>
        <w:t xml:space="preserve"> </w:t>
      </w:r>
      <w:r>
        <w:t>Beginning</w:t>
      </w:r>
      <w:r>
        <w:rPr>
          <w:spacing w:val="-3"/>
        </w:rPr>
        <w:t xml:space="preserve"> </w:t>
      </w:r>
      <w:r>
        <w:t>in</w:t>
      </w:r>
      <w:r>
        <w:rPr>
          <w:spacing w:val="-3"/>
        </w:rPr>
        <w:t xml:space="preserve"> </w:t>
      </w:r>
      <w:r>
        <w:t>2022,</w:t>
      </w:r>
      <w:r>
        <w:rPr>
          <w:spacing w:val="-2"/>
        </w:rPr>
        <w:t xml:space="preserve"> </w:t>
      </w:r>
      <w:r>
        <w:t>new protections through the No Surprises Act are in place to shield millions of</w:t>
      </w:r>
    </w:p>
    <w:p>
      <w:pPr>
        <w:pStyle w:val="BodyText"/>
        <w:spacing w:before="1"/>
        <w:ind w:left="720"/>
      </w:pPr>
      <w:r>
        <w:t>consumers</w:t>
      </w:r>
      <w:r>
        <w:rPr>
          <w:spacing w:val="-5"/>
        </w:rPr>
        <w:t xml:space="preserve"> </w:t>
      </w:r>
      <w:r>
        <w:t>from</w:t>
      </w:r>
      <w:r>
        <w:rPr>
          <w:spacing w:val="-1"/>
        </w:rPr>
        <w:t xml:space="preserve"> </w:t>
      </w:r>
      <w:r>
        <w:t>surprise medical</w:t>
      </w:r>
      <w:r>
        <w:rPr>
          <w:spacing w:val="1"/>
        </w:rPr>
        <w:t xml:space="preserve"> </w:t>
      </w:r>
      <w:r>
        <w:rPr>
          <w:spacing w:val="-2"/>
        </w:rPr>
        <w:t>bills.</w:t>
      </w:r>
    </w:p>
    <w:p>
      <w:pPr>
        <w:pStyle w:val="BodyText"/>
      </w:pPr>
    </w:p>
    <w:p>
      <w:pPr>
        <w:pStyle w:val="BodyText"/>
        <w:ind w:left="720" w:right="370"/>
      </w:pPr>
      <w:r>
        <w:t>CMS is strongly committed to providing training, outreach, and technical assistance to stakeholders participating in the Marketplace and/or programs mandated by the ACA or NST. In addition, CMS recognizes that the success of Marketplaces and associated programs relies on the cooperation and coordination of States, issuers, Assisters, self- insured</w:t>
      </w:r>
      <w:r>
        <w:rPr>
          <w:spacing w:val="-4"/>
        </w:rPr>
        <w:t xml:space="preserve"> </w:t>
      </w:r>
      <w:r>
        <w:t>health</w:t>
      </w:r>
      <w:r>
        <w:rPr>
          <w:spacing w:val="-4"/>
        </w:rPr>
        <w:t xml:space="preserve"> </w:t>
      </w:r>
      <w:r>
        <w:t>plans,</w:t>
      </w:r>
      <w:r>
        <w:rPr>
          <w:spacing w:val="-4"/>
        </w:rPr>
        <w:t xml:space="preserve"> </w:t>
      </w:r>
      <w:r>
        <w:t>third-party</w:t>
      </w:r>
      <w:r>
        <w:rPr>
          <w:spacing w:val="-4"/>
        </w:rPr>
        <w:t xml:space="preserve"> </w:t>
      </w:r>
      <w:r>
        <w:t>administrators</w:t>
      </w:r>
      <w:r>
        <w:rPr>
          <w:spacing w:val="-4"/>
        </w:rPr>
        <w:t xml:space="preserve"> </w:t>
      </w:r>
      <w:r>
        <w:t>(TPA)</w:t>
      </w:r>
      <w:r>
        <w:rPr>
          <w:spacing w:val="-6"/>
        </w:rPr>
        <w:t xml:space="preserve"> </w:t>
      </w:r>
      <w:r>
        <w:t>of</w:t>
      </w:r>
      <w:r>
        <w:rPr>
          <w:spacing w:val="-4"/>
        </w:rPr>
        <w:t xml:space="preserve"> </w:t>
      </w:r>
      <w:r>
        <w:t>self-insured</w:t>
      </w:r>
      <w:r>
        <w:rPr>
          <w:spacing w:val="-4"/>
        </w:rPr>
        <w:t xml:space="preserve"> </w:t>
      </w:r>
      <w:r>
        <w:t>health</w:t>
      </w:r>
      <w:r>
        <w:rPr>
          <w:spacing w:val="-4"/>
        </w:rPr>
        <w:t xml:space="preserve"> </w:t>
      </w:r>
      <w:r>
        <w:t>plans,</w:t>
      </w:r>
      <w:r>
        <w:rPr>
          <w:spacing w:val="-4"/>
        </w:rPr>
        <w:t xml:space="preserve"> </w:t>
      </w:r>
      <w:r>
        <w:t xml:space="preserve">agents and brokers, Providers/Facilities, and other stakeholders. Therefore, CMS expects to design and conduct various consumer satisfaction and feedback surveys, usability tests, and focus groups. Current data collections include online and onsite training session </w:t>
      </w:r>
      <w:r>
        <w:rPr>
          <w:spacing w:val="-2"/>
        </w:rPr>
        <w:t>evaluations.</w:t>
      </w:r>
    </w:p>
    <w:p>
      <w:pPr>
        <w:pStyle w:val="BodyText"/>
      </w:pPr>
    </w:p>
    <w:p>
      <w:pPr>
        <w:pStyle w:val="BodyText"/>
        <w:spacing w:before="1"/>
        <w:ind w:left="720" w:right="529"/>
      </w:pPr>
      <w:r>
        <w:t>The</w:t>
      </w:r>
      <w:r>
        <w:rPr>
          <w:spacing w:val="-6"/>
        </w:rPr>
        <w:t xml:space="preserve"> </w:t>
      </w:r>
      <w:r>
        <w:t>following</w:t>
      </w:r>
      <w:r>
        <w:rPr>
          <w:spacing w:val="-4"/>
        </w:rPr>
        <w:t xml:space="preserve"> </w:t>
      </w:r>
      <w:r>
        <w:t>Stakeholder</w:t>
      </w:r>
      <w:r>
        <w:rPr>
          <w:spacing w:val="-6"/>
        </w:rPr>
        <w:t xml:space="preserve"> </w:t>
      </w:r>
      <w:r>
        <w:t>Training</w:t>
      </w:r>
      <w:r>
        <w:rPr>
          <w:spacing w:val="-4"/>
        </w:rPr>
        <w:t xml:space="preserve"> </w:t>
      </w:r>
      <w:r>
        <w:t>events</w:t>
      </w:r>
      <w:r>
        <w:rPr>
          <w:spacing w:val="-4"/>
        </w:rPr>
        <w:t xml:space="preserve"> </w:t>
      </w:r>
      <w:r>
        <w:t>are</w:t>
      </w:r>
      <w:r>
        <w:rPr>
          <w:spacing w:val="-5"/>
        </w:rPr>
        <w:t xml:space="preserve"> </w:t>
      </w:r>
      <w:r>
        <w:t>planned</w:t>
      </w:r>
      <w:r>
        <w:rPr>
          <w:spacing w:val="-4"/>
        </w:rPr>
        <w:t xml:space="preserve"> </w:t>
      </w:r>
      <w:r>
        <w:t>for</w:t>
      </w:r>
      <w:r>
        <w:rPr>
          <w:spacing w:val="-6"/>
        </w:rPr>
        <w:t xml:space="preserve"> </w:t>
      </w:r>
      <w:r>
        <w:t>January</w:t>
      </w:r>
      <w:r>
        <w:rPr>
          <w:spacing w:val="-1"/>
        </w:rPr>
        <w:t xml:space="preserve"> </w:t>
      </w:r>
      <w:r>
        <w:t>2024-December 2024: One (1) On-Site/virtual hybrid, 1-day Training, and two (2) half-day training virtual conferences; and 300 Webinars:</w:t>
      </w:r>
    </w:p>
    <w:p>
      <w:pPr>
        <w:pStyle w:val="ListParagraph"/>
        <w:numPr>
          <w:ilvl w:val="0"/>
          <w:numId w:val="4"/>
        </w:numPr>
        <w:tabs>
          <w:tab w:val="left" w:pos="1901"/>
        </w:tabs>
        <w:spacing w:before="275" w:after="0" w:line="293" w:lineRule="exact"/>
        <w:ind w:left="1901" w:right="0" w:hanging="548"/>
        <w:jc w:val="left"/>
        <w:rPr>
          <w:sz w:val="24"/>
        </w:rPr>
      </w:pPr>
      <w:r>
        <w:rPr>
          <w:sz w:val="24"/>
        </w:rPr>
        <w:t>Agent</w:t>
      </w:r>
      <w:r>
        <w:rPr>
          <w:spacing w:val="-1"/>
          <w:sz w:val="24"/>
        </w:rPr>
        <w:t xml:space="preserve"> </w:t>
      </w:r>
      <w:r>
        <w:rPr>
          <w:sz w:val="24"/>
        </w:rPr>
        <w:t>and</w:t>
      </w:r>
      <w:r>
        <w:rPr>
          <w:spacing w:val="-1"/>
          <w:sz w:val="24"/>
        </w:rPr>
        <w:t xml:space="preserve"> </w:t>
      </w:r>
      <w:r>
        <w:rPr>
          <w:sz w:val="24"/>
        </w:rPr>
        <w:t>Broker</w:t>
      </w:r>
      <w:r>
        <w:rPr>
          <w:spacing w:val="-1"/>
          <w:sz w:val="24"/>
        </w:rPr>
        <w:t xml:space="preserve"> </w:t>
      </w:r>
      <w:r>
        <w:rPr>
          <w:sz w:val="24"/>
        </w:rPr>
        <w:t xml:space="preserve">(AB) </w:t>
      </w:r>
      <w:r>
        <w:rPr>
          <w:spacing w:val="-2"/>
          <w:sz w:val="24"/>
        </w:rPr>
        <w:t>Webinars</w:t>
      </w:r>
    </w:p>
    <w:p>
      <w:pPr>
        <w:pStyle w:val="ListParagraph"/>
        <w:numPr>
          <w:ilvl w:val="0"/>
          <w:numId w:val="4"/>
        </w:numPr>
        <w:tabs>
          <w:tab w:val="left" w:pos="1901"/>
        </w:tabs>
        <w:spacing w:before="0" w:after="0" w:line="293" w:lineRule="exact"/>
        <w:ind w:left="1901" w:right="0" w:hanging="548"/>
        <w:jc w:val="left"/>
        <w:rPr>
          <w:sz w:val="24"/>
        </w:rPr>
      </w:pPr>
      <w:r>
        <w:rPr>
          <w:sz w:val="24"/>
        </w:rPr>
        <w:t>Agent</w:t>
      </w:r>
      <w:r>
        <w:rPr>
          <w:spacing w:val="-1"/>
          <w:sz w:val="24"/>
        </w:rPr>
        <w:t xml:space="preserve"> </w:t>
      </w:r>
      <w:r>
        <w:rPr>
          <w:sz w:val="24"/>
        </w:rPr>
        <w:t>Broker</w:t>
      </w:r>
      <w:r>
        <w:rPr>
          <w:spacing w:val="-2"/>
          <w:sz w:val="24"/>
        </w:rPr>
        <w:t xml:space="preserve"> </w:t>
      </w:r>
      <w:r>
        <w:rPr>
          <w:sz w:val="24"/>
        </w:rPr>
        <w:t>Marketplace</w:t>
      </w:r>
      <w:r>
        <w:rPr>
          <w:spacing w:val="-2"/>
          <w:sz w:val="24"/>
        </w:rPr>
        <w:t xml:space="preserve"> </w:t>
      </w:r>
      <w:r>
        <w:rPr>
          <w:sz w:val="24"/>
        </w:rPr>
        <w:t>Meetup</w:t>
      </w:r>
      <w:r>
        <w:rPr>
          <w:spacing w:val="-2"/>
          <w:sz w:val="24"/>
        </w:rPr>
        <w:t xml:space="preserve"> </w:t>
      </w:r>
      <w:r>
        <w:rPr>
          <w:sz w:val="24"/>
        </w:rPr>
        <w:t>Onsite</w:t>
      </w:r>
      <w:r>
        <w:rPr>
          <w:spacing w:val="-1"/>
          <w:sz w:val="24"/>
        </w:rPr>
        <w:t xml:space="preserve"> </w:t>
      </w:r>
      <w:r>
        <w:rPr>
          <w:spacing w:val="-2"/>
          <w:sz w:val="24"/>
        </w:rPr>
        <w:t>Conference</w:t>
      </w:r>
    </w:p>
    <w:p>
      <w:pPr>
        <w:pStyle w:val="ListParagraph"/>
        <w:numPr>
          <w:ilvl w:val="0"/>
          <w:numId w:val="4"/>
        </w:numPr>
        <w:tabs>
          <w:tab w:val="left" w:pos="1901"/>
        </w:tabs>
        <w:spacing w:before="0" w:after="0" w:line="240" w:lineRule="auto"/>
        <w:ind w:left="1901" w:right="844" w:hanging="548"/>
        <w:jc w:val="left"/>
        <w:rPr>
          <w:sz w:val="24"/>
        </w:rPr>
      </w:pPr>
      <w:r>
        <w:rPr>
          <w:sz w:val="24"/>
        </w:rPr>
        <w:t>CCIIO</w:t>
      </w:r>
      <w:r>
        <w:rPr>
          <w:spacing w:val="-6"/>
          <w:sz w:val="24"/>
        </w:rPr>
        <w:t xml:space="preserve"> </w:t>
      </w:r>
      <w:r>
        <w:rPr>
          <w:sz w:val="24"/>
        </w:rPr>
        <w:t>Information</w:t>
      </w:r>
      <w:r>
        <w:rPr>
          <w:spacing w:val="-7"/>
          <w:sz w:val="24"/>
        </w:rPr>
        <w:t xml:space="preserve"> </w:t>
      </w:r>
      <w:r>
        <w:rPr>
          <w:sz w:val="24"/>
        </w:rPr>
        <w:t>Security</w:t>
      </w:r>
      <w:r>
        <w:rPr>
          <w:spacing w:val="-7"/>
          <w:sz w:val="24"/>
        </w:rPr>
        <w:t xml:space="preserve"> </w:t>
      </w:r>
      <w:r>
        <w:rPr>
          <w:sz w:val="24"/>
        </w:rPr>
        <w:t>Program</w:t>
      </w:r>
      <w:r>
        <w:rPr>
          <w:spacing w:val="-7"/>
          <w:sz w:val="24"/>
        </w:rPr>
        <w:t xml:space="preserve"> </w:t>
      </w:r>
      <w:r>
        <w:rPr>
          <w:sz w:val="24"/>
        </w:rPr>
        <w:t>Administering</w:t>
      </w:r>
      <w:r>
        <w:rPr>
          <w:spacing w:val="-7"/>
          <w:sz w:val="24"/>
        </w:rPr>
        <w:t xml:space="preserve"> </w:t>
      </w:r>
      <w:r>
        <w:rPr>
          <w:sz w:val="24"/>
        </w:rPr>
        <w:t>Entities</w:t>
      </w:r>
      <w:r>
        <w:rPr>
          <w:spacing w:val="-7"/>
          <w:sz w:val="24"/>
        </w:rPr>
        <w:t xml:space="preserve"> </w:t>
      </w:r>
      <w:r>
        <w:rPr>
          <w:sz w:val="24"/>
        </w:rPr>
        <w:t xml:space="preserve">(CISP-AE) </w:t>
      </w:r>
      <w:r>
        <w:rPr>
          <w:spacing w:val="-2"/>
          <w:sz w:val="24"/>
        </w:rPr>
        <w:t>Webinars</w:t>
      </w:r>
    </w:p>
    <w:p>
      <w:pPr>
        <w:pStyle w:val="ListParagraph"/>
        <w:numPr>
          <w:ilvl w:val="0"/>
          <w:numId w:val="4"/>
        </w:numPr>
        <w:tabs>
          <w:tab w:val="left" w:pos="1901"/>
        </w:tabs>
        <w:spacing w:before="0" w:after="0" w:line="292" w:lineRule="exact"/>
        <w:ind w:left="1901" w:right="0" w:hanging="548"/>
        <w:jc w:val="left"/>
        <w:rPr>
          <w:sz w:val="24"/>
        </w:rPr>
      </w:pPr>
      <w:r>
        <w:rPr>
          <w:sz w:val="24"/>
        </w:rPr>
        <w:t>Distributed</w:t>
      </w:r>
      <w:r>
        <w:rPr>
          <w:spacing w:val="-4"/>
          <w:sz w:val="24"/>
        </w:rPr>
        <w:t xml:space="preserve"> </w:t>
      </w:r>
      <w:r>
        <w:rPr>
          <w:sz w:val="24"/>
        </w:rPr>
        <w:t>Data</w:t>
      </w:r>
      <w:r>
        <w:rPr>
          <w:spacing w:val="-1"/>
          <w:sz w:val="24"/>
        </w:rPr>
        <w:t xml:space="preserve"> </w:t>
      </w:r>
      <w:r>
        <w:rPr>
          <w:sz w:val="24"/>
        </w:rPr>
        <w:t>Collection</w:t>
      </w:r>
      <w:r>
        <w:rPr>
          <w:spacing w:val="-1"/>
          <w:sz w:val="24"/>
        </w:rPr>
        <w:t xml:space="preserve"> </w:t>
      </w:r>
      <w:r>
        <w:rPr>
          <w:sz w:val="24"/>
        </w:rPr>
        <w:t>(DDC)</w:t>
      </w:r>
      <w:r>
        <w:rPr>
          <w:spacing w:val="-2"/>
          <w:sz w:val="24"/>
        </w:rPr>
        <w:t xml:space="preserve"> Webinars</w:t>
      </w:r>
    </w:p>
    <w:p>
      <w:pPr>
        <w:pStyle w:val="ListParagraph"/>
        <w:numPr>
          <w:ilvl w:val="0"/>
          <w:numId w:val="4"/>
        </w:numPr>
        <w:tabs>
          <w:tab w:val="left" w:pos="1901"/>
        </w:tabs>
        <w:spacing w:before="0" w:after="0" w:line="293" w:lineRule="exact"/>
        <w:ind w:left="1901" w:right="0" w:hanging="548"/>
        <w:jc w:val="left"/>
        <w:rPr>
          <w:sz w:val="24"/>
        </w:rPr>
      </w:pPr>
      <w:r>
        <w:rPr>
          <w:sz w:val="24"/>
        </w:rPr>
        <w:t>Enrollment</w:t>
      </w:r>
      <w:r>
        <w:rPr>
          <w:spacing w:val="-2"/>
          <w:sz w:val="24"/>
        </w:rPr>
        <w:t xml:space="preserve"> </w:t>
      </w:r>
      <w:r>
        <w:rPr>
          <w:sz w:val="24"/>
        </w:rPr>
        <w:t>and</w:t>
      </w:r>
      <w:r>
        <w:rPr>
          <w:spacing w:val="-1"/>
          <w:sz w:val="24"/>
        </w:rPr>
        <w:t xml:space="preserve"> </w:t>
      </w:r>
      <w:r>
        <w:rPr>
          <w:sz w:val="24"/>
        </w:rPr>
        <w:t>Eligibility</w:t>
      </w:r>
      <w:r>
        <w:rPr>
          <w:spacing w:val="-1"/>
          <w:sz w:val="24"/>
        </w:rPr>
        <w:t xml:space="preserve"> </w:t>
      </w:r>
      <w:r>
        <w:rPr>
          <w:sz w:val="24"/>
        </w:rPr>
        <w:t>(ENR)</w:t>
      </w:r>
      <w:r>
        <w:rPr>
          <w:spacing w:val="1"/>
          <w:sz w:val="24"/>
        </w:rPr>
        <w:t xml:space="preserve"> </w:t>
      </w:r>
      <w:r>
        <w:rPr>
          <w:spacing w:val="-2"/>
          <w:sz w:val="24"/>
        </w:rPr>
        <w:t>Webinars</w:t>
      </w:r>
    </w:p>
    <w:p>
      <w:pPr>
        <w:pStyle w:val="ListParagraph"/>
        <w:spacing w:after="0" w:line="293" w:lineRule="exact"/>
        <w:jc w:val="left"/>
        <w:rPr>
          <w:sz w:val="24"/>
        </w:rPr>
        <w:sectPr>
          <w:footerReference w:type="default" r:id="rId4"/>
          <w:type w:val="continuous"/>
          <w:pgSz w:w="12240" w:h="15840"/>
          <w:pgMar w:top="1360" w:right="1080" w:bottom="1880" w:left="1440" w:header="0" w:footer="1689"/>
          <w:pgNumType w:start="1"/>
          <w:cols w:space="720"/>
        </w:sectPr>
      </w:pPr>
    </w:p>
    <w:p>
      <w:pPr>
        <w:pStyle w:val="ListParagraph"/>
        <w:numPr>
          <w:ilvl w:val="0"/>
          <w:numId w:val="4"/>
        </w:numPr>
        <w:tabs>
          <w:tab w:val="left" w:pos="1901"/>
        </w:tabs>
        <w:spacing w:before="79" w:after="0" w:line="293" w:lineRule="exact"/>
        <w:ind w:left="1901" w:right="0" w:hanging="548"/>
        <w:jc w:val="left"/>
        <w:rPr>
          <w:sz w:val="24"/>
        </w:rPr>
      </w:pPr>
      <w:r>
        <w:rPr>
          <w:sz w:val="24"/>
        </w:rPr>
        <w:t>Health</w:t>
      </w:r>
      <w:r>
        <w:rPr>
          <w:spacing w:val="-1"/>
          <w:sz w:val="24"/>
        </w:rPr>
        <w:t xml:space="preserve"> </w:t>
      </w:r>
      <w:r>
        <w:rPr>
          <w:sz w:val="24"/>
        </w:rPr>
        <w:t>Insurance</w:t>
      </w:r>
      <w:r>
        <w:rPr>
          <w:spacing w:val="-3"/>
          <w:sz w:val="24"/>
        </w:rPr>
        <w:t xml:space="preserve"> </w:t>
      </w:r>
      <w:r>
        <w:rPr>
          <w:sz w:val="24"/>
        </w:rPr>
        <w:t>Casework</w:t>
      </w:r>
      <w:r>
        <w:rPr>
          <w:spacing w:val="-2"/>
          <w:sz w:val="24"/>
        </w:rPr>
        <w:t xml:space="preserve"> </w:t>
      </w:r>
      <w:r>
        <w:rPr>
          <w:sz w:val="24"/>
        </w:rPr>
        <w:t>System</w:t>
      </w:r>
      <w:r>
        <w:rPr>
          <w:spacing w:val="-2"/>
          <w:sz w:val="24"/>
        </w:rPr>
        <w:t xml:space="preserve"> </w:t>
      </w:r>
      <w:r>
        <w:rPr>
          <w:sz w:val="24"/>
        </w:rPr>
        <w:t>(HICS)</w:t>
      </w:r>
      <w:r>
        <w:rPr>
          <w:spacing w:val="-2"/>
          <w:sz w:val="24"/>
        </w:rPr>
        <w:t xml:space="preserve"> </w:t>
      </w:r>
      <w:r>
        <w:rPr>
          <w:sz w:val="24"/>
        </w:rPr>
        <w:t xml:space="preserve">Resources </w:t>
      </w:r>
      <w:r>
        <w:rPr>
          <w:spacing w:val="-2"/>
          <w:sz w:val="24"/>
        </w:rPr>
        <w:t>Webinars</w:t>
      </w:r>
    </w:p>
    <w:p>
      <w:pPr>
        <w:pStyle w:val="ListParagraph"/>
        <w:numPr>
          <w:ilvl w:val="0"/>
          <w:numId w:val="4"/>
        </w:numPr>
        <w:tabs>
          <w:tab w:val="left" w:pos="1901"/>
        </w:tabs>
        <w:spacing w:before="0" w:after="0" w:line="293" w:lineRule="exact"/>
        <w:ind w:left="1901" w:right="0" w:hanging="548"/>
        <w:jc w:val="left"/>
        <w:rPr>
          <w:sz w:val="24"/>
        </w:rPr>
      </w:pPr>
      <w:r>
        <w:rPr>
          <w:sz w:val="24"/>
        </w:rPr>
        <w:t>HHS</w:t>
      </w:r>
      <w:r>
        <w:rPr>
          <w:spacing w:val="-1"/>
          <w:sz w:val="24"/>
        </w:rPr>
        <w:t xml:space="preserve"> </w:t>
      </w:r>
      <w:r>
        <w:rPr>
          <w:sz w:val="24"/>
        </w:rPr>
        <w:t>Notice</w:t>
      </w:r>
      <w:r>
        <w:rPr>
          <w:spacing w:val="-3"/>
          <w:sz w:val="24"/>
        </w:rPr>
        <w:t xml:space="preserve"> </w:t>
      </w:r>
      <w:r>
        <w:rPr>
          <w:sz w:val="24"/>
        </w:rPr>
        <w:t>of Benefits</w:t>
      </w:r>
      <w:r>
        <w:rPr>
          <w:spacing w:val="-1"/>
          <w:sz w:val="24"/>
        </w:rPr>
        <w:t xml:space="preserve"> </w:t>
      </w:r>
      <w:r>
        <w:rPr>
          <w:sz w:val="24"/>
        </w:rPr>
        <w:t>and</w:t>
      </w:r>
      <w:r>
        <w:rPr>
          <w:spacing w:val="-1"/>
          <w:sz w:val="24"/>
        </w:rPr>
        <w:t xml:space="preserve"> </w:t>
      </w:r>
      <w:r>
        <w:rPr>
          <w:sz w:val="24"/>
        </w:rPr>
        <w:t>Payment Parameters (NBPP)</w:t>
      </w:r>
      <w:r>
        <w:rPr>
          <w:spacing w:val="3"/>
          <w:sz w:val="24"/>
        </w:rPr>
        <w:t xml:space="preserve"> </w:t>
      </w:r>
      <w:r>
        <w:rPr>
          <w:spacing w:val="-2"/>
          <w:sz w:val="24"/>
        </w:rPr>
        <w:t>Webinars</w:t>
      </w:r>
    </w:p>
    <w:p>
      <w:pPr>
        <w:pStyle w:val="ListParagraph"/>
        <w:numPr>
          <w:ilvl w:val="0"/>
          <w:numId w:val="4"/>
        </w:numPr>
        <w:tabs>
          <w:tab w:val="left" w:pos="1901"/>
        </w:tabs>
        <w:spacing w:before="0" w:after="0" w:line="293" w:lineRule="exact"/>
        <w:ind w:left="1901" w:right="0" w:hanging="548"/>
        <w:jc w:val="left"/>
        <w:rPr>
          <w:sz w:val="24"/>
        </w:rPr>
      </w:pPr>
      <w:r>
        <w:rPr>
          <w:sz w:val="24"/>
        </w:rPr>
        <w:t>HHS</w:t>
      </w:r>
      <w:r>
        <w:rPr>
          <w:spacing w:val="-4"/>
          <w:sz w:val="24"/>
        </w:rPr>
        <w:t xml:space="preserve"> </w:t>
      </w:r>
      <w:r>
        <w:rPr>
          <w:sz w:val="24"/>
        </w:rPr>
        <w:t>Risk</w:t>
      </w:r>
      <w:r>
        <w:rPr>
          <w:spacing w:val="-1"/>
          <w:sz w:val="24"/>
        </w:rPr>
        <w:t xml:space="preserve"> </w:t>
      </w:r>
      <w:r>
        <w:rPr>
          <w:sz w:val="24"/>
        </w:rPr>
        <w:t>Adjustment</w:t>
      </w:r>
      <w:r>
        <w:rPr>
          <w:spacing w:val="-2"/>
          <w:sz w:val="24"/>
        </w:rPr>
        <w:t xml:space="preserve"> </w:t>
      </w:r>
      <w:r>
        <w:rPr>
          <w:sz w:val="24"/>
        </w:rPr>
        <w:t>Data</w:t>
      </w:r>
      <w:r>
        <w:rPr>
          <w:spacing w:val="-1"/>
          <w:sz w:val="24"/>
        </w:rPr>
        <w:t xml:space="preserve"> </w:t>
      </w:r>
      <w:r>
        <w:rPr>
          <w:sz w:val="24"/>
        </w:rPr>
        <w:t>Validation</w:t>
      </w:r>
      <w:r>
        <w:rPr>
          <w:spacing w:val="-2"/>
          <w:sz w:val="24"/>
        </w:rPr>
        <w:t xml:space="preserve"> </w:t>
      </w:r>
      <w:r>
        <w:rPr>
          <w:sz w:val="24"/>
        </w:rPr>
        <w:t>(HHS-RADV)</w:t>
      </w:r>
      <w:r>
        <w:rPr>
          <w:spacing w:val="-1"/>
          <w:sz w:val="24"/>
        </w:rPr>
        <w:t xml:space="preserve"> </w:t>
      </w:r>
      <w:r>
        <w:rPr>
          <w:spacing w:val="-2"/>
          <w:sz w:val="24"/>
        </w:rPr>
        <w:t>Webinars</w:t>
      </w:r>
    </w:p>
    <w:p>
      <w:pPr>
        <w:pStyle w:val="ListParagraph"/>
        <w:numPr>
          <w:ilvl w:val="0"/>
          <w:numId w:val="4"/>
        </w:numPr>
        <w:tabs>
          <w:tab w:val="left" w:pos="1901"/>
        </w:tabs>
        <w:spacing w:before="1" w:after="0" w:line="293" w:lineRule="exact"/>
        <w:ind w:left="1901" w:right="0" w:hanging="548"/>
        <w:jc w:val="left"/>
        <w:rPr>
          <w:sz w:val="24"/>
        </w:rPr>
      </w:pPr>
      <w:r>
        <w:rPr>
          <w:sz w:val="24"/>
        </w:rPr>
        <w:t>HHS-RADV</w:t>
      </w:r>
      <w:r>
        <w:rPr>
          <w:spacing w:val="-3"/>
          <w:sz w:val="24"/>
        </w:rPr>
        <w:t xml:space="preserve"> </w:t>
      </w:r>
      <w:r>
        <w:rPr>
          <w:sz w:val="24"/>
        </w:rPr>
        <w:t>Issuer</w:t>
      </w:r>
      <w:r>
        <w:rPr>
          <w:spacing w:val="-2"/>
          <w:sz w:val="24"/>
        </w:rPr>
        <w:t xml:space="preserve"> </w:t>
      </w:r>
      <w:r>
        <w:rPr>
          <w:sz w:val="24"/>
        </w:rPr>
        <w:t>Engagement</w:t>
      </w:r>
      <w:r>
        <w:rPr>
          <w:spacing w:val="-2"/>
          <w:sz w:val="24"/>
        </w:rPr>
        <w:t xml:space="preserve"> </w:t>
      </w:r>
      <w:r>
        <w:rPr>
          <w:sz w:val="24"/>
        </w:rPr>
        <w:t>Virtual</w:t>
      </w:r>
      <w:r>
        <w:rPr>
          <w:spacing w:val="-1"/>
          <w:sz w:val="24"/>
        </w:rPr>
        <w:t xml:space="preserve"> </w:t>
      </w:r>
      <w:r>
        <w:rPr>
          <w:spacing w:val="-2"/>
          <w:sz w:val="24"/>
        </w:rPr>
        <w:t>Conference</w:t>
      </w:r>
    </w:p>
    <w:p>
      <w:pPr>
        <w:pStyle w:val="ListParagraph"/>
        <w:numPr>
          <w:ilvl w:val="0"/>
          <w:numId w:val="4"/>
        </w:numPr>
        <w:tabs>
          <w:tab w:val="left" w:pos="1901"/>
        </w:tabs>
        <w:spacing w:before="0" w:after="0" w:line="293" w:lineRule="exact"/>
        <w:ind w:left="1901" w:right="0" w:hanging="548"/>
        <w:jc w:val="left"/>
        <w:rPr>
          <w:sz w:val="24"/>
        </w:rPr>
      </w:pPr>
      <w:r>
        <w:rPr>
          <w:sz w:val="24"/>
        </w:rPr>
        <w:t>Navigators</w:t>
      </w:r>
      <w:r>
        <w:rPr>
          <w:spacing w:val="-4"/>
          <w:sz w:val="24"/>
        </w:rPr>
        <w:t xml:space="preserve"> </w:t>
      </w:r>
      <w:r>
        <w:rPr>
          <w:sz w:val="24"/>
        </w:rPr>
        <w:t>and</w:t>
      </w:r>
      <w:r>
        <w:rPr>
          <w:spacing w:val="-1"/>
          <w:sz w:val="24"/>
        </w:rPr>
        <w:t xml:space="preserve"> </w:t>
      </w:r>
      <w:r>
        <w:rPr>
          <w:sz w:val="24"/>
        </w:rPr>
        <w:t>Certified</w:t>
      </w:r>
      <w:r>
        <w:rPr>
          <w:spacing w:val="1"/>
          <w:sz w:val="24"/>
        </w:rPr>
        <w:t xml:space="preserve"> </w:t>
      </w:r>
      <w:r>
        <w:rPr>
          <w:sz w:val="24"/>
        </w:rPr>
        <w:t>Application Counselors</w:t>
      </w:r>
      <w:r>
        <w:rPr>
          <w:spacing w:val="-1"/>
          <w:sz w:val="24"/>
        </w:rPr>
        <w:t xml:space="preserve"> </w:t>
      </w:r>
      <w:r>
        <w:rPr>
          <w:sz w:val="24"/>
        </w:rPr>
        <w:t>(CAC)</w:t>
      </w:r>
      <w:r>
        <w:rPr>
          <w:spacing w:val="-1"/>
          <w:sz w:val="24"/>
        </w:rPr>
        <w:t xml:space="preserve"> </w:t>
      </w:r>
      <w:r>
        <w:rPr>
          <w:spacing w:val="-2"/>
          <w:sz w:val="24"/>
        </w:rPr>
        <w:t>Webinars</w:t>
      </w:r>
    </w:p>
    <w:p>
      <w:pPr>
        <w:pStyle w:val="ListParagraph"/>
        <w:numPr>
          <w:ilvl w:val="0"/>
          <w:numId w:val="4"/>
        </w:numPr>
        <w:tabs>
          <w:tab w:val="left" w:pos="1901"/>
        </w:tabs>
        <w:spacing w:before="0" w:after="0" w:line="293" w:lineRule="exact"/>
        <w:ind w:left="1901" w:right="0" w:hanging="548"/>
        <w:jc w:val="left"/>
        <w:rPr>
          <w:sz w:val="24"/>
        </w:rPr>
      </w:pPr>
      <w:r>
        <w:rPr>
          <w:sz w:val="24"/>
        </w:rPr>
        <w:t>Prescription</w:t>
      </w:r>
      <w:r>
        <w:rPr>
          <w:spacing w:val="-2"/>
          <w:sz w:val="24"/>
        </w:rPr>
        <w:t xml:space="preserve"> </w:t>
      </w:r>
      <w:r>
        <w:rPr>
          <w:sz w:val="24"/>
        </w:rPr>
        <w:t>Drug</w:t>
      </w:r>
      <w:r>
        <w:rPr>
          <w:spacing w:val="-1"/>
          <w:sz w:val="24"/>
        </w:rPr>
        <w:t xml:space="preserve"> </w:t>
      </w:r>
      <w:r>
        <w:rPr>
          <w:sz w:val="24"/>
        </w:rPr>
        <w:t>Data</w:t>
      </w:r>
      <w:r>
        <w:rPr>
          <w:spacing w:val="-3"/>
          <w:sz w:val="24"/>
        </w:rPr>
        <w:t xml:space="preserve"> </w:t>
      </w:r>
      <w:r>
        <w:rPr>
          <w:sz w:val="24"/>
        </w:rPr>
        <w:t>Collection</w:t>
      </w:r>
      <w:r>
        <w:rPr>
          <w:spacing w:val="-1"/>
          <w:sz w:val="24"/>
        </w:rPr>
        <w:t xml:space="preserve"> </w:t>
      </w:r>
      <w:r>
        <w:rPr>
          <w:sz w:val="24"/>
        </w:rPr>
        <w:t>(RxDC)</w:t>
      </w:r>
      <w:r>
        <w:rPr>
          <w:spacing w:val="1"/>
          <w:sz w:val="24"/>
        </w:rPr>
        <w:t xml:space="preserve"> </w:t>
      </w:r>
      <w:r>
        <w:rPr>
          <w:spacing w:val="-2"/>
          <w:sz w:val="24"/>
        </w:rPr>
        <w:t>Webinars</w:t>
      </w:r>
    </w:p>
    <w:p>
      <w:pPr>
        <w:pStyle w:val="ListParagraph"/>
        <w:numPr>
          <w:ilvl w:val="0"/>
          <w:numId w:val="4"/>
        </w:numPr>
        <w:tabs>
          <w:tab w:val="left" w:pos="1901"/>
        </w:tabs>
        <w:spacing w:before="0" w:after="0" w:line="293" w:lineRule="exact"/>
        <w:ind w:left="1901" w:right="0" w:hanging="548"/>
        <w:jc w:val="left"/>
        <w:rPr>
          <w:sz w:val="24"/>
        </w:rPr>
      </w:pPr>
      <w:r>
        <w:rPr>
          <w:sz w:val="24"/>
        </w:rPr>
        <w:t>Qualified</w:t>
      </w:r>
      <w:r>
        <w:rPr>
          <w:spacing w:val="-2"/>
          <w:sz w:val="24"/>
        </w:rPr>
        <w:t xml:space="preserve"> </w:t>
      </w:r>
      <w:r>
        <w:rPr>
          <w:sz w:val="24"/>
        </w:rPr>
        <w:t>Health</w:t>
      </w:r>
      <w:r>
        <w:rPr>
          <w:spacing w:val="-2"/>
          <w:sz w:val="24"/>
        </w:rPr>
        <w:t xml:space="preserve"> </w:t>
      </w:r>
      <w:r>
        <w:rPr>
          <w:sz w:val="24"/>
        </w:rPr>
        <w:t>Plan</w:t>
      </w:r>
      <w:r>
        <w:rPr>
          <w:spacing w:val="-2"/>
          <w:sz w:val="24"/>
        </w:rPr>
        <w:t xml:space="preserve"> </w:t>
      </w:r>
      <w:r>
        <w:rPr>
          <w:sz w:val="24"/>
        </w:rPr>
        <w:t>(QHP)</w:t>
      </w:r>
      <w:r>
        <w:rPr>
          <w:spacing w:val="-2"/>
          <w:sz w:val="24"/>
        </w:rPr>
        <w:t xml:space="preserve"> </w:t>
      </w:r>
      <w:r>
        <w:rPr>
          <w:sz w:val="24"/>
        </w:rPr>
        <w:t>Series</w:t>
      </w:r>
      <w:r>
        <w:rPr>
          <w:spacing w:val="-1"/>
          <w:sz w:val="24"/>
        </w:rPr>
        <w:t xml:space="preserve"> </w:t>
      </w:r>
      <w:r>
        <w:rPr>
          <w:spacing w:val="-2"/>
          <w:sz w:val="24"/>
        </w:rPr>
        <w:t>Webinars</w:t>
      </w:r>
    </w:p>
    <w:p>
      <w:pPr>
        <w:pStyle w:val="ListParagraph"/>
        <w:numPr>
          <w:ilvl w:val="0"/>
          <w:numId w:val="4"/>
        </w:numPr>
        <w:tabs>
          <w:tab w:val="left" w:pos="1901"/>
        </w:tabs>
        <w:spacing w:before="0" w:after="0" w:line="293" w:lineRule="exact"/>
        <w:ind w:left="1901" w:right="0" w:hanging="548"/>
        <w:jc w:val="left"/>
        <w:rPr>
          <w:sz w:val="24"/>
        </w:rPr>
      </w:pPr>
      <w:r>
        <w:rPr>
          <w:sz w:val="24"/>
        </w:rPr>
        <w:t>QHP</w:t>
      </w:r>
      <w:r>
        <w:rPr>
          <w:spacing w:val="-3"/>
          <w:sz w:val="24"/>
        </w:rPr>
        <w:t xml:space="preserve"> </w:t>
      </w:r>
      <w:r>
        <w:rPr>
          <w:sz w:val="24"/>
        </w:rPr>
        <w:t>Virtual Issuer</w:t>
      </w:r>
      <w:r>
        <w:rPr>
          <w:spacing w:val="-4"/>
          <w:sz w:val="24"/>
        </w:rPr>
        <w:t xml:space="preserve"> </w:t>
      </w:r>
      <w:r>
        <w:rPr>
          <w:spacing w:val="-2"/>
          <w:sz w:val="24"/>
        </w:rPr>
        <w:t>Conference</w:t>
      </w:r>
    </w:p>
    <w:p>
      <w:pPr>
        <w:pStyle w:val="ListParagraph"/>
        <w:numPr>
          <w:ilvl w:val="0"/>
          <w:numId w:val="4"/>
        </w:numPr>
        <w:tabs>
          <w:tab w:val="left" w:pos="1901"/>
        </w:tabs>
        <w:spacing w:before="0" w:after="0" w:line="293" w:lineRule="exact"/>
        <w:ind w:left="1901" w:right="0" w:hanging="548"/>
        <w:jc w:val="left"/>
        <w:rPr>
          <w:sz w:val="24"/>
        </w:rPr>
      </w:pPr>
      <w:r>
        <w:rPr>
          <w:sz w:val="24"/>
        </w:rPr>
        <w:t>Risk</w:t>
      </w:r>
      <w:r>
        <w:rPr>
          <w:spacing w:val="-1"/>
          <w:sz w:val="24"/>
        </w:rPr>
        <w:t xml:space="preserve"> </w:t>
      </w:r>
      <w:r>
        <w:rPr>
          <w:sz w:val="24"/>
        </w:rPr>
        <w:t xml:space="preserve">Adjustment (RA) </w:t>
      </w:r>
      <w:r>
        <w:rPr>
          <w:spacing w:val="-2"/>
          <w:sz w:val="24"/>
        </w:rPr>
        <w:t>Webinars</w:t>
      </w:r>
    </w:p>
    <w:p>
      <w:pPr>
        <w:pStyle w:val="ListParagraph"/>
        <w:numPr>
          <w:ilvl w:val="0"/>
          <w:numId w:val="4"/>
        </w:numPr>
        <w:tabs>
          <w:tab w:val="left" w:pos="1901"/>
        </w:tabs>
        <w:spacing w:before="1" w:after="0" w:line="240" w:lineRule="auto"/>
        <w:ind w:left="1901" w:right="0" w:hanging="548"/>
        <w:jc w:val="left"/>
        <w:rPr>
          <w:sz w:val="24"/>
        </w:rPr>
      </w:pPr>
      <w:r>
        <w:rPr>
          <w:sz w:val="24"/>
        </w:rPr>
        <w:t>User</w:t>
      </w:r>
      <w:r>
        <w:rPr>
          <w:spacing w:val="-1"/>
          <w:sz w:val="24"/>
        </w:rPr>
        <w:t xml:space="preserve"> </w:t>
      </w:r>
      <w:r>
        <w:rPr>
          <w:sz w:val="24"/>
        </w:rPr>
        <w:t>Fees</w:t>
      </w:r>
      <w:r>
        <w:rPr>
          <w:spacing w:val="-1"/>
          <w:sz w:val="24"/>
        </w:rPr>
        <w:t xml:space="preserve"> </w:t>
      </w:r>
      <w:r>
        <w:rPr>
          <w:sz w:val="24"/>
        </w:rPr>
        <w:t>(UF)</w:t>
      </w:r>
      <w:r>
        <w:rPr>
          <w:spacing w:val="-1"/>
          <w:sz w:val="24"/>
        </w:rPr>
        <w:t xml:space="preserve"> </w:t>
      </w:r>
      <w:r>
        <w:rPr>
          <w:spacing w:val="-2"/>
          <w:sz w:val="24"/>
        </w:rPr>
        <w:t>Webinars</w:t>
      </w:r>
    </w:p>
    <w:p>
      <w:pPr>
        <w:pStyle w:val="BodyText"/>
        <w:spacing w:before="228"/>
        <w:ind w:left="720" w:right="529"/>
      </w:pPr>
      <w:r>
        <w:t>The</w:t>
      </w:r>
      <w:r>
        <w:rPr>
          <w:spacing w:val="-5"/>
        </w:rPr>
        <w:t xml:space="preserve"> </w:t>
      </w:r>
      <w:r>
        <w:t>above</w:t>
      </w:r>
      <w:r>
        <w:rPr>
          <w:spacing w:val="-4"/>
        </w:rPr>
        <w:t xml:space="preserve"> </w:t>
      </w:r>
      <w:r>
        <w:t>list</w:t>
      </w:r>
      <w:r>
        <w:rPr>
          <w:spacing w:val="-3"/>
        </w:rPr>
        <w:t xml:space="preserve"> </w:t>
      </w:r>
      <w:r>
        <w:t>displays</w:t>
      </w:r>
      <w:r>
        <w:rPr>
          <w:spacing w:val="-3"/>
        </w:rPr>
        <w:t xml:space="preserve"> </w:t>
      </w:r>
      <w:r>
        <w:t>examples</w:t>
      </w:r>
      <w:r>
        <w:rPr>
          <w:spacing w:val="-3"/>
        </w:rPr>
        <w:t xml:space="preserve"> </w:t>
      </w:r>
      <w:r>
        <w:t>of</w:t>
      </w:r>
      <w:r>
        <w:rPr>
          <w:spacing w:val="-3"/>
        </w:rPr>
        <w:t xml:space="preserve"> </w:t>
      </w:r>
      <w:r>
        <w:t>the</w:t>
      </w:r>
      <w:r>
        <w:rPr>
          <w:spacing w:val="-3"/>
        </w:rPr>
        <w:t xml:space="preserve"> </w:t>
      </w:r>
      <w:r>
        <w:t>types</w:t>
      </w:r>
      <w:r>
        <w:rPr>
          <w:spacing w:val="-3"/>
        </w:rPr>
        <w:t xml:space="preserve"> </w:t>
      </w:r>
      <w:r>
        <w:t>of</w:t>
      </w:r>
      <w:r>
        <w:rPr>
          <w:spacing w:val="-3"/>
        </w:rPr>
        <w:t xml:space="preserve"> </w:t>
      </w:r>
      <w:r>
        <w:t>topics</w:t>
      </w:r>
      <w:r>
        <w:rPr>
          <w:spacing w:val="-3"/>
        </w:rPr>
        <w:t xml:space="preserve"> </w:t>
      </w:r>
      <w:r>
        <w:t>and</w:t>
      </w:r>
      <w:r>
        <w:rPr>
          <w:spacing w:val="-3"/>
        </w:rPr>
        <w:t xml:space="preserve"> </w:t>
      </w:r>
      <w:r>
        <w:t>training</w:t>
      </w:r>
      <w:r>
        <w:rPr>
          <w:spacing w:val="-3"/>
        </w:rPr>
        <w:t xml:space="preserve"> </w:t>
      </w:r>
      <w:r>
        <w:t>events.</w:t>
      </w:r>
      <w:r>
        <w:rPr>
          <w:spacing w:val="-1"/>
        </w:rPr>
        <w:t xml:space="preserve"> </w:t>
      </w:r>
      <w:r>
        <w:t>Specific topics and associated data collection activities are subject to change.</w:t>
      </w:r>
    </w:p>
    <w:p>
      <w:pPr>
        <w:pStyle w:val="Heading1"/>
        <w:numPr>
          <w:ilvl w:val="0"/>
          <w:numId w:val="3"/>
        </w:numPr>
        <w:tabs>
          <w:tab w:val="left" w:pos="720"/>
        </w:tabs>
        <w:spacing w:before="230" w:after="0" w:line="240" w:lineRule="auto"/>
        <w:ind w:left="720" w:right="0" w:hanging="720"/>
        <w:jc w:val="left"/>
        <w:rPr>
          <w:u w:val="none"/>
        </w:rPr>
      </w:pPr>
      <w:r>
        <w:rPr>
          <w:spacing w:val="-2"/>
          <w:u w:val="single"/>
        </w:rPr>
        <w:t>JUSTIFICATION</w:t>
      </w:r>
    </w:p>
    <w:p>
      <w:pPr>
        <w:pStyle w:val="BodyText"/>
        <w:rPr>
          <w:b/>
        </w:rPr>
      </w:pPr>
    </w:p>
    <w:p>
      <w:pPr>
        <w:pStyle w:val="ListParagraph"/>
        <w:numPr>
          <w:ilvl w:val="1"/>
          <w:numId w:val="3"/>
        </w:numPr>
        <w:tabs>
          <w:tab w:val="left" w:pos="720"/>
        </w:tabs>
        <w:spacing w:before="0" w:after="0" w:line="240" w:lineRule="auto"/>
        <w:ind w:left="720" w:right="0" w:hanging="720"/>
        <w:jc w:val="left"/>
        <w:rPr>
          <w:b/>
          <w:sz w:val="24"/>
        </w:rPr>
      </w:pPr>
      <w:r>
        <w:rPr>
          <w:b/>
          <w:sz w:val="24"/>
          <w:u w:val="single"/>
        </w:rPr>
        <w:t>Need</w:t>
      </w:r>
      <w:r>
        <w:rPr>
          <w:b/>
          <w:spacing w:val="-2"/>
          <w:sz w:val="24"/>
          <w:u w:val="single"/>
        </w:rPr>
        <w:t xml:space="preserve"> </w:t>
      </w:r>
      <w:r>
        <w:rPr>
          <w:b/>
          <w:sz w:val="24"/>
          <w:u w:val="single"/>
        </w:rPr>
        <w:t>and</w:t>
      </w:r>
      <w:r>
        <w:rPr>
          <w:b/>
          <w:spacing w:val="-1"/>
          <w:sz w:val="24"/>
          <w:u w:val="single"/>
        </w:rPr>
        <w:t xml:space="preserve"> </w:t>
      </w:r>
      <w:r>
        <w:rPr>
          <w:b/>
          <w:sz w:val="24"/>
          <w:u w:val="single"/>
        </w:rPr>
        <w:t>Legal</w:t>
      </w:r>
      <w:r>
        <w:rPr>
          <w:b/>
          <w:spacing w:val="-1"/>
          <w:sz w:val="24"/>
          <w:u w:val="single"/>
        </w:rPr>
        <w:t xml:space="preserve"> </w:t>
      </w:r>
      <w:r>
        <w:rPr>
          <w:b/>
          <w:spacing w:val="-2"/>
          <w:sz w:val="24"/>
          <w:u w:val="single"/>
        </w:rPr>
        <w:t>Basis</w:t>
      </w:r>
    </w:p>
    <w:p>
      <w:pPr>
        <w:pStyle w:val="BodyText"/>
        <w:rPr>
          <w:b/>
        </w:rPr>
      </w:pPr>
    </w:p>
    <w:p>
      <w:pPr>
        <w:pStyle w:val="BodyText"/>
        <w:spacing w:before="1"/>
        <w:ind w:left="720" w:right="454"/>
        <w:jc w:val="both"/>
      </w:pPr>
      <w:r>
        <w:t>Analysis</w:t>
      </w:r>
      <w:r>
        <w:rPr>
          <w:spacing w:val="-4"/>
        </w:rPr>
        <w:t xml:space="preserve"> </w:t>
      </w:r>
      <w:r>
        <w:t>of</w:t>
      </w:r>
      <w:r>
        <w:rPr>
          <w:spacing w:val="-4"/>
        </w:rPr>
        <w:t xml:space="preserve"> </w:t>
      </w:r>
      <w:r>
        <w:t>data</w:t>
      </w:r>
      <w:r>
        <w:rPr>
          <w:spacing w:val="-4"/>
        </w:rPr>
        <w:t xml:space="preserve"> </w:t>
      </w:r>
      <w:r>
        <w:t>from</w:t>
      </w:r>
      <w:r>
        <w:rPr>
          <w:spacing w:val="-4"/>
        </w:rPr>
        <w:t xml:space="preserve"> </w:t>
      </w:r>
      <w:r>
        <w:t>the</w:t>
      </w:r>
      <w:r>
        <w:rPr>
          <w:spacing w:val="-4"/>
        </w:rPr>
        <w:t xml:space="preserve"> </w:t>
      </w:r>
      <w:r>
        <w:t>evaluations</w:t>
      </w:r>
      <w:r>
        <w:rPr>
          <w:spacing w:val="-4"/>
        </w:rPr>
        <w:t xml:space="preserve"> </w:t>
      </w:r>
      <w:r>
        <w:t>of</w:t>
      </w:r>
      <w:r>
        <w:rPr>
          <w:spacing w:val="-3"/>
        </w:rPr>
        <w:t xml:space="preserve"> </w:t>
      </w:r>
      <w:r>
        <w:t>Computer</w:t>
      </w:r>
      <w:r>
        <w:rPr>
          <w:spacing w:val="-3"/>
        </w:rPr>
        <w:t xml:space="preserve"> </w:t>
      </w:r>
      <w:r>
        <w:t>Based</w:t>
      </w:r>
      <w:r>
        <w:rPr>
          <w:spacing w:val="-4"/>
        </w:rPr>
        <w:t xml:space="preserve"> </w:t>
      </w:r>
      <w:r>
        <w:t>Training</w:t>
      </w:r>
      <w:r>
        <w:rPr>
          <w:spacing w:val="-4"/>
        </w:rPr>
        <w:t xml:space="preserve"> </w:t>
      </w:r>
      <w:r>
        <w:t>(CBT),</w:t>
      </w:r>
      <w:r>
        <w:rPr>
          <w:spacing w:val="-3"/>
        </w:rPr>
        <w:t xml:space="preserve"> </w:t>
      </w:r>
      <w:r>
        <w:t>webinars,</w:t>
      </w:r>
      <w:r>
        <w:rPr>
          <w:spacing w:val="-4"/>
        </w:rPr>
        <w:t xml:space="preserve"> </w:t>
      </w:r>
      <w:r>
        <w:t>and conferences (“events”) address Federal reporting requirements, and goals and objectives for the Affordable Care Act, including;</w:t>
      </w:r>
    </w:p>
    <w:p>
      <w:pPr>
        <w:pStyle w:val="ListParagraph"/>
        <w:numPr>
          <w:ilvl w:val="0"/>
          <w:numId w:val="2"/>
        </w:numPr>
        <w:tabs>
          <w:tab w:val="left" w:pos="1901"/>
        </w:tabs>
        <w:spacing w:before="276" w:after="0" w:line="240" w:lineRule="auto"/>
        <w:ind w:left="1901" w:right="581" w:hanging="548"/>
        <w:jc w:val="left"/>
        <w:rPr>
          <w:sz w:val="24"/>
        </w:rPr>
      </w:pPr>
      <w:r>
        <w:rPr>
          <w:sz w:val="24"/>
        </w:rPr>
        <w:t>The</w:t>
      </w:r>
      <w:r>
        <w:rPr>
          <w:spacing w:val="-7"/>
          <w:sz w:val="24"/>
        </w:rPr>
        <w:t xml:space="preserve"> </w:t>
      </w:r>
      <w:r>
        <w:rPr>
          <w:sz w:val="24"/>
        </w:rPr>
        <w:t>Government</w:t>
      </w:r>
      <w:r>
        <w:rPr>
          <w:spacing w:val="-5"/>
          <w:sz w:val="24"/>
        </w:rPr>
        <w:t xml:space="preserve"> </w:t>
      </w:r>
      <w:r>
        <w:rPr>
          <w:sz w:val="24"/>
        </w:rPr>
        <w:t>Performance</w:t>
      </w:r>
      <w:r>
        <w:rPr>
          <w:spacing w:val="-6"/>
          <w:sz w:val="24"/>
        </w:rPr>
        <w:t xml:space="preserve"> </w:t>
      </w:r>
      <w:r>
        <w:rPr>
          <w:sz w:val="24"/>
        </w:rPr>
        <w:t>and</w:t>
      </w:r>
      <w:r>
        <w:rPr>
          <w:spacing w:val="-5"/>
          <w:sz w:val="24"/>
        </w:rPr>
        <w:t xml:space="preserve"> </w:t>
      </w:r>
      <w:r>
        <w:rPr>
          <w:sz w:val="24"/>
        </w:rPr>
        <w:t>Results</w:t>
      </w:r>
      <w:r>
        <w:rPr>
          <w:spacing w:val="-5"/>
          <w:sz w:val="24"/>
        </w:rPr>
        <w:t xml:space="preserve"> </w:t>
      </w:r>
      <w:r>
        <w:rPr>
          <w:sz w:val="24"/>
        </w:rPr>
        <w:t>Act</w:t>
      </w:r>
      <w:r>
        <w:rPr>
          <w:spacing w:val="-3"/>
          <w:sz w:val="24"/>
        </w:rPr>
        <w:t xml:space="preserve"> </w:t>
      </w:r>
      <w:r>
        <w:rPr>
          <w:sz w:val="24"/>
        </w:rPr>
        <w:t>(GPRA)</w:t>
      </w:r>
      <w:r>
        <w:rPr>
          <w:spacing w:val="-7"/>
          <w:sz w:val="24"/>
        </w:rPr>
        <w:t xml:space="preserve"> </w:t>
      </w:r>
      <w:r>
        <w:rPr>
          <w:sz w:val="24"/>
        </w:rPr>
        <w:t>Modernization</w:t>
      </w:r>
      <w:r>
        <w:rPr>
          <w:spacing w:val="-5"/>
          <w:sz w:val="24"/>
        </w:rPr>
        <w:t xml:space="preserve"> </w:t>
      </w:r>
      <w:r>
        <w:rPr>
          <w:sz w:val="24"/>
        </w:rPr>
        <w:t>Act of 2010 (Office of Management and Budget, n.d.);</w:t>
      </w:r>
    </w:p>
    <w:p>
      <w:pPr>
        <w:pStyle w:val="ListParagraph"/>
        <w:numPr>
          <w:ilvl w:val="0"/>
          <w:numId w:val="2"/>
        </w:numPr>
        <w:tabs>
          <w:tab w:val="left" w:pos="1901"/>
        </w:tabs>
        <w:spacing w:before="0" w:after="0" w:line="240" w:lineRule="auto"/>
        <w:ind w:left="1901" w:right="577" w:hanging="548"/>
        <w:jc w:val="left"/>
        <w:rPr>
          <w:sz w:val="24"/>
        </w:rPr>
      </w:pPr>
      <w:r>
        <w:rPr>
          <w:sz w:val="24"/>
        </w:rPr>
        <w:t>The</w:t>
      </w:r>
      <w:r>
        <w:rPr>
          <w:spacing w:val="-6"/>
          <w:sz w:val="24"/>
        </w:rPr>
        <w:t xml:space="preserve"> </w:t>
      </w:r>
      <w:r>
        <w:rPr>
          <w:sz w:val="24"/>
        </w:rPr>
        <w:t>U.S.</w:t>
      </w:r>
      <w:r>
        <w:rPr>
          <w:spacing w:val="-4"/>
          <w:sz w:val="24"/>
        </w:rPr>
        <w:t xml:space="preserve"> </w:t>
      </w:r>
      <w:r>
        <w:rPr>
          <w:sz w:val="24"/>
        </w:rPr>
        <w:t>Department</w:t>
      </w:r>
      <w:r>
        <w:rPr>
          <w:spacing w:val="-4"/>
          <w:sz w:val="24"/>
        </w:rPr>
        <w:t xml:space="preserve"> </w:t>
      </w:r>
      <w:r>
        <w:rPr>
          <w:sz w:val="24"/>
        </w:rPr>
        <w:t>of</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Human</w:t>
      </w:r>
      <w:r>
        <w:rPr>
          <w:spacing w:val="-4"/>
          <w:sz w:val="24"/>
        </w:rPr>
        <w:t xml:space="preserve"> </w:t>
      </w:r>
      <w:r>
        <w:rPr>
          <w:sz w:val="24"/>
        </w:rPr>
        <w:t>Services’</w:t>
      </w:r>
      <w:r>
        <w:rPr>
          <w:spacing w:val="-4"/>
          <w:sz w:val="24"/>
        </w:rPr>
        <w:t xml:space="preserve"> </w:t>
      </w:r>
      <w:r>
        <w:rPr>
          <w:sz w:val="24"/>
        </w:rPr>
        <w:t>(HHS)</w:t>
      </w:r>
      <w:r>
        <w:rPr>
          <w:spacing w:val="-3"/>
          <w:sz w:val="24"/>
        </w:rPr>
        <w:t xml:space="preserve"> </w:t>
      </w:r>
      <w:r>
        <w:rPr>
          <w:sz w:val="24"/>
        </w:rPr>
        <w:t>Strategic</w:t>
      </w:r>
      <w:r>
        <w:rPr>
          <w:spacing w:val="-5"/>
          <w:sz w:val="24"/>
        </w:rPr>
        <w:t xml:space="preserve"> </w:t>
      </w:r>
      <w:r>
        <w:rPr>
          <w:sz w:val="24"/>
        </w:rPr>
        <w:t>Plan FY 2022-2026 (HHS, n.d.); and</w:t>
      </w:r>
    </w:p>
    <w:p>
      <w:pPr>
        <w:pStyle w:val="ListParagraph"/>
        <w:numPr>
          <w:ilvl w:val="0"/>
          <w:numId w:val="2"/>
        </w:numPr>
        <w:tabs>
          <w:tab w:val="left" w:pos="1901"/>
        </w:tabs>
        <w:spacing w:before="0" w:after="0" w:line="240" w:lineRule="auto"/>
        <w:ind w:left="1901" w:right="643" w:hanging="548"/>
        <w:jc w:val="left"/>
        <w:rPr>
          <w:sz w:val="24"/>
        </w:rPr>
      </w:pPr>
      <w:r>
        <w:rPr>
          <w:sz w:val="24"/>
        </w:rPr>
        <w:t>The</w:t>
      </w:r>
      <w:r>
        <w:rPr>
          <w:spacing w:val="-6"/>
          <w:sz w:val="24"/>
        </w:rPr>
        <w:t xml:space="preserve"> </w:t>
      </w:r>
      <w:r>
        <w:rPr>
          <w:sz w:val="24"/>
        </w:rPr>
        <w:t>Center</w:t>
      </w:r>
      <w:r>
        <w:rPr>
          <w:spacing w:val="-6"/>
          <w:sz w:val="24"/>
        </w:rPr>
        <w:t xml:space="preserve"> </w:t>
      </w:r>
      <w:r>
        <w:rPr>
          <w:sz w:val="24"/>
        </w:rPr>
        <w:t>for</w:t>
      </w:r>
      <w:r>
        <w:rPr>
          <w:spacing w:val="-4"/>
          <w:sz w:val="24"/>
        </w:rPr>
        <w:t xml:space="preserve"> </w:t>
      </w:r>
      <w:r>
        <w:rPr>
          <w:sz w:val="24"/>
        </w:rPr>
        <w:t>Medicare</w:t>
      </w:r>
      <w:r>
        <w:rPr>
          <w:spacing w:val="-4"/>
          <w:sz w:val="24"/>
        </w:rPr>
        <w:t xml:space="preserve"> </w:t>
      </w:r>
      <w:r>
        <w:rPr>
          <w:sz w:val="24"/>
        </w:rPr>
        <w:t>and</w:t>
      </w:r>
      <w:r>
        <w:rPr>
          <w:spacing w:val="-4"/>
          <w:sz w:val="24"/>
        </w:rPr>
        <w:t xml:space="preserve"> </w:t>
      </w:r>
      <w:r>
        <w:rPr>
          <w:sz w:val="24"/>
        </w:rPr>
        <w:t>Medicaid</w:t>
      </w:r>
      <w:r>
        <w:rPr>
          <w:spacing w:val="-4"/>
          <w:sz w:val="24"/>
        </w:rPr>
        <w:t xml:space="preserve"> </w:t>
      </w:r>
      <w:r>
        <w:rPr>
          <w:sz w:val="24"/>
        </w:rPr>
        <w:t>Services</w:t>
      </w:r>
      <w:r>
        <w:rPr>
          <w:spacing w:val="-4"/>
          <w:sz w:val="24"/>
        </w:rPr>
        <w:t xml:space="preserve"> </w:t>
      </w:r>
      <w:r>
        <w:rPr>
          <w:sz w:val="24"/>
        </w:rPr>
        <w:t>(CMS)</w:t>
      </w:r>
      <w:r>
        <w:rPr>
          <w:spacing w:val="-4"/>
          <w:sz w:val="24"/>
        </w:rPr>
        <w:t xml:space="preserve"> </w:t>
      </w:r>
      <w:r>
        <w:rPr>
          <w:sz w:val="24"/>
        </w:rPr>
        <w:t>goals</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 xml:space="preserve">ACA </w:t>
      </w:r>
      <w:r>
        <w:rPr>
          <w:spacing w:val="-2"/>
          <w:sz w:val="24"/>
        </w:rPr>
        <w:t>(2013).</w:t>
      </w:r>
    </w:p>
    <w:p>
      <w:pPr>
        <w:pStyle w:val="BodyText"/>
        <w:spacing w:before="275"/>
        <w:ind w:left="720"/>
        <w:jc w:val="both"/>
      </w:pPr>
      <w:r>
        <w:t>The</w:t>
      </w:r>
      <w:r>
        <w:rPr>
          <w:spacing w:val="-3"/>
        </w:rPr>
        <w:t xml:space="preserve"> </w:t>
      </w:r>
      <w:r>
        <w:t>following provides additional details on these</w:t>
      </w:r>
      <w:r>
        <w:rPr>
          <w:spacing w:val="-2"/>
        </w:rPr>
        <w:t xml:space="preserve"> requirements.</w:t>
      </w:r>
    </w:p>
    <w:p>
      <w:pPr>
        <w:pStyle w:val="BodyText"/>
      </w:pPr>
    </w:p>
    <w:p>
      <w:pPr>
        <w:pStyle w:val="Heading1"/>
        <w:numPr>
          <w:ilvl w:val="2"/>
          <w:numId w:val="3"/>
        </w:numPr>
        <w:tabs>
          <w:tab w:val="left" w:pos="1080"/>
        </w:tabs>
        <w:spacing w:before="0" w:after="0" w:line="240" w:lineRule="auto"/>
        <w:ind w:left="1080" w:right="0" w:hanging="360"/>
        <w:jc w:val="left"/>
        <w:rPr>
          <w:u w:val="none"/>
        </w:rPr>
      </w:pPr>
      <w:r>
        <w:rPr>
          <w:u w:val="none"/>
        </w:rPr>
        <w:t>Government</w:t>
      </w:r>
      <w:r>
        <w:rPr>
          <w:spacing w:val="-4"/>
          <w:u w:val="none"/>
        </w:rPr>
        <w:t xml:space="preserve"> </w:t>
      </w:r>
      <w:r>
        <w:rPr>
          <w:u w:val="none"/>
        </w:rPr>
        <w:t>Performance</w:t>
      </w:r>
      <w:r>
        <w:rPr>
          <w:spacing w:val="-3"/>
          <w:u w:val="none"/>
        </w:rPr>
        <w:t xml:space="preserve"> </w:t>
      </w:r>
      <w:r>
        <w:rPr>
          <w:u w:val="none"/>
        </w:rPr>
        <w:t>and</w:t>
      </w:r>
      <w:r>
        <w:rPr>
          <w:spacing w:val="-2"/>
          <w:u w:val="none"/>
        </w:rPr>
        <w:t xml:space="preserve"> </w:t>
      </w:r>
      <w:r>
        <w:rPr>
          <w:u w:val="none"/>
        </w:rPr>
        <w:t>Results</w:t>
      </w:r>
      <w:r>
        <w:rPr>
          <w:spacing w:val="-2"/>
          <w:u w:val="none"/>
        </w:rPr>
        <w:t xml:space="preserve"> </w:t>
      </w:r>
      <w:r>
        <w:rPr>
          <w:u w:val="none"/>
        </w:rPr>
        <w:t>Act</w:t>
      </w:r>
      <w:r>
        <w:rPr>
          <w:spacing w:val="-2"/>
          <w:u w:val="none"/>
        </w:rPr>
        <w:t xml:space="preserve"> </w:t>
      </w:r>
      <w:r>
        <w:rPr>
          <w:u w:val="none"/>
        </w:rPr>
        <w:t>(GPRA)</w:t>
      </w:r>
      <w:r>
        <w:rPr>
          <w:spacing w:val="-3"/>
          <w:u w:val="none"/>
        </w:rPr>
        <w:t xml:space="preserve"> </w:t>
      </w:r>
      <w:r>
        <w:rPr>
          <w:u w:val="none"/>
        </w:rPr>
        <w:t>Modernization</w:t>
      </w:r>
      <w:r>
        <w:rPr>
          <w:spacing w:val="-1"/>
          <w:u w:val="none"/>
        </w:rPr>
        <w:t xml:space="preserve"> </w:t>
      </w:r>
      <w:r>
        <w:rPr>
          <w:u w:val="none"/>
        </w:rPr>
        <w:t>Act</w:t>
      </w:r>
      <w:r>
        <w:rPr>
          <w:spacing w:val="-2"/>
          <w:u w:val="none"/>
        </w:rPr>
        <w:t xml:space="preserve"> </w:t>
      </w:r>
      <w:r>
        <w:rPr>
          <w:u w:val="none"/>
        </w:rPr>
        <w:t>of</w:t>
      </w:r>
      <w:r>
        <w:rPr>
          <w:spacing w:val="-3"/>
          <w:u w:val="none"/>
        </w:rPr>
        <w:t xml:space="preserve"> </w:t>
      </w:r>
      <w:r>
        <w:rPr>
          <w:spacing w:val="-4"/>
          <w:u w:val="none"/>
        </w:rPr>
        <w:t>2010</w:t>
      </w:r>
    </w:p>
    <w:p>
      <w:pPr>
        <w:pStyle w:val="BodyText"/>
        <w:rPr>
          <w:b/>
        </w:rPr>
      </w:pPr>
    </w:p>
    <w:p>
      <w:pPr>
        <w:pStyle w:val="BodyText"/>
        <w:ind w:left="720"/>
      </w:pPr>
      <w:r>
        <w:t>CMS</w:t>
      </w:r>
      <w:r>
        <w:rPr>
          <w:spacing w:val="-4"/>
        </w:rPr>
        <w:t xml:space="preserve"> </w:t>
      </w:r>
      <w:r>
        <w:t>(and</w:t>
      </w:r>
      <w:r>
        <w:rPr>
          <w:spacing w:val="-4"/>
        </w:rPr>
        <w:t xml:space="preserve"> </w:t>
      </w:r>
      <w:r>
        <w:t>all</w:t>
      </w:r>
      <w:r>
        <w:rPr>
          <w:spacing w:val="-4"/>
        </w:rPr>
        <w:t xml:space="preserve"> </w:t>
      </w:r>
      <w:r>
        <w:t>federal</w:t>
      </w:r>
      <w:r>
        <w:rPr>
          <w:spacing w:val="-4"/>
        </w:rPr>
        <w:t xml:space="preserve"> </w:t>
      </w:r>
      <w:r>
        <w:t>agencies)</w:t>
      </w:r>
      <w:r>
        <w:rPr>
          <w:spacing w:val="-5"/>
        </w:rPr>
        <w:t xml:space="preserve"> </w:t>
      </w:r>
      <w:r>
        <w:t>must</w:t>
      </w:r>
      <w:r>
        <w:rPr>
          <w:spacing w:val="-4"/>
        </w:rPr>
        <w:t xml:space="preserve"> </w:t>
      </w:r>
      <w:r>
        <w:t>address</w:t>
      </w:r>
      <w:r>
        <w:rPr>
          <w:spacing w:val="-4"/>
        </w:rPr>
        <w:t xml:space="preserve"> </w:t>
      </w:r>
      <w:r>
        <w:t>the</w:t>
      </w:r>
      <w:r>
        <w:rPr>
          <w:spacing w:val="-3"/>
        </w:rPr>
        <w:t xml:space="preserve"> </w:t>
      </w:r>
      <w:r>
        <w:t>GPRA</w:t>
      </w:r>
      <w:r>
        <w:rPr>
          <w:spacing w:val="-4"/>
        </w:rPr>
        <w:t xml:space="preserve"> </w:t>
      </w:r>
      <w:r>
        <w:t>Modernization</w:t>
      </w:r>
      <w:r>
        <w:rPr>
          <w:spacing w:val="-4"/>
        </w:rPr>
        <w:t xml:space="preserve"> </w:t>
      </w:r>
      <w:r>
        <w:t>Act</w:t>
      </w:r>
      <w:r>
        <w:rPr>
          <w:spacing w:val="-4"/>
        </w:rPr>
        <w:t xml:space="preserve"> </w:t>
      </w:r>
      <w:r>
        <w:t>of</w:t>
      </w:r>
      <w:r>
        <w:rPr>
          <w:spacing w:val="-4"/>
        </w:rPr>
        <w:t xml:space="preserve"> </w:t>
      </w:r>
      <w:r>
        <w:t xml:space="preserve">2010 </w:t>
      </w:r>
      <w:r>
        <w:rPr>
          <w:spacing w:val="-2"/>
        </w:rPr>
        <w:t>requirement:</w:t>
      </w:r>
    </w:p>
    <w:p>
      <w:pPr>
        <w:pStyle w:val="BodyText"/>
      </w:pPr>
    </w:p>
    <w:p>
      <w:pPr>
        <w:pStyle w:val="BodyText"/>
        <w:spacing w:before="1"/>
        <w:ind w:left="720" w:right="370"/>
      </w:pPr>
      <w:r>
        <w:t>“To</w:t>
      </w:r>
      <w:r>
        <w:rPr>
          <w:spacing w:val="-4"/>
        </w:rPr>
        <w:t xml:space="preserve"> </w:t>
      </w:r>
      <w:r>
        <w:t>require</w:t>
      </w:r>
      <w:r>
        <w:rPr>
          <w:spacing w:val="-5"/>
        </w:rPr>
        <w:t xml:space="preserve"> </w:t>
      </w:r>
      <w:r>
        <w:t>quarterly</w:t>
      </w:r>
      <w:r>
        <w:rPr>
          <w:spacing w:val="-4"/>
        </w:rPr>
        <w:t xml:space="preserve"> </w:t>
      </w:r>
      <w:r>
        <w:t>performance</w:t>
      </w:r>
      <w:r>
        <w:rPr>
          <w:spacing w:val="-5"/>
        </w:rPr>
        <w:t xml:space="preserve"> </w:t>
      </w:r>
      <w:r>
        <w:t>assessments</w:t>
      </w:r>
      <w:r>
        <w:rPr>
          <w:spacing w:val="-5"/>
        </w:rPr>
        <w:t xml:space="preserve"> </w:t>
      </w:r>
      <w:r>
        <w:t>of</w:t>
      </w:r>
      <w:r>
        <w:rPr>
          <w:spacing w:val="-3"/>
        </w:rPr>
        <w:t xml:space="preserve"> </w:t>
      </w:r>
      <w:r>
        <w:t>Government</w:t>
      </w:r>
      <w:r>
        <w:rPr>
          <w:spacing w:val="-4"/>
        </w:rPr>
        <w:t xml:space="preserve"> </w:t>
      </w:r>
      <w:r>
        <w:t>Programs</w:t>
      </w:r>
      <w:r>
        <w:rPr>
          <w:spacing w:val="-5"/>
        </w:rPr>
        <w:t xml:space="preserve"> </w:t>
      </w:r>
      <w:r>
        <w:t>for</w:t>
      </w:r>
      <w:r>
        <w:rPr>
          <w:spacing w:val="-4"/>
        </w:rPr>
        <w:t xml:space="preserve"> </w:t>
      </w:r>
      <w:r>
        <w:t>the</w:t>
      </w:r>
      <w:r>
        <w:rPr>
          <w:spacing w:val="-6"/>
        </w:rPr>
        <w:t xml:space="preserve"> </w:t>
      </w:r>
      <w:r>
        <w:t>purpose of assessing agency performance and improvement…” (Government Performance and Results Act (GPRA) Modernization Act of 2010, 111 U.S.C. § 2142, 2010, para. 1).</w:t>
      </w:r>
    </w:p>
    <w:p>
      <w:pPr>
        <w:pStyle w:val="BodyText"/>
        <w:spacing w:before="276"/>
        <w:ind w:left="720" w:right="370"/>
      </w:pPr>
      <w:r>
        <w:t>The</w:t>
      </w:r>
      <w:r>
        <w:rPr>
          <w:spacing w:val="-6"/>
        </w:rPr>
        <w:t xml:space="preserve"> </w:t>
      </w:r>
      <w:r>
        <w:t>evaluation</w:t>
      </w:r>
      <w:r>
        <w:rPr>
          <w:spacing w:val="-4"/>
        </w:rPr>
        <w:t xml:space="preserve"> </w:t>
      </w:r>
      <w:r>
        <w:t>of</w:t>
      </w:r>
      <w:r>
        <w:rPr>
          <w:spacing w:val="-5"/>
        </w:rPr>
        <w:t xml:space="preserve"> </w:t>
      </w:r>
      <w:r>
        <w:t>the</w:t>
      </w:r>
      <w:r>
        <w:rPr>
          <w:spacing w:val="-4"/>
        </w:rPr>
        <w:t xml:space="preserve"> </w:t>
      </w:r>
      <w:r>
        <w:t>CMS</w:t>
      </w:r>
      <w:r>
        <w:rPr>
          <w:spacing w:val="-3"/>
        </w:rPr>
        <w:t xml:space="preserve"> </w:t>
      </w:r>
      <w:r>
        <w:t>Computer</w:t>
      </w:r>
      <w:r>
        <w:rPr>
          <w:spacing w:val="-4"/>
        </w:rPr>
        <w:t xml:space="preserve"> </w:t>
      </w:r>
      <w:r>
        <w:t>Based</w:t>
      </w:r>
      <w:r>
        <w:rPr>
          <w:spacing w:val="-4"/>
        </w:rPr>
        <w:t xml:space="preserve"> </w:t>
      </w:r>
      <w:r>
        <w:t>Training</w:t>
      </w:r>
      <w:r>
        <w:rPr>
          <w:spacing w:val="-4"/>
        </w:rPr>
        <w:t xml:space="preserve"> </w:t>
      </w:r>
      <w:r>
        <w:t>(CBT),</w:t>
      </w:r>
      <w:r>
        <w:rPr>
          <w:spacing w:val="-2"/>
        </w:rPr>
        <w:t xml:space="preserve"> </w:t>
      </w:r>
      <w:r>
        <w:t>webinars,</w:t>
      </w:r>
      <w:r>
        <w:rPr>
          <w:spacing w:val="-4"/>
        </w:rPr>
        <w:t xml:space="preserve"> </w:t>
      </w:r>
      <w:r>
        <w:t>and</w:t>
      </w:r>
      <w:r>
        <w:rPr>
          <w:spacing w:val="-4"/>
        </w:rPr>
        <w:t xml:space="preserve"> </w:t>
      </w:r>
      <w:r>
        <w:t>conferences (both online and onsite) via surveys addresses the GPRA Modernization Act of 2010</w:t>
      </w:r>
    </w:p>
    <w:p>
      <w:pPr>
        <w:pStyle w:val="BodyText"/>
        <w:ind w:left="720"/>
      </w:pPr>
      <w:r>
        <w:t>requirement</w:t>
      </w:r>
      <w:r>
        <w:rPr>
          <w:spacing w:val="-4"/>
        </w:rPr>
        <w:t xml:space="preserve"> </w:t>
      </w:r>
      <w:r>
        <w:t>to</w:t>
      </w:r>
      <w:r>
        <w:rPr>
          <w:spacing w:val="-4"/>
        </w:rPr>
        <w:t xml:space="preserve"> </w:t>
      </w:r>
      <w:r>
        <w:t>provide</w:t>
      </w:r>
      <w:r>
        <w:rPr>
          <w:spacing w:val="-4"/>
        </w:rPr>
        <w:t xml:space="preserve"> </w:t>
      </w:r>
      <w:r>
        <w:t>data</w:t>
      </w:r>
      <w:r>
        <w:rPr>
          <w:spacing w:val="-4"/>
        </w:rPr>
        <w:t xml:space="preserve"> </w:t>
      </w:r>
      <w:r>
        <w:t>to</w:t>
      </w:r>
      <w:r>
        <w:rPr>
          <w:spacing w:val="-4"/>
        </w:rPr>
        <w:t xml:space="preserve"> </w:t>
      </w:r>
      <w:r>
        <w:t>support</w:t>
      </w:r>
      <w:r>
        <w:rPr>
          <w:spacing w:val="-4"/>
        </w:rPr>
        <w:t xml:space="preserve"> </w:t>
      </w:r>
      <w:r>
        <w:t>documentation</w:t>
      </w:r>
      <w:r>
        <w:rPr>
          <w:spacing w:val="-4"/>
        </w:rPr>
        <w:t xml:space="preserve"> </w:t>
      </w:r>
      <w:r>
        <w:t>of</w:t>
      </w:r>
      <w:r>
        <w:rPr>
          <w:spacing w:val="-5"/>
        </w:rPr>
        <w:t xml:space="preserve"> </w:t>
      </w:r>
      <w:r>
        <w:t>an</w:t>
      </w:r>
      <w:r>
        <w:rPr>
          <w:spacing w:val="-4"/>
        </w:rPr>
        <w:t xml:space="preserve"> </w:t>
      </w:r>
      <w:r>
        <w:t>agency’s</w:t>
      </w:r>
      <w:r>
        <w:rPr>
          <w:spacing w:val="-5"/>
        </w:rPr>
        <w:t xml:space="preserve"> </w:t>
      </w:r>
      <w:r>
        <w:t>goals</w:t>
      </w:r>
      <w:r>
        <w:rPr>
          <w:spacing w:val="-2"/>
        </w:rPr>
        <w:t xml:space="preserve"> </w:t>
      </w:r>
      <w:r>
        <w:t>being</w:t>
      </w:r>
      <w:r>
        <w:rPr>
          <w:spacing w:val="-4"/>
        </w:rPr>
        <w:t xml:space="preserve"> </w:t>
      </w:r>
      <w:r>
        <w:t>met (Government Performance</w:t>
      </w:r>
      <w:r>
        <w:rPr>
          <w:spacing w:val="-1"/>
        </w:rPr>
        <w:t xml:space="preserve"> </w:t>
      </w:r>
      <w:r>
        <w:t>and Results Act (GPRA)</w:t>
      </w:r>
      <w:r>
        <w:rPr>
          <w:spacing w:val="-2"/>
        </w:rPr>
        <w:t xml:space="preserve"> </w:t>
      </w:r>
      <w:r>
        <w:t>Modernization Act of 2010, 111</w:t>
      </w:r>
    </w:p>
    <w:p>
      <w:pPr>
        <w:pStyle w:val="BodyText"/>
        <w:spacing w:after="0"/>
        <w:sectPr>
          <w:pgSz w:w="12240" w:h="15840"/>
          <w:pgMar w:top="1360" w:right="1080" w:bottom="1880" w:left="1440" w:header="0" w:footer="1689"/>
          <w:cols w:space="720"/>
        </w:sectPr>
      </w:pPr>
    </w:p>
    <w:p>
      <w:pPr>
        <w:pStyle w:val="BodyText"/>
        <w:spacing w:before="79"/>
        <w:ind w:left="720"/>
      </w:pPr>
      <w:r>
        <w:t xml:space="preserve">U.S.C. § 2142, </w:t>
      </w:r>
      <w:r>
        <w:rPr>
          <w:spacing w:val="-2"/>
        </w:rPr>
        <w:t>2010).</w:t>
      </w:r>
    </w:p>
    <w:p>
      <w:pPr>
        <w:pStyle w:val="BodyText"/>
      </w:pPr>
    </w:p>
    <w:p>
      <w:pPr>
        <w:pStyle w:val="Heading1"/>
        <w:numPr>
          <w:ilvl w:val="2"/>
          <w:numId w:val="3"/>
        </w:numPr>
        <w:tabs>
          <w:tab w:val="left" w:pos="1080"/>
        </w:tabs>
        <w:spacing w:before="0" w:after="0" w:line="240" w:lineRule="auto"/>
        <w:ind w:left="720" w:right="400" w:firstLine="0"/>
        <w:jc w:val="left"/>
        <w:rPr>
          <w:u w:val="none"/>
        </w:rPr>
      </w:pPr>
      <w:r>
        <w:rPr>
          <w:u w:val="none"/>
        </w:rPr>
        <w:t>U.S.</w:t>
      </w:r>
      <w:r>
        <w:rPr>
          <w:spacing w:val="-4"/>
          <w:u w:val="none"/>
        </w:rPr>
        <w:t xml:space="preserve"> </w:t>
      </w:r>
      <w:r>
        <w:rPr>
          <w:u w:val="none"/>
        </w:rPr>
        <w:t>Department</w:t>
      </w:r>
      <w:r>
        <w:rPr>
          <w:spacing w:val="-4"/>
          <w:u w:val="none"/>
        </w:rPr>
        <w:t xml:space="preserve"> </w:t>
      </w:r>
      <w:r>
        <w:rPr>
          <w:u w:val="none"/>
        </w:rPr>
        <w:t>of</w:t>
      </w:r>
      <w:r>
        <w:rPr>
          <w:spacing w:val="-4"/>
          <w:u w:val="none"/>
        </w:rPr>
        <w:t xml:space="preserve"> </w:t>
      </w:r>
      <w:r>
        <w:rPr>
          <w:u w:val="none"/>
        </w:rPr>
        <w:t>Health</w:t>
      </w:r>
      <w:r>
        <w:rPr>
          <w:spacing w:val="-4"/>
          <w:u w:val="none"/>
        </w:rPr>
        <w:t xml:space="preserve"> </w:t>
      </w:r>
      <w:r>
        <w:rPr>
          <w:u w:val="none"/>
        </w:rPr>
        <w:t>and</w:t>
      </w:r>
      <w:r>
        <w:rPr>
          <w:spacing w:val="-4"/>
          <w:u w:val="none"/>
        </w:rPr>
        <w:t xml:space="preserve"> </w:t>
      </w:r>
      <w:r>
        <w:rPr>
          <w:u w:val="none"/>
        </w:rPr>
        <w:t>Human</w:t>
      </w:r>
      <w:r>
        <w:rPr>
          <w:spacing w:val="-4"/>
          <w:u w:val="none"/>
        </w:rPr>
        <w:t xml:space="preserve"> </w:t>
      </w:r>
      <w:r>
        <w:rPr>
          <w:u w:val="none"/>
        </w:rPr>
        <w:t>Services’</w:t>
      </w:r>
      <w:r>
        <w:rPr>
          <w:spacing w:val="-4"/>
          <w:u w:val="none"/>
        </w:rPr>
        <w:t xml:space="preserve"> </w:t>
      </w:r>
      <w:r>
        <w:rPr>
          <w:u w:val="none"/>
        </w:rPr>
        <w:t>(HHS)</w:t>
      </w:r>
      <w:r>
        <w:rPr>
          <w:spacing w:val="-1"/>
          <w:u w:val="none"/>
        </w:rPr>
        <w:t xml:space="preserve"> </w:t>
      </w:r>
      <w:r>
        <w:rPr>
          <w:u w:val="none"/>
        </w:rPr>
        <w:t>Strategic</w:t>
      </w:r>
      <w:r>
        <w:rPr>
          <w:spacing w:val="-3"/>
          <w:u w:val="none"/>
        </w:rPr>
        <w:t xml:space="preserve"> </w:t>
      </w:r>
      <w:r>
        <w:rPr>
          <w:u w:val="none"/>
        </w:rPr>
        <w:t>Plan</w:t>
      </w:r>
      <w:r>
        <w:rPr>
          <w:spacing w:val="-2"/>
          <w:u w:val="none"/>
        </w:rPr>
        <w:t xml:space="preserve"> </w:t>
      </w:r>
      <w:r>
        <w:rPr>
          <w:u w:val="none"/>
        </w:rPr>
        <w:t>FY</w:t>
      </w:r>
      <w:r>
        <w:rPr>
          <w:spacing w:val="-5"/>
          <w:u w:val="none"/>
        </w:rPr>
        <w:t xml:space="preserve"> </w:t>
      </w:r>
      <w:r>
        <w:rPr>
          <w:u w:val="none"/>
        </w:rPr>
        <w:t xml:space="preserve">2022- </w:t>
      </w:r>
      <w:r>
        <w:rPr>
          <w:spacing w:val="-4"/>
          <w:u w:val="none"/>
        </w:rPr>
        <w:t>2026</w:t>
      </w:r>
    </w:p>
    <w:p>
      <w:pPr>
        <w:pStyle w:val="BodyText"/>
        <w:rPr>
          <w:b/>
        </w:rPr>
      </w:pPr>
    </w:p>
    <w:p>
      <w:pPr>
        <w:pStyle w:val="BodyText"/>
        <w:ind w:left="720"/>
      </w:pPr>
      <w:r>
        <w:t>The</w:t>
      </w:r>
      <w:r>
        <w:rPr>
          <w:spacing w:val="-5"/>
        </w:rPr>
        <w:t xml:space="preserve"> </w:t>
      </w:r>
      <w:r>
        <w:t>HHS</w:t>
      </w:r>
      <w:r>
        <w:rPr>
          <w:spacing w:val="-1"/>
        </w:rPr>
        <w:t xml:space="preserve"> </w:t>
      </w:r>
      <w:r>
        <w:t>Strategic</w:t>
      </w:r>
      <w:r>
        <w:rPr>
          <w:spacing w:val="-2"/>
        </w:rPr>
        <w:t xml:space="preserve"> </w:t>
      </w:r>
      <w:r>
        <w:t>Plan</w:t>
      </w:r>
      <w:r>
        <w:rPr>
          <w:spacing w:val="3"/>
        </w:rPr>
        <w:t xml:space="preserve"> </w:t>
      </w:r>
      <w:r>
        <w:t>FY</w:t>
      </w:r>
      <w:r>
        <w:rPr>
          <w:spacing w:val="-1"/>
        </w:rPr>
        <w:t xml:space="preserve"> </w:t>
      </w:r>
      <w:r>
        <w:t>2022-2026</w:t>
      </w:r>
      <w:r>
        <w:rPr>
          <w:spacing w:val="-1"/>
        </w:rPr>
        <w:t xml:space="preserve"> </w:t>
      </w:r>
      <w:r>
        <w:t>included</w:t>
      </w:r>
      <w:r>
        <w:rPr>
          <w:spacing w:val="-1"/>
        </w:rPr>
        <w:t xml:space="preserve"> </w:t>
      </w:r>
      <w:r>
        <w:t xml:space="preserve">the </w:t>
      </w:r>
      <w:r>
        <w:rPr>
          <w:spacing w:val="-2"/>
        </w:rPr>
        <w:t>following:</w:t>
      </w:r>
    </w:p>
    <w:p>
      <w:pPr>
        <w:pStyle w:val="BodyText"/>
      </w:pPr>
    </w:p>
    <w:p>
      <w:pPr>
        <w:pStyle w:val="BodyText"/>
        <w:ind w:left="720" w:right="529" w:firstLine="60"/>
      </w:pPr>
      <w:r>
        <w:t>“Strategic Goal 1: Protect and Strengthen Equitable Access to High Quality and Affordable</w:t>
      </w:r>
      <w:r>
        <w:rPr>
          <w:spacing w:val="-5"/>
        </w:rPr>
        <w:t xml:space="preserve"> </w:t>
      </w:r>
      <w:r>
        <w:t>Healthcare;</w:t>
      </w:r>
      <w:r>
        <w:rPr>
          <w:spacing w:val="-5"/>
        </w:rPr>
        <w:t xml:space="preserve"> </w:t>
      </w:r>
      <w:r>
        <w:t>Strategic</w:t>
      </w:r>
      <w:r>
        <w:rPr>
          <w:spacing w:val="-6"/>
        </w:rPr>
        <w:t xml:space="preserve"> </w:t>
      </w:r>
      <w:r>
        <w:t>Objective</w:t>
      </w:r>
      <w:r>
        <w:rPr>
          <w:spacing w:val="-5"/>
        </w:rPr>
        <w:t xml:space="preserve"> </w:t>
      </w:r>
      <w:r>
        <w:t>1.1:</w:t>
      </w:r>
      <w:r>
        <w:rPr>
          <w:spacing w:val="-3"/>
        </w:rPr>
        <w:t xml:space="preserve"> </w:t>
      </w:r>
      <w:r>
        <w:t>Increase</w:t>
      </w:r>
      <w:r>
        <w:rPr>
          <w:spacing w:val="-6"/>
        </w:rPr>
        <w:t xml:space="preserve"> </w:t>
      </w:r>
      <w:r>
        <w:t>choice,</w:t>
      </w:r>
      <w:r>
        <w:rPr>
          <w:spacing w:val="-5"/>
        </w:rPr>
        <w:t xml:space="preserve"> </w:t>
      </w:r>
      <w:r>
        <w:t>affordability,</w:t>
      </w:r>
      <w:r>
        <w:rPr>
          <w:spacing w:val="-5"/>
        </w:rPr>
        <w:t xml:space="preserve"> </w:t>
      </w:r>
      <w:r>
        <w:t>and enrollment in high-quality healthcare coverage.” (U.S. Department of Health and Human Services, n.d.).</w:t>
      </w:r>
    </w:p>
    <w:p>
      <w:pPr>
        <w:pStyle w:val="BodyText"/>
        <w:spacing w:before="1"/>
      </w:pPr>
    </w:p>
    <w:p>
      <w:pPr>
        <w:pStyle w:val="BodyText"/>
        <w:ind w:left="720" w:right="370"/>
      </w:pPr>
      <w:r>
        <w:t>Within this objective, HHS states the desire to leverage knowledge and partnerships to increase</w:t>
      </w:r>
      <w:r>
        <w:rPr>
          <w:spacing w:val="-5"/>
        </w:rPr>
        <w:t xml:space="preserve"> </w:t>
      </w:r>
      <w:r>
        <w:t>enrollment</w:t>
      </w:r>
      <w:r>
        <w:rPr>
          <w:spacing w:val="-4"/>
        </w:rPr>
        <w:t xml:space="preserve"> </w:t>
      </w:r>
      <w:r>
        <w:t>in</w:t>
      </w:r>
      <w:r>
        <w:rPr>
          <w:spacing w:val="-4"/>
        </w:rPr>
        <w:t xml:space="preserve"> </w:t>
      </w:r>
      <w:r>
        <w:t>health</w:t>
      </w:r>
      <w:r>
        <w:rPr>
          <w:spacing w:val="-4"/>
        </w:rPr>
        <w:t xml:space="preserve"> </w:t>
      </w:r>
      <w:r>
        <w:t>insurance</w:t>
      </w:r>
      <w:r>
        <w:rPr>
          <w:spacing w:val="-3"/>
        </w:rPr>
        <w:t xml:space="preserve"> </w:t>
      </w:r>
      <w:r>
        <w:t>coverage.</w:t>
      </w:r>
      <w:r>
        <w:rPr>
          <w:spacing w:val="-2"/>
        </w:rPr>
        <w:t xml:space="preserve"> </w:t>
      </w:r>
      <w:r>
        <w:t>The</w:t>
      </w:r>
      <w:r>
        <w:rPr>
          <w:spacing w:val="-6"/>
        </w:rPr>
        <w:t xml:space="preserve"> </w:t>
      </w:r>
      <w:r>
        <w:t>webinars,</w:t>
      </w:r>
      <w:r>
        <w:rPr>
          <w:spacing w:val="-4"/>
        </w:rPr>
        <w:t xml:space="preserve"> </w:t>
      </w:r>
      <w:r>
        <w:t>conferences,</w:t>
      </w:r>
      <w:r>
        <w:rPr>
          <w:spacing w:val="-4"/>
        </w:rPr>
        <w:t xml:space="preserve"> </w:t>
      </w:r>
      <w:r>
        <w:t>and</w:t>
      </w:r>
      <w:r>
        <w:rPr>
          <w:spacing w:val="-4"/>
        </w:rPr>
        <w:t xml:space="preserve"> </w:t>
      </w:r>
      <w:r>
        <w:t>CBTs CMS conducts address this goal.</w:t>
      </w:r>
    </w:p>
    <w:p>
      <w:pPr>
        <w:pStyle w:val="BodyText"/>
      </w:pPr>
    </w:p>
    <w:p>
      <w:pPr>
        <w:pStyle w:val="Heading1"/>
        <w:numPr>
          <w:ilvl w:val="2"/>
          <w:numId w:val="3"/>
        </w:numPr>
        <w:tabs>
          <w:tab w:val="left" w:pos="1080"/>
        </w:tabs>
        <w:spacing w:before="0" w:after="0" w:line="240" w:lineRule="auto"/>
        <w:ind w:left="1080" w:right="0" w:hanging="360"/>
        <w:jc w:val="left"/>
        <w:rPr>
          <w:u w:val="none"/>
        </w:rPr>
      </w:pPr>
      <w:r>
        <w:rPr>
          <w:u w:val="none"/>
        </w:rPr>
        <w:t>Center</w:t>
      </w:r>
      <w:r>
        <w:rPr>
          <w:spacing w:val="-3"/>
          <w:u w:val="none"/>
        </w:rPr>
        <w:t xml:space="preserve"> </w:t>
      </w:r>
      <w:r>
        <w:rPr>
          <w:u w:val="none"/>
        </w:rPr>
        <w:t>for</w:t>
      </w:r>
      <w:r>
        <w:rPr>
          <w:spacing w:val="-3"/>
          <w:u w:val="none"/>
        </w:rPr>
        <w:t xml:space="preserve"> </w:t>
      </w:r>
      <w:r>
        <w:rPr>
          <w:u w:val="none"/>
        </w:rPr>
        <w:t>Medicare</w:t>
      </w:r>
      <w:r>
        <w:rPr>
          <w:spacing w:val="-2"/>
          <w:u w:val="none"/>
        </w:rPr>
        <w:t xml:space="preserve"> </w:t>
      </w:r>
      <w:r>
        <w:rPr>
          <w:u w:val="none"/>
        </w:rPr>
        <w:t>and</w:t>
      </w:r>
      <w:r>
        <w:rPr>
          <w:spacing w:val="-2"/>
          <w:u w:val="none"/>
        </w:rPr>
        <w:t xml:space="preserve"> </w:t>
      </w:r>
      <w:r>
        <w:rPr>
          <w:u w:val="none"/>
        </w:rPr>
        <w:t>Medicaid</w:t>
      </w:r>
      <w:r>
        <w:rPr>
          <w:spacing w:val="-1"/>
          <w:u w:val="none"/>
        </w:rPr>
        <w:t xml:space="preserve"> </w:t>
      </w:r>
      <w:r>
        <w:rPr>
          <w:u w:val="none"/>
        </w:rPr>
        <w:t>Services</w:t>
      </w:r>
      <w:r>
        <w:rPr>
          <w:spacing w:val="-1"/>
          <w:u w:val="none"/>
        </w:rPr>
        <w:t xml:space="preserve"> </w:t>
      </w:r>
      <w:r>
        <w:rPr>
          <w:u w:val="none"/>
        </w:rPr>
        <w:t>(CMS)</w:t>
      </w:r>
      <w:r>
        <w:rPr>
          <w:spacing w:val="1"/>
          <w:u w:val="none"/>
        </w:rPr>
        <w:t xml:space="preserve"> </w:t>
      </w:r>
      <w:r>
        <w:rPr>
          <w:u w:val="none"/>
        </w:rPr>
        <w:t>Strategic</w:t>
      </w:r>
      <w:r>
        <w:rPr>
          <w:spacing w:val="-1"/>
          <w:u w:val="none"/>
        </w:rPr>
        <w:t xml:space="preserve"> </w:t>
      </w:r>
      <w:r>
        <w:rPr>
          <w:u w:val="none"/>
        </w:rPr>
        <w:t xml:space="preserve">Plan </w:t>
      </w:r>
      <w:r>
        <w:rPr>
          <w:spacing w:val="-2"/>
          <w:u w:val="none"/>
        </w:rPr>
        <w:t>(2024)</w:t>
      </w:r>
    </w:p>
    <w:p>
      <w:pPr>
        <w:pStyle w:val="BodyText"/>
        <w:rPr>
          <w:b/>
        </w:rPr>
      </w:pPr>
    </w:p>
    <w:p>
      <w:pPr>
        <w:pStyle w:val="BodyText"/>
        <w:ind w:left="720" w:right="370"/>
      </w:pPr>
      <w:r>
        <w:t>CMS echoes and expands on the HHS strategic goal in its strategic pillar to engage partners and the communities CMS serves throughout the policy making and implementation</w:t>
      </w:r>
      <w:r>
        <w:rPr>
          <w:spacing w:val="-3"/>
        </w:rPr>
        <w:t xml:space="preserve"> </w:t>
      </w:r>
      <w:r>
        <w:t>process.</w:t>
      </w:r>
      <w:r>
        <w:rPr>
          <w:spacing w:val="-1"/>
        </w:rPr>
        <w:t xml:space="preserve"> </w:t>
      </w:r>
      <w:r>
        <w:t>The</w:t>
      </w:r>
      <w:r>
        <w:rPr>
          <w:spacing w:val="-5"/>
        </w:rPr>
        <w:t xml:space="preserve"> </w:t>
      </w:r>
      <w:r>
        <w:t>webinars,</w:t>
      </w:r>
      <w:r>
        <w:rPr>
          <w:spacing w:val="-3"/>
        </w:rPr>
        <w:t xml:space="preserve"> </w:t>
      </w:r>
      <w:r>
        <w:t>conferences,</w:t>
      </w:r>
      <w:r>
        <w:rPr>
          <w:spacing w:val="-3"/>
        </w:rPr>
        <w:t xml:space="preserve"> </w:t>
      </w:r>
      <w:r>
        <w:t>and</w:t>
      </w:r>
      <w:r>
        <w:rPr>
          <w:spacing w:val="-3"/>
        </w:rPr>
        <w:t xml:space="preserve"> </w:t>
      </w:r>
      <w:r>
        <w:t>CBTs</w:t>
      </w:r>
      <w:r>
        <w:rPr>
          <w:spacing w:val="-2"/>
        </w:rPr>
        <w:t xml:space="preserve"> </w:t>
      </w:r>
      <w:r>
        <w:t>address</w:t>
      </w:r>
      <w:r>
        <w:rPr>
          <w:spacing w:val="-3"/>
        </w:rPr>
        <w:t xml:space="preserve"> </w:t>
      </w:r>
      <w:r>
        <w:t>this</w:t>
      </w:r>
      <w:r>
        <w:rPr>
          <w:spacing w:val="-3"/>
        </w:rPr>
        <w:t xml:space="preserve"> </w:t>
      </w:r>
      <w:r>
        <w:t>need,</w:t>
      </w:r>
      <w:r>
        <w:rPr>
          <w:spacing w:val="-3"/>
        </w:rPr>
        <w:t xml:space="preserve"> </w:t>
      </w:r>
      <w:r>
        <w:t>as</w:t>
      </w:r>
      <w:r>
        <w:rPr>
          <w:spacing w:val="-3"/>
        </w:rPr>
        <w:t xml:space="preserve"> </w:t>
      </w:r>
      <w:r>
        <w:t>well as support CMS’s goals to establish and support the Health Insurance Marketplaces, increase</w:t>
      </w:r>
      <w:r>
        <w:rPr>
          <w:spacing w:val="-5"/>
        </w:rPr>
        <w:t xml:space="preserve"> </w:t>
      </w:r>
      <w:r>
        <w:t>enrollment,</w:t>
      </w:r>
      <w:r>
        <w:rPr>
          <w:spacing w:val="-4"/>
        </w:rPr>
        <w:t xml:space="preserve"> </w:t>
      </w:r>
      <w:r>
        <w:t>improve</w:t>
      </w:r>
      <w:r>
        <w:rPr>
          <w:spacing w:val="-6"/>
        </w:rPr>
        <w:t xml:space="preserve"> </w:t>
      </w:r>
      <w:r>
        <w:t>financial</w:t>
      </w:r>
      <w:r>
        <w:rPr>
          <w:spacing w:val="-4"/>
        </w:rPr>
        <w:t xml:space="preserve"> </w:t>
      </w:r>
      <w:r>
        <w:t>accountability</w:t>
      </w:r>
      <w:r>
        <w:rPr>
          <w:spacing w:val="-4"/>
        </w:rPr>
        <w:t xml:space="preserve"> </w:t>
      </w:r>
      <w:r>
        <w:t>and</w:t>
      </w:r>
      <w:r>
        <w:rPr>
          <w:spacing w:val="-4"/>
        </w:rPr>
        <w:t xml:space="preserve"> </w:t>
      </w:r>
      <w:r>
        <w:t>reduce</w:t>
      </w:r>
      <w:r>
        <w:rPr>
          <w:spacing w:val="-3"/>
        </w:rPr>
        <w:t xml:space="preserve"> </w:t>
      </w:r>
      <w:r>
        <w:t>and</w:t>
      </w:r>
      <w:r>
        <w:rPr>
          <w:spacing w:val="-4"/>
        </w:rPr>
        <w:t xml:space="preserve"> </w:t>
      </w:r>
      <w:r>
        <w:t>manage</w:t>
      </w:r>
      <w:r>
        <w:rPr>
          <w:spacing w:val="-5"/>
        </w:rPr>
        <w:t xml:space="preserve"> </w:t>
      </w:r>
      <w:r>
        <w:t>risk</w:t>
      </w:r>
      <w:r>
        <w:rPr>
          <w:spacing w:val="-4"/>
        </w:rPr>
        <w:t xml:space="preserve"> </w:t>
      </w:r>
      <w:r>
        <w:t xml:space="preserve">(CMS, </w:t>
      </w:r>
      <w:r>
        <w:rPr>
          <w:spacing w:val="-2"/>
        </w:rPr>
        <w:t>n.d.).</w:t>
      </w:r>
    </w:p>
    <w:p>
      <w:pPr>
        <w:pStyle w:val="BodyText"/>
        <w:spacing w:before="1"/>
      </w:pPr>
    </w:p>
    <w:p>
      <w:pPr>
        <w:pStyle w:val="Heading1"/>
        <w:numPr>
          <w:ilvl w:val="2"/>
          <w:numId w:val="3"/>
        </w:numPr>
        <w:tabs>
          <w:tab w:val="left" w:pos="1080"/>
        </w:tabs>
        <w:spacing w:before="0" w:after="0" w:line="240" w:lineRule="auto"/>
        <w:ind w:left="1080" w:right="0" w:hanging="360"/>
        <w:jc w:val="left"/>
        <w:rPr>
          <w:u w:val="none"/>
        </w:rPr>
      </w:pPr>
      <w:r>
        <w:rPr>
          <w:u w:val="none"/>
        </w:rPr>
        <w:t>HHS</w:t>
      </w:r>
      <w:r>
        <w:rPr>
          <w:spacing w:val="-2"/>
          <w:u w:val="none"/>
        </w:rPr>
        <w:t xml:space="preserve"> </w:t>
      </w:r>
      <w:r>
        <w:rPr>
          <w:u w:val="none"/>
        </w:rPr>
        <w:t>and</w:t>
      </w:r>
      <w:r>
        <w:rPr>
          <w:spacing w:val="-1"/>
          <w:u w:val="none"/>
        </w:rPr>
        <w:t xml:space="preserve"> </w:t>
      </w:r>
      <w:r>
        <w:rPr>
          <w:u w:val="none"/>
        </w:rPr>
        <w:t>CMS</w:t>
      </w:r>
      <w:r>
        <w:rPr>
          <w:spacing w:val="-1"/>
          <w:u w:val="none"/>
        </w:rPr>
        <w:t xml:space="preserve"> </w:t>
      </w:r>
      <w:r>
        <w:rPr>
          <w:spacing w:val="-2"/>
          <w:u w:val="none"/>
        </w:rPr>
        <w:t>Goals</w:t>
      </w:r>
    </w:p>
    <w:p>
      <w:pPr>
        <w:pStyle w:val="BodyText"/>
        <w:rPr>
          <w:b/>
        </w:rPr>
      </w:pPr>
    </w:p>
    <w:p>
      <w:pPr>
        <w:pStyle w:val="BodyText"/>
        <w:ind w:left="720" w:right="445"/>
      </w:pPr>
      <w:r>
        <w:t>The</w:t>
      </w:r>
      <w:r>
        <w:rPr>
          <w:spacing w:val="-5"/>
        </w:rPr>
        <w:t xml:space="preserve"> </w:t>
      </w:r>
      <w:r>
        <w:t>data</w:t>
      </w:r>
      <w:r>
        <w:rPr>
          <w:spacing w:val="-3"/>
        </w:rPr>
        <w:t xml:space="preserve"> </w:t>
      </w:r>
      <w:r>
        <w:t>collected</w:t>
      </w:r>
      <w:r>
        <w:rPr>
          <w:spacing w:val="-3"/>
        </w:rPr>
        <w:t xml:space="preserve"> </w:t>
      </w:r>
      <w:r>
        <w:t>via</w:t>
      </w:r>
      <w:r>
        <w:rPr>
          <w:spacing w:val="-3"/>
        </w:rPr>
        <w:t xml:space="preserve"> </w:t>
      </w:r>
      <w:r>
        <w:t>online</w:t>
      </w:r>
      <w:r>
        <w:rPr>
          <w:spacing w:val="-4"/>
        </w:rPr>
        <w:t xml:space="preserve"> </w:t>
      </w:r>
      <w:r>
        <w:t>and</w:t>
      </w:r>
      <w:r>
        <w:rPr>
          <w:spacing w:val="-3"/>
        </w:rPr>
        <w:t xml:space="preserve"> </w:t>
      </w:r>
      <w:r>
        <w:t>in-person</w:t>
      </w:r>
      <w:r>
        <w:rPr>
          <w:spacing w:val="-3"/>
        </w:rPr>
        <w:t xml:space="preserve"> </w:t>
      </w:r>
      <w:r>
        <w:t>surveys</w:t>
      </w:r>
      <w:r>
        <w:rPr>
          <w:spacing w:val="-2"/>
        </w:rPr>
        <w:t xml:space="preserve"> </w:t>
      </w:r>
      <w:r>
        <w:t>assist</w:t>
      </w:r>
      <w:r>
        <w:rPr>
          <w:spacing w:val="-3"/>
        </w:rPr>
        <w:t xml:space="preserve"> </w:t>
      </w:r>
      <w:r>
        <w:t>CMS</w:t>
      </w:r>
      <w:r>
        <w:rPr>
          <w:spacing w:val="-2"/>
        </w:rPr>
        <w:t xml:space="preserve"> </w:t>
      </w:r>
      <w:r>
        <w:t>in</w:t>
      </w:r>
      <w:r>
        <w:rPr>
          <w:spacing w:val="-3"/>
        </w:rPr>
        <w:t xml:space="preserve"> </w:t>
      </w:r>
      <w:r>
        <w:t>determining</w:t>
      </w:r>
      <w:r>
        <w:rPr>
          <w:spacing w:val="-3"/>
        </w:rPr>
        <w:t xml:space="preserve"> </w:t>
      </w:r>
      <w:r>
        <w:t>the</w:t>
      </w:r>
      <w:r>
        <w:rPr>
          <w:spacing w:val="-4"/>
        </w:rPr>
        <w:t xml:space="preserve"> </w:t>
      </w:r>
      <w:r>
        <w:t>extent to which the goals of the training and support events have been met. In addition to closed-ended</w:t>
      </w:r>
      <w:r>
        <w:rPr>
          <w:spacing w:val="-4"/>
        </w:rPr>
        <w:t xml:space="preserve"> </w:t>
      </w:r>
      <w:r>
        <w:t>questions</w:t>
      </w:r>
      <w:r>
        <w:rPr>
          <w:spacing w:val="-4"/>
        </w:rPr>
        <w:t xml:space="preserve"> </w:t>
      </w:r>
      <w:r>
        <w:t>regarding</w:t>
      </w:r>
      <w:r>
        <w:rPr>
          <w:spacing w:val="-4"/>
        </w:rPr>
        <w:t xml:space="preserve"> </w:t>
      </w:r>
      <w:r>
        <w:t>satisfaction</w:t>
      </w:r>
      <w:r>
        <w:rPr>
          <w:spacing w:val="-4"/>
        </w:rPr>
        <w:t xml:space="preserve"> </w:t>
      </w:r>
      <w:r>
        <w:t>with</w:t>
      </w:r>
      <w:r>
        <w:rPr>
          <w:spacing w:val="-4"/>
        </w:rPr>
        <w:t xml:space="preserve"> </w:t>
      </w:r>
      <w:r>
        <w:t>the</w:t>
      </w:r>
      <w:r>
        <w:rPr>
          <w:spacing w:val="-5"/>
        </w:rPr>
        <w:t xml:space="preserve"> </w:t>
      </w:r>
      <w:r>
        <w:t>training</w:t>
      </w:r>
      <w:r>
        <w:rPr>
          <w:spacing w:val="-4"/>
        </w:rPr>
        <w:t xml:space="preserve"> </w:t>
      </w:r>
      <w:r>
        <w:t>event and</w:t>
      </w:r>
      <w:r>
        <w:rPr>
          <w:spacing w:val="-2"/>
        </w:rPr>
        <w:t xml:space="preserve"> </w:t>
      </w:r>
      <w:r>
        <w:t>agreement</w:t>
      </w:r>
      <w:r>
        <w:rPr>
          <w:spacing w:val="-4"/>
        </w:rPr>
        <w:t xml:space="preserve"> </w:t>
      </w:r>
      <w:r>
        <w:t>with statements addressing the success of the training events, respondents are asked not only for suggestions for improving the training events, but also for suggestions for additional training and support topics for</w:t>
      </w:r>
      <w:r>
        <w:rPr>
          <w:spacing w:val="-1"/>
        </w:rPr>
        <w:t xml:space="preserve"> </w:t>
      </w:r>
      <w:r>
        <w:t>future events. This allows CMS to receive interactive and open feedback from stakeholders, while providing information required by stakeholders to support the ACA and NST. This is also one of the goals of HHS. Therefore, evaluations are needed not only to meet GPRA requirements, but also to address the goals of HHS and CMS for the ACA and NST.</w:t>
      </w:r>
    </w:p>
    <w:p>
      <w:pPr>
        <w:pStyle w:val="BodyText"/>
        <w:spacing w:after="0"/>
        <w:sectPr>
          <w:pgSz w:w="12240" w:h="15840"/>
          <w:pgMar w:top="1360" w:right="1080" w:bottom="1880" w:left="1440" w:header="0" w:footer="1689"/>
          <w:cols w:space="720"/>
        </w:sectPr>
      </w:pPr>
    </w:p>
    <w:p>
      <w:pPr>
        <w:pStyle w:val="Heading1"/>
        <w:numPr>
          <w:ilvl w:val="1"/>
          <w:numId w:val="3"/>
        </w:numPr>
        <w:tabs>
          <w:tab w:val="left" w:pos="720"/>
        </w:tabs>
        <w:spacing w:before="79" w:after="0" w:line="240" w:lineRule="auto"/>
        <w:ind w:left="720" w:right="0" w:hanging="720"/>
        <w:jc w:val="left"/>
        <w:rPr>
          <w:u w:val="none"/>
        </w:rPr>
      </w:pPr>
      <w:r>
        <w:rPr>
          <w:u w:val="single"/>
        </w:rPr>
        <w:t xml:space="preserve">Information </w:t>
      </w:r>
      <w:r>
        <w:rPr>
          <w:spacing w:val="-2"/>
          <w:u w:val="single"/>
        </w:rPr>
        <w:t>Users</w:t>
      </w:r>
    </w:p>
    <w:p>
      <w:pPr>
        <w:pStyle w:val="BodyText"/>
        <w:spacing w:before="55" w:line="288" w:lineRule="auto"/>
        <w:ind w:left="720" w:right="345"/>
      </w:pPr>
      <w:r>
        <w:t>CMS</w:t>
      </w:r>
      <w:r>
        <w:rPr>
          <w:spacing w:val="-1"/>
        </w:rPr>
        <w:t xml:space="preserve"> </w:t>
      </w:r>
      <w:r>
        <w:t>uses</w:t>
      </w:r>
      <w:r>
        <w:rPr>
          <w:spacing w:val="-1"/>
        </w:rPr>
        <w:t xml:space="preserve"> </w:t>
      </w:r>
      <w:r>
        <w:t>information</w:t>
      </w:r>
      <w:r>
        <w:rPr>
          <w:spacing w:val="-1"/>
        </w:rPr>
        <w:t xml:space="preserve"> </w:t>
      </w:r>
      <w:r>
        <w:t>from</w:t>
      </w:r>
      <w:r>
        <w:rPr>
          <w:spacing w:val="-1"/>
        </w:rPr>
        <w:t xml:space="preserve"> </w:t>
      </w:r>
      <w:r>
        <w:t>the</w:t>
      </w:r>
      <w:r>
        <w:rPr>
          <w:spacing w:val="-2"/>
        </w:rPr>
        <w:t xml:space="preserve"> </w:t>
      </w:r>
      <w:r>
        <w:t>data</w:t>
      </w:r>
      <w:r>
        <w:rPr>
          <w:spacing w:val="-2"/>
        </w:rPr>
        <w:t xml:space="preserve"> </w:t>
      </w:r>
      <w:r>
        <w:t>collection</w:t>
      </w:r>
      <w:r>
        <w:rPr>
          <w:spacing w:val="-2"/>
        </w:rPr>
        <w:t xml:space="preserve"> </w:t>
      </w:r>
      <w:r>
        <w:t>activities to</w:t>
      </w:r>
      <w:r>
        <w:rPr>
          <w:spacing w:val="-1"/>
        </w:rPr>
        <w:t xml:space="preserve"> </w:t>
      </w:r>
      <w:r>
        <w:t>determine</w:t>
      </w:r>
      <w:r>
        <w:rPr>
          <w:spacing w:val="-3"/>
        </w:rPr>
        <w:t xml:space="preserve"> </w:t>
      </w:r>
      <w:r>
        <w:t>the</w:t>
      </w:r>
      <w:r>
        <w:rPr>
          <w:spacing w:val="-1"/>
        </w:rPr>
        <w:t xml:space="preserve"> </w:t>
      </w:r>
      <w:r>
        <w:t>extent</w:t>
      </w:r>
      <w:r>
        <w:rPr>
          <w:spacing w:val="-1"/>
        </w:rPr>
        <w:t xml:space="preserve"> </w:t>
      </w:r>
      <w:r>
        <w:t>to</w:t>
      </w:r>
      <w:r>
        <w:rPr>
          <w:spacing w:val="-1"/>
        </w:rPr>
        <w:t xml:space="preserve"> </w:t>
      </w:r>
      <w:r>
        <w:t>which the goals of each training and support session were achieved and to help CMS make improvements</w:t>
      </w:r>
      <w:r>
        <w:rPr>
          <w:spacing w:val="-3"/>
        </w:rPr>
        <w:t xml:space="preserve"> </w:t>
      </w:r>
      <w:r>
        <w:t>for</w:t>
      </w:r>
      <w:r>
        <w:rPr>
          <w:spacing w:val="-5"/>
        </w:rPr>
        <w:t xml:space="preserve"> </w:t>
      </w:r>
      <w:r>
        <w:t>future</w:t>
      </w:r>
      <w:r>
        <w:rPr>
          <w:spacing w:val="-2"/>
        </w:rPr>
        <w:t xml:space="preserve"> </w:t>
      </w:r>
      <w:r>
        <w:t>training</w:t>
      </w:r>
      <w:r>
        <w:rPr>
          <w:spacing w:val="-2"/>
        </w:rPr>
        <w:t xml:space="preserve"> </w:t>
      </w:r>
      <w:r>
        <w:t>and</w:t>
      </w:r>
      <w:r>
        <w:rPr>
          <w:spacing w:val="-3"/>
        </w:rPr>
        <w:t xml:space="preserve"> </w:t>
      </w:r>
      <w:r>
        <w:t>support</w:t>
      </w:r>
      <w:r>
        <w:rPr>
          <w:spacing w:val="-3"/>
        </w:rPr>
        <w:t xml:space="preserve"> </w:t>
      </w:r>
      <w:r>
        <w:t>sessions.</w:t>
      </w:r>
      <w:r>
        <w:rPr>
          <w:spacing w:val="-3"/>
        </w:rPr>
        <w:t xml:space="preserve"> </w:t>
      </w:r>
      <w:r>
        <w:t>As</w:t>
      </w:r>
      <w:r>
        <w:rPr>
          <w:spacing w:val="-3"/>
        </w:rPr>
        <w:t xml:space="preserve"> </w:t>
      </w:r>
      <w:r>
        <w:t>stated</w:t>
      </w:r>
      <w:r>
        <w:rPr>
          <w:spacing w:val="-3"/>
        </w:rPr>
        <w:t xml:space="preserve"> </w:t>
      </w:r>
      <w:r>
        <w:t>above,</w:t>
      </w:r>
      <w:r>
        <w:rPr>
          <w:spacing w:val="-3"/>
        </w:rPr>
        <w:t xml:space="preserve"> </w:t>
      </w:r>
      <w:r>
        <w:t>the</w:t>
      </w:r>
      <w:r>
        <w:rPr>
          <w:spacing w:val="-2"/>
        </w:rPr>
        <w:t xml:space="preserve"> </w:t>
      </w:r>
      <w:r>
        <w:t>collected</w:t>
      </w:r>
      <w:r>
        <w:rPr>
          <w:spacing w:val="-3"/>
        </w:rPr>
        <w:t xml:space="preserve"> </w:t>
      </w:r>
      <w:r>
        <w:t>data helps CMS address its GPRA requirements, as well as CMS and HHS goals for support for, and open dialogue with, stakeholders.</w:t>
      </w:r>
    </w:p>
    <w:p>
      <w:pPr>
        <w:pStyle w:val="Heading1"/>
        <w:numPr>
          <w:ilvl w:val="1"/>
          <w:numId w:val="3"/>
        </w:numPr>
        <w:tabs>
          <w:tab w:val="left" w:pos="720"/>
        </w:tabs>
        <w:spacing w:before="221" w:after="0" w:line="240" w:lineRule="auto"/>
        <w:ind w:left="720" w:right="0" w:hanging="720"/>
        <w:jc w:val="left"/>
        <w:rPr>
          <w:u w:val="none"/>
        </w:rPr>
      </w:pPr>
      <w:r>
        <w:rPr>
          <w:u w:val="single"/>
        </w:rPr>
        <w:t>Use</w:t>
      </w:r>
      <w:r>
        <w:rPr>
          <w:spacing w:val="-2"/>
          <w:u w:val="single"/>
        </w:rPr>
        <w:t xml:space="preserve"> </w:t>
      </w:r>
      <w:r>
        <w:rPr>
          <w:u w:val="single"/>
        </w:rPr>
        <w:t>of</w:t>
      </w:r>
      <w:r>
        <w:rPr>
          <w:spacing w:val="-1"/>
          <w:u w:val="single"/>
        </w:rPr>
        <w:t xml:space="preserve"> </w:t>
      </w:r>
      <w:r>
        <w:rPr>
          <w:u w:val="single"/>
        </w:rPr>
        <w:t xml:space="preserve">Information </w:t>
      </w:r>
      <w:r>
        <w:rPr>
          <w:spacing w:val="-2"/>
          <w:u w:val="single"/>
        </w:rPr>
        <w:t>Technology</w:t>
      </w:r>
    </w:p>
    <w:p>
      <w:pPr>
        <w:pStyle w:val="BodyText"/>
        <w:spacing w:before="40" w:line="273" w:lineRule="auto"/>
        <w:ind w:left="720" w:right="365"/>
      </w:pPr>
      <w:r>
        <w:t>The evaluation team uses electronic/online data collection instruments to collect survey responses</w:t>
      </w:r>
      <w:r>
        <w:rPr>
          <w:spacing w:val="-3"/>
        </w:rPr>
        <w:t xml:space="preserve"> </w:t>
      </w:r>
      <w:r>
        <w:t>for</w:t>
      </w:r>
      <w:r>
        <w:rPr>
          <w:spacing w:val="-1"/>
        </w:rPr>
        <w:t xml:space="preserve"> </w:t>
      </w:r>
      <w:r>
        <w:t>web-based</w:t>
      </w:r>
      <w:r>
        <w:rPr>
          <w:spacing w:val="-1"/>
        </w:rPr>
        <w:t xml:space="preserve"> </w:t>
      </w:r>
      <w:r>
        <w:t>training</w:t>
      </w:r>
      <w:r>
        <w:rPr>
          <w:spacing w:val="-3"/>
        </w:rPr>
        <w:t xml:space="preserve"> </w:t>
      </w:r>
      <w:r>
        <w:t>events.</w:t>
      </w:r>
      <w:r>
        <w:rPr>
          <w:spacing w:val="-3"/>
        </w:rPr>
        <w:t xml:space="preserve"> </w:t>
      </w:r>
      <w:r>
        <w:t>Electronic</w:t>
      </w:r>
      <w:r>
        <w:rPr>
          <w:spacing w:val="-4"/>
        </w:rPr>
        <w:t xml:space="preserve"> </w:t>
      </w:r>
      <w:r>
        <w:t>data</w:t>
      </w:r>
      <w:r>
        <w:rPr>
          <w:spacing w:val="-4"/>
        </w:rPr>
        <w:t xml:space="preserve"> </w:t>
      </w:r>
      <w:r>
        <w:t>collection</w:t>
      </w:r>
      <w:r>
        <w:rPr>
          <w:spacing w:val="-3"/>
        </w:rPr>
        <w:t xml:space="preserve"> </w:t>
      </w:r>
      <w:r>
        <w:t>is</w:t>
      </w:r>
      <w:r>
        <w:rPr>
          <w:spacing w:val="-3"/>
        </w:rPr>
        <w:t xml:space="preserve"> </w:t>
      </w:r>
      <w:r>
        <w:t>utilized</w:t>
      </w:r>
      <w:r>
        <w:rPr>
          <w:spacing w:val="-3"/>
        </w:rPr>
        <w:t xml:space="preserve"> </w:t>
      </w:r>
      <w:r>
        <w:t>for</w:t>
      </w:r>
      <w:r>
        <w:rPr>
          <w:spacing w:val="-5"/>
        </w:rPr>
        <w:t xml:space="preserve"> </w:t>
      </w:r>
      <w:r>
        <w:t>100%</w:t>
      </w:r>
      <w:r>
        <w:rPr>
          <w:spacing w:val="-4"/>
        </w:rPr>
        <w:t xml:space="preserve"> </w:t>
      </w:r>
      <w:r>
        <w:t xml:space="preserve">of web-based training events. In-person events utilize a paper and electronic/online survey for onsite attendees, as well as an electronic/online survey for remote attendees. All hardcopy surveys are entered into the electronic survey software in preparation for data analysis. Electronic/online and paper surveys do not require a signature from the </w:t>
      </w:r>
      <w:r>
        <w:rPr>
          <w:spacing w:val="-2"/>
        </w:rPr>
        <w:t>respondent(s).</w:t>
      </w:r>
    </w:p>
    <w:p>
      <w:pPr>
        <w:pStyle w:val="Heading1"/>
        <w:numPr>
          <w:ilvl w:val="1"/>
          <w:numId w:val="3"/>
        </w:numPr>
        <w:tabs>
          <w:tab w:val="left" w:pos="720"/>
        </w:tabs>
        <w:spacing w:before="243" w:after="0" w:line="240" w:lineRule="auto"/>
        <w:ind w:left="720" w:right="0" w:hanging="720"/>
        <w:jc w:val="left"/>
        <w:rPr>
          <w:u w:val="none"/>
        </w:rPr>
      </w:pPr>
      <w:r>
        <w:rPr>
          <w:u w:val="single"/>
        </w:rPr>
        <w:t>Duplication</w:t>
      </w:r>
      <w:r>
        <w:rPr>
          <w:spacing w:val="1"/>
          <w:u w:val="single"/>
        </w:rPr>
        <w:t xml:space="preserve"> </w:t>
      </w:r>
      <w:r>
        <w:rPr>
          <w:u w:val="single"/>
        </w:rPr>
        <w:t xml:space="preserve">of </w:t>
      </w:r>
      <w:r>
        <w:rPr>
          <w:spacing w:val="-2"/>
          <w:u w:val="single"/>
        </w:rPr>
        <w:t>Efforts</w:t>
      </w:r>
    </w:p>
    <w:p>
      <w:pPr>
        <w:pStyle w:val="BodyText"/>
        <w:rPr>
          <w:b/>
        </w:rPr>
      </w:pPr>
    </w:p>
    <w:p>
      <w:pPr>
        <w:pStyle w:val="BodyText"/>
        <w:ind w:left="720"/>
      </w:pPr>
      <w:r>
        <w:t>There</w:t>
      </w:r>
      <w:r>
        <w:rPr>
          <w:spacing w:val="-2"/>
        </w:rPr>
        <w:t xml:space="preserve"> </w:t>
      </w:r>
      <w:r>
        <w:t>is no duplication of efforts or</w:t>
      </w:r>
      <w:r>
        <w:rPr>
          <w:spacing w:val="-1"/>
        </w:rPr>
        <w:t xml:space="preserve"> </w:t>
      </w:r>
      <w:r>
        <w:t xml:space="preserve">similar </w:t>
      </w:r>
      <w:r>
        <w:rPr>
          <w:spacing w:val="-2"/>
        </w:rPr>
        <w:t>information.</w:t>
      </w:r>
    </w:p>
    <w:p>
      <w:pPr>
        <w:pStyle w:val="BodyText"/>
      </w:pPr>
    </w:p>
    <w:p>
      <w:pPr>
        <w:pStyle w:val="Heading1"/>
        <w:numPr>
          <w:ilvl w:val="1"/>
          <w:numId w:val="3"/>
        </w:numPr>
        <w:tabs>
          <w:tab w:val="left" w:pos="720"/>
        </w:tabs>
        <w:spacing w:before="0" w:after="0" w:line="240" w:lineRule="auto"/>
        <w:ind w:left="720" w:right="0" w:hanging="720"/>
        <w:jc w:val="left"/>
        <w:rPr>
          <w:u w:val="none"/>
        </w:rPr>
      </w:pPr>
      <w:r>
        <w:rPr>
          <w:u w:val="single"/>
        </w:rPr>
        <w:t>Small</w:t>
      </w:r>
      <w:r>
        <w:rPr>
          <w:spacing w:val="-2"/>
          <w:u w:val="single"/>
        </w:rPr>
        <w:t xml:space="preserve"> Businesses</w:t>
      </w:r>
    </w:p>
    <w:p>
      <w:pPr>
        <w:pStyle w:val="BodyText"/>
        <w:spacing w:before="69" w:line="300" w:lineRule="auto"/>
        <w:ind w:left="720" w:right="345"/>
      </w:pPr>
      <w:r>
        <w:t>This collection of information is not expected to have a significant impact on small businesses and entities. Completion of</w:t>
      </w:r>
      <w:r>
        <w:rPr>
          <w:spacing w:val="-1"/>
        </w:rPr>
        <w:t xml:space="preserve"> </w:t>
      </w:r>
      <w:r>
        <w:t>all surveys is voluntary. Further, the evaluation survey</w:t>
      </w:r>
      <w:r>
        <w:rPr>
          <w:spacing w:val="-4"/>
        </w:rPr>
        <w:t xml:space="preserve"> </w:t>
      </w:r>
      <w:r>
        <w:t>questions</w:t>
      </w:r>
      <w:r>
        <w:rPr>
          <w:spacing w:val="-3"/>
        </w:rPr>
        <w:t xml:space="preserve"> </w:t>
      </w:r>
      <w:r>
        <w:t>have</w:t>
      </w:r>
      <w:r>
        <w:rPr>
          <w:spacing w:val="-6"/>
        </w:rPr>
        <w:t xml:space="preserve"> </w:t>
      </w:r>
      <w:r>
        <w:t>been</w:t>
      </w:r>
      <w:r>
        <w:rPr>
          <w:spacing w:val="-4"/>
        </w:rPr>
        <w:t xml:space="preserve"> </w:t>
      </w:r>
      <w:r>
        <w:t>designed</w:t>
      </w:r>
      <w:r>
        <w:rPr>
          <w:spacing w:val="-4"/>
        </w:rPr>
        <w:t xml:space="preserve"> </w:t>
      </w:r>
      <w:r>
        <w:t>to</w:t>
      </w:r>
      <w:r>
        <w:rPr>
          <w:spacing w:val="-4"/>
        </w:rPr>
        <w:t xml:space="preserve"> </w:t>
      </w:r>
      <w:r>
        <w:t>minimize</w:t>
      </w:r>
      <w:r>
        <w:rPr>
          <w:spacing w:val="-5"/>
        </w:rPr>
        <w:t xml:space="preserve"> </w:t>
      </w:r>
      <w:r>
        <w:t>burden</w:t>
      </w:r>
      <w:r>
        <w:rPr>
          <w:spacing w:val="-4"/>
        </w:rPr>
        <w:t xml:space="preserve"> </w:t>
      </w:r>
      <w:r>
        <w:t>on</w:t>
      </w:r>
      <w:r>
        <w:rPr>
          <w:spacing w:val="-3"/>
        </w:rPr>
        <w:t xml:space="preserve"> </w:t>
      </w:r>
      <w:r>
        <w:t>all</w:t>
      </w:r>
      <w:r>
        <w:rPr>
          <w:spacing w:val="-4"/>
        </w:rPr>
        <w:t xml:space="preserve"> </w:t>
      </w:r>
      <w:r>
        <w:t>respondents,</w:t>
      </w:r>
      <w:r>
        <w:rPr>
          <w:spacing w:val="-4"/>
        </w:rPr>
        <w:t xml:space="preserve"> </w:t>
      </w:r>
      <w:r>
        <w:t>including those representing small businesses.</w:t>
      </w:r>
    </w:p>
    <w:p>
      <w:pPr>
        <w:pStyle w:val="Heading1"/>
        <w:numPr>
          <w:ilvl w:val="1"/>
          <w:numId w:val="3"/>
        </w:numPr>
        <w:tabs>
          <w:tab w:val="left" w:pos="720"/>
        </w:tabs>
        <w:spacing w:before="207" w:after="0" w:line="240" w:lineRule="auto"/>
        <w:ind w:left="720" w:right="0" w:hanging="720"/>
        <w:jc w:val="left"/>
        <w:rPr>
          <w:u w:val="none"/>
        </w:rPr>
      </w:pPr>
      <w:r>
        <w:rPr>
          <w:u w:val="single"/>
        </w:rPr>
        <w:t xml:space="preserve">Less Frequent </w:t>
      </w:r>
      <w:r>
        <w:rPr>
          <w:spacing w:val="-2"/>
          <w:u w:val="single"/>
        </w:rPr>
        <w:t>Collection</w:t>
      </w:r>
    </w:p>
    <w:p>
      <w:pPr>
        <w:pStyle w:val="BodyText"/>
        <w:spacing w:before="47" w:line="280" w:lineRule="auto"/>
        <w:ind w:left="720" w:right="345"/>
      </w:pPr>
      <w:r>
        <w:t>CMS provides training and technical assistance primarily through weekly, bi-weekly, monthly, or</w:t>
      </w:r>
      <w:r>
        <w:rPr>
          <w:spacing w:val="-1"/>
        </w:rPr>
        <w:t xml:space="preserve"> </w:t>
      </w:r>
      <w:r>
        <w:t>quarterly webinars, conferences, and CBTs. In addition, CMS provides one- time</w:t>
      </w:r>
      <w:r>
        <w:rPr>
          <w:spacing w:val="-1"/>
        </w:rPr>
        <w:t xml:space="preserve"> </w:t>
      </w:r>
      <w:r>
        <w:t>web-based training and support sessions as needed. Evaluation instruments are</w:t>
      </w:r>
      <w:r>
        <w:rPr>
          <w:spacing w:val="-2"/>
        </w:rPr>
        <w:t xml:space="preserve"> </w:t>
      </w:r>
      <w:r>
        <w:t>sent to</w:t>
      </w:r>
      <w:r>
        <w:rPr>
          <w:spacing w:val="-4"/>
        </w:rPr>
        <w:t xml:space="preserve"> </w:t>
      </w:r>
      <w:r>
        <w:t>participants</w:t>
      </w:r>
      <w:r>
        <w:rPr>
          <w:spacing w:val="-4"/>
        </w:rPr>
        <w:t xml:space="preserve"> </w:t>
      </w:r>
      <w:r>
        <w:t>immediately</w:t>
      </w:r>
      <w:r>
        <w:rPr>
          <w:spacing w:val="-4"/>
        </w:rPr>
        <w:t xml:space="preserve"> </w:t>
      </w:r>
      <w:r>
        <w:t>after</w:t>
      </w:r>
      <w:r>
        <w:rPr>
          <w:spacing w:val="-5"/>
        </w:rPr>
        <w:t xml:space="preserve"> </w:t>
      </w:r>
      <w:r>
        <w:t>each</w:t>
      </w:r>
      <w:r>
        <w:rPr>
          <w:spacing w:val="-4"/>
        </w:rPr>
        <w:t xml:space="preserve"> </w:t>
      </w:r>
      <w:r>
        <w:t>session.</w:t>
      </w:r>
      <w:r>
        <w:rPr>
          <w:spacing w:val="-4"/>
        </w:rPr>
        <w:t xml:space="preserve"> </w:t>
      </w:r>
      <w:r>
        <w:t>Less</w:t>
      </w:r>
      <w:r>
        <w:rPr>
          <w:spacing w:val="-4"/>
        </w:rPr>
        <w:t xml:space="preserve"> </w:t>
      </w:r>
      <w:r>
        <w:t>frequent</w:t>
      </w:r>
      <w:r>
        <w:rPr>
          <w:spacing w:val="-4"/>
        </w:rPr>
        <w:t xml:space="preserve"> </w:t>
      </w:r>
      <w:r>
        <w:t>data</w:t>
      </w:r>
      <w:r>
        <w:rPr>
          <w:spacing w:val="-5"/>
        </w:rPr>
        <w:t xml:space="preserve"> </w:t>
      </w:r>
      <w:r>
        <w:t>collection</w:t>
      </w:r>
      <w:r>
        <w:rPr>
          <w:spacing w:val="-2"/>
        </w:rPr>
        <w:t xml:space="preserve"> </w:t>
      </w:r>
      <w:r>
        <w:t>would</w:t>
      </w:r>
      <w:r>
        <w:rPr>
          <w:spacing w:val="-4"/>
        </w:rPr>
        <w:t xml:space="preserve"> </w:t>
      </w:r>
      <w:r>
        <w:t>affect data quality due to respondent recall effect. Further, the research design allows for feedback across program areas.</w:t>
      </w:r>
    </w:p>
    <w:p>
      <w:pPr>
        <w:pStyle w:val="Heading1"/>
        <w:numPr>
          <w:ilvl w:val="1"/>
          <w:numId w:val="3"/>
        </w:numPr>
        <w:tabs>
          <w:tab w:val="left" w:pos="720"/>
        </w:tabs>
        <w:spacing w:before="225" w:after="0" w:line="240" w:lineRule="auto"/>
        <w:ind w:left="720" w:right="0" w:hanging="720"/>
        <w:jc w:val="left"/>
        <w:rPr>
          <w:u w:val="none"/>
        </w:rPr>
      </w:pPr>
      <w:r>
        <w:rPr>
          <w:u w:val="single"/>
        </w:rPr>
        <w:t xml:space="preserve">Special </w:t>
      </w:r>
      <w:r>
        <w:rPr>
          <w:spacing w:val="-2"/>
          <w:u w:val="single"/>
        </w:rPr>
        <w:t>Circumstances</w:t>
      </w:r>
    </w:p>
    <w:p>
      <w:pPr>
        <w:pStyle w:val="BodyText"/>
        <w:rPr>
          <w:b/>
        </w:rPr>
      </w:pPr>
    </w:p>
    <w:p>
      <w:pPr>
        <w:pStyle w:val="BodyText"/>
        <w:ind w:left="720"/>
      </w:pPr>
      <w:r>
        <w:t>There are</w:t>
      </w:r>
      <w:r>
        <w:rPr>
          <w:spacing w:val="-2"/>
        </w:rPr>
        <w:t xml:space="preserve"> </w:t>
      </w:r>
      <w:r>
        <w:t>no special circumstances that require</w:t>
      </w:r>
      <w:r>
        <w:rPr>
          <w:spacing w:val="-1"/>
        </w:rPr>
        <w:t xml:space="preserve"> </w:t>
      </w:r>
      <w:r>
        <w:t>deviation</w:t>
      </w:r>
      <w:r>
        <w:rPr>
          <w:spacing w:val="-1"/>
        </w:rPr>
        <w:t xml:space="preserve"> </w:t>
      </w:r>
      <w:r>
        <w:t>from</w:t>
      </w:r>
      <w:r>
        <w:rPr>
          <w:spacing w:val="-1"/>
        </w:rPr>
        <w:t xml:space="preserve"> </w:t>
      </w:r>
      <w:r>
        <w:t>these</w:t>
      </w:r>
      <w:r>
        <w:rPr>
          <w:spacing w:val="1"/>
        </w:rPr>
        <w:t xml:space="preserve"> </w:t>
      </w:r>
      <w:r>
        <w:rPr>
          <w:spacing w:val="-2"/>
        </w:rPr>
        <w:t>guidelines.</w:t>
      </w:r>
    </w:p>
    <w:p>
      <w:pPr>
        <w:pStyle w:val="BodyText"/>
      </w:pPr>
    </w:p>
    <w:p>
      <w:pPr>
        <w:pStyle w:val="Heading1"/>
        <w:numPr>
          <w:ilvl w:val="1"/>
          <w:numId w:val="3"/>
        </w:numPr>
        <w:tabs>
          <w:tab w:val="left" w:pos="720"/>
        </w:tabs>
        <w:spacing w:before="0" w:after="0" w:line="240" w:lineRule="auto"/>
        <w:ind w:left="720" w:right="0" w:hanging="720"/>
        <w:jc w:val="left"/>
        <w:rPr>
          <w:u w:val="none"/>
        </w:rPr>
      </w:pPr>
      <w:r>
        <w:rPr>
          <w:u w:val="single"/>
        </w:rPr>
        <w:t>Federal Register</w:t>
      </w:r>
      <w:r>
        <w:rPr>
          <w:spacing w:val="-1"/>
          <w:u w:val="single"/>
        </w:rPr>
        <w:t xml:space="preserve"> </w:t>
      </w:r>
      <w:r>
        <w:rPr>
          <w:u w:val="single"/>
        </w:rPr>
        <w:t>Notice/Prior</w:t>
      </w:r>
      <w:r>
        <w:rPr>
          <w:spacing w:val="-1"/>
          <w:u w:val="single"/>
        </w:rPr>
        <w:t xml:space="preserve"> </w:t>
      </w:r>
      <w:r>
        <w:rPr>
          <w:spacing w:val="-2"/>
          <w:u w:val="single"/>
        </w:rPr>
        <w:t>Consultation</w:t>
      </w:r>
    </w:p>
    <w:p>
      <w:pPr>
        <w:pStyle w:val="BodyText"/>
        <w:rPr>
          <w:b/>
        </w:rPr>
      </w:pPr>
    </w:p>
    <w:p>
      <w:pPr>
        <w:pStyle w:val="BodyText"/>
        <w:spacing w:before="1"/>
        <w:ind w:left="720"/>
      </w:pPr>
      <w:r>
        <w:t>A 60-day notice</w:t>
      </w:r>
      <w:r>
        <w:rPr>
          <w:spacing w:val="1"/>
        </w:rPr>
        <w:t xml:space="preserve"> </w:t>
      </w:r>
      <w:r>
        <w:t>published in the Federal Register on</w:t>
      </w:r>
      <w:r>
        <w:rPr>
          <w:spacing w:val="-1"/>
        </w:rPr>
        <w:t xml:space="preserve"> </w:t>
      </w:r>
      <w:r>
        <w:t xml:space="preserve">September 30, 2024 (89 FR </w:t>
      </w:r>
      <w:r>
        <w:rPr>
          <w:spacing w:val="-2"/>
        </w:rPr>
        <w:t>79612).</w:t>
      </w:r>
    </w:p>
    <w:p>
      <w:pPr>
        <w:spacing w:before="80" w:line="213" w:lineRule="exact"/>
        <w:ind w:left="0" w:right="356" w:firstLine="0"/>
        <w:jc w:val="center"/>
        <w:rPr>
          <w:sz w:val="20"/>
        </w:rPr>
      </w:pPr>
      <w:r>
        <w:rPr>
          <w:spacing w:val="-10"/>
          <w:sz w:val="20"/>
        </w:rPr>
        <w:t>4</w:t>
      </w:r>
    </w:p>
    <w:p>
      <w:pPr>
        <w:pStyle w:val="BodyText"/>
        <w:spacing w:line="259" w:lineRule="exact"/>
        <w:ind w:left="720"/>
      </w:pPr>
      <w:r>
        <w:t>A</w:t>
      </w:r>
      <w:r>
        <w:rPr>
          <w:spacing w:val="-2"/>
        </w:rPr>
        <w:t xml:space="preserve"> </w:t>
      </w:r>
      <w:r>
        <w:t>30-day notice</w:t>
      </w:r>
      <w:r>
        <w:rPr>
          <w:spacing w:val="-1"/>
        </w:rPr>
        <w:t xml:space="preserve"> </w:t>
      </w:r>
      <w:r>
        <w:t>published on</w:t>
      </w:r>
      <w:r>
        <w:rPr>
          <w:spacing w:val="-1"/>
        </w:rPr>
        <w:t xml:space="preserve"> </w:t>
      </w:r>
      <w:r>
        <w:t>June 17,</w:t>
      </w:r>
      <w:r>
        <w:rPr>
          <w:spacing w:val="-1"/>
        </w:rPr>
        <w:t xml:space="preserve"> </w:t>
      </w:r>
      <w:r>
        <w:t>2025 (90</w:t>
      </w:r>
      <w:r>
        <w:rPr>
          <w:spacing w:val="-1"/>
        </w:rPr>
        <w:t xml:space="preserve"> </w:t>
      </w:r>
      <w:r>
        <w:t>Fr 25616).</w:t>
      </w:r>
      <w:r>
        <w:rPr>
          <w:spacing w:val="-1"/>
        </w:rPr>
        <w:t xml:space="preserve"> </w:t>
      </w:r>
      <w:r>
        <w:t>No comments</w:t>
      </w:r>
      <w:r>
        <w:rPr>
          <w:spacing w:val="-2"/>
        </w:rPr>
        <w:t xml:space="preserve"> </w:t>
      </w:r>
      <w:r>
        <w:t xml:space="preserve">were </w:t>
      </w:r>
      <w:r>
        <w:rPr>
          <w:spacing w:val="-2"/>
        </w:rPr>
        <w:t>received.</w:t>
      </w:r>
    </w:p>
    <w:p>
      <w:pPr>
        <w:pStyle w:val="BodyText"/>
        <w:spacing w:after="0" w:line="259" w:lineRule="exact"/>
        <w:sectPr>
          <w:footerReference w:type="default" r:id="rId5"/>
          <w:pgSz w:w="12240" w:h="15840"/>
          <w:pgMar w:top="1360" w:right="1080" w:bottom="280" w:left="1440" w:header="0" w:footer="0"/>
          <w:cols w:space="720"/>
        </w:sectPr>
      </w:pPr>
    </w:p>
    <w:p>
      <w:pPr>
        <w:pStyle w:val="BodyText"/>
        <w:spacing w:before="75"/>
        <w:ind w:left="720"/>
      </w:pPr>
      <w:r>
        <w:t>No</w:t>
      </w:r>
      <w:r>
        <w:rPr>
          <w:spacing w:val="-1"/>
        </w:rPr>
        <w:t xml:space="preserve"> </w:t>
      </w:r>
      <w:r>
        <w:t>additional</w:t>
      </w:r>
      <w:r>
        <w:rPr>
          <w:spacing w:val="-1"/>
        </w:rPr>
        <w:t xml:space="preserve"> </w:t>
      </w:r>
      <w:r>
        <w:t>outside</w:t>
      </w:r>
      <w:r>
        <w:rPr>
          <w:spacing w:val="-1"/>
        </w:rPr>
        <w:t xml:space="preserve"> </w:t>
      </w:r>
      <w:r>
        <w:t>consultation</w:t>
      </w:r>
      <w:r>
        <w:rPr>
          <w:spacing w:val="-1"/>
        </w:rPr>
        <w:t xml:space="preserve"> </w:t>
      </w:r>
      <w:r>
        <w:t>was</w:t>
      </w:r>
      <w:r>
        <w:rPr>
          <w:spacing w:val="-1"/>
        </w:rPr>
        <w:t xml:space="preserve"> </w:t>
      </w:r>
      <w:r>
        <w:rPr>
          <w:spacing w:val="-2"/>
        </w:rPr>
        <w:t>sought.</w:t>
      </w:r>
    </w:p>
    <w:p>
      <w:pPr>
        <w:pStyle w:val="BodyText"/>
      </w:pPr>
    </w:p>
    <w:p>
      <w:pPr>
        <w:pStyle w:val="Heading1"/>
        <w:numPr>
          <w:ilvl w:val="1"/>
          <w:numId w:val="3"/>
        </w:numPr>
        <w:tabs>
          <w:tab w:val="left" w:pos="720"/>
        </w:tabs>
        <w:spacing w:before="0" w:after="0" w:line="240" w:lineRule="auto"/>
        <w:ind w:left="720" w:right="0" w:hanging="720"/>
        <w:jc w:val="left"/>
        <w:rPr>
          <w:u w:val="none"/>
        </w:rPr>
      </w:pPr>
      <w:r>
        <w:rPr>
          <w:u w:val="single"/>
        </w:rPr>
        <w:t>Payment/Gift</w:t>
      </w:r>
      <w:r>
        <w:rPr>
          <w:spacing w:val="-2"/>
          <w:u w:val="single"/>
        </w:rPr>
        <w:t xml:space="preserve"> </w:t>
      </w:r>
      <w:r>
        <w:rPr>
          <w:u w:val="single"/>
        </w:rPr>
        <w:t xml:space="preserve">to </w:t>
      </w:r>
      <w:r>
        <w:rPr>
          <w:spacing w:val="-2"/>
          <w:u w:val="single"/>
        </w:rPr>
        <w:t>Respondents</w:t>
      </w:r>
    </w:p>
    <w:p>
      <w:pPr>
        <w:pStyle w:val="BodyText"/>
        <w:rPr>
          <w:b/>
        </w:rPr>
      </w:pPr>
    </w:p>
    <w:p>
      <w:pPr>
        <w:pStyle w:val="BodyText"/>
        <w:ind w:left="720"/>
      </w:pPr>
      <w:r>
        <w:t>There</w:t>
      </w:r>
      <w:r>
        <w:rPr>
          <w:spacing w:val="-3"/>
        </w:rPr>
        <w:t xml:space="preserve"> </w:t>
      </w:r>
      <w:r>
        <w:t>are</w:t>
      </w:r>
      <w:r>
        <w:rPr>
          <w:spacing w:val="-1"/>
        </w:rPr>
        <w:t xml:space="preserve"> </w:t>
      </w:r>
      <w:r>
        <w:t>currently no</w:t>
      </w:r>
      <w:r>
        <w:rPr>
          <w:spacing w:val="-1"/>
        </w:rPr>
        <w:t xml:space="preserve"> </w:t>
      </w:r>
      <w:r>
        <w:t>planned payments</w:t>
      </w:r>
      <w:r>
        <w:rPr>
          <w:spacing w:val="-1"/>
        </w:rPr>
        <w:t xml:space="preserve"> </w:t>
      </w:r>
      <w:r>
        <w:t>or</w:t>
      </w:r>
      <w:r>
        <w:rPr>
          <w:spacing w:val="-1"/>
        </w:rPr>
        <w:t xml:space="preserve"> </w:t>
      </w:r>
      <w:r>
        <w:t>gifts</w:t>
      </w:r>
      <w:r>
        <w:rPr>
          <w:spacing w:val="-1"/>
        </w:rPr>
        <w:t xml:space="preserve"> </w:t>
      </w:r>
      <w:r>
        <w:t xml:space="preserve">to </w:t>
      </w:r>
      <w:r>
        <w:rPr>
          <w:spacing w:val="-2"/>
        </w:rPr>
        <w:t>respondents.</w:t>
      </w:r>
    </w:p>
    <w:p>
      <w:pPr>
        <w:pStyle w:val="BodyText"/>
      </w:pPr>
    </w:p>
    <w:p>
      <w:pPr>
        <w:pStyle w:val="Heading1"/>
        <w:numPr>
          <w:ilvl w:val="1"/>
          <w:numId w:val="3"/>
        </w:numPr>
        <w:tabs>
          <w:tab w:val="left" w:pos="720"/>
        </w:tabs>
        <w:spacing w:before="0" w:after="0" w:line="240" w:lineRule="auto"/>
        <w:ind w:left="720" w:right="0" w:hanging="720"/>
        <w:jc w:val="left"/>
        <w:rPr>
          <w:u w:val="none"/>
        </w:rPr>
      </w:pPr>
      <w:r>
        <w:rPr>
          <w:spacing w:val="-2"/>
          <w:u w:val="single"/>
        </w:rPr>
        <w:t>Confidentiality</w:t>
      </w:r>
    </w:p>
    <w:p>
      <w:pPr>
        <w:pStyle w:val="BodyText"/>
        <w:rPr>
          <w:b/>
        </w:rPr>
      </w:pPr>
    </w:p>
    <w:p>
      <w:pPr>
        <w:pStyle w:val="BodyText"/>
        <w:ind w:left="720"/>
      </w:pPr>
      <w:r>
        <w:t>Program</w:t>
      </w:r>
      <w:r>
        <w:rPr>
          <w:spacing w:val="-3"/>
        </w:rPr>
        <w:t xml:space="preserve"> </w:t>
      </w:r>
      <w:r>
        <w:t>submissions</w:t>
      </w:r>
      <w:r>
        <w:rPr>
          <w:spacing w:val="-3"/>
        </w:rPr>
        <w:t xml:space="preserve"> </w:t>
      </w:r>
      <w:r>
        <w:t>to</w:t>
      </w:r>
      <w:r>
        <w:rPr>
          <w:spacing w:val="-6"/>
        </w:rPr>
        <w:t xml:space="preserve"> </w:t>
      </w:r>
      <w:r>
        <w:t>CMS</w:t>
      </w:r>
      <w:r>
        <w:rPr>
          <w:spacing w:val="-3"/>
        </w:rPr>
        <w:t xml:space="preserve"> </w:t>
      </w:r>
      <w:r>
        <w:t>are</w:t>
      </w:r>
      <w:r>
        <w:rPr>
          <w:spacing w:val="-3"/>
        </w:rPr>
        <w:t xml:space="preserve"> </w:t>
      </w:r>
      <w:r>
        <w:t>public</w:t>
      </w:r>
      <w:r>
        <w:rPr>
          <w:spacing w:val="-4"/>
        </w:rPr>
        <w:t xml:space="preserve"> </w:t>
      </w:r>
      <w:r>
        <w:t>information,</w:t>
      </w:r>
      <w:r>
        <w:rPr>
          <w:spacing w:val="-3"/>
        </w:rPr>
        <w:t xml:space="preserve"> </w:t>
      </w:r>
      <w:r>
        <w:t>and</w:t>
      </w:r>
      <w:r>
        <w:rPr>
          <w:spacing w:val="-3"/>
        </w:rPr>
        <w:t xml:space="preserve"> </w:t>
      </w:r>
      <w:r>
        <w:t>there</w:t>
      </w:r>
      <w:r>
        <w:rPr>
          <w:spacing w:val="-4"/>
        </w:rPr>
        <w:t xml:space="preserve"> </w:t>
      </w:r>
      <w:r>
        <w:t>is</w:t>
      </w:r>
      <w:r>
        <w:rPr>
          <w:spacing w:val="-3"/>
        </w:rPr>
        <w:t xml:space="preserve"> </w:t>
      </w:r>
      <w:r>
        <w:t>no</w:t>
      </w:r>
      <w:r>
        <w:rPr>
          <w:spacing w:val="-3"/>
        </w:rPr>
        <w:t xml:space="preserve"> </w:t>
      </w:r>
      <w:r>
        <w:t>personal</w:t>
      </w:r>
      <w:r>
        <w:rPr>
          <w:spacing w:val="-3"/>
        </w:rPr>
        <w:t xml:space="preserve"> </w:t>
      </w:r>
      <w:r>
        <w:t>identifying information collected in the documents.</w:t>
      </w:r>
    </w:p>
    <w:p>
      <w:pPr>
        <w:pStyle w:val="BodyText"/>
        <w:spacing w:before="1"/>
      </w:pPr>
    </w:p>
    <w:p>
      <w:pPr>
        <w:pStyle w:val="Heading1"/>
        <w:numPr>
          <w:ilvl w:val="1"/>
          <w:numId w:val="3"/>
        </w:numPr>
        <w:tabs>
          <w:tab w:val="left" w:pos="720"/>
        </w:tabs>
        <w:spacing w:before="0" w:after="0" w:line="240" w:lineRule="auto"/>
        <w:ind w:left="720" w:right="0" w:hanging="720"/>
        <w:jc w:val="left"/>
        <w:rPr>
          <w:u w:val="none"/>
        </w:rPr>
      </w:pPr>
      <w:r>
        <w:rPr>
          <w:u w:val="single"/>
        </w:rPr>
        <w:t>Sensitive</w:t>
      </w:r>
      <w:r>
        <w:rPr>
          <w:spacing w:val="-3"/>
          <w:u w:val="single"/>
        </w:rPr>
        <w:t xml:space="preserve"> </w:t>
      </w:r>
      <w:r>
        <w:rPr>
          <w:spacing w:val="-2"/>
          <w:u w:val="single"/>
        </w:rPr>
        <w:t>Questions</w:t>
      </w:r>
    </w:p>
    <w:p>
      <w:pPr>
        <w:pStyle w:val="BodyText"/>
        <w:rPr>
          <w:b/>
        </w:rPr>
      </w:pPr>
    </w:p>
    <w:p>
      <w:pPr>
        <w:pStyle w:val="BodyText"/>
        <w:ind w:left="720"/>
      </w:pPr>
      <w:r>
        <w:t>There</w:t>
      </w:r>
      <w:r>
        <w:rPr>
          <w:spacing w:val="-1"/>
        </w:rPr>
        <w:t xml:space="preserve"> </w:t>
      </w:r>
      <w:r>
        <w:t>are</w:t>
      </w:r>
      <w:r>
        <w:rPr>
          <w:spacing w:val="-2"/>
        </w:rPr>
        <w:t xml:space="preserve"> </w:t>
      </w:r>
      <w:r>
        <w:t>no</w:t>
      </w:r>
      <w:r>
        <w:rPr>
          <w:spacing w:val="-1"/>
        </w:rPr>
        <w:t xml:space="preserve"> </w:t>
      </w:r>
      <w:r>
        <w:t>questions of</w:t>
      </w:r>
      <w:r>
        <w:rPr>
          <w:spacing w:val="-1"/>
        </w:rPr>
        <w:t xml:space="preserve"> </w:t>
      </w:r>
      <w:r>
        <w:t>a</w:t>
      </w:r>
      <w:r>
        <w:rPr>
          <w:spacing w:val="-2"/>
        </w:rPr>
        <w:t xml:space="preserve"> </w:t>
      </w:r>
      <w:r>
        <w:t xml:space="preserve">sensitive </w:t>
      </w:r>
      <w:r>
        <w:rPr>
          <w:spacing w:val="-2"/>
        </w:rPr>
        <w:t>nature.</w:t>
      </w:r>
    </w:p>
    <w:p>
      <w:pPr>
        <w:pStyle w:val="BodyText"/>
      </w:pPr>
    </w:p>
    <w:p>
      <w:pPr>
        <w:pStyle w:val="Heading1"/>
        <w:numPr>
          <w:ilvl w:val="1"/>
          <w:numId w:val="3"/>
        </w:numPr>
        <w:tabs>
          <w:tab w:val="left" w:pos="720"/>
        </w:tabs>
        <w:spacing w:before="0" w:after="0" w:line="240" w:lineRule="auto"/>
        <w:ind w:left="720" w:right="0" w:hanging="720"/>
        <w:jc w:val="left"/>
        <w:rPr>
          <w:u w:val="none"/>
        </w:rPr>
      </w:pPr>
      <w:r>
        <w:rPr>
          <w:u w:val="single"/>
        </w:rPr>
        <w:t>Burden</w:t>
      </w:r>
      <w:r>
        <w:rPr>
          <w:spacing w:val="-2"/>
          <w:u w:val="single"/>
        </w:rPr>
        <w:t xml:space="preserve"> Estimate</w:t>
      </w:r>
    </w:p>
    <w:p>
      <w:pPr>
        <w:pStyle w:val="BodyText"/>
        <w:rPr>
          <w:b/>
        </w:rPr>
      </w:pPr>
    </w:p>
    <w:p>
      <w:pPr>
        <w:pStyle w:val="BodyText"/>
        <w:ind w:left="720" w:right="415"/>
      </w:pPr>
      <w:r>
        <w:t>The</w:t>
      </w:r>
      <w:r>
        <w:rPr>
          <w:spacing w:val="-5"/>
        </w:rPr>
        <w:t xml:space="preserve"> </w:t>
      </w:r>
      <w:r>
        <w:t>annual</w:t>
      </w:r>
      <w:r>
        <w:rPr>
          <w:spacing w:val="-3"/>
        </w:rPr>
        <w:t xml:space="preserve"> </w:t>
      </w:r>
      <w:r>
        <w:t>estimated</w:t>
      </w:r>
      <w:r>
        <w:rPr>
          <w:spacing w:val="-3"/>
        </w:rPr>
        <w:t xml:space="preserve"> </w:t>
      </w:r>
      <w:r>
        <w:t>burden</w:t>
      </w:r>
      <w:r>
        <w:rPr>
          <w:spacing w:val="-3"/>
        </w:rPr>
        <w:t xml:space="preserve"> </w:t>
      </w:r>
      <w:r>
        <w:t>hours</w:t>
      </w:r>
      <w:r>
        <w:rPr>
          <w:spacing w:val="-3"/>
        </w:rPr>
        <w:t xml:space="preserve"> </w:t>
      </w:r>
      <w:r>
        <w:t>of</w:t>
      </w:r>
      <w:r>
        <w:rPr>
          <w:spacing w:val="-4"/>
        </w:rPr>
        <w:t xml:space="preserve"> </w:t>
      </w:r>
      <w:r>
        <w:t>2,397</w:t>
      </w:r>
      <w:r>
        <w:rPr>
          <w:spacing w:val="-3"/>
        </w:rPr>
        <w:t xml:space="preserve"> </w:t>
      </w:r>
      <w:r>
        <w:t>hours,</w:t>
      </w:r>
      <w:r>
        <w:rPr>
          <w:spacing w:val="-2"/>
        </w:rPr>
        <w:t xml:space="preserve"> </w:t>
      </w:r>
      <w:r>
        <w:t>as</w:t>
      </w:r>
      <w:r>
        <w:rPr>
          <w:spacing w:val="-3"/>
        </w:rPr>
        <w:t xml:space="preserve"> </w:t>
      </w:r>
      <w:r>
        <w:t>detailed</w:t>
      </w:r>
      <w:r>
        <w:rPr>
          <w:spacing w:val="-3"/>
        </w:rPr>
        <w:t xml:space="preserve"> </w:t>
      </w:r>
      <w:r>
        <w:t>in</w:t>
      </w:r>
      <w:r>
        <w:rPr>
          <w:spacing w:val="-3"/>
        </w:rPr>
        <w:t xml:space="preserve"> </w:t>
      </w:r>
      <w:r>
        <w:t>in</w:t>
      </w:r>
      <w:r>
        <w:rPr>
          <w:spacing w:val="-3"/>
        </w:rPr>
        <w:t xml:space="preserve"> </w:t>
      </w:r>
      <w:r>
        <w:t>Table</w:t>
      </w:r>
      <w:r>
        <w:rPr>
          <w:spacing w:val="-3"/>
        </w:rPr>
        <w:t xml:space="preserve"> </w:t>
      </w:r>
      <w:r>
        <w:t>1, are</w:t>
      </w:r>
      <w:r>
        <w:rPr>
          <w:spacing w:val="-5"/>
        </w:rPr>
        <w:t xml:space="preserve"> </w:t>
      </w:r>
      <w:r>
        <w:t>based</w:t>
      </w:r>
      <w:r>
        <w:rPr>
          <w:spacing w:val="-3"/>
        </w:rPr>
        <w:t xml:space="preserve"> </w:t>
      </w:r>
      <w:r>
        <w:t xml:space="preserve">on prior experience conducting online and in-person satisfaction surveys for CMS for the same types of webinars, Computer Based Training (CBT), and Conference/onsite sessions referenced in this submission package. The estimated time per response is 15 minutes. The number of respondents is based on the number of previous respondents to the evaluation surveys, and the number of predicted sessions, as referenced above in the </w:t>
      </w:r>
      <w:r>
        <w:rPr>
          <w:i/>
        </w:rPr>
        <w:t>Background Statement</w:t>
      </w:r>
      <w:r>
        <w:t>.</w:t>
      </w:r>
    </w:p>
    <w:p>
      <w:pPr>
        <w:pStyle w:val="BodyText"/>
        <w:spacing w:before="1"/>
      </w:pPr>
    </w:p>
    <w:p>
      <w:pPr>
        <w:pStyle w:val="BodyText"/>
        <w:ind w:left="720" w:right="370"/>
      </w:pPr>
      <w:r>
        <w:t>Currently there are no additional surveys, questionnaires or evaluations under development. However, the office is requesting approval for an additional 1,250 hours to cover</w:t>
      </w:r>
      <w:r>
        <w:rPr>
          <w:spacing w:val="-4"/>
        </w:rPr>
        <w:t xml:space="preserve"> </w:t>
      </w:r>
      <w:r>
        <w:t>future,</w:t>
      </w:r>
      <w:r>
        <w:rPr>
          <w:spacing w:val="-4"/>
        </w:rPr>
        <w:t xml:space="preserve"> </w:t>
      </w:r>
      <w:r>
        <w:t>yet</w:t>
      </w:r>
      <w:r>
        <w:rPr>
          <w:spacing w:val="-4"/>
        </w:rPr>
        <w:t xml:space="preserve"> </w:t>
      </w:r>
      <w:r>
        <w:t>to</w:t>
      </w:r>
      <w:r>
        <w:rPr>
          <w:spacing w:val="-4"/>
        </w:rPr>
        <w:t xml:space="preserve"> </w:t>
      </w:r>
      <w:r>
        <w:t>be</w:t>
      </w:r>
      <w:r>
        <w:rPr>
          <w:spacing w:val="-5"/>
        </w:rPr>
        <w:t xml:space="preserve"> </w:t>
      </w:r>
      <w:r>
        <w:t>determined</w:t>
      </w:r>
      <w:r>
        <w:rPr>
          <w:spacing w:val="-4"/>
        </w:rPr>
        <w:t xml:space="preserve"> </w:t>
      </w:r>
      <w:r>
        <w:t>collections</w:t>
      </w:r>
      <w:r>
        <w:rPr>
          <w:spacing w:val="-4"/>
        </w:rPr>
        <w:t xml:space="preserve"> </w:t>
      </w:r>
      <w:r>
        <w:t>of</w:t>
      </w:r>
      <w:r>
        <w:rPr>
          <w:spacing w:val="-4"/>
        </w:rPr>
        <w:t xml:space="preserve"> </w:t>
      </w:r>
      <w:r>
        <w:t>information</w:t>
      </w:r>
      <w:r>
        <w:rPr>
          <w:spacing w:val="-4"/>
        </w:rPr>
        <w:t xml:space="preserve"> </w:t>
      </w:r>
      <w:r>
        <w:t>submitted under</w:t>
      </w:r>
      <w:r>
        <w:rPr>
          <w:spacing w:val="-4"/>
        </w:rPr>
        <w:t xml:space="preserve"> </w:t>
      </w:r>
      <w:r>
        <w:t>this</w:t>
      </w:r>
      <w:r>
        <w:rPr>
          <w:spacing w:val="-4"/>
        </w:rPr>
        <w:t xml:space="preserve"> </w:t>
      </w:r>
      <w:r>
        <w:t>generic approval. The estimated burden for potential future generic information collections in included in Table 1.</w:t>
      </w:r>
    </w:p>
    <w:p>
      <w:pPr>
        <w:pStyle w:val="Heading1"/>
        <w:spacing w:before="230"/>
        <w:ind w:left="0" w:firstLine="0"/>
        <w:rPr>
          <w:u w:val="none"/>
        </w:rPr>
      </w:pPr>
      <w:r>
        <w:rPr>
          <w:u w:val="none"/>
        </w:rPr>
        <w:t>Table</w:t>
      </w:r>
      <w:r>
        <w:rPr>
          <w:spacing w:val="-5"/>
          <w:u w:val="none"/>
        </w:rPr>
        <w:t xml:space="preserve"> </w:t>
      </w:r>
      <w:r>
        <w:rPr>
          <w:u w:val="none"/>
        </w:rPr>
        <w:t>1.</w:t>
      </w:r>
      <w:r>
        <w:rPr>
          <w:spacing w:val="-3"/>
          <w:u w:val="none"/>
        </w:rPr>
        <w:t xml:space="preserve"> </w:t>
      </w:r>
      <w:r>
        <w:rPr>
          <w:u w:val="none"/>
        </w:rPr>
        <w:t>Annual</w:t>
      </w:r>
      <w:r>
        <w:rPr>
          <w:spacing w:val="-2"/>
          <w:u w:val="none"/>
        </w:rPr>
        <w:t xml:space="preserve"> </w:t>
      </w:r>
      <w:r>
        <w:rPr>
          <w:u w:val="none"/>
        </w:rPr>
        <w:t>Estimated</w:t>
      </w:r>
      <w:r>
        <w:rPr>
          <w:spacing w:val="-3"/>
          <w:u w:val="none"/>
        </w:rPr>
        <w:t xml:space="preserve"> </w:t>
      </w:r>
      <w:r>
        <w:rPr>
          <w:u w:val="none"/>
        </w:rPr>
        <w:t>Burden</w:t>
      </w:r>
      <w:r>
        <w:rPr>
          <w:spacing w:val="-2"/>
          <w:u w:val="none"/>
        </w:rPr>
        <w:t xml:space="preserve"> </w:t>
      </w:r>
      <w:r>
        <w:rPr>
          <w:spacing w:val="-4"/>
          <w:u w:val="none"/>
        </w:rPr>
        <w:t>Hours</w:t>
      </w:r>
    </w:p>
    <w:p>
      <w:pPr>
        <w:pStyle w:val="BodyText"/>
        <w:spacing w:before="7" w:after="1"/>
        <w:rPr>
          <w:b/>
          <w:sz w:val="8"/>
        </w:rPr>
      </w:pPr>
    </w:p>
    <w:tbl>
      <w:tblPr>
        <w:tblStyle w:val="TableNormal"/>
        <w:tblW w:w="0" w:type="auto"/>
        <w:jc w:val="lef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37"/>
        <w:gridCol w:w="1800"/>
        <w:gridCol w:w="1620"/>
        <w:gridCol w:w="2789"/>
      </w:tblGrid>
      <w:tr>
        <w:tblPrEx>
          <w:tblW w:w="0" w:type="auto"/>
          <w:jc w:val="lef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80"/>
          <w:jc w:val="left"/>
        </w:trPr>
        <w:tc>
          <w:tcPr>
            <w:tcW w:w="3437" w:type="dxa"/>
          </w:tcPr>
          <w:p>
            <w:pPr>
              <w:pStyle w:val="TableParagraph"/>
              <w:spacing w:before="1" w:line="240" w:lineRule="auto"/>
              <w:ind w:left="107"/>
              <w:rPr>
                <w:b/>
                <w:sz w:val="24"/>
              </w:rPr>
            </w:pPr>
            <w:r>
              <w:rPr>
                <w:b/>
                <w:sz w:val="24"/>
              </w:rPr>
              <w:t>Category</w:t>
            </w:r>
            <w:r>
              <w:rPr>
                <w:b/>
                <w:spacing w:val="-1"/>
                <w:sz w:val="24"/>
              </w:rPr>
              <w:t xml:space="preserve"> </w:t>
            </w:r>
            <w:r>
              <w:rPr>
                <w:b/>
                <w:sz w:val="24"/>
              </w:rPr>
              <w:t>of</w:t>
            </w:r>
            <w:r>
              <w:rPr>
                <w:b/>
                <w:spacing w:val="-1"/>
                <w:sz w:val="24"/>
              </w:rPr>
              <w:t xml:space="preserve"> </w:t>
            </w:r>
            <w:r>
              <w:rPr>
                <w:b/>
                <w:spacing w:val="-2"/>
                <w:sz w:val="24"/>
              </w:rPr>
              <w:t>Respondent</w:t>
            </w:r>
          </w:p>
        </w:tc>
        <w:tc>
          <w:tcPr>
            <w:tcW w:w="1800" w:type="dxa"/>
          </w:tcPr>
          <w:p>
            <w:pPr>
              <w:pStyle w:val="TableParagraph"/>
              <w:spacing w:before="1" w:line="240" w:lineRule="auto"/>
              <w:ind w:left="107"/>
              <w:rPr>
                <w:b/>
                <w:sz w:val="24"/>
              </w:rPr>
            </w:pPr>
            <w:r>
              <w:rPr>
                <w:b/>
                <w:sz w:val="24"/>
              </w:rPr>
              <w:t xml:space="preserve">No. </w:t>
            </w:r>
            <w:r>
              <w:rPr>
                <w:b/>
                <w:spacing w:val="-5"/>
                <w:sz w:val="24"/>
              </w:rPr>
              <w:t>of</w:t>
            </w:r>
          </w:p>
          <w:p>
            <w:pPr>
              <w:pStyle w:val="TableParagraph"/>
              <w:spacing w:before="12" w:line="271" w:lineRule="exact"/>
              <w:ind w:left="107"/>
              <w:rPr>
                <w:b/>
                <w:sz w:val="24"/>
              </w:rPr>
            </w:pPr>
            <w:r>
              <w:rPr>
                <w:b/>
                <w:spacing w:val="-2"/>
                <w:sz w:val="24"/>
              </w:rPr>
              <w:t>Respondents</w:t>
            </w:r>
          </w:p>
        </w:tc>
        <w:tc>
          <w:tcPr>
            <w:tcW w:w="1620" w:type="dxa"/>
          </w:tcPr>
          <w:p>
            <w:pPr>
              <w:pStyle w:val="TableParagraph"/>
              <w:spacing w:before="1" w:line="240" w:lineRule="auto"/>
              <w:rPr>
                <w:b/>
                <w:sz w:val="24"/>
              </w:rPr>
            </w:pPr>
            <w:r>
              <w:rPr>
                <w:b/>
                <w:spacing w:val="-2"/>
                <w:sz w:val="24"/>
              </w:rPr>
              <w:t>Participation</w:t>
            </w:r>
          </w:p>
          <w:p>
            <w:pPr>
              <w:pStyle w:val="TableParagraph"/>
              <w:spacing w:before="12" w:line="271" w:lineRule="exact"/>
              <w:rPr>
                <w:b/>
                <w:sz w:val="24"/>
              </w:rPr>
            </w:pPr>
            <w:r>
              <w:rPr>
                <w:b/>
                <w:spacing w:val="-4"/>
                <w:sz w:val="24"/>
              </w:rPr>
              <w:t>Time</w:t>
            </w:r>
          </w:p>
        </w:tc>
        <w:tc>
          <w:tcPr>
            <w:tcW w:w="2789" w:type="dxa"/>
          </w:tcPr>
          <w:p>
            <w:pPr>
              <w:pStyle w:val="TableParagraph"/>
              <w:spacing w:before="1" w:line="240" w:lineRule="auto"/>
              <w:rPr>
                <w:b/>
                <w:sz w:val="24"/>
              </w:rPr>
            </w:pPr>
            <w:r>
              <w:rPr>
                <w:b/>
                <w:sz w:val="24"/>
              </w:rPr>
              <w:t xml:space="preserve">Total </w:t>
            </w:r>
            <w:r>
              <w:rPr>
                <w:b/>
                <w:spacing w:val="-2"/>
                <w:sz w:val="24"/>
              </w:rPr>
              <w:t>Estimated</w:t>
            </w:r>
          </w:p>
          <w:p>
            <w:pPr>
              <w:pStyle w:val="TableParagraph"/>
              <w:spacing w:before="12" w:line="271" w:lineRule="exact"/>
              <w:rPr>
                <w:b/>
                <w:sz w:val="24"/>
              </w:rPr>
            </w:pPr>
            <w:r>
              <w:rPr>
                <w:b/>
                <w:sz w:val="24"/>
              </w:rPr>
              <w:t>Burden</w:t>
            </w:r>
            <w:r>
              <w:rPr>
                <w:b/>
                <w:spacing w:val="-2"/>
                <w:sz w:val="24"/>
              </w:rPr>
              <w:t xml:space="preserve"> Hours</w:t>
            </w:r>
          </w:p>
        </w:tc>
      </w:tr>
      <w:tr>
        <w:tblPrEx>
          <w:tblW w:w="0" w:type="auto"/>
          <w:jc w:val="left"/>
          <w:tblInd w:w="20" w:type="dxa"/>
          <w:tblLayout w:type="fixed"/>
          <w:tblCellMar>
            <w:top w:w="0" w:type="dxa"/>
            <w:left w:w="0" w:type="dxa"/>
            <w:bottom w:w="0" w:type="dxa"/>
            <w:right w:w="0" w:type="dxa"/>
          </w:tblCellMar>
          <w:tblLook w:val="01E0"/>
        </w:tblPrEx>
        <w:trPr>
          <w:trHeight w:val="870"/>
          <w:jc w:val="left"/>
        </w:trPr>
        <w:tc>
          <w:tcPr>
            <w:tcW w:w="3437" w:type="dxa"/>
          </w:tcPr>
          <w:p>
            <w:pPr>
              <w:pStyle w:val="TableParagraph"/>
              <w:ind w:left="107"/>
              <w:rPr>
                <w:sz w:val="24"/>
              </w:rPr>
            </w:pPr>
            <w:r>
              <w:rPr>
                <w:spacing w:val="-2"/>
                <w:sz w:val="24"/>
              </w:rPr>
              <w:t>Webinar</w:t>
            </w:r>
          </w:p>
        </w:tc>
        <w:tc>
          <w:tcPr>
            <w:tcW w:w="1800" w:type="dxa"/>
          </w:tcPr>
          <w:p>
            <w:pPr>
              <w:pStyle w:val="TableParagraph"/>
              <w:ind w:left="19" w:right="2"/>
              <w:jc w:val="center"/>
              <w:rPr>
                <w:sz w:val="24"/>
              </w:rPr>
            </w:pPr>
            <w:r>
              <w:rPr>
                <w:spacing w:val="-2"/>
                <w:sz w:val="24"/>
              </w:rPr>
              <w:t>9,358</w:t>
            </w:r>
          </w:p>
        </w:tc>
        <w:tc>
          <w:tcPr>
            <w:tcW w:w="1620" w:type="dxa"/>
          </w:tcPr>
          <w:p>
            <w:pPr>
              <w:pStyle w:val="TableParagraph"/>
              <w:spacing w:line="252" w:lineRule="auto"/>
              <w:ind w:right="427"/>
              <w:rPr>
                <w:sz w:val="24"/>
              </w:rPr>
            </w:pPr>
            <w:r>
              <w:rPr>
                <w:sz w:val="24"/>
              </w:rPr>
              <w:t>15</w:t>
            </w:r>
            <w:r>
              <w:rPr>
                <w:spacing w:val="-15"/>
                <w:sz w:val="24"/>
              </w:rPr>
              <w:t xml:space="preserve"> </w:t>
            </w:r>
            <w:r>
              <w:rPr>
                <w:sz w:val="24"/>
              </w:rPr>
              <w:t xml:space="preserve">minutes </w:t>
            </w:r>
            <w:r>
              <w:rPr>
                <w:spacing w:val="-4"/>
                <w:sz w:val="24"/>
              </w:rPr>
              <w:t>per</w:t>
            </w:r>
          </w:p>
          <w:p>
            <w:pPr>
              <w:pStyle w:val="TableParagraph"/>
              <w:spacing w:line="271" w:lineRule="exact"/>
              <w:rPr>
                <w:sz w:val="24"/>
              </w:rPr>
            </w:pPr>
            <w:r>
              <w:rPr>
                <w:spacing w:val="-2"/>
                <w:sz w:val="24"/>
              </w:rPr>
              <w:t>respondent</w:t>
            </w:r>
          </w:p>
        </w:tc>
        <w:tc>
          <w:tcPr>
            <w:tcW w:w="2789" w:type="dxa"/>
          </w:tcPr>
          <w:p>
            <w:pPr>
              <w:pStyle w:val="TableParagraph"/>
              <w:ind w:left="21" w:right="2"/>
              <w:jc w:val="center"/>
              <w:rPr>
                <w:sz w:val="24"/>
              </w:rPr>
            </w:pPr>
            <w:r>
              <w:rPr>
                <w:sz w:val="24"/>
              </w:rPr>
              <w:t xml:space="preserve">2,339.5 </w:t>
            </w:r>
            <w:r>
              <w:rPr>
                <w:spacing w:val="-2"/>
                <w:sz w:val="24"/>
              </w:rPr>
              <w:t>hours</w:t>
            </w:r>
          </w:p>
        </w:tc>
      </w:tr>
      <w:tr>
        <w:tblPrEx>
          <w:tblW w:w="0" w:type="auto"/>
          <w:jc w:val="left"/>
          <w:tblInd w:w="20" w:type="dxa"/>
          <w:tblLayout w:type="fixed"/>
          <w:tblCellMar>
            <w:top w:w="0" w:type="dxa"/>
            <w:left w:w="0" w:type="dxa"/>
            <w:bottom w:w="0" w:type="dxa"/>
            <w:right w:w="0" w:type="dxa"/>
          </w:tblCellMar>
          <w:tblLook w:val="01E0"/>
        </w:tblPrEx>
        <w:trPr>
          <w:trHeight w:val="868"/>
          <w:jc w:val="left"/>
        </w:trPr>
        <w:tc>
          <w:tcPr>
            <w:tcW w:w="3437" w:type="dxa"/>
          </w:tcPr>
          <w:p>
            <w:pPr>
              <w:pStyle w:val="TableParagraph"/>
              <w:ind w:left="107"/>
              <w:rPr>
                <w:sz w:val="24"/>
              </w:rPr>
            </w:pPr>
            <w:r>
              <w:rPr>
                <w:sz w:val="24"/>
              </w:rPr>
              <w:t>Computer</w:t>
            </w:r>
            <w:r>
              <w:rPr>
                <w:spacing w:val="-1"/>
                <w:sz w:val="24"/>
              </w:rPr>
              <w:t xml:space="preserve"> </w:t>
            </w:r>
            <w:r>
              <w:rPr>
                <w:sz w:val="24"/>
              </w:rPr>
              <w:t>Based</w:t>
            </w:r>
            <w:r>
              <w:rPr>
                <w:spacing w:val="-1"/>
                <w:sz w:val="24"/>
              </w:rPr>
              <w:t xml:space="preserve"> </w:t>
            </w:r>
            <w:r>
              <w:rPr>
                <w:sz w:val="24"/>
              </w:rPr>
              <w:t>Training</w:t>
            </w:r>
            <w:r>
              <w:rPr>
                <w:spacing w:val="-1"/>
                <w:sz w:val="24"/>
              </w:rPr>
              <w:t xml:space="preserve"> </w:t>
            </w:r>
            <w:r>
              <w:rPr>
                <w:spacing w:val="-2"/>
                <w:sz w:val="24"/>
              </w:rPr>
              <w:t>(CBT)</w:t>
            </w:r>
          </w:p>
        </w:tc>
        <w:tc>
          <w:tcPr>
            <w:tcW w:w="1800" w:type="dxa"/>
          </w:tcPr>
          <w:p>
            <w:pPr>
              <w:pStyle w:val="TableParagraph"/>
              <w:ind w:left="19"/>
              <w:jc w:val="center"/>
              <w:rPr>
                <w:sz w:val="24"/>
              </w:rPr>
            </w:pPr>
            <w:r>
              <w:rPr>
                <w:spacing w:val="-5"/>
                <w:sz w:val="24"/>
              </w:rPr>
              <w:t>19</w:t>
            </w:r>
          </w:p>
        </w:tc>
        <w:tc>
          <w:tcPr>
            <w:tcW w:w="1620" w:type="dxa"/>
          </w:tcPr>
          <w:p>
            <w:pPr>
              <w:pStyle w:val="TableParagraph"/>
              <w:rPr>
                <w:sz w:val="24"/>
              </w:rPr>
            </w:pPr>
            <w:r>
              <w:rPr>
                <w:sz w:val="24"/>
              </w:rPr>
              <w:t xml:space="preserve">15 </w:t>
            </w:r>
            <w:r>
              <w:rPr>
                <w:spacing w:val="-2"/>
                <w:sz w:val="24"/>
              </w:rPr>
              <w:t>minutes</w:t>
            </w:r>
          </w:p>
          <w:p>
            <w:pPr>
              <w:pStyle w:val="TableParagraph"/>
              <w:spacing w:before="10" w:line="280" w:lineRule="atLeast"/>
              <w:ind w:right="438"/>
              <w:rPr>
                <w:sz w:val="24"/>
              </w:rPr>
            </w:pPr>
            <w:r>
              <w:rPr>
                <w:spacing w:val="-4"/>
                <w:sz w:val="24"/>
              </w:rPr>
              <w:t xml:space="preserve">per </w:t>
            </w:r>
            <w:r>
              <w:rPr>
                <w:spacing w:val="-2"/>
                <w:sz w:val="24"/>
              </w:rPr>
              <w:t>respondent</w:t>
            </w:r>
          </w:p>
        </w:tc>
        <w:tc>
          <w:tcPr>
            <w:tcW w:w="2789" w:type="dxa"/>
          </w:tcPr>
          <w:p>
            <w:pPr>
              <w:pStyle w:val="TableParagraph"/>
              <w:ind w:left="888"/>
              <w:rPr>
                <w:sz w:val="24"/>
              </w:rPr>
            </w:pPr>
            <w:r>
              <w:rPr>
                <w:sz w:val="24"/>
              </w:rPr>
              <w:t xml:space="preserve">4.75 </w:t>
            </w:r>
            <w:r>
              <w:rPr>
                <w:spacing w:val="-2"/>
                <w:sz w:val="24"/>
              </w:rPr>
              <w:t>hours</w:t>
            </w:r>
          </w:p>
        </w:tc>
      </w:tr>
      <w:tr>
        <w:tblPrEx>
          <w:tblW w:w="0" w:type="auto"/>
          <w:jc w:val="left"/>
          <w:tblInd w:w="20" w:type="dxa"/>
          <w:tblLayout w:type="fixed"/>
          <w:tblCellMar>
            <w:top w:w="0" w:type="dxa"/>
            <w:left w:w="0" w:type="dxa"/>
            <w:bottom w:w="0" w:type="dxa"/>
            <w:right w:w="0" w:type="dxa"/>
          </w:tblCellMar>
          <w:tblLook w:val="01E0"/>
        </w:tblPrEx>
        <w:trPr>
          <w:trHeight w:val="870"/>
          <w:jc w:val="left"/>
        </w:trPr>
        <w:tc>
          <w:tcPr>
            <w:tcW w:w="3437" w:type="dxa"/>
          </w:tcPr>
          <w:p>
            <w:pPr>
              <w:pStyle w:val="TableParagraph"/>
              <w:spacing w:line="252" w:lineRule="auto"/>
              <w:ind w:left="107" w:right="14"/>
              <w:rPr>
                <w:sz w:val="24"/>
              </w:rPr>
            </w:pPr>
            <w:r>
              <w:rPr>
                <w:sz w:val="24"/>
              </w:rPr>
              <w:t>On-Site</w:t>
            </w:r>
            <w:r>
              <w:rPr>
                <w:spacing w:val="-15"/>
                <w:sz w:val="24"/>
              </w:rPr>
              <w:t xml:space="preserve"> </w:t>
            </w:r>
            <w:r>
              <w:rPr>
                <w:sz w:val="24"/>
              </w:rPr>
              <w:t>Training</w:t>
            </w:r>
            <w:r>
              <w:rPr>
                <w:spacing w:val="-15"/>
                <w:sz w:val="24"/>
              </w:rPr>
              <w:t xml:space="preserve"> </w:t>
            </w:r>
            <w:r>
              <w:rPr>
                <w:sz w:val="24"/>
              </w:rPr>
              <w:t>(including remote participants)</w:t>
            </w:r>
          </w:p>
        </w:tc>
        <w:tc>
          <w:tcPr>
            <w:tcW w:w="1800" w:type="dxa"/>
          </w:tcPr>
          <w:p>
            <w:pPr>
              <w:pStyle w:val="TableParagraph"/>
              <w:ind w:left="19"/>
              <w:jc w:val="center"/>
              <w:rPr>
                <w:sz w:val="24"/>
              </w:rPr>
            </w:pPr>
            <w:r>
              <w:rPr>
                <w:spacing w:val="-5"/>
                <w:sz w:val="24"/>
              </w:rPr>
              <w:t>211</w:t>
            </w:r>
          </w:p>
        </w:tc>
        <w:tc>
          <w:tcPr>
            <w:tcW w:w="1620" w:type="dxa"/>
          </w:tcPr>
          <w:p>
            <w:pPr>
              <w:pStyle w:val="TableParagraph"/>
              <w:spacing w:line="252" w:lineRule="auto"/>
              <w:ind w:right="427"/>
              <w:rPr>
                <w:sz w:val="24"/>
              </w:rPr>
            </w:pPr>
            <w:r>
              <w:rPr>
                <w:sz w:val="24"/>
              </w:rPr>
              <w:t>15</w:t>
            </w:r>
            <w:r>
              <w:rPr>
                <w:spacing w:val="-15"/>
                <w:sz w:val="24"/>
              </w:rPr>
              <w:t xml:space="preserve"> </w:t>
            </w:r>
            <w:r>
              <w:rPr>
                <w:sz w:val="24"/>
              </w:rPr>
              <w:t xml:space="preserve">minutes </w:t>
            </w:r>
            <w:r>
              <w:rPr>
                <w:spacing w:val="-4"/>
                <w:sz w:val="24"/>
              </w:rPr>
              <w:t>per</w:t>
            </w:r>
          </w:p>
          <w:p>
            <w:pPr>
              <w:pStyle w:val="TableParagraph"/>
              <w:spacing w:line="271" w:lineRule="exact"/>
              <w:rPr>
                <w:sz w:val="24"/>
              </w:rPr>
            </w:pPr>
            <w:r>
              <w:rPr>
                <w:spacing w:val="-2"/>
                <w:sz w:val="24"/>
              </w:rPr>
              <w:t>respondent</w:t>
            </w:r>
          </w:p>
        </w:tc>
        <w:tc>
          <w:tcPr>
            <w:tcW w:w="2789" w:type="dxa"/>
          </w:tcPr>
          <w:p>
            <w:pPr>
              <w:pStyle w:val="TableParagraph"/>
              <w:ind w:left="828"/>
              <w:rPr>
                <w:sz w:val="24"/>
              </w:rPr>
            </w:pPr>
            <w:r>
              <w:rPr>
                <w:sz w:val="24"/>
              </w:rPr>
              <w:t xml:space="preserve">52.75 </w:t>
            </w:r>
            <w:r>
              <w:rPr>
                <w:spacing w:val="-2"/>
                <w:sz w:val="24"/>
              </w:rPr>
              <w:t>hours</w:t>
            </w:r>
          </w:p>
        </w:tc>
      </w:tr>
    </w:tbl>
    <w:p>
      <w:pPr>
        <w:pStyle w:val="TableParagraph"/>
        <w:spacing w:after="0"/>
        <w:rPr>
          <w:sz w:val="24"/>
        </w:rPr>
        <w:sectPr>
          <w:footerReference w:type="default" r:id="rId6"/>
          <w:pgSz w:w="12240" w:h="15840"/>
          <w:pgMar w:top="1640" w:right="1080" w:bottom="1860" w:left="1440" w:header="0" w:footer="1678"/>
          <w:pgNumType w:start="5"/>
          <w:cols w:space="720"/>
        </w:sectPr>
      </w:pPr>
    </w:p>
    <w:tbl>
      <w:tblPr>
        <w:tblStyle w:val="TableNormal"/>
        <w:tblW w:w="0" w:type="auto"/>
        <w:jc w:val="lef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7"/>
        <w:gridCol w:w="1800"/>
        <w:gridCol w:w="1620"/>
        <w:gridCol w:w="2789"/>
      </w:tblGrid>
      <w:tr>
        <w:tblPrEx>
          <w:tblW w:w="0" w:type="auto"/>
          <w:jc w:val="lef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68"/>
          <w:jc w:val="left"/>
        </w:trPr>
        <w:tc>
          <w:tcPr>
            <w:tcW w:w="3437" w:type="dxa"/>
            <w:tcBorders>
              <w:left w:val="single" w:sz="8" w:space="0" w:color="000000"/>
              <w:bottom w:val="single" w:sz="8" w:space="0" w:color="000000"/>
              <w:right w:val="single" w:sz="8" w:space="0" w:color="000000"/>
            </w:tcBorders>
          </w:tcPr>
          <w:p>
            <w:pPr>
              <w:pStyle w:val="TableParagraph"/>
              <w:ind w:left="107"/>
              <w:rPr>
                <w:b/>
                <w:sz w:val="24"/>
              </w:rPr>
            </w:pPr>
            <w:r>
              <w:rPr>
                <w:b/>
                <w:spacing w:val="-2"/>
                <w:sz w:val="24"/>
              </w:rPr>
              <w:t>Subtotals</w:t>
            </w:r>
          </w:p>
        </w:tc>
        <w:tc>
          <w:tcPr>
            <w:tcW w:w="1800" w:type="dxa"/>
            <w:tcBorders>
              <w:left w:val="single" w:sz="8" w:space="0" w:color="000000"/>
              <w:bottom w:val="single" w:sz="8" w:space="0" w:color="000000"/>
              <w:right w:val="single" w:sz="8" w:space="0" w:color="000000"/>
            </w:tcBorders>
          </w:tcPr>
          <w:p>
            <w:pPr>
              <w:pStyle w:val="TableParagraph"/>
              <w:ind w:left="19" w:right="2"/>
              <w:jc w:val="center"/>
              <w:rPr>
                <w:b/>
                <w:sz w:val="24"/>
              </w:rPr>
            </w:pPr>
            <w:r>
              <w:rPr>
                <w:b/>
                <w:spacing w:val="-2"/>
                <w:sz w:val="24"/>
              </w:rPr>
              <w:t>9,588</w:t>
            </w:r>
          </w:p>
        </w:tc>
        <w:tc>
          <w:tcPr>
            <w:tcW w:w="1620" w:type="dxa"/>
            <w:tcBorders>
              <w:left w:val="single" w:sz="8" w:space="0" w:color="000000"/>
              <w:bottom w:val="single" w:sz="8" w:space="0" w:color="000000"/>
              <w:right w:val="single" w:sz="8" w:space="0" w:color="000000"/>
            </w:tcBorders>
          </w:tcPr>
          <w:p>
            <w:pPr>
              <w:pStyle w:val="TableParagraph"/>
              <w:spacing w:line="252" w:lineRule="auto"/>
              <w:ind w:right="373"/>
              <w:rPr>
                <w:b/>
                <w:sz w:val="24"/>
              </w:rPr>
            </w:pPr>
            <w:r>
              <w:rPr>
                <w:b/>
                <w:sz w:val="24"/>
              </w:rPr>
              <w:t>15</w:t>
            </w:r>
            <w:r>
              <w:rPr>
                <w:b/>
                <w:spacing w:val="-15"/>
                <w:sz w:val="24"/>
              </w:rPr>
              <w:t xml:space="preserve"> </w:t>
            </w:r>
            <w:r>
              <w:rPr>
                <w:b/>
                <w:sz w:val="24"/>
              </w:rPr>
              <w:t>minute</w:t>
            </w:r>
            <w:r>
              <w:rPr>
                <w:b/>
                <w:sz w:val="24"/>
              </w:rPr>
              <w:t xml:space="preserve">s </w:t>
            </w:r>
            <w:r>
              <w:rPr>
                <w:b/>
                <w:spacing w:val="-4"/>
                <w:sz w:val="24"/>
              </w:rPr>
              <w:t>per</w:t>
            </w:r>
          </w:p>
          <w:p>
            <w:pPr>
              <w:pStyle w:val="TableParagraph"/>
              <w:spacing w:line="268" w:lineRule="exact"/>
              <w:rPr>
                <w:b/>
                <w:sz w:val="24"/>
              </w:rPr>
            </w:pPr>
            <w:r>
              <w:rPr>
                <w:b/>
                <w:spacing w:val="-2"/>
                <w:sz w:val="24"/>
              </w:rPr>
              <w:t>respondent</w:t>
            </w:r>
          </w:p>
        </w:tc>
        <w:tc>
          <w:tcPr>
            <w:tcW w:w="2789" w:type="dxa"/>
            <w:tcBorders>
              <w:left w:val="single" w:sz="8" w:space="0" w:color="000000"/>
              <w:bottom w:val="single" w:sz="8" w:space="0" w:color="000000"/>
              <w:right w:val="single" w:sz="8" w:space="0" w:color="000000"/>
            </w:tcBorders>
          </w:tcPr>
          <w:p>
            <w:pPr>
              <w:pStyle w:val="TableParagraph"/>
              <w:ind w:left="21" w:right="3"/>
              <w:jc w:val="center"/>
              <w:rPr>
                <w:b/>
                <w:sz w:val="24"/>
              </w:rPr>
            </w:pPr>
            <w:r>
              <w:rPr>
                <w:b/>
                <w:sz w:val="24"/>
              </w:rPr>
              <w:t xml:space="preserve">2,397 </w:t>
            </w:r>
            <w:r>
              <w:rPr>
                <w:b/>
                <w:spacing w:val="-2"/>
                <w:sz w:val="24"/>
              </w:rPr>
              <w:t>hours</w:t>
            </w:r>
          </w:p>
        </w:tc>
      </w:tr>
      <w:tr>
        <w:tblPrEx>
          <w:tblW w:w="0" w:type="auto"/>
          <w:jc w:val="left"/>
          <w:tblInd w:w="20" w:type="dxa"/>
          <w:tblLayout w:type="fixed"/>
          <w:tblCellMar>
            <w:top w:w="0" w:type="dxa"/>
            <w:left w:w="0" w:type="dxa"/>
            <w:bottom w:w="0" w:type="dxa"/>
            <w:right w:w="0" w:type="dxa"/>
          </w:tblCellMar>
          <w:tblLook w:val="01E0"/>
        </w:tblPrEx>
        <w:trPr>
          <w:trHeight w:val="870"/>
          <w:jc w:val="left"/>
        </w:trPr>
        <w:tc>
          <w:tcPr>
            <w:tcW w:w="3437" w:type="dxa"/>
            <w:tcBorders>
              <w:top w:val="single" w:sz="8" w:space="0" w:color="000000"/>
              <w:left w:val="single" w:sz="8" w:space="0" w:color="000000"/>
              <w:bottom w:val="single" w:sz="8" w:space="0" w:color="000000"/>
              <w:right w:val="single" w:sz="8" w:space="0" w:color="000000"/>
            </w:tcBorders>
          </w:tcPr>
          <w:p>
            <w:pPr>
              <w:pStyle w:val="TableParagraph"/>
              <w:spacing w:before="1" w:line="249" w:lineRule="auto"/>
              <w:ind w:left="107"/>
              <w:rPr>
                <w:sz w:val="24"/>
              </w:rPr>
            </w:pPr>
            <w:r>
              <w:rPr>
                <w:sz w:val="24"/>
              </w:rPr>
              <w:t>Estimated</w:t>
            </w:r>
            <w:r>
              <w:rPr>
                <w:spacing w:val="-15"/>
                <w:sz w:val="24"/>
              </w:rPr>
              <w:t xml:space="preserve"> </w:t>
            </w:r>
            <w:r>
              <w:rPr>
                <w:sz w:val="24"/>
              </w:rPr>
              <w:t>Future</w:t>
            </w:r>
            <w:r>
              <w:rPr>
                <w:spacing w:val="-15"/>
                <w:sz w:val="24"/>
              </w:rPr>
              <w:t xml:space="preserve"> </w:t>
            </w:r>
            <w:r>
              <w:rPr>
                <w:sz w:val="24"/>
              </w:rPr>
              <w:t>Generic Information Collections</w:t>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spacing w:before="1" w:line="240" w:lineRule="auto"/>
              <w:ind w:left="19" w:right="2"/>
              <w:jc w:val="center"/>
              <w:rPr>
                <w:sz w:val="24"/>
              </w:rPr>
            </w:pPr>
            <w:r>
              <w:rPr>
                <w:spacing w:val="-2"/>
                <w:sz w:val="24"/>
              </w:rPr>
              <w:t>5,000</w:t>
            </w:r>
          </w:p>
        </w:tc>
        <w:tc>
          <w:tcPr>
            <w:tcW w:w="1620" w:type="dxa"/>
            <w:tcBorders>
              <w:top w:val="single" w:sz="8" w:space="0" w:color="000000"/>
              <w:left w:val="single" w:sz="8" w:space="0" w:color="000000"/>
              <w:bottom w:val="single" w:sz="8" w:space="0" w:color="000000"/>
              <w:right w:val="single" w:sz="8" w:space="0" w:color="000000"/>
            </w:tcBorders>
          </w:tcPr>
          <w:p>
            <w:pPr>
              <w:pStyle w:val="TableParagraph"/>
              <w:spacing w:before="1" w:line="249" w:lineRule="auto"/>
              <w:ind w:right="427"/>
              <w:rPr>
                <w:sz w:val="24"/>
              </w:rPr>
            </w:pPr>
            <w:r>
              <w:rPr>
                <w:sz w:val="24"/>
              </w:rPr>
              <w:t>15</w:t>
            </w:r>
            <w:r>
              <w:rPr>
                <w:spacing w:val="-15"/>
                <w:sz w:val="24"/>
              </w:rPr>
              <w:t xml:space="preserve"> </w:t>
            </w:r>
            <w:r>
              <w:rPr>
                <w:sz w:val="24"/>
              </w:rPr>
              <w:t xml:space="preserve">minutes </w:t>
            </w:r>
            <w:r>
              <w:rPr>
                <w:spacing w:val="-4"/>
                <w:sz w:val="24"/>
              </w:rPr>
              <w:t>per</w:t>
            </w:r>
          </w:p>
          <w:p>
            <w:pPr>
              <w:pStyle w:val="TableParagraph"/>
              <w:spacing w:before="4" w:line="271" w:lineRule="exact"/>
              <w:rPr>
                <w:sz w:val="24"/>
              </w:rPr>
            </w:pPr>
            <w:r>
              <w:rPr>
                <w:spacing w:val="-2"/>
                <w:sz w:val="24"/>
              </w:rPr>
              <w:t>respondent</w:t>
            </w:r>
          </w:p>
        </w:tc>
        <w:tc>
          <w:tcPr>
            <w:tcW w:w="2789" w:type="dxa"/>
            <w:tcBorders>
              <w:top w:val="single" w:sz="8" w:space="0" w:color="000000"/>
              <w:left w:val="single" w:sz="8" w:space="0" w:color="000000"/>
              <w:bottom w:val="single" w:sz="8" w:space="0" w:color="000000"/>
              <w:right w:val="single" w:sz="8" w:space="0" w:color="000000"/>
            </w:tcBorders>
          </w:tcPr>
          <w:p>
            <w:pPr>
              <w:pStyle w:val="TableParagraph"/>
              <w:spacing w:before="1" w:line="240" w:lineRule="auto"/>
              <w:ind w:left="21"/>
              <w:jc w:val="center"/>
              <w:rPr>
                <w:sz w:val="24"/>
              </w:rPr>
            </w:pPr>
            <w:r>
              <w:rPr>
                <w:sz w:val="24"/>
              </w:rPr>
              <w:t xml:space="preserve">1,250 </w:t>
            </w:r>
            <w:r>
              <w:rPr>
                <w:spacing w:val="-2"/>
                <w:sz w:val="24"/>
              </w:rPr>
              <w:t>hours</w:t>
            </w:r>
          </w:p>
        </w:tc>
      </w:tr>
      <w:tr>
        <w:tblPrEx>
          <w:tblW w:w="0" w:type="auto"/>
          <w:jc w:val="left"/>
          <w:tblInd w:w="20" w:type="dxa"/>
          <w:tblLayout w:type="fixed"/>
          <w:tblCellMar>
            <w:top w:w="0" w:type="dxa"/>
            <w:left w:w="0" w:type="dxa"/>
            <w:bottom w:w="0" w:type="dxa"/>
            <w:right w:w="0" w:type="dxa"/>
          </w:tblCellMar>
          <w:tblLook w:val="01E0"/>
        </w:tblPrEx>
        <w:trPr>
          <w:trHeight w:val="870"/>
          <w:jc w:val="left"/>
        </w:trPr>
        <w:tc>
          <w:tcPr>
            <w:tcW w:w="3437" w:type="dxa"/>
            <w:tcBorders>
              <w:top w:val="single" w:sz="8" w:space="0" w:color="000000"/>
              <w:left w:val="single" w:sz="8" w:space="0" w:color="000000"/>
              <w:bottom w:val="single" w:sz="8" w:space="0" w:color="000000"/>
              <w:right w:val="single" w:sz="8" w:space="0" w:color="000000"/>
            </w:tcBorders>
          </w:tcPr>
          <w:p>
            <w:pPr>
              <w:pStyle w:val="TableParagraph"/>
              <w:ind w:left="107"/>
              <w:rPr>
                <w:b/>
                <w:sz w:val="24"/>
              </w:rPr>
            </w:pPr>
            <w:r>
              <w:rPr>
                <w:b/>
                <w:spacing w:val="-2"/>
                <w:sz w:val="24"/>
              </w:rPr>
              <w:t>Totals</w:t>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ind w:left="19" w:right="2"/>
              <w:jc w:val="center"/>
              <w:rPr>
                <w:b/>
                <w:sz w:val="24"/>
              </w:rPr>
            </w:pPr>
            <w:r>
              <w:rPr>
                <w:b/>
                <w:spacing w:val="-2"/>
                <w:sz w:val="24"/>
              </w:rPr>
              <w:t>14,588</w:t>
            </w:r>
          </w:p>
        </w:tc>
        <w:tc>
          <w:tcPr>
            <w:tcW w:w="1620" w:type="dxa"/>
            <w:tcBorders>
              <w:top w:val="single" w:sz="8" w:space="0" w:color="000000"/>
              <w:left w:val="single" w:sz="8" w:space="0" w:color="000000"/>
              <w:bottom w:val="single" w:sz="8" w:space="0" w:color="000000"/>
              <w:right w:val="single" w:sz="8" w:space="0" w:color="000000"/>
            </w:tcBorders>
          </w:tcPr>
          <w:p>
            <w:pPr>
              <w:pStyle w:val="TableParagraph"/>
              <w:spacing w:line="252" w:lineRule="auto"/>
              <w:ind w:right="373"/>
              <w:rPr>
                <w:b/>
                <w:sz w:val="24"/>
              </w:rPr>
            </w:pPr>
            <w:r>
              <w:rPr>
                <w:b/>
                <w:sz w:val="24"/>
              </w:rPr>
              <w:t>15</w:t>
            </w:r>
            <w:r>
              <w:rPr>
                <w:b/>
                <w:spacing w:val="-15"/>
                <w:sz w:val="24"/>
              </w:rPr>
              <w:t xml:space="preserve"> </w:t>
            </w:r>
            <w:r>
              <w:rPr>
                <w:b/>
                <w:sz w:val="24"/>
              </w:rPr>
              <w:t>minute</w:t>
            </w:r>
            <w:r>
              <w:rPr>
                <w:b/>
                <w:sz w:val="24"/>
              </w:rPr>
              <w:t xml:space="preserve">s </w:t>
            </w:r>
            <w:r>
              <w:rPr>
                <w:b/>
                <w:spacing w:val="-4"/>
                <w:sz w:val="24"/>
              </w:rPr>
              <w:t>per</w:t>
            </w:r>
          </w:p>
          <w:p>
            <w:pPr>
              <w:pStyle w:val="TableParagraph"/>
              <w:spacing w:line="271" w:lineRule="exact"/>
              <w:rPr>
                <w:b/>
                <w:sz w:val="24"/>
              </w:rPr>
            </w:pPr>
            <w:r>
              <w:rPr>
                <w:b/>
                <w:spacing w:val="-2"/>
                <w:sz w:val="24"/>
              </w:rPr>
              <w:t>respondent</w:t>
            </w:r>
          </w:p>
        </w:tc>
        <w:tc>
          <w:tcPr>
            <w:tcW w:w="2789" w:type="dxa"/>
            <w:tcBorders>
              <w:top w:val="single" w:sz="8" w:space="0" w:color="000000"/>
              <w:left w:val="single" w:sz="8" w:space="0" w:color="000000"/>
              <w:bottom w:val="single" w:sz="8" w:space="0" w:color="000000"/>
              <w:right w:val="single" w:sz="8" w:space="0" w:color="000000"/>
            </w:tcBorders>
          </w:tcPr>
          <w:p>
            <w:pPr>
              <w:pStyle w:val="TableParagraph"/>
              <w:ind w:left="21" w:right="3"/>
              <w:jc w:val="center"/>
              <w:rPr>
                <w:b/>
                <w:sz w:val="24"/>
              </w:rPr>
            </w:pPr>
            <w:r>
              <w:rPr>
                <w:b/>
                <w:sz w:val="24"/>
              </w:rPr>
              <w:t xml:space="preserve">3,647 </w:t>
            </w:r>
            <w:r>
              <w:rPr>
                <w:b/>
                <w:spacing w:val="-2"/>
                <w:sz w:val="24"/>
              </w:rPr>
              <w:t>hours</w:t>
            </w:r>
          </w:p>
        </w:tc>
      </w:tr>
    </w:tbl>
    <w:p>
      <w:pPr>
        <w:pStyle w:val="BodyText"/>
        <w:rPr>
          <w:b/>
        </w:rPr>
      </w:pPr>
    </w:p>
    <w:p>
      <w:pPr>
        <w:pStyle w:val="BodyText"/>
        <w:rPr>
          <w:b/>
        </w:rPr>
      </w:pPr>
    </w:p>
    <w:p>
      <w:pPr>
        <w:pStyle w:val="BodyText"/>
        <w:spacing w:before="251"/>
        <w:rPr>
          <w:b/>
        </w:rPr>
      </w:pPr>
    </w:p>
    <w:p>
      <w:pPr>
        <w:pStyle w:val="ListParagraph"/>
        <w:numPr>
          <w:ilvl w:val="1"/>
          <w:numId w:val="3"/>
        </w:numPr>
        <w:tabs>
          <w:tab w:val="left" w:pos="720"/>
        </w:tabs>
        <w:spacing w:before="0" w:after="0" w:line="240" w:lineRule="auto"/>
        <w:ind w:left="720" w:right="0" w:hanging="720"/>
        <w:jc w:val="left"/>
        <w:rPr>
          <w:b/>
          <w:sz w:val="24"/>
        </w:rPr>
      </w:pPr>
      <w:r>
        <w:rPr>
          <w:b/>
          <w:sz w:val="24"/>
          <w:u w:val="single"/>
        </w:rPr>
        <w:t xml:space="preserve">Capital </w:t>
      </w:r>
      <w:r>
        <w:rPr>
          <w:b/>
          <w:spacing w:val="-2"/>
          <w:sz w:val="24"/>
          <w:u w:val="single"/>
        </w:rPr>
        <w:t>Costs</w:t>
      </w:r>
    </w:p>
    <w:p>
      <w:pPr>
        <w:pStyle w:val="BodyText"/>
        <w:rPr>
          <w:b/>
        </w:rPr>
      </w:pPr>
    </w:p>
    <w:p>
      <w:pPr>
        <w:pStyle w:val="BodyText"/>
        <w:ind w:left="720"/>
      </w:pPr>
      <w:r>
        <w:t>There</w:t>
      </w:r>
      <w:r>
        <w:rPr>
          <w:spacing w:val="-2"/>
        </w:rPr>
        <w:t xml:space="preserve"> </w:t>
      </w:r>
      <w:r>
        <w:t>are</w:t>
      </w:r>
      <w:r>
        <w:rPr>
          <w:spacing w:val="-3"/>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1"/>
        </w:rPr>
        <w:t xml:space="preserve"> </w:t>
      </w:r>
      <w:r>
        <w:t>with</w:t>
      </w:r>
      <w:r>
        <w:rPr>
          <w:spacing w:val="-1"/>
        </w:rPr>
        <w:t xml:space="preserve"> </w:t>
      </w:r>
      <w:r>
        <w:t>this</w:t>
      </w:r>
      <w:r>
        <w:rPr>
          <w:spacing w:val="-1"/>
        </w:rPr>
        <w:t xml:space="preserve"> </w:t>
      </w:r>
      <w:r>
        <w:t>information</w:t>
      </w:r>
      <w:r>
        <w:rPr>
          <w:spacing w:val="-1"/>
        </w:rPr>
        <w:t xml:space="preserve"> </w:t>
      </w:r>
      <w:r>
        <w:rPr>
          <w:spacing w:val="-2"/>
        </w:rPr>
        <w:t>collection.</w:t>
      </w:r>
    </w:p>
    <w:p>
      <w:pPr>
        <w:pStyle w:val="BodyText"/>
      </w:pPr>
    </w:p>
    <w:p>
      <w:pPr>
        <w:pStyle w:val="Heading1"/>
        <w:numPr>
          <w:ilvl w:val="1"/>
          <w:numId w:val="3"/>
        </w:numPr>
        <w:tabs>
          <w:tab w:val="left" w:pos="780"/>
        </w:tabs>
        <w:spacing w:before="0" w:after="0" w:line="240" w:lineRule="auto"/>
        <w:ind w:left="780" w:right="0" w:hanging="780"/>
        <w:jc w:val="left"/>
        <w:rPr>
          <w:u w:val="none"/>
        </w:rPr>
      </w:pPr>
      <w:r>
        <w:rPr>
          <w:u w:val="single"/>
        </w:rPr>
        <w:t>Costs</w:t>
      </w:r>
      <w:r>
        <w:rPr>
          <w:spacing w:val="-1"/>
          <w:u w:val="single"/>
        </w:rPr>
        <w:t xml:space="preserve"> </w:t>
      </w:r>
      <w:r>
        <w:rPr>
          <w:u w:val="single"/>
        </w:rPr>
        <w:t>to</w:t>
      </w:r>
      <w:r>
        <w:rPr>
          <w:spacing w:val="-1"/>
          <w:u w:val="single"/>
        </w:rPr>
        <w:t xml:space="preserve"> </w:t>
      </w:r>
      <w:r>
        <w:rPr>
          <w:u w:val="single"/>
        </w:rPr>
        <w:t xml:space="preserve">Federal </w:t>
      </w:r>
      <w:r>
        <w:rPr>
          <w:spacing w:val="-2"/>
          <w:u w:val="single"/>
        </w:rPr>
        <w:t>Government</w:t>
      </w:r>
    </w:p>
    <w:p>
      <w:pPr>
        <w:pStyle w:val="BodyText"/>
        <w:rPr>
          <w:b/>
        </w:rPr>
      </w:pPr>
    </w:p>
    <w:p>
      <w:pPr>
        <w:pStyle w:val="BodyText"/>
        <w:ind w:left="720" w:right="435"/>
      </w:pPr>
      <w:r>
        <w:t>The estimated annual cost to the Federal government, including but not limited to the data</w:t>
      </w:r>
      <w:r>
        <w:rPr>
          <w:spacing w:val="-3"/>
        </w:rPr>
        <w:t xml:space="preserve"> </w:t>
      </w:r>
      <w:r>
        <w:t>collection</w:t>
      </w:r>
      <w:r>
        <w:rPr>
          <w:spacing w:val="-4"/>
        </w:rPr>
        <w:t xml:space="preserve"> </w:t>
      </w:r>
      <w:r>
        <w:t>activities</w:t>
      </w:r>
      <w:r>
        <w:rPr>
          <w:spacing w:val="-3"/>
        </w:rPr>
        <w:t xml:space="preserve"> </w:t>
      </w:r>
      <w:r>
        <w:t>described</w:t>
      </w:r>
      <w:r>
        <w:rPr>
          <w:spacing w:val="-4"/>
        </w:rPr>
        <w:t xml:space="preserve"> </w:t>
      </w:r>
      <w:r>
        <w:t>in</w:t>
      </w:r>
      <w:r>
        <w:rPr>
          <w:spacing w:val="-3"/>
        </w:rPr>
        <w:t xml:space="preserve"> </w:t>
      </w:r>
      <w:r>
        <w:t>this</w:t>
      </w:r>
      <w:r>
        <w:rPr>
          <w:spacing w:val="-4"/>
        </w:rPr>
        <w:t xml:space="preserve"> </w:t>
      </w:r>
      <w:r>
        <w:t>submission</w:t>
      </w:r>
      <w:r>
        <w:rPr>
          <w:spacing w:val="-3"/>
        </w:rPr>
        <w:t xml:space="preserve"> </w:t>
      </w:r>
      <w:r>
        <w:t>is</w:t>
      </w:r>
      <w:r>
        <w:rPr>
          <w:spacing w:val="-4"/>
        </w:rPr>
        <w:t xml:space="preserve"> </w:t>
      </w:r>
      <w:r>
        <w:t>$103,574.80.</w:t>
      </w:r>
      <w:r>
        <w:rPr>
          <w:spacing w:val="-3"/>
        </w:rPr>
        <w:t xml:space="preserve"> </w:t>
      </w:r>
      <w:r>
        <w:t>All</w:t>
      </w:r>
      <w:r>
        <w:rPr>
          <w:spacing w:val="-4"/>
        </w:rPr>
        <w:t xml:space="preserve"> </w:t>
      </w:r>
      <w:r>
        <w:t>tasks</w:t>
      </w:r>
      <w:r>
        <w:rPr>
          <w:spacing w:val="-3"/>
        </w:rPr>
        <w:t xml:space="preserve"> </w:t>
      </w:r>
      <w:r>
        <w:t>related</w:t>
      </w:r>
      <w:r>
        <w:rPr>
          <w:spacing w:val="-4"/>
        </w:rPr>
        <w:t xml:space="preserve"> </w:t>
      </w:r>
      <w:r>
        <w:t>to the data collections will be performed by a contractor. Included are contractor costs associated with background research, requirements gathering, evaluation design, instrument design and pretest, systems development, data collection activities, analysis and reporting.</w:t>
      </w:r>
    </w:p>
    <w:p>
      <w:pPr>
        <w:pStyle w:val="Heading1"/>
        <w:numPr>
          <w:ilvl w:val="1"/>
          <w:numId w:val="3"/>
        </w:numPr>
        <w:tabs>
          <w:tab w:val="left" w:pos="720"/>
        </w:tabs>
        <w:spacing w:before="274" w:after="0" w:line="240" w:lineRule="auto"/>
        <w:ind w:left="720" w:right="0" w:hanging="720"/>
        <w:jc w:val="left"/>
        <w:rPr>
          <w:u w:val="none"/>
        </w:rPr>
      </w:pPr>
      <w:r>
        <w:rPr>
          <w:u w:val="single"/>
        </w:rPr>
        <w:t xml:space="preserve">Changes to </w:t>
      </w:r>
      <w:r>
        <w:rPr>
          <w:spacing w:val="-2"/>
          <w:u w:val="single"/>
        </w:rPr>
        <w:t>Burden</w:t>
      </w:r>
    </w:p>
    <w:p>
      <w:pPr>
        <w:pStyle w:val="BodyText"/>
        <w:rPr>
          <w:b/>
        </w:rPr>
      </w:pPr>
    </w:p>
    <w:p>
      <w:pPr>
        <w:pStyle w:val="BodyText"/>
        <w:spacing w:line="276" w:lineRule="exact"/>
        <w:ind w:left="720"/>
      </w:pPr>
      <w:r>
        <w:t>Changes</w:t>
      </w:r>
      <w:r>
        <w:rPr>
          <w:spacing w:val="-1"/>
        </w:rPr>
        <w:t xml:space="preserve"> </w:t>
      </w:r>
      <w:r>
        <w:t>to</w:t>
      </w:r>
      <w:r>
        <w:rPr>
          <w:spacing w:val="1"/>
        </w:rPr>
        <w:t xml:space="preserve"> </w:t>
      </w:r>
      <w:r>
        <w:t>burden include</w:t>
      </w:r>
      <w:r>
        <w:rPr>
          <w:spacing w:val="-1"/>
        </w:rPr>
        <w:t xml:space="preserve"> </w:t>
      </w:r>
      <w:r>
        <w:t>the</w:t>
      </w:r>
      <w:r>
        <w:rPr>
          <w:spacing w:val="-1"/>
        </w:rPr>
        <w:t xml:space="preserve"> </w:t>
      </w:r>
      <w:r>
        <w:rPr>
          <w:spacing w:val="-2"/>
        </w:rPr>
        <w:t>following:</w:t>
      </w:r>
    </w:p>
    <w:p>
      <w:pPr>
        <w:pStyle w:val="ListParagraph"/>
        <w:numPr>
          <w:ilvl w:val="0"/>
          <w:numId w:val="1"/>
        </w:numPr>
        <w:tabs>
          <w:tab w:val="left" w:pos="1440"/>
        </w:tabs>
        <w:spacing w:before="0" w:after="0" w:line="240" w:lineRule="auto"/>
        <w:ind w:left="1440" w:right="373" w:hanging="360"/>
        <w:jc w:val="left"/>
        <w:rPr>
          <w:sz w:val="24"/>
        </w:rPr>
      </w:pPr>
      <w:r>
        <w:rPr>
          <w:sz w:val="24"/>
        </w:rPr>
        <w:t>The</w:t>
      </w:r>
      <w:r>
        <w:rPr>
          <w:spacing w:val="-5"/>
          <w:sz w:val="24"/>
        </w:rPr>
        <w:t xml:space="preserve"> </w:t>
      </w:r>
      <w:r>
        <w:rPr>
          <w:sz w:val="24"/>
        </w:rPr>
        <w:t>User</w:t>
      </w:r>
      <w:r>
        <w:rPr>
          <w:spacing w:val="-3"/>
          <w:sz w:val="24"/>
        </w:rPr>
        <w:t xml:space="preserve"> </w:t>
      </w:r>
      <w:r>
        <w:rPr>
          <w:sz w:val="24"/>
        </w:rPr>
        <w:t>Group</w:t>
      </w:r>
      <w:r>
        <w:rPr>
          <w:spacing w:val="-5"/>
          <w:sz w:val="24"/>
        </w:rPr>
        <w:t xml:space="preserve"> </w:t>
      </w:r>
      <w:r>
        <w:rPr>
          <w:sz w:val="24"/>
        </w:rPr>
        <w:t>respondent</w:t>
      </w:r>
      <w:r>
        <w:rPr>
          <w:spacing w:val="-4"/>
          <w:sz w:val="24"/>
        </w:rPr>
        <w:t xml:space="preserve"> </w:t>
      </w:r>
      <w:r>
        <w:rPr>
          <w:sz w:val="24"/>
        </w:rPr>
        <w:t>category</w:t>
      </w:r>
      <w:r>
        <w:rPr>
          <w:spacing w:val="-4"/>
          <w:sz w:val="24"/>
        </w:rPr>
        <w:t xml:space="preserve"> </w:t>
      </w:r>
      <w:r>
        <w:rPr>
          <w:sz w:val="24"/>
        </w:rPr>
        <w:t>is</w:t>
      </w:r>
      <w:r>
        <w:rPr>
          <w:spacing w:val="-4"/>
          <w:sz w:val="24"/>
        </w:rPr>
        <w:t xml:space="preserve"> </w:t>
      </w:r>
      <w:r>
        <w:rPr>
          <w:sz w:val="24"/>
        </w:rPr>
        <w:t>no</w:t>
      </w:r>
      <w:r>
        <w:rPr>
          <w:spacing w:val="-4"/>
          <w:sz w:val="24"/>
        </w:rPr>
        <w:t xml:space="preserve"> </w:t>
      </w:r>
      <w:r>
        <w:rPr>
          <w:sz w:val="24"/>
        </w:rPr>
        <w:t>longer</w:t>
      </w:r>
      <w:r>
        <w:rPr>
          <w:spacing w:val="-3"/>
          <w:sz w:val="24"/>
        </w:rPr>
        <w:t xml:space="preserve"> </w:t>
      </w:r>
      <w:r>
        <w:rPr>
          <w:sz w:val="24"/>
        </w:rPr>
        <w:t>an</w:t>
      </w:r>
      <w:r>
        <w:rPr>
          <w:spacing w:val="-4"/>
          <w:sz w:val="24"/>
        </w:rPr>
        <w:t xml:space="preserve"> </w:t>
      </w:r>
      <w:r>
        <w:rPr>
          <w:sz w:val="24"/>
        </w:rPr>
        <w:t>active</w:t>
      </w:r>
      <w:r>
        <w:rPr>
          <w:spacing w:val="-3"/>
          <w:sz w:val="24"/>
        </w:rPr>
        <w:t xml:space="preserve"> </w:t>
      </w:r>
      <w:r>
        <w:rPr>
          <w:sz w:val="24"/>
        </w:rPr>
        <w:t>collection</w:t>
      </w:r>
      <w:r>
        <w:rPr>
          <w:spacing w:val="-4"/>
          <w:sz w:val="24"/>
        </w:rPr>
        <w:t xml:space="preserve"> </w:t>
      </w:r>
      <w:r>
        <w:rPr>
          <w:sz w:val="24"/>
        </w:rPr>
        <w:t>and</w:t>
      </w:r>
      <w:r>
        <w:rPr>
          <w:spacing w:val="-4"/>
          <w:sz w:val="24"/>
        </w:rPr>
        <w:t xml:space="preserve"> </w:t>
      </w:r>
      <w:r>
        <w:rPr>
          <w:sz w:val="24"/>
        </w:rPr>
        <w:t>resulted in a 3,073 decrease in respondents and 768-hour burden decrease.</w:t>
      </w:r>
    </w:p>
    <w:p>
      <w:pPr>
        <w:pStyle w:val="ListParagraph"/>
        <w:numPr>
          <w:ilvl w:val="0"/>
          <w:numId w:val="1"/>
        </w:numPr>
        <w:tabs>
          <w:tab w:val="left" w:pos="1440"/>
        </w:tabs>
        <w:spacing w:before="1" w:after="0" w:line="240" w:lineRule="auto"/>
        <w:ind w:left="1440" w:right="822" w:hanging="360"/>
        <w:jc w:val="left"/>
        <w:rPr>
          <w:sz w:val="24"/>
        </w:rPr>
      </w:pPr>
      <w:r>
        <w:rPr>
          <w:sz w:val="24"/>
        </w:rPr>
        <w:t>Webinar-based</w:t>
      </w:r>
      <w:r>
        <w:rPr>
          <w:spacing w:val="-5"/>
          <w:sz w:val="24"/>
        </w:rPr>
        <w:t xml:space="preserve"> </w:t>
      </w:r>
      <w:r>
        <w:rPr>
          <w:sz w:val="24"/>
        </w:rPr>
        <w:t>Q&amp;A</w:t>
      </w:r>
      <w:r>
        <w:rPr>
          <w:spacing w:val="-5"/>
          <w:sz w:val="24"/>
        </w:rPr>
        <w:t xml:space="preserve"> </w:t>
      </w:r>
      <w:r>
        <w:rPr>
          <w:sz w:val="24"/>
        </w:rPr>
        <w:t>session</w:t>
      </w:r>
      <w:r>
        <w:rPr>
          <w:spacing w:val="-5"/>
          <w:sz w:val="24"/>
        </w:rPr>
        <w:t xml:space="preserve"> </w:t>
      </w:r>
      <w:r>
        <w:rPr>
          <w:sz w:val="24"/>
        </w:rPr>
        <w:t>collections</w:t>
      </w:r>
      <w:r>
        <w:rPr>
          <w:spacing w:val="-5"/>
          <w:sz w:val="24"/>
        </w:rPr>
        <w:t xml:space="preserve"> </w:t>
      </w:r>
      <w:r>
        <w:rPr>
          <w:sz w:val="24"/>
        </w:rPr>
        <w:t>are</w:t>
      </w:r>
      <w:r>
        <w:rPr>
          <w:spacing w:val="-7"/>
          <w:sz w:val="24"/>
        </w:rPr>
        <w:t xml:space="preserve"> </w:t>
      </w:r>
      <w:r>
        <w:rPr>
          <w:sz w:val="24"/>
        </w:rPr>
        <w:t>now</w:t>
      </w:r>
      <w:r>
        <w:rPr>
          <w:spacing w:val="-4"/>
          <w:sz w:val="24"/>
        </w:rPr>
        <w:t xml:space="preserve"> </w:t>
      </w:r>
      <w:r>
        <w:rPr>
          <w:sz w:val="24"/>
        </w:rPr>
        <w:t>combined</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Webinar respondent category.</w:t>
      </w:r>
    </w:p>
    <w:p>
      <w:pPr>
        <w:pStyle w:val="ListParagraph"/>
        <w:numPr>
          <w:ilvl w:val="0"/>
          <w:numId w:val="1"/>
        </w:numPr>
        <w:tabs>
          <w:tab w:val="left" w:pos="1440"/>
        </w:tabs>
        <w:spacing w:before="0" w:after="0" w:line="240" w:lineRule="auto"/>
        <w:ind w:left="1440" w:right="421" w:hanging="360"/>
        <w:jc w:val="left"/>
        <w:rPr>
          <w:sz w:val="24"/>
        </w:rPr>
      </w:pPr>
      <w:r>
        <w:rPr>
          <w:sz w:val="24"/>
        </w:rPr>
        <w:t>The One-day and Two-day On-Site Training respondent categories are now combined</w:t>
      </w:r>
      <w:r>
        <w:rPr>
          <w:spacing w:val="-5"/>
          <w:sz w:val="24"/>
        </w:rPr>
        <w:t xml:space="preserve"> </w:t>
      </w:r>
      <w:r>
        <w:rPr>
          <w:sz w:val="24"/>
        </w:rPr>
        <w:t>into</w:t>
      </w:r>
      <w:r>
        <w:rPr>
          <w:spacing w:val="-4"/>
          <w:sz w:val="24"/>
        </w:rPr>
        <w:t xml:space="preserve"> </w:t>
      </w:r>
      <w:r>
        <w:rPr>
          <w:sz w:val="24"/>
        </w:rPr>
        <w:t>one</w:t>
      </w:r>
      <w:r>
        <w:rPr>
          <w:spacing w:val="-6"/>
          <w:sz w:val="24"/>
        </w:rPr>
        <w:t xml:space="preserve"> </w:t>
      </w:r>
      <w:r>
        <w:rPr>
          <w:sz w:val="24"/>
        </w:rPr>
        <w:t>(1)</w:t>
      </w:r>
      <w:r>
        <w:rPr>
          <w:spacing w:val="-6"/>
          <w:sz w:val="24"/>
        </w:rPr>
        <w:t xml:space="preserve"> </w:t>
      </w:r>
      <w:r>
        <w:rPr>
          <w:sz w:val="24"/>
        </w:rPr>
        <w:t>category,</w:t>
      </w:r>
      <w:r>
        <w:rPr>
          <w:spacing w:val="-5"/>
          <w:sz w:val="24"/>
        </w:rPr>
        <w:t xml:space="preserve"> </w:t>
      </w:r>
      <w:r>
        <w:rPr>
          <w:sz w:val="24"/>
        </w:rPr>
        <w:t>On-Site</w:t>
      </w:r>
      <w:r>
        <w:rPr>
          <w:spacing w:val="-6"/>
          <w:sz w:val="24"/>
        </w:rPr>
        <w:t xml:space="preserve"> </w:t>
      </w:r>
      <w:r>
        <w:rPr>
          <w:sz w:val="24"/>
        </w:rPr>
        <w:t>Training</w:t>
      </w:r>
      <w:r>
        <w:rPr>
          <w:spacing w:val="-3"/>
          <w:sz w:val="24"/>
        </w:rPr>
        <w:t xml:space="preserve"> </w:t>
      </w:r>
      <w:r>
        <w:rPr>
          <w:sz w:val="24"/>
        </w:rPr>
        <w:t>(including</w:t>
      </w:r>
      <w:r>
        <w:rPr>
          <w:spacing w:val="-5"/>
          <w:sz w:val="24"/>
        </w:rPr>
        <w:t xml:space="preserve"> </w:t>
      </w:r>
      <w:r>
        <w:rPr>
          <w:sz w:val="24"/>
        </w:rPr>
        <w:t>remote</w:t>
      </w:r>
      <w:r>
        <w:rPr>
          <w:spacing w:val="-6"/>
          <w:sz w:val="24"/>
        </w:rPr>
        <w:t xml:space="preserve"> </w:t>
      </w:r>
      <w:r>
        <w:rPr>
          <w:sz w:val="24"/>
        </w:rPr>
        <w:t>participants).</w:t>
      </w:r>
    </w:p>
    <w:p>
      <w:pPr>
        <w:pStyle w:val="ListParagraph"/>
        <w:numPr>
          <w:ilvl w:val="0"/>
          <w:numId w:val="1"/>
        </w:numPr>
        <w:tabs>
          <w:tab w:val="left" w:pos="1440"/>
        </w:tabs>
        <w:spacing w:before="0" w:after="0" w:line="240" w:lineRule="auto"/>
        <w:ind w:left="1440" w:right="1097" w:hanging="360"/>
        <w:jc w:val="left"/>
        <w:rPr>
          <w:sz w:val="24"/>
        </w:rPr>
      </w:pPr>
      <w:r>
        <w:rPr>
          <w:sz w:val="24"/>
        </w:rPr>
        <w:t>A</w:t>
      </w:r>
      <w:r>
        <w:rPr>
          <w:spacing w:val="-4"/>
          <w:sz w:val="24"/>
        </w:rPr>
        <w:t xml:space="preserve"> </w:t>
      </w:r>
      <w:r>
        <w:rPr>
          <w:sz w:val="24"/>
        </w:rPr>
        <w:t>Computer</w:t>
      </w:r>
      <w:r>
        <w:rPr>
          <w:spacing w:val="-6"/>
          <w:sz w:val="24"/>
        </w:rPr>
        <w:t xml:space="preserve"> </w:t>
      </w:r>
      <w:r>
        <w:rPr>
          <w:sz w:val="24"/>
        </w:rPr>
        <w:t>Based</w:t>
      </w:r>
      <w:r>
        <w:rPr>
          <w:spacing w:val="-4"/>
          <w:sz w:val="24"/>
        </w:rPr>
        <w:t xml:space="preserve"> </w:t>
      </w:r>
      <w:r>
        <w:rPr>
          <w:sz w:val="24"/>
        </w:rPr>
        <w:t>Training</w:t>
      </w:r>
      <w:r>
        <w:rPr>
          <w:spacing w:val="-4"/>
          <w:sz w:val="24"/>
        </w:rPr>
        <w:t xml:space="preserve"> </w:t>
      </w:r>
      <w:r>
        <w:rPr>
          <w:sz w:val="24"/>
        </w:rPr>
        <w:t>(CBT)</w:t>
      </w:r>
      <w:r>
        <w:rPr>
          <w:spacing w:val="-5"/>
          <w:sz w:val="24"/>
        </w:rPr>
        <w:t xml:space="preserve"> </w:t>
      </w:r>
      <w:r>
        <w:rPr>
          <w:sz w:val="24"/>
        </w:rPr>
        <w:t>respondent</w:t>
      </w:r>
      <w:r>
        <w:rPr>
          <w:spacing w:val="-4"/>
          <w:sz w:val="24"/>
        </w:rPr>
        <w:t xml:space="preserve"> </w:t>
      </w:r>
      <w:r>
        <w:rPr>
          <w:sz w:val="24"/>
        </w:rPr>
        <w:t>category</w:t>
      </w:r>
      <w:r>
        <w:rPr>
          <w:spacing w:val="-5"/>
          <w:sz w:val="24"/>
        </w:rPr>
        <w:t xml:space="preserve"> </w:t>
      </w:r>
      <w:r>
        <w:rPr>
          <w:sz w:val="24"/>
        </w:rPr>
        <w:t>has</w:t>
      </w:r>
      <w:r>
        <w:rPr>
          <w:spacing w:val="-4"/>
          <w:sz w:val="24"/>
        </w:rPr>
        <w:t xml:space="preserve"> </w:t>
      </w:r>
      <w:r>
        <w:rPr>
          <w:sz w:val="24"/>
        </w:rPr>
        <w:t>been</w:t>
      </w:r>
      <w:r>
        <w:rPr>
          <w:spacing w:val="-4"/>
          <w:sz w:val="24"/>
        </w:rPr>
        <w:t xml:space="preserve"> </w:t>
      </w:r>
      <w:r>
        <w:rPr>
          <w:sz w:val="24"/>
        </w:rPr>
        <w:t>added</w:t>
      </w:r>
      <w:r>
        <w:rPr>
          <w:spacing w:val="-4"/>
          <w:sz w:val="24"/>
        </w:rPr>
        <w:t xml:space="preserve"> </w:t>
      </w:r>
      <w:r>
        <w:rPr>
          <w:sz w:val="24"/>
        </w:rPr>
        <w:t>to address CBT survey collections.</w:t>
      </w:r>
    </w:p>
    <w:p>
      <w:pPr>
        <w:pStyle w:val="ListParagraph"/>
        <w:numPr>
          <w:ilvl w:val="0"/>
          <w:numId w:val="1"/>
        </w:numPr>
        <w:tabs>
          <w:tab w:val="left" w:pos="1440"/>
        </w:tabs>
        <w:spacing w:before="0" w:after="0" w:line="240" w:lineRule="auto"/>
        <w:ind w:left="1440" w:right="445" w:hanging="360"/>
        <w:jc w:val="left"/>
        <w:rPr>
          <w:sz w:val="24"/>
        </w:rPr>
      </w:pPr>
      <w:r>
        <w:rPr>
          <w:sz w:val="24"/>
        </w:rPr>
        <w:t>The</w:t>
      </w:r>
      <w:r>
        <w:rPr>
          <w:spacing w:val="-5"/>
          <w:sz w:val="24"/>
        </w:rPr>
        <w:t xml:space="preserve"> </w:t>
      </w:r>
      <w:r>
        <w:rPr>
          <w:sz w:val="24"/>
        </w:rPr>
        <w:t>Future</w:t>
      </w:r>
      <w:r>
        <w:rPr>
          <w:spacing w:val="-4"/>
          <w:sz w:val="24"/>
        </w:rPr>
        <w:t xml:space="preserve"> </w:t>
      </w:r>
      <w:r>
        <w:rPr>
          <w:sz w:val="24"/>
        </w:rPr>
        <w:t>Generic</w:t>
      </w:r>
      <w:r>
        <w:rPr>
          <w:spacing w:val="-5"/>
          <w:sz w:val="24"/>
        </w:rPr>
        <w:t xml:space="preserve"> </w:t>
      </w:r>
      <w:r>
        <w:rPr>
          <w:sz w:val="24"/>
        </w:rPr>
        <w:t>Collections</w:t>
      </w:r>
      <w:r>
        <w:rPr>
          <w:spacing w:val="-3"/>
          <w:sz w:val="24"/>
        </w:rPr>
        <w:t xml:space="preserve"> </w:t>
      </w:r>
      <w:r>
        <w:rPr>
          <w:sz w:val="24"/>
        </w:rPr>
        <w:t>burden</w:t>
      </w:r>
      <w:r>
        <w:rPr>
          <w:spacing w:val="-3"/>
          <w:sz w:val="24"/>
        </w:rPr>
        <w:t xml:space="preserve"> </w:t>
      </w:r>
      <w:r>
        <w:rPr>
          <w:sz w:val="24"/>
        </w:rPr>
        <w:t>has</w:t>
      </w:r>
      <w:r>
        <w:rPr>
          <w:spacing w:val="-3"/>
          <w:sz w:val="24"/>
        </w:rPr>
        <w:t xml:space="preserve"> </w:t>
      </w:r>
      <w:r>
        <w:rPr>
          <w:sz w:val="24"/>
        </w:rPr>
        <w:t>decreased</w:t>
      </w:r>
      <w:r>
        <w:rPr>
          <w:spacing w:val="-3"/>
          <w:sz w:val="24"/>
        </w:rPr>
        <w:t xml:space="preserve"> </w:t>
      </w:r>
      <w:r>
        <w:rPr>
          <w:sz w:val="24"/>
        </w:rPr>
        <w:t>from</w:t>
      </w:r>
      <w:r>
        <w:rPr>
          <w:spacing w:val="-3"/>
          <w:sz w:val="24"/>
        </w:rPr>
        <w:t xml:space="preserve"> </w:t>
      </w:r>
      <w:r>
        <w:rPr>
          <w:sz w:val="24"/>
        </w:rPr>
        <w:t>20,000</w:t>
      </w:r>
      <w:r>
        <w:rPr>
          <w:spacing w:val="-3"/>
          <w:sz w:val="24"/>
        </w:rPr>
        <w:t xml:space="preserve"> </w:t>
      </w:r>
      <w:r>
        <w:rPr>
          <w:sz w:val="24"/>
        </w:rPr>
        <w:t>hours</w:t>
      </w:r>
      <w:r>
        <w:rPr>
          <w:spacing w:val="-3"/>
          <w:sz w:val="24"/>
        </w:rPr>
        <w:t xml:space="preserve"> </w:t>
      </w:r>
      <w:r>
        <w:rPr>
          <w:sz w:val="24"/>
        </w:rPr>
        <w:t>to</w:t>
      </w:r>
      <w:r>
        <w:rPr>
          <w:spacing w:val="-3"/>
          <w:sz w:val="24"/>
        </w:rPr>
        <w:t xml:space="preserve"> </w:t>
      </w:r>
      <w:r>
        <w:rPr>
          <w:sz w:val="24"/>
        </w:rPr>
        <w:t>1,250 hours due to a decrease from 80,000 to 5,000 estimated proposed respondents.</w:t>
      </w:r>
    </w:p>
    <w:p>
      <w:pPr>
        <w:pStyle w:val="BodyText"/>
        <w:spacing w:before="272"/>
      </w:pPr>
    </w:p>
    <w:p>
      <w:pPr>
        <w:pStyle w:val="Heading1"/>
        <w:numPr>
          <w:ilvl w:val="1"/>
          <w:numId w:val="3"/>
        </w:numPr>
        <w:tabs>
          <w:tab w:val="left" w:pos="720"/>
        </w:tabs>
        <w:spacing w:before="0" w:after="0" w:line="240" w:lineRule="auto"/>
        <w:ind w:left="720" w:right="0" w:hanging="720"/>
        <w:jc w:val="left"/>
        <w:rPr>
          <w:u w:val="none"/>
        </w:rPr>
      </w:pPr>
      <w:r>
        <w:rPr>
          <w:u w:val="single"/>
        </w:rPr>
        <w:t>Publication/</w:t>
      </w:r>
      <w:r>
        <w:rPr>
          <w:spacing w:val="-4"/>
          <w:u w:val="single"/>
        </w:rPr>
        <w:t xml:space="preserve"> </w:t>
      </w:r>
      <w:r>
        <w:rPr>
          <w:u w:val="single"/>
        </w:rPr>
        <w:t>Tabulation</w:t>
      </w:r>
      <w:r>
        <w:rPr>
          <w:spacing w:val="-3"/>
          <w:u w:val="single"/>
        </w:rPr>
        <w:t xml:space="preserve"> </w:t>
      </w:r>
      <w:r>
        <w:rPr>
          <w:spacing w:val="-4"/>
          <w:u w:val="single"/>
        </w:rPr>
        <w:t>Dates</w:t>
      </w:r>
    </w:p>
    <w:p>
      <w:pPr>
        <w:pStyle w:val="BodyText"/>
        <w:rPr>
          <w:b/>
        </w:rPr>
      </w:pPr>
    </w:p>
    <w:p>
      <w:pPr>
        <w:pStyle w:val="BodyText"/>
        <w:ind w:left="720"/>
      </w:pPr>
      <w:r>
        <w:t>There</w:t>
      </w:r>
      <w:r>
        <w:rPr>
          <w:spacing w:val="-1"/>
        </w:rPr>
        <w:t xml:space="preserve"> </w:t>
      </w:r>
      <w:r>
        <w:t>are</w:t>
      </w:r>
      <w:r>
        <w:rPr>
          <w:spacing w:val="-2"/>
        </w:rPr>
        <w:t xml:space="preserve"> </w:t>
      </w:r>
      <w:r>
        <w:t>no</w:t>
      </w:r>
      <w:r>
        <w:rPr>
          <w:spacing w:val="-1"/>
        </w:rPr>
        <w:t xml:space="preserve"> </w:t>
      </w:r>
      <w:r>
        <w:t>plans to publish</w:t>
      </w:r>
      <w:r>
        <w:rPr>
          <w:spacing w:val="-1"/>
        </w:rPr>
        <w:t xml:space="preserve"> </w:t>
      </w:r>
      <w:r>
        <w:t>the information</w:t>
      </w:r>
      <w:r>
        <w:rPr>
          <w:spacing w:val="-1"/>
        </w:rPr>
        <w:t xml:space="preserve"> </w:t>
      </w:r>
      <w:r>
        <w:t>for</w:t>
      </w:r>
      <w:r>
        <w:rPr>
          <w:spacing w:val="-1"/>
        </w:rPr>
        <w:t xml:space="preserve"> </w:t>
      </w:r>
      <w:r>
        <w:t xml:space="preserve">statistical </w:t>
      </w:r>
      <w:r>
        <w:rPr>
          <w:spacing w:val="-4"/>
        </w:rPr>
        <w:t>use.</w:t>
      </w:r>
    </w:p>
    <w:p>
      <w:pPr>
        <w:pStyle w:val="BodyText"/>
        <w:spacing w:after="0"/>
        <w:sectPr>
          <w:type w:val="continuous"/>
          <w:pgSz w:w="12240" w:h="15840"/>
          <w:pgMar w:top="1420" w:right="1080" w:bottom="1880" w:left="1440" w:header="0" w:footer="1678"/>
          <w:cols w:space="720"/>
        </w:sectPr>
      </w:pPr>
    </w:p>
    <w:p>
      <w:pPr>
        <w:pStyle w:val="Heading1"/>
        <w:numPr>
          <w:ilvl w:val="1"/>
          <w:numId w:val="3"/>
        </w:numPr>
        <w:tabs>
          <w:tab w:val="left" w:pos="720"/>
        </w:tabs>
        <w:spacing w:before="75" w:after="0" w:line="240" w:lineRule="auto"/>
        <w:ind w:left="720" w:right="0" w:hanging="720"/>
        <w:jc w:val="left"/>
        <w:rPr>
          <w:u w:val="none"/>
        </w:rPr>
      </w:pPr>
      <w:r>
        <w:rPr>
          <w:u w:val="single"/>
        </w:rPr>
        <w:t>Expiration</w:t>
      </w:r>
      <w:r>
        <w:rPr>
          <w:spacing w:val="-3"/>
          <w:u w:val="single"/>
        </w:rPr>
        <w:t xml:space="preserve"> </w:t>
      </w:r>
      <w:r>
        <w:rPr>
          <w:spacing w:val="-4"/>
          <w:u w:val="single"/>
        </w:rPr>
        <w:t>Date</w:t>
      </w:r>
    </w:p>
    <w:p>
      <w:pPr>
        <w:pStyle w:val="BodyText"/>
        <w:rPr>
          <w:b/>
        </w:rPr>
      </w:pPr>
    </w:p>
    <w:p>
      <w:pPr>
        <w:pStyle w:val="BodyText"/>
        <w:ind w:left="720"/>
      </w:pPr>
      <w:r>
        <w:t>ARDX</w:t>
      </w:r>
      <w:r>
        <w:rPr>
          <w:spacing w:val="-2"/>
        </w:rPr>
        <w:t xml:space="preserve"> </w:t>
      </w:r>
      <w:r>
        <w:t>would like</w:t>
      </w:r>
      <w:r>
        <w:rPr>
          <w:spacing w:val="-2"/>
        </w:rPr>
        <w:t xml:space="preserve"> </w:t>
      </w:r>
      <w:r>
        <w:t>to display</w:t>
      </w:r>
      <w:r>
        <w:rPr>
          <w:spacing w:val="-1"/>
        </w:rPr>
        <w:t xml:space="preserve"> </w:t>
      </w:r>
      <w:r>
        <w:t>the</w:t>
      </w:r>
      <w:r>
        <w:rPr>
          <w:spacing w:val="-1"/>
        </w:rPr>
        <w:t xml:space="preserve"> </w:t>
      </w:r>
      <w:r>
        <w:t xml:space="preserve">expiration </w:t>
      </w:r>
      <w:r>
        <w:rPr>
          <w:spacing w:val="-2"/>
        </w:rPr>
        <w:t>date.</w:t>
      </w:r>
    </w:p>
    <w:p>
      <w:pPr>
        <w:pStyle w:val="BodyText"/>
      </w:pPr>
    </w:p>
    <w:p>
      <w:pPr>
        <w:pStyle w:val="BodyText"/>
      </w:pPr>
    </w:p>
    <w:p>
      <w:pPr>
        <w:pStyle w:val="Heading1"/>
        <w:numPr>
          <w:ilvl w:val="1"/>
          <w:numId w:val="3"/>
        </w:numPr>
        <w:tabs>
          <w:tab w:val="left" w:pos="720"/>
        </w:tabs>
        <w:spacing w:before="0" w:after="0" w:line="240" w:lineRule="auto"/>
        <w:ind w:left="720" w:right="0" w:hanging="720"/>
        <w:jc w:val="left"/>
        <w:rPr>
          <w:u w:val="none"/>
        </w:rPr>
      </w:pPr>
      <w:r>
        <w:rPr>
          <w:u w:val="single"/>
        </w:rPr>
        <w:t>Certification</w:t>
      </w:r>
      <w:r>
        <w:rPr>
          <w:spacing w:val="-3"/>
          <w:u w:val="single"/>
        </w:rPr>
        <w:t xml:space="preserve"> </w:t>
      </w:r>
      <w:r>
        <w:rPr>
          <w:spacing w:val="-2"/>
          <w:u w:val="single"/>
        </w:rPr>
        <w:t>Statement</w:t>
      </w:r>
    </w:p>
    <w:p>
      <w:pPr>
        <w:pStyle w:val="BodyText"/>
        <w:rPr>
          <w:b/>
        </w:rPr>
      </w:pPr>
    </w:p>
    <w:p>
      <w:pPr>
        <w:pStyle w:val="BodyText"/>
        <w:ind w:left="720" w:right="345"/>
      </w:pPr>
      <w:r>
        <w:t>On</w:t>
      </w:r>
      <w:r>
        <w:rPr>
          <w:spacing w:val="-4"/>
        </w:rPr>
        <w:t xml:space="preserve"> </w:t>
      </w:r>
      <w:r>
        <w:t>behalf</w:t>
      </w:r>
      <w:r>
        <w:rPr>
          <w:spacing w:val="-4"/>
        </w:rPr>
        <w:t xml:space="preserve"> </w:t>
      </w:r>
      <w:r>
        <w:t>of</w:t>
      </w:r>
      <w:r>
        <w:rPr>
          <w:spacing w:val="-5"/>
        </w:rPr>
        <w:t xml:space="preserve"> </w:t>
      </w:r>
      <w:r>
        <w:t>this</w:t>
      </w:r>
      <w:r>
        <w:rPr>
          <w:spacing w:val="-2"/>
        </w:rPr>
        <w:t xml:space="preserve"> </w:t>
      </w:r>
      <w:r>
        <w:t>Federal</w:t>
      </w:r>
      <w:r>
        <w:rPr>
          <w:spacing w:val="-2"/>
        </w:rPr>
        <w:t xml:space="preserve"> </w:t>
      </w:r>
      <w:r>
        <w:t>agency,</w:t>
      </w:r>
      <w:r>
        <w:rPr>
          <w:spacing w:val="-2"/>
        </w:rPr>
        <w:t xml:space="preserve"> </w:t>
      </w:r>
      <w:r>
        <w:t>I</w:t>
      </w:r>
      <w:r>
        <w:rPr>
          <w:spacing w:val="-5"/>
        </w:rPr>
        <w:t xml:space="preserve"> </w:t>
      </w:r>
      <w:r>
        <w:t>certify</w:t>
      </w:r>
      <w:r>
        <w:rPr>
          <w:spacing w:val="-4"/>
        </w:rPr>
        <w:t xml:space="preserve"> </w:t>
      </w:r>
      <w:r>
        <w:t>that</w:t>
      </w:r>
      <w:r>
        <w:rPr>
          <w:spacing w:val="-4"/>
        </w:rPr>
        <w:t xml:space="preserve"> </w:t>
      </w:r>
      <w:r>
        <w:t>the</w:t>
      </w:r>
      <w:r>
        <w:rPr>
          <w:spacing w:val="-3"/>
        </w:rPr>
        <w:t xml:space="preserve"> </w:t>
      </w:r>
      <w:r>
        <w:t>collection</w:t>
      </w:r>
      <w:r>
        <w:rPr>
          <w:spacing w:val="-4"/>
        </w:rPr>
        <w:t xml:space="preserve"> </w:t>
      </w:r>
      <w:r>
        <w:t>of</w:t>
      </w:r>
      <w:r>
        <w:rPr>
          <w:spacing w:val="-5"/>
        </w:rPr>
        <w:t xml:space="preserve"> </w:t>
      </w:r>
      <w:r>
        <w:t>information</w:t>
      </w:r>
      <w:r>
        <w:rPr>
          <w:spacing w:val="-4"/>
        </w:rPr>
        <w:t xml:space="preserve"> </w:t>
      </w:r>
      <w:r>
        <w:t>encompassed by this request complies with 5 CFR 1320.9.</w:t>
      </w:r>
    </w:p>
    <w:sectPr>
      <w:pgSz w:w="12240" w:h="15840"/>
      <w:pgMar w:top="1640" w:right="1080" w:bottom="1880" w:left="1440" w:header="0" w:footer="167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3816984</wp:posOffset>
              </wp:positionH>
              <wp:positionV relativeFrom="page">
                <wp:posOffset>8846369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pt;height:13.05pt;margin-top:696.56pt;margin-left:300.55pt;mso-position-horizontal-relative:page;mso-position-vertical-relative:page;position:absolute;z-index:-251657216" filled="f" stroked="f">
              <v:textbox inset="0,0,0,0">
                <w:txbxContent>
                  <w:p>
                    <w:pPr>
                      <w:spacing w:before="10"/>
                      <w:ind w:left="60" w:right="0" w:firstLine="0"/>
                      <w:jc w:val="lef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3816984</wp:posOffset>
              </wp:positionH>
              <wp:positionV relativeFrom="page">
                <wp:posOffset>8846369</wp:posOffset>
              </wp:positionV>
              <wp:extent cx="15240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2pt;height:13.05pt;margin-top:696.56pt;margin-left:300.55pt;mso-position-horizontal-relative:page;mso-position-vertical-relative:page;position:absolute;z-index:-251655168" filled="f" stroked="f">
              <v:textbox inset="0,0,0,0">
                <w:txbxContent>
                  <w:p>
                    <w:pPr>
                      <w:spacing w:before="10"/>
                      <w:ind w:left="60" w:right="0" w:firstLine="0"/>
                      <w:jc w:val="lef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59242"/>
    <w:multiLevelType w:val="hybridMultilevel"/>
    <w:tmpl w:val="00000000"/>
    <w:lvl w:ilvl="0">
      <w:start w:val="1"/>
      <w:numFmt w:val="upperLetter"/>
      <w:lvlText w:val="%1."/>
      <w:lvlJc w:val="left"/>
      <w:pPr>
        <w:ind w:left="72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1">
    <w:nsid w:val="24C1F957"/>
    <w:multiLevelType w:val="hybridMultilevel"/>
    <w:tmpl w:val="00000000"/>
    <w:lvl w:ilvl="0">
      <w:start w:val="0"/>
      <w:numFmt w:val="bullet"/>
      <w:lvlText w:val=""/>
      <w:lvlJc w:val="left"/>
      <w:pPr>
        <w:ind w:left="1901" w:hanging="54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682" w:hanging="548"/>
      </w:pPr>
      <w:rPr>
        <w:rFonts w:hint="default"/>
        <w:lang w:val="en-US" w:eastAsia="en-US" w:bidi="ar-SA"/>
      </w:rPr>
    </w:lvl>
    <w:lvl w:ilvl="2">
      <w:start w:val="0"/>
      <w:numFmt w:val="bullet"/>
      <w:lvlText w:val="•"/>
      <w:lvlJc w:val="left"/>
      <w:pPr>
        <w:ind w:left="3464" w:hanging="548"/>
      </w:pPr>
      <w:rPr>
        <w:rFonts w:hint="default"/>
        <w:lang w:val="en-US" w:eastAsia="en-US" w:bidi="ar-SA"/>
      </w:rPr>
    </w:lvl>
    <w:lvl w:ilvl="3">
      <w:start w:val="0"/>
      <w:numFmt w:val="bullet"/>
      <w:lvlText w:val="•"/>
      <w:lvlJc w:val="left"/>
      <w:pPr>
        <w:ind w:left="4246" w:hanging="548"/>
      </w:pPr>
      <w:rPr>
        <w:rFonts w:hint="default"/>
        <w:lang w:val="en-US" w:eastAsia="en-US" w:bidi="ar-SA"/>
      </w:rPr>
    </w:lvl>
    <w:lvl w:ilvl="4">
      <w:start w:val="0"/>
      <w:numFmt w:val="bullet"/>
      <w:lvlText w:val="•"/>
      <w:lvlJc w:val="left"/>
      <w:pPr>
        <w:ind w:left="5028" w:hanging="548"/>
      </w:pPr>
      <w:rPr>
        <w:rFonts w:hint="default"/>
        <w:lang w:val="en-US" w:eastAsia="en-US" w:bidi="ar-SA"/>
      </w:rPr>
    </w:lvl>
    <w:lvl w:ilvl="5">
      <w:start w:val="0"/>
      <w:numFmt w:val="bullet"/>
      <w:lvlText w:val="•"/>
      <w:lvlJc w:val="left"/>
      <w:pPr>
        <w:ind w:left="5810" w:hanging="548"/>
      </w:pPr>
      <w:rPr>
        <w:rFonts w:hint="default"/>
        <w:lang w:val="en-US" w:eastAsia="en-US" w:bidi="ar-SA"/>
      </w:rPr>
    </w:lvl>
    <w:lvl w:ilvl="6">
      <w:start w:val="0"/>
      <w:numFmt w:val="bullet"/>
      <w:lvlText w:val="•"/>
      <w:lvlJc w:val="left"/>
      <w:pPr>
        <w:ind w:left="6592" w:hanging="548"/>
      </w:pPr>
      <w:rPr>
        <w:rFonts w:hint="default"/>
        <w:lang w:val="en-US" w:eastAsia="en-US" w:bidi="ar-SA"/>
      </w:rPr>
    </w:lvl>
    <w:lvl w:ilvl="7">
      <w:start w:val="0"/>
      <w:numFmt w:val="bullet"/>
      <w:lvlText w:val="•"/>
      <w:lvlJc w:val="left"/>
      <w:pPr>
        <w:ind w:left="7374" w:hanging="548"/>
      </w:pPr>
      <w:rPr>
        <w:rFonts w:hint="default"/>
        <w:lang w:val="en-US" w:eastAsia="en-US" w:bidi="ar-SA"/>
      </w:rPr>
    </w:lvl>
    <w:lvl w:ilvl="8">
      <w:start w:val="0"/>
      <w:numFmt w:val="bullet"/>
      <w:lvlText w:val="•"/>
      <w:lvlJc w:val="left"/>
      <w:pPr>
        <w:ind w:left="8156" w:hanging="548"/>
      </w:pPr>
      <w:rPr>
        <w:rFonts w:hint="default"/>
        <w:lang w:val="en-US" w:eastAsia="en-US" w:bidi="ar-SA"/>
      </w:rPr>
    </w:lvl>
  </w:abstractNum>
  <w:abstractNum w:abstractNumId="2">
    <w:nsid w:val="419D76E3"/>
    <w:multiLevelType w:val="hybridMultilevel"/>
    <w:tmpl w:val="00000000"/>
    <w:lvl w:ilvl="0">
      <w:start w:val="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3">
    <w:nsid w:val="67CBA863"/>
    <w:multiLevelType w:val="hybridMultilevel"/>
    <w:tmpl w:val="00000000"/>
    <w:lvl w:ilvl="0">
      <w:start w:val="0"/>
      <w:numFmt w:val="bullet"/>
      <w:lvlText w:val=""/>
      <w:lvlJc w:val="left"/>
      <w:pPr>
        <w:ind w:left="1901" w:hanging="54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682" w:hanging="548"/>
      </w:pPr>
      <w:rPr>
        <w:rFonts w:hint="default"/>
        <w:lang w:val="en-US" w:eastAsia="en-US" w:bidi="ar-SA"/>
      </w:rPr>
    </w:lvl>
    <w:lvl w:ilvl="2">
      <w:start w:val="0"/>
      <w:numFmt w:val="bullet"/>
      <w:lvlText w:val="•"/>
      <w:lvlJc w:val="left"/>
      <w:pPr>
        <w:ind w:left="3464" w:hanging="548"/>
      </w:pPr>
      <w:rPr>
        <w:rFonts w:hint="default"/>
        <w:lang w:val="en-US" w:eastAsia="en-US" w:bidi="ar-SA"/>
      </w:rPr>
    </w:lvl>
    <w:lvl w:ilvl="3">
      <w:start w:val="0"/>
      <w:numFmt w:val="bullet"/>
      <w:lvlText w:val="•"/>
      <w:lvlJc w:val="left"/>
      <w:pPr>
        <w:ind w:left="4246" w:hanging="548"/>
      </w:pPr>
      <w:rPr>
        <w:rFonts w:hint="default"/>
        <w:lang w:val="en-US" w:eastAsia="en-US" w:bidi="ar-SA"/>
      </w:rPr>
    </w:lvl>
    <w:lvl w:ilvl="4">
      <w:start w:val="0"/>
      <w:numFmt w:val="bullet"/>
      <w:lvlText w:val="•"/>
      <w:lvlJc w:val="left"/>
      <w:pPr>
        <w:ind w:left="5028" w:hanging="548"/>
      </w:pPr>
      <w:rPr>
        <w:rFonts w:hint="default"/>
        <w:lang w:val="en-US" w:eastAsia="en-US" w:bidi="ar-SA"/>
      </w:rPr>
    </w:lvl>
    <w:lvl w:ilvl="5">
      <w:start w:val="0"/>
      <w:numFmt w:val="bullet"/>
      <w:lvlText w:val="•"/>
      <w:lvlJc w:val="left"/>
      <w:pPr>
        <w:ind w:left="5810" w:hanging="548"/>
      </w:pPr>
      <w:rPr>
        <w:rFonts w:hint="default"/>
        <w:lang w:val="en-US" w:eastAsia="en-US" w:bidi="ar-SA"/>
      </w:rPr>
    </w:lvl>
    <w:lvl w:ilvl="6">
      <w:start w:val="0"/>
      <w:numFmt w:val="bullet"/>
      <w:lvlText w:val="•"/>
      <w:lvlJc w:val="left"/>
      <w:pPr>
        <w:ind w:left="6592" w:hanging="548"/>
      </w:pPr>
      <w:rPr>
        <w:rFonts w:hint="default"/>
        <w:lang w:val="en-US" w:eastAsia="en-US" w:bidi="ar-SA"/>
      </w:rPr>
    </w:lvl>
    <w:lvl w:ilvl="7">
      <w:start w:val="0"/>
      <w:numFmt w:val="bullet"/>
      <w:lvlText w:val="•"/>
      <w:lvlJc w:val="left"/>
      <w:pPr>
        <w:ind w:left="7374" w:hanging="548"/>
      </w:pPr>
      <w:rPr>
        <w:rFonts w:hint="default"/>
        <w:lang w:val="en-US" w:eastAsia="en-US" w:bidi="ar-SA"/>
      </w:rPr>
    </w:lvl>
    <w:lvl w:ilvl="8">
      <w:start w:val="0"/>
      <w:numFmt w:val="bullet"/>
      <w:lvlText w:val="•"/>
      <w:lvlJc w:val="left"/>
      <w:pPr>
        <w:ind w:left="8156" w:hanging="548"/>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720" w:hanging="720"/>
      <w:outlineLvl w:val="1"/>
    </w:pPr>
    <w:rPr>
      <w:rFonts w:ascii="Times New Roman" w:eastAsia="Times New Roman" w:hAnsi="Times New Roman" w:cs="Times New Roman"/>
      <w:b/>
      <w:bCs/>
      <w:sz w:val="24"/>
      <w:szCs w:val="24"/>
      <w:u w:val="single" w:color="000000"/>
      <w:lang w:val="en-US" w:eastAsia="en-US" w:bidi="ar-SA"/>
    </w:rPr>
  </w:style>
  <w:style w:type="paragraph" w:styleId="ListParagraph">
    <w:name w:val="List Paragraph"/>
    <w:basedOn w:val="Normal"/>
    <w:uiPriority w:val="1"/>
    <w:qFormat/>
    <w:pPr>
      <w:ind w:left="720" w:hanging="72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spacing w:line="275" w:lineRule="exact"/>
      <w:ind w:left="108"/>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ARDX</dc:creator>
  <cp:revision>0</cp:revision>
  <dcterms:created xsi:type="dcterms:W3CDTF">2025-08-05T18:11:35Z</dcterms:created>
  <dcterms:modified xsi:type="dcterms:W3CDTF">2025-08-05T18:11:35Z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ies>
</file>