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Heading1"/>
        <w:spacing w:before="80"/>
        <w:ind w:left="4819" w:right="411" w:hanging="4360"/>
      </w:pPr>
      <w:bookmarkStart w:id="0" w:name="Clearance for Evaluation of Stakeholder "/>
      <w:bookmarkEnd w:id="0"/>
      <w:r>
        <w:t>Clearance</w:t>
      </w:r>
      <w:r>
        <w:rPr>
          <w:spacing w:val="-5"/>
        </w:rPr>
        <w:t xml:space="preserve"> </w:t>
      </w:r>
      <w:r>
        <w:t>for</w:t>
      </w:r>
      <w:r>
        <w:rPr>
          <w:spacing w:val="-5"/>
        </w:rPr>
        <w:t xml:space="preserve"> </w:t>
      </w:r>
      <w:r>
        <w:t>Evaluation</w:t>
      </w:r>
      <w:r>
        <w:rPr>
          <w:spacing w:val="-5"/>
        </w:rPr>
        <w:t xml:space="preserve"> </w:t>
      </w:r>
      <w:r>
        <w:t>of</w:t>
      </w:r>
      <w:r>
        <w:rPr>
          <w:spacing w:val="-2"/>
        </w:rPr>
        <w:t xml:space="preserve"> </w:t>
      </w:r>
      <w:r>
        <w:t>Stakeholder</w:t>
      </w:r>
      <w:r>
        <w:rPr>
          <w:spacing w:val="-5"/>
        </w:rPr>
        <w:t xml:space="preserve"> </w:t>
      </w:r>
      <w:r>
        <w:t>Training</w:t>
      </w:r>
      <w:r>
        <w:rPr>
          <w:spacing w:val="-4"/>
        </w:rPr>
        <w:t xml:space="preserve"> </w:t>
      </w:r>
      <w:r>
        <w:t>and</w:t>
      </w:r>
      <w:r>
        <w:rPr>
          <w:spacing w:val="-4"/>
        </w:rPr>
        <w:t xml:space="preserve"> </w:t>
      </w:r>
      <w:r>
        <w:t>Program</w:t>
      </w:r>
      <w:r>
        <w:rPr>
          <w:spacing w:val="-5"/>
        </w:rPr>
        <w:t xml:space="preserve"> </w:t>
      </w:r>
      <w:r>
        <w:t>Support</w:t>
      </w:r>
      <w:r>
        <w:rPr>
          <w:spacing w:val="-5"/>
        </w:rPr>
        <w:t xml:space="preserve"> </w:t>
      </w:r>
      <w:r>
        <w:t xml:space="preserve">CMS-10598/OMB-0938- </w:t>
      </w:r>
      <w:r>
        <w:rPr>
          <w:spacing w:val="-4"/>
        </w:rPr>
        <w:t>1331</w:t>
      </w:r>
    </w:p>
    <w:p>
      <w:pPr>
        <w:pStyle w:val="BodyText"/>
        <w:spacing w:before="252"/>
        <w:rPr>
          <w:b/>
        </w:rPr>
      </w:pPr>
    </w:p>
    <w:p>
      <w:pPr>
        <w:spacing w:before="1"/>
        <w:ind w:left="0" w:right="6466" w:firstLine="0"/>
        <w:jc w:val="left"/>
        <w:rPr>
          <w:b/>
          <w:sz w:val="22"/>
        </w:rPr>
      </w:pPr>
      <w:r>
        <w:rPr>
          <w:b/>
          <w:sz w:val="22"/>
        </w:rPr>
        <w:t>Supporting</w:t>
      </w:r>
      <w:r>
        <w:rPr>
          <w:b/>
          <w:spacing w:val="-14"/>
          <w:sz w:val="22"/>
        </w:rPr>
        <w:t xml:space="preserve"> </w:t>
      </w:r>
      <w:r>
        <w:rPr>
          <w:b/>
          <w:sz w:val="22"/>
        </w:rPr>
        <w:t>Statement</w:t>
      </w:r>
      <w:r>
        <w:rPr>
          <w:b/>
          <w:spacing w:val="-12"/>
          <w:sz w:val="22"/>
        </w:rPr>
        <w:t xml:space="preserve"> </w:t>
      </w:r>
      <w:r>
        <w:rPr>
          <w:b/>
          <w:sz w:val="22"/>
        </w:rPr>
        <w:t>Part</w:t>
      </w:r>
      <w:r>
        <w:rPr>
          <w:b/>
          <w:spacing w:val="-13"/>
          <w:sz w:val="22"/>
        </w:rPr>
        <w:t xml:space="preserve"> </w:t>
      </w:r>
      <w:r>
        <w:rPr>
          <w:b/>
          <w:sz w:val="22"/>
        </w:rPr>
        <w:t>B Statistical Methods</w:t>
      </w:r>
    </w:p>
    <w:p>
      <w:pPr>
        <w:pStyle w:val="BodyText"/>
        <w:rPr>
          <w:b/>
        </w:rPr>
      </w:pPr>
    </w:p>
    <w:p>
      <w:pPr>
        <w:pStyle w:val="BodyText"/>
        <w:ind w:left="360" w:right="411"/>
      </w:pPr>
      <w:r>
        <w:t>The primary purpose of these collections will be for internal review by a contractor to continually improve</w:t>
      </w:r>
      <w:r>
        <w:rPr>
          <w:spacing w:val="-4"/>
        </w:rPr>
        <w:t xml:space="preserve"> </w:t>
      </w:r>
      <w:r>
        <w:t>the</w:t>
      </w:r>
      <w:r>
        <w:rPr>
          <w:spacing w:val="-4"/>
        </w:rPr>
        <w:t xml:space="preserve"> </w:t>
      </w:r>
      <w:r>
        <w:t>services</w:t>
      </w:r>
      <w:r>
        <w:rPr>
          <w:spacing w:val="-4"/>
        </w:rPr>
        <w:t xml:space="preserve"> </w:t>
      </w:r>
      <w:r>
        <w:t>provided</w:t>
      </w:r>
      <w:r>
        <w:rPr>
          <w:spacing w:val="-3"/>
        </w:rPr>
        <w:t xml:space="preserve"> </w:t>
      </w:r>
      <w:r>
        <w:t>to</w:t>
      </w:r>
      <w:r>
        <w:rPr>
          <w:spacing w:val="-3"/>
        </w:rPr>
        <w:t xml:space="preserve"> </w:t>
      </w:r>
      <w:r>
        <w:t>stakeholders.</w:t>
      </w:r>
      <w:r>
        <w:rPr>
          <w:spacing w:val="-4"/>
        </w:rPr>
        <w:t xml:space="preserve"> </w:t>
      </w:r>
      <w:r>
        <w:t>There</w:t>
      </w:r>
      <w:r>
        <w:rPr>
          <w:spacing w:val="-4"/>
        </w:rPr>
        <w:t xml:space="preserve"> </w:t>
      </w:r>
      <w:r>
        <w:t>are</w:t>
      </w:r>
      <w:r>
        <w:rPr>
          <w:spacing w:val="-4"/>
        </w:rPr>
        <w:t xml:space="preserve"> </w:t>
      </w:r>
      <w:r>
        <w:t>no</w:t>
      </w:r>
      <w:r>
        <w:rPr>
          <w:spacing w:val="-3"/>
        </w:rPr>
        <w:t xml:space="preserve"> </w:t>
      </w:r>
      <w:r>
        <w:t>plans</w:t>
      </w:r>
      <w:r>
        <w:rPr>
          <w:spacing w:val="-4"/>
        </w:rPr>
        <w:t xml:space="preserve"> </w:t>
      </w:r>
      <w:r>
        <w:t>to</w:t>
      </w:r>
      <w:r>
        <w:rPr>
          <w:spacing w:val="-3"/>
        </w:rPr>
        <w:t xml:space="preserve"> </w:t>
      </w:r>
      <w:r>
        <w:t>publish</w:t>
      </w:r>
      <w:r>
        <w:rPr>
          <w:spacing w:val="-3"/>
        </w:rPr>
        <w:t xml:space="preserve"> </w:t>
      </w:r>
      <w:r>
        <w:t>or</w:t>
      </w:r>
      <w:r>
        <w:rPr>
          <w:spacing w:val="-4"/>
        </w:rPr>
        <w:t xml:space="preserve"> </w:t>
      </w:r>
      <w:r>
        <w:t>otherwise</w:t>
      </w:r>
      <w:r>
        <w:rPr>
          <w:spacing w:val="-4"/>
        </w:rPr>
        <w:t xml:space="preserve"> </w:t>
      </w:r>
      <w:r>
        <w:t>release</w:t>
      </w:r>
      <w:r>
        <w:rPr>
          <w:spacing w:val="-4"/>
        </w:rPr>
        <w:t xml:space="preserve"> </w:t>
      </w:r>
      <w:r>
        <w:t xml:space="preserve">this </w:t>
      </w:r>
      <w:r>
        <w:rPr>
          <w:spacing w:val="-2"/>
        </w:rPr>
        <w:t>information.</w:t>
      </w:r>
    </w:p>
    <w:p>
      <w:pPr>
        <w:pStyle w:val="BodyText"/>
      </w:pPr>
    </w:p>
    <w:p>
      <w:pPr>
        <w:pStyle w:val="Heading1"/>
        <w:numPr>
          <w:ilvl w:val="0"/>
          <w:numId w:val="1"/>
        </w:numPr>
        <w:tabs>
          <w:tab w:val="left" w:pos="1079"/>
        </w:tabs>
        <w:spacing w:before="0" w:after="0" w:line="240" w:lineRule="auto"/>
        <w:ind w:left="1079" w:right="0" w:hanging="359"/>
        <w:jc w:val="left"/>
      </w:pPr>
      <w:r>
        <w:t>Universe</w:t>
      </w:r>
      <w:r>
        <w:rPr>
          <w:spacing w:val="-9"/>
        </w:rPr>
        <w:t xml:space="preserve"> </w:t>
      </w:r>
      <w:r>
        <w:t>and</w:t>
      </w:r>
      <w:r>
        <w:rPr>
          <w:spacing w:val="-8"/>
        </w:rPr>
        <w:t xml:space="preserve"> </w:t>
      </w:r>
      <w:r>
        <w:t>Respondent</w:t>
      </w:r>
      <w:r>
        <w:rPr>
          <w:spacing w:val="-8"/>
        </w:rPr>
        <w:t xml:space="preserve"> </w:t>
      </w:r>
      <w:r>
        <w:rPr>
          <w:spacing w:val="-2"/>
        </w:rPr>
        <w:t>Selection</w:t>
      </w:r>
    </w:p>
    <w:p>
      <w:pPr>
        <w:pStyle w:val="BodyText"/>
        <w:spacing w:before="252"/>
        <w:ind w:left="720" w:right="264"/>
      </w:pPr>
      <w:r>
        <w:t>CMS</w:t>
      </w:r>
      <w:r>
        <w:rPr>
          <w:spacing w:val="-3"/>
        </w:rPr>
        <w:t xml:space="preserve"> </w:t>
      </w:r>
      <w:r>
        <w:t>procured</w:t>
      </w:r>
      <w:r>
        <w:rPr>
          <w:spacing w:val="-3"/>
        </w:rPr>
        <w:t xml:space="preserve"> </w:t>
      </w:r>
      <w:r>
        <w:t>the</w:t>
      </w:r>
      <w:r>
        <w:rPr>
          <w:spacing w:val="-4"/>
        </w:rPr>
        <w:t xml:space="preserve"> </w:t>
      </w:r>
      <w:r>
        <w:t>services</w:t>
      </w:r>
      <w:r>
        <w:rPr>
          <w:spacing w:val="-3"/>
        </w:rPr>
        <w:t xml:space="preserve"> </w:t>
      </w:r>
      <w:r>
        <w:t>of</w:t>
      </w:r>
      <w:r>
        <w:rPr>
          <w:spacing w:val="-4"/>
        </w:rPr>
        <w:t xml:space="preserve"> </w:t>
      </w:r>
      <w:r>
        <w:t>a</w:t>
      </w:r>
      <w:r>
        <w:rPr>
          <w:spacing w:val="-4"/>
        </w:rPr>
        <w:t xml:space="preserve"> </w:t>
      </w:r>
      <w:r>
        <w:t>contractor,</w:t>
      </w:r>
      <w:r>
        <w:rPr>
          <w:spacing w:val="-3"/>
        </w:rPr>
        <w:t xml:space="preserve"> </w:t>
      </w:r>
      <w:r>
        <w:t>A.</w:t>
      </w:r>
      <w:r>
        <w:rPr>
          <w:spacing w:val="-4"/>
        </w:rPr>
        <w:t xml:space="preserve"> </w:t>
      </w:r>
      <w:r>
        <w:t>Reddix</w:t>
      </w:r>
      <w:r>
        <w:rPr>
          <w:spacing w:val="-4"/>
        </w:rPr>
        <w:t xml:space="preserve"> </w:t>
      </w:r>
      <w:r>
        <w:t>&amp;</w:t>
      </w:r>
      <w:r>
        <w:rPr>
          <w:spacing w:val="-4"/>
        </w:rPr>
        <w:t xml:space="preserve"> </w:t>
      </w:r>
      <w:r>
        <w:t>Associates</w:t>
      </w:r>
      <w:r>
        <w:rPr>
          <w:spacing w:val="-3"/>
        </w:rPr>
        <w:t xml:space="preserve"> </w:t>
      </w:r>
      <w:r>
        <w:t>(ARDX),</w:t>
      </w:r>
      <w:r>
        <w:rPr>
          <w:spacing w:val="-4"/>
        </w:rPr>
        <w:t xml:space="preserve"> </w:t>
      </w:r>
      <w:r>
        <w:t>to</w:t>
      </w:r>
      <w:r>
        <w:rPr>
          <w:spacing w:val="-3"/>
        </w:rPr>
        <w:t xml:space="preserve"> </w:t>
      </w:r>
      <w:r>
        <w:t>help</w:t>
      </w:r>
      <w:r>
        <w:rPr>
          <w:spacing w:val="-3"/>
        </w:rPr>
        <w:t xml:space="preserve"> </w:t>
      </w:r>
      <w:r>
        <w:t>with</w:t>
      </w:r>
      <w:r>
        <w:rPr>
          <w:spacing w:val="-3"/>
        </w:rPr>
        <w:t xml:space="preserve"> </w:t>
      </w:r>
      <w:r>
        <w:t>its</w:t>
      </w:r>
      <w:r>
        <w:rPr>
          <w:spacing w:val="-3"/>
        </w:rPr>
        <w:t xml:space="preserve"> </w:t>
      </w:r>
      <w:r>
        <w:t>training and technical outreach efforts that support Stakeholder Training and Program Support. With the services of the contractor, CMS will provide training and technical assistance primarily through weekly, bi-weekly, monthly, and quarterly Webinars and Computer Based Trainings (CBTs). A web portal (</w:t>
      </w:r>
      <w:hyperlink r:id="rId4">
        <w:r>
          <w:t>http://regtap.cms.gov)</w:t>
        </w:r>
      </w:hyperlink>
      <w:r>
        <w:t xml:space="preserve"> was developed to support CMS’ training efforts and to provide a centralized location for resource information, training session registration, and technical assistance.</w:t>
      </w:r>
    </w:p>
    <w:p>
      <w:pPr>
        <w:pStyle w:val="BodyText"/>
        <w:ind w:left="720" w:right="411"/>
      </w:pPr>
      <w:r>
        <w:t>The contractor (ARDX) plans to utilize surveys as part of a comprehensive evaluation process and will</w:t>
      </w:r>
      <w:r>
        <w:rPr>
          <w:spacing w:val="-4"/>
        </w:rPr>
        <w:t xml:space="preserve"> </w:t>
      </w:r>
      <w:r>
        <w:t>solicit</w:t>
      </w:r>
      <w:r>
        <w:rPr>
          <w:spacing w:val="-5"/>
        </w:rPr>
        <w:t xml:space="preserve"> </w:t>
      </w:r>
      <w:r>
        <w:t>voluntary</w:t>
      </w:r>
      <w:r>
        <w:rPr>
          <w:spacing w:val="-4"/>
        </w:rPr>
        <w:t xml:space="preserve"> </w:t>
      </w:r>
      <w:r>
        <w:t>feedback</w:t>
      </w:r>
      <w:r>
        <w:rPr>
          <w:spacing w:val="-5"/>
        </w:rPr>
        <w:t xml:space="preserve"> </w:t>
      </w:r>
      <w:r>
        <w:t>from</w:t>
      </w:r>
      <w:r>
        <w:rPr>
          <w:spacing w:val="-5"/>
        </w:rPr>
        <w:t xml:space="preserve"> </w:t>
      </w:r>
      <w:r>
        <w:t>stakeholders</w:t>
      </w:r>
      <w:r>
        <w:rPr>
          <w:spacing w:val="-5"/>
        </w:rPr>
        <w:t xml:space="preserve"> </w:t>
      </w:r>
      <w:r>
        <w:t>regarding</w:t>
      </w:r>
      <w:r>
        <w:rPr>
          <w:spacing w:val="-4"/>
        </w:rPr>
        <w:t xml:space="preserve"> </w:t>
      </w:r>
      <w:r>
        <w:t>individual</w:t>
      </w:r>
      <w:r>
        <w:rPr>
          <w:spacing w:val="-5"/>
        </w:rPr>
        <w:t xml:space="preserve"> </w:t>
      </w:r>
      <w:r>
        <w:t>training</w:t>
      </w:r>
      <w:r>
        <w:rPr>
          <w:spacing w:val="-4"/>
        </w:rPr>
        <w:t xml:space="preserve"> </w:t>
      </w:r>
      <w:r>
        <w:t>sessions</w:t>
      </w:r>
      <w:r>
        <w:rPr>
          <w:spacing w:val="-4"/>
        </w:rPr>
        <w:t xml:space="preserve"> </w:t>
      </w:r>
      <w:r>
        <w:t>and</w:t>
      </w:r>
      <w:r>
        <w:rPr>
          <w:spacing w:val="-4"/>
        </w:rPr>
        <w:t xml:space="preserve"> </w:t>
      </w:r>
      <w:r>
        <w:t>technical assistance</w:t>
      </w:r>
      <w:r>
        <w:rPr>
          <w:spacing w:val="-1"/>
        </w:rPr>
        <w:t xml:space="preserve"> </w:t>
      </w:r>
      <w:r>
        <w:t>provided</w:t>
      </w:r>
      <w:r>
        <w:rPr>
          <w:spacing w:val="-1"/>
        </w:rPr>
        <w:t xml:space="preserve"> </w:t>
      </w:r>
      <w:r>
        <w:t>under</w:t>
      </w:r>
      <w:r>
        <w:rPr>
          <w:spacing w:val="-1"/>
        </w:rPr>
        <w:t xml:space="preserve"> </w:t>
      </w:r>
      <w:r>
        <w:t>this</w:t>
      </w:r>
      <w:r>
        <w:rPr>
          <w:spacing w:val="-1"/>
        </w:rPr>
        <w:t xml:space="preserve"> </w:t>
      </w:r>
      <w:r>
        <w:t>contract.</w:t>
      </w:r>
      <w:r>
        <w:rPr>
          <w:spacing w:val="-1"/>
        </w:rPr>
        <w:t xml:space="preserve"> </w:t>
      </w:r>
      <w:r>
        <w:t>Stakeholders</w:t>
      </w:r>
      <w:r>
        <w:rPr>
          <w:spacing w:val="-1"/>
        </w:rPr>
        <w:t xml:space="preserve"> </w:t>
      </w:r>
      <w:r>
        <w:t>also have</w:t>
      </w:r>
      <w:r>
        <w:rPr>
          <w:spacing w:val="-1"/>
        </w:rPr>
        <w:t xml:space="preserve"> </w:t>
      </w:r>
      <w:r>
        <w:t>an opportunity to provide</w:t>
      </w:r>
      <w:r>
        <w:rPr>
          <w:spacing w:val="-1"/>
        </w:rPr>
        <w:t xml:space="preserve"> </w:t>
      </w:r>
      <w:r>
        <w:t>unsolicited feedback regarding REGTAP through the web portal.</w:t>
      </w:r>
    </w:p>
    <w:p>
      <w:pPr>
        <w:pStyle w:val="BodyText"/>
      </w:pPr>
    </w:p>
    <w:p>
      <w:pPr>
        <w:pStyle w:val="BodyText"/>
        <w:ind w:left="720" w:right="349"/>
      </w:pPr>
      <w:r>
        <w:t>The universe of respondents includes States, issuers, Assisters, self-insured health plans, third-party administrators (TPA) of self-insured health plans, agents and brokers, Providers/Facilities, and other stakeholders participating in the Marketplace and/or programs mandated by the Affordable Care Act (ACA)</w:t>
      </w:r>
      <w:r>
        <w:rPr>
          <w:spacing w:val="-4"/>
        </w:rPr>
        <w:t xml:space="preserve"> </w:t>
      </w:r>
      <w:r>
        <w:t>and</w:t>
      </w:r>
      <w:r>
        <w:rPr>
          <w:spacing w:val="-3"/>
        </w:rPr>
        <w:t xml:space="preserve"> </w:t>
      </w:r>
      <w:r>
        <w:t>the</w:t>
      </w:r>
      <w:r>
        <w:rPr>
          <w:spacing w:val="-4"/>
        </w:rPr>
        <w:t xml:space="preserve"> </w:t>
      </w:r>
      <w:r>
        <w:t>Consolidated</w:t>
      </w:r>
      <w:r>
        <w:rPr>
          <w:spacing w:val="-3"/>
        </w:rPr>
        <w:t xml:space="preserve"> </w:t>
      </w:r>
      <w:r>
        <w:t>Appropriations</w:t>
      </w:r>
      <w:r>
        <w:rPr>
          <w:spacing w:val="-4"/>
        </w:rPr>
        <w:t xml:space="preserve"> </w:t>
      </w:r>
      <w:r>
        <w:t>Act</w:t>
      </w:r>
      <w:r>
        <w:rPr>
          <w:spacing w:val="-4"/>
        </w:rPr>
        <w:t xml:space="preserve"> </w:t>
      </w:r>
      <w:r>
        <w:t>(CAA)</w:t>
      </w:r>
      <w:r>
        <w:rPr>
          <w:spacing w:val="-1"/>
        </w:rPr>
        <w:t xml:space="preserve"> </w:t>
      </w:r>
      <w:r>
        <w:t>of</w:t>
      </w:r>
      <w:r>
        <w:rPr>
          <w:spacing w:val="-3"/>
        </w:rPr>
        <w:t xml:space="preserve"> </w:t>
      </w:r>
      <w:r>
        <w:t>2021,</w:t>
      </w:r>
      <w:r>
        <w:rPr>
          <w:spacing w:val="-3"/>
        </w:rPr>
        <w:t xml:space="preserve"> </w:t>
      </w:r>
      <w:r>
        <w:t>Title</w:t>
      </w:r>
      <w:r>
        <w:rPr>
          <w:spacing w:val="-4"/>
        </w:rPr>
        <w:t xml:space="preserve"> </w:t>
      </w:r>
      <w:r>
        <w:t>I,</w:t>
      </w:r>
      <w:r>
        <w:rPr>
          <w:spacing w:val="-3"/>
        </w:rPr>
        <w:t xml:space="preserve"> </w:t>
      </w:r>
      <w:r>
        <w:t>“No</w:t>
      </w:r>
      <w:r>
        <w:rPr>
          <w:spacing w:val="-3"/>
        </w:rPr>
        <w:t xml:space="preserve"> </w:t>
      </w:r>
      <w:r>
        <w:t>Surprises</w:t>
      </w:r>
      <w:r>
        <w:rPr>
          <w:spacing w:val="-4"/>
        </w:rPr>
        <w:t xml:space="preserve"> </w:t>
      </w:r>
      <w:r>
        <w:t>Act”</w:t>
      </w:r>
      <w:r>
        <w:rPr>
          <w:spacing w:val="-2"/>
        </w:rPr>
        <w:t xml:space="preserve"> </w:t>
      </w:r>
      <w:r>
        <w:t>and</w:t>
      </w:r>
      <w:r>
        <w:rPr>
          <w:spacing w:val="-3"/>
        </w:rPr>
        <w:t xml:space="preserve"> </w:t>
      </w:r>
      <w:r>
        <w:t>Title II, “Transparency” (NST). Stakeholders include States, issuers, Assisters, self-insured group health plans, third-party administrators (TPA), agents and brokers, Providers/Facilities, and other entities who register for and participate in training programs. The proposed data collections will not employ statistical sampling procedures or use statistical methods to produce population estimates.</w:t>
      </w:r>
    </w:p>
    <w:p>
      <w:pPr>
        <w:pStyle w:val="BodyText"/>
        <w:spacing w:before="1"/>
      </w:pPr>
    </w:p>
    <w:p>
      <w:pPr>
        <w:pStyle w:val="Heading1"/>
        <w:numPr>
          <w:ilvl w:val="0"/>
          <w:numId w:val="1"/>
        </w:numPr>
        <w:tabs>
          <w:tab w:val="left" w:pos="580"/>
        </w:tabs>
        <w:spacing w:before="0" w:after="0" w:line="240" w:lineRule="auto"/>
        <w:ind w:left="580" w:right="0" w:hanging="220"/>
        <w:jc w:val="left"/>
      </w:pPr>
      <w:r>
        <w:t>Procedures</w:t>
      </w:r>
      <w:r>
        <w:rPr>
          <w:spacing w:val="-9"/>
        </w:rPr>
        <w:t xml:space="preserve"> </w:t>
      </w:r>
      <w:r>
        <w:t>for</w:t>
      </w:r>
      <w:r>
        <w:rPr>
          <w:spacing w:val="-9"/>
        </w:rPr>
        <w:t xml:space="preserve"> </w:t>
      </w:r>
      <w:r>
        <w:t>Collecting</w:t>
      </w:r>
      <w:r>
        <w:rPr>
          <w:spacing w:val="-7"/>
        </w:rPr>
        <w:t xml:space="preserve"> </w:t>
      </w:r>
      <w:r>
        <w:rPr>
          <w:spacing w:val="-2"/>
        </w:rPr>
        <w:t>Information</w:t>
      </w:r>
    </w:p>
    <w:p>
      <w:pPr>
        <w:pStyle w:val="BodyText"/>
        <w:spacing w:before="253"/>
        <w:ind w:left="720" w:right="421"/>
        <w:jc w:val="both"/>
      </w:pPr>
      <w:r>
        <w:t>The</w:t>
      </w:r>
      <w:r>
        <w:rPr>
          <w:spacing w:val="-3"/>
        </w:rPr>
        <w:t xml:space="preserve"> </w:t>
      </w:r>
      <w:r>
        <w:t>Agency</w:t>
      </w:r>
      <w:r>
        <w:rPr>
          <w:spacing w:val="-3"/>
        </w:rPr>
        <w:t xml:space="preserve"> </w:t>
      </w:r>
      <w:r>
        <w:t>expects</w:t>
      </w:r>
      <w:r>
        <w:rPr>
          <w:spacing w:val="-3"/>
        </w:rPr>
        <w:t xml:space="preserve"> </w:t>
      </w:r>
      <w:r>
        <w:t>to</w:t>
      </w:r>
      <w:r>
        <w:rPr>
          <w:spacing w:val="-2"/>
        </w:rPr>
        <w:t xml:space="preserve"> </w:t>
      </w:r>
      <w:r>
        <w:t>use</w:t>
      </w:r>
      <w:r>
        <w:rPr>
          <w:spacing w:val="-3"/>
        </w:rPr>
        <w:t xml:space="preserve"> </w:t>
      </w:r>
      <w:r>
        <w:t>a</w:t>
      </w:r>
      <w:r>
        <w:rPr>
          <w:spacing w:val="-3"/>
        </w:rPr>
        <w:t xml:space="preserve"> </w:t>
      </w:r>
      <w:r>
        <w:t>variety</w:t>
      </w:r>
      <w:r>
        <w:rPr>
          <w:spacing w:val="-2"/>
        </w:rPr>
        <w:t xml:space="preserve"> </w:t>
      </w:r>
      <w:r>
        <w:t>of</w:t>
      </w:r>
      <w:r>
        <w:rPr>
          <w:spacing w:val="-3"/>
        </w:rPr>
        <w:t xml:space="preserve"> </w:t>
      </w:r>
      <w:r>
        <w:t>methodologies</w:t>
      </w:r>
      <w:r>
        <w:rPr>
          <w:spacing w:val="-3"/>
        </w:rPr>
        <w:t xml:space="preserve"> </w:t>
      </w:r>
      <w:r>
        <w:t>for</w:t>
      </w:r>
      <w:r>
        <w:rPr>
          <w:spacing w:val="-3"/>
        </w:rPr>
        <w:t xml:space="preserve"> </w:t>
      </w:r>
      <w:r>
        <w:t>these</w:t>
      </w:r>
      <w:r>
        <w:rPr>
          <w:spacing w:val="-3"/>
        </w:rPr>
        <w:t xml:space="preserve"> </w:t>
      </w:r>
      <w:r>
        <w:t>collections.</w:t>
      </w:r>
      <w:r>
        <w:rPr>
          <w:spacing w:val="-3"/>
        </w:rPr>
        <w:t xml:space="preserve"> </w:t>
      </w:r>
      <w:r>
        <w:t>For</w:t>
      </w:r>
      <w:r>
        <w:rPr>
          <w:spacing w:val="-3"/>
        </w:rPr>
        <w:t xml:space="preserve"> </w:t>
      </w:r>
      <w:r>
        <w:t>example,</w:t>
      </w:r>
      <w:r>
        <w:rPr>
          <w:spacing w:val="-3"/>
        </w:rPr>
        <w:t xml:space="preserve"> </w:t>
      </w:r>
      <w:r>
        <w:t>the</w:t>
      </w:r>
      <w:r>
        <w:rPr>
          <w:spacing w:val="-3"/>
        </w:rPr>
        <w:t xml:space="preserve"> </w:t>
      </w:r>
      <w:r>
        <w:t>Agency or its contractor (ARDX) will use the</w:t>
      </w:r>
      <w:r>
        <w:rPr>
          <w:spacing w:val="-1"/>
        </w:rPr>
        <w:t xml:space="preserve"> </w:t>
      </w:r>
      <w:r>
        <w:t>following instruments and associated methods to conduct</w:t>
      </w:r>
      <w:r>
        <w:rPr>
          <w:spacing w:val="-1"/>
        </w:rPr>
        <w:t xml:space="preserve"> </w:t>
      </w:r>
      <w:r>
        <w:t xml:space="preserve">these </w:t>
      </w:r>
      <w:r>
        <w:rPr>
          <w:spacing w:val="-2"/>
        </w:rPr>
        <w:t>evaluations:</w:t>
      </w:r>
    </w:p>
    <w:p>
      <w:pPr>
        <w:pStyle w:val="BodyText"/>
      </w:pPr>
    </w:p>
    <w:p>
      <w:pPr>
        <w:pStyle w:val="ListParagraph"/>
        <w:numPr>
          <w:ilvl w:val="1"/>
          <w:numId w:val="1"/>
        </w:numPr>
        <w:tabs>
          <w:tab w:val="left" w:pos="720"/>
        </w:tabs>
        <w:spacing w:before="0" w:after="0" w:line="240" w:lineRule="auto"/>
        <w:ind w:left="720" w:right="544" w:hanging="360"/>
        <w:jc w:val="left"/>
        <w:rPr>
          <w:sz w:val="22"/>
        </w:rPr>
      </w:pPr>
      <w:r>
        <w:rPr>
          <w:sz w:val="22"/>
        </w:rPr>
        <w:t>On-site</w:t>
      </w:r>
      <w:r>
        <w:rPr>
          <w:spacing w:val="-4"/>
          <w:sz w:val="22"/>
        </w:rPr>
        <w:t xml:space="preserve"> </w:t>
      </w:r>
      <w:r>
        <w:rPr>
          <w:sz w:val="22"/>
        </w:rPr>
        <w:t>Post-Training</w:t>
      </w:r>
      <w:r>
        <w:rPr>
          <w:spacing w:val="-3"/>
          <w:sz w:val="22"/>
        </w:rPr>
        <w:t xml:space="preserve"> </w:t>
      </w:r>
      <w:r>
        <w:rPr>
          <w:sz w:val="22"/>
        </w:rPr>
        <w:t>Surveys</w:t>
      </w:r>
      <w:r>
        <w:rPr>
          <w:spacing w:val="-2"/>
          <w:sz w:val="22"/>
        </w:rPr>
        <w:t xml:space="preserve"> </w:t>
      </w:r>
      <w:r>
        <w:rPr>
          <w:sz w:val="22"/>
        </w:rPr>
        <w:t>will</w:t>
      </w:r>
      <w:r>
        <w:rPr>
          <w:spacing w:val="-4"/>
          <w:sz w:val="22"/>
        </w:rPr>
        <w:t xml:space="preserve"> </w:t>
      </w:r>
      <w:r>
        <w:rPr>
          <w:sz w:val="22"/>
        </w:rPr>
        <w:t>be</w:t>
      </w:r>
      <w:r>
        <w:rPr>
          <w:spacing w:val="-3"/>
          <w:sz w:val="22"/>
        </w:rPr>
        <w:t xml:space="preserve"> </w:t>
      </w:r>
      <w:r>
        <w:rPr>
          <w:sz w:val="22"/>
        </w:rPr>
        <w:t>provided</w:t>
      </w:r>
      <w:r>
        <w:rPr>
          <w:spacing w:val="-2"/>
          <w:sz w:val="22"/>
        </w:rPr>
        <w:t xml:space="preserve"> </w:t>
      </w:r>
      <w:r>
        <w:rPr>
          <w:sz w:val="22"/>
        </w:rPr>
        <w:t>to</w:t>
      </w:r>
      <w:r>
        <w:rPr>
          <w:spacing w:val="-3"/>
          <w:sz w:val="22"/>
        </w:rPr>
        <w:t xml:space="preserve"> </w:t>
      </w:r>
      <w:r>
        <w:rPr>
          <w:sz w:val="22"/>
        </w:rPr>
        <w:t>each</w:t>
      </w:r>
      <w:r>
        <w:rPr>
          <w:spacing w:val="-3"/>
          <w:sz w:val="22"/>
        </w:rPr>
        <w:t xml:space="preserve"> </w:t>
      </w:r>
      <w:r>
        <w:rPr>
          <w:sz w:val="22"/>
        </w:rPr>
        <w:t>participant</w:t>
      </w:r>
      <w:r>
        <w:rPr>
          <w:spacing w:val="-3"/>
          <w:sz w:val="22"/>
        </w:rPr>
        <w:t xml:space="preserve"> </w:t>
      </w:r>
      <w:r>
        <w:rPr>
          <w:sz w:val="22"/>
        </w:rPr>
        <w:t>for</w:t>
      </w:r>
      <w:r>
        <w:rPr>
          <w:spacing w:val="-4"/>
          <w:sz w:val="22"/>
        </w:rPr>
        <w:t xml:space="preserve"> </w:t>
      </w:r>
      <w:r>
        <w:rPr>
          <w:sz w:val="22"/>
        </w:rPr>
        <w:t>completion</w:t>
      </w:r>
      <w:r>
        <w:rPr>
          <w:spacing w:val="-2"/>
          <w:sz w:val="22"/>
        </w:rPr>
        <w:t xml:space="preserve"> </w:t>
      </w:r>
      <w:r>
        <w:rPr>
          <w:sz w:val="22"/>
        </w:rPr>
        <w:t>at</w:t>
      </w:r>
      <w:r>
        <w:rPr>
          <w:spacing w:val="-4"/>
          <w:sz w:val="22"/>
        </w:rPr>
        <w:t xml:space="preserve"> </w:t>
      </w:r>
      <w:r>
        <w:rPr>
          <w:sz w:val="22"/>
        </w:rPr>
        <w:t>the</w:t>
      </w:r>
      <w:r>
        <w:rPr>
          <w:spacing w:val="-4"/>
          <w:sz w:val="22"/>
        </w:rPr>
        <w:t xml:space="preserve"> </w:t>
      </w:r>
      <w:r>
        <w:rPr>
          <w:sz w:val="22"/>
        </w:rPr>
        <w:t>end</w:t>
      </w:r>
      <w:r>
        <w:rPr>
          <w:spacing w:val="-3"/>
          <w:sz w:val="22"/>
        </w:rPr>
        <w:t xml:space="preserve"> </w:t>
      </w:r>
      <w:r>
        <w:rPr>
          <w:sz w:val="22"/>
        </w:rPr>
        <w:t>of</w:t>
      </w:r>
      <w:r>
        <w:rPr>
          <w:spacing w:val="-4"/>
          <w:sz w:val="22"/>
        </w:rPr>
        <w:t xml:space="preserve"> </w:t>
      </w:r>
      <w:r>
        <w:rPr>
          <w:sz w:val="22"/>
        </w:rPr>
        <w:t>each day of onsite events (with hardcopy and online survey completion options);</w:t>
      </w:r>
    </w:p>
    <w:p>
      <w:pPr>
        <w:pStyle w:val="ListParagraph"/>
        <w:numPr>
          <w:ilvl w:val="1"/>
          <w:numId w:val="1"/>
        </w:numPr>
        <w:tabs>
          <w:tab w:val="left" w:pos="720"/>
        </w:tabs>
        <w:spacing w:before="252" w:after="0" w:line="240" w:lineRule="auto"/>
        <w:ind w:left="720" w:right="613" w:hanging="360"/>
        <w:jc w:val="left"/>
        <w:rPr>
          <w:sz w:val="22"/>
        </w:rPr>
      </w:pPr>
      <w:r>
        <w:rPr>
          <w:sz w:val="22"/>
        </w:rPr>
        <w:t>Webinar Post-Training Participant Surveys will be available online and emailed to participants following</w:t>
      </w:r>
      <w:r>
        <w:rPr>
          <w:spacing w:val="-3"/>
          <w:sz w:val="22"/>
        </w:rPr>
        <w:t xml:space="preserve"> </w:t>
      </w:r>
      <w:r>
        <w:rPr>
          <w:sz w:val="22"/>
        </w:rPr>
        <w:t>those</w:t>
      </w:r>
      <w:r>
        <w:rPr>
          <w:spacing w:val="-4"/>
          <w:sz w:val="22"/>
        </w:rPr>
        <w:t xml:space="preserve"> </w:t>
      </w:r>
      <w:r>
        <w:rPr>
          <w:sz w:val="22"/>
        </w:rPr>
        <w:t>sessions</w:t>
      </w:r>
      <w:r>
        <w:rPr>
          <w:spacing w:val="-3"/>
          <w:sz w:val="22"/>
        </w:rPr>
        <w:t xml:space="preserve"> </w:t>
      </w:r>
      <w:r>
        <w:rPr>
          <w:sz w:val="22"/>
        </w:rPr>
        <w:t>in</w:t>
      </w:r>
      <w:r>
        <w:rPr>
          <w:spacing w:val="-3"/>
          <w:sz w:val="22"/>
        </w:rPr>
        <w:t xml:space="preserve"> </w:t>
      </w:r>
      <w:r>
        <w:rPr>
          <w:sz w:val="22"/>
        </w:rPr>
        <w:t>which</w:t>
      </w:r>
      <w:r>
        <w:rPr>
          <w:spacing w:val="-3"/>
          <w:sz w:val="22"/>
        </w:rPr>
        <w:t xml:space="preserve"> </w:t>
      </w:r>
      <w:r>
        <w:rPr>
          <w:sz w:val="22"/>
        </w:rPr>
        <w:t>they</w:t>
      </w:r>
      <w:r>
        <w:rPr>
          <w:spacing w:val="-4"/>
          <w:sz w:val="22"/>
        </w:rPr>
        <w:t xml:space="preserve"> </w:t>
      </w:r>
      <w:r>
        <w:rPr>
          <w:sz w:val="22"/>
        </w:rPr>
        <w:t>participated</w:t>
      </w:r>
      <w:r>
        <w:rPr>
          <w:spacing w:val="-5"/>
          <w:sz w:val="22"/>
        </w:rPr>
        <w:t xml:space="preserve"> </w:t>
      </w:r>
      <w:r>
        <w:rPr>
          <w:rFonts w:ascii="Calibri" w:hAnsi="Calibri"/>
          <w:sz w:val="22"/>
        </w:rPr>
        <w:t>(</w:t>
      </w:r>
      <w:r>
        <w:rPr>
          <w:sz w:val="22"/>
        </w:rPr>
        <w:t>with</w:t>
      </w:r>
      <w:r>
        <w:rPr>
          <w:spacing w:val="-3"/>
          <w:sz w:val="22"/>
        </w:rPr>
        <w:t xml:space="preserve"> </w:t>
      </w:r>
      <w:r>
        <w:rPr>
          <w:sz w:val="22"/>
        </w:rPr>
        <w:t>participants’</w:t>
      </w:r>
      <w:r>
        <w:rPr>
          <w:spacing w:val="-3"/>
          <w:sz w:val="22"/>
        </w:rPr>
        <w:t xml:space="preserve"> </w:t>
      </w:r>
      <w:r>
        <w:rPr>
          <w:sz w:val="22"/>
        </w:rPr>
        <w:t>web</w:t>
      </w:r>
      <w:r>
        <w:rPr>
          <w:spacing w:val="-4"/>
          <w:sz w:val="22"/>
        </w:rPr>
        <w:t xml:space="preserve"> </w:t>
      </w:r>
      <w:r>
        <w:rPr>
          <w:sz w:val="22"/>
        </w:rPr>
        <w:t>browsers</w:t>
      </w:r>
      <w:r>
        <w:rPr>
          <w:spacing w:val="-3"/>
          <w:sz w:val="22"/>
        </w:rPr>
        <w:t xml:space="preserve"> </w:t>
      </w:r>
      <w:r>
        <w:rPr>
          <w:sz w:val="22"/>
        </w:rPr>
        <w:t>directed</w:t>
      </w:r>
      <w:r>
        <w:rPr>
          <w:spacing w:val="-3"/>
          <w:sz w:val="22"/>
        </w:rPr>
        <w:t xml:space="preserve"> </w:t>
      </w:r>
      <w:r>
        <w:rPr>
          <w:sz w:val="22"/>
        </w:rPr>
        <w:t>to</w:t>
      </w:r>
      <w:r>
        <w:rPr>
          <w:spacing w:val="-3"/>
          <w:sz w:val="22"/>
        </w:rPr>
        <w:t xml:space="preserve"> </w:t>
      </w:r>
      <w:r>
        <w:rPr>
          <w:sz w:val="22"/>
        </w:rPr>
        <w:t>the survey for more immediate survey completion);</w:t>
      </w:r>
    </w:p>
    <w:p>
      <w:pPr>
        <w:pStyle w:val="BodyText"/>
        <w:spacing w:before="37"/>
      </w:pPr>
    </w:p>
    <w:p>
      <w:pPr>
        <w:pStyle w:val="ListParagraph"/>
        <w:numPr>
          <w:ilvl w:val="1"/>
          <w:numId w:val="1"/>
        </w:numPr>
        <w:tabs>
          <w:tab w:val="left" w:pos="720"/>
        </w:tabs>
        <w:spacing w:before="0" w:after="0" w:line="240" w:lineRule="auto"/>
        <w:ind w:left="720" w:right="1111" w:hanging="360"/>
        <w:jc w:val="left"/>
        <w:rPr>
          <w:sz w:val="22"/>
        </w:rPr>
      </w:pPr>
      <w:r>
        <w:rPr>
          <w:sz w:val="22"/>
        </w:rPr>
        <w:t>Computer</w:t>
      </w:r>
      <w:r>
        <w:rPr>
          <w:spacing w:val="-5"/>
          <w:sz w:val="22"/>
        </w:rPr>
        <w:t xml:space="preserve"> </w:t>
      </w:r>
      <w:r>
        <w:rPr>
          <w:sz w:val="22"/>
        </w:rPr>
        <w:t>Based</w:t>
      </w:r>
      <w:r>
        <w:rPr>
          <w:spacing w:val="-5"/>
          <w:sz w:val="22"/>
        </w:rPr>
        <w:t xml:space="preserve"> </w:t>
      </w:r>
      <w:r>
        <w:rPr>
          <w:sz w:val="22"/>
        </w:rPr>
        <w:t>Training</w:t>
      </w:r>
      <w:r>
        <w:rPr>
          <w:spacing w:val="-5"/>
          <w:sz w:val="22"/>
        </w:rPr>
        <w:t xml:space="preserve"> </w:t>
      </w:r>
      <w:r>
        <w:rPr>
          <w:sz w:val="22"/>
        </w:rPr>
        <w:t>(CBT)</w:t>
      </w:r>
      <w:r>
        <w:rPr>
          <w:spacing w:val="-2"/>
          <w:sz w:val="22"/>
        </w:rPr>
        <w:t xml:space="preserve"> </w:t>
      </w:r>
      <w:r>
        <w:rPr>
          <w:sz w:val="22"/>
        </w:rPr>
        <w:t>Post-Completion</w:t>
      </w:r>
      <w:r>
        <w:rPr>
          <w:spacing w:val="-3"/>
          <w:sz w:val="22"/>
        </w:rPr>
        <w:t xml:space="preserve"> </w:t>
      </w:r>
      <w:r>
        <w:rPr>
          <w:sz w:val="22"/>
        </w:rPr>
        <w:t>Surveys</w:t>
      </w:r>
      <w:r>
        <w:rPr>
          <w:spacing w:val="-5"/>
          <w:sz w:val="22"/>
        </w:rPr>
        <w:t xml:space="preserve"> </w:t>
      </w:r>
      <w:r>
        <w:rPr>
          <w:sz w:val="22"/>
        </w:rPr>
        <w:t>will</w:t>
      </w:r>
      <w:r>
        <w:rPr>
          <w:spacing w:val="-4"/>
          <w:sz w:val="22"/>
        </w:rPr>
        <w:t xml:space="preserve"> </w:t>
      </w:r>
      <w:r>
        <w:rPr>
          <w:sz w:val="22"/>
        </w:rPr>
        <w:t>be</w:t>
      </w:r>
      <w:r>
        <w:rPr>
          <w:spacing w:val="-4"/>
          <w:sz w:val="22"/>
        </w:rPr>
        <w:t xml:space="preserve"> </w:t>
      </w:r>
      <w:r>
        <w:rPr>
          <w:sz w:val="22"/>
        </w:rPr>
        <w:t>available</w:t>
      </w:r>
      <w:r>
        <w:rPr>
          <w:spacing w:val="-5"/>
          <w:sz w:val="22"/>
        </w:rPr>
        <w:t xml:space="preserve"> </w:t>
      </w:r>
      <w:r>
        <w:rPr>
          <w:sz w:val="22"/>
        </w:rPr>
        <w:t>online</w:t>
      </w:r>
      <w:r>
        <w:rPr>
          <w:spacing w:val="-5"/>
          <w:sz w:val="22"/>
        </w:rPr>
        <w:t xml:space="preserve"> </w:t>
      </w:r>
      <w:r>
        <w:rPr>
          <w:sz w:val="22"/>
        </w:rPr>
        <w:t>following completion of CBT;</w:t>
      </w:r>
    </w:p>
    <w:p>
      <w:pPr>
        <w:pStyle w:val="ListParagraph"/>
        <w:spacing w:after="0" w:line="240" w:lineRule="auto"/>
        <w:jc w:val="left"/>
        <w:rPr>
          <w:sz w:val="22"/>
        </w:rPr>
        <w:sectPr>
          <w:type w:val="continuous"/>
          <w:pgSz w:w="12240" w:h="15840"/>
          <w:pgMar w:top="1360" w:right="1080" w:bottom="280" w:left="1080" w:header="720" w:footer="720"/>
          <w:cols w:space="720"/>
        </w:sectPr>
      </w:pPr>
    </w:p>
    <w:p>
      <w:pPr>
        <w:pStyle w:val="ListParagraph"/>
        <w:numPr>
          <w:ilvl w:val="1"/>
          <w:numId w:val="1"/>
        </w:numPr>
        <w:tabs>
          <w:tab w:val="left" w:pos="720"/>
        </w:tabs>
        <w:spacing w:before="79" w:after="0" w:line="240" w:lineRule="auto"/>
        <w:ind w:left="720" w:right="529" w:hanging="360"/>
        <w:jc w:val="left"/>
        <w:rPr>
          <w:sz w:val="22"/>
        </w:rPr>
      </w:pPr>
      <w:r>
        <w:rPr>
          <w:sz w:val="22"/>
        </w:rPr>
        <w:t>An</w:t>
      </w:r>
      <w:r>
        <w:rPr>
          <w:spacing w:val="-2"/>
          <w:sz w:val="22"/>
        </w:rPr>
        <w:t xml:space="preserve"> </w:t>
      </w:r>
      <w:r>
        <w:rPr>
          <w:sz w:val="22"/>
        </w:rPr>
        <w:t>open-ended</w:t>
      </w:r>
      <w:r>
        <w:rPr>
          <w:spacing w:val="-2"/>
          <w:sz w:val="22"/>
        </w:rPr>
        <w:t xml:space="preserve"> </w:t>
      </w:r>
      <w:r>
        <w:rPr>
          <w:sz w:val="22"/>
        </w:rPr>
        <w:t>Web</w:t>
      </w:r>
      <w:r>
        <w:rPr>
          <w:spacing w:val="-2"/>
          <w:sz w:val="22"/>
        </w:rPr>
        <w:t xml:space="preserve"> </w:t>
      </w:r>
      <w:r>
        <w:rPr>
          <w:sz w:val="22"/>
        </w:rPr>
        <w:t>Portal</w:t>
      </w:r>
      <w:r>
        <w:rPr>
          <w:spacing w:val="-2"/>
          <w:sz w:val="22"/>
        </w:rPr>
        <w:t xml:space="preserve"> </w:t>
      </w:r>
      <w:r>
        <w:rPr>
          <w:sz w:val="22"/>
        </w:rPr>
        <w:t>Feedback</w:t>
      </w:r>
      <w:r>
        <w:rPr>
          <w:spacing w:val="-2"/>
          <w:sz w:val="22"/>
        </w:rPr>
        <w:t xml:space="preserve"> </w:t>
      </w:r>
      <w:r>
        <w:rPr>
          <w:sz w:val="22"/>
        </w:rPr>
        <w:t>Form</w:t>
      </w:r>
      <w:r>
        <w:rPr>
          <w:spacing w:val="-2"/>
          <w:sz w:val="22"/>
        </w:rPr>
        <w:t xml:space="preserve"> </w:t>
      </w:r>
      <w:r>
        <w:rPr>
          <w:sz w:val="22"/>
        </w:rPr>
        <w:t>will</w:t>
      </w:r>
      <w:r>
        <w:rPr>
          <w:spacing w:val="-3"/>
          <w:sz w:val="22"/>
        </w:rPr>
        <w:t xml:space="preserve"> </w:t>
      </w:r>
      <w:r>
        <w:rPr>
          <w:sz w:val="22"/>
        </w:rPr>
        <w:t>be</w:t>
      </w:r>
      <w:r>
        <w:rPr>
          <w:spacing w:val="-2"/>
          <w:sz w:val="22"/>
        </w:rPr>
        <w:t xml:space="preserve"> </w:t>
      </w:r>
      <w:r>
        <w:rPr>
          <w:sz w:val="22"/>
        </w:rPr>
        <w:t>available</w:t>
      </w:r>
      <w:r>
        <w:rPr>
          <w:spacing w:val="-3"/>
          <w:sz w:val="22"/>
        </w:rPr>
        <w:t xml:space="preserve"> </w:t>
      </w:r>
      <w:r>
        <w:rPr>
          <w:sz w:val="22"/>
        </w:rPr>
        <w:t>to</w:t>
      </w:r>
      <w:r>
        <w:rPr>
          <w:spacing w:val="-1"/>
          <w:sz w:val="22"/>
        </w:rPr>
        <w:t xml:space="preserve"> </w:t>
      </w:r>
      <w:r>
        <w:rPr>
          <w:sz w:val="22"/>
        </w:rPr>
        <w:t>web</w:t>
      </w:r>
      <w:r>
        <w:rPr>
          <w:spacing w:val="-2"/>
          <w:sz w:val="22"/>
        </w:rPr>
        <w:t xml:space="preserve"> </w:t>
      </w:r>
      <w:r>
        <w:rPr>
          <w:sz w:val="22"/>
        </w:rPr>
        <w:t>portal</w:t>
      </w:r>
      <w:r>
        <w:rPr>
          <w:spacing w:val="-3"/>
          <w:sz w:val="22"/>
        </w:rPr>
        <w:t xml:space="preserve"> </w:t>
      </w:r>
      <w:r>
        <w:rPr>
          <w:sz w:val="22"/>
        </w:rPr>
        <w:t>users</w:t>
      </w:r>
      <w:r>
        <w:rPr>
          <w:spacing w:val="-3"/>
          <w:sz w:val="22"/>
        </w:rPr>
        <w:t xml:space="preserve"> </w:t>
      </w:r>
      <w:r>
        <w:rPr>
          <w:sz w:val="22"/>
        </w:rPr>
        <w:t>24-hours</w:t>
      </w:r>
      <w:r>
        <w:rPr>
          <w:spacing w:val="-4"/>
          <w:sz w:val="22"/>
        </w:rPr>
        <w:t xml:space="preserve"> </w:t>
      </w:r>
      <w:r>
        <w:rPr>
          <w:sz w:val="22"/>
        </w:rPr>
        <w:t>per</w:t>
      </w:r>
      <w:r>
        <w:rPr>
          <w:spacing w:val="-2"/>
          <w:sz w:val="22"/>
        </w:rPr>
        <w:t xml:space="preserve"> </w:t>
      </w:r>
      <w:r>
        <w:rPr>
          <w:sz w:val="22"/>
        </w:rPr>
        <w:t>day,</w:t>
      </w:r>
      <w:r>
        <w:rPr>
          <w:spacing w:val="-3"/>
          <w:sz w:val="22"/>
        </w:rPr>
        <w:t xml:space="preserve"> </w:t>
      </w:r>
      <w:r>
        <w:rPr>
          <w:sz w:val="22"/>
        </w:rPr>
        <w:t>7 days per week for unsolicited feedback.</w:t>
      </w:r>
    </w:p>
    <w:p>
      <w:pPr>
        <w:pStyle w:val="BodyText"/>
        <w:spacing w:before="37"/>
      </w:pPr>
    </w:p>
    <w:p>
      <w:pPr>
        <w:pStyle w:val="ListParagraph"/>
        <w:numPr>
          <w:ilvl w:val="1"/>
          <w:numId w:val="1"/>
        </w:numPr>
        <w:tabs>
          <w:tab w:val="left" w:pos="720"/>
        </w:tabs>
        <w:spacing w:before="0" w:after="0" w:line="240" w:lineRule="auto"/>
        <w:ind w:left="720" w:right="1373" w:hanging="360"/>
        <w:jc w:val="left"/>
        <w:rPr>
          <w:sz w:val="22"/>
        </w:rPr>
      </w:pPr>
      <w:r>
        <w:rPr>
          <w:sz w:val="22"/>
        </w:rPr>
        <w:t>Personally</w:t>
      </w:r>
      <w:r>
        <w:rPr>
          <w:spacing w:val="-3"/>
          <w:sz w:val="22"/>
        </w:rPr>
        <w:t xml:space="preserve"> </w:t>
      </w:r>
      <w:r>
        <w:rPr>
          <w:sz w:val="22"/>
        </w:rPr>
        <w:t>Identifiable</w:t>
      </w:r>
      <w:r>
        <w:rPr>
          <w:spacing w:val="-2"/>
          <w:sz w:val="22"/>
        </w:rPr>
        <w:t xml:space="preserve"> </w:t>
      </w:r>
      <w:r>
        <w:rPr>
          <w:sz w:val="22"/>
        </w:rPr>
        <w:t>Information</w:t>
      </w:r>
      <w:r>
        <w:rPr>
          <w:spacing w:val="-2"/>
          <w:sz w:val="22"/>
        </w:rPr>
        <w:t xml:space="preserve"> </w:t>
      </w:r>
      <w:r>
        <w:rPr>
          <w:sz w:val="22"/>
        </w:rPr>
        <w:t>(PII)</w:t>
      </w:r>
      <w:r>
        <w:rPr>
          <w:spacing w:val="-3"/>
          <w:sz w:val="22"/>
        </w:rPr>
        <w:t xml:space="preserve"> </w:t>
      </w:r>
      <w:r>
        <w:rPr>
          <w:sz w:val="22"/>
        </w:rPr>
        <w:t>will</w:t>
      </w:r>
      <w:r>
        <w:rPr>
          <w:spacing w:val="-4"/>
          <w:sz w:val="22"/>
        </w:rPr>
        <w:t xml:space="preserve"> </w:t>
      </w:r>
      <w:r>
        <w:rPr>
          <w:sz w:val="22"/>
        </w:rPr>
        <w:t>not</w:t>
      </w:r>
      <w:r>
        <w:rPr>
          <w:spacing w:val="-3"/>
          <w:sz w:val="22"/>
        </w:rPr>
        <w:t xml:space="preserve"> </w:t>
      </w:r>
      <w:r>
        <w:rPr>
          <w:sz w:val="22"/>
        </w:rPr>
        <w:t>be</w:t>
      </w:r>
      <w:r>
        <w:rPr>
          <w:spacing w:val="-4"/>
          <w:sz w:val="22"/>
        </w:rPr>
        <w:t xml:space="preserve"> </w:t>
      </w:r>
      <w:r>
        <w:rPr>
          <w:sz w:val="22"/>
        </w:rPr>
        <w:t>collected</w:t>
      </w:r>
      <w:r>
        <w:rPr>
          <w:spacing w:val="-4"/>
          <w:sz w:val="22"/>
        </w:rPr>
        <w:t xml:space="preserve"> </w:t>
      </w:r>
      <w:r>
        <w:rPr>
          <w:sz w:val="22"/>
        </w:rPr>
        <w:t>as</w:t>
      </w:r>
      <w:r>
        <w:rPr>
          <w:spacing w:val="-4"/>
          <w:sz w:val="22"/>
        </w:rPr>
        <w:t xml:space="preserve"> </w:t>
      </w:r>
      <w:r>
        <w:rPr>
          <w:sz w:val="22"/>
        </w:rPr>
        <w:t>a</w:t>
      </w:r>
      <w:r>
        <w:rPr>
          <w:spacing w:val="-2"/>
          <w:sz w:val="22"/>
        </w:rPr>
        <w:t xml:space="preserve"> </w:t>
      </w:r>
      <w:r>
        <w:rPr>
          <w:sz w:val="22"/>
        </w:rPr>
        <w:t>part</w:t>
      </w:r>
      <w:r>
        <w:rPr>
          <w:spacing w:val="-3"/>
          <w:sz w:val="22"/>
        </w:rPr>
        <w:t xml:space="preserve"> </w:t>
      </w:r>
      <w:r>
        <w:rPr>
          <w:sz w:val="22"/>
        </w:rPr>
        <w:t>of</w:t>
      </w:r>
      <w:r>
        <w:rPr>
          <w:spacing w:val="-3"/>
          <w:sz w:val="22"/>
        </w:rPr>
        <w:t xml:space="preserve"> </w:t>
      </w:r>
      <w:r>
        <w:rPr>
          <w:sz w:val="22"/>
        </w:rPr>
        <w:t>any</w:t>
      </w:r>
      <w:r>
        <w:rPr>
          <w:spacing w:val="-3"/>
          <w:sz w:val="22"/>
        </w:rPr>
        <w:t xml:space="preserve"> </w:t>
      </w:r>
      <w:r>
        <w:rPr>
          <w:sz w:val="22"/>
        </w:rPr>
        <w:t>of</w:t>
      </w:r>
      <w:r>
        <w:rPr>
          <w:spacing w:val="-5"/>
          <w:sz w:val="22"/>
        </w:rPr>
        <w:t xml:space="preserve"> </w:t>
      </w:r>
      <w:r>
        <w:rPr>
          <w:sz w:val="22"/>
        </w:rPr>
        <w:t>these</w:t>
      </w:r>
      <w:r>
        <w:rPr>
          <w:spacing w:val="-1"/>
          <w:sz w:val="22"/>
        </w:rPr>
        <w:t xml:space="preserve"> </w:t>
      </w:r>
      <w:r>
        <w:rPr>
          <w:sz w:val="22"/>
        </w:rPr>
        <w:t xml:space="preserve">data </w:t>
      </w:r>
      <w:r>
        <w:rPr>
          <w:spacing w:val="-2"/>
          <w:sz w:val="22"/>
        </w:rPr>
        <w:t>collections.</w:t>
      </w:r>
    </w:p>
    <w:p>
      <w:pPr>
        <w:pStyle w:val="BodyText"/>
      </w:pPr>
    </w:p>
    <w:p>
      <w:pPr>
        <w:pStyle w:val="Heading1"/>
        <w:numPr>
          <w:ilvl w:val="0"/>
          <w:numId w:val="1"/>
        </w:numPr>
        <w:tabs>
          <w:tab w:val="left" w:pos="718"/>
        </w:tabs>
        <w:spacing w:before="1" w:after="0" w:line="240" w:lineRule="auto"/>
        <w:ind w:left="718" w:right="0" w:hanging="358"/>
        <w:jc w:val="left"/>
      </w:pPr>
      <w:r>
        <w:t>Methods</w:t>
      </w:r>
      <w:r>
        <w:rPr>
          <w:spacing w:val="-8"/>
        </w:rPr>
        <w:t xml:space="preserve"> </w:t>
      </w:r>
      <w:r>
        <w:t>to</w:t>
      </w:r>
      <w:r>
        <w:rPr>
          <w:spacing w:val="-7"/>
        </w:rPr>
        <w:t xml:space="preserve"> </w:t>
      </w:r>
      <w:r>
        <w:t>Maximize</w:t>
      </w:r>
      <w:r>
        <w:rPr>
          <w:spacing w:val="-8"/>
        </w:rPr>
        <w:t xml:space="preserve"> </w:t>
      </w:r>
      <w:r>
        <w:rPr>
          <w:spacing w:val="-2"/>
        </w:rPr>
        <w:t>Response</w:t>
      </w:r>
    </w:p>
    <w:p>
      <w:pPr>
        <w:pStyle w:val="BodyText"/>
        <w:spacing w:before="252"/>
        <w:ind w:left="720" w:right="411"/>
      </w:pPr>
      <w:r>
        <w:t>The contractor will use a mixed mode approach to maximize survey response rates. For example, following</w:t>
      </w:r>
      <w:r>
        <w:rPr>
          <w:spacing w:val="-2"/>
        </w:rPr>
        <w:t xml:space="preserve"> </w:t>
      </w:r>
      <w:r>
        <w:t>Webinars,</w:t>
      </w:r>
      <w:r>
        <w:rPr>
          <w:spacing w:val="-3"/>
        </w:rPr>
        <w:t xml:space="preserve"> </w:t>
      </w:r>
      <w:r>
        <w:t>the</w:t>
      </w:r>
      <w:r>
        <w:rPr>
          <w:spacing w:val="-5"/>
        </w:rPr>
        <w:t xml:space="preserve"> </w:t>
      </w:r>
      <w:r>
        <w:t>contractor</w:t>
      </w:r>
      <w:r>
        <w:rPr>
          <w:spacing w:val="-4"/>
        </w:rPr>
        <w:t xml:space="preserve"> </w:t>
      </w:r>
      <w:r>
        <w:t>will</w:t>
      </w:r>
      <w:r>
        <w:rPr>
          <w:spacing w:val="-3"/>
        </w:rPr>
        <w:t xml:space="preserve"> </w:t>
      </w:r>
      <w:r>
        <w:t>solicit</w:t>
      </w:r>
      <w:r>
        <w:rPr>
          <w:spacing w:val="-5"/>
        </w:rPr>
        <w:t xml:space="preserve"> </w:t>
      </w:r>
      <w:r>
        <w:t>feedback</w:t>
      </w:r>
      <w:r>
        <w:rPr>
          <w:spacing w:val="-5"/>
        </w:rPr>
        <w:t xml:space="preserve"> </w:t>
      </w:r>
      <w:r>
        <w:t>from</w:t>
      </w:r>
      <w:r>
        <w:rPr>
          <w:spacing w:val="-3"/>
        </w:rPr>
        <w:t xml:space="preserve"> </w:t>
      </w:r>
      <w:r>
        <w:t>stakeholders</w:t>
      </w:r>
      <w:r>
        <w:rPr>
          <w:spacing w:val="-3"/>
        </w:rPr>
        <w:t xml:space="preserve"> </w:t>
      </w:r>
      <w:r>
        <w:t>through</w:t>
      </w:r>
      <w:r>
        <w:rPr>
          <w:spacing w:val="-3"/>
        </w:rPr>
        <w:t xml:space="preserve"> </w:t>
      </w:r>
      <w:r>
        <w:t>an</w:t>
      </w:r>
      <w:r>
        <w:rPr>
          <w:spacing w:val="-5"/>
        </w:rPr>
        <w:t xml:space="preserve"> </w:t>
      </w:r>
      <w:r>
        <w:t>email</w:t>
      </w:r>
      <w:r>
        <w:rPr>
          <w:spacing w:val="-5"/>
        </w:rPr>
        <w:t xml:space="preserve"> </w:t>
      </w:r>
      <w:r>
        <w:t>request including a link to the Web-based Post-Training Participant Survey. In addition, the contractor will direct participants’ web browsers to the survey at the end of the Webinar session, allowing participants the opportunity to provide feedback as soon as each training session ends.</w:t>
      </w:r>
    </w:p>
    <w:p>
      <w:pPr>
        <w:pStyle w:val="BodyText"/>
      </w:pPr>
    </w:p>
    <w:p>
      <w:pPr>
        <w:pStyle w:val="BodyText"/>
        <w:ind w:left="720" w:right="411"/>
      </w:pPr>
      <w:r>
        <w:t>For</w:t>
      </w:r>
      <w:r>
        <w:rPr>
          <w:spacing w:val="-4"/>
        </w:rPr>
        <w:t xml:space="preserve"> </w:t>
      </w:r>
      <w:r>
        <w:t>onsite</w:t>
      </w:r>
      <w:r>
        <w:rPr>
          <w:spacing w:val="-4"/>
        </w:rPr>
        <w:t xml:space="preserve"> </w:t>
      </w:r>
      <w:r>
        <w:t>events,</w:t>
      </w:r>
      <w:r>
        <w:rPr>
          <w:spacing w:val="-1"/>
        </w:rPr>
        <w:t xml:space="preserve"> </w:t>
      </w:r>
      <w:r>
        <w:t>the</w:t>
      </w:r>
      <w:r>
        <w:rPr>
          <w:spacing w:val="-4"/>
        </w:rPr>
        <w:t xml:space="preserve"> </w:t>
      </w:r>
      <w:r>
        <w:t>contractor</w:t>
      </w:r>
      <w:r>
        <w:rPr>
          <w:spacing w:val="-4"/>
        </w:rPr>
        <w:t xml:space="preserve"> </w:t>
      </w:r>
      <w:r>
        <w:t>will</w:t>
      </w:r>
      <w:r>
        <w:rPr>
          <w:spacing w:val="-4"/>
        </w:rPr>
        <w:t xml:space="preserve"> </w:t>
      </w:r>
      <w:r>
        <w:t>provide</w:t>
      </w:r>
      <w:r>
        <w:rPr>
          <w:spacing w:val="-1"/>
        </w:rPr>
        <w:t xml:space="preserve"> </w:t>
      </w:r>
      <w:r>
        <w:t>hardcopy</w:t>
      </w:r>
      <w:r>
        <w:rPr>
          <w:spacing w:val="-3"/>
        </w:rPr>
        <w:t xml:space="preserve"> </w:t>
      </w:r>
      <w:r>
        <w:t>post-training</w:t>
      </w:r>
      <w:r>
        <w:rPr>
          <w:spacing w:val="-2"/>
        </w:rPr>
        <w:t xml:space="preserve"> </w:t>
      </w:r>
      <w:r>
        <w:t>surveys</w:t>
      </w:r>
      <w:r>
        <w:rPr>
          <w:spacing w:val="-3"/>
        </w:rPr>
        <w:t xml:space="preserve"> </w:t>
      </w:r>
      <w:r>
        <w:t>to</w:t>
      </w:r>
      <w:r>
        <w:rPr>
          <w:spacing w:val="-4"/>
        </w:rPr>
        <w:t xml:space="preserve"> </w:t>
      </w:r>
      <w:r>
        <w:t>each</w:t>
      </w:r>
      <w:r>
        <w:rPr>
          <w:spacing w:val="-3"/>
        </w:rPr>
        <w:t xml:space="preserve"> </w:t>
      </w:r>
      <w:r>
        <w:t>participant</w:t>
      </w:r>
      <w:r>
        <w:rPr>
          <w:spacing w:val="-2"/>
        </w:rPr>
        <w:t xml:space="preserve"> </w:t>
      </w:r>
      <w:r>
        <w:t>for completion at the end of each day of the event. In addition, onsite participants will have an opportunity to complete the survey using a web-based application.</w:t>
      </w:r>
    </w:p>
    <w:p>
      <w:pPr>
        <w:pStyle w:val="BodyText"/>
        <w:spacing w:before="253"/>
        <w:ind w:left="720"/>
      </w:pPr>
      <w:r>
        <w:t>Information</w:t>
      </w:r>
      <w:r>
        <w:rPr>
          <w:spacing w:val="-8"/>
        </w:rPr>
        <w:t xml:space="preserve"> </w:t>
      </w:r>
      <w:r>
        <w:t>collected</w:t>
      </w:r>
      <w:r>
        <w:rPr>
          <w:spacing w:val="-7"/>
        </w:rPr>
        <w:t xml:space="preserve"> </w:t>
      </w:r>
      <w:r>
        <w:t>under</w:t>
      </w:r>
      <w:r>
        <w:rPr>
          <w:spacing w:val="-8"/>
        </w:rPr>
        <w:t xml:space="preserve"> </w:t>
      </w:r>
      <w:r>
        <w:t>this</w:t>
      </w:r>
      <w:r>
        <w:rPr>
          <w:spacing w:val="-8"/>
        </w:rPr>
        <w:t xml:space="preserve"> </w:t>
      </w:r>
      <w:r>
        <w:t>generic</w:t>
      </w:r>
      <w:r>
        <w:rPr>
          <w:spacing w:val="-8"/>
        </w:rPr>
        <w:t xml:space="preserve"> </w:t>
      </w:r>
      <w:r>
        <w:t>clearance</w:t>
      </w:r>
      <w:r>
        <w:rPr>
          <w:spacing w:val="-8"/>
        </w:rPr>
        <w:t xml:space="preserve"> </w:t>
      </w:r>
      <w:r>
        <w:t>will</w:t>
      </w:r>
      <w:r>
        <w:rPr>
          <w:spacing w:val="-6"/>
        </w:rPr>
        <w:t xml:space="preserve"> </w:t>
      </w:r>
      <w:r>
        <w:t>not</w:t>
      </w:r>
      <w:r>
        <w:rPr>
          <w:spacing w:val="-7"/>
        </w:rPr>
        <w:t xml:space="preserve"> </w:t>
      </w:r>
      <w:r>
        <w:t>yield</w:t>
      </w:r>
      <w:r>
        <w:rPr>
          <w:spacing w:val="-8"/>
        </w:rPr>
        <w:t xml:space="preserve"> </w:t>
      </w:r>
      <w:r>
        <w:t>generalizable</w:t>
      </w:r>
      <w:r>
        <w:rPr>
          <w:spacing w:val="-8"/>
        </w:rPr>
        <w:t xml:space="preserve"> </w:t>
      </w:r>
      <w:r>
        <w:t>quantitative</w:t>
      </w:r>
      <w:r>
        <w:rPr>
          <w:spacing w:val="-8"/>
        </w:rPr>
        <w:t xml:space="preserve"> </w:t>
      </w:r>
      <w:r>
        <w:rPr>
          <w:spacing w:val="-2"/>
        </w:rPr>
        <w:t>findings.</w:t>
      </w:r>
    </w:p>
    <w:p>
      <w:pPr>
        <w:pStyle w:val="BodyText"/>
      </w:pPr>
    </w:p>
    <w:p>
      <w:pPr>
        <w:pStyle w:val="Heading1"/>
        <w:numPr>
          <w:ilvl w:val="0"/>
          <w:numId w:val="1"/>
        </w:numPr>
        <w:tabs>
          <w:tab w:val="left" w:pos="809"/>
        </w:tabs>
        <w:spacing w:before="0" w:after="0" w:line="240" w:lineRule="auto"/>
        <w:ind w:left="809" w:right="0" w:hanging="449"/>
        <w:jc w:val="left"/>
      </w:pPr>
      <w:r>
        <w:t>Testing</w:t>
      </w:r>
      <w:r>
        <w:rPr>
          <w:spacing w:val="-5"/>
        </w:rPr>
        <w:t xml:space="preserve"> </w:t>
      </w:r>
      <w:r>
        <w:t>of</w:t>
      </w:r>
      <w:r>
        <w:rPr>
          <w:spacing w:val="-4"/>
        </w:rPr>
        <w:t xml:space="preserve"> </w:t>
      </w:r>
      <w:r>
        <w:rPr>
          <w:spacing w:val="-2"/>
        </w:rPr>
        <w:t>Procedures</w:t>
      </w:r>
    </w:p>
    <w:p>
      <w:pPr>
        <w:pStyle w:val="BodyText"/>
        <w:rPr>
          <w:b/>
        </w:rPr>
      </w:pPr>
    </w:p>
    <w:p>
      <w:pPr>
        <w:pStyle w:val="BodyText"/>
        <w:ind w:left="720" w:right="264"/>
      </w:pPr>
      <w:r>
        <w:t>Pretesting</w:t>
      </w:r>
      <w:r>
        <w:rPr>
          <w:spacing w:val="-2"/>
        </w:rPr>
        <w:t xml:space="preserve"> </w:t>
      </w:r>
      <w:r>
        <w:t>may</w:t>
      </w:r>
      <w:r>
        <w:rPr>
          <w:spacing w:val="-2"/>
        </w:rPr>
        <w:t xml:space="preserve"> </w:t>
      </w:r>
      <w:r>
        <w:t>be</w:t>
      </w:r>
      <w:r>
        <w:rPr>
          <w:spacing w:val="-3"/>
        </w:rPr>
        <w:t xml:space="preserve"> </w:t>
      </w:r>
      <w:r>
        <w:t>conducted</w:t>
      </w:r>
      <w:r>
        <w:rPr>
          <w:spacing w:val="-3"/>
        </w:rPr>
        <w:t xml:space="preserve"> </w:t>
      </w:r>
      <w:r>
        <w:t>with</w:t>
      </w:r>
      <w:r>
        <w:rPr>
          <w:spacing w:val="-3"/>
        </w:rPr>
        <w:t xml:space="preserve"> </w:t>
      </w:r>
      <w:r>
        <w:t>internal</w:t>
      </w:r>
      <w:r>
        <w:rPr>
          <w:spacing w:val="-4"/>
        </w:rPr>
        <w:t xml:space="preserve"> </w:t>
      </w:r>
      <w:r>
        <w:t>staff</w:t>
      </w:r>
      <w:r>
        <w:rPr>
          <w:spacing w:val="-2"/>
        </w:rPr>
        <w:t xml:space="preserve"> </w:t>
      </w:r>
      <w:r>
        <w:t>and/or</w:t>
      </w:r>
      <w:r>
        <w:rPr>
          <w:spacing w:val="-4"/>
        </w:rPr>
        <w:t xml:space="preserve"> </w:t>
      </w:r>
      <w:r>
        <w:t>customers</w:t>
      </w:r>
      <w:r>
        <w:rPr>
          <w:spacing w:val="-3"/>
        </w:rPr>
        <w:t xml:space="preserve"> </w:t>
      </w:r>
      <w:r>
        <w:t>who</w:t>
      </w:r>
      <w:r>
        <w:rPr>
          <w:spacing w:val="-3"/>
        </w:rPr>
        <w:t xml:space="preserve"> </w:t>
      </w:r>
      <w:r>
        <w:t>are</w:t>
      </w:r>
      <w:r>
        <w:rPr>
          <w:spacing w:val="-4"/>
        </w:rPr>
        <w:t xml:space="preserve"> </w:t>
      </w:r>
      <w:r>
        <w:t>familiar</w:t>
      </w:r>
      <w:r>
        <w:rPr>
          <w:spacing w:val="-3"/>
        </w:rPr>
        <w:t xml:space="preserve"> </w:t>
      </w:r>
      <w:r>
        <w:t>with</w:t>
      </w:r>
      <w:r>
        <w:rPr>
          <w:spacing w:val="-3"/>
        </w:rPr>
        <w:t xml:space="preserve"> </w:t>
      </w:r>
      <w:r>
        <w:t>the</w:t>
      </w:r>
      <w:r>
        <w:rPr>
          <w:spacing w:val="-4"/>
        </w:rPr>
        <w:t xml:space="preserve"> </w:t>
      </w:r>
      <w:r>
        <w:t>programs and products.</w:t>
      </w:r>
      <w:r>
        <w:rPr>
          <w:spacing w:val="40"/>
        </w:rPr>
        <w:t xml:space="preserve"> </w:t>
      </w:r>
      <w:r>
        <w:t>If pretests are conducted with members of the public, and the number of pretest respondents exceeds nine members of the public, the Agency will submit the pretest instruments for review under this generic clearance.</w:t>
      </w:r>
    </w:p>
    <w:p>
      <w:pPr>
        <w:pStyle w:val="BodyText"/>
      </w:pPr>
    </w:p>
    <w:p>
      <w:pPr>
        <w:pStyle w:val="BodyText"/>
        <w:spacing w:before="1"/>
      </w:pPr>
    </w:p>
    <w:p>
      <w:pPr>
        <w:pStyle w:val="Heading1"/>
        <w:numPr>
          <w:ilvl w:val="0"/>
          <w:numId w:val="1"/>
        </w:numPr>
        <w:tabs>
          <w:tab w:val="left" w:pos="718"/>
        </w:tabs>
        <w:spacing w:before="0" w:after="0" w:line="240" w:lineRule="auto"/>
        <w:ind w:left="718" w:right="0" w:hanging="358"/>
        <w:jc w:val="left"/>
      </w:pPr>
      <w:r>
        <w:t>Contacts</w:t>
      </w:r>
      <w:r>
        <w:rPr>
          <w:spacing w:val="-7"/>
        </w:rPr>
        <w:t xml:space="preserve"> </w:t>
      </w:r>
      <w:r>
        <w:t>for</w:t>
      </w:r>
      <w:r>
        <w:rPr>
          <w:spacing w:val="-7"/>
        </w:rPr>
        <w:t xml:space="preserve"> </w:t>
      </w:r>
      <w:r>
        <w:t>Statistical</w:t>
      </w:r>
      <w:r>
        <w:rPr>
          <w:spacing w:val="-6"/>
        </w:rPr>
        <w:t xml:space="preserve"> </w:t>
      </w:r>
      <w:r>
        <w:t>Aspects</w:t>
      </w:r>
      <w:r>
        <w:rPr>
          <w:spacing w:val="-7"/>
        </w:rPr>
        <w:t xml:space="preserve"> </w:t>
      </w:r>
      <w:r>
        <w:t>and</w:t>
      </w:r>
      <w:r>
        <w:rPr>
          <w:spacing w:val="-6"/>
        </w:rPr>
        <w:t xml:space="preserve"> </w:t>
      </w:r>
      <w:r>
        <w:t>Data</w:t>
      </w:r>
      <w:r>
        <w:rPr>
          <w:spacing w:val="-6"/>
        </w:rPr>
        <w:t xml:space="preserve"> </w:t>
      </w:r>
      <w:r>
        <w:rPr>
          <w:spacing w:val="-2"/>
        </w:rPr>
        <w:t>Collection</w:t>
      </w:r>
    </w:p>
    <w:p>
      <w:pPr>
        <w:pStyle w:val="BodyText"/>
        <w:spacing w:before="252"/>
        <w:ind w:left="720" w:right="264"/>
      </w:pPr>
      <w:r>
        <w:t>Each program will obtain information from statisticians in the analysis of customer/partner service surveys, when appropriate. This information will be available from contractors and the Agency will include</w:t>
      </w:r>
      <w:r>
        <w:rPr>
          <w:spacing w:val="-4"/>
        </w:rPr>
        <w:t xml:space="preserve"> </w:t>
      </w:r>
      <w:r>
        <w:t>the</w:t>
      </w:r>
      <w:r>
        <w:rPr>
          <w:spacing w:val="-4"/>
        </w:rPr>
        <w:t xml:space="preserve"> </w:t>
      </w:r>
      <w:r>
        <w:t>names</w:t>
      </w:r>
      <w:r>
        <w:rPr>
          <w:spacing w:val="-4"/>
        </w:rPr>
        <w:t xml:space="preserve"> </w:t>
      </w:r>
      <w:r>
        <w:t>and</w:t>
      </w:r>
      <w:r>
        <w:rPr>
          <w:spacing w:val="-3"/>
        </w:rPr>
        <w:t xml:space="preserve"> </w:t>
      </w:r>
      <w:r>
        <w:t>contact</w:t>
      </w:r>
      <w:r>
        <w:rPr>
          <w:spacing w:val="-4"/>
        </w:rPr>
        <w:t xml:space="preserve"> </w:t>
      </w:r>
      <w:r>
        <w:t>information</w:t>
      </w:r>
      <w:r>
        <w:rPr>
          <w:spacing w:val="-3"/>
        </w:rPr>
        <w:t xml:space="preserve"> </w:t>
      </w:r>
      <w:r>
        <w:t>of</w:t>
      </w:r>
      <w:r>
        <w:rPr>
          <w:spacing w:val="-4"/>
        </w:rPr>
        <w:t xml:space="preserve"> </w:t>
      </w:r>
      <w:r>
        <w:t>persons</w:t>
      </w:r>
      <w:r>
        <w:rPr>
          <w:spacing w:val="-3"/>
        </w:rPr>
        <w:t xml:space="preserve"> </w:t>
      </w:r>
      <w:r>
        <w:t>consulted</w:t>
      </w:r>
      <w:r>
        <w:rPr>
          <w:spacing w:val="-4"/>
        </w:rPr>
        <w:t xml:space="preserve"> </w:t>
      </w:r>
      <w:r>
        <w:t>in</w:t>
      </w:r>
      <w:r>
        <w:rPr>
          <w:spacing w:val="-4"/>
        </w:rPr>
        <w:t xml:space="preserve"> </w:t>
      </w:r>
      <w:r>
        <w:t>the</w:t>
      </w:r>
      <w:r>
        <w:rPr>
          <w:spacing w:val="-4"/>
        </w:rPr>
        <w:t xml:space="preserve"> </w:t>
      </w:r>
      <w:r>
        <w:t>specific</w:t>
      </w:r>
      <w:r>
        <w:rPr>
          <w:spacing w:val="-4"/>
        </w:rPr>
        <w:t xml:space="preserve"> </w:t>
      </w:r>
      <w:r>
        <w:t>information</w:t>
      </w:r>
      <w:r>
        <w:rPr>
          <w:spacing w:val="-3"/>
        </w:rPr>
        <w:t xml:space="preserve"> </w:t>
      </w:r>
      <w:r>
        <w:t>collection requests submitted under this generic clearance.</w:t>
      </w:r>
    </w:p>
    <w:sectPr>
      <w:pgSz w:w="12240" w:h="15840"/>
      <w:pgMar w:top="1360" w:right="1080" w:bottom="280" w:left="108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BF6A5A"/>
    <w:multiLevelType w:val="hybridMultilevel"/>
    <w:tmpl w:val="00000000"/>
    <w:lvl w:ilvl="0">
      <w:start w:val="1"/>
      <w:numFmt w:val="decimal"/>
      <w:lvlText w:val="%1."/>
      <w:lvlJc w:val="left"/>
      <w:pPr>
        <w:ind w:left="1080" w:hanging="361"/>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0"/>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2"/>
      <w:szCs w:val="22"/>
      <w:lang w:val="en-US" w:eastAsia="en-US" w:bidi="ar-SA"/>
    </w:rPr>
  </w:style>
  <w:style w:type="paragraph" w:customStyle="1" w:styleId="Heading1">
    <w:name w:val="Heading 1"/>
    <w:basedOn w:val="Normal"/>
    <w:uiPriority w:val="1"/>
    <w:qFormat/>
    <w:pPr>
      <w:ind w:left="718" w:hanging="358"/>
      <w:outlineLvl w:val="1"/>
    </w:pPr>
    <w:rPr>
      <w:rFonts w:ascii="Times New Roman" w:eastAsia="Times New Roman" w:hAnsi="Times New Roman" w:cs="Times New Roman"/>
      <w:b/>
      <w:bCs/>
      <w:sz w:val="22"/>
      <w:szCs w:val="22"/>
      <w:lang w:val="en-US" w:eastAsia="en-US" w:bidi="ar-SA"/>
    </w:rPr>
  </w:style>
  <w:style w:type="paragraph" w:styleId="ListParagraph">
    <w:name w:val="List Paragraph"/>
    <w:basedOn w:val="Normal"/>
    <w:uiPriority w:val="1"/>
    <w:qFormat/>
    <w:pPr>
      <w:ind w:left="72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regtap.cm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ARDX</dc:creator>
  <cp:revision>0</cp:revision>
  <dcterms:created xsi:type="dcterms:W3CDTF">2025-08-05T18:15:40Z</dcterms:created>
  <dcterms:modified xsi:type="dcterms:W3CDTF">2025-08-05T18:15:40Z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for Microsoft 365</vt:lpwstr>
  </property>
  <property fmtid="{D5CDD505-2E9C-101B-9397-08002B2CF9AE}" pid="4" name="LastSaved">
    <vt:filetime>2025-08-05T00:00:00Z</vt:filetime>
  </property>
  <property fmtid="{D5CDD505-2E9C-101B-9397-08002B2CF9AE}" pid="5" name="Producer">
    <vt:lpwstr>Microsoft® Word for Microsoft 365</vt:lpwstr>
  </property>
</Properties>
</file>