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5C23" w:rsidRPr="00160621" w:rsidP="00CC0756" w14:paraId="297011DB" w14:textId="3C9B76A1">
      <w:pPr>
        <w:pStyle w:val="ReportCover-Title"/>
        <w:spacing w:after="120" w:line="240" w:lineRule="auto"/>
        <w:jc w:val="center"/>
        <w:rPr>
          <w:rFonts w:ascii="Arial" w:hAnsi="Arial" w:cs="Arial"/>
          <w:color w:val="auto"/>
        </w:rPr>
      </w:pPr>
      <w:bookmarkStart w:id="0" w:name="_Hlk95381112"/>
      <w:r>
        <w:rPr>
          <w:rFonts w:ascii="Arial" w:eastAsia="Arial Unicode MS" w:hAnsi="Arial" w:cs="Arial"/>
          <w:noProof/>
          <w:color w:val="auto"/>
        </w:rPr>
        <w:t>REGIONAL PARTNERSHIP GRANTS (</w:t>
      </w:r>
      <w:bookmarkEnd w:id="0"/>
      <w:r w:rsidRPr="00414C1C">
        <w:rPr>
          <w:rFonts w:ascii="Arial" w:eastAsia="Arial Unicode MS" w:hAnsi="Arial" w:cs="Arial"/>
          <w:noProof/>
          <w:color w:val="auto"/>
        </w:rPr>
        <w:t>RPG</w:t>
      </w:r>
      <w:r>
        <w:rPr>
          <w:rFonts w:ascii="Arial" w:eastAsia="Arial Unicode MS" w:hAnsi="Arial" w:cs="Arial"/>
          <w:noProof/>
          <w:color w:val="auto"/>
        </w:rPr>
        <w:t>)</w:t>
      </w:r>
      <w:r w:rsidRPr="00414C1C">
        <w:rPr>
          <w:rFonts w:ascii="Arial" w:eastAsia="Arial Unicode MS" w:hAnsi="Arial" w:cs="Arial"/>
          <w:noProof/>
          <w:color w:val="auto"/>
        </w:rPr>
        <w:t xml:space="preserve"> NATIONAL CROSS-SITE EVALUATION AND EVALUATION TECHNICAL ASSISTANCE</w:t>
      </w:r>
    </w:p>
    <w:p w:rsidR="00085C23" w:rsidRPr="00160621" w:rsidP="00CC0756" w14:paraId="4B69CC42" w14:textId="77777777">
      <w:pPr>
        <w:pStyle w:val="ReportCover-Title"/>
        <w:spacing w:after="120" w:line="240" w:lineRule="auto"/>
        <w:rPr>
          <w:rFonts w:ascii="Arial" w:hAnsi="Arial" w:cs="Arial"/>
          <w:color w:val="auto"/>
        </w:rPr>
      </w:pPr>
    </w:p>
    <w:p w:rsidR="00085C23" w:rsidRPr="00160621" w:rsidP="00CC0756" w14:paraId="34CDE7AE" w14:textId="77777777">
      <w:pPr>
        <w:pStyle w:val="ReportCover-Title"/>
        <w:spacing w:after="120" w:line="240" w:lineRule="auto"/>
        <w:jc w:val="center"/>
        <w:rPr>
          <w:rFonts w:ascii="Arial" w:hAnsi="Arial" w:cs="Arial"/>
          <w:color w:val="auto"/>
          <w:sz w:val="32"/>
          <w:szCs w:val="32"/>
        </w:rPr>
      </w:pPr>
      <w:r w:rsidRPr="00160621">
        <w:rPr>
          <w:rFonts w:ascii="Arial" w:hAnsi="Arial" w:cs="Arial"/>
          <w:color w:val="auto"/>
          <w:sz w:val="32"/>
          <w:szCs w:val="32"/>
        </w:rPr>
        <w:t>OMB Information Collection Request</w:t>
      </w:r>
    </w:p>
    <w:p w:rsidR="00085C23" w:rsidRPr="00160621" w:rsidP="00CC0756" w14:paraId="5A3DC0AC" w14:textId="77777777">
      <w:pPr>
        <w:pStyle w:val="ReportCover-Title"/>
        <w:spacing w:after="120" w:line="240" w:lineRule="auto"/>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0527</w:t>
      </w:r>
    </w:p>
    <w:p w:rsidR="00085C23" w:rsidRPr="00160621" w:rsidP="00CC0756" w14:paraId="0E1564BF" w14:textId="77777777">
      <w:pPr>
        <w:spacing w:after="120"/>
        <w:rPr>
          <w:rFonts w:ascii="Arial" w:hAnsi="Arial" w:cs="Arial"/>
          <w:szCs w:val="22"/>
        </w:rPr>
      </w:pPr>
    </w:p>
    <w:p w:rsidR="00085C23" w:rsidRPr="00160621" w:rsidP="00CC0756" w14:paraId="65C6BA31" w14:textId="77777777">
      <w:pPr>
        <w:pStyle w:val="ReportCover-Date"/>
        <w:spacing w:after="120" w:line="240" w:lineRule="auto"/>
        <w:jc w:val="center"/>
        <w:rPr>
          <w:rFonts w:ascii="Arial" w:hAnsi="Arial" w:cs="Arial"/>
          <w:color w:val="auto"/>
        </w:rPr>
      </w:pPr>
    </w:p>
    <w:p w:rsidR="00085C23" w:rsidP="00CC0756" w14:paraId="13E1DC98" w14:textId="77777777">
      <w:pPr>
        <w:pStyle w:val="ReportCover-Date"/>
        <w:spacing w:after="12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085C23" w:rsidRPr="00F958BB" w:rsidP="00CC0756" w14:paraId="5AD8712F" w14:textId="77777777">
      <w:pPr>
        <w:pStyle w:val="ReportCover-Date"/>
        <w:spacing w:after="120" w:line="240" w:lineRule="auto"/>
        <w:jc w:val="center"/>
        <w:rPr>
          <w:rFonts w:ascii="Arial" w:hAnsi="Arial" w:cs="Arial"/>
          <w:color w:val="auto"/>
          <w:sz w:val="48"/>
          <w:szCs w:val="48"/>
        </w:rPr>
      </w:pPr>
      <w:r>
        <w:rPr>
          <w:rFonts w:ascii="Arial" w:hAnsi="Arial" w:cs="Arial"/>
          <w:color w:val="auto"/>
          <w:sz w:val="48"/>
          <w:szCs w:val="48"/>
        </w:rPr>
        <w:t>Statistical M</w:t>
      </w:r>
      <w:r w:rsidRPr="00F958BB">
        <w:rPr>
          <w:rFonts w:ascii="Arial" w:hAnsi="Arial" w:cs="Arial"/>
          <w:color w:val="auto"/>
          <w:sz w:val="48"/>
          <w:szCs w:val="48"/>
        </w:rPr>
        <w:t>ethods</w:t>
      </w:r>
    </w:p>
    <w:p w:rsidR="00441802" w:rsidP="00441802" w14:paraId="74B379F4" w14:textId="77777777">
      <w:pPr>
        <w:pStyle w:val="ReportCover-Date"/>
        <w:jc w:val="center"/>
        <w:rPr>
          <w:rFonts w:ascii="Arial" w:hAnsi="Arial" w:cs="Arial"/>
          <w:color w:val="auto"/>
          <w:sz w:val="28"/>
          <w:szCs w:val="28"/>
          <w:highlight w:val="yellow"/>
        </w:rPr>
      </w:pPr>
    </w:p>
    <w:p w:rsidR="00441802" w:rsidRPr="000F4652" w:rsidP="00441802" w14:paraId="42C9375E" w14:textId="19E01525">
      <w:pPr>
        <w:pStyle w:val="ReportCover-Date"/>
        <w:jc w:val="center"/>
        <w:rPr>
          <w:rFonts w:ascii="Arial" w:hAnsi="Arial" w:cs="Arial"/>
          <w:color w:val="auto"/>
          <w:sz w:val="28"/>
          <w:szCs w:val="28"/>
        </w:rPr>
      </w:pPr>
      <w:r w:rsidRPr="000F4652">
        <w:rPr>
          <w:rFonts w:ascii="Arial" w:hAnsi="Arial" w:cs="Arial"/>
          <w:color w:val="auto"/>
          <w:sz w:val="28"/>
          <w:szCs w:val="28"/>
        </w:rPr>
        <w:t>April</w:t>
      </w:r>
      <w:r w:rsidRPr="000F4652">
        <w:rPr>
          <w:rFonts w:ascii="Arial" w:hAnsi="Arial" w:cs="Arial"/>
          <w:color w:val="auto"/>
          <w:sz w:val="28"/>
          <w:szCs w:val="28"/>
        </w:rPr>
        <w:t xml:space="preserve"> 2025</w:t>
      </w:r>
    </w:p>
    <w:p w:rsidR="00441802" w:rsidP="00441802" w14:paraId="3C5DE615" w14:textId="77777777">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085C23" w:rsidP="00CC0756" w14:paraId="54DE8153" w14:textId="77777777">
      <w:pPr>
        <w:spacing w:after="120"/>
        <w:jc w:val="center"/>
        <w:rPr>
          <w:rFonts w:ascii="Arial" w:hAnsi="Arial" w:cs="Arial"/>
        </w:rPr>
      </w:pPr>
    </w:p>
    <w:p w:rsidR="00085C23" w:rsidP="00CC0756" w14:paraId="77142976" w14:textId="77777777">
      <w:pPr>
        <w:spacing w:after="120"/>
        <w:jc w:val="center"/>
        <w:rPr>
          <w:rFonts w:ascii="Arial" w:hAnsi="Arial" w:cs="Arial"/>
        </w:rPr>
      </w:pPr>
    </w:p>
    <w:p w:rsidR="00085C23" w:rsidP="00CC0756" w14:paraId="5B878BAD" w14:textId="77777777">
      <w:pPr>
        <w:spacing w:after="120"/>
        <w:jc w:val="center"/>
        <w:rPr>
          <w:rFonts w:ascii="Arial" w:hAnsi="Arial" w:cs="Arial"/>
        </w:rPr>
      </w:pPr>
    </w:p>
    <w:p w:rsidR="00085C23" w:rsidP="00CC0756" w14:paraId="7A0656C4" w14:textId="77777777">
      <w:pPr>
        <w:spacing w:after="120"/>
        <w:jc w:val="center"/>
        <w:rPr>
          <w:rFonts w:ascii="Arial" w:hAnsi="Arial" w:cs="Arial"/>
        </w:rPr>
      </w:pPr>
    </w:p>
    <w:p w:rsidR="00085C23" w:rsidP="00CC0756" w14:paraId="603BA51F" w14:textId="77777777">
      <w:pPr>
        <w:spacing w:after="120"/>
        <w:jc w:val="center"/>
        <w:rPr>
          <w:rFonts w:ascii="Arial" w:hAnsi="Arial" w:cs="Arial"/>
        </w:rPr>
      </w:pPr>
    </w:p>
    <w:p w:rsidR="00085C23" w:rsidP="00CC0756" w14:paraId="7FA9AFC1" w14:textId="77777777">
      <w:pPr>
        <w:spacing w:after="120"/>
        <w:jc w:val="center"/>
        <w:rPr>
          <w:rFonts w:ascii="Arial" w:hAnsi="Arial" w:cs="Arial"/>
        </w:rPr>
      </w:pPr>
    </w:p>
    <w:p w:rsidR="00085C23" w:rsidP="00CC0756" w14:paraId="2BC87C2C" w14:textId="77777777">
      <w:pPr>
        <w:spacing w:after="120"/>
        <w:jc w:val="center"/>
        <w:rPr>
          <w:rFonts w:ascii="Arial" w:hAnsi="Arial" w:cs="Arial"/>
        </w:rPr>
      </w:pPr>
    </w:p>
    <w:p w:rsidR="00085C23" w:rsidP="00CC0756" w14:paraId="45505D9B" w14:textId="77777777">
      <w:pPr>
        <w:spacing w:after="120"/>
        <w:jc w:val="center"/>
        <w:rPr>
          <w:rFonts w:ascii="Arial" w:hAnsi="Arial" w:cs="Arial"/>
        </w:rPr>
      </w:pPr>
    </w:p>
    <w:p w:rsidR="00085C23" w:rsidP="00CC0756" w14:paraId="3723D0EF" w14:textId="77777777">
      <w:pPr>
        <w:spacing w:after="120"/>
        <w:jc w:val="center"/>
        <w:rPr>
          <w:rFonts w:ascii="Arial" w:hAnsi="Arial" w:cs="Arial"/>
        </w:rPr>
      </w:pPr>
    </w:p>
    <w:p w:rsidR="00085C23" w:rsidP="00CC0756" w14:paraId="7413418E" w14:textId="77777777">
      <w:pPr>
        <w:spacing w:after="120"/>
        <w:jc w:val="center"/>
        <w:rPr>
          <w:rFonts w:ascii="Arial" w:hAnsi="Arial" w:cs="Arial"/>
        </w:rPr>
      </w:pPr>
    </w:p>
    <w:p w:rsidR="00085C23" w:rsidRPr="00160621" w:rsidP="00CC0756" w14:paraId="21C6D189" w14:textId="77777777">
      <w:pPr>
        <w:spacing w:after="120"/>
        <w:jc w:val="center"/>
        <w:rPr>
          <w:rFonts w:ascii="Arial" w:hAnsi="Arial" w:cs="Arial"/>
        </w:rPr>
      </w:pPr>
    </w:p>
    <w:p w:rsidR="00085C23" w:rsidRPr="00160621" w:rsidP="00CC0756" w14:paraId="63612C70" w14:textId="77777777">
      <w:pPr>
        <w:spacing w:after="120"/>
        <w:jc w:val="center"/>
        <w:rPr>
          <w:rFonts w:ascii="Arial" w:hAnsi="Arial" w:cs="Arial"/>
        </w:rPr>
      </w:pPr>
      <w:r w:rsidRPr="00160621">
        <w:rPr>
          <w:rFonts w:ascii="Arial" w:hAnsi="Arial" w:cs="Arial"/>
        </w:rPr>
        <w:t>Submitted By:</w:t>
      </w:r>
    </w:p>
    <w:p w:rsidR="00085C23" w:rsidRPr="00160621" w:rsidP="00CC0756" w14:paraId="21F2C352" w14:textId="1E4B3B11">
      <w:pPr>
        <w:spacing w:after="120"/>
        <w:jc w:val="center"/>
        <w:rPr>
          <w:rFonts w:ascii="Arial" w:hAnsi="Arial" w:cs="Arial"/>
        </w:rPr>
      </w:pPr>
      <w:r>
        <w:rPr>
          <w:rFonts w:ascii="Arial" w:hAnsi="Arial" w:cs="Arial"/>
        </w:rPr>
        <w:t>Children’s Bureau</w:t>
      </w:r>
    </w:p>
    <w:p w:rsidR="00085C23" w:rsidRPr="00160621" w:rsidP="00CC0756" w14:paraId="793BD336" w14:textId="77777777">
      <w:pPr>
        <w:spacing w:after="120"/>
        <w:jc w:val="center"/>
        <w:rPr>
          <w:rFonts w:ascii="Arial" w:hAnsi="Arial" w:cs="Arial"/>
        </w:rPr>
      </w:pPr>
      <w:r w:rsidRPr="00160621">
        <w:rPr>
          <w:rFonts w:ascii="Arial" w:hAnsi="Arial" w:cs="Arial"/>
        </w:rPr>
        <w:t xml:space="preserve">Administration for Children and Families </w:t>
      </w:r>
    </w:p>
    <w:p w:rsidR="00085C23" w:rsidRPr="00160621" w:rsidP="00CC0756" w14:paraId="0722C830" w14:textId="77777777">
      <w:pPr>
        <w:spacing w:after="120"/>
        <w:jc w:val="center"/>
        <w:rPr>
          <w:rFonts w:ascii="Arial" w:hAnsi="Arial" w:cs="Arial"/>
        </w:rPr>
      </w:pPr>
      <w:r w:rsidRPr="00160621">
        <w:rPr>
          <w:rFonts w:ascii="Arial" w:hAnsi="Arial" w:cs="Arial"/>
        </w:rPr>
        <w:t>U.S. Department of Health and Human Services</w:t>
      </w:r>
    </w:p>
    <w:p w:rsidR="00085C23" w:rsidRPr="00160621" w:rsidP="00CC0756" w14:paraId="5C669FCB" w14:textId="77777777">
      <w:pPr>
        <w:spacing w:after="120"/>
        <w:jc w:val="center"/>
        <w:rPr>
          <w:rFonts w:ascii="Arial" w:hAnsi="Arial" w:cs="Arial"/>
        </w:rPr>
      </w:pPr>
    </w:p>
    <w:p w:rsidR="00085C23" w:rsidP="00CC0756" w14:paraId="680D1E16" w14:textId="77777777">
      <w:pPr>
        <w:spacing w:after="120"/>
        <w:jc w:val="center"/>
        <w:rPr>
          <w:rFonts w:ascii="Arial" w:hAnsi="Arial" w:cs="Arial"/>
        </w:rPr>
      </w:pPr>
    </w:p>
    <w:p w:rsidR="00085C23" w:rsidRPr="00817E2B" w:rsidP="00CC0756" w14:paraId="53C75ABC" w14:textId="7234F838">
      <w:pPr>
        <w:widowControl/>
        <w:spacing w:after="120"/>
        <w:rPr>
          <w:rFonts w:ascii="Times New Roman" w:hAnsi="Times New Roman"/>
          <w:b/>
          <w:snapToGrid/>
          <w:sz w:val="24"/>
          <w:szCs w:val="24"/>
        </w:rPr>
      </w:pPr>
      <w:r>
        <w:rPr>
          <w:rFonts w:ascii="Times New Roman" w:hAnsi="Times New Roman"/>
          <w:b/>
          <w:bCs/>
          <w:snapToGrid/>
          <w:sz w:val="24"/>
          <w:szCs w:val="24"/>
        </w:rPr>
        <w:br w:type="page"/>
      </w:r>
      <w:r w:rsidR="00CC0756">
        <w:rPr>
          <w:rFonts w:ascii="Times New Roman" w:hAnsi="Times New Roman"/>
          <w:b/>
          <w:snapToGrid/>
          <w:sz w:val="24"/>
          <w:szCs w:val="24"/>
        </w:rPr>
        <w:t xml:space="preserve">1. </w:t>
      </w:r>
      <w:r w:rsidRPr="00817E2B">
        <w:rPr>
          <w:rFonts w:ascii="Times New Roman" w:hAnsi="Times New Roman"/>
          <w:b/>
          <w:snapToGrid/>
          <w:sz w:val="24"/>
          <w:szCs w:val="24"/>
        </w:rPr>
        <w:t xml:space="preserve">Respondent Universe and Sampling Methods </w:t>
      </w:r>
    </w:p>
    <w:p w:rsidR="0099506F" w:rsidP="00BC2FC0" w14:paraId="70E3737F" w14:textId="752373A0">
      <w:pPr>
        <w:pStyle w:val="NormalSS"/>
        <w:rPr>
          <w:szCs w:val="24"/>
        </w:rPr>
      </w:pPr>
      <w:r>
        <w:t xml:space="preserve">The overall objective of the </w:t>
      </w:r>
      <w:r w:rsidRPr="007F6474" w:rsidR="00930D44">
        <w:t>Regional Partnership Grants (</w:t>
      </w:r>
      <w:r>
        <w:t>RPG</w:t>
      </w:r>
      <w:r w:rsidR="00930D44">
        <w:t>)</w:t>
      </w:r>
      <w:r>
        <w:t xml:space="preserve"> cross-site evaluation is to describe and document the performance of the RPG projects, the outcomes for participants enrolled in RPG, and the effectiveness of the grantees’ approaches, as stated in the legislation. </w:t>
      </w:r>
      <w:r w:rsidRPr="00EE1D19">
        <w:rPr>
          <w:szCs w:val="24"/>
        </w:rPr>
        <w:t>T</w:t>
      </w:r>
      <w:r>
        <w:rPr>
          <w:szCs w:val="24"/>
        </w:rPr>
        <w:t>o meet these evaluation goals, t</w:t>
      </w:r>
      <w:r w:rsidRPr="00EE1D19">
        <w:rPr>
          <w:szCs w:val="24"/>
        </w:rPr>
        <w:t>he RPG cross-site evaluation includes</w:t>
      </w:r>
      <w:r>
        <w:rPr>
          <w:szCs w:val="24"/>
        </w:rPr>
        <w:t xml:space="preserve"> </w:t>
      </w:r>
      <w:r w:rsidR="009B4E59">
        <w:rPr>
          <w:szCs w:val="24"/>
        </w:rPr>
        <w:t xml:space="preserve">six </w:t>
      </w:r>
      <w:r>
        <w:rPr>
          <w:szCs w:val="24"/>
        </w:rPr>
        <w:t xml:space="preserve">study components: </w:t>
      </w:r>
    </w:p>
    <w:p w:rsidR="0099506F" w:rsidP="0099506F" w14:paraId="67332021" w14:textId="3215D977">
      <w:pPr>
        <w:pStyle w:val="NormalSS"/>
        <w:ind w:firstLine="0"/>
        <w:rPr>
          <w:szCs w:val="24"/>
        </w:rPr>
      </w:pPr>
      <w:r>
        <w:rPr>
          <w:szCs w:val="24"/>
        </w:rPr>
        <w:t xml:space="preserve">(1) </w:t>
      </w:r>
      <w:r w:rsidR="00B26F74">
        <w:rPr>
          <w:szCs w:val="24"/>
        </w:rPr>
        <w:t>A</w:t>
      </w:r>
      <w:r w:rsidRPr="00EE1D19">
        <w:rPr>
          <w:szCs w:val="24"/>
        </w:rPr>
        <w:t xml:space="preserve"> partnership</w:t>
      </w:r>
      <w:r>
        <w:rPr>
          <w:szCs w:val="24"/>
        </w:rPr>
        <w:t>s</w:t>
      </w:r>
      <w:r w:rsidRPr="00EE1D19">
        <w:rPr>
          <w:szCs w:val="24"/>
        </w:rPr>
        <w:t xml:space="preserve"> </w:t>
      </w:r>
      <w:r>
        <w:rPr>
          <w:szCs w:val="24"/>
        </w:rPr>
        <w:t>analysis</w:t>
      </w:r>
      <w:r>
        <w:rPr>
          <w:szCs w:val="24"/>
        </w:rPr>
        <w:t xml:space="preserve"> to assess the </w:t>
      </w:r>
      <w:r w:rsidRPr="00605BC0">
        <w:rPr>
          <w:szCs w:val="24"/>
        </w:rPr>
        <w:t>coordination</w:t>
      </w:r>
      <w:r>
        <w:rPr>
          <w:szCs w:val="24"/>
        </w:rPr>
        <w:t xml:space="preserve"> and collaboration of partners’ </w:t>
      </w:r>
      <w:r w:rsidRPr="00605BC0">
        <w:rPr>
          <w:szCs w:val="24"/>
        </w:rPr>
        <w:t>service systems</w:t>
      </w:r>
      <w:r w:rsidR="00B26F74">
        <w:rPr>
          <w:szCs w:val="24"/>
        </w:rPr>
        <w:t>;</w:t>
      </w:r>
    </w:p>
    <w:p w:rsidR="00B26F74" w14:paraId="620E1946" w14:textId="1EDEB33C">
      <w:pPr>
        <w:pStyle w:val="NormalSS"/>
        <w:ind w:firstLine="0"/>
      </w:pPr>
      <w:r>
        <w:rPr>
          <w:szCs w:val="24"/>
        </w:rPr>
        <w:t xml:space="preserve">(2) </w:t>
      </w:r>
      <w:r>
        <w:rPr>
          <w:szCs w:val="24"/>
        </w:rPr>
        <w:t>A</w:t>
      </w:r>
      <w:r>
        <w:rPr>
          <w:szCs w:val="24"/>
        </w:rPr>
        <w:t xml:space="preserve"> participant experiences analysis</w:t>
      </w:r>
      <w:r w:rsidRPr="0099506F" w:rsidR="0099506F">
        <w:rPr>
          <w:szCs w:val="24"/>
        </w:rPr>
        <w:t xml:space="preserve"> </w:t>
      </w:r>
      <w:r w:rsidR="0099506F">
        <w:rPr>
          <w:szCs w:val="24"/>
        </w:rPr>
        <w:t xml:space="preserve">to </w:t>
      </w:r>
      <w:r w:rsidR="0099506F">
        <w:t>assess how participants enrolled in RPG servic</w:t>
      </w:r>
      <w:r w:rsidR="00A22170">
        <w:t>e</w:t>
      </w:r>
      <w:r w:rsidR="0099506F">
        <w:t>s became involved in RPG services and their perspectives on RPG program</w:t>
      </w:r>
      <w:r>
        <w:t>;</w:t>
      </w:r>
    </w:p>
    <w:p w:rsidR="00B26F74" w14:paraId="05FAD241" w14:textId="50E6F086">
      <w:pPr>
        <w:pStyle w:val="NormalSS"/>
        <w:ind w:firstLine="0"/>
        <w:rPr>
          <w:szCs w:val="24"/>
        </w:rPr>
      </w:pPr>
      <w:r>
        <w:rPr>
          <w:szCs w:val="24"/>
        </w:rPr>
        <w:t xml:space="preserve"> (3) </w:t>
      </w:r>
      <w:r>
        <w:rPr>
          <w:szCs w:val="24"/>
        </w:rPr>
        <w:t>A</w:t>
      </w:r>
      <w:r>
        <w:rPr>
          <w:szCs w:val="24"/>
        </w:rPr>
        <w:t xml:space="preserve"> sustainability analysis</w:t>
      </w:r>
      <w:r>
        <w:rPr>
          <w:szCs w:val="24"/>
        </w:rPr>
        <w:t xml:space="preserve"> to </w:t>
      </w:r>
      <w:r w:rsidRPr="003A5681">
        <w:rPr>
          <w:szCs w:val="24"/>
        </w:rPr>
        <w:t>assess projects’ use of data for continuous improvement and their activities to sustain RPG programs once their grants end</w:t>
      </w:r>
    </w:p>
    <w:p w:rsidR="00B26F74" w14:paraId="5E526B7C" w14:textId="69AE3AA4">
      <w:pPr>
        <w:pStyle w:val="NormalSS"/>
        <w:ind w:firstLine="0"/>
        <w:rPr>
          <w:szCs w:val="24"/>
        </w:rPr>
      </w:pPr>
      <w:r>
        <w:rPr>
          <w:szCs w:val="24"/>
        </w:rPr>
        <w:t>(4)</w:t>
      </w:r>
      <w:r w:rsidR="00F774A7">
        <w:rPr>
          <w:szCs w:val="24"/>
        </w:rPr>
        <w:t xml:space="preserve"> </w:t>
      </w:r>
      <w:r>
        <w:rPr>
          <w:szCs w:val="24"/>
        </w:rPr>
        <w:t>A</w:t>
      </w:r>
      <w:r w:rsidR="00085C23">
        <w:rPr>
          <w:szCs w:val="24"/>
        </w:rPr>
        <w:t>n enrollment and services analysis</w:t>
      </w:r>
      <w:r>
        <w:rPr>
          <w:szCs w:val="24"/>
        </w:rPr>
        <w:t xml:space="preserve"> to assess data on RPG participant characteristics and the types of, dosage of, and engagement with services</w:t>
      </w:r>
    </w:p>
    <w:p w:rsidR="00B26F74" w:rsidP="000B6982" w14:paraId="04FF7C8D" w14:textId="630C4708">
      <w:pPr>
        <w:pStyle w:val="NormalSS"/>
        <w:ind w:firstLine="0"/>
        <w:rPr>
          <w:szCs w:val="24"/>
        </w:rPr>
      </w:pPr>
      <w:r>
        <w:rPr>
          <w:szCs w:val="24"/>
        </w:rPr>
        <w:t>(5)</w:t>
      </w:r>
      <w:r w:rsidRPr="00EE1D19" w:rsidR="00085C23">
        <w:rPr>
          <w:szCs w:val="24"/>
        </w:rPr>
        <w:t xml:space="preserve"> </w:t>
      </w:r>
      <w:r>
        <w:rPr>
          <w:szCs w:val="24"/>
        </w:rPr>
        <w:t>A</w:t>
      </w:r>
      <w:r w:rsidRPr="00EE1D19" w:rsidR="00085C23">
        <w:rPr>
          <w:szCs w:val="24"/>
        </w:rPr>
        <w:t>n outcome</w:t>
      </w:r>
      <w:r w:rsidR="00085C23">
        <w:rPr>
          <w:szCs w:val="24"/>
        </w:rPr>
        <w:t>s</w:t>
      </w:r>
      <w:r w:rsidRPr="00EE1D19" w:rsidR="00085C23">
        <w:rPr>
          <w:szCs w:val="24"/>
        </w:rPr>
        <w:t xml:space="preserve"> </w:t>
      </w:r>
      <w:r w:rsidR="00085C23">
        <w:rPr>
          <w:szCs w:val="24"/>
        </w:rPr>
        <w:t>analysis,</w:t>
      </w:r>
      <w:r w:rsidRPr="00EE1D19" w:rsidR="00085C23">
        <w:rPr>
          <w:szCs w:val="24"/>
        </w:rPr>
        <w:t xml:space="preserve"> </w:t>
      </w:r>
      <w:r>
        <w:rPr>
          <w:szCs w:val="24"/>
        </w:rPr>
        <w:t xml:space="preserve">to </w:t>
      </w:r>
      <w:r w:rsidRPr="00117249" w:rsidR="00085C23">
        <w:rPr>
          <w:szCs w:val="24"/>
        </w:rPr>
        <w:t>describe the</w:t>
      </w:r>
      <w:r w:rsidR="00085C23">
        <w:rPr>
          <w:szCs w:val="24"/>
        </w:rPr>
        <w:t xml:space="preserve"> characteristics of and</w:t>
      </w:r>
      <w:r w:rsidRPr="00117249" w:rsidR="00085C23">
        <w:rPr>
          <w:szCs w:val="24"/>
        </w:rPr>
        <w:t xml:space="preserve"> changes </w:t>
      </w:r>
      <w:r w:rsidR="00085C23">
        <w:rPr>
          <w:szCs w:val="24"/>
        </w:rPr>
        <w:t xml:space="preserve">over time </w:t>
      </w:r>
      <w:r w:rsidRPr="00117249" w:rsidR="00085C23">
        <w:rPr>
          <w:szCs w:val="24"/>
        </w:rPr>
        <w:t>in children</w:t>
      </w:r>
      <w:r w:rsidR="00085C23">
        <w:rPr>
          <w:szCs w:val="24"/>
        </w:rPr>
        <w:t>, adults,</w:t>
      </w:r>
      <w:r w:rsidRPr="00117249" w:rsidR="00085C23">
        <w:rPr>
          <w:szCs w:val="24"/>
        </w:rPr>
        <w:t xml:space="preserve"> and families who participate in the RPG programs.</w:t>
      </w:r>
    </w:p>
    <w:p w:rsidR="00085C23" w:rsidRPr="00EE1D19" w:rsidP="000B6982" w14:paraId="2EC2FB20" w14:textId="65219FEB">
      <w:pPr>
        <w:pStyle w:val="NormalSS"/>
        <w:ind w:firstLine="0"/>
        <w:rPr>
          <w:szCs w:val="24"/>
        </w:rPr>
      </w:pPr>
      <w:r>
        <w:rPr>
          <w:szCs w:val="24"/>
        </w:rPr>
        <w:t xml:space="preserve">(6) An </w:t>
      </w:r>
      <w:r>
        <w:rPr>
          <w:szCs w:val="24"/>
        </w:rPr>
        <w:t>impacts analysis</w:t>
      </w:r>
      <w:r w:rsidRPr="00EE1D19">
        <w:rPr>
          <w:szCs w:val="24"/>
        </w:rPr>
        <w:t xml:space="preserve"> </w:t>
      </w:r>
      <w:r>
        <w:rPr>
          <w:szCs w:val="24"/>
        </w:rPr>
        <w:t>with</w:t>
      </w:r>
      <w:r w:rsidRPr="00EE1D19">
        <w:rPr>
          <w:szCs w:val="24"/>
        </w:rPr>
        <w:t xml:space="preserve"> </w:t>
      </w:r>
      <w:r w:rsidRPr="00EE1D19">
        <w:rPr>
          <w:szCs w:val="24"/>
        </w:rPr>
        <w:t xml:space="preserve">a subset </w:t>
      </w:r>
      <w:r w:rsidRPr="00F958BB">
        <w:rPr>
          <w:szCs w:val="24"/>
        </w:rPr>
        <w:t xml:space="preserve">of </w:t>
      </w:r>
      <w:r w:rsidR="00476D7F">
        <w:rPr>
          <w:szCs w:val="24"/>
        </w:rPr>
        <w:t>1</w:t>
      </w:r>
      <w:r w:rsidR="003B46EC">
        <w:rPr>
          <w:szCs w:val="24"/>
        </w:rPr>
        <w:t>4</w:t>
      </w:r>
      <w:r w:rsidR="00476D7F">
        <w:rPr>
          <w:szCs w:val="24"/>
        </w:rPr>
        <w:t xml:space="preserve"> </w:t>
      </w:r>
      <w:r>
        <w:rPr>
          <w:szCs w:val="24"/>
        </w:rPr>
        <w:t xml:space="preserve">of the </w:t>
      </w:r>
      <w:r w:rsidR="003B46EC">
        <w:rPr>
          <w:szCs w:val="24"/>
        </w:rPr>
        <w:t xml:space="preserve">18 </w:t>
      </w:r>
      <w:r w:rsidRPr="00EE1D19">
        <w:rPr>
          <w:szCs w:val="24"/>
        </w:rPr>
        <w:t>RPG</w:t>
      </w:r>
      <w:r w:rsidR="003B46EC">
        <w:rPr>
          <w:szCs w:val="24"/>
        </w:rPr>
        <w:t>7</w:t>
      </w:r>
      <w:r w:rsidRPr="00EE1D19">
        <w:rPr>
          <w:szCs w:val="24"/>
        </w:rPr>
        <w:t xml:space="preserve"> grantees</w:t>
      </w:r>
      <w:r>
        <w:rPr>
          <w:szCs w:val="24"/>
        </w:rPr>
        <w:t xml:space="preserve"> that are implementing rigorous local evaluation designs and </w:t>
      </w:r>
      <w:r w:rsidR="006463B0">
        <w:rPr>
          <w:szCs w:val="24"/>
        </w:rPr>
        <w:t xml:space="preserve">may </w:t>
      </w:r>
      <w:r>
        <w:rPr>
          <w:szCs w:val="24"/>
        </w:rPr>
        <w:t>provide outcomes data on both treatment and comparison group members</w:t>
      </w:r>
      <w:r w:rsidRPr="00EE1D19">
        <w:rPr>
          <w:szCs w:val="24"/>
        </w:rPr>
        <w:t xml:space="preserve">. </w:t>
      </w:r>
    </w:p>
    <w:p w:rsidR="00085C23" w:rsidRPr="006A1131" w:rsidP="00CC0756" w14:paraId="0928BD17" w14:textId="77777777">
      <w:pPr>
        <w:pStyle w:val="H4Number"/>
      </w:pPr>
      <w:r w:rsidRPr="00EE1D19">
        <w:t>Partnership</w:t>
      </w:r>
      <w:r>
        <w:t>s</w:t>
      </w:r>
      <w:r w:rsidRPr="00EE1D19">
        <w:t xml:space="preserve"> </w:t>
      </w:r>
      <w:r>
        <w:t xml:space="preserve">analysis </w:t>
      </w:r>
    </w:p>
    <w:p w:rsidR="00085C23" w:rsidRPr="00603119" w:rsidP="00262FDC" w14:paraId="1DB72B6C" w14:textId="036D819F">
      <w:pPr>
        <w:pStyle w:val="NormalSS"/>
        <w:ind w:firstLine="0"/>
        <w:rPr>
          <w:szCs w:val="24"/>
        </w:rPr>
      </w:pPr>
      <w:r>
        <w:t xml:space="preserve">The partnerships analysis </w:t>
      </w:r>
      <w:bookmarkStart w:id="1" w:name="_Hlk85468143"/>
      <w:r w:rsidR="00930D44">
        <w:t>includes the following instrument and respondents</w:t>
      </w:r>
      <w:r>
        <w:rPr>
          <w:szCs w:val="24"/>
        </w:rPr>
        <w:t>:</w:t>
      </w:r>
    </w:p>
    <w:bookmarkEnd w:id="1"/>
    <w:p w:rsidR="008E7A2D" w:rsidP="00CC0756" w14:paraId="6F4D2A73" w14:textId="0187A4A6">
      <w:pPr>
        <w:pStyle w:val="Bullet"/>
      </w:pPr>
      <w:r w:rsidRPr="00EE1D19">
        <w:rPr>
          <w:b/>
        </w:rPr>
        <w:t>Grantee and partner staff topic guide</w:t>
      </w:r>
      <w:r>
        <w:rPr>
          <w:b/>
        </w:rPr>
        <w:t xml:space="preserve"> (Appendix </w:t>
      </w:r>
      <w:r w:rsidR="00105BCD">
        <w:rPr>
          <w:b/>
        </w:rPr>
        <w:t>B</w:t>
      </w:r>
      <w:r>
        <w:rPr>
          <w:b/>
        </w:rPr>
        <w:t>)</w:t>
      </w:r>
      <w:r w:rsidRPr="00EE1D19">
        <w:rPr>
          <w:b/>
        </w:rPr>
        <w:t xml:space="preserve">. </w:t>
      </w:r>
      <w:r>
        <w:t xml:space="preserve">During site visits to </w:t>
      </w:r>
      <w:r w:rsidR="00D0433B">
        <w:t>the 18 RPG7 grantees</w:t>
      </w:r>
      <w:r>
        <w:t>, s</w:t>
      </w:r>
      <w:r w:rsidRPr="00EE1D19">
        <w:t xml:space="preserve">emi-structured </w:t>
      </w:r>
      <w:r>
        <w:t xml:space="preserve">individual </w:t>
      </w:r>
      <w:r w:rsidRPr="00EE1D19">
        <w:t xml:space="preserve">interviews will be conducted with the RPG </w:t>
      </w:r>
      <w:r>
        <w:t xml:space="preserve">project </w:t>
      </w:r>
      <w:r w:rsidRPr="00EE1D19">
        <w:t>director</w:t>
      </w:r>
      <w:r>
        <w:t xml:space="preserve">, two </w:t>
      </w:r>
      <w:r w:rsidRPr="00EE1D19">
        <w:t xml:space="preserve">managers </w:t>
      </w:r>
      <w:r>
        <w:t>or</w:t>
      </w:r>
      <w:r w:rsidRPr="00EE1D19">
        <w:t xml:space="preserve"> supervisors for </w:t>
      </w:r>
      <w:r>
        <w:t>the RPG project</w:t>
      </w:r>
      <w:r w:rsidRPr="00EE1D19">
        <w:t xml:space="preserve">, </w:t>
      </w:r>
      <w:r>
        <w:t xml:space="preserve">and two frontline staff who are providing services to participants. </w:t>
      </w:r>
      <w:r w:rsidRPr="00E4740B">
        <w:t>Individual interviews</w:t>
      </w:r>
      <w:r w:rsidRPr="00EE1D19">
        <w:t xml:space="preserve"> will </w:t>
      </w:r>
      <w:r>
        <w:t>take place</w:t>
      </w:r>
      <w:r w:rsidRPr="00EE1D19">
        <w:t xml:space="preserve"> with </w:t>
      </w:r>
      <w:r>
        <w:t>three</w:t>
      </w:r>
      <w:r w:rsidRPr="00EE1D19">
        <w:t xml:space="preserve"> </w:t>
      </w:r>
      <w:r>
        <w:t>grantee partners who may represent the child welfare agency or substance use treatment provider.</w:t>
      </w:r>
      <w:r w:rsidR="001352C7">
        <w:t xml:space="preserve"> We will work with the project director of each RPG7 program to identify program staff in these roles and are knowledgeable about the program operations and partnerships. </w:t>
      </w:r>
    </w:p>
    <w:p w:rsidR="008E7A2D" w:rsidRPr="00F73512" w:rsidP="008E7A2D" w14:paraId="61971514" w14:textId="30D96320">
      <w:pPr>
        <w:pStyle w:val="Bullet"/>
        <w:numPr>
          <w:ilvl w:val="0"/>
          <w:numId w:val="0"/>
        </w:numPr>
        <w:rPr>
          <w:b/>
          <w:bCs/>
        </w:rPr>
      </w:pPr>
      <w:r w:rsidRPr="00262FDC">
        <w:rPr>
          <w:b/>
          <w:bCs/>
        </w:rPr>
        <w:t>Participant experiences analysis</w:t>
      </w:r>
    </w:p>
    <w:p w:rsidR="00F73512" w:rsidRPr="00B30E49" w:rsidP="00262FDC" w14:paraId="4299D906" w14:textId="694E54A9">
      <w:pPr>
        <w:pStyle w:val="Bullet"/>
        <w:numPr>
          <w:ilvl w:val="0"/>
          <w:numId w:val="0"/>
        </w:numPr>
        <w:rPr>
          <w:szCs w:val="24"/>
        </w:rPr>
      </w:pPr>
      <w:r>
        <w:t xml:space="preserve">The </w:t>
      </w:r>
      <w:r w:rsidR="006463B0">
        <w:t>participant experiences</w:t>
      </w:r>
      <w:r>
        <w:t xml:space="preserve"> </w:t>
      </w:r>
      <w:r w:rsidR="00441802">
        <w:t xml:space="preserve">analysis </w:t>
      </w:r>
      <w:r>
        <w:t>includes the following instruments and respondents</w:t>
      </w:r>
      <w:r>
        <w:rPr>
          <w:szCs w:val="24"/>
        </w:rPr>
        <w:t>:</w:t>
      </w:r>
    </w:p>
    <w:p w:rsidR="00FC7DFB" w:rsidRPr="00262FDC" w:rsidP="00FC7DFB" w14:paraId="350C67ED" w14:textId="5B1A9180">
      <w:pPr>
        <w:pStyle w:val="Bullet"/>
        <w:rPr>
          <w:b/>
        </w:rPr>
      </w:pPr>
      <w:r w:rsidRPr="00262FDC">
        <w:rPr>
          <w:b/>
          <w:bCs/>
          <w:szCs w:val="24"/>
        </w:rPr>
        <w:t>Individual interviews with participants enrolled in RPG services</w:t>
      </w:r>
      <w:r>
        <w:rPr>
          <w:szCs w:val="24"/>
        </w:rPr>
        <w:t xml:space="preserve"> </w:t>
      </w:r>
      <w:r w:rsidRPr="00262FDC" w:rsidR="00A728B1">
        <w:rPr>
          <w:b/>
        </w:rPr>
        <w:t>(Appendi</w:t>
      </w:r>
      <w:r>
        <w:rPr>
          <w:b/>
        </w:rPr>
        <w:t xml:space="preserve">x </w:t>
      </w:r>
      <w:r w:rsidR="00A972E8">
        <w:rPr>
          <w:b/>
        </w:rPr>
        <w:t>C</w:t>
      </w:r>
      <w:r w:rsidRPr="00262FDC" w:rsidR="00A728B1">
        <w:rPr>
          <w:b/>
        </w:rPr>
        <w:t xml:space="preserve">). </w:t>
      </w:r>
      <w:r w:rsidR="00A728B1">
        <w:rPr>
          <w:bCs/>
        </w:rPr>
        <w:t>During site visits</w:t>
      </w:r>
      <w:r w:rsidR="006463B0">
        <w:rPr>
          <w:bCs/>
        </w:rPr>
        <w:t xml:space="preserve"> to grantee organizations</w:t>
      </w:r>
      <w:r w:rsidR="00544A36">
        <w:rPr>
          <w:bCs/>
        </w:rPr>
        <w:t xml:space="preserve">, </w:t>
      </w:r>
      <w:r w:rsidR="00A972E8">
        <w:rPr>
          <w:bCs/>
        </w:rPr>
        <w:t>individual</w:t>
      </w:r>
      <w:r w:rsidR="00544A36">
        <w:rPr>
          <w:bCs/>
        </w:rPr>
        <w:t xml:space="preserve"> interviews will be conducted with 16 participants</w:t>
      </w:r>
      <w:r>
        <w:rPr>
          <w:bCs/>
        </w:rPr>
        <w:t xml:space="preserve"> enrolled in RPG services</w:t>
      </w:r>
      <w:r w:rsidR="00544A36">
        <w:rPr>
          <w:bCs/>
        </w:rPr>
        <w:t>.</w:t>
      </w:r>
      <w:r w:rsidR="00764A59">
        <w:rPr>
          <w:bCs/>
        </w:rPr>
        <w:t xml:space="preserve"> </w:t>
      </w:r>
      <w:r w:rsidR="001352C7">
        <w:rPr>
          <w:bCs/>
        </w:rPr>
        <w:t>During the scheduling of the site visits, we</w:t>
      </w:r>
      <w:r w:rsidR="00B30E49">
        <w:rPr>
          <w:bCs/>
        </w:rPr>
        <w:t xml:space="preserve"> will </w:t>
      </w:r>
      <w:r w:rsidR="00B30E49">
        <w:rPr>
          <w:bCs/>
        </w:rPr>
        <w:t xml:space="preserve">identify up to 4 </w:t>
      </w:r>
      <w:r w:rsidR="001352C7">
        <w:rPr>
          <w:bCs/>
        </w:rPr>
        <w:t>grantees</w:t>
      </w:r>
      <w:r w:rsidR="00B30E49">
        <w:rPr>
          <w:bCs/>
        </w:rPr>
        <w:t xml:space="preserve"> </w:t>
      </w:r>
      <w:r w:rsidR="001352C7">
        <w:rPr>
          <w:bCs/>
        </w:rPr>
        <w:t xml:space="preserve">to work with who will collaborate with us to </w:t>
      </w:r>
      <w:r w:rsidR="00B30E49">
        <w:rPr>
          <w:bCs/>
        </w:rPr>
        <w:t xml:space="preserve">identify </w:t>
      </w:r>
      <w:r w:rsidR="001352C7">
        <w:rPr>
          <w:bCs/>
        </w:rPr>
        <w:t>adults enrolled in the grantee’s RPG program for the cross-site evaluation team to interview</w:t>
      </w:r>
      <w:r w:rsidR="00B30E49">
        <w:rPr>
          <w:bCs/>
        </w:rPr>
        <w:t xml:space="preserve">. </w:t>
      </w:r>
    </w:p>
    <w:p w:rsidR="00FC7DFB" w:rsidRPr="00262FDC" w:rsidP="00DE3ED6" w14:paraId="3AA35338" w14:textId="3576C906">
      <w:pPr>
        <w:pStyle w:val="Bullet"/>
        <w:rPr>
          <w:b/>
        </w:rPr>
      </w:pPr>
      <w:r w:rsidRPr="00262FDC">
        <w:rPr>
          <w:b/>
          <w:szCs w:val="24"/>
        </w:rPr>
        <w:t xml:space="preserve">Focus groups with participants enrolled in RPG services (Appendix </w:t>
      </w:r>
      <w:r w:rsidRPr="00FC7DFB" w:rsidR="00A972E8">
        <w:rPr>
          <w:b/>
          <w:szCs w:val="24"/>
        </w:rPr>
        <w:t>D</w:t>
      </w:r>
      <w:r w:rsidRPr="00262FDC">
        <w:rPr>
          <w:b/>
          <w:szCs w:val="24"/>
        </w:rPr>
        <w:t>).</w:t>
      </w:r>
      <w:r w:rsidRPr="00FC7DFB">
        <w:t xml:space="preserve"> During site visits</w:t>
      </w:r>
      <w:r w:rsidRPr="00FC7DFB" w:rsidR="006463B0">
        <w:t xml:space="preserve"> to grantee organizations</w:t>
      </w:r>
      <w:r w:rsidRPr="00FC7DFB">
        <w:t xml:space="preserve">, </w:t>
      </w:r>
      <w:r w:rsidRPr="00FC7DFB" w:rsidR="00307B8D">
        <w:t xml:space="preserve">8 </w:t>
      </w:r>
      <w:r w:rsidRPr="00FC7DFB">
        <w:t xml:space="preserve">focus groups will be conducted with up to 48 </w:t>
      </w:r>
      <w:r w:rsidR="00DE3ED6">
        <w:t>adult</w:t>
      </w:r>
      <w:r w:rsidRPr="00FC7DFB">
        <w:t xml:space="preserve"> participants</w:t>
      </w:r>
      <w:r w:rsidRPr="00FC7DFB" w:rsidR="00307B8D">
        <w:t xml:space="preserve"> (6 </w:t>
      </w:r>
      <w:r w:rsidRPr="00FC7DFB" w:rsidR="0097112B">
        <w:t xml:space="preserve">respondents </w:t>
      </w:r>
      <w:r w:rsidRPr="00FC7DFB" w:rsidR="00307B8D">
        <w:t>per group)</w:t>
      </w:r>
      <w:r w:rsidRPr="00FC7DFB">
        <w:t xml:space="preserve"> enrolled in RPG services. The grant</w:t>
      </w:r>
      <w:r w:rsidRPr="00FC7DFB" w:rsidR="00A972E8">
        <w:t>ee</w:t>
      </w:r>
      <w:r w:rsidRPr="00FC7DFB">
        <w:t xml:space="preserve"> will provide information to the cross-site evaluation team about potential individuals who might be a good fit for the </w:t>
      </w:r>
      <w:r w:rsidR="00DE3ED6">
        <w:t>focus groups</w:t>
      </w:r>
      <w:r w:rsidRPr="00FC7DFB">
        <w:t xml:space="preserve">. </w:t>
      </w:r>
      <w:r w:rsidRPr="00FC7DFB" w:rsidR="00B30E49">
        <w:t>We will identify up to 4 grant</w:t>
      </w:r>
      <w:r w:rsidR="00DE3ED6">
        <w:t xml:space="preserve">ee </w:t>
      </w:r>
      <w:r w:rsidR="00DE3ED6">
        <w:t>oroganizations</w:t>
      </w:r>
      <w:r w:rsidR="00DE3ED6">
        <w:t xml:space="preserve"> at which to </w:t>
      </w:r>
      <w:r w:rsidRPr="00FC7DFB" w:rsidR="00B30E49">
        <w:t>conduct the focus groups with participants, and will work closely with the grant</w:t>
      </w:r>
      <w:r w:rsidR="00DE3ED6">
        <w:t>ee</w:t>
      </w:r>
      <w:r w:rsidRPr="00FC7DFB" w:rsidR="00B30E49">
        <w:t xml:space="preserve"> staff to </w:t>
      </w:r>
      <w:r w:rsidR="00DE3ED6">
        <w:t>recruit</w:t>
      </w:r>
      <w:r w:rsidRPr="00FC7DFB" w:rsidR="00B30E49">
        <w:t xml:space="preserve"> potential respondents.</w:t>
      </w:r>
    </w:p>
    <w:p w:rsidR="00A972E8" w:rsidP="00262FDC" w14:paraId="66CA0053" w14:textId="41E55831">
      <w:pPr>
        <w:pStyle w:val="Bullet"/>
        <w:numPr>
          <w:ilvl w:val="0"/>
          <w:numId w:val="0"/>
        </w:numPr>
        <w:rPr>
          <w:b/>
        </w:rPr>
      </w:pPr>
      <w:r w:rsidRPr="00817D06">
        <w:rPr>
          <w:b/>
        </w:rPr>
        <w:t>Sustainability analysis</w:t>
      </w:r>
    </w:p>
    <w:p w:rsidR="00A972E8" w:rsidP="00262FDC" w14:paraId="38466EDF" w14:textId="5727A706">
      <w:pPr>
        <w:pStyle w:val="NumberedBullet"/>
        <w:numPr>
          <w:ilvl w:val="0"/>
          <w:numId w:val="0"/>
        </w:numPr>
        <w:rPr>
          <w:szCs w:val="24"/>
        </w:rPr>
      </w:pPr>
      <w:r>
        <w:tab/>
      </w:r>
      <w:r w:rsidRPr="00CB5A0D">
        <w:t>T</w:t>
      </w:r>
      <w:r>
        <w:t>he</w:t>
      </w:r>
      <w:r w:rsidRPr="00CB5A0D">
        <w:t xml:space="preserve"> </w:t>
      </w:r>
      <w:r>
        <w:t>sustainability analysis includes the following instrument</w:t>
      </w:r>
      <w:r w:rsidR="00614B2B">
        <w:t>s</w:t>
      </w:r>
      <w:r>
        <w:t xml:space="preserve"> and respondents</w:t>
      </w:r>
      <w:r>
        <w:rPr>
          <w:szCs w:val="24"/>
        </w:rPr>
        <w:t>:</w:t>
      </w:r>
    </w:p>
    <w:p w:rsidR="00A972E8" w:rsidRPr="009C5C7B" w14:paraId="454BFDA0" w14:textId="15F7DFC7">
      <w:pPr>
        <w:pStyle w:val="NormalSS"/>
        <w:numPr>
          <w:ilvl w:val="0"/>
          <w:numId w:val="43"/>
        </w:numPr>
        <w:rPr>
          <w:szCs w:val="24"/>
        </w:rPr>
      </w:pPr>
      <w:r>
        <w:rPr>
          <w:b/>
        </w:rPr>
        <w:t>Sustainability survey (Appendix E).</w:t>
      </w:r>
      <w:r>
        <w:t xml:space="preserve"> Lead staff of grantee and partner organizations with knowledge about sustainability planning will be asked to complete a web-based survey on this topic. We expect to administer the web-based survey once to 126 grantee key staff and partners (seven per project across 18 projects).</w:t>
      </w:r>
      <w:r w:rsidR="00FC7DFB">
        <w:t xml:space="preserve"> We will work closely with the grant </w:t>
      </w:r>
      <w:r w:rsidR="00FC7DFB">
        <w:t>receipient</w:t>
      </w:r>
      <w:r w:rsidR="00FC7DFB">
        <w:t xml:space="preserve"> project director to identify the respondents from partner organizations. </w:t>
      </w:r>
    </w:p>
    <w:p w:rsidR="009C5C7B" w:rsidRPr="009C5C7B" w:rsidP="00262FDC" w14:paraId="7E3FD422" w14:textId="5B6A3FAE">
      <w:pPr>
        <w:pStyle w:val="NormalSS"/>
        <w:numPr>
          <w:ilvl w:val="0"/>
          <w:numId w:val="43"/>
        </w:numPr>
        <w:rPr>
          <w:bCs/>
        </w:rPr>
      </w:pPr>
      <w:r w:rsidRPr="00262FDC">
        <w:rPr>
          <w:b/>
        </w:rPr>
        <w:t>Semi-annual progress reports.</w:t>
      </w:r>
      <w:r>
        <w:rPr>
          <w:bCs/>
        </w:rPr>
        <w:t xml:space="preserve"> </w:t>
      </w:r>
      <w:r>
        <w:rPr>
          <w:bCs/>
        </w:rPr>
        <w:t xml:space="preserve">The cross-site evaluation will also use the semi-annual progress reports as part of this analysis, which include grantees’ descriptions of sustainability efforts. </w:t>
      </w:r>
      <w:r w:rsidR="00DE3ED6">
        <w:rPr>
          <w:bCs/>
        </w:rPr>
        <w:t>Al 18 g</w:t>
      </w:r>
      <w:r>
        <w:rPr>
          <w:bCs/>
        </w:rPr>
        <w:t>rantees complete the semi-</w:t>
      </w:r>
      <w:r>
        <w:rPr>
          <w:bCs/>
        </w:rPr>
        <w:t>annaul</w:t>
      </w:r>
      <w:r>
        <w:rPr>
          <w:bCs/>
        </w:rPr>
        <w:t xml:space="preserve"> progress reports under a separate OMB clearance (OMB No. </w:t>
      </w:r>
      <w:r>
        <w:t xml:space="preserve">0970-0490, Expiration 3/31/2026). </w:t>
      </w:r>
    </w:p>
    <w:p w:rsidR="00085C23" w:rsidRPr="006A4EB6" w:rsidP="00CC0756" w14:paraId="25B6EA41" w14:textId="133A794B">
      <w:pPr>
        <w:pStyle w:val="H4Number"/>
      </w:pPr>
      <w:r>
        <w:t>Enrollment and services analysis</w:t>
      </w:r>
      <w:r w:rsidRPr="006A4EB6">
        <w:t xml:space="preserve"> </w:t>
      </w:r>
    </w:p>
    <w:p w:rsidR="00BA36B3" w:rsidP="002E1708" w14:paraId="01301D57" w14:textId="1D830A78">
      <w:pPr>
        <w:pStyle w:val="Bullet"/>
        <w:numPr>
          <w:ilvl w:val="0"/>
          <w:numId w:val="0"/>
        </w:numPr>
        <w:ind w:left="720" w:hanging="270"/>
      </w:pPr>
      <w:r>
        <w:t>This component of the evaluation includes the following instruments and respondents</w:t>
      </w:r>
      <w:r>
        <w:rPr>
          <w:szCs w:val="24"/>
        </w:rPr>
        <w:t>:</w:t>
      </w:r>
      <w:r w:rsidR="00105BCD">
        <w:rPr>
          <w:szCs w:val="24"/>
        </w:rPr>
        <w:t xml:space="preserve"> </w:t>
      </w:r>
    </w:p>
    <w:p w:rsidR="009C5C7B" w:rsidRPr="009C5C7B" w:rsidP="00614B2B" w14:paraId="75D3FF2F" w14:textId="4D190922">
      <w:pPr>
        <w:pStyle w:val="BulletLastSS"/>
      </w:pPr>
      <w:r w:rsidRPr="00614B2B">
        <w:rPr>
          <w:b/>
        </w:rPr>
        <w:t xml:space="preserve">Enrollment and services data (Appendix </w:t>
      </w:r>
      <w:r w:rsidRPr="00614B2B" w:rsidR="00105BCD">
        <w:rPr>
          <w:b/>
        </w:rPr>
        <w:t>F</w:t>
      </w:r>
      <w:r w:rsidRPr="00614B2B">
        <w:rPr>
          <w:b/>
        </w:rPr>
        <w:t xml:space="preserve">). </w:t>
      </w:r>
      <w:r>
        <w:t xml:space="preserve">These data </w:t>
      </w:r>
      <w:r w:rsidRPr="0058197D">
        <w:t xml:space="preserve">describe </w:t>
      </w:r>
      <w:r>
        <w:t xml:space="preserve">participants’ characteristics at enrollment and the </w:t>
      </w:r>
      <w:r w:rsidRPr="0058197D">
        <w:t xml:space="preserve">services </w:t>
      </w:r>
      <w:r>
        <w:t>they</w:t>
      </w:r>
      <w:r w:rsidRPr="0058197D">
        <w:t xml:space="preserve"> receive. Grantees record the enrollment date for each RPG family or household and demographic information on e</w:t>
      </w:r>
      <w:r>
        <w:t>ach family member including date</w:t>
      </w:r>
      <w:r w:rsidRPr="0058197D">
        <w:t xml:space="preserve"> of birth, ethnicity, race, primary language spoken at home, type of current residence</w:t>
      </w:r>
      <w:r>
        <w:t xml:space="preserve"> (children only)</w:t>
      </w:r>
      <w:r w:rsidRPr="0058197D">
        <w:t>, income (adults only), highest education level attained (adults only)</w:t>
      </w:r>
      <w:r>
        <w:t>,</w:t>
      </w:r>
      <w:r w:rsidRPr="0058197D">
        <w:t xml:space="preserve"> and relationship to </w:t>
      </w:r>
      <w:r>
        <w:t>a</w:t>
      </w:r>
      <w:r w:rsidRPr="0058197D">
        <w:t xml:space="preserve"> </w:t>
      </w:r>
      <w:r w:rsidRPr="00C048E8">
        <w:t>focal child</w:t>
      </w:r>
      <w:r>
        <w:t xml:space="preserve"> in each family on whom data will be collected</w:t>
      </w:r>
      <w:r w:rsidRPr="0058197D">
        <w:t xml:space="preserve">. Grantees also record the enrollment date for families or individual family members into </w:t>
      </w:r>
      <w:r>
        <w:t>RPG</w:t>
      </w:r>
      <w:r w:rsidRPr="0058197D">
        <w:t xml:space="preserve"> </w:t>
      </w:r>
      <w:r>
        <w:t>services</w:t>
      </w:r>
      <w:r w:rsidRPr="0058197D">
        <w:t xml:space="preserve">, service contact information for </w:t>
      </w:r>
      <w:r>
        <w:t>core services</w:t>
      </w:r>
      <w:r w:rsidRPr="0058197D">
        <w:t xml:space="preserve">, and exit dates for RPG. </w:t>
      </w:r>
    </w:p>
    <w:p w:rsidR="00F70B1F" w:rsidRPr="009C5C7B" w:rsidP="009C5C7B" w14:paraId="1A707230" w14:textId="548038D7">
      <w:pPr>
        <w:pStyle w:val="BulletLastSS"/>
        <w:rPr>
          <w:bCs/>
        </w:rPr>
      </w:pPr>
      <w:r w:rsidRPr="00236B68">
        <w:rPr>
          <w:b/>
        </w:rPr>
        <w:t>Semi-annual progress reports.</w:t>
      </w:r>
      <w:r>
        <w:rPr>
          <w:bCs/>
        </w:rPr>
        <w:t xml:space="preserve"> </w:t>
      </w:r>
      <w:r w:rsidRPr="009C5C7B">
        <w:rPr>
          <w:bCs/>
        </w:rPr>
        <w:t>The cross-site evaluation will also use the semi-annual progress reports as part of this analysis</w:t>
      </w:r>
      <w:r w:rsidR="009C5C7B">
        <w:rPr>
          <w:bCs/>
        </w:rPr>
        <w:t xml:space="preserve"> which includes grantees’ reports of enrollment progress into the program and evaluation across the life of the grant</w:t>
      </w:r>
      <w:r w:rsidRPr="009C5C7B">
        <w:rPr>
          <w:bCs/>
        </w:rPr>
        <w:t xml:space="preserve">. </w:t>
      </w:r>
      <w:r w:rsidR="00DE3ED6">
        <w:rPr>
          <w:bCs/>
        </w:rPr>
        <w:t>All 18 g</w:t>
      </w:r>
      <w:r w:rsidRPr="009C5C7B">
        <w:rPr>
          <w:bCs/>
        </w:rPr>
        <w:t>rant</w:t>
      </w:r>
      <w:r w:rsidRPr="009C5C7B" w:rsidR="00D32CF2">
        <w:rPr>
          <w:bCs/>
        </w:rPr>
        <w:t>ees</w:t>
      </w:r>
      <w:r w:rsidRPr="009C5C7B">
        <w:rPr>
          <w:bCs/>
        </w:rPr>
        <w:t xml:space="preserve"> complete the semi-</w:t>
      </w:r>
      <w:r w:rsidRPr="009C5C7B">
        <w:rPr>
          <w:bCs/>
        </w:rPr>
        <w:t>annaul</w:t>
      </w:r>
      <w:r w:rsidRPr="009C5C7B">
        <w:rPr>
          <w:bCs/>
        </w:rPr>
        <w:t xml:space="preserve"> progress reports under a separate OMB clearance (OMB No. </w:t>
      </w:r>
      <w:r>
        <w:t xml:space="preserve">0970-0490, Expiration 3/31/2026). </w:t>
      </w:r>
    </w:p>
    <w:p w:rsidR="00085C23" w:rsidRPr="00D05261" w:rsidP="00CC0756" w14:paraId="1BD644B3" w14:textId="0234045D">
      <w:pPr>
        <w:pStyle w:val="H4Number"/>
      </w:pPr>
      <w:r w:rsidRPr="00D05261">
        <w:t xml:space="preserve">Outcomes </w:t>
      </w:r>
      <w:r>
        <w:t>a</w:t>
      </w:r>
      <w:r w:rsidRPr="00D05261">
        <w:t xml:space="preserve">nalysis </w:t>
      </w:r>
    </w:p>
    <w:p w:rsidR="00085C23" w:rsidP="00BC2FC0" w14:paraId="06163E8E" w14:textId="26A88259">
      <w:pPr>
        <w:pStyle w:val="NormalSS"/>
      </w:pPr>
      <w:r w:rsidRPr="00EE1D19">
        <w:rPr>
          <w:szCs w:val="24"/>
        </w:rPr>
        <w:t xml:space="preserve">The </w:t>
      </w:r>
      <w:r w:rsidR="003205D7">
        <w:rPr>
          <w:szCs w:val="24"/>
        </w:rPr>
        <w:t xml:space="preserve">ongoing </w:t>
      </w:r>
      <w:r w:rsidRPr="00EE1D19">
        <w:rPr>
          <w:szCs w:val="24"/>
        </w:rPr>
        <w:t>outcome</w:t>
      </w:r>
      <w:r>
        <w:rPr>
          <w:szCs w:val="24"/>
        </w:rPr>
        <w:t>s</w:t>
      </w:r>
      <w:r w:rsidRPr="00EE1D19">
        <w:rPr>
          <w:szCs w:val="24"/>
        </w:rPr>
        <w:t xml:space="preserve"> </w:t>
      </w:r>
      <w:r>
        <w:rPr>
          <w:szCs w:val="24"/>
        </w:rPr>
        <w:t>analysis</w:t>
      </w:r>
      <w:r w:rsidRPr="00EE1D19">
        <w:rPr>
          <w:szCs w:val="24"/>
        </w:rPr>
        <w:t xml:space="preserve"> include</w:t>
      </w:r>
      <w:r w:rsidR="00B67FB8">
        <w:rPr>
          <w:szCs w:val="24"/>
        </w:rPr>
        <w:t>s</w:t>
      </w:r>
      <w:r w:rsidRPr="00EE1D19">
        <w:rPr>
          <w:szCs w:val="24"/>
        </w:rPr>
        <w:t xml:space="preserve"> all </w:t>
      </w:r>
      <w:r w:rsidR="003B46EC">
        <w:rPr>
          <w:szCs w:val="24"/>
        </w:rPr>
        <w:t>18</w:t>
      </w:r>
      <w:r w:rsidRPr="00EE1D19" w:rsidR="003B46EC">
        <w:rPr>
          <w:szCs w:val="24"/>
        </w:rPr>
        <w:t xml:space="preserve"> </w:t>
      </w:r>
      <w:r w:rsidRPr="00EE1D19">
        <w:rPr>
          <w:szCs w:val="24"/>
        </w:rPr>
        <w:t xml:space="preserve">grantees. </w:t>
      </w:r>
    </w:p>
    <w:p w:rsidR="00085C23" w:rsidRPr="00EE1D19" w:rsidP="00BC2FC0" w14:paraId="1E6A718E" w14:textId="157DBCFD">
      <w:pPr>
        <w:pStyle w:val="NormalSS"/>
        <w:rPr>
          <w:szCs w:val="24"/>
        </w:rPr>
      </w:pPr>
      <w:r>
        <w:t xml:space="preserve">This component of the evaluation includes </w:t>
      </w:r>
      <w:r>
        <w:rPr>
          <w:szCs w:val="24"/>
        </w:rPr>
        <w:t>five measures and administrative data elements associated with the cross-site evaluation’s outcomes analysis (Appendi</w:t>
      </w:r>
      <w:r w:rsidR="0082516D">
        <w:rPr>
          <w:szCs w:val="24"/>
        </w:rPr>
        <w:t>ces</w:t>
      </w:r>
      <w:r>
        <w:rPr>
          <w:szCs w:val="24"/>
        </w:rPr>
        <w:t xml:space="preserve"> </w:t>
      </w:r>
      <w:r w:rsidR="00116411">
        <w:rPr>
          <w:szCs w:val="24"/>
        </w:rPr>
        <w:t>G</w:t>
      </w:r>
      <w:r>
        <w:rPr>
          <w:szCs w:val="24"/>
        </w:rPr>
        <w:t xml:space="preserve"> and </w:t>
      </w:r>
      <w:r w:rsidR="00116411">
        <w:rPr>
          <w:szCs w:val="24"/>
        </w:rPr>
        <w:t>H</w:t>
      </w:r>
      <w:r>
        <w:rPr>
          <w:szCs w:val="24"/>
        </w:rPr>
        <w:t xml:space="preserve">). From the child’s primary caregiver, grantees collect outcomes data on </w:t>
      </w:r>
      <w:r w:rsidRPr="004509AC">
        <w:rPr>
          <w:szCs w:val="24"/>
        </w:rPr>
        <w:t>child well-being, functioning</w:t>
      </w:r>
      <w:r>
        <w:rPr>
          <w:szCs w:val="24"/>
        </w:rPr>
        <w:t xml:space="preserve"> and </w:t>
      </w:r>
      <w:r w:rsidRPr="004509AC">
        <w:rPr>
          <w:szCs w:val="24"/>
        </w:rPr>
        <w:t>stability, safety, and permanency</w:t>
      </w:r>
      <w:r>
        <w:rPr>
          <w:szCs w:val="24"/>
        </w:rPr>
        <w:t xml:space="preserve"> on one focal child in each </w:t>
      </w:r>
      <w:r w:rsidRPr="00E91BC6">
        <w:t>participating</w:t>
      </w:r>
      <w:r>
        <w:rPr>
          <w:szCs w:val="24"/>
        </w:rPr>
        <w:t xml:space="preserve"> family. However, if the child is in out-of-home placement, then grantees collect child well-being data from the current caregiver. Each grantee select</w:t>
      </w:r>
      <w:r w:rsidR="00CA0486">
        <w:rPr>
          <w:szCs w:val="24"/>
        </w:rPr>
        <w:t>s</w:t>
      </w:r>
      <w:r>
        <w:rPr>
          <w:szCs w:val="24"/>
        </w:rPr>
        <w:t xml:space="preserve"> a focal child at enrollment based on their target populations and planned services (for example, some grantees plan to serve families with infants or toddlers, and others plan to serve adolescents or teens.) </w:t>
      </w:r>
      <w:r>
        <w:t xml:space="preserve">Grantees administer the instruments collecting data on adult </w:t>
      </w:r>
      <w:r w:rsidR="009C5C7B">
        <w:t>substance use disorder (</w:t>
      </w:r>
      <w:r>
        <w:t>SUD</w:t>
      </w:r>
      <w:r w:rsidR="009C5C7B">
        <w:t>)</w:t>
      </w:r>
      <w:r>
        <w:t xml:space="preserve"> recovery from the same adult, unless he or she is not the adult with an SUD or in recovery from an SUD. In those cases, grantees collect recovery data from a separate adult receiving RPG services who has or had an SUD.</w:t>
      </w:r>
      <w:r w:rsidRPr="00E51A21">
        <w:rPr>
          <w:szCs w:val="24"/>
        </w:rPr>
        <w:t xml:space="preserve"> </w:t>
      </w:r>
    </w:p>
    <w:p w:rsidR="00085C23" w:rsidRPr="00D05261" w:rsidP="00CC0756" w14:paraId="74930F40" w14:textId="77777777">
      <w:pPr>
        <w:pStyle w:val="H4Number"/>
      </w:pPr>
      <w:r w:rsidRPr="00D05261">
        <w:t>Impact</w:t>
      </w:r>
      <w:r>
        <w:t>s</w:t>
      </w:r>
      <w:r w:rsidRPr="00D05261">
        <w:t xml:space="preserve"> </w:t>
      </w:r>
      <w:r>
        <w:t>a</w:t>
      </w:r>
      <w:r w:rsidRPr="00D05261">
        <w:t xml:space="preserve">nalysis </w:t>
      </w:r>
    </w:p>
    <w:p w:rsidR="00CC0756" w:rsidRPr="00464804" w:rsidP="007930B5" w14:paraId="3A382E48" w14:textId="72DEF52C">
      <w:pPr>
        <w:widowControl/>
        <w:spacing w:after="240"/>
        <w:ind w:firstLine="360"/>
        <w:rPr>
          <w:rFonts w:ascii="Times New Roman" w:hAnsi="Times New Roman"/>
          <w:snapToGrid/>
          <w:sz w:val="24"/>
          <w:szCs w:val="24"/>
        </w:rPr>
      </w:pPr>
      <w:r w:rsidRPr="00136C06">
        <w:rPr>
          <w:rFonts w:ascii="Times New Roman" w:hAnsi="Times New Roman"/>
          <w:sz w:val="24"/>
          <w:szCs w:val="24"/>
        </w:rPr>
        <w:t xml:space="preserve">The impacts analysis </w:t>
      </w:r>
      <w:r w:rsidRPr="00262FDC">
        <w:rPr>
          <w:rFonts w:ascii="Times New Roman" w:hAnsi="Times New Roman"/>
          <w:snapToGrid/>
          <w:sz w:val="24"/>
          <w:szCs w:val="24"/>
        </w:rPr>
        <w:t>include</w:t>
      </w:r>
      <w:r w:rsidRPr="00262FDC" w:rsidR="00CA0486">
        <w:rPr>
          <w:rFonts w:ascii="Times New Roman" w:hAnsi="Times New Roman"/>
          <w:snapToGrid/>
          <w:sz w:val="24"/>
          <w:szCs w:val="24"/>
        </w:rPr>
        <w:t>s</w:t>
      </w:r>
      <w:r w:rsidRPr="000B6982" w:rsidR="00394510">
        <w:rPr>
          <w:rFonts w:ascii="Times New Roman" w:hAnsi="Times New Roman"/>
          <w:sz w:val="24"/>
        </w:rPr>
        <w:t xml:space="preserve"> </w:t>
      </w:r>
      <w:r w:rsidRPr="00262FDC" w:rsidR="00D301F9">
        <w:rPr>
          <w:rFonts w:ascii="Times New Roman" w:hAnsi="Times New Roman"/>
          <w:snapToGrid/>
          <w:sz w:val="24"/>
          <w:szCs w:val="24"/>
        </w:rPr>
        <w:t>14</w:t>
      </w:r>
      <w:r w:rsidR="007930B5">
        <w:rPr>
          <w:rFonts w:ascii="Times New Roman" w:hAnsi="Times New Roman"/>
          <w:snapToGrid/>
          <w:sz w:val="24"/>
          <w:szCs w:val="24"/>
        </w:rPr>
        <w:t xml:space="preserve"> </w:t>
      </w:r>
      <w:r w:rsidRPr="00136C06">
        <w:rPr>
          <w:rFonts w:ascii="Times New Roman" w:hAnsi="Times New Roman"/>
          <w:snapToGrid/>
          <w:sz w:val="24"/>
          <w:szCs w:val="24"/>
        </w:rPr>
        <w:t xml:space="preserve">grantees that are implementing rigorous comparison local evaluation designs and </w:t>
      </w:r>
      <w:r w:rsidR="009C5C7B">
        <w:rPr>
          <w:rFonts w:ascii="Times New Roman" w:hAnsi="Times New Roman"/>
          <w:snapToGrid/>
          <w:sz w:val="24"/>
          <w:szCs w:val="24"/>
        </w:rPr>
        <w:t>may</w:t>
      </w:r>
      <w:r w:rsidRPr="00187191" w:rsidR="009C5C7B">
        <w:rPr>
          <w:rFonts w:ascii="Times New Roman" w:hAnsi="Times New Roman"/>
          <w:snapToGrid/>
          <w:sz w:val="24"/>
          <w:szCs w:val="24"/>
        </w:rPr>
        <w:t xml:space="preserve"> </w:t>
      </w:r>
      <w:r w:rsidRPr="00187191">
        <w:rPr>
          <w:rFonts w:ascii="Times New Roman" w:hAnsi="Times New Roman"/>
          <w:snapToGrid/>
          <w:sz w:val="24"/>
          <w:szCs w:val="24"/>
        </w:rPr>
        <w:t xml:space="preserve">provide outcomes data on both treatment and comparison group members. </w:t>
      </w:r>
      <w:r w:rsidRPr="00187191" w:rsidR="00A676EA">
        <w:rPr>
          <w:rFonts w:ascii="Times New Roman" w:hAnsi="Times New Roman"/>
          <w:sz w:val="24"/>
          <w:szCs w:val="24"/>
        </w:rPr>
        <w:t xml:space="preserve">This component of the evaluation includes </w:t>
      </w:r>
      <w:r w:rsidRPr="00187191">
        <w:rPr>
          <w:rFonts w:ascii="Times New Roman" w:hAnsi="Times New Roman"/>
          <w:snapToGrid/>
          <w:sz w:val="24"/>
          <w:szCs w:val="24"/>
        </w:rPr>
        <w:t>the same elements contained in the outcomes analysis instruments from participants in the comparison groups</w:t>
      </w:r>
      <w:r w:rsidR="0082516D">
        <w:rPr>
          <w:rFonts w:ascii="Times New Roman" w:hAnsi="Times New Roman"/>
          <w:snapToGrid/>
          <w:sz w:val="24"/>
          <w:szCs w:val="24"/>
        </w:rPr>
        <w:t xml:space="preserve"> (Appendices G and H)</w:t>
      </w:r>
      <w:r w:rsidRPr="00187191">
        <w:rPr>
          <w:rFonts w:ascii="Times New Roman" w:hAnsi="Times New Roman"/>
          <w:snapToGrid/>
          <w:sz w:val="24"/>
          <w:szCs w:val="24"/>
        </w:rPr>
        <w:t>.</w:t>
      </w:r>
      <w:r w:rsidRPr="00136C06">
        <w:rPr>
          <w:rFonts w:ascii="Times New Roman" w:hAnsi="Times New Roman"/>
          <w:snapToGrid/>
          <w:sz w:val="24"/>
          <w:szCs w:val="24"/>
        </w:rPr>
        <w:t xml:space="preserve"> </w:t>
      </w:r>
    </w:p>
    <w:p w:rsidR="00085C23" w:rsidRPr="00817E2B" w:rsidP="00464804" w14:paraId="1D2CB71F" w14:textId="1DB23D28">
      <w:pPr>
        <w:widowControl/>
        <w:spacing w:after="120"/>
        <w:rPr>
          <w:rFonts w:ascii="Times New Roman" w:hAnsi="Times New Roman"/>
          <w:b/>
          <w:snapToGrid/>
          <w:sz w:val="24"/>
          <w:szCs w:val="24"/>
        </w:rPr>
      </w:pPr>
      <w:r>
        <w:rPr>
          <w:rFonts w:ascii="Times New Roman" w:hAnsi="Times New Roman"/>
          <w:b/>
          <w:snapToGrid/>
          <w:sz w:val="24"/>
          <w:szCs w:val="24"/>
        </w:rPr>
        <w:t xml:space="preserve">2. </w:t>
      </w:r>
      <w:r w:rsidRPr="00817E2B">
        <w:rPr>
          <w:rFonts w:ascii="Times New Roman" w:hAnsi="Times New Roman"/>
          <w:b/>
          <w:snapToGrid/>
          <w:sz w:val="24"/>
          <w:szCs w:val="24"/>
        </w:rPr>
        <w:t xml:space="preserve">Procedures for the Collection of Information </w:t>
      </w:r>
    </w:p>
    <w:p w:rsidR="00085C23" w:rsidRPr="00D05261" w:rsidP="00CC0756" w14:paraId="5779EAF7" w14:textId="77777777">
      <w:pPr>
        <w:pStyle w:val="H4Number"/>
      </w:pPr>
      <w:r w:rsidRPr="00D05261">
        <w:t>Partnership</w:t>
      </w:r>
      <w:r>
        <w:t>s</w:t>
      </w:r>
      <w:r w:rsidRPr="00D05261">
        <w:t xml:space="preserve"> </w:t>
      </w:r>
      <w:r>
        <w:t>a</w:t>
      </w:r>
      <w:r w:rsidRPr="00D05261">
        <w:t>nalysis</w:t>
      </w:r>
    </w:p>
    <w:p w:rsidR="00085C23" w:rsidRPr="00EE1D19" w:rsidP="00CC0756" w14:paraId="2A158F60" w14:textId="2D3B3F6D">
      <w:pPr>
        <w:pStyle w:val="Bullet"/>
      </w:pPr>
      <w:r w:rsidRPr="00F15038">
        <w:rPr>
          <w:b/>
        </w:rPr>
        <w:t>Grantee and partner staff topic guide</w:t>
      </w:r>
      <w:r w:rsidRPr="00EE1D19">
        <w:rPr>
          <w:b/>
        </w:rPr>
        <w:t xml:space="preserve">. </w:t>
      </w:r>
      <w:r>
        <w:t xml:space="preserve">Two members of the RPG cross-site evaluation team will conduct one site visit </w:t>
      </w:r>
      <w:r w:rsidR="00AB4FA7">
        <w:t>to 18 grantees (in Year 4 of the grant program)</w:t>
      </w:r>
      <w:r>
        <w:t>. While on-site, they will conduct in-person, individual interviews with grantee, partner, and frontline staff. Evaluators will obtain verbal consent from each interviewee, including permission to audio record the interviews for later transcription</w:t>
      </w:r>
      <w:r w:rsidRPr="00EE1D19">
        <w:t>.</w:t>
      </w:r>
      <w:r>
        <w:t xml:space="preserve"> One team member will moderate the interview. If interviewees do not consent to audio recording, the second team member will use a laptop computer to take detailed notes.</w:t>
      </w:r>
    </w:p>
    <w:p w:rsidR="008656FF" w:rsidRPr="000B6982" w:rsidP="000B6982" w14:paraId="131C6C64" w14:textId="7F100773">
      <w:pPr>
        <w:pStyle w:val="BulletLastSS"/>
        <w:numPr>
          <w:ilvl w:val="0"/>
          <w:numId w:val="0"/>
        </w:numPr>
        <w:ind w:left="360"/>
        <w:rPr>
          <w:b/>
        </w:rPr>
      </w:pPr>
      <w:r>
        <w:t>Information for the partnerships analysis will be descriptive. In general, it will not involve formal hypothesis testing.</w:t>
      </w:r>
    </w:p>
    <w:p w:rsidR="00D32CF2" w:rsidP="00D32CF2" w14:paraId="1EBC4F4F" w14:textId="4B8A48EC">
      <w:pPr>
        <w:pStyle w:val="BulletLastSS"/>
        <w:numPr>
          <w:ilvl w:val="0"/>
          <w:numId w:val="0"/>
        </w:numPr>
        <w:rPr>
          <w:b/>
          <w:bCs/>
        </w:rPr>
      </w:pPr>
      <w:r w:rsidRPr="00262FDC">
        <w:rPr>
          <w:b/>
          <w:bCs/>
        </w:rPr>
        <w:t>Participant experiences analysis</w:t>
      </w:r>
    </w:p>
    <w:p w:rsidR="00D32CF2" w:rsidRPr="00D32CF2" w:rsidP="00262FDC" w14:paraId="290C8A13" w14:textId="454A3EF8">
      <w:pPr>
        <w:pStyle w:val="NormalSS"/>
        <w:spacing w:after="120"/>
        <w:rPr>
          <w:szCs w:val="24"/>
        </w:rPr>
      </w:pPr>
      <w:bookmarkStart w:id="2" w:name="_Hlk183506201"/>
      <w:r>
        <w:t xml:space="preserve">As a part of the site visits conducted for the partnerships analysis, two additional members of the RPG cross-site team will join the site visit team for up to 8 grantees </w:t>
      </w:r>
      <w:bookmarkEnd w:id="2"/>
      <w:r>
        <w:t xml:space="preserve">(in Year 4 of the grant program). </w:t>
      </w:r>
      <w:r>
        <w:rPr>
          <w:szCs w:val="24"/>
        </w:rPr>
        <w:t xml:space="preserve">Descriptions of the data collection procedures </w:t>
      </w:r>
      <w:r w:rsidRPr="00EE1D19">
        <w:rPr>
          <w:szCs w:val="24"/>
        </w:rPr>
        <w:t xml:space="preserve">for the </w:t>
      </w:r>
      <w:r>
        <w:rPr>
          <w:szCs w:val="24"/>
        </w:rPr>
        <w:t>two</w:t>
      </w:r>
      <w:r w:rsidRPr="00EE1D19">
        <w:rPr>
          <w:szCs w:val="24"/>
        </w:rPr>
        <w:t xml:space="preserve"> instrument associated with the </w:t>
      </w:r>
      <w:r>
        <w:rPr>
          <w:szCs w:val="24"/>
        </w:rPr>
        <w:t>participant exper</w:t>
      </w:r>
      <w:r w:rsidR="007118FC">
        <w:rPr>
          <w:szCs w:val="24"/>
        </w:rPr>
        <w:t>ie</w:t>
      </w:r>
      <w:r>
        <w:rPr>
          <w:szCs w:val="24"/>
        </w:rPr>
        <w:t>nces</w:t>
      </w:r>
      <w:r w:rsidRPr="00EE1D19">
        <w:rPr>
          <w:szCs w:val="24"/>
        </w:rPr>
        <w:t xml:space="preserve"> </w:t>
      </w:r>
      <w:r>
        <w:rPr>
          <w:szCs w:val="24"/>
        </w:rPr>
        <w:t>analysis</w:t>
      </w:r>
      <w:r w:rsidRPr="00EE1D19">
        <w:rPr>
          <w:szCs w:val="24"/>
        </w:rPr>
        <w:t xml:space="preserve"> </w:t>
      </w:r>
      <w:r>
        <w:rPr>
          <w:szCs w:val="24"/>
        </w:rPr>
        <w:t>follow:</w:t>
      </w:r>
    </w:p>
    <w:p w:rsidR="00D32CF2" w:rsidP="00D32CF2" w14:paraId="06EB550C" w14:textId="21113AF9">
      <w:pPr>
        <w:pStyle w:val="Bullet"/>
      </w:pPr>
      <w:bookmarkStart w:id="3" w:name="_Hlk183097892"/>
      <w:r w:rsidRPr="00262FDC">
        <w:rPr>
          <w:b/>
          <w:bCs/>
          <w:szCs w:val="24"/>
        </w:rPr>
        <w:t xml:space="preserve">Individual interviews </w:t>
      </w:r>
      <w:bookmarkStart w:id="4" w:name="_Hlk183098336"/>
      <w:r w:rsidRPr="00262FDC">
        <w:rPr>
          <w:b/>
          <w:bCs/>
          <w:szCs w:val="24"/>
        </w:rPr>
        <w:t>with participants enrolled in RPG services</w:t>
      </w:r>
      <w:bookmarkEnd w:id="3"/>
      <w:bookmarkEnd w:id="4"/>
      <w:r w:rsidRPr="00262FDC" w:rsidR="00A728B1">
        <w:rPr>
          <w:b/>
          <w:bCs/>
        </w:rPr>
        <w:t>.</w:t>
      </w:r>
      <w:r w:rsidR="00A728B1">
        <w:t xml:space="preserve"> </w:t>
      </w:r>
      <w:r w:rsidR="009211E7">
        <w:t xml:space="preserve">One </w:t>
      </w:r>
      <w:r w:rsidR="001F6F91">
        <w:t xml:space="preserve">cross-site team member </w:t>
      </w:r>
      <w:r w:rsidR="009211E7">
        <w:t xml:space="preserve">will </w:t>
      </w:r>
      <w:r w:rsidR="000601BB">
        <w:t>conduct</w:t>
      </w:r>
      <w:r w:rsidR="00B3767F">
        <w:t>s</w:t>
      </w:r>
      <w:r w:rsidR="000601BB">
        <w:t xml:space="preserve"> in-person, individual interviews with participants </w:t>
      </w:r>
      <w:r w:rsidRPr="00D32CF2">
        <w:t>enrolled in RPG services</w:t>
      </w:r>
      <w:r w:rsidR="000601BB">
        <w:t xml:space="preserve">. </w:t>
      </w:r>
      <w:r w:rsidR="001F6F91">
        <w:t>Interviewers</w:t>
      </w:r>
      <w:r>
        <w:t xml:space="preserve"> will obtain verbal consent from each interview respondent, including permission to audio record the interview for later transcription</w:t>
      </w:r>
      <w:r w:rsidRPr="00EE1D19">
        <w:t>.</w:t>
      </w:r>
      <w:r>
        <w:t xml:space="preserve"> If respondents do not consent to audio recording, the </w:t>
      </w:r>
      <w:r w:rsidR="001F6F91">
        <w:t>interviewer</w:t>
      </w:r>
      <w:r>
        <w:t xml:space="preserve"> will use a laptop computer to take detailed notes.</w:t>
      </w:r>
    </w:p>
    <w:p w:rsidR="00A728B1" w:rsidRPr="00A728B1" w:rsidP="00262FDC" w14:paraId="78309F12" w14:textId="56F52CAD">
      <w:pPr>
        <w:pStyle w:val="Bullet"/>
      </w:pPr>
      <w:r w:rsidRPr="00262FDC">
        <w:rPr>
          <w:b/>
          <w:bCs/>
          <w:szCs w:val="24"/>
        </w:rPr>
        <w:t>Focus groups with participants enrolled in RPG services.</w:t>
      </w:r>
      <w:r>
        <w:rPr>
          <w:szCs w:val="24"/>
        </w:rPr>
        <w:t xml:space="preserve"> </w:t>
      </w:r>
      <w:r>
        <w:t xml:space="preserve">Two members of the RPG cross-site team conduct focus groups with up to </w:t>
      </w:r>
      <w:r w:rsidR="008656FF">
        <w:t>6</w:t>
      </w:r>
      <w:r>
        <w:t xml:space="preserve"> participants </w:t>
      </w:r>
      <w:r w:rsidRPr="00D32CF2">
        <w:t>enrolled in RPG services</w:t>
      </w:r>
      <w:r>
        <w:t xml:space="preserve">. </w:t>
      </w:r>
      <w:r w:rsidR="008656FF">
        <w:t xml:space="preserve">As part of the focus group, we </w:t>
      </w:r>
      <w:r w:rsidRPr="00544A36" w:rsidR="008656FF">
        <w:t>will also administer a brief questionnaire to obtain participant demographic data.</w:t>
      </w:r>
      <w:r w:rsidR="008656FF">
        <w:t xml:space="preserve"> </w:t>
      </w:r>
      <w:r w:rsidR="001F6F91">
        <w:t>Interviewers</w:t>
      </w:r>
      <w:r w:rsidR="000601BB">
        <w:t xml:space="preserve"> will obtain verbal consent from each </w:t>
      </w:r>
      <w:r w:rsidR="00506091">
        <w:t xml:space="preserve">focus group </w:t>
      </w:r>
      <w:r w:rsidR="008656FF">
        <w:t>respondent</w:t>
      </w:r>
      <w:r w:rsidR="000601BB">
        <w:t>, including permission to audio record the focus group for later transcription</w:t>
      </w:r>
      <w:r w:rsidRPr="00EE1D19" w:rsidR="000601BB">
        <w:t>.</w:t>
      </w:r>
      <w:r w:rsidR="000601BB">
        <w:t xml:space="preserve"> One team member will moderate the focus group. If respondents do not consent to audio recording, the second team member will use a laptop computer to take detailed notes.</w:t>
      </w:r>
      <w:r w:rsidRPr="00D32CF2">
        <w:t xml:space="preserve"> </w:t>
      </w:r>
    </w:p>
    <w:p w:rsidR="008656FF" w:rsidP="00262FDC" w14:paraId="4A89CC9D" w14:textId="33A43662">
      <w:pPr>
        <w:pStyle w:val="Bullet"/>
        <w:numPr>
          <w:ilvl w:val="0"/>
          <w:numId w:val="0"/>
        </w:numPr>
        <w:ind w:left="360"/>
      </w:pPr>
      <w:r>
        <w:t xml:space="preserve">Information for the </w:t>
      </w:r>
      <w:r>
        <w:t>participant experiences</w:t>
      </w:r>
      <w:r>
        <w:t xml:space="preserve"> analysis will be descriptive. In general, it will not involve formal hypothesis testing.</w:t>
      </w:r>
    </w:p>
    <w:p w:rsidR="008656FF" w:rsidRPr="003C38AC" w:rsidP="008656FF" w14:paraId="61234006" w14:textId="77777777">
      <w:pPr>
        <w:pStyle w:val="BulletLastSS"/>
        <w:numPr>
          <w:ilvl w:val="0"/>
          <w:numId w:val="0"/>
        </w:numPr>
        <w:spacing w:after="120"/>
        <w:rPr>
          <w:b/>
          <w:bCs/>
        </w:rPr>
      </w:pPr>
      <w:r w:rsidRPr="003C38AC">
        <w:rPr>
          <w:b/>
          <w:bCs/>
        </w:rPr>
        <w:t>Sustainability analysis</w:t>
      </w:r>
    </w:p>
    <w:p w:rsidR="008656FF" w:rsidP="008656FF" w14:paraId="205C232A" w14:textId="77777777">
      <w:pPr>
        <w:pStyle w:val="BulletLastSS"/>
      </w:pPr>
      <w:r w:rsidRPr="0086426B">
        <w:rPr>
          <w:b/>
          <w:bCs/>
        </w:rPr>
        <w:t>Sustainability survey</w:t>
      </w:r>
      <w:r>
        <w:t>. This survey is web-based. The cross-site evaluation team will obtain from the grantees contact information for desired respondents and notify respondents in advance about the survey with an email.</w:t>
      </w:r>
      <w:r w:rsidRPr="00EE1D19">
        <w:t xml:space="preserve"> </w:t>
      </w:r>
      <w:r>
        <w:t>Personalized l</w:t>
      </w:r>
      <w:r w:rsidRPr="00EE1D19">
        <w:t>inks to the survey</w:t>
      </w:r>
      <w:r>
        <w:t xml:space="preserve"> (along with both an email address and telephone number where respondents can ask any questions about the survey)</w:t>
      </w:r>
      <w:r w:rsidRPr="00EE1D19">
        <w:t xml:space="preserve"> will</w:t>
      </w:r>
      <w:r>
        <w:t xml:space="preserve"> then</w:t>
      </w:r>
      <w:r w:rsidRPr="00EE1D19">
        <w:t xml:space="preserve"> be distributed to</w:t>
      </w:r>
      <w:r>
        <w:t xml:space="preserve"> each</w:t>
      </w:r>
      <w:r w:rsidRPr="00EE1D19">
        <w:t xml:space="preserve"> respondent via email</w:t>
      </w:r>
      <w:r>
        <w:t>. By clicking on the link or pasting it into their browser</w:t>
      </w:r>
      <w:r w:rsidRPr="00EE1D19">
        <w:t>,</w:t>
      </w:r>
      <w:r>
        <w:t xml:space="preserve"> respondents will go directly to the 20-minute survey. If they are unable to complete the survey in one sitting, they can return to it as needed.</w:t>
      </w:r>
    </w:p>
    <w:p w:rsidR="008656FF" w:rsidRPr="002561E5" w:rsidP="008656FF" w14:paraId="09BDB4D7" w14:textId="16BFDEF0">
      <w:pPr>
        <w:pStyle w:val="BulletLastSS"/>
        <w:numPr>
          <w:ilvl w:val="0"/>
          <w:numId w:val="0"/>
        </w:numPr>
        <w:ind w:firstLine="432"/>
      </w:pPr>
      <w:r>
        <w:t xml:space="preserve">Information for the </w:t>
      </w:r>
      <w:r w:rsidR="00DC5C60">
        <w:t>sustainability</w:t>
      </w:r>
      <w:r>
        <w:t xml:space="preserve"> analysis will be descriptive. In general, it does not involve formal hypothesis testing.</w:t>
      </w:r>
    </w:p>
    <w:p w:rsidR="00085C23" w:rsidRPr="00D05261" w:rsidP="00CC0756" w14:paraId="523535DD" w14:textId="77777777">
      <w:pPr>
        <w:pStyle w:val="H4Number"/>
      </w:pPr>
      <w:r w:rsidRPr="00D05261">
        <w:t xml:space="preserve">Enrollment and </w:t>
      </w:r>
      <w:r>
        <w:t>s</w:t>
      </w:r>
      <w:r w:rsidRPr="00D05261">
        <w:t xml:space="preserve">ervices </w:t>
      </w:r>
      <w:r>
        <w:t>a</w:t>
      </w:r>
      <w:r w:rsidRPr="00D05261">
        <w:t>nalysis</w:t>
      </w:r>
    </w:p>
    <w:p w:rsidR="00085C23" w:rsidRPr="00EE1D19" w:rsidP="00BC2FC0" w14:paraId="04E9EE86" w14:textId="4A866E6B">
      <w:pPr>
        <w:pStyle w:val="BulletLastSS"/>
      </w:pPr>
      <w:r w:rsidRPr="00EE1D19">
        <w:rPr>
          <w:b/>
        </w:rPr>
        <w:t>Enrollment and service</w:t>
      </w:r>
      <w:r>
        <w:rPr>
          <w:b/>
        </w:rPr>
        <w:t>s</w:t>
      </w:r>
      <w:r w:rsidRPr="00EE1D19">
        <w:rPr>
          <w:b/>
        </w:rPr>
        <w:t xml:space="preserve"> </w:t>
      </w:r>
      <w:r>
        <w:rPr>
          <w:b/>
        </w:rPr>
        <w:t>data</w:t>
      </w:r>
      <w:r w:rsidRPr="00EE1D19">
        <w:rPr>
          <w:b/>
        </w:rPr>
        <w:t xml:space="preserve">. </w:t>
      </w:r>
      <w:r w:rsidRPr="00EE1D19">
        <w:t>Intake workers enter demographic characteristics</w:t>
      </w:r>
      <w:r>
        <w:t xml:space="preserve"> and </w:t>
      </w:r>
      <w:r w:rsidRPr="00EE1D19">
        <w:t xml:space="preserve">RPG </w:t>
      </w:r>
      <w:r>
        <w:t xml:space="preserve">program </w:t>
      </w:r>
      <w:r w:rsidRPr="00EE1D19">
        <w:t>enrollment</w:t>
      </w:r>
      <w:r>
        <w:t xml:space="preserve"> and exit</w:t>
      </w:r>
      <w:r w:rsidRPr="00EE1D19">
        <w:t xml:space="preserve"> dates for each RPG case into </w:t>
      </w:r>
      <w:r>
        <w:t xml:space="preserve">the case </w:t>
      </w:r>
      <w:r w:rsidRPr="00D05261">
        <w:t>management</w:t>
      </w:r>
      <w:r>
        <w:t xml:space="preserve"> system known as the RPG-Evaluation Data System (RPG-EDS)</w:t>
      </w:r>
      <w:r w:rsidRPr="00EE1D19">
        <w:t xml:space="preserve">. Staff </w:t>
      </w:r>
      <w:r>
        <w:t>delivering services</w:t>
      </w:r>
      <w:r w:rsidRPr="00EE1D19">
        <w:t xml:space="preserve"> enter individual service contact information on a </w:t>
      </w:r>
      <w:r>
        <w:t>rolling</w:t>
      </w:r>
      <w:r w:rsidRPr="00EE1D19">
        <w:t xml:space="preserve"> basis</w:t>
      </w:r>
      <w:r>
        <w:t xml:space="preserve"> for the duration of participation in RPG services</w:t>
      </w:r>
      <w:r w:rsidRPr="00EE1D19">
        <w:t xml:space="preserve">. </w:t>
      </w:r>
    </w:p>
    <w:p w:rsidR="00085C23" w:rsidP="00BC2FC0" w14:paraId="1D704B7F" w14:textId="2246D185">
      <w:pPr>
        <w:pStyle w:val="NormalSS"/>
      </w:pPr>
      <w:r>
        <w:t xml:space="preserve">Information for the enrollment and services analysis will be descriptive. In general, it </w:t>
      </w:r>
      <w:r w:rsidR="00CA0486">
        <w:t>does</w:t>
      </w:r>
      <w:r>
        <w:t xml:space="preserve"> not involve formal hypothesis testing.</w:t>
      </w:r>
    </w:p>
    <w:p w:rsidR="00085C23" w:rsidRPr="00D05261" w:rsidP="00CC0756" w14:paraId="780CFF2E" w14:textId="77777777">
      <w:pPr>
        <w:pStyle w:val="H4Number"/>
      </w:pPr>
      <w:r w:rsidRPr="00D05261">
        <w:t xml:space="preserve">Outcomes </w:t>
      </w:r>
      <w:r>
        <w:t>a</w:t>
      </w:r>
      <w:r w:rsidRPr="00D05261">
        <w:t xml:space="preserve">nalysis </w:t>
      </w:r>
    </w:p>
    <w:p w:rsidR="00085C23" w:rsidRPr="00EE1D19" w:rsidP="00BC2FC0" w14:paraId="25A682D2" w14:textId="5BFF43A8">
      <w:pPr>
        <w:pStyle w:val="Bullet"/>
        <w:spacing w:after="240"/>
      </w:pPr>
      <w:r w:rsidRPr="00EE1D19">
        <w:rPr>
          <w:b/>
        </w:rPr>
        <w:t>Outcome</w:t>
      </w:r>
      <w:r>
        <w:rPr>
          <w:b/>
        </w:rPr>
        <w:t>s</w:t>
      </w:r>
      <w:r w:rsidRPr="00EE1D19">
        <w:rPr>
          <w:b/>
        </w:rPr>
        <w:t xml:space="preserve"> </w:t>
      </w:r>
      <w:r>
        <w:rPr>
          <w:b/>
        </w:rPr>
        <w:t>analysis</w:t>
      </w:r>
      <w:r w:rsidRPr="00EE1D19">
        <w:rPr>
          <w:b/>
        </w:rPr>
        <w:t xml:space="preserve"> </w:t>
      </w:r>
      <w:r>
        <w:rPr>
          <w:b/>
        </w:rPr>
        <w:t>data.</w:t>
      </w:r>
      <w:r w:rsidRPr="00EE1D19">
        <w:rPr>
          <w:b/>
        </w:rPr>
        <w:t xml:space="preserve"> </w:t>
      </w:r>
      <w:r w:rsidRPr="00EE1D19">
        <w:t>Each grantee</w:t>
      </w:r>
      <w:r>
        <w:t xml:space="preserve"> </w:t>
      </w:r>
      <w:r w:rsidRPr="00EE1D19">
        <w:t xml:space="preserve">is expected to maintain </w:t>
      </w:r>
      <w:r>
        <w:t xml:space="preserve">outcomes data from </w:t>
      </w:r>
      <w:r w:rsidRPr="00EE1D19">
        <w:t xml:space="preserve">the case-specific </w:t>
      </w:r>
      <w:r>
        <w:t>standardized instruments and administrative records</w:t>
      </w:r>
      <w:r w:rsidRPr="00EE1D19">
        <w:t xml:space="preserve"> </w:t>
      </w:r>
      <w:r>
        <w:t xml:space="preserve">for all RPG participants </w:t>
      </w:r>
      <w:r w:rsidRPr="00EE1D19">
        <w:t xml:space="preserve">in </w:t>
      </w:r>
      <w:r>
        <w:t>its</w:t>
      </w:r>
      <w:r w:rsidRPr="00EE1D19">
        <w:t xml:space="preserve"> project or agency database(s). </w:t>
      </w:r>
      <w:r>
        <w:t>Grantees</w:t>
      </w:r>
      <w:r w:rsidRPr="00EE1D19">
        <w:t xml:space="preserve"> </w:t>
      </w:r>
      <w:r>
        <w:t>upload</w:t>
      </w:r>
      <w:r w:rsidRPr="00EE1D19">
        <w:t xml:space="preserve"> </w:t>
      </w:r>
      <w:r>
        <w:t xml:space="preserve">these data to the RPG-EDS every six months, using file formats specified or provided by the cross-site evaluation. To maximize data quality, automatic data validation checks occur during the upload, and error messages will indicate any corrections needed before the submission can be accepted. </w:t>
      </w:r>
    </w:p>
    <w:p w:rsidR="00085C23" w:rsidRPr="00DE56C6" w:rsidP="00BC2FC0" w14:paraId="7FF5768C" w14:textId="444193B0">
      <w:pPr>
        <w:pStyle w:val="NormalSS"/>
      </w:pPr>
      <w:r>
        <w:t xml:space="preserve">Information for the outcomes analysis will be descriptive. In general, it </w:t>
      </w:r>
      <w:r w:rsidR="00CA0486">
        <w:t xml:space="preserve">does </w:t>
      </w:r>
      <w:r>
        <w:t>not involve formal hypothesis testing.</w:t>
      </w:r>
    </w:p>
    <w:p w:rsidR="00085C23" w:rsidRPr="006D5C3C" w:rsidP="00CC0756" w14:paraId="77678626" w14:textId="77777777">
      <w:pPr>
        <w:pStyle w:val="NormalSS"/>
        <w:spacing w:after="120"/>
        <w:ind w:firstLine="0"/>
        <w:rPr>
          <w:b/>
          <w:szCs w:val="24"/>
        </w:rPr>
      </w:pPr>
      <w:r w:rsidRPr="00EE1D19">
        <w:rPr>
          <w:b/>
          <w:szCs w:val="24"/>
        </w:rPr>
        <w:t>Impact</w:t>
      </w:r>
      <w:r>
        <w:rPr>
          <w:b/>
          <w:szCs w:val="24"/>
        </w:rPr>
        <w:t>s</w:t>
      </w:r>
      <w:r w:rsidRPr="00EE1D19">
        <w:rPr>
          <w:b/>
          <w:szCs w:val="24"/>
        </w:rPr>
        <w:t xml:space="preserve"> </w:t>
      </w:r>
      <w:r>
        <w:rPr>
          <w:b/>
          <w:szCs w:val="24"/>
        </w:rPr>
        <w:t>analysis</w:t>
      </w:r>
    </w:p>
    <w:p w:rsidR="00085C23" w:rsidRPr="00EE1D19" w:rsidP="00CC0756" w14:paraId="599246E8" w14:textId="4961EF62">
      <w:pPr>
        <w:pStyle w:val="BulletLastSS"/>
        <w:spacing w:after="120"/>
      </w:pPr>
      <w:r w:rsidRPr="00EE1D19">
        <w:rPr>
          <w:b/>
        </w:rPr>
        <w:t>Impact</w:t>
      </w:r>
      <w:r>
        <w:rPr>
          <w:b/>
        </w:rPr>
        <w:t>s</w:t>
      </w:r>
      <w:r w:rsidRPr="00EE1D19">
        <w:rPr>
          <w:b/>
        </w:rPr>
        <w:t xml:space="preserve"> </w:t>
      </w:r>
      <w:r>
        <w:rPr>
          <w:b/>
        </w:rPr>
        <w:t>analysis</w:t>
      </w:r>
      <w:r w:rsidRPr="00EE1D19">
        <w:rPr>
          <w:b/>
        </w:rPr>
        <w:t xml:space="preserve"> </w:t>
      </w:r>
      <w:r>
        <w:rPr>
          <w:b/>
        </w:rPr>
        <w:t>data.</w:t>
      </w:r>
      <w:r w:rsidRPr="00EE1D19">
        <w:t xml:space="preserve"> </w:t>
      </w:r>
      <w:r>
        <w:t xml:space="preserve">Each of the </w:t>
      </w:r>
      <w:r w:rsidR="00D301F9">
        <w:t xml:space="preserve">14 </w:t>
      </w:r>
      <w:r>
        <w:t>grantees participating in the impacts study</w:t>
      </w:r>
      <w:r w:rsidRPr="00EE1D19">
        <w:t xml:space="preserve"> is expected to maintain the case-specific </w:t>
      </w:r>
      <w:r>
        <w:t xml:space="preserve">outcomes </w:t>
      </w:r>
      <w:r w:rsidRPr="00EE1D19">
        <w:t>data</w:t>
      </w:r>
      <w:r>
        <w:t xml:space="preserve"> for comparison group members from standardized instruments and administrative records</w:t>
      </w:r>
      <w:r w:rsidRPr="00EE1D19">
        <w:t xml:space="preserve"> in </w:t>
      </w:r>
      <w:r>
        <w:t>its</w:t>
      </w:r>
      <w:r w:rsidRPr="00EE1D19">
        <w:t xml:space="preserve"> project or agency database(s). </w:t>
      </w:r>
      <w:r>
        <w:t>Grantees</w:t>
      </w:r>
      <w:r w:rsidRPr="00EE1D19">
        <w:t xml:space="preserve"> </w:t>
      </w:r>
      <w:r>
        <w:t>upload</w:t>
      </w:r>
      <w:r w:rsidRPr="00EE1D19">
        <w:t xml:space="preserve"> </w:t>
      </w:r>
      <w:r>
        <w:t xml:space="preserve">these data to RPG-EDS every six months using file formats specified or provided by the cross-site evaluation. To maximize data quality, automatic data validation checks occur during the upload, and error messages will indicate any </w:t>
      </w:r>
      <w:r w:rsidRPr="00D05261">
        <w:t>corrections</w:t>
      </w:r>
      <w:r>
        <w:t xml:space="preserve"> needed before the submission can be accepted.</w:t>
      </w:r>
    </w:p>
    <w:p w:rsidR="00085C23" w:rsidRPr="004F7B95" w:rsidP="00CC0756" w14:paraId="19B78329" w14:textId="77777777">
      <w:pPr>
        <w:tabs>
          <w:tab w:val="left" w:pos="-720"/>
          <w:tab w:val="left" w:pos="0"/>
        </w:tabs>
        <w:suppressAutoHyphens/>
        <w:spacing w:after="120"/>
        <w:ind w:left="360"/>
        <w:rPr>
          <w:rFonts w:ascii="Times New Roman" w:hAnsi="Times New Roman"/>
          <w:sz w:val="24"/>
          <w:szCs w:val="24"/>
        </w:rPr>
      </w:pPr>
    </w:p>
    <w:p w:rsidR="00085C23" w:rsidRPr="00817E2B" w:rsidP="00CC0756" w14:paraId="302F6AE0" w14:textId="4D295639">
      <w:pPr>
        <w:tabs>
          <w:tab w:val="left" w:pos="-720"/>
          <w:tab w:val="left" w:pos="0"/>
        </w:tabs>
        <w:suppressAutoHyphens/>
        <w:spacing w:after="120"/>
        <w:rPr>
          <w:rFonts w:ascii="Times New Roman" w:hAnsi="Times New Roman"/>
          <w:b/>
          <w:sz w:val="24"/>
          <w:szCs w:val="24"/>
        </w:rPr>
      </w:pPr>
      <w:r>
        <w:rPr>
          <w:rFonts w:ascii="Times New Roman" w:hAnsi="Times New Roman"/>
          <w:b/>
          <w:sz w:val="24"/>
          <w:szCs w:val="24"/>
        </w:rPr>
        <w:t xml:space="preserve">3. </w:t>
      </w: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085C23" w:rsidRPr="00EE1D19" w:rsidP="00BC2FC0" w14:paraId="2623E8F2" w14:textId="45DD9775">
      <w:pPr>
        <w:pStyle w:val="NormalSS"/>
        <w:rPr>
          <w:szCs w:val="24"/>
        </w:rPr>
      </w:pPr>
      <w:r>
        <w:rPr>
          <w:szCs w:val="24"/>
        </w:rPr>
        <w:t xml:space="preserve">Based on </w:t>
      </w:r>
      <w:r w:rsidR="00F12581">
        <w:rPr>
          <w:szCs w:val="24"/>
        </w:rPr>
        <w:t xml:space="preserve">our </w:t>
      </w:r>
      <w:r>
        <w:rPr>
          <w:szCs w:val="24"/>
        </w:rPr>
        <w:t>experience with</w:t>
      </w:r>
      <w:r w:rsidR="000A3558">
        <w:rPr>
          <w:szCs w:val="24"/>
        </w:rPr>
        <w:t xml:space="preserve"> </w:t>
      </w:r>
      <w:r w:rsidR="00F12581">
        <w:rPr>
          <w:szCs w:val="24"/>
        </w:rPr>
        <w:t>the second</w:t>
      </w:r>
      <w:r w:rsidR="00D301F9">
        <w:rPr>
          <w:szCs w:val="24"/>
        </w:rPr>
        <w:t xml:space="preserve"> through sixth</w:t>
      </w:r>
      <w:r w:rsidR="00F12581">
        <w:rPr>
          <w:szCs w:val="24"/>
        </w:rPr>
        <w:t xml:space="preserve"> </w:t>
      </w:r>
      <w:r w:rsidR="000A3558">
        <w:rPr>
          <w:szCs w:val="24"/>
        </w:rPr>
        <w:t>RPG cohorts</w:t>
      </w:r>
      <w:r>
        <w:rPr>
          <w:szCs w:val="24"/>
        </w:rPr>
        <w:t>, t</w:t>
      </w:r>
      <w:r w:rsidRPr="00EE1D19">
        <w:rPr>
          <w:szCs w:val="24"/>
        </w:rPr>
        <w:t xml:space="preserve">he cross-site </w:t>
      </w:r>
      <w:r w:rsidRPr="00E91BC6">
        <w:t>evaluation</w:t>
      </w:r>
      <w:r w:rsidRPr="00EE1D19">
        <w:rPr>
          <w:szCs w:val="24"/>
        </w:rPr>
        <w:t xml:space="preserve"> expects to obtain a high response rate </w:t>
      </w:r>
      <w:r>
        <w:rPr>
          <w:szCs w:val="24"/>
        </w:rPr>
        <w:t xml:space="preserve">of </w:t>
      </w:r>
      <w:r w:rsidRPr="00EE1D19">
        <w:rPr>
          <w:szCs w:val="24"/>
        </w:rPr>
        <w:t xml:space="preserve">80 percent or more for </w:t>
      </w:r>
      <w:r w:rsidR="006D11C7">
        <w:rPr>
          <w:szCs w:val="24"/>
        </w:rPr>
        <w:t>surveys and close to total participation in other data collection activities</w:t>
      </w:r>
      <w:r w:rsidR="00E21745">
        <w:rPr>
          <w:szCs w:val="24"/>
        </w:rPr>
        <w:t>,</w:t>
      </w:r>
      <w:r w:rsidR="006D11C7">
        <w:rPr>
          <w:szCs w:val="24"/>
        </w:rPr>
        <w:t xml:space="preserve"> such as site visits</w:t>
      </w:r>
      <w:r w:rsidR="00DC5C60">
        <w:rPr>
          <w:szCs w:val="24"/>
        </w:rPr>
        <w:t xml:space="preserve">, interviews and focus groups of participants, </w:t>
      </w:r>
      <w:r w:rsidR="006D11C7">
        <w:rPr>
          <w:szCs w:val="24"/>
        </w:rPr>
        <w:t>and enrollment, services, and outcomes data submission</w:t>
      </w:r>
      <w:r w:rsidR="00E21745">
        <w:rPr>
          <w:szCs w:val="24"/>
        </w:rPr>
        <w:t>s</w:t>
      </w:r>
      <w:r w:rsidRPr="00EE1D19">
        <w:rPr>
          <w:szCs w:val="24"/>
        </w:rPr>
        <w:t xml:space="preserve">. </w:t>
      </w:r>
      <w:r>
        <w:rPr>
          <w:szCs w:val="24"/>
        </w:rPr>
        <w:t>A</w:t>
      </w:r>
      <w:r w:rsidRPr="00EE1D19">
        <w:rPr>
          <w:szCs w:val="24"/>
        </w:rPr>
        <w:t xml:space="preserve"> grantee liaison </w:t>
      </w:r>
      <w:r w:rsidR="000A3558">
        <w:rPr>
          <w:szCs w:val="24"/>
        </w:rPr>
        <w:t>is</w:t>
      </w:r>
      <w:r>
        <w:rPr>
          <w:szCs w:val="24"/>
        </w:rPr>
        <w:t xml:space="preserve"> assigned to each site and </w:t>
      </w:r>
      <w:r w:rsidRPr="00EE1D19">
        <w:rPr>
          <w:szCs w:val="24"/>
        </w:rPr>
        <w:t xml:space="preserve">serve as a link to work with grantees, if needed, to address nonresponse. </w:t>
      </w:r>
      <w:r>
        <w:rPr>
          <w:szCs w:val="24"/>
        </w:rPr>
        <w:t>Descriptions of the s</w:t>
      </w:r>
      <w:r w:rsidRPr="00EE1D19">
        <w:rPr>
          <w:szCs w:val="24"/>
        </w:rPr>
        <w:t xml:space="preserve">trategies for maximizing response in the data collection efforts </w:t>
      </w:r>
      <w:r>
        <w:rPr>
          <w:szCs w:val="24"/>
        </w:rPr>
        <w:t>follow</w:t>
      </w:r>
      <w:r w:rsidRPr="00EE1D19">
        <w:rPr>
          <w:szCs w:val="24"/>
        </w:rPr>
        <w:t>.</w:t>
      </w:r>
    </w:p>
    <w:p w:rsidR="00085C23" w:rsidRPr="00D05261" w:rsidP="00CC0756" w14:paraId="4AAC5006" w14:textId="77777777">
      <w:pPr>
        <w:pStyle w:val="H4Number"/>
      </w:pPr>
      <w:r w:rsidRPr="00D05261">
        <w:t>Partnership</w:t>
      </w:r>
      <w:r>
        <w:t>s</w:t>
      </w:r>
      <w:r w:rsidRPr="00D05261">
        <w:t xml:space="preserve"> </w:t>
      </w:r>
      <w:r>
        <w:t>d</w:t>
      </w:r>
      <w:r w:rsidRPr="00D05261">
        <w:t>ata</w:t>
      </w:r>
    </w:p>
    <w:p w:rsidR="00085C23" w:rsidRPr="00262FDC" w:rsidP="00F12581" w14:paraId="4F86D44A" w14:textId="05D8B82F">
      <w:pPr>
        <w:pStyle w:val="Bullet"/>
        <w:rPr>
          <w:b/>
        </w:rPr>
      </w:pPr>
      <w:r w:rsidRPr="00EE1D19">
        <w:rPr>
          <w:b/>
        </w:rPr>
        <w:t>Conduct interviews with key grantee staff, supervisors</w:t>
      </w:r>
      <w:r>
        <w:rPr>
          <w:b/>
        </w:rPr>
        <w:t>/managers,</w:t>
      </w:r>
      <w:r w:rsidRPr="00EE1D19">
        <w:rPr>
          <w:b/>
        </w:rPr>
        <w:t xml:space="preserve"> </w:t>
      </w:r>
      <w:r>
        <w:rPr>
          <w:b/>
        </w:rPr>
        <w:t xml:space="preserve">partners, </w:t>
      </w:r>
      <w:r w:rsidRPr="00EE1D19">
        <w:rPr>
          <w:b/>
        </w:rPr>
        <w:t xml:space="preserve">and </w:t>
      </w:r>
      <w:r>
        <w:rPr>
          <w:b/>
        </w:rPr>
        <w:t xml:space="preserve">frontline </w:t>
      </w:r>
      <w:r w:rsidRPr="00EE1D19">
        <w:rPr>
          <w:b/>
        </w:rPr>
        <w:t>staff during site visits.</w:t>
      </w:r>
      <w:r w:rsidRPr="00EE1D19">
        <w:t xml:space="preserve"> All interviews with key grantee </w:t>
      </w:r>
      <w:r>
        <w:t>staff</w:t>
      </w:r>
      <w:r w:rsidRPr="00EE1D19">
        <w:t>, supervisors</w:t>
      </w:r>
      <w:r>
        <w:t>/managers, partners,</w:t>
      </w:r>
      <w:r w:rsidRPr="00EE1D19">
        <w:t xml:space="preserve"> and staff will occur during site visits. </w:t>
      </w:r>
      <w:r>
        <w:t xml:space="preserve">We </w:t>
      </w:r>
      <w:r w:rsidRPr="00EE1D19">
        <w:t>anticipate that all grantees will agree to participate in these visits. Our experience</w:t>
      </w:r>
      <w:r w:rsidR="000A3558">
        <w:t xml:space="preserve"> with previous RPG cohorts </w:t>
      </w:r>
      <w:r w:rsidRPr="00EE1D19">
        <w:t>indicates that participation rates</w:t>
      </w:r>
      <w:r>
        <w:t xml:space="preserve"> of the desired interviewees</w:t>
      </w:r>
      <w:r w:rsidRPr="00EE1D19">
        <w:t xml:space="preserve"> are typically close to 100 percent. To help ensure high participation, we coordinate with the grantees, supervisors</w:t>
      </w:r>
      <w:r>
        <w:t>/managers, partners,</w:t>
      </w:r>
      <w:r w:rsidRPr="00EE1D19">
        <w:t xml:space="preserve"> and staff to determine convenient dates</w:t>
      </w:r>
      <w:r>
        <w:t xml:space="preserve"> and schedules</w:t>
      </w:r>
      <w:r w:rsidRPr="00EE1D19">
        <w:t xml:space="preserve"> for these visits</w:t>
      </w:r>
      <w:r>
        <w:t>.</w:t>
      </w:r>
    </w:p>
    <w:p w:rsidR="008656FF" w:rsidRPr="00262FDC" w:rsidP="00262FDC" w14:paraId="531A0217" w14:textId="56283392">
      <w:pPr>
        <w:pStyle w:val="Bullet"/>
        <w:numPr>
          <w:ilvl w:val="0"/>
          <w:numId w:val="0"/>
        </w:numPr>
        <w:rPr>
          <w:b/>
        </w:rPr>
      </w:pPr>
      <w:r>
        <w:rPr>
          <w:b/>
        </w:rPr>
        <w:t xml:space="preserve">Participant experiences </w:t>
      </w:r>
      <w:r w:rsidR="00A972E8">
        <w:rPr>
          <w:b/>
        </w:rPr>
        <w:t>data</w:t>
      </w:r>
      <w:r>
        <w:rPr>
          <w:b/>
        </w:rPr>
        <w:t xml:space="preserve"> </w:t>
      </w:r>
    </w:p>
    <w:p w:rsidR="00550B7E" w:rsidRPr="00F10FAB" w:rsidP="00F12581" w14:paraId="7EB209CE" w14:textId="40A5C4F2">
      <w:pPr>
        <w:pStyle w:val="Bullet"/>
        <w:rPr>
          <w:b/>
        </w:rPr>
      </w:pPr>
      <w:r>
        <w:rPr>
          <w:b/>
        </w:rPr>
        <w:t xml:space="preserve">Conduct </w:t>
      </w:r>
      <w:r w:rsidR="008656FF">
        <w:rPr>
          <w:b/>
        </w:rPr>
        <w:t>individual</w:t>
      </w:r>
      <w:r>
        <w:rPr>
          <w:b/>
        </w:rPr>
        <w:t xml:space="preserve"> interviews and focus groups with participants </w:t>
      </w:r>
      <w:r w:rsidRPr="00262FDC" w:rsidR="008656FF">
        <w:rPr>
          <w:b/>
          <w:bCs/>
          <w:szCs w:val="24"/>
        </w:rPr>
        <w:t xml:space="preserve">enrolled in RPG services </w:t>
      </w:r>
      <w:r>
        <w:rPr>
          <w:b/>
        </w:rPr>
        <w:t xml:space="preserve">during site visits. </w:t>
      </w:r>
      <w:r w:rsidR="008656FF">
        <w:rPr>
          <w:bCs/>
        </w:rPr>
        <w:t>Individual</w:t>
      </w:r>
      <w:r w:rsidR="00144698">
        <w:rPr>
          <w:bCs/>
        </w:rPr>
        <w:t xml:space="preserve"> interviews and focus groups with participants </w:t>
      </w:r>
      <w:r w:rsidR="008656FF">
        <w:rPr>
          <w:szCs w:val="24"/>
        </w:rPr>
        <w:t xml:space="preserve">enrolled in RPG services </w:t>
      </w:r>
      <w:r w:rsidR="00144698">
        <w:rPr>
          <w:bCs/>
        </w:rPr>
        <w:t xml:space="preserve">will occur during site visits. Given experiences on a pretest of these data collection </w:t>
      </w:r>
      <w:r w:rsidR="00144698">
        <w:rPr>
          <w:bCs/>
        </w:rPr>
        <w:t>activites</w:t>
      </w:r>
      <w:r w:rsidR="00144698">
        <w:rPr>
          <w:bCs/>
        </w:rPr>
        <w:t xml:space="preserve"> on the prior </w:t>
      </w:r>
      <w:r w:rsidR="007B483C">
        <w:rPr>
          <w:bCs/>
        </w:rPr>
        <w:t>sixth RPG</w:t>
      </w:r>
      <w:r w:rsidR="00144698">
        <w:rPr>
          <w:bCs/>
        </w:rPr>
        <w:t xml:space="preserve"> cohort, we expect that </w:t>
      </w:r>
      <w:r w:rsidR="00A972E8">
        <w:rPr>
          <w:bCs/>
        </w:rPr>
        <w:t>grantee</w:t>
      </w:r>
      <w:r w:rsidR="00144698">
        <w:rPr>
          <w:bCs/>
        </w:rPr>
        <w:t xml:space="preserve"> staff will help identify individuals for the interviews and focus groups, and </w:t>
      </w:r>
      <w:r w:rsidR="008F6841">
        <w:rPr>
          <w:bCs/>
        </w:rPr>
        <w:t xml:space="preserve">the cross-site evaluation team </w:t>
      </w:r>
      <w:r w:rsidR="00144698">
        <w:rPr>
          <w:bCs/>
        </w:rPr>
        <w:t xml:space="preserve">will </w:t>
      </w:r>
      <w:r w:rsidR="008F6841">
        <w:rPr>
          <w:bCs/>
        </w:rPr>
        <w:t xml:space="preserve">sign participants up and </w:t>
      </w:r>
      <w:r w:rsidR="00144698">
        <w:rPr>
          <w:bCs/>
        </w:rPr>
        <w:t>send reminders to individuals about the data collection activities</w:t>
      </w:r>
      <w:r w:rsidR="009657FA">
        <w:rPr>
          <w:bCs/>
        </w:rPr>
        <w:t xml:space="preserve"> (Appendix I has recruitment materials)</w:t>
      </w:r>
      <w:r w:rsidR="00144698">
        <w:rPr>
          <w:bCs/>
        </w:rPr>
        <w:t xml:space="preserve">. We will schedule the </w:t>
      </w:r>
      <w:r w:rsidR="00A972E8">
        <w:rPr>
          <w:bCs/>
        </w:rPr>
        <w:t xml:space="preserve">individual </w:t>
      </w:r>
      <w:r w:rsidR="00144698">
        <w:rPr>
          <w:bCs/>
        </w:rPr>
        <w:t>interviews and focus groups at times convenient for the participants and in a central location that is accessible to the participants</w:t>
      </w:r>
      <w:r w:rsidR="00066A77">
        <w:rPr>
          <w:bCs/>
        </w:rPr>
        <w:t>, such as the location where they received services</w:t>
      </w:r>
      <w:r w:rsidR="00144698">
        <w:rPr>
          <w:bCs/>
        </w:rPr>
        <w:t xml:space="preserve">. </w:t>
      </w:r>
      <w:r w:rsidR="00066A77">
        <w:rPr>
          <w:bCs/>
        </w:rPr>
        <w:t xml:space="preserve">Based on the pretest experience, we expect at least 80 percent of respondents recruited to participate in an interview or focus </w:t>
      </w:r>
      <w:r w:rsidR="00066A77">
        <w:rPr>
          <w:bCs/>
        </w:rPr>
        <w:t>goup</w:t>
      </w:r>
      <w:r w:rsidR="00066A77">
        <w:rPr>
          <w:bCs/>
        </w:rPr>
        <w:t xml:space="preserve"> to attend.</w:t>
      </w:r>
    </w:p>
    <w:p w:rsidR="008656FF" w:rsidP="008656FF" w14:paraId="3F7BFAA6" w14:textId="77777777">
      <w:pPr>
        <w:pStyle w:val="H4Number"/>
      </w:pPr>
      <w:r>
        <w:t>Sustainability data</w:t>
      </w:r>
    </w:p>
    <w:p w:rsidR="008656FF" w:rsidRPr="00EE1D19" w:rsidP="008656FF" w14:paraId="124B992F" w14:textId="77777777">
      <w:pPr>
        <w:pStyle w:val="Bullet"/>
      </w:pPr>
      <w:r w:rsidRPr="00EE1D19">
        <w:rPr>
          <w:b/>
        </w:rPr>
        <w:t xml:space="preserve">Design </w:t>
      </w:r>
      <w:r>
        <w:rPr>
          <w:b/>
        </w:rPr>
        <w:t>sustainability</w:t>
      </w:r>
      <w:r w:rsidRPr="00EE1D19">
        <w:rPr>
          <w:b/>
        </w:rPr>
        <w:t xml:space="preserve"> survey in a manner that minimizes respondent burden.</w:t>
      </w:r>
      <w:r w:rsidRPr="00EE1D19">
        <w:t xml:space="preserve"> To minimize burden on respondents, the survey</w:t>
      </w:r>
      <w:r>
        <w:t xml:space="preserve"> is </w:t>
      </w:r>
      <w:r w:rsidRPr="00EE1D19">
        <w:t>brief, web-based</w:t>
      </w:r>
      <w:r>
        <w:t>,</w:t>
      </w:r>
      <w:r w:rsidRPr="00EE1D19">
        <w:t xml:space="preserve"> and structured such that respondents do not have to pay attention to routing and skip logic or view questions that do not apply to them. </w:t>
      </w:r>
    </w:p>
    <w:p w:rsidR="008656FF" w:rsidRPr="00F07D22" w:rsidP="008656FF" w14:paraId="7940629B" w14:textId="1A6B55DA">
      <w:pPr>
        <w:pStyle w:val="Bullet"/>
        <w:rPr>
          <w:b/>
        </w:rPr>
      </w:pPr>
      <w:r w:rsidRPr="00EE1D19">
        <w:rPr>
          <w:b/>
        </w:rPr>
        <w:t>Send advance and reminder emails to respondents</w:t>
      </w:r>
      <w:r>
        <w:rPr>
          <w:b/>
        </w:rPr>
        <w:t xml:space="preserve"> (Appendix </w:t>
      </w:r>
      <w:r w:rsidR="006E190C">
        <w:rPr>
          <w:b/>
        </w:rPr>
        <w:t>J</w:t>
      </w:r>
      <w:r>
        <w:rPr>
          <w:b/>
        </w:rPr>
        <w:t xml:space="preserve"> and </w:t>
      </w:r>
      <w:r w:rsidR="006E190C">
        <w:rPr>
          <w:b/>
        </w:rPr>
        <w:t>K</w:t>
      </w:r>
      <w:r>
        <w:rPr>
          <w:b/>
        </w:rPr>
        <w:t>)</w:t>
      </w:r>
      <w:r w:rsidRPr="00EE1D19">
        <w:rPr>
          <w:b/>
        </w:rPr>
        <w:t xml:space="preserve">. </w:t>
      </w:r>
      <w:r w:rsidRPr="00EE1D19">
        <w:t xml:space="preserve">We send advance emails </w:t>
      </w:r>
      <w:r>
        <w:t xml:space="preserve">and an FAQ document </w:t>
      </w:r>
      <w:r w:rsidRPr="00EE1D19">
        <w:t xml:space="preserve">to grantee and partner </w:t>
      </w:r>
      <w:r>
        <w:t>sample members</w:t>
      </w:r>
      <w:r w:rsidRPr="00EE1D19">
        <w:t xml:space="preserve"> requesting their participation. If respondents have not completed the survey within a certain amount of time, we send reminder emails requesting them to complete the surveys.</w:t>
      </w:r>
    </w:p>
    <w:p w:rsidR="008656FF" w:rsidRPr="00EE1D19" w:rsidP="008656FF" w14:paraId="3613DFE7" w14:textId="5E063521">
      <w:pPr>
        <w:pStyle w:val="Bullet"/>
      </w:pPr>
      <w:r w:rsidRPr="00EE1D19">
        <w:rPr>
          <w:b/>
        </w:rPr>
        <w:t xml:space="preserve">Solicit the help of grantees to </w:t>
      </w:r>
      <w:r>
        <w:rPr>
          <w:b/>
        </w:rPr>
        <w:t>encourage completion of the</w:t>
      </w:r>
      <w:r w:rsidRPr="00EE1D19">
        <w:rPr>
          <w:b/>
        </w:rPr>
        <w:t xml:space="preserve"> </w:t>
      </w:r>
      <w:r>
        <w:rPr>
          <w:b/>
        </w:rPr>
        <w:t>sustainability</w:t>
      </w:r>
      <w:r w:rsidRPr="00EE1D19">
        <w:rPr>
          <w:b/>
        </w:rPr>
        <w:t xml:space="preserve"> surve</w:t>
      </w:r>
      <w:r>
        <w:rPr>
          <w:b/>
        </w:rPr>
        <w:t>ys</w:t>
      </w:r>
      <w:r w:rsidRPr="00EE1D19">
        <w:rPr>
          <w:b/>
        </w:rPr>
        <w:t>.</w:t>
      </w:r>
      <w:r w:rsidRPr="00EE1D19">
        <w:t xml:space="preserve"> If response rate</w:t>
      </w:r>
      <w:r>
        <w:t>s</w:t>
      </w:r>
      <w:r w:rsidRPr="00EE1D19">
        <w:t xml:space="preserve"> </w:t>
      </w:r>
      <w:r>
        <w:t>for individual</w:t>
      </w:r>
      <w:r w:rsidRPr="00EE1D19">
        <w:t xml:space="preserve"> grantee</w:t>
      </w:r>
      <w:r>
        <w:t>s lag</w:t>
      </w:r>
      <w:r w:rsidRPr="00EE1D19">
        <w:t>, the cross-site evaluation team work</w:t>
      </w:r>
      <w:r>
        <w:t>s</w:t>
      </w:r>
      <w:r w:rsidRPr="00EE1D19">
        <w:t xml:space="preserve"> with lead grantee staff to identify </w:t>
      </w:r>
      <w:r>
        <w:t xml:space="preserve">additional </w:t>
      </w:r>
      <w:r w:rsidRPr="00EE1D19">
        <w:t>strategies for increasing completed surveys</w:t>
      </w:r>
      <w:r>
        <w:t xml:space="preserve"> without compromising respondent confidentiality</w:t>
      </w:r>
      <w:r w:rsidRPr="00EE1D19">
        <w:t xml:space="preserve">. </w:t>
      </w:r>
      <w:r>
        <w:t xml:space="preserve">For instance, </w:t>
      </w:r>
      <w:r w:rsidRPr="00EE1D19">
        <w:t>lead grantee staff</w:t>
      </w:r>
      <w:r>
        <w:t xml:space="preserve"> may be asked</w:t>
      </w:r>
      <w:r w:rsidRPr="00EE1D19">
        <w:t xml:space="preserve"> to send</w:t>
      </w:r>
      <w:r>
        <w:t xml:space="preserve"> an</w:t>
      </w:r>
      <w:r w:rsidRPr="00EE1D19">
        <w:t xml:space="preserve"> email to all</w:t>
      </w:r>
      <w:r>
        <w:t xml:space="preserve"> the</w:t>
      </w:r>
      <w:r w:rsidRPr="00EE1D19">
        <w:t xml:space="preserve"> survey </w:t>
      </w:r>
      <w:r>
        <w:t>participants they had identified</w:t>
      </w:r>
      <w:r w:rsidRPr="00EE1D19">
        <w:t xml:space="preserve"> in their site</w:t>
      </w:r>
      <w:r>
        <w:t>,</w:t>
      </w:r>
      <w:r w:rsidRPr="00EE1D19">
        <w:t xml:space="preserve"> encouraging </w:t>
      </w:r>
      <w:r>
        <w:t>everyone’s</w:t>
      </w:r>
      <w:r w:rsidRPr="00EE1D19">
        <w:t xml:space="preserve"> response. </w:t>
      </w:r>
      <w:r>
        <w:t>In past rounds of staff and partner surveys, this approach</w:t>
      </w:r>
      <w:r w:rsidRPr="00EE1D19">
        <w:t xml:space="preserve"> </w:t>
      </w:r>
      <w:r>
        <w:t>helped boost</w:t>
      </w:r>
      <w:r w:rsidRPr="00EE1D19">
        <w:t xml:space="preserve"> response rates, </w:t>
      </w:r>
      <w:r>
        <w:t>because</w:t>
      </w:r>
      <w:r w:rsidRPr="00EE1D19">
        <w:t xml:space="preserve"> lead grantee staff ha</w:t>
      </w:r>
      <w:r>
        <w:t>d</w:t>
      </w:r>
      <w:r w:rsidRPr="00EE1D19">
        <w:t xml:space="preserve"> personal relationships with their partners.</w:t>
      </w:r>
      <w:r>
        <w:t xml:space="preserve"> This approach of combining follow-up requests from the evaluator to people who have not completed the survey with general requests from the grantee to all desired respondents has proven effective with previous RPG cohorts.</w:t>
      </w:r>
    </w:p>
    <w:p w:rsidR="008656FF" w:rsidRPr="00877BB3" w:rsidP="008656FF" w14:paraId="338163AE" w14:textId="496F1BE3">
      <w:pPr>
        <w:pStyle w:val="BulletLastSS"/>
      </w:pPr>
      <w:r w:rsidRPr="00EE1D19">
        <w:rPr>
          <w:b/>
        </w:rPr>
        <w:t xml:space="preserve">Conduct </w:t>
      </w:r>
      <w:r>
        <w:rPr>
          <w:b/>
        </w:rPr>
        <w:t xml:space="preserve">telephone </w:t>
      </w:r>
      <w:r w:rsidRPr="00EE1D19">
        <w:rPr>
          <w:b/>
        </w:rPr>
        <w:t xml:space="preserve">follow-up with nonrespondents on the </w:t>
      </w:r>
      <w:r>
        <w:rPr>
          <w:b/>
        </w:rPr>
        <w:t>sustainbility</w:t>
      </w:r>
      <w:r w:rsidRPr="00EE1D19">
        <w:rPr>
          <w:b/>
        </w:rPr>
        <w:t xml:space="preserve"> survey. </w:t>
      </w:r>
      <w:r>
        <w:t>If</w:t>
      </w:r>
      <w:r w:rsidRPr="00EE1D19">
        <w:t xml:space="preserve"> email reminders and requests from the grantee prove ineffective</w:t>
      </w:r>
      <w:r>
        <w:t>, t</w:t>
      </w:r>
      <w:r w:rsidRPr="00EE1D19">
        <w:t>he cross-site evaluation team deploy</w:t>
      </w:r>
      <w:r>
        <w:t>s</w:t>
      </w:r>
      <w:r w:rsidRPr="00EE1D19">
        <w:t xml:space="preserve"> survey staff with expertise in obtaining responses to conduct one round of telephone follow-up with nonrespondents</w:t>
      </w:r>
      <w:r>
        <w:t xml:space="preserve">. </w:t>
      </w:r>
      <w:r w:rsidRPr="009D0654">
        <w:t xml:space="preserve">This approach of following up via telephone when email requests has increased response rates </w:t>
      </w:r>
      <w:r>
        <w:t>with previous RPG cohorts</w:t>
      </w:r>
      <w:r w:rsidRPr="009D0654">
        <w:t>.</w:t>
      </w:r>
    </w:p>
    <w:p w:rsidR="00085C23" w:rsidRPr="00D05261" w:rsidP="00CC0756" w14:paraId="2DAA2DF9" w14:textId="77777777">
      <w:pPr>
        <w:pStyle w:val="H4Number"/>
      </w:pPr>
      <w:r w:rsidRPr="00D05261">
        <w:t xml:space="preserve">Enrollment and </w:t>
      </w:r>
      <w:r>
        <w:t>s</w:t>
      </w:r>
      <w:r w:rsidRPr="00D05261">
        <w:t xml:space="preserve">ervices </w:t>
      </w:r>
      <w:r>
        <w:t>d</w:t>
      </w:r>
      <w:r w:rsidRPr="00D05261">
        <w:t>ata</w:t>
      </w:r>
    </w:p>
    <w:p w:rsidR="00085C23" w:rsidRPr="00335C93" w:rsidP="00CC0756" w14:paraId="74B277AE" w14:textId="77777777">
      <w:pPr>
        <w:pStyle w:val="Bullet"/>
        <w:rPr>
          <w:b/>
        </w:rPr>
      </w:pPr>
      <w:r>
        <w:rPr>
          <w:b/>
        </w:rPr>
        <w:t>Provide an</w:t>
      </w:r>
      <w:r w:rsidRPr="00025CF9">
        <w:rPr>
          <w:b/>
        </w:rPr>
        <w:t xml:space="preserve"> </w:t>
      </w:r>
      <w:r>
        <w:rPr>
          <w:b/>
        </w:rPr>
        <w:t>easy-to-use</w:t>
      </w:r>
      <w:r w:rsidRPr="00025CF9">
        <w:rPr>
          <w:b/>
        </w:rPr>
        <w:t xml:space="preserve"> </w:t>
      </w:r>
      <w:r>
        <w:rPr>
          <w:b/>
        </w:rPr>
        <w:t xml:space="preserve">data entry system for </w:t>
      </w:r>
      <w:r w:rsidRPr="00025CF9">
        <w:rPr>
          <w:b/>
        </w:rPr>
        <w:t xml:space="preserve">enrollment and services </w:t>
      </w:r>
      <w:r>
        <w:rPr>
          <w:b/>
        </w:rPr>
        <w:t>data</w:t>
      </w:r>
      <w:r w:rsidRPr="00025CF9">
        <w:rPr>
          <w:b/>
        </w:rPr>
        <w:t>.</w:t>
      </w:r>
      <w:r>
        <w:rPr>
          <w:b/>
        </w:rPr>
        <w:t xml:space="preserve"> </w:t>
      </w:r>
      <w:r>
        <w:t xml:space="preserve">The design of the enrollment and service data application of RPG-EDS is based on web-based case management systems that Mathematica has developed and successfully implemented </w:t>
      </w:r>
      <w:r>
        <w:t>for multiple projects that collect these data from similar types of providers.</w:t>
      </w:r>
      <w:r w:rsidRPr="00333DF8">
        <w:t xml:space="preserve"> </w:t>
      </w:r>
      <w:r>
        <w:t>RPG-EDS</w:t>
      </w:r>
      <w:r w:rsidRPr="00333DF8">
        <w:t xml:space="preserve"> can be accessed from any </w:t>
      </w:r>
      <w:r w:rsidRPr="006B56B9">
        <w:t>computer, allowing for ease of entry, while the data are encrypted in transit and at rest and reside behind firewalls, thereby maintaining</w:t>
      </w:r>
      <w:r w:rsidRPr="00333DF8">
        <w:t xml:space="preserve"> data security</w:t>
      </w:r>
      <w:r>
        <w:t xml:space="preserve">. </w:t>
      </w:r>
    </w:p>
    <w:p w:rsidR="00085C23" w:rsidP="00CC0756" w14:paraId="7DA64053" w14:textId="6D4F0E49">
      <w:pPr>
        <w:pStyle w:val="Bullet"/>
      </w:pPr>
      <w:r w:rsidRPr="00335C93">
        <w:rPr>
          <w:b/>
        </w:rPr>
        <w:t xml:space="preserve">Use multiple sources to check enrollment activity and completion of the </w:t>
      </w:r>
      <w:r>
        <w:rPr>
          <w:b/>
        </w:rPr>
        <w:t xml:space="preserve">enrollment and </w:t>
      </w:r>
      <w:r w:rsidRPr="00335C93">
        <w:rPr>
          <w:b/>
        </w:rPr>
        <w:t>service</w:t>
      </w:r>
      <w:r>
        <w:rPr>
          <w:b/>
        </w:rPr>
        <w:t>s</w:t>
      </w:r>
      <w:r w:rsidRPr="00335C93">
        <w:rPr>
          <w:b/>
        </w:rPr>
        <w:t xml:space="preserve"> </w:t>
      </w:r>
      <w:r>
        <w:rPr>
          <w:b/>
        </w:rPr>
        <w:t>data entry</w:t>
      </w:r>
      <w:r w:rsidRPr="00335C93">
        <w:rPr>
          <w:b/>
        </w:rPr>
        <w:t>.</w:t>
      </w:r>
      <w:r>
        <w:t xml:space="preserve"> Information on the number of people enrolled in the RPG program every six months will be obtained in the semiannual progress reports. If the number does not match the number of new entries to the enrollment and services data, the cross-site evaluation team contact</w:t>
      </w:r>
      <w:r w:rsidR="00C47C21">
        <w:t>s</w:t>
      </w:r>
      <w:r>
        <w:t xml:space="preserve"> the grantee to reconcile the numbers and request they add any missing enrollees to RPG-EDS.</w:t>
      </w:r>
    </w:p>
    <w:p w:rsidR="00085C23" w:rsidP="00BC2FC0" w14:paraId="6DFEA291" w14:textId="0F002185">
      <w:pPr>
        <w:pStyle w:val="BulletLastSS"/>
      </w:pPr>
      <w:r>
        <w:rPr>
          <w:b/>
        </w:rPr>
        <w:t>Conduct r</w:t>
      </w:r>
      <w:r w:rsidRPr="007F73B8">
        <w:rPr>
          <w:b/>
        </w:rPr>
        <w:t>egular data completion and quality checks.</w:t>
      </w:r>
      <w:r>
        <w:t xml:space="preserve"> The cross-site evaluation contractor examine</w:t>
      </w:r>
      <w:r w:rsidR="00C47C21">
        <w:t>s</w:t>
      </w:r>
      <w:r>
        <w:t xml:space="preserve"> each grantee’s enrollment and services data at regular intervals to identify any potential problems. If problems are identified, contractor staff </w:t>
      </w:r>
      <w:r w:rsidR="00C47C21">
        <w:t xml:space="preserve">notifies </w:t>
      </w:r>
      <w:r>
        <w:t>the grantee and work</w:t>
      </w:r>
      <w:r w:rsidR="00C47C21">
        <w:t>s</w:t>
      </w:r>
      <w:r>
        <w:t xml:space="preserve"> with the grantee and providers as needed to obtain missing data or remedy other potential problems quickly.</w:t>
      </w:r>
    </w:p>
    <w:p w:rsidR="00085C23" w:rsidRPr="00D05261" w:rsidP="00CC0756" w14:paraId="1806B7EF" w14:textId="6715F5A3">
      <w:pPr>
        <w:pStyle w:val="H4Number"/>
      </w:pPr>
      <w:r w:rsidRPr="00D05261">
        <w:t xml:space="preserve">Outcomes and </w:t>
      </w:r>
      <w:r>
        <w:t>i</w:t>
      </w:r>
      <w:r w:rsidRPr="00D05261">
        <w:t>mpact</w:t>
      </w:r>
      <w:r>
        <w:t>s</w:t>
      </w:r>
      <w:r w:rsidRPr="00D05261">
        <w:t xml:space="preserve"> </w:t>
      </w:r>
      <w:r>
        <w:t>d</w:t>
      </w:r>
      <w:r w:rsidRPr="00D05261">
        <w:t xml:space="preserve">ata </w:t>
      </w:r>
    </w:p>
    <w:p w:rsidR="00085C23" w:rsidRPr="00EE1D19" w:rsidP="00CC0756" w14:paraId="54CB145B" w14:textId="28E97021">
      <w:pPr>
        <w:pStyle w:val="Bullet"/>
      </w:pPr>
      <w:r w:rsidRPr="00EE1D19">
        <w:rPr>
          <w:b/>
        </w:rPr>
        <w:t>Design the outcome</w:t>
      </w:r>
      <w:r>
        <w:rPr>
          <w:b/>
        </w:rPr>
        <w:t>s and impacts</w:t>
      </w:r>
      <w:r w:rsidRPr="00EE1D19">
        <w:rPr>
          <w:b/>
        </w:rPr>
        <w:t xml:space="preserve"> instrument</w:t>
      </w:r>
      <w:r>
        <w:rPr>
          <w:b/>
        </w:rPr>
        <w:t>s</w:t>
      </w:r>
      <w:r w:rsidRPr="00EE1D19">
        <w:rPr>
          <w:b/>
        </w:rPr>
        <w:t xml:space="preserve"> in a manner that reduces burden. </w:t>
      </w:r>
      <w:r w:rsidRPr="00EE1D19">
        <w:t>The outcome</w:t>
      </w:r>
      <w:r>
        <w:t>s</w:t>
      </w:r>
      <w:r w:rsidRPr="00EE1D19">
        <w:t xml:space="preserve"> data that grantees </w:t>
      </w:r>
      <w:r>
        <w:t>must</w:t>
      </w:r>
      <w:r w:rsidRPr="00EE1D19">
        <w:t xml:space="preserve"> report </w:t>
      </w:r>
      <w:r>
        <w:t>c</w:t>
      </w:r>
      <w:r w:rsidRPr="00EE1D19">
        <w:t xml:space="preserve">omprise standardized instruments </w:t>
      </w:r>
      <w:r>
        <w:t>that often ask for similar information, such as demographic information about the respondent. To avoid such</w:t>
      </w:r>
      <w:r w:rsidRPr="00EE1D19">
        <w:t xml:space="preserve"> duplication</w:t>
      </w:r>
      <w:r>
        <w:t xml:space="preserve">, the </w:t>
      </w:r>
      <w:r w:rsidRPr="00EE1D19">
        <w:t>outcome</w:t>
      </w:r>
      <w:r>
        <w:t>s</w:t>
      </w:r>
      <w:r w:rsidRPr="00EE1D19">
        <w:t xml:space="preserve"> instrument</w:t>
      </w:r>
      <w:r>
        <w:t>s</w:t>
      </w:r>
      <w:r w:rsidRPr="00EE1D19">
        <w:t xml:space="preserve"> </w:t>
      </w:r>
      <w:r>
        <w:t xml:space="preserve">exclude </w:t>
      </w:r>
      <w:r w:rsidRPr="00EE1D19">
        <w:t>redundant items</w:t>
      </w:r>
      <w:r>
        <w:t xml:space="preserve"> to prevent</w:t>
      </w:r>
      <w:r w:rsidRPr="00EE1D19">
        <w:t xml:space="preserve"> duplication. This reduce</w:t>
      </w:r>
      <w:r>
        <w:t>s</w:t>
      </w:r>
      <w:r w:rsidRPr="00EE1D19">
        <w:t xml:space="preserve"> burden on grantee staff responsible for uploading th</w:t>
      </w:r>
      <w:r>
        <w:t>ese</w:t>
      </w:r>
      <w:r w:rsidRPr="00EE1D19">
        <w:t xml:space="preserve"> data to </w:t>
      </w:r>
      <w:r>
        <w:t>RPG-EDS</w:t>
      </w:r>
      <w:r w:rsidRPr="00EE1D19">
        <w:t xml:space="preserve">. </w:t>
      </w:r>
    </w:p>
    <w:p w:rsidR="00085C23" w:rsidRPr="00414C1C" w:rsidP="00CC0756" w14:paraId="0DD8BA4F" w14:textId="0DC611B8">
      <w:pPr>
        <w:pStyle w:val="Bullet"/>
        <w:rPr>
          <w:szCs w:val="24"/>
        </w:rPr>
      </w:pPr>
      <w:r w:rsidRPr="00333DF8">
        <w:rPr>
          <w:b/>
        </w:rPr>
        <w:t xml:space="preserve">Develop a user-friendly, flexible </w:t>
      </w:r>
      <w:r>
        <w:rPr>
          <w:b/>
        </w:rPr>
        <w:t>upload process that has already proven successful</w:t>
      </w:r>
      <w:r w:rsidRPr="00333DF8">
        <w:rPr>
          <w:b/>
        </w:rPr>
        <w:t xml:space="preserve">. </w:t>
      </w:r>
      <w:r>
        <w:t>RPG-EDS</w:t>
      </w:r>
      <w:r w:rsidRPr="00333DF8">
        <w:t xml:space="preserve">, </w:t>
      </w:r>
      <w:r>
        <w:t xml:space="preserve">to </w:t>
      </w:r>
      <w:r w:rsidRPr="00333DF8">
        <w:t>which grantees upload data, provide</w:t>
      </w:r>
      <w:r w:rsidR="00971E80">
        <w:t>s</w:t>
      </w:r>
      <w:r w:rsidRPr="00333DF8">
        <w:t xml:space="preserve"> easy access while maintaining the security of outcome</w:t>
      </w:r>
      <w:r>
        <w:t>s</w:t>
      </w:r>
      <w:r w:rsidRPr="00333DF8">
        <w:t xml:space="preserve"> data. The </w:t>
      </w:r>
      <w:r>
        <w:t xml:space="preserve">system, </w:t>
      </w:r>
      <w:r w:rsidRPr="00333DF8">
        <w:t xml:space="preserve">designed with </w:t>
      </w:r>
      <w:r>
        <w:t>access</w:t>
      </w:r>
      <w:r w:rsidRPr="00333DF8">
        <w:t xml:space="preserve"> by grantee staff in mind</w:t>
      </w:r>
      <w:r>
        <w:t xml:space="preserve">, is </w:t>
      </w:r>
      <w:r w:rsidRPr="00333DF8">
        <w:t xml:space="preserve">based on </w:t>
      </w:r>
      <w:r>
        <w:t xml:space="preserve">successful </w:t>
      </w:r>
      <w:r w:rsidRPr="00333DF8">
        <w:t>experience</w:t>
      </w:r>
      <w:r>
        <w:t>s</w:t>
      </w:r>
      <w:r w:rsidRPr="00333DF8">
        <w:t xml:space="preserve"> </w:t>
      </w:r>
      <w:r>
        <w:t>in</w:t>
      </w:r>
      <w:r w:rsidRPr="00333DF8">
        <w:t xml:space="preserve"> prior studies</w:t>
      </w:r>
      <w:r>
        <w:t xml:space="preserve"> collecting similar types of data</w:t>
      </w:r>
      <w:r w:rsidRPr="00333DF8">
        <w:t xml:space="preserve"> </w:t>
      </w:r>
      <w:r>
        <w:t>from</w:t>
      </w:r>
      <w:r w:rsidRPr="00333DF8">
        <w:t xml:space="preserve"> similar types of service providers</w:t>
      </w:r>
      <w:r>
        <w:t>. The</w:t>
      </w:r>
      <w:r w:rsidRPr="00333DF8">
        <w:t xml:space="preserve"> </w:t>
      </w:r>
      <w:r>
        <w:t>component</w:t>
      </w:r>
      <w:r w:rsidRPr="00333DF8">
        <w:t xml:space="preserve"> of the system</w:t>
      </w:r>
      <w:r>
        <w:t xml:space="preserve"> for managing o</w:t>
      </w:r>
      <w:r w:rsidRPr="00333DF8">
        <w:t>utcome</w:t>
      </w:r>
      <w:r>
        <w:t>s</w:t>
      </w:r>
      <w:r w:rsidRPr="00333DF8">
        <w:t xml:space="preserve"> </w:t>
      </w:r>
      <w:r>
        <w:t>d</w:t>
      </w:r>
      <w:r w:rsidRPr="00333DF8">
        <w:t>ata</w:t>
      </w:r>
      <w:r>
        <w:t>, to which grantees upload data from the outcomes instruments,</w:t>
      </w:r>
      <w:r w:rsidRPr="00333DF8">
        <w:t xml:space="preserve"> is modeled on </w:t>
      </w:r>
      <w:r>
        <w:t xml:space="preserve">the data reporting system that was used in RPG projects from 2012 </w:t>
      </w:r>
      <w:r w:rsidRPr="00414C1C">
        <w:rPr>
          <w:szCs w:val="24"/>
        </w:rPr>
        <w:t xml:space="preserve">through </w:t>
      </w:r>
      <w:r w:rsidR="00E21745">
        <w:rPr>
          <w:szCs w:val="24"/>
        </w:rPr>
        <w:t>2017</w:t>
      </w:r>
      <w:r w:rsidRPr="00414C1C">
        <w:rPr>
          <w:szCs w:val="24"/>
        </w:rPr>
        <w:t>. Compared with the former RPG systems, RPG-EDS includes updated features and improved technology to simplify the upload process.</w:t>
      </w:r>
    </w:p>
    <w:p w:rsidR="00085C23" w:rsidRPr="00414C1C" w:rsidP="00CC0756" w14:paraId="4E70149B" w14:textId="2B2979BE">
      <w:pPr>
        <w:pStyle w:val="Bullet"/>
        <w:rPr>
          <w:szCs w:val="24"/>
        </w:rPr>
      </w:pPr>
      <w:r w:rsidRPr="00414C1C">
        <w:rPr>
          <w:b/>
          <w:szCs w:val="24"/>
        </w:rPr>
        <w:t xml:space="preserve">Provide training and technical assistance to grantee staff. </w:t>
      </w:r>
      <w:r w:rsidRPr="00414C1C">
        <w:rPr>
          <w:szCs w:val="24"/>
        </w:rPr>
        <w:t xml:space="preserve">We provide to grantees documentation on, training in, and technical assistance in collecting data from participants, uploading outcomes data to RPG-EDS, and using the web-based enrollment and services data entry application in RPG-EDS. </w:t>
      </w:r>
    </w:p>
    <w:p w:rsidR="002D4FCE" w:rsidP="002D4FCE" w14:paraId="737FBCA2" w14:textId="24B9C111">
      <w:pPr>
        <w:pStyle w:val="Bullet"/>
        <w:rPr>
          <w:szCs w:val="24"/>
        </w:rPr>
      </w:pPr>
      <w:r w:rsidRPr="00414C1C">
        <w:rPr>
          <w:b/>
          <w:szCs w:val="24"/>
        </w:rPr>
        <w:t xml:space="preserve">Include data quality checks in the data system. </w:t>
      </w:r>
      <w:r w:rsidRPr="00414C1C">
        <w:rPr>
          <w:szCs w:val="24"/>
        </w:rPr>
        <w:t>RPG-EDS also improve</w:t>
      </w:r>
      <w:r w:rsidR="00971E80">
        <w:rPr>
          <w:szCs w:val="24"/>
        </w:rPr>
        <w:t>s</w:t>
      </w:r>
      <w:r w:rsidRPr="00414C1C">
        <w:rPr>
          <w:szCs w:val="24"/>
        </w:rPr>
        <w:t xml:space="preserve"> data reliability with automatic data quality checks. For example, if grantee staff enter out-of-range values in a particular field, the system prompt</w:t>
      </w:r>
      <w:r w:rsidR="00971E80">
        <w:rPr>
          <w:szCs w:val="24"/>
        </w:rPr>
        <w:t>s</w:t>
      </w:r>
      <w:r w:rsidRPr="00414C1C">
        <w:rPr>
          <w:szCs w:val="24"/>
        </w:rPr>
        <w:t xml:space="preserve"> users to check the value. For some fields, response values </w:t>
      </w:r>
      <w:r w:rsidR="00971E80">
        <w:rPr>
          <w:szCs w:val="24"/>
        </w:rPr>
        <w:t>are</w:t>
      </w:r>
      <w:r w:rsidRPr="00414C1C">
        <w:rPr>
          <w:szCs w:val="24"/>
        </w:rPr>
        <w:t xml:space="preserve"> restricted; for others, grantee site staff </w:t>
      </w:r>
      <w:r w:rsidR="00971E80">
        <w:rPr>
          <w:szCs w:val="24"/>
        </w:rPr>
        <w:t>can</w:t>
      </w:r>
      <w:r w:rsidRPr="00414C1C">
        <w:rPr>
          <w:szCs w:val="24"/>
        </w:rPr>
        <w:t xml:space="preserve"> override the check. </w:t>
      </w:r>
      <w:r w:rsidRPr="00414C1C">
        <w:rPr>
          <w:szCs w:val="24"/>
        </w:rPr>
        <w:t xml:space="preserve">We also monitor the data entered by grantee sites and provide feedback to grantees on their data quality. </w:t>
      </w:r>
    </w:p>
    <w:p w:rsidR="00085C23" w:rsidRPr="002D4FCE" w:rsidP="002D4FCE" w14:paraId="7C5C4BFF" w14:textId="64F5FB08">
      <w:pPr>
        <w:pStyle w:val="Bullet"/>
        <w:rPr>
          <w:szCs w:val="24"/>
        </w:rPr>
      </w:pPr>
      <w:r w:rsidRPr="002D4FCE">
        <w:rPr>
          <w:b/>
          <w:szCs w:val="24"/>
        </w:rPr>
        <w:t xml:space="preserve">Optimize the frequency of data collection. </w:t>
      </w:r>
      <w:r w:rsidRPr="002D4FCE">
        <w:rPr>
          <w:szCs w:val="24"/>
        </w:rPr>
        <w:t>Grantees upload outcomes data once every six months, rather than waiting until their evaluation data collection is complete. This enable</w:t>
      </w:r>
      <w:r w:rsidR="00971E80">
        <w:rPr>
          <w:szCs w:val="24"/>
        </w:rPr>
        <w:t>s</w:t>
      </w:r>
      <w:r w:rsidRPr="002D4FCE">
        <w:rPr>
          <w:szCs w:val="24"/>
        </w:rPr>
        <w:t xml:space="preserve"> the cross-site evaluation team to regularly identify and troubleshoot problems grantees experience in collecting data from respondents or uploading data.</w:t>
      </w:r>
    </w:p>
    <w:p w:rsidR="00085C23" w:rsidP="00CC0756" w14:paraId="7BDC722A" w14:textId="77777777">
      <w:pPr>
        <w:tabs>
          <w:tab w:val="left" w:pos="-720"/>
          <w:tab w:val="left" w:pos="360"/>
        </w:tabs>
        <w:suppressAutoHyphens/>
        <w:spacing w:after="120"/>
        <w:ind w:left="360"/>
        <w:rPr>
          <w:rFonts w:ascii="Times New Roman" w:hAnsi="Times New Roman"/>
          <w:sz w:val="24"/>
          <w:szCs w:val="24"/>
        </w:rPr>
      </w:pPr>
    </w:p>
    <w:p w:rsidR="00085C23" w:rsidRPr="00817E2B" w:rsidP="00464804" w14:paraId="5314B143" w14:textId="5BF46BD3">
      <w:pPr>
        <w:widowControl/>
        <w:spacing w:after="120"/>
        <w:rPr>
          <w:rFonts w:ascii="Times New Roman" w:hAnsi="Times New Roman"/>
          <w:b/>
          <w:snapToGrid/>
          <w:sz w:val="24"/>
          <w:szCs w:val="24"/>
        </w:rPr>
      </w:pPr>
      <w:r>
        <w:rPr>
          <w:rFonts w:ascii="Times New Roman" w:hAnsi="Times New Roman"/>
          <w:b/>
          <w:snapToGrid/>
          <w:sz w:val="24"/>
          <w:szCs w:val="24"/>
        </w:rPr>
        <w:t>4</w:t>
      </w:r>
      <w:r w:rsidR="00CC0756">
        <w:rPr>
          <w:rFonts w:ascii="Times New Roman" w:hAnsi="Times New Roman"/>
          <w:b/>
          <w:snapToGrid/>
          <w:sz w:val="24"/>
          <w:szCs w:val="24"/>
        </w:rPr>
        <w:t xml:space="preserve">. </w:t>
      </w:r>
      <w:r w:rsidRPr="00817E2B">
        <w:rPr>
          <w:rFonts w:ascii="Times New Roman" w:hAnsi="Times New Roman"/>
          <w:b/>
          <w:snapToGrid/>
          <w:sz w:val="24"/>
          <w:szCs w:val="24"/>
        </w:rPr>
        <w:t xml:space="preserve">Test of Procedures or Methods to be Undertaken </w:t>
      </w:r>
    </w:p>
    <w:p w:rsidR="00085C23" w:rsidRPr="00EE1D19" w:rsidP="00BC2FC0" w14:paraId="5BE148DB" w14:textId="081DEBEE">
      <w:pPr>
        <w:pStyle w:val="NormalSS"/>
        <w:rPr>
          <w:szCs w:val="24"/>
        </w:rPr>
      </w:pPr>
      <w:r w:rsidRPr="00EE1D19">
        <w:rPr>
          <w:szCs w:val="24"/>
        </w:rPr>
        <w:t xml:space="preserve">Most of the instruments used in the RPG cross-site evaluation build on existing measures and experience from other studies completed by the cross-site evaluation team. </w:t>
      </w:r>
    </w:p>
    <w:p w:rsidR="00085C23" w:rsidP="00BC2FC0" w14:paraId="6CB4DA83" w14:textId="5AE0D16C">
      <w:pPr>
        <w:pStyle w:val="NormalSS"/>
        <w:rPr>
          <w:szCs w:val="24"/>
        </w:rPr>
      </w:pPr>
      <w:r w:rsidRPr="00181FAD">
        <w:rPr>
          <w:b/>
          <w:szCs w:val="24"/>
        </w:rPr>
        <w:t>Grantee and partner staff topic guide</w:t>
      </w:r>
      <w:r>
        <w:rPr>
          <w:b/>
          <w:szCs w:val="24"/>
        </w:rPr>
        <w:t>.</w:t>
      </w:r>
      <w:r w:rsidRPr="00EE1D19">
        <w:rPr>
          <w:b/>
          <w:szCs w:val="24"/>
        </w:rPr>
        <w:t xml:space="preserve"> </w:t>
      </w:r>
      <w:r w:rsidRPr="00EE1D19">
        <w:rPr>
          <w:szCs w:val="24"/>
        </w:rPr>
        <w:t xml:space="preserve">The interview topic guide </w:t>
      </w:r>
      <w:r>
        <w:rPr>
          <w:szCs w:val="24"/>
        </w:rPr>
        <w:t xml:space="preserve">for </w:t>
      </w:r>
      <w:r w:rsidRPr="00EE1D19">
        <w:rPr>
          <w:szCs w:val="24"/>
        </w:rPr>
        <w:t>RPG grantee and partner staff has been modeled after interview guides used in similar studies such as the Early Head Start Enhanced Home Visiting Pilot Evaluation and the Evidence-Based Home Visitin</w:t>
      </w:r>
      <w:r>
        <w:rPr>
          <w:szCs w:val="24"/>
        </w:rPr>
        <w:t xml:space="preserve">g  (EBHV) and </w:t>
      </w:r>
      <w:r w:rsidRPr="00E91BC6">
        <w:t>previous</w:t>
      </w:r>
      <w:r>
        <w:rPr>
          <w:szCs w:val="24"/>
        </w:rPr>
        <w:t xml:space="preserve"> RPG cross-site evaluations. All site visitors receive training on the topic guides. After the first site visit, the cross-site evaluation team meet</w:t>
      </w:r>
      <w:r w:rsidR="00971E80">
        <w:rPr>
          <w:szCs w:val="24"/>
        </w:rPr>
        <w:t>s</w:t>
      </w:r>
      <w:r>
        <w:rPr>
          <w:szCs w:val="24"/>
        </w:rPr>
        <w:t xml:space="preserve"> to discuss the instruments and whether they require any modifications to enhance data quality and reduce burden, such as eliminating or refining any questions that were unnecessary or redundant.</w:t>
      </w:r>
    </w:p>
    <w:p w:rsidR="00144698" w:rsidRPr="00262FDC" w:rsidP="005C78A3" w14:paraId="4FF2C794" w14:textId="4FD12B07">
      <w:pPr>
        <w:pStyle w:val="NormalSS"/>
        <w:rPr>
          <w:szCs w:val="24"/>
        </w:rPr>
      </w:pPr>
      <w:r>
        <w:rPr>
          <w:b/>
          <w:bCs/>
          <w:szCs w:val="24"/>
        </w:rPr>
        <w:t>Individual</w:t>
      </w:r>
      <w:r w:rsidRPr="00262FDC">
        <w:rPr>
          <w:b/>
          <w:bCs/>
          <w:szCs w:val="24"/>
        </w:rPr>
        <w:t xml:space="preserve"> interview and focus group</w:t>
      </w:r>
      <w:r>
        <w:rPr>
          <w:b/>
          <w:bCs/>
          <w:szCs w:val="24"/>
        </w:rPr>
        <w:t>s with participants enrolled in RPG services</w:t>
      </w:r>
      <w:r w:rsidRPr="00262FDC">
        <w:rPr>
          <w:b/>
          <w:bCs/>
          <w:szCs w:val="24"/>
        </w:rPr>
        <w:t xml:space="preserve"> </w:t>
      </w:r>
      <w:r>
        <w:rPr>
          <w:b/>
          <w:bCs/>
          <w:szCs w:val="24"/>
        </w:rPr>
        <w:t>protocols</w:t>
      </w:r>
      <w:r w:rsidRPr="00262FDC">
        <w:rPr>
          <w:b/>
          <w:bCs/>
          <w:szCs w:val="24"/>
        </w:rPr>
        <w:t xml:space="preserve">. </w:t>
      </w:r>
      <w:r w:rsidRPr="00262FDC">
        <w:rPr>
          <w:szCs w:val="24"/>
        </w:rPr>
        <w:t xml:space="preserve">In winter/spring of 2023, Mathematica conducted a pretest of the </w:t>
      </w:r>
      <w:r>
        <w:rPr>
          <w:szCs w:val="24"/>
        </w:rPr>
        <w:t>individual</w:t>
      </w:r>
      <w:r w:rsidRPr="00262FDC">
        <w:rPr>
          <w:szCs w:val="24"/>
        </w:rPr>
        <w:t xml:space="preserve"> interviews and focus groups </w:t>
      </w:r>
      <w:r w:rsidRPr="00A972E8">
        <w:rPr>
          <w:szCs w:val="24"/>
        </w:rPr>
        <w:t xml:space="preserve">with participants enrolled in RPG services </w:t>
      </w:r>
      <w:r>
        <w:rPr>
          <w:szCs w:val="24"/>
        </w:rPr>
        <w:t>at</w:t>
      </w:r>
      <w:r w:rsidRPr="00262FDC">
        <w:rPr>
          <w:szCs w:val="24"/>
        </w:rPr>
        <w:t xml:space="preserve"> two gran</w:t>
      </w:r>
      <w:r>
        <w:rPr>
          <w:szCs w:val="24"/>
        </w:rPr>
        <w:t>tee</w:t>
      </w:r>
      <w:r w:rsidRPr="00262FDC">
        <w:rPr>
          <w:szCs w:val="24"/>
        </w:rPr>
        <w:t xml:space="preserve"> sites</w:t>
      </w:r>
      <w:r>
        <w:rPr>
          <w:szCs w:val="24"/>
        </w:rPr>
        <w:t xml:space="preserve"> in the RPG6 cohort</w:t>
      </w:r>
      <w:r w:rsidRPr="00262FDC">
        <w:rPr>
          <w:szCs w:val="24"/>
        </w:rPr>
        <w:t xml:space="preserve">. Staff at the sites helped recruit eligible participants for the pretest, which also allowed us to pretest the recruitment materials </w:t>
      </w:r>
      <w:r w:rsidR="009657FA">
        <w:rPr>
          <w:szCs w:val="24"/>
        </w:rPr>
        <w:t xml:space="preserve">(Appendix I) </w:t>
      </w:r>
      <w:r w:rsidRPr="00262FDC">
        <w:rPr>
          <w:szCs w:val="24"/>
        </w:rPr>
        <w:t xml:space="preserve">and processes to preparing sites for recruitment. Eight parents participated in the </w:t>
      </w:r>
      <w:r>
        <w:rPr>
          <w:szCs w:val="24"/>
        </w:rPr>
        <w:t>individual</w:t>
      </w:r>
      <w:r w:rsidRPr="00262FDC">
        <w:rPr>
          <w:szCs w:val="24"/>
        </w:rPr>
        <w:t xml:space="preserve"> interviews</w:t>
      </w:r>
      <w:r w:rsidR="00FA2890">
        <w:rPr>
          <w:szCs w:val="24"/>
        </w:rPr>
        <w:t>, which took about two hours</w:t>
      </w:r>
      <w:r w:rsidRPr="00262FDC">
        <w:rPr>
          <w:szCs w:val="24"/>
        </w:rPr>
        <w:t xml:space="preserve"> and eight parents participated in the focus groups, which </w:t>
      </w:r>
      <w:r w:rsidR="00FA2890">
        <w:rPr>
          <w:szCs w:val="24"/>
        </w:rPr>
        <w:t>lasted</w:t>
      </w:r>
      <w:r w:rsidRPr="00262FDC">
        <w:rPr>
          <w:szCs w:val="24"/>
        </w:rPr>
        <w:t xml:space="preserve"> up to 90 minutes. At the end of each</w:t>
      </w:r>
      <w:r>
        <w:rPr>
          <w:szCs w:val="24"/>
        </w:rPr>
        <w:t xml:space="preserve"> interview and focus group</w:t>
      </w:r>
      <w:r w:rsidRPr="00262FDC">
        <w:rPr>
          <w:szCs w:val="24"/>
        </w:rPr>
        <w:t>, participants answered a few questions about the recruitment and consent process, the methods and instruments used, and their ability to participate in the data collection activity. This part of data collection took up to 15 minutes to complete.</w:t>
      </w:r>
    </w:p>
    <w:p w:rsidR="00144698" w:rsidRPr="00262FDC" w:rsidP="00144698" w14:paraId="2559D704" w14:textId="0C189101">
      <w:pPr>
        <w:pStyle w:val="NormalSS"/>
        <w:rPr>
          <w:szCs w:val="24"/>
        </w:rPr>
      </w:pPr>
      <w:r w:rsidRPr="00262FDC">
        <w:rPr>
          <w:szCs w:val="24"/>
        </w:rPr>
        <w:t xml:space="preserve">Overall, participants responded positively to the </w:t>
      </w:r>
      <w:r w:rsidR="00A972E8">
        <w:rPr>
          <w:szCs w:val="24"/>
        </w:rPr>
        <w:t>individual</w:t>
      </w:r>
      <w:r w:rsidRPr="00F672DE" w:rsidR="00A972E8">
        <w:rPr>
          <w:szCs w:val="24"/>
        </w:rPr>
        <w:t xml:space="preserve"> </w:t>
      </w:r>
      <w:r w:rsidRPr="00262FDC">
        <w:rPr>
          <w:szCs w:val="24"/>
        </w:rPr>
        <w:t>interviews and the use of the paper lifeline used during the interview to document visually each participant’s experiences. Several participants said they enjoyed the opportunity to share their life story and most said they wanted to participate to help other people. A few participants remarked that the interview was very in-depth, but they viewed the interview’s thoroughness favorably. Even though the interview raised sensitive topics and experiences, participants said the interviewers put them at ease throughout the process. Based on the pretest, we reordered some of the interview questions, reduced the number of probes, added questions to understand participants’ strengths and positive experiences, and added questions about physical and mental health.</w:t>
      </w:r>
    </w:p>
    <w:p w:rsidR="00144698" w:rsidRPr="00144698" w:rsidP="00144698" w14:paraId="221DD39B" w14:textId="257F7E26">
      <w:pPr>
        <w:pStyle w:val="NormalSS"/>
        <w:rPr>
          <w:szCs w:val="24"/>
        </w:rPr>
      </w:pPr>
      <w:r w:rsidRPr="00262FDC">
        <w:rPr>
          <w:szCs w:val="24"/>
        </w:rPr>
        <w:t xml:space="preserve">Participants reacted positively to the focus group format. A few participants said they were initially hesitant about the group format, but felt more comfortable once the conversation was </w:t>
      </w:r>
      <w:r w:rsidRPr="00262FDC">
        <w:rPr>
          <w:szCs w:val="24"/>
        </w:rPr>
        <w:t xml:space="preserve">underway. They thought the questions were reasonable and not too personal. Based on participants’ feedback, we did not revise the focus group questions. However, we added a questionnaire to administer during focus groups to </w:t>
      </w:r>
      <w:r w:rsidR="008F6841">
        <w:rPr>
          <w:szCs w:val="24"/>
        </w:rPr>
        <w:t xml:space="preserve">systematically </w:t>
      </w:r>
      <w:r w:rsidRPr="00262FDC">
        <w:rPr>
          <w:szCs w:val="24"/>
        </w:rPr>
        <w:t>document participants</w:t>
      </w:r>
      <w:r w:rsidR="00E47ACC">
        <w:rPr>
          <w:szCs w:val="24"/>
        </w:rPr>
        <w:t>’ characteristics</w:t>
      </w:r>
      <w:r w:rsidRPr="00262FDC">
        <w:rPr>
          <w:szCs w:val="24"/>
        </w:rPr>
        <w:t xml:space="preserve"> to help with reporting our findings.</w:t>
      </w:r>
    </w:p>
    <w:p w:rsidR="00085C23" w:rsidP="00BC2FC0" w14:paraId="34BC24CA" w14:textId="343EC618">
      <w:pPr>
        <w:pStyle w:val="NormalSS"/>
        <w:rPr>
          <w:szCs w:val="24"/>
        </w:rPr>
      </w:pPr>
      <w:r w:rsidRPr="0086426B">
        <w:rPr>
          <w:b/>
          <w:bCs/>
          <w:szCs w:val="24"/>
        </w:rPr>
        <w:t>Sustainability survey</w:t>
      </w:r>
      <w:r>
        <w:rPr>
          <w:szCs w:val="24"/>
        </w:rPr>
        <w:t xml:space="preserve">. The sustainability survey </w:t>
      </w:r>
      <w:r w:rsidR="004B6659">
        <w:rPr>
          <w:szCs w:val="24"/>
        </w:rPr>
        <w:t xml:space="preserve">includes </w:t>
      </w:r>
      <w:r>
        <w:rPr>
          <w:szCs w:val="24"/>
        </w:rPr>
        <w:t xml:space="preserve">adapted items from the partner and staff surveys that were used in the RPG2 and RPG3 projects. The staff survey had </w:t>
      </w:r>
      <w:r w:rsidRPr="00EB493E">
        <w:rPr>
          <w:szCs w:val="24"/>
        </w:rPr>
        <w:t xml:space="preserve">adapted items used previously in other Mathematica projects including the </w:t>
      </w:r>
      <w:r w:rsidR="00FC0EAC">
        <w:rPr>
          <w:szCs w:val="24"/>
        </w:rPr>
        <w:t>Evidence-Based Home Visiting (</w:t>
      </w:r>
      <w:r w:rsidRPr="00EB493E">
        <w:rPr>
          <w:szCs w:val="24"/>
        </w:rPr>
        <w:t>EBHV</w:t>
      </w:r>
      <w:r w:rsidR="00FC0EAC">
        <w:rPr>
          <w:szCs w:val="24"/>
        </w:rPr>
        <w:t>)</w:t>
      </w:r>
      <w:r w:rsidRPr="00EB493E">
        <w:rPr>
          <w:szCs w:val="24"/>
        </w:rPr>
        <w:t xml:space="preserve"> cross-site evaluation, the Child Support Noncustodial Parent Employment Demonstration (CSPED), and Parents and Children Together (PACT). It also included several standardized scales. The partner survey was modeled after the ones used on the EBHV cross-site evaluation, the Integration Initiative cross-site survey, and the survey instrument (Collaborative Capacity Inventory) used in RPG1.</w:t>
      </w:r>
      <w:r>
        <w:rPr>
          <w:szCs w:val="24"/>
        </w:rPr>
        <w:t xml:space="preserve"> In addition to the previous staff and partner surveys, the sustainability survey also adapted items from the RPG-EDS service logs and semi-annual progress reports. </w:t>
      </w:r>
    </w:p>
    <w:p w:rsidR="00085C23" w:rsidRPr="00D6498A" w:rsidP="000B6982" w14:paraId="561F733A" w14:textId="174432BD">
      <w:pPr>
        <w:pStyle w:val="NormalSS"/>
        <w:ind w:firstLine="450"/>
        <w:rPr>
          <w:bCs/>
          <w:szCs w:val="24"/>
        </w:rPr>
      </w:pPr>
      <w:r>
        <w:rPr>
          <w:szCs w:val="24"/>
        </w:rPr>
        <w:t xml:space="preserve">In the summer of 2019, Mathematica conducted a </w:t>
      </w:r>
      <w:r w:rsidRPr="00E35BA2">
        <w:rPr>
          <w:szCs w:val="24"/>
        </w:rPr>
        <w:t>pretest of the survey</w:t>
      </w:r>
      <w:r w:rsidR="008203A5">
        <w:rPr>
          <w:szCs w:val="24"/>
        </w:rPr>
        <w:t>, as describe under previous OMB packages</w:t>
      </w:r>
      <w:r w:rsidR="00111626">
        <w:rPr>
          <w:szCs w:val="24"/>
        </w:rPr>
        <w:t>. Mathematica fielded the survey with the RPG6 grantees in 2023.</w:t>
      </w:r>
      <w:r w:rsidRPr="00E35BA2">
        <w:rPr>
          <w:szCs w:val="24"/>
        </w:rPr>
        <w:t xml:space="preserve"> </w:t>
      </w:r>
    </w:p>
    <w:p w:rsidR="00085C23" w:rsidRPr="005C74CC" w:rsidP="00464804" w14:paraId="0F945549" w14:textId="507D3D38">
      <w:pPr>
        <w:pStyle w:val="NormalSS"/>
        <w:spacing w:after="120"/>
        <w:ind w:firstLine="360"/>
        <w:rPr>
          <w:szCs w:val="24"/>
        </w:rPr>
      </w:pPr>
      <w:r w:rsidRPr="00EE1D19">
        <w:rPr>
          <w:b/>
          <w:szCs w:val="24"/>
        </w:rPr>
        <w:t>RPG</w:t>
      </w:r>
      <w:r>
        <w:rPr>
          <w:b/>
          <w:szCs w:val="24"/>
        </w:rPr>
        <w:t>-EDS</w:t>
      </w:r>
      <w:r w:rsidRPr="00EE1D19">
        <w:rPr>
          <w:b/>
          <w:szCs w:val="24"/>
        </w:rPr>
        <w:t>.</w:t>
      </w:r>
      <w:r w:rsidRPr="00EE1D19">
        <w:rPr>
          <w:szCs w:val="24"/>
        </w:rPr>
        <w:t xml:space="preserve"> </w:t>
      </w:r>
      <w:r>
        <w:rPr>
          <w:szCs w:val="24"/>
        </w:rPr>
        <w:t xml:space="preserve">The </w:t>
      </w:r>
      <w:r w:rsidRPr="00EE1D19">
        <w:rPr>
          <w:szCs w:val="24"/>
        </w:rPr>
        <w:t xml:space="preserve">component of </w:t>
      </w:r>
      <w:r>
        <w:rPr>
          <w:szCs w:val="24"/>
        </w:rPr>
        <w:t>RPG-EDS</w:t>
      </w:r>
      <w:r w:rsidRPr="00EE1D19">
        <w:rPr>
          <w:szCs w:val="24"/>
        </w:rPr>
        <w:t xml:space="preserve"> </w:t>
      </w:r>
      <w:r>
        <w:rPr>
          <w:szCs w:val="24"/>
        </w:rPr>
        <w:t>for managing</w:t>
      </w:r>
      <w:r w:rsidRPr="00EE1D19">
        <w:rPr>
          <w:szCs w:val="24"/>
        </w:rPr>
        <w:t xml:space="preserve"> outcome</w:t>
      </w:r>
      <w:r>
        <w:rPr>
          <w:szCs w:val="24"/>
        </w:rPr>
        <w:t>s</w:t>
      </w:r>
      <w:r w:rsidRPr="00EE1D19">
        <w:rPr>
          <w:szCs w:val="24"/>
        </w:rPr>
        <w:t xml:space="preserve"> data is modeled after </w:t>
      </w:r>
      <w:r>
        <w:rPr>
          <w:szCs w:val="24"/>
        </w:rPr>
        <w:t>the data systems used with previous cohorts of RPG projects. T</w:t>
      </w:r>
      <w:r w:rsidRPr="00EE1D19">
        <w:rPr>
          <w:szCs w:val="24"/>
        </w:rPr>
        <w:t>he development team</w:t>
      </w:r>
      <w:r>
        <w:rPr>
          <w:szCs w:val="24"/>
        </w:rPr>
        <w:t xml:space="preserve"> has</w:t>
      </w:r>
      <w:r w:rsidRPr="00EE1D19">
        <w:rPr>
          <w:szCs w:val="24"/>
        </w:rPr>
        <w:t xml:space="preserve"> rigorously </w:t>
      </w:r>
      <w:r>
        <w:t>tested</w:t>
      </w:r>
      <w:r>
        <w:rPr>
          <w:szCs w:val="24"/>
        </w:rPr>
        <w:t xml:space="preserve"> and evaluated</w:t>
      </w:r>
      <w:r w:rsidRPr="00EE1D19">
        <w:rPr>
          <w:szCs w:val="24"/>
        </w:rPr>
        <w:t xml:space="preserve"> </w:t>
      </w:r>
      <w:r>
        <w:rPr>
          <w:szCs w:val="24"/>
        </w:rPr>
        <w:t>the functionality</w:t>
      </w:r>
      <w:r w:rsidRPr="00EE1D19">
        <w:rPr>
          <w:szCs w:val="24"/>
        </w:rPr>
        <w:t xml:space="preserve"> of </w:t>
      </w:r>
      <w:r>
        <w:rPr>
          <w:szCs w:val="24"/>
        </w:rPr>
        <w:t>RPG-EDS</w:t>
      </w:r>
      <w:r w:rsidRPr="00EE1D19">
        <w:rPr>
          <w:szCs w:val="24"/>
        </w:rPr>
        <w:t xml:space="preserve">. </w:t>
      </w:r>
    </w:p>
    <w:p w:rsidR="00085C23" w:rsidP="00CC0756" w14:paraId="4898837F" w14:textId="77777777">
      <w:pPr>
        <w:widowControl/>
        <w:tabs>
          <w:tab w:val="left" w:pos="360"/>
        </w:tabs>
        <w:spacing w:after="120"/>
        <w:rPr>
          <w:rFonts w:ascii="Times New Roman" w:hAnsi="Times New Roman"/>
          <w:snapToGrid/>
          <w:sz w:val="24"/>
          <w:szCs w:val="24"/>
        </w:rPr>
      </w:pPr>
    </w:p>
    <w:p w:rsidR="00085C23" w:rsidP="00464804" w14:paraId="452AA880" w14:textId="342416DC">
      <w:pPr>
        <w:widowControl/>
        <w:spacing w:after="120"/>
        <w:rPr>
          <w:rFonts w:ascii="Times New Roman" w:hAnsi="Times New Roman"/>
          <w:b/>
          <w:snapToGrid/>
          <w:sz w:val="24"/>
          <w:szCs w:val="24"/>
        </w:rPr>
      </w:pPr>
      <w:r>
        <w:rPr>
          <w:rFonts w:ascii="Times New Roman" w:hAnsi="Times New Roman"/>
          <w:b/>
          <w:snapToGrid/>
          <w:sz w:val="24"/>
          <w:szCs w:val="24"/>
        </w:rPr>
        <w:t>B</w:t>
      </w:r>
      <w:r w:rsidR="004D2150">
        <w:rPr>
          <w:rFonts w:ascii="Times New Roman" w:hAnsi="Times New Roman"/>
          <w:b/>
          <w:snapToGrid/>
          <w:sz w:val="24"/>
          <w:szCs w:val="24"/>
        </w:rPr>
        <w:t>5</w:t>
      </w:r>
      <w:r>
        <w:rPr>
          <w:rFonts w:ascii="Times New Roman" w:hAnsi="Times New Roman"/>
          <w:b/>
          <w:snapToGrid/>
          <w:sz w:val="24"/>
          <w:szCs w:val="24"/>
        </w:rPr>
        <w:t xml:space="preserve">. </w:t>
      </w:r>
      <w:r w:rsidRPr="00817E2B">
        <w:rPr>
          <w:rFonts w:ascii="Times New Roman" w:hAnsi="Times New Roman"/>
          <w:b/>
          <w:snapToGrid/>
          <w:sz w:val="24"/>
          <w:szCs w:val="24"/>
        </w:rPr>
        <w:t>Individuals Consulted on Statistical Aspects and Individuals Collecting and/or Analyzing Data</w:t>
      </w:r>
    </w:p>
    <w:p w:rsidR="00085C23" w:rsidRPr="00414C1C" w:rsidP="00CC0756" w14:paraId="108F1EF4" w14:textId="77777777">
      <w:pPr>
        <w:widowControl/>
        <w:spacing w:after="120"/>
        <w:rPr>
          <w:rFonts w:ascii="Times New Roman" w:hAnsi="Times New Roman"/>
          <w:bCs/>
          <w:snapToGrid/>
          <w:sz w:val="24"/>
          <w:szCs w:val="24"/>
        </w:rPr>
      </w:pPr>
      <w:r w:rsidRPr="00414C1C">
        <w:rPr>
          <w:rFonts w:ascii="Times New Roman" w:hAnsi="Times New Roman"/>
          <w:bCs/>
          <w:snapToGrid/>
          <w:sz w:val="24"/>
          <w:szCs w:val="24"/>
        </w:rPr>
        <w:t>We received preliminary input on statistical methods from Mathematica staff, including:</w:t>
      </w:r>
    </w:p>
    <w:p w:rsidR="00085C23" w:rsidRPr="00414C1C" w:rsidP="000B6982" w14:paraId="19196E9B" w14:textId="77777777">
      <w:pPr>
        <w:widowControl/>
        <w:rPr>
          <w:rFonts w:ascii="Times New Roman" w:hAnsi="Times New Roman"/>
          <w:bCs/>
          <w:snapToGrid/>
          <w:sz w:val="24"/>
          <w:szCs w:val="24"/>
        </w:rPr>
      </w:pPr>
    </w:p>
    <w:p w:rsidR="00085C23" w:rsidP="000C412F" w14:paraId="4AC6661A" w14:textId="1A5500BE">
      <w:pPr>
        <w:widowControl/>
        <w:rPr>
          <w:rFonts w:ascii="Times New Roman" w:hAnsi="Times New Roman"/>
          <w:bCs/>
          <w:snapToGrid/>
          <w:sz w:val="24"/>
          <w:szCs w:val="24"/>
        </w:rPr>
      </w:pPr>
      <w:r>
        <w:rPr>
          <w:rFonts w:ascii="Times New Roman" w:hAnsi="Times New Roman"/>
          <w:bCs/>
          <w:snapToGrid/>
          <w:sz w:val="24"/>
          <w:szCs w:val="24"/>
        </w:rPr>
        <w:t>Dr. Angela D’Angelo</w:t>
      </w:r>
    </w:p>
    <w:p w:rsidR="005C78A3" w:rsidP="00F22C25" w14:paraId="59F1C4B9" w14:textId="4A0A4646">
      <w:pPr>
        <w:widowControl/>
        <w:rPr>
          <w:rFonts w:ascii="Times New Roman" w:hAnsi="Times New Roman"/>
          <w:bCs/>
          <w:snapToGrid/>
          <w:sz w:val="24"/>
          <w:szCs w:val="24"/>
        </w:rPr>
      </w:pPr>
      <w:r>
        <w:rPr>
          <w:rFonts w:ascii="Times New Roman" w:hAnsi="Times New Roman"/>
          <w:bCs/>
          <w:snapToGrid/>
          <w:sz w:val="24"/>
          <w:szCs w:val="24"/>
        </w:rPr>
        <w:t xml:space="preserve">Mathematica </w:t>
      </w:r>
    </w:p>
    <w:p w:rsidR="00F22C25" w:rsidRPr="00F22C25" w:rsidP="00F22C25" w14:paraId="78802E2C" w14:textId="05049A89">
      <w:pPr>
        <w:widowControl/>
        <w:rPr>
          <w:rFonts w:ascii="Times New Roman" w:hAnsi="Times New Roman"/>
          <w:bCs/>
          <w:snapToGrid/>
          <w:sz w:val="24"/>
          <w:szCs w:val="24"/>
        </w:rPr>
      </w:pPr>
      <w:r w:rsidRPr="00F22C25">
        <w:rPr>
          <w:rFonts w:ascii="Times New Roman" w:hAnsi="Times New Roman"/>
          <w:bCs/>
          <w:snapToGrid/>
          <w:sz w:val="24"/>
          <w:szCs w:val="24"/>
        </w:rPr>
        <w:t>111 East Wacker Drive, Suite 3000</w:t>
      </w:r>
    </w:p>
    <w:p w:rsidR="00F22C25" w:rsidRPr="00414C1C" w:rsidP="00F22C25" w14:paraId="06E72415" w14:textId="687834B5">
      <w:pPr>
        <w:widowControl/>
        <w:rPr>
          <w:rFonts w:ascii="Times New Roman" w:hAnsi="Times New Roman"/>
          <w:bCs/>
          <w:snapToGrid/>
          <w:sz w:val="24"/>
          <w:szCs w:val="24"/>
        </w:rPr>
      </w:pPr>
      <w:r w:rsidRPr="00F22C25">
        <w:rPr>
          <w:rFonts w:ascii="Times New Roman" w:hAnsi="Times New Roman"/>
          <w:bCs/>
          <w:snapToGrid/>
          <w:sz w:val="24"/>
          <w:szCs w:val="24"/>
        </w:rPr>
        <w:t>Chicago, IL 60601</w:t>
      </w:r>
      <w:r w:rsidRPr="00F22C25">
        <w:rPr>
          <w:rFonts w:ascii="Times New Roman" w:hAnsi="Times New Roman"/>
          <w:bCs/>
          <w:snapToGrid/>
          <w:sz w:val="24"/>
          <w:szCs w:val="24"/>
        </w:rPr>
        <w:br/>
      </w:r>
    </w:p>
    <w:p w:rsidR="00085C23" w:rsidRPr="00414C1C" w:rsidP="000C412F" w14:paraId="3847C92A" w14:textId="77777777">
      <w:pPr>
        <w:widowControl/>
        <w:rPr>
          <w:rFonts w:ascii="Times New Roman" w:hAnsi="Times New Roman"/>
          <w:bCs/>
          <w:snapToGrid/>
          <w:sz w:val="24"/>
          <w:szCs w:val="24"/>
        </w:rPr>
      </w:pPr>
      <w:r w:rsidRPr="00414C1C">
        <w:rPr>
          <w:rFonts w:ascii="Times New Roman" w:hAnsi="Times New Roman"/>
          <w:bCs/>
          <w:snapToGrid/>
          <w:sz w:val="24"/>
          <w:szCs w:val="24"/>
        </w:rPr>
        <w:t>Dr. Yange Xue</w:t>
      </w:r>
    </w:p>
    <w:p w:rsidR="00085C23" w:rsidRPr="00414C1C" w:rsidP="000C412F" w14:paraId="34FD224E" w14:textId="42FD0C6C">
      <w:pPr>
        <w:widowControl/>
        <w:rPr>
          <w:rFonts w:ascii="Times New Roman" w:hAnsi="Times New Roman"/>
          <w:bCs/>
          <w:snapToGrid/>
          <w:sz w:val="24"/>
          <w:szCs w:val="24"/>
        </w:rPr>
      </w:pPr>
      <w:r w:rsidRPr="00414C1C">
        <w:rPr>
          <w:rFonts w:ascii="Times New Roman" w:hAnsi="Times New Roman"/>
          <w:bCs/>
          <w:snapToGrid/>
          <w:sz w:val="24"/>
          <w:szCs w:val="24"/>
        </w:rPr>
        <w:t xml:space="preserve">Mathematica </w:t>
      </w:r>
    </w:p>
    <w:p w:rsidR="00085C23" w:rsidRPr="00414C1C" w:rsidP="000C412F" w14:paraId="6E19E034" w14:textId="77777777">
      <w:pPr>
        <w:widowControl/>
        <w:rPr>
          <w:rFonts w:ascii="Times New Roman" w:hAnsi="Times New Roman"/>
          <w:bCs/>
          <w:snapToGrid/>
          <w:sz w:val="24"/>
          <w:szCs w:val="24"/>
        </w:rPr>
      </w:pPr>
      <w:r w:rsidRPr="00414C1C">
        <w:rPr>
          <w:rFonts w:ascii="Times New Roman" w:hAnsi="Times New Roman"/>
          <w:bCs/>
          <w:snapToGrid/>
          <w:sz w:val="24"/>
          <w:szCs w:val="24"/>
        </w:rPr>
        <w:t>P.O. Box 2393</w:t>
      </w:r>
    </w:p>
    <w:p w:rsidR="00DE529D" w:rsidP="000C412F" w14:paraId="64AD5CFF" w14:textId="14A4EBD0">
      <w:pPr>
        <w:widowControl/>
        <w:rPr>
          <w:rFonts w:ascii="Times New Roman" w:hAnsi="Times New Roman"/>
          <w:bCs/>
          <w:snapToGrid/>
          <w:sz w:val="24"/>
          <w:szCs w:val="24"/>
        </w:rPr>
      </w:pPr>
      <w:r w:rsidRPr="00414C1C">
        <w:rPr>
          <w:rFonts w:ascii="Times New Roman" w:hAnsi="Times New Roman"/>
          <w:bCs/>
          <w:snapToGrid/>
          <w:sz w:val="24"/>
          <w:szCs w:val="24"/>
        </w:rPr>
        <w:t>Princeton, NJ 08543</w:t>
      </w:r>
    </w:p>
    <w:p w:rsidR="005C78A3" w:rsidP="000C412F" w14:paraId="143AE27D" w14:textId="77777777">
      <w:pPr>
        <w:widowControl/>
        <w:rPr>
          <w:rFonts w:ascii="Times New Roman" w:hAnsi="Times New Roman"/>
          <w:bCs/>
          <w:snapToGrid/>
          <w:sz w:val="24"/>
          <w:szCs w:val="24"/>
        </w:rPr>
      </w:pPr>
    </w:p>
    <w:p w:rsidR="00617960" w:rsidRPr="00414C1C" w:rsidP="00617960" w14:paraId="13A5F38C" w14:textId="77777777">
      <w:pPr>
        <w:widowControl/>
        <w:rPr>
          <w:rFonts w:ascii="Times New Roman" w:hAnsi="Times New Roman"/>
          <w:bCs/>
          <w:snapToGrid/>
          <w:sz w:val="24"/>
          <w:szCs w:val="24"/>
        </w:rPr>
      </w:pPr>
      <w:r w:rsidRPr="00414C1C">
        <w:rPr>
          <w:rFonts w:ascii="Times New Roman" w:hAnsi="Times New Roman"/>
          <w:bCs/>
          <w:snapToGrid/>
          <w:sz w:val="24"/>
          <w:szCs w:val="24"/>
        </w:rPr>
        <w:t>Dr. Sarah Avellar</w:t>
      </w:r>
    </w:p>
    <w:p w:rsidR="00617960" w:rsidRPr="00414C1C" w:rsidP="00617960" w14:paraId="607CED04" w14:textId="77777777">
      <w:pPr>
        <w:widowControl/>
        <w:rPr>
          <w:rFonts w:ascii="Times New Roman" w:hAnsi="Times New Roman"/>
          <w:bCs/>
          <w:snapToGrid/>
          <w:sz w:val="24"/>
          <w:szCs w:val="24"/>
        </w:rPr>
      </w:pPr>
      <w:r w:rsidRPr="000B6982">
        <w:rPr>
          <w:rFonts w:ascii="Times New Roman" w:hAnsi="Times New Roman"/>
          <w:sz w:val="24"/>
        </w:rPr>
        <w:t xml:space="preserve">Mathematica </w:t>
      </w:r>
    </w:p>
    <w:p w:rsidR="00617960" w:rsidRPr="00414C1C" w:rsidP="00617960" w14:paraId="339DA445" w14:textId="77777777">
      <w:pPr>
        <w:widowControl/>
        <w:rPr>
          <w:rFonts w:ascii="Times New Roman" w:hAnsi="Times New Roman"/>
          <w:bCs/>
          <w:snapToGrid/>
          <w:sz w:val="24"/>
          <w:szCs w:val="24"/>
        </w:rPr>
      </w:pPr>
      <w:r w:rsidRPr="00414C1C">
        <w:rPr>
          <w:rFonts w:ascii="Times New Roman" w:hAnsi="Times New Roman"/>
          <w:bCs/>
          <w:snapToGrid/>
          <w:sz w:val="24"/>
          <w:szCs w:val="24"/>
        </w:rPr>
        <w:t xml:space="preserve">1100 1st Street, NE, 12th Floor </w:t>
      </w:r>
    </w:p>
    <w:p w:rsidR="005C78A3" w:rsidRPr="000F4652" w:rsidP="000C412F" w14:paraId="7A641B94" w14:textId="7B71F1A7">
      <w:pPr>
        <w:widowControl/>
        <w:rPr>
          <w:rFonts w:ascii="Times New Roman" w:hAnsi="Times New Roman"/>
          <w:bCs/>
          <w:snapToGrid/>
          <w:sz w:val="24"/>
          <w:szCs w:val="24"/>
        </w:rPr>
      </w:pPr>
      <w:r w:rsidRPr="00414C1C">
        <w:rPr>
          <w:rFonts w:ascii="Times New Roman" w:hAnsi="Times New Roman"/>
          <w:bCs/>
          <w:snapToGrid/>
          <w:sz w:val="24"/>
          <w:szCs w:val="24"/>
        </w:rPr>
        <w:t>Washington, DC 20002</w:t>
      </w:r>
    </w:p>
    <w:sectPr w:rsidSect="00A918E4">
      <w:headerReference w:type="default" r:id="rId10"/>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A6D75" w14:paraId="33557BD4" w14:textId="77777777">
      <w:pPr>
        <w:spacing w:line="20" w:lineRule="exact"/>
        <w:rPr>
          <w:sz w:val="24"/>
        </w:rPr>
      </w:pPr>
    </w:p>
  </w:endnote>
  <w:endnote w:type="continuationSeparator" w:id="1">
    <w:p w:rsidR="000A6D75" w14:paraId="44964C57" w14:textId="77777777">
      <w:r>
        <w:rPr>
          <w:sz w:val="24"/>
        </w:rPr>
        <w:t xml:space="preserve"> </w:t>
      </w:r>
    </w:p>
  </w:endnote>
  <w:endnote w:type="continuationNotice" w:id="2">
    <w:p w:rsidR="000A6D75" w14:paraId="4F100D3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4BD" w14:paraId="57DAEE5A" w14:textId="77777777">
    <w:pPr>
      <w:spacing w:before="140" w:line="100" w:lineRule="exact"/>
      <w:rPr>
        <w:sz w:val="10"/>
      </w:rPr>
    </w:pPr>
  </w:p>
  <w:p w:rsidR="008B34BD" w14:paraId="04F6D2D5" w14:textId="77777777">
    <w:pPr>
      <w:tabs>
        <w:tab w:val="left" w:pos="-720"/>
      </w:tabs>
      <w:suppressAutoHyphens/>
      <w:rPr>
        <w:sz w:val="24"/>
      </w:rPr>
    </w:pPr>
  </w:p>
  <w:p w:rsidR="008B34BD"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B34BD"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8B34BD"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6D75" w14:paraId="65796276" w14:textId="77777777">
      <w:r>
        <w:rPr>
          <w:sz w:val="24"/>
        </w:rPr>
        <w:separator/>
      </w:r>
    </w:p>
  </w:footnote>
  <w:footnote w:type="continuationSeparator" w:id="1">
    <w:p w:rsidR="000A6D75" w14:paraId="69055E29" w14:textId="77777777">
      <w:r>
        <w:continuationSeparator/>
      </w:r>
    </w:p>
  </w:footnote>
  <w:footnote w:type="continuationNotice" w:id="2">
    <w:p w:rsidR="000A6D75" w14:paraId="529EF81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FDC" w14:paraId="6AF872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68E9E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B504D"/>
    <w:multiLevelType w:val="hybridMultilevel"/>
    <w:tmpl w:val="D6BC83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D945E0"/>
    <w:multiLevelType w:val="hybridMultilevel"/>
    <w:tmpl w:val="617670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C81B5C"/>
    <w:multiLevelType w:val="hybridMultilevel"/>
    <w:tmpl w:val="A3A46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952251D"/>
    <w:multiLevelType w:val="hybridMultilevel"/>
    <w:tmpl w:val="E8F6C0D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3D96C1F"/>
    <w:multiLevelType w:val="multilevel"/>
    <w:tmpl w:val="7E8A0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F84F49"/>
    <w:multiLevelType w:val="hybridMultilevel"/>
    <w:tmpl w:val="CE8C615E"/>
    <w:lvl w:ilvl="0">
      <w:start w:val="1"/>
      <w:numFmt w:val="decimal"/>
      <w:lvlText w:val="%1."/>
      <w:lvlJc w:val="left"/>
      <w:pPr>
        <w:ind w:left="1080" w:hanging="360"/>
      </w:pPr>
    </w:lvl>
    <w:lvl w:ilvl="1">
      <w:start w:val="2"/>
      <w:numFmt w:val="bullet"/>
      <w:lvlText w:val="-"/>
      <w:lvlJc w:val="left"/>
      <w:pPr>
        <w:ind w:left="1800" w:hanging="360"/>
      </w:pPr>
      <w:rPr>
        <w:rFonts w:ascii="inherit" w:eastAsia="Times New Roman" w:hAnsi="inherit"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D41653E"/>
    <w:multiLevelType w:val="hybridMultilevel"/>
    <w:tmpl w:val="72D8252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E71A97"/>
    <w:multiLevelType w:val="hybridMultilevel"/>
    <w:tmpl w:val="95B49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DB2060"/>
    <w:multiLevelType w:val="hybridMultilevel"/>
    <w:tmpl w:val="6EA2AA88"/>
    <w:lvl w:ilvl="0">
      <w:start w:val="1"/>
      <w:numFmt w:val="decimal"/>
      <w:lvlText w:val="%1."/>
      <w:lvlJc w:val="left"/>
      <w:pPr>
        <w:ind w:left="1080" w:hanging="360"/>
      </w:pPr>
    </w:lvl>
    <w:lvl w:ilvl="1">
      <w:start w:val="2"/>
      <w:numFmt w:val="bullet"/>
      <w:lvlText w:val="-"/>
      <w:lvlJc w:val="left"/>
      <w:pPr>
        <w:ind w:left="1800" w:hanging="360"/>
      </w:pPr>
      <w:rPr>
        <w:rFonts w:ascii="inherit" w:eastAsia="Times New Roman" w:hAnsi="inherit"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3C25B4"/>
    <w:multiLevelType w:val="hybridMultilevel"/>
    <w:tmpl w:val="5E344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B4C1BE8"/>
    <w:multiLevelType w:val="hybridMultilevel"/>
    <w:tmpl w:val="A194201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42A450E4"/>
    <w:multiLevelType w:val="hybridMultilevel"/>
    <w:tmpl w:val="10E0BE2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5B611C4"/>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C6048B"/>
    <w:multiLevelType w:val="singleLevel"/>
    <w:tmpl w:val="2528E866"/>
    <w:lvl w:ilvl="0">
      <w:start w:val="1"/>
      <w:numFmt w:val="decimal"/>
      <w:pStyle w:val="NumberedBullet"/>
      <w:lvlText w:val="%1."/>
      <w:lvlJc w:val="left"/>
      <w:pPr>
        <w:tabs>
          <w:tab w:val="num" w:pos="792"/>
        </w:tabs>
        <w:ind w:left="792" w:hanging="360"/>
      </w:pPr>
      <w:rPr>
        <w:rFonts w:hint="default"/>
        <w:b w:val="0"/>
        <w:i w:val="0"/>
        <w:u w:val="none"/>
      </w:rPr>
    </w:lvl>
  </w:abstractNum>
  <w:abstractNum w:abstractNumId="2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754310"/>
    <w:multiLevelType w:val="hybridMultilevel"/>
    <w:tmpl w:val="DD96579E"/>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EAC720B"/>
    <w:multiLevelType w:val="hybridMultilevel"/>
    <w:tmpl w:val="B60430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7274D51"/>
    <w:multiLevelType w:val="hybridMultilevel"/>
    <w:tmpl w:val="BE2E69F0"/>
    <w:lvl w:ilvl="0">
      <w:start w:val="1"/>
      <w:numFmt w:val="decimal"/>
      <w:lvlText w:val="%1."/>
      <w:lvlJc w:val="left"/>
      <w:pPr>
        <w:ind w:left="1080" w:hanging="360"/>
      </w:pPr>
    </w:lvl>
    <w:lvl w:ilvl="1">
      <w:start w:val="2"/>
      <w:numFmt w:val="bullet"/>
      <w:lvlText w:val="-"/>
      <w:lvlJc w:val="left"/>
      <w:pPr>
        <w:ind w:left="1800" w:hanging="360"/>
      </w:pPr>
      <w:rPr>
        <w:rFonts w:ascii="inherit" w:eastAsia="Times New Roman" w:hAnsi="inherit"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7732C8F"/>
    <w:multiLevelType w:val="hybridMultilevel"/>
    <w:tmpl w:val="6656472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3F0CD7"/>
    <w:multiLevelType w:val="hybridMultilevel"/>
    <w:tmpl w:val="97087F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020478C"/>
    <w:multiLevelType w:val="hybridMultilevel"/>
    <w:tmpl w:val="D90E754E"/>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393498"/>
    <w:multiLevelType w:val="hybridMultilevel"/>
    <w:tmpl w:val="515C911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75294583">
    <w:abstractNumId w:val="28"/>
  </w:num>
  <w:num w:numId="2" w16cid:durableId="838810902">
    <w:abstractNumId w:val="30"/>
  </w:num>
  <w:num w:numId="3" w16cid:durableId="2002004288">
    <w:abstractNumId w:val="34"/>
  </w:num>
  <w:num w:numId="4" w16cid:durableId="1416366617">
    <w:abstractNumId w:val="14"/>
  </w:num>
  <w:num w:numId="5" w16cid:durableId="1031762703">
    <w:abstractNumId w:val="23"/>
  </w:num>
  <w:num w:numId="6" w16cid:durableId="1152062221">
    <w:abstractNumId w:val="26"/>
  </w:num>
  <w:num w:numId="7" w16cid:durableId="1496846639">
    <w:abstractNumId w:val="4"/>
  </w:num>
  <w:num w:numId="8" w16cid:durableId="1765029167">
    <w:abstractNumId w:val="25"/>
  </w:num>
  <w:num w:numId="9" w16cid:durableId="806552147">
    <w:abstractNumId w:val="36"/>
  </w:num>
  <w:num w:numId="10" w16cid:durableId="553002985">
    <w:abstractNumId w:val="24"/>
  </w:num>
  <w:num w:numId="11" w16cid:durableId="33388154">
    <w:abstractNumId w:val="21"/>
  </w:num>
  <w:num w:numId="12" w16cid:durableId="860125952">
    <w:abstractNumId w:val="2"/>
  </w:num>
  <w:num w:numId="13" w16cid:durableId="1699162404">
    <w:abstractNumId w:val="38"/>
  </w:num>
  <w:num w:numId="14" w16cid:durableId="1204825487">
    <w:abstractNumId w:val="3"/>
  </w:num>
  <w:num w:numId="15" w16cid:durableId="1137336950">
    <w:abstractNumId w:val="10"/>
  </w:num>
  <w:num w:numId="16" w16cid:durableId="1467117647">
    <w:abstractNumId w:val="33"/>
  </w:num>
  <w:num w:numId="17" w16cid:durableId="207494486">
    <w:abstractNumId w:val="39"/>
  </w:num>
  <w:num w:numId="18" w16cid:durableId="1437361196">
    <w:abstractNumId w:val="11"/>
  </w:num>
  <w:num w:numId="19" w16cid:durableId="1709795170">
    <w:abstractNumId w:val="42"/>
  </w:num>
  <w:num w:numId="20" w16cid:durableId="304044965">
    <w:abstractNumId w:val="37"/>
  </w:num>
  <w:num w:numId="21" w16cid:durableId="822813276">
    <w:abstractNumId w:val="40"/>
  </w:num>
  <w:num w:numId="22" w16cid:durableId="726957218">
    <w:abstractNumId w:val="27"/>
  </w:num>
  <w:num w:numId="23" w16cid:durableId="1870221115">
    <w:abstractNumId w:val="22"/>
  </w:num>
  <w:num w:numId="24" w16cid:durableId="1106659464">
    <w:abstractNumId w:val="18"/>
  </w:num>
  <w:num w:numId="25" w16cid:durableId="131602301">
    <w:abstractNumId w:val="1"/>
  </w:num>
  <w:num w:numId="26" w16cid:durableId="1777671152">
    <w:abstractNumId w:val="41"/>
  </w:num>
  <w:num w:numId="27" w16cid:durableId="969626790">
    <w:abstractNumId w:val="19"/>
  </w:num>
  <w:num w:numId="28" w16cid:durableId="304628691">
    <w:abstractNumId w:val="8"/>
  </w:num>
  <w:num w:numId="29" w16cid:durableId="1715736197">
    <w:abstractNumId w:val="32"/>
  </w:num>
  <w:num w:numId="30" w16cid:durableId="516819383">
    <w:abstractNumId w:val="5"/>
  </w:num>
  <w:num w:numId="31" w16cid:durableId="355888600">
    <w:abstractNumId w:val="7"/>
  </w:num>
  <w:num w:numId="32" w16cid:durableId="747969905">
    <w:abstractNumId w:val="31"/>
  </w:num>
  <w:num w:numId="33" w16cid:durableId="1271475257">
    <w:abstractNumId w:val="12"/>
  </w:num>
  <w:num w:numId="34" w16cid:durableId="227690824">
    <w:abstractNumId w:val="16"/>
  </w:num>
  <w:num w:numId="35" w16cid:durableId="760565367">
    <w:abstractNumId w:val="22"/>
    <w:lvlOverride w:ilvl="0">
      <w:startOverride w:val="1"/>
    </w:lvlOverride>
  </w:num>
  <w:num w:numId="36" w16cid:durableId="637957394">
    <w:abstractNumId w:val="0"/>
  </w:num>
  <w:num w:numId="37" w16cid:durableId="1456943677">
    <w:abstractNumId w:val="20"/>
  </w:num>
  <w:num w:numId="38" w16cid:durableId="493881147">
    <w:abstractNumId w:val="29"/>
  </w:num>
  <w:num w:numId="39" w16cid:durableId="9837021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4189499">
    <w:abstractNumId w:val="15"/>
  </w:num>
  <w:num w:numId="41" w16cid:durableId="1077900001">
    <w:abstractNumId w:val="35"/>
  </w:num>
  <w:num w:numId="42" w16cid:durableId="59325400">
    <w:abstractNumId w:val="9"/>
  </w:num>
  <w:num w:numId="43" w16cid:durableId="716197036">
    <w:abstractNumId w:val="13"/>
  </w:num>
  <w:num w:numId="44" w16cid:durableId="1361935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CA7"/>
    <w:rsid w:val="00020E0A"/>
    <w:rsid w:val="00022586"/>
    <w:rsid w:val="000239DC"/>
    <w:rsid w:val="00025CF9"/>
    <w:rsid w:val="000264D8"/>
    <w:rsid w:val="00027BA0"/>
    <w:rsid w:val="00032A4C"/>
    <w:rsid w:val="00056C4B"/>
    <w:rsid w:val="000601BB"/>
    <w:rsid w:val="00066A77"/>
    <w:rsid w:val="00075889"/>
    <w:rsid w:val="00085C23"/>
    <w:rsid w:val="0009007E"/>
    <w:rsid w:val="000A3558"/>
    <w:rsid w:val="000A646E"/>
    <w:rsid w:val="000A6D75"/>
    <w:rsid w:val="000B37C7"/>
    <w:rsid w:val="000B6982"/>
    <w:rsid w:val="000C412F"/>
    <w:rsid w:val="000C6BBA"/>
    <w:rsid w:val="000E1335"/>
    <w:rsid w:val="000F069F"/>
    <w:rsid w:val="000F4652"/>
    <w:rsid w:val="00102200"/>
    <w:rsid w:val="00105BCD"/>
    <w:rsid w:val="00111626"/>
    <w:rsid w:val="00116411"/>
    <w:rsid w:val="00117249"/>
    <w:rsid w:val="00120E59"/>
    <w:rsid w:val="0012240E"/>
    <w:rsid w:val="00123490"/>
    <w:rsid w:val="001337B5"/>
    <w:rsid w:val="001352C7"/>
    <w:rsid w:val="00136C06"/>
    <w:rsid w:val="0014145B"/>
    <w:rsid w:val="00142E2B"/>
    <w:rsid w:val="00144698"/>
    <w:rsid w:val="00160621"/>
    <w:rsid w:val="001814CE"/>
    <w:rsid w:val="00181FAD"/>
    <w:rsid w:val="00186385"/>
    <w:rsid w:val="00187191"/>
    <w:rsid w:val="001C483C"/>
    <w:rsid w:val="001C7FFE"/>
    <w:rsid w:val="001D1651"/>
    <w:rsid w:val="001E3F93"/>
    <w:rsid w:val="001F17F2"/>
    <w:rsid w:val="001F49F5"/>
    <w:rsid w:val="001F5269"/>
    <w:rsid w:val="001F6F91"/>
    <w:rsid w:val="002205BE"/>
    <w:rsid w:val="00221FCD"/>
    <w:rsid w:val="00222C7F"/>
    <w:rsid w:val="00226C42"/>
    <w:rsid w:val="00234235"/>
    <w:rsid w:val="00236B68"/>
    <w:rsid w:val="00243DFE"/>
    <w:rsid w:val="002464EB"/>
    <w:rsid w:val="002509BD"/>
    <w:rsid w:val="002561E5"/>
    <w:rsid w:val="0025729F"/>
    <w:rsid w:val="00262FDC"/>
    <w:rsid w:val="00275D02"/>
    <w:rsid w:val="00290A1C"/>
    <w:rsid w:val="002914D1"/>
    <w:rsid w:val="00293035"/>
    <w:rsid w:val="0029589B"/>
    <w:rsid w:val="00296738"/>
    <w:rsid w:val="00296F39"/>
    <w:rsid w:val="002A41F8"/>
    <w:rsid w:val="002B3862"/>
    <w:rsid w:val="002C3C4F"/>
    <w:rsid w:val="002D4FCE"/>
    <w:rsid w:val="002E0A2E"/>
    <w:rsid w:val="002E10D1"/>
    <w:rsid w:val="002E1708"/>
    <w:rsid w:val="002F0F67"/>
    <w:rsid w:val="002F6622"/>
    <w:rsid w:val="002F797C"/>
    <w:rsid w:val="00301FA4"/>
    <w:rsid w:val="003072A4"/>
    <w:rsid w:val="00307B8D"/>
    <w:rsid w:val="003205D7"/>
    <w:rsid w:val="00333DF8"/>
    <w:rsid w:val="00335C93"/>
    <w:rsid w:val="003405A4"/>
    <w:rsid w:val="00347515"/>
    <w:rsid w:val="00354319"/>
    <w:rsid w:val="00360220"/>
    <w:rsid w:val="0038209B"/>
    <w:rsid w:val="00390947"/>
    <w:rsid w:val="00394510"/>
    <w:rsid w:val="003A5681"/>
    <w:rsid w:val="003B46EC"/>
    <w:rsid w:val="003B7A50"/>
    <w:rsid w:val="003C1D6E"/>
    <w:rsid w:val="003C38AC"/>
    <w:rsid w:val="003C77FF"/>
    <w:rsid w:val="003D13F2"/>
    <w:rsid w:val="003D3AF2"/>
    <w:rsid w:val="003E6EA3"/>
    <w:rsid w:val="00401D3E"/>
    <w:rsid w:val="00402D24"/>
    <w:rsid w:val="00405C10"/>
    <w:rsid w:val="004110F5"/>
    <w:rsid w:val="00414C1C"/>
    <w:rsid w:val="004173AA"/>
    <w:rsid w:val="00420D15"/>
    <w:rsid w:val="00422E1D"/>
    <w:rsid w:val="00423690"/>
    <w:rsid w:val="00441802"/>
    <w:rsid w:val="004509AC"/>
    <w:rsid w:val="00453863"/>
    <w:rsid w:val="00454636"/>
    <w:rsid w:val="004602FE"/>
    <w:rsid w:val="00464804"/>
    <w:rsid w:val="004677B2"/>
    <w:rsid w:val="00467954"/>
    <w:rsid w:val="00472ADB"/>
    <w:rsid w:val="00476C1F"/>
    <w:rsid w:val="00476D7F"/>
    <w:rsid w:val="00480072"/>
    <w:rsid w:val="00490457"/>
    <w:rsid w:val="0049119A"/>
    <w:rsid w:val="004943E0"/>
    <w:rsid w:val="004B6659"/>
    <w:rsid w:val="004C6AFB"/>
    <w:rsid w:val="004D0D96"/>
    <w:rsid w:val="004D2150"/>
    <w:rsid w:val="004F45CE"/>
    <w:rsid w:val="004F7B95"/>
    <w:rsid w:val="00506091"/>
    <w:rsid w:val="0051278C"/>
    <w:rsid w:val="00522C18"/>
    <w:rsid w:val="00525236"/>
    <w:rsid w:val="00527DA4"/>
    <w:rsid w:val="00541E51"/>
    <w:rsid w:val="00544A36"/>
    <w:rsid w:val="00550B7E"/>
    <w:rsid w:val="005520C3"/>
    <w:rsid w:val="00556056"/>
    <w:rsid w:val="005740A7"/>
    <w:rsid w:val="0058197D"/>
    <w:rsid w:val="005824BD"/>
    <w:rsid w:val="0058537A"/>
    <w:rsid w:val="00593895"/>
    <w:rsid w:val="00597E7F"/>
    <w:rsid w:val="005A02EB"/>
    <w:rsid w:val="005B00FC"/>
    <w:rsid w:val="005B22D4"/>
    <w:rsid w:val="005C60F1"/>
    <w:rsid w:val="005C6892"/>
    <w:rsid w:val="005C74CC"/>
    <w:rsid w:val="005C78A3"/>
    <w:rsid w:val="005C7D2F"/>
    <w:rsid w:val="005D1B7E"/>
    <w:rsid w:val="005D274E"/>
    <w:rsid w:val="005D39C2"/>
    <w:rsid w:val="005D61DB"/>
    <w:rsid w:val="005E0B35"/>
    <w:rsid w:val="005F0ED4"/>
    <w:rsid w:val="00603015"/>
    <w:rsid w:val="00603119"/>
    <w:rsid w:val="00603498"/>
    <w:rsid w:val="00605BC0"/>
    <w:rsid w:val="00614B2B"/>
    <w:rsid w:val="00617960"/>
    <w:rsid w:val="00627AE3"/>
    <w:rsid w:val="006342C6"/>
    <w:rsid w:val="00634E1D"/>
    <w:rsid w:val="00635D08"/>
    <w:rsid w:val="00640565"/>
    <w:rsid w:val="006415FC"/>
    <w:rsid w:val="006463B0"/>
    <w:rsid w:val="00651F0F"/>
    <w:rsid w:val="00657843"/>
    <w:rsid w:val="00681E38"/>
    <w:rsid w:val="00696218"/>
    <w:rsid w:val="006A1131"/>
    <w:rsid w:val="006A4EB6"/>
    <w:rsid w:val="006B1006"/>
    <w:rsid w:val="006B22F5"/>
    <w:rsid w:val="006B2726"/>
    <w:rsid w:val="006B56B9"/>
    <w:rsid w:val="006C0185"/>
    <w:rsid w:val="006C6FAC"/>
    <w:rsid w:val="006D0ACE"/>
    <w:rsid w:val="006D11C7"/>
    <w:rsid w:val="006D1643"/>
    <w:rsid w:val="006D36F3"/>
    <w:rsid w:val="006D5C3C"/>
    <w:rsid w:val="006E190C"/>
    <w:rsid w:val="006E6629"/>
    <w:rsid w:val="006E7F0E"/>
    <w:rsid w:val="006F3349"/>
    <w:rsid w:val="006F589F"/>
    <w:rsid w:val="006F68BE"/>
    <w:rsid w:val="00707AFB"/>
    <w:rsid w:val="007118FC"/>
    <w:rsid w:val="00724DC9"/>
    <w:rsid w:val="00762C40"/>
    <w:rsid w:val="00764A59"/>
    <w:rsid w:val="00773615"/>
    <w:rsid w:val="00786793"/>
    <w:rsid w:val="00790D2C"/>
    <w:rsid w:val="007930B5"/>
    <w:rsid w:val="007935D5"/>
    <w:rsid w:val="007A0FBE"/>
    <w:rsid w:val="007B483C"/>
    <w:rsid w:val="007B5B79"/>
    <w:rsid w:val="007C4DB3"/>
    <w:rsid w:val="007E48CC"/>
    <w:rsid w:val="007F11A5"/>
    <w:rsid w:val="007F6474"/>
    <w:rsid w:val="007F73B8"/>
    <w:rsid w:val="0080325F"/>
    <w:rsid w:val="00817D06"/>
    <w:rsid w:val="00817E2B"/>
    <w:rsid w:val="008203A5"/>
    <w:rsid w:val="0082516D"/>
    <w:rsid w:val="00832C22"/>
    <w:rsid w:val="00841BDF"/>
    <w:rsid w:val="0084609A"/>
    <w:rsid w:val="00846E18"/>
    <w:rsid w:val="008506B0"/>
    <w:rsid w:val="0086426B"/>
    <w:rsid w:val="008656FF"/>
    <w:rsid w:val="00873E1E"/>
    <w:rsid w:val="00877BB3"/>
    <w:rsid w:val="008900A8"/>
    <w:rsid w:val="00890DD6"/>
    <w:rsid w:val="008955AC"/>
    <w:rsid w:val="008B34BD"/>
    <w:rsid w:val="008B3C3E"/>
    <w:rsid w:val="008B673D"/>
    <w:rsid w:val="008B7816"/>
    <w:rsid w:val="008C0E06"/>
    <w:rsid w:val="008C7FA3"/>
    <w:rsid w:val="008D7F91"/>
    <w:rsid w:val="008E7A2D"/>
    <w:rsid w:val="008F6841"/>
    <w:rsid w:val="008F7221"/>
    <w:rsid w:val="009113FF"/>
    <w:rsid w:val="009211E7"/>
    <w:rsid w:val="0092460C"/>
    <w:rsid w:val="00930D44"/>
    <w:rsid w:val="00931849"/>
    <w:rsid w:val="00936A53"/>
    <w:rsid w:val="00936C55"/>
    <w:rsid w:val="009451B1"/>
    <w:rsid w:val="00945B72"/>
    <w:rsid w:val="00957799"/>
    <w:rsid w:val="00962045"/>
    <w:rsid w:val="009657FA"/>
    <w:rsid w:val="00966622"/>
    <w:rsid w:val="0097112B"/>
    <w:rsid w:val="00971E80"/>
    <w:rsid w:val="00974E29"/>
    <w:rsid w:val="0099506F"/>
    <w:rsid w:val="009B4E59"/>
    <w:rsid w:val="009C2DE1"/>
    <w:rsid w:val="009C38D9"/>
    <w:rsid w:val="009C5213"/>
    <w:rsid w:val="009C5C7B"/>
    <w:rsid w:val="009D0654"/>
    <w:rsid w:val="009D789F"/>
    <w:rsid w:val="009E1283"/>
    <w:rsid w:val="009E6157"/>
    <w:rsid w:val="009F5543"/>
    <w:rsid w:val="009F58E1"/>
    <w:rsid w:val="00A04EF3"/>
    <w:rsid w:val="00A05B31"/>
    <w:rsid w:val="00A06357"/>
    <w:rsid w:val="00A11725"/>
    <w:rsid w:val="00A160B5"/>
    <w:rsid w:val="00A22170"/>
    <w:rsid w:val="00A3160A"/>
    <w:rsid w:val="00A31D1B"/>
    <w:rsid w:val="00A46E50"/>
    <w:rsid w:val="00A6141B"/>
    <w:rsid w:val="00A61AC0"/>
    <w:rsid w:val="00A676EA"/>
    <w:rsid w:val="00A728B1"/>
    <w:rsid w:val="00A75B97"/>
    <w:rsid w:val="00A77AC0"/>
    <w:rsid w:val="00A918E4"/>
    <w:rsid w:val="00A972E8"/>
    <w:rsid w:val="00AA05F4"/>
    <w:rsid w:val="00AA7B9B"/>
    <w:rsid w:val="00AB4FA7"/>
    <w:rsid w:val="00AC39FF"/>
    <w:rsid w:val="00AD5172"/>
    <w:rsid w:val="00AD5ED7"/>
    <w:rsid w:val="00AD689E"/>
    <w:rsid w:val="00AE4DCC"/>
    <w:rsid w:val="00AF399C"/>
    <w:rsid w:val="00AF4347"/>
    <w:rsid w:val="00AF5FE7"/>
    <w:rsid w:val="00B02EFA"/>
    <w:rsid w:val="00B0421C"/>
    <w:rsid w:val="00B14349"/>
    <w:rsid w:val="00B14979"/>
    <w:rsid w:val="00B14E64"/>
    <w:rsid w:val="00B15A65"/>
    <w:rsid w:val="00B26F74"/>
    <w:rsid w:val="00B27347"/>
    <w:rsid w:val="00B30E49"/>
    <w:rsid w:val="00B311DA"/>
    <w:rsid w:val="00B3767F"/>
    <w:rsid w:val="00B50302"/>
    <w:rsid w:val="00B565E0"/>
    <w:rsid w:val="00B67FB8"/>
    <w:rsid w:val="00B84243"/>
    <w:rsid w:val="00B84C2E"/>
    <w:rsid w:val="00B93020"/>
    <w:rsid w:val="00B93CD7"/>
    <w:rsid w:val="00BA36B3"/>
    <w:rsid w:val="00BA7F7C"/>
    <w:rsid w:val="00BB0C27"/>
    <w:rsid w:val="00BB3769"/>
    <w:rsid w:val="00BB71D2"/>
    <w:rsid w:val="00BC2FC0"/>
    <w:rsid w:val="00BD378C"/>
    <w:rsid w:val="00BD4D37"/>
    <w:rsid w:val="00BF0099"/>
    <w:rsid w:val="00BF4F68"/>
    <w:rsid w:val="00C004B7"/>
    <w:rsid w:val="00C02282"/>
    <w:rsid w:val="00C048E8"/>
    <w:rsid w:val="00C0600C"/>
    <w:rsid w:val="00C13BA6"/>
    <w:rsid w:val="00C22D3C"/>
    <w:rsid w:val="00C27DCA"/>
    <w:rsid w:val="00C425A5"/>
    <w:rsid w:val="00C4702E"/>
    <w:rsid w:val="00C47C21"/>
    <w:rsid w:val="00C55D60"/>
    <w:rsid w:val="00C65634"/>
    <w:rsid w:val="00C67DBB"/>
    <w:rsid w:val="00C95F28"/>
    <w:rsid w:val="00CA0486"/>
    <w:rsid w:val="00CA1F57"/>
    <w:rsid w:val="00CA2F83"/>
    <w:rsid w:val="00CA50AD"/>
    <w:rsid w:val="00CB1A12"/>
    <w:rsid w:val="00CB5A0D"/>
    <w:rsid w:val="00CC0756"/>
    <w:rsid w:val="00CE53AB"/>
    <w:rsid w:val="00CE6182"/>
    <w:rsid w:val="00CF3BD4"/>
    <w:rsid w:val="00CF56D4"/>
    <w:rsid w:val="00D02EF1"/>
    <w:rsid w:val="00D0433B"/>
    <w:rsid w:val="00D05261"/>
    <w:rsid w:val="00D063DE"/>
    <w:rsid w:val="00D176EB"/>
    <w:rsid w:val="00D203FE"/>
    <w:rsid w:val="00D301F9"/>
    <w:rsid w:val="00D32CF2"/>
    <w:rsid w:val="00D344B2"/>
    <w:rsid w:val="00D41548"/>
    <w:rsid w:val="00D52E4C"/>
    <w:rsid w:val="00D60543"/>
    <w:rsid w:val="00D62C25"/>
    <w:rsid w:val="00D6498A"/>
    <w:rsid w:val="00D65A27"/>
    <w:rsid w:val="00D67D80"/>
    <w:rsid w:val="00D7060E"/>
    <w:rsid w:val="00D7141F"/>
    <w:rsid w:val="00D7443D"/>
    <w:rsid w:val="00D806D3"/>
    <w:rsid w:val="00D835EB"/>
    <w:rsid w:val="00D9648C"/>
    <w:rsid w:val="00D9720E"/>
    <w:rsid w:val="00DA2AED"/>
    <w:rsid w:val="00DA3F85"/>
    <w:rsid w:val="00DB2443"/>
    <w:rsid w:val="00DB6551"/>
    <w:rsid w:val="00DC1C23"/>
    <w:rsid w:val="00DC4D6C"/>
    <w:rsid w:val="00DC5C60"/>
    <w:rsid w:val="00DD4DB4"/>
    <w:rsid w:val="00DE3ED6"/>
    <w:rsid w:val="00DE529D"/>
    <w:rsid w:val="00DE56C6"/>
    <w:rsid w:val="00E01B4E"/>
    <w:rsid w:val="00E21745"/>
    <w:rsid w:val="00E3105A"/>
    <w:rsid w:val="00E35BA2"/>
    <w:rsid w:val="00E368FB"/>
    <w:rsid w:val="00E43596"/>
    <w:rsid w:val="00E4383A"/>
    <w:rsid w:val="00E4740B"/>
    <w:rsid w:val="00E47ACC"/>
    <w:rsid w:val="00E51A21"/>
    <w:rsid w:val="00E671FE"/>
    <w:rsid w:val="00E825E5"/>
    <w:rsid w:val="00E8516F"/>
    <w:rsid w:val="00E878EE"/>
    <w:rsid w:val="00E91BC6"/>
    <w:rsid w:val="00EB24E9"/>
    <w:rsid w:val="00EB3717"/>
    <w:rsid w:val="00EB493E"/>
    <w:rsid w:val="00EC26A5"/>
    <w:rsid w:val="00EC698B"/>
    <w:rsid w:val="00ED0556"/>
    <w:rsid w:val="00ED4852"/>
    <w:rsid w:val="00ED782E"/>
    <w:rsid w:val="00EE1D19"/>
    <w:rsid w:val="00EE1E92"/>
    <w:rsid w:val="00EE3805"/>
    <w:rsid w:val="00EE3D42"/>
    <w:rsid w:val="00EF42B7"/>
    <w:rsid w:val="00F00CC7"/>
    <w:rsid w:val="00F02021"/>
    <w:rsid w:val="00F07D22"/>
    <w:rsid w:val="00F10B17"/>
    <w:rsid w:val="00F10FAB"/>
    <w:rsid w:val="00F12581"/>
    <w:rsid w:val="00F15038"/>
    <w:rsid w:val="00F210CA"/>
    <w:rsid w:val="00F22C25"/>
    <w:rsid w:val="00F2323D"/>
    <w:rsid w:val="00F50BDF"/>
    <w:rsid w:val="00F56083"/>
    <w:rsid w:val="00F672DE"/>
    <w:rsid w:val="00F70B1F"/>
    <w:rsid w:val="00F73512"/>
    <w:rsid w:val="00F774A7"/>
    <w:rsid w:val="00F83116"/>
    <w:rsid w:val="00F86BA8"/>
    <w:rsid w:val="00F87B7C"/>
    <w:rsid w:val="00F958BB"/>
    <w:rsid w:val="00FA2890"/>
    <w:rsid w:val="00FA5092"/>
    <w:rsid w:val="00FA6CB0"/>
    <w:rsid w:val="00FB4221"/>
    <w:rsid w:val="00FB65A2"/>
    <w:rsid w:val="00FB7547"/>
    <w:rsid w:val="00FC0EAC"/>
    <w:rsid w:val="00FC62A8"/>
    <w:rsid w:val="00FC7DFB"/>
    <w:rsid w:val="00FE0FDC"/>
    <w:rsid w:val="00FF7CE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6CD83E0B-E11C-4A6A-B305-E73C5FB0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semiHidden/>
    <w:unhideWhenUsed/>
    <w:qFormat/>
    <w:rsid w:val="004677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414C1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4677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1"/>
    <w:basedOn w:val="Normal"/>
    <w:link w:val="FootnoteTextChar"/>
    <w:qFormat/>
    <w:rPr>
      <w:sz w:val="24"/>
    </w:rPr>
  </w:style>
  <w:style w:type="character" w:styleId="FootnoteReference">
    <w:name w:val="footnote reference"/>
    <w:qFormat/>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NormalSS">
    <w:name w:val="NormalSS"/>
    <w:basedOn w:val="Normal"/>
    <w:link w:val="NormalSSChar"/>
    <w:qFormat/>
    <w:rsid w:val="00414C1C"/>
    <w:pPr>
      <w:widowControl/>
      <w:spacing w:after="240"/>
      <w:ind w:firstLine="432"/>
    </w:pPr>
    <w:rPr>
      <w:rFonts w:ascii="Times New Roman" w:hAnsi="Times New Roman"/>
      <w:snapToGrid/>
      <w:sz w:val="24"/>
    </w:rPr>
  </w:style>
  <w:style w:type="character" w:customStyle="1" w:styleId="NormalSSChar">
    <w:name w:val="NormalSS Char"/>
    <w:link w:val="NormalSS"/>
    <w:rsid w:val="00414C1C"/>
    <w:rPr>
      <w:sz w:val="24"/>
    </w:rPr>
  </w:style>
  <w:style w:type="paragraph" w:customStyle="1" w:styleId="Bullet">
    <w:name w:val="Bullet"/>
    <w:basedOn w:val="Normal"/>
    <w:qFormat/>
    <w:rsid w:val="00414C1C"/>
    <w:pPr>
      <w:widowControl/>
      <w:numPr>
        <w:numId w:val="21"/>
      </w:numPr>
      <w:spacing w:after="120"/>
    </w:pPr>
    <w:rPr>
      <w:rFonts w:ascii="Times New Roman" w:hAnsi="Times New Roman"/>
      <w:snapToGrid/>
      <w:sz w:val="24"/>
    </w:rPr>
  </w:style>
  <w:style w:type="paragraph" w:customStyle="1" w:styleId="BulletLastSS">
    <w:name w:val="Bullet (Last SS)"/>
    <w:basedOn w:val="Bullet"/>
    <w:next w:val="NormalSS"/>
    <w:qFormat/>
    <w:rsid w:val="00414C1C"/>
    <w:pPr>
      <w:numPr>
        <w:numId w:val="22"/>
      </w:numPr>
      <w:spacing w:after="240"/>
    </w:pPr>
  </w:style>
  <w:style w:type="paragraph" w:customStyle="1" w:styleId="H4Number">
    <w:name w:val="H4_Number"/>
    <w:basedOn w:val="Heading3"/>
    <w:next w:val="NormalSS"/>
    <w:link w:val="H4NumberChar"/>
    <w:qFormat/>
    <w:rsid w:val="00414C1C"/>
    <w:pPr>
      <w:keepLines w:val="0"/>
      <w:widowControl/>
      <w:tabs>
        <w:tab w:val="left" w:pos="432"/>
      </w:tabs>
      <w:spacing w:before="0" w:after="120"/>
      <w:ind w:left="432" w:hanging="432"/>
      <w:outlineLvl w:val="3"/>
    </w:pPr>
    <w:rPr>
      <w:rFonts w:ascii="Times New Roman" w:eastAsia="Times New Roman" w:hAnsi="Times New Roman" w:cs="Times New Roman"/>
      <w:b/>
      <w:snapToGrid/>
      <w:color w:val="auto"/>
      <w:szCs w:val="20"/>
    </w:rPr>
  </w:style>
  <w:style w:type="character" w:customStyle="1" w:styleId="H4NumberChar">
    <w:name w:val="H4_Number Char"/>
    <w:link w:val="H4Number"/>
    <w:rsid w:val="00414C1C"/>
    <w:rPr>
      <w:b/>
      <w:sz w:val="24"/>
    </w:rPr>
  </w:style>
  <w:style w:type="character" w:customStyle="1" w:styleId="Heading3Char">
    <w:name w:val="Heading 3 Char"/>
    <w:basedOn w:val="DefaultParagraphFont"/>
    <w:link w:val="Heading3"/>
    <w:semiHidden/>
    <w:rsid w:val="00414C1C"/>
    <w:rPr>
      <w:rFonts w:asciiTheme="majorHAnsi" w:eastAsiaTheme="majorEastAsia" w:hAnsiTheme="majorHAnsi" w:cstheme="majorBidi"/>
      <w:snapToGrid w:val="0"/>
      <w:color w:val="1F4D78" w:themeColor="accent1" w:themeShade="7F"/>
      <w:sz w:val="24"/>
      <w:szCs w:val="24"/>
    </w:rPr>
  </w:style>
  <w:style w:type="paragraph" w:customStyle="1" w:styleId="NumberedBullet">
    <w:name w:val="Numbered Bullet"/>
    <w:basedOn w:val="Normal"/>
    <w:link w:val="NumberedBulletChar"/>
    <w:qFormat/>
    <w:rsid w:val="00890DD6"/>
    <w:pPr>
      <w:widowControl/>
      <w:numPr>
        <w:numId w:val="23"/>
      </w:numPr>
      <w:tabs>
        <w:tab w:val="left" w:pos="432"/>
      </w:tabs>
      <w:spacing w:after="120"/>
    </w:pPr>
    <w:rPr>
      <w:rFonts w:ascii="Times New Roman" w:hAnsi="Times New Roman"/>
      <w:snapToGrid/>
      <w:sz w:val="24"/>
    </w:rPr>
  </w:style>
  <w:style w:type="character" w:customStyle="1" w:styleId="NumberedBulletChar">
    <w:name w:val="Numbered Bullet Char"/>
    <w:link w:val="NumberedBullet"/>
    <w:rsid w:val="00890DD6"/>
    <w:rPr>
      <w:sz w:val="24"/>
    </w:rPr>
  </w:style>
  <w:style w:type="character" w:customStyle="1" w:styleId="Heading2Char">
    <w:name w:val="Heading 2 Char"/>
    <w:basedOn w:val="DefaultParagraphFont"/>
    <w:link w:val="Heading2"/>
    <w:semiHidden/>
    <w:rsid w:val="004677B2"/>
    <w:rPr>
      <w:rFonts w:asciiTheme="majorHAnsi" w:eastAsiaTheme="majorEastAsia" w:hAnsiTheme="majorHAnsi" w:cstheme="majorBidi"/>
      <w:snapToGrid w:val="0"/>
      <w:color w:val="2E74B5" w:themeColor="accent1" w:themeShade="BF"/>
      <w:sz w:val="26"/>
      <w:szCs w:val="26"/>
    </w:rPr>
  </w:style>
  <w:style w:type="character" w:customStyle="1" w:styleId="Heading4Char">
    <w:name w:val="Heading 4 Char"/>
    <w:basedOn w:val="DefaultParagraphFont"/>
    <w:link w:val="Heading4"/>
    <w:semiHidden/>
    <w:rsid w:val="004677B2"/>
    <w:rPr>
      <w:rFonts w:asciiTheme="majorHAnsi" w:eastAsiaTheme="majorEastAsia" w:hAnsiTheme="majorHAnsi" w:cstheme="majorBidi"/>
      <w:i/>
      <w:iCs/>
      <w:snapToGrid w:val="0"/>
      <w:color w:val="2E74B5" w:themeColor="accent1" w:themeShade="BF"/>
    </w:rPr>
  </w:style>
  <w:style w:type="paragraph" w:customStyle="1" w:styleId="Dash">
    <w:name w:val="Dash"/>
    <w:basedOn w:val="Normal"/>
    <w:qFormat/>
    <w:rsid w:val="004677B2"/>
    <w:pPr>
      <w:widowControl/>
      <w:numPr>
        <w:numId w:val="31"/>
      </w:numPr>
      <w:tabs>
        <w:tab w:val="left" w:pos="288"/>
      </w:tabs>
      <w:spacing w:after="120"/>
    </w:pPr>
    <w:rPr>
      <w:rFonts w:ascii="Times New Roman" w:hAnsi="Times New Roman"/>
      <w:snapToGrid/>
      <w:sz w:val="24"/>
    </w:rPr>
  </w:style>
  <w:style w:type="paragraph" w:customStyle="1" w:styleId="TableText">
    <w:name w:val="Table Text"/>
    <w:basedOn w:val="Normal"/>
    <w:qFormat/>
    <w:rsid w:val="004677B2"/>
    <w:pPr>
      <w:widowControl/>
    </w:pPr>
    <w:rPr>
      <w:rFonts w:ascii="Arial" w:hAnsi="Arial"/>
      <w:snapToGrid/>
      <w:sz w:val="18"/>
    </w:rPr>
  </w:style>
  <w:style w:type="paragraph" w:customStyle="1" w:styleId="TableHeaderCenter">
    <w:name w:val="Table Header Center"/>
    <w:basedOn w:val="TableHeaderLeft"/>
    <w:qFormat/>
    <w:rsid w:val="004677B2"/>
    <w:pPr>
      <w:jc w:val="center"/>
    </w:pPr>
  </w:style>
  <w:style w:type="paragraph" w:customStyle="1" w:styleId="TableHeaderLeft">
    <w:name w:val="Table Header Left"/>
    <w:basedOn w:val="TableText"/>
    <w:next w:val="TableText"/>
    <w:qFormat/>
    <w:rsid w:val="004677B2"/>
    <w:pPr>
      <w:spacing w:before="120" w:after="60"/>
    </w:pPr>
    <w:rPr>
      <w:b/>
      <w:color w:val="FFFFFF"/>
    </w:rPr>
  </w:style>
  <w:style w:type="paragraph" w:customStyle="1" w:styleId="MarkforTableTitle">
    <w:name w:val="Mark for Table Title"/>
    <w:basedOn w:val="Normal"/>
    <w:next w:val="NormalSS"/>
    <w:qFormat/>
    <w:rsid w:val="004677B2"/>
    <w:pPr>
      <w:keepNext/>
      <w:widowControl/>
      <w:spacing w:after="60"/>
    </w:pPr>
    <w:rPr>
      <w:rFonts w:ascii="Arial Black" w:hAnsi="Arial Black"/>
      <w:snapToGrid/>
      <w:sz w:val="22"/>
    </w:rPr>
  </w:style>
  <w:style w:type="paragraph" w:customStyle="1" w:styleId="H5Lower">
    <w:name w:val="H5_Lower"/>
    <w:basedOn w:val="Heading4"/>
    <w:next w:val="NormalSS"/>
    <w:link w:val="H5LowerChar"/>
    <w:qFormat/>
    <w:rsid w:val="004677B2"/>
    <w:pPr>
      <w:keepLines w:val="0"/>
      <w:widowControl/>
      <w:tabs>
        <w:tab w:val="left" w:pos="432"/>
      </w:tabs>
      <w:spacing w:before="0" w:after="120"/>
      <w:ind w:left="432" w:hanging="432"/>
      <w:outlineLvl w:val="4"/>
    </w:pPr>
    <w:rPr>
      <w:rFonts w:ascii="Times New Roman" w:eastAsia="Times New Roman" w:hAnsi="Times New Roman" w:cs="Times New Roman"/>
      <w:b/>
      <w:i w:val="0"/>
      <w:iCs w:val="0"/>
      <w:snapToGrid/>
      <w:color w:val="auto"/>
      <w:sz w:val="24"/>
    </w:rPr>
  </w:style>
  <w:style w:type="character" w:customStyle="1" w:styleId="H5LowerChar">
    <w:name w:val="H5_Lower Char"/>
    <w:link w:val="H5Lower"/>
    <w:rsid w:val="004677B2"/>
    <w:rPr>
      <w:b/>
      <w:sz w:val="24"/>
    </w:rPr>
  </w:style>
  <w:style w:type="paragraph" w:customStyle="1" w:styleId="TableSignificanceCaption">
    <w:name w:val="Table Significance_Caption"/>
    <w:basedOn w:val="Normal"/>
    <w:qFormat/>
    <w:rsid w:val="004677B2"/>
    <w:pPr>
      <w:widowControl/>
      <w:tabs>
        <w:tab w:val="left" w:pos="1080"/>
      </w:tabs>
      <w:spacing w:before="60"/>
    </w:pPr>
    <w:rPr>
      <w:rFonts w:ascii="Arial" w:hAnsi="Arial"/>
      <w:snapToGrid/>
      <w:sz w:val="18"/>
    </w:rPr>
  </w:style>
  <w:style w:type="paragraph" w:customStyle="1" w:styleId="H3Alpha">
    <w:name w:val="H3_Alpha"/>
    <w:basedOn w:val="Heading2"/>
    <w:next w:val="NormalSS"/>
    <w:link w:val="H3AlphaChar"/>
    <w:qFormat/>
    <w:rsid w:val="004677B2"/>
    <w:pPr>
      <w:keepLines w:val="0"/>
      <w:widowControl/>
      <w:tabs>
        <w:tab w:val="left" w:pos="432"/>
      </w:tabs>
      <w:spacing w:before="0" w:after="120"/>
      <w:ind w:left="432" w:hanging="432"/>
      <w:outlineLvl w:val="2"/>
    </w:pPr>
    <w:rPr>
      <w:rFonts w:ascii="Arial Black" w:eastAsia="Times New Roman" w:hAnsi="Arial Black" w:cs="Times New Roman"/>
      <w:snapToGrid/>
      <w:color w:val="auto"/>
      <w:sz w:val="22"/>
      <w:szCs w:val="20"/>
    </w:rPr>
  </w:style>
  <w:style w:type="character" w:customStyle="1" w:styleId="H3AlphaChar">
    <w:name w:val="H3_Alpha Char"/>
    <w:link w:val="H3Alpha"/>
    <w:rsid w:val="004677B2"/>
    <w:rPr>
      <w:rFonts w:ascii="Arial Black" w:hAnsi="Arial Black"/>
      <w:sz w:val="22"/>
    </w:rPr>
  </w:style>
  <w:style w:type="paragraph" w:styleId="ListBullet">
    <w:name w:val="List Bullet"/>
    <w:basedOn w:val="Normal"/>
    <w:rsid w:val="004677B2"/>
    <w:pPr>
      <w:numPr>
        <w:numId w:val="36"/>
      </w:numPr>
      <w:contextualSpacing/>
    </w:pPr>
  </w:style>
  <w:style w:type="paragraph" w:customStyle="1" w:styleId="xmsonormal">
    <w:name w:val="x_msonormal"/>
    <w:basedOn w:val="Normal"/>
    <w:rsid w:val="004677B2"/>
    <w:pPr>
      <w:widowControl/>
    </w:pPr>
    <w:rPr>
      <w:rFonts w:ascii="Calibri" w:hAnsi="Calibri" w:eastAsiaTheme="minorHAnsi" w:cs="Calibri"/>
      <w:snapToGrid/>
      <w:sz w:val="22"/>
      <w:szCs w:val="22"/>
    </w:rPr>
  </w:style>
  <w:style w:type="paragraph" w:customStyle="1" w:styleId="pf0">
    <w:name w:val="pf0"/>
    <w:basedOn w:val="Normal"/>
    <w:rsid w:val="00F73512"/>
    <w:pPr>
      <w:widowControl/>
      <w:spacing w:before="100" w:beforeAutospacing="1" w:after="100" w:afterAutospacing="1"/>
      <w:ind w:left="300"/>
    </w:pPr>
    <w:rPr>
      <w:rFonts w:ascii="Times New Roman" w:hAnsi="Times New Roman"/>
      <w:snapToGrid/>
      <w:sz w:val="24"/>
      <w:szCs w:val="24"/>
    </w:rPr>
  </w:style>
  <w:style w:type="character" w:customStyle="1" w:styleId="cf01">
    <w:name w:val="cf01"/>
    <w:basedOn w:val="DefaultParagraphFont"/>
    <w:rsid w:val="00F735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289A7F522444D8CBB68BCE7AB86D9" ma:contentTypeVersion="4" ma:contentTypeDescription="Create a new document." ma:contentTypeScope="" ma:versionID="45dcf4ddb60d7ec6ffc33e8d59524284">
  <xsd:schema xmlns:xsd="http://www.w3.org/2001/XMLSchema" xmlns:xs="http://www.w3.org/2001/XMLSchema" xmlns:p="http://schemas.microsoft.com/office/2006/metadata/properties" xmlns:ns2="aad28fa9-26ad-4fc1-b19f-96aa7df4cbbb" targetNamespace="http://schemas.microsoft.com/office/2006/metadata/properties" ma:root="true" ma:fieldsID="8ede4475e6a96ba4a29d7f19786d5aa8" ns2:_="">
    <xsd:import namespace="aad28fa9-26ad-4fc1-b19f-96aa7df4c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28fa9-26ad-4fc1-b19f-96aa7df4c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1CD1B-A569-43F9-A086-7655F19E1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28fa9-26ad-4fc1-b19f-96aa7df4c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2FF56-FC52-452C-95F9-756CDDF06343}">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6441FEFE-197C-47CF-B79D-C0AD7BB5817B}">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aad28fa9-26ad-4fc1-b19f-96aa7df4cbbb"/>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3606</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Smither Wulsin</dc:creator>
  <cp:lastModifiedBy>ACF PRA</cp:lastModifiedBy>
  <cp:revision>10</cp:revision>
  <cp:lastPrinted>2024-11-21T22:36:00Z</cp:lastPrinted>
  <dcterms:created xsi:type="dcterms:W3CDTF">2025-02-04T16:04:00Z</dcterms:created>
  <dcterms:modified xsi:type="dcterms:W3CDTF">2025-04-10T19:52:00Z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0x01010005D289A7F522444D8CBB68BCE7AB86D9</vt:lpwstr>
  </property>
  <property fmtid="{D5CDD505-2E9C-101B-9397-08002B2CF9AE}" pid="3" name="Order">
    <vt:r8>49600</vt:r8>
  </property>
</Properties>
</file>