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28E08946">
      <w:pPr>
        <w:pStyle w:val="ReportCover-Title"/>
        <w:jc w:val="center"/>
        <w:rPr>
          <w:rFonts w:ascii="Arial" w:hAnsi="Arial" w:cs="Arial"/>
          <w:color w:val="auto"/>
        </w:rPr>
      </w:pPr>
      <w:r>
        <w:rPr>
          <w:rFonts w:ascii="Arial" w:eastAsia="Arial Unicode MS" w:hAnsi="Arial" w:cs="Arial"/>
          <w:noProof/>
          <w:color w:val="auto"/>
        </w:rPr>
        <w:t xml:space="preserve">Evaluation of the Center for Legal and Judicial Innovation and Advancement (CLJIA) </w:t>
      </w:r>
      <w:r w:rsidRPr="00042405">
        <w:rPr>
          <w:rFonts w:ascii="Arial" w:eastAsia="Arial Unicode MS" w:hAnsi="Arial" w:cs="Arial"/>
          <w:noProof/>
          <w:color w:val="auto"/>
          <w:sz w:val="36"/>
          <w:szCs w:val="36"/>
        </w:rPr>
        <w:t>(previously Evaluation of the Capacity Building Collaborative)</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5E4337B9">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367BD3">
        <w:rPr>
          <w:rFonts w:ascii="Arial" w:hAnsi="Arial" w:cs="Arial"/>
          <w:color w:val="auto"/>
          <w:sz w:val="32"/>
          <w:szCs w:val="32"/>
        </w:rPr>
        <w:t>0576</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00160621" w:rsidRPr="00160621" w:rsidP="00160621" w14:paraId="76FA23BE" w14:textId="2F91E6D9">
      <w:pPr>
        <w:pStyle w:val="ReportCover-Date"/>
        <w:jc w:val="center"/>
        <w:rPr>
          <w:rFonts w:ascii="Arial" w:hAnsi="Arial" w:cs="Arial"/>
          <w:color w:val="auto"/>
        </w:rPr>
      </w:pPr>
      <w:r>
        <w:rPr>
          <w:rFonts w:ascii="Arial" w:hAnsi="Arial" w:cs="Arial"/>
          <w:color w:val="auto"/>
        </w:rPr>
        <w:t>June</w:t>
      </w:r>
      <w:r w:rsidR="00E83063">
        <w:rPr>
          <w:rFonts w:ascii="Arial" w:hAnsi="Arial" w:cs="Arial"/>
          <w:color w:val="auto"/>
        </w:rPr>
        <w:t xml:space="preserve"> 2025</w:t>
      </w:r>
    </w:p>
    <w:p w:rsidR="00160621" w:rsidP="7B0E0B3A" w14:paraId="753A1E04" w14:textId="21BC38F1">
      <w:pPr>
        <w:jc w:val="center"/>
        <w:rPr>
          <w:rFonts w:ascii="Arial" w:hAnsi="Arial" w:cs="Arial"/>
          <w:b/>
          <w:bCs/>
          <w:sz w:val="32"/>
          <w:szCs w:val="32"/>
        </w:rPr>
      </w:pPr>
      <w:r w:rsidRPr="7B0E0B3A">
        <w:rPr>
          <w:rFonts w:ascii="Arial" w:hAnsi="Arial" w:cs="Arial"/>
          <w:b/>
          <w:bCs/>
          <w:sz w:val="32"/>
          <w:szCs w:val="32"/>
        </w:rPr>
        <w:t xml:space="preserve">Type of Request: </w:t>
      </w:r>
      <w:r w:rsidRPr="7B0E0B3A">
        <w:rPr>
          <w:rFonts w:ascii="Arial" w:hAnsi="Arial" w:cs="Arial"/>
          <w:sz w:val="32"/>
          <w:szCs w:val="32"/>
        </w:rPr>
        <w:t>Revision</w:t>
      </w:r>
      <w:r w:rsidRPr="7B0E0B3A" w:rsidR="00A81E41">
        <w:rPr>
          <w:rFonts w:ascii="Arial" w:hAnsi="Arial" w:cs="Arial"/>
          <w:sz w:val="32"/>
          <w:szCs w:val="32"/>
        </w:rPr>
        <w:t xml:space="preserve"> </w:t>
      </w: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P="00160621" w14:paraId="54195924" w14:textId="1C54F4E6">
      <w:pPr>
        <w:jc w:val="center"/>
        <w:rPr>
          <w:rFonts w:ascii="Arial" w:hAnsi="Arial" w:cs="Arial"/>
        </w:rPr>
      </w:pPr>
      <w:bookmarkStart w:id="0" w:name="_Hlk181712572"/>
      <w:r>
        <w:rPr>
          <w:rFonts w:ascii="Arial" w:hAnsi="Arial" w:cs="Arial"/>
        </w:rPr>
        <w:t>Children’s Bureau</w:t>
      </w:r>
    </w:p>
    <w:p w:rsidR="00167145" w:rsidRPr="00160621" w:rsidP="00160621" w14:paraId="350F4C6D" w14:textId="14BDB822">
      <w:pPr>
        <w:jc w:val="center"/>
        <w:rPr>
          <w:rFonts w:ascii="Arial" w:hAnsi="Arial" w:cs="Arial"/>
        </w:rPr>
      </w:pPr>
      <w:r>
        <w:rPr>
          <w:rFonts w:ascii="Arial" w:hAnsi="Arial" w:cs="Arial"/>
        </w:rPr>
        <w:t>Administration on Children, Youth and Families</w:t>
      </w:r>
    </w:p>
    <w:bookmarkEnd w:id="0"/>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4753BB" w:rsidP="00160621" w14:paraId="715F81D3" w14:textId="77777777">
      <w:pPr>
        <w:widowControl/>
        <w:ind w:left="360" w:hanging="360"/>
        <w:jc w:val="center"/>
        <w:rPr>
          <w:rFonts w:ascii="Times New Roman" w:hAnsi="Times New Roman"/>
          <w:snapToGrid/>
          <w:sz w:val="24"/>
          <w:szCs w:val="24"/>
        </w:rPr>
      </w:pPr>
    </w:p>
    <w:p w:rsidR="00754BA6" w:rsidP="00160621" w14:paraId="37A0E077" w14:textId="77777777">
      <w:pPr>
        <w:widowControl/>
        <w:ind w:left="360" w:hanging="360"/>
        <w:jc w:val="center"/>
        <w:rPr>
          <w:rFonts w:ascii="Times New Roman" w:hAnsi="Times New Roman"/>
          <w:snapToGrid/>
          <w:sz w:val="24"/>
          <w:szCs w:val="24"/>
        </w:rPr>
      </w:pPr>
    </w:p>
    <w:p w:rsidR="002C3C4F" w:rsidRPr="003E180D"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3E180D">
        <w:rPr>
          <w:rFonts w:ascii="Times New Roman" w:hAnsi="Times New Roman"/>
          <w:b/>
          <w:snapToGrid/>
          <w:sz w:val="24"/>
          <w:szCs w:val="24"/>
        </w:rPr>
        <w:t xml:space="preserve">Circumstances Making the Collection of Information Necessary </w:t>
      </w:r>
    </w:p>
    <w:p w:rsidR="00AC50C8" w:rsidRPr="003E180D" w:rsidP="00D7443D" w14:paraId="3983C72A" w14:textId="0FBA6473">
      <w:pPr>
        <w:widowControl/>
        <w:tabs>
          <w:tab w:val="num" w:pos="360"/>
        </w:tabs>
        <w:ind w:left="360"/>
        <w:rPr>
          <w:rFonts w:ascii="Times New Roman" w:hAnsi="Times New Roman"/>
          <w:snapToGrid/>
          <w:sz w:val="24"/>
          <w:szCs w:val="24"/>
        </w:rPr>
      </w:pPr>
      <w:r w:rsidRPr="003E180D">
        <w:rPr>
          <w:rFonts w:ascii="Times New Roman" w:hAnsi="Times New Roman"/>
          <w:snapToGrid/>
          <w:sz w:val="24"/>
          <w:szCs w:val="24"/>
        </w:rPr>
        <w:t>This request</w:t>
      </w:r>
      <w:r w:rsidRPr="003E180D" w:rsidR="00345C14">
        <w:rPr>
          <w:rFonts w:ascii="Times New Roman" w:hAnsi="Times New Roman"/>
          <w:snapToGrid/>
          <w:sz w:val="24"/>
          <w:szCs w:val="24"/>
        </w:rPr>
        <w:t xml:space="preserve"> is for a revision</w:t>
      </w:r>
      <w:r w:rsidRPr="003E180D" w:rsidR="00177813">
        <w:rPr>
          <w:rFonts w:ascii="Times New Roman" w:hAnsi="Times New Roman"/>
          <w:snapToGrid/>
          <w:sz w:val="24"/>
          <w:szCs w:val="24"/>
        </w:rPr>
        <w:t xml:space="preserve"> to the Information Collection Request </w:t>
      </w:r>
      <w:r w:rsidRPr="003E180D" w:rsidR="00E83063">
        <w:rPr>
          <w:rFonts w:ascii="Times New Roman" w:hAnsi="Times New Roman"/>
          <w:snapToGrid/>
          <w:sz w:val="24"/>
          <w:szCs w:val="24"/>
        </w:rPr>
        <w:t>(ICR)</w:t>
      </w:r>
      <w:r w:rsidRPr="003E180D">
        <w:rPr>
          <w:rFonts w:ascii="Times New Roman" w:hAnsi="Times New Roman"/>
          <w:snapToGrid/>
          <w:sz w:val="24"/>
          <w:szCs w:val="24"/>
        </w:rPr>
        <w:t xml:space="preserve"> under Office of Management and Budget (OMB) #:</w:t>
      </w:r>
      <w:r w:rsidRPr="003E180D" w:rsidR="00E83063">
        <w:rPr>
          <w:rFonts w:ascii="Times New Roman" w:hAnsi="Times New Roman"/>
          <w:snapToGrid/>
          <w:sz w:val="24"/>
          <w:szCs w:val="24"/>
        </w:rPr>
        <w:t xml:space="preserve"> </w:t>
      </w:r>
      <w:r w:rsidRPr="003E180D" w:rsidR="00177813">
        <w:rPr>
          <w:rFonts w:ascii="Times New Roman" w:hAnsi="Times New Roman"/>
          <w:snapToGrid/>
          <w:sz w:val="24"/>
          <w:szCs w:val="24"/>
        </w:rPr>
        <w:t>0970 – 0576</w:t>
      </w:r>
      <w:r w:rsidRPr="003E180D" w:rsidR="007B6552">
        <w:rPr>
          <w:rFonts w:ascii="Times New Roman" w:hAnsi="Times New Roman"/>
          <w:snapToGrid/>
          <w:sz w:val="24"/>
          <w:szCs w:val="24"/>
        </w:rPr>
        <w:t>. This</w:t>
      </w:r>
      <w:r w:rsidRPr="003E180D">
        <w:rPr>
          <w:rFonts w:ascii="Times New Roman" w:hAnsi="Times New Roman"/>
          <w:snapToGrid/>
          <w:sz w:val="24"/>
          <w:szCs w:val="24"/>
        </w:rPr>
        <w:t xml:space="preserve"> information collection</w:t>
      </w:r>
      <w:r w:rsidRPr="003E180D" w:rsidR="007B6552">
        <w:rPr>
          <w:rFonts w:ascii="Times New Roman" w:hAnsi="Times New Roman"/>
          <w:snapToGrid/>
          <w:sz w:val="24"/>
          <w:szCs w:val="24"/>
        </w:rPr>
        <w:t xml:space="preserve"> was originally related to a larger project, the Evaluation of the Child Welfare Capacity Building Collaborative</w:t>
      </w:r>
      <w:r w:rsidRPr="003E180D" w:rsidR="009339D9">
        <w:rPr>
          <w:rFonts w:ascii="Times New Roman" w:hAnsi="Times New Roman"/>
          <w:snapToGrid/>
          <w:sz w:val="24"/>
          <w:szCs w:val="24"/>
        </w:rPr>
        <w:t xml:space="preserve">, </w:t>
      </w:r>
      <w:r w:rsidRPr="003E180D" w:rsidR="004D2796">
        <w:rPr>
          <w:rFonts w:ascii="Times New Roman" w:hAnsi="Times New Roman"/>
          <w:snapToGrid/>
          <w:sz w:val="24"/>
          <w:szCs w:val="24"/>
        </w:rPr>
        <w:t>by the Children’s Bureau (CB) in the Administration on Children, Youth and Families (ACYF), Administration for Children and Families (ACF), U.S. Department of Health and Human Services (HHS). Th</w:t>
      </w:r>
      <w:r w:rsidRPr="003E180D" w:rsidR="00FA7E1A">
        <w:rPr>
          <w:rFonts w:ascii="Times New Roman" w:hAnsi="Times New Roman"/>
          <w:snapToGrid/>
          <w:sz w:val="24"/>
          <w:szCs w:val="24"/>
        </w:rPr>
        <w:t>e original request</w:t>
      </w:r>
      <w:r w:rsidRPr="003E180D" w:rsidR="00E83063">
        <w:rPr>
          <w:rFonts w:ascii="Times New Roman" w:hAnsi="Times New Roman"/>
          <w:snapToGrid/>
          <w:sz w:val="24"/>
          <w:szCs w:val="24"/>
        </w:rPr>
        <w:t xml:space="preserve"> and approval included</w:t>
      </w:r>
      <w:r w:rsidRPr="003E180D" w:rsidR="009339D9">
        <w:rPr>
          <w:rFonts w:ascii="Times New Roman" w:hAnsi="Times New Roman"/>
          <w:snapToGrid/>
          <w:sz w:val="24"/>
          <w:szCs w:val="24"/>
        </w:rPr>
        <w:t xml:space="preserve"> thirty-five instruments. Most of that effort was concluded</w:t>
      </w:r>
      <w:r w:rsidRPr="003E180D" w:rsidR="004D2796">
        <w:rPr>
          <w:rFonts w:ascii="Times New Roman" w:hAnsi="Times New Roman"/>
          <w:snapToGrid/>
          <w:sz w:val="24"/>
          <w:szCs w:val="24"/>
        </w:rPr>
        <w:t xml:space="preserve">. </w:t>
      </w:r>
    </w:p>
    <w:p w:rsidR="00AC50C8" w:rsidRPr="003E180D" w:rsidP="00D7443D" w14:paraId="3D2D98A0" w14:textId="77777777">
      <w:pPr>
        <w:widowControl/>
        <w:tabs>
          <w:tab w:val="num" w:pos="360"/>
        </w:tabs>
        <w:ind w:left="360"/>
        <w:rPr>
          <w:rFonts w:ascii="Times New Roman" w:hAnsi="Times New Roman"/>
          <w:snapToGrid/>
          <w:sz w:val="24"/>
          <w:szCs w:val="24"/>
        </w:rPr>
      </w:pPr>
    </w:p>
    <w:p w:rsidR="00754BA6" w:rsidRPr="003E180D" w:rsidP="00D7443D" w14:paraId="21860D2E" w14:textId="6D89644E">
      <w:pPr>
        <w:widowControl/>
        <w:tabs>
          <w:tab w:val="num" w:pos="360"/>
        </w:tabs>
        <w:ind w:left="360"/>
        <w:rPr>
          <w:rFonts w:ascii="Times New Roman" w:hAnsi="Times New Roman"/>
          <w:snapToGrid/>
          <w:sz w:val="24"/>
          <w:szCs w:val="24"/>
        </w:rPr>
      </w:pPr>
      <w:r w:rsidRPr="003E180D">
        <w:rPr>
          <w:rFonts w:ascii="Times New Roman" w:hAnsi="Times New Roman"/>
          <w:snapToGrid/>
          <w:sz w:val="24"/>
          <w:szCs w:val="24"/>
        </w:rPr>
        <w:t xml:space="preserve">This request seeks to </w:t>
      </w:r>
      <w:r w:rsidRPr="003E180D" w:rsidR="00367BD3">
        <w:rPr>
          <w:rFonts w:ascii="Times New Roman" w:hAnsi="Times New Roman"/>
          <w:snapToGrid/>
          <w:sz w:val="24"/>
          <w:szCs w:val="24"/>
        </w:rPr>
        <w:t>extend</w:t>
      </w:r>
      <w:r w:rsidRPr="003E180D" w:rsidR="00177813">
        <w:rPr>
          <w:rFonts w:ascii="Times New Roman" w:hAnsi="Times New Roman"/>
          <w:snapToGrid/>
          <w:sz w:val="24"/>
          <w:szCs w:val="24"/>
        </w:rPr>
        <w:t xml:space="preserve"> the</w:t>
      </w:r>
      <w:r w:rsidRPr="003E180D" w:rsidR="00367BD3">
        <w:rPr>
          <w:rFonts w:ascii="Times New Roman" w:hAnsi="Times New Roman"/>
          <w:snapToGrid/>
          <w:sz w:val="24"/>
          <w:szCs w:val="24"/>
        </w:rPr>
        <w:t xml:space="preserve"> approval </w:t>
      </w:r>
      <w:r w:rsidRPr="003E180D" w:rsidR="00177813">
        <w:rPr>
          <w:rFonts w:ascii="Times New Roman" w:hAnsi="Times New Roman"/>
          <w:snapToGrid/>
          <w:sz w:val="24"/>
          <w:szCs w:val="24"/>
        </w:rPr>
        <w:t xml:space="preserve">period </w:t>
      </w:r>
      <w:r w:rsidRPr="003E180D" w:rsidR="00E83063">
        <w:rPr>
          <w:rFonts w:ascii="Times New Roman" w:hAnsi="Times New Roman"/>
          <w:snapToGrid/>
          <w:sz w:val="24"/>
          <w:szCs w:val="24"/>
        </w:rPr>
        <w:t xml:space="preserve">for </w:t>
      </w:r>
      <w:r w:rsidRPr="003E180D">
        <w:rPr>
          <w:rFonts w:ascii="Times New Roman" w:hAnsi="Times New Roman"/>
          <w:snapToGrid/>
          <w:sz w:val="24"/>
          <w:szCs w:val="24"/>
        </w:rPr>
        <w:t xml:space="preserve">just </w:t>
      </w:r>
      <w:r w:rsidRPr="003E180D" w:rsidR="00177813">
        <w:rPr>
          <w:rFonts w:ascii="Times New Roman" w:hAnsi="Times New Roman"/>
          <w:snapToGrid/>
          <w:sz w:val="24"/>
          <w:szCs w:val="24"/>
        </w:rPr>
        <w:t>three of the originally approved instruments</w:t>
      </w:r>
      <w:r w:rsidRPr="003E180D" w:rsidR="00E83063">
        <w:rPr>
          <w:rFonts w:ascii="Times New Roman" w:hAnsi="Times New Roman"/>
          <w:snapToGrid/>
          <w:sz w:val="24"/>
          <w:szCs w:val="24"/>
        </w:rPr>
        <w:t xml:space="preserve"> to allow CB to continue to administer data collection instruments and procedures for the Academies and Workshops </w:t>
      </w:r>
      <w:r w:rsidRPr="003E180D">
        <w:rPr>
          <w:rFonts w:ascii="Times New Roman" w:hAnsi="Times New Roman"/>
          <w:snapToGrid/>
          <w:sz w:val="24"/>
          <w:szCs w:val="24"/>
        </w:rPr>
        <w:t xml:space="preserve">that are </w:t>
      </w:r>
      <w:r w:rsidRPr="003E180D" w:rsidR="00E83063">
        <w:rPr>
          <w:rFonts w:ascii="Times New Roman" w:hAnsi="Times New Roman"/>
          <w:snapToGrid/>
          <w:sz w:val="24"/>
          <w:szCs w:val="24"/>
        </w:rPr>
        <w:t xml:space="preserve">provided by </w:t>
      </w:r>
      <w:r w:rsidRPr="003E180D">
        <w:rPr>
          <w:rFonts w:ascii="Times New Roman" w:hAnsi="Times New Roman"/>
          <w:snapToGrid/>
          <w:sz w:val="24"/>
          <w:szCs w:val="24"/>
        </w:rPr>
        <w:t xml:space="preserve">the grant/technical assistance (TA) provider to </w:t>
      </w:r>
      <w:bookmarkStart w:id="1" w:name="_Hlk187842538"/>
      <w:r w:rsidRPr="003E180D">
        <w:rPr>
          <w:rFonts w:ascii="Times New Roman" w:hAnsi="Times New Roman"/>
          <w:snapToGrid/>
          <w:sz w:val="24"/>
          <w:szCs w:val="24"/>
        </w:rPr>
        <w:t>court improvement programs (</w:t>
      </w:r>
      <w:bookmarkEnd w:id="1"/>
      <w:r w:rsidRPr="003E180D">
        <w:rPr>
          <w:rFonts w:ascii="Times New Roman" w:hAnsi="Times New Roman"/>
          <w:snapToGrid/>
          <w:sz w:val="24"/>
          <w:szCs w:val="24"/>
        </w:rPr>
        <w:t xml:space="preserve">CIP) and the legal and judicial community. The </w:t>
      </w:r>
      <w:bookmarkStart w:id="2" w:name="_Hlk187842500"/>
      <w:r w:rsidRPr="003E180D">
        <w:rPr>
          <w:rFonts w:ascii="Times New Roman" w:hAnsi="Times New Roman"/>
          <w:snapToGrid/>
          <w:sz w:val="24"/>
          <w:szCs w:val="24"/>
        </w:rPr>
        <w:t>Center for Legal and Judicial Innovation and Advancement (</w:t>
      </w:r>
      <w:bookmarkEnd w:id="2"/>
      <w:r w:rsidRPr="003E180D" w:rsidR="00E83063">
        <w:rPr>
          <w:rFonts w:ascii="Times New Roman" w:hAnsi="Times New Roman"/>
          <w:snapToGrid/>
          <w:sz w:val="24"/>
          <w:szCs w:val="24"/>
        </w:rPr>
        <w:t>CLJIA</w:t>
      </w:r>
      <w:r w:rsidRPr="003E180D">
        <w:rPr>
          <w:rFonts w:ascii="Times New Roman" w:hAnsi="Times New Roman"/>
          <w:snapToGrid/>
          <w:sz w:val="24"/>
          <w:szCs w:val="24"/>
        </w:rPr>
        <w:t xml:space="preserve">) is the current provider, continuing to </w:t>
      </w:r>
      <w:r w:rsidRPr="003E180D" w:rsidR="00E83063">
        <w:rPr>
          <w:rFonts w:ascii="Times New Roman" w:hAnsi="Times New Roman"/>
          <w:snapToGrid/>
          <w:sz w:val="24"/>
          <w:szCs w:val="24"/>
        </w:rPr>
        <w:t>provide these services</w:t>
      </w:r>
      <w:r w:rsidRPr="003E180D">
        <w:rPr>
          <w:rFonts w:ascii="Times New Roman" w:hAnsi="Times New Roman"/>
          <w:snapToGrid/>
          <w:sz w:val="24"/>
          <w:szCs w:val="24"/>
        </w:rPr>
        <w:t xml:space="preserve">, which were </w:t>
      </w:r>
      <w:r w:rsidRPr="003E180D" w:rsidR="00E83063">
        <w:rPr>
          <w:rFonts w:ascii="Times New Roman" w:hAnsi="Times New Roman"/>
          <w:snapToGrid/>
          <w:sz w:val="24"/>
          <w:szCs w:val="24"/>
        </w:rPr>
        <w:t xml:space="preserve">previously provided by </w:t>
      </w:r>
      <w:r w:rsidRPr="003E180D">
        <w:rPr>
          <w:rFonts w:ascii="Times New Roman" w:hAnsi="Times New Roman"/>
          <w:snapToGrid/>
          <w:sz w:val="24"/>
          <w:szCs w:val="24"/>
        </w:rPr>
        <w:t>the Capacity Building Center for Courts (</w:t>
      </w:r>
      <w:r w:rsidRPr="003E180D" w:rsidR="00E83063">
        <w:rPr>
          <w:rFonts w:ascii="Times New Roman" w:hAnsi="Times New Roman"/>
          <w:snapToGrid/>
          <w:sz w:val="24"/>
          <w:szCs w:val="24"/>
        </w:rPr>
        <w:t xml:space="preserve">CBCC). </w:t>
      </w:r>
    </w:p>
    <w:p w:rsidR="00754BA6" w:rsidRPr="003E180D" w:rsidP="00D7443D" w14:paraId="4D7512CC" w14:textId="77777777">
      <w:pPr>
        <w:widowControl/>
        <w:tabs>
          <w:tab w:val="num" w:pos="360"/>
        </w:tabs>
        <w:ind w:left="360"/>
        <w:rPr>
          <w:rFonts w:ascii="Times New Roman" w:hAnsi="Times New Roman"/>
          <w:snapToGrid/>
          <w:sz w:val="24"/>
          <w:szCs w:val="24"/>
        </w:rPr>
      </w:pPr>
    </w:p>
    <w:p w:rsidR="00790D2C" w:rsidRPr="003E180D" w:rsidP="00754BA6" w14:paraId="398DDEC3" w14:textId="351F1052">
      <w:pPr>
        <w:widowControl/>
        <w:tabs>
          <w:tab w:val="num" w:pos="360"/>
        </w:tabs>
        <w:ind w:left="360"/>
        <w:rPr>
          <w:rFonts w:ascii="Times New Roman" w:hAnsi="Times New Roman"/>
          <w:snapToGrid/>
          <w:sz w:val="24"/>
          <w:szCs w:val="24"/>
        </w:rPr>
      </w:pPr>
      <w:r w:rsidRPr="003E180D">
        <w:rPr>
          <w:rFonts w:ascii="Times New Roman" w:hAnsi="Times New Roman"/>
          <w:snapToGrid/>
          <w:sz w:val="24"/>
          <w:szCs w:val="24"/>
        </w:rPr>
        <w:t>The data collection is necessary to provide ongoing evaluation of the Academies and Workshops to inform continuous quality improvement (CQI) for these ongoing services</w:t>
      </w:r>
      <w:r w:rsidRPr="003E180D" w:rsidR="00754BA6">
        <w:rPr>
          <w:rFonts w:ascii="Times New Roman" w:hAnsi="Times New Roman"/>
          <w:snapToGrid/>
          <w:sz w:val="24"/>
          <w:szCs w:val="24"/>
        </w:rPr>
        <w:t xml:space="preserve">. </w:t>
      </w:r>
      <w:r w:rsidRPr="003E180D" w:rsidR="00177813">
        <w:rPr>
          <w:rFonts w:ascii="Times New Roman" w:hAnsi="Times New Roman"/>
          <w:snapToGrid/>
          <w:sz w:val="24"/>
          <w:szCs w:val="24"/>
        </w:rPr>
        <w:t xml:space="preserve"> </w:t>
      </w:r>
      <w:r w:rsidRPr="003E180D" w:rsidR="00D038CB">
        <w:rPr>
          <w:rFonts w:ascii="Times New Roman" w:hAnsi="Times New Roman"/>
          <w:snapToGrid/>
          <w:sz w:val="24"/>
          <w:szCs w:val="24"/>
        </w:rPr>
        <w:t>The three instruments have not changed except that t</w:t>
      </w:r>
      <w:r w:rsidRPr="003E180D" w:rsidR="00011620">
        <w:rPr>
          <w:rFonts w:ascii="Times New Roman" w:hAnsi="Times New Roman"/>
          <w:snapToGrid/>
          <w:sz w:val="24"/>
          <w:szCs w:val="24"/>
        </w:rPr>
        <w:t xml:space="preserve">he </w:t>
      </w:r>
      <w:r w:rsidRPr="003E180D" w:rsidR="00E97B82">
        <w:rPr>
          <w:rFonts w:ascii="Times New Roman" w:hAnsi="Times New Roman"/>
          <w:snapToGrid/>
          <w:sz w:val="24"/>
          <w:szCs w:val="24"/>
        </w:rPr>
        <w:t xml:space="preserve">name </w:t>
      </w:r>
      <w:r w:rsidRPr="003E180D" w:rsidR="00C06269">
        <w:rPr>
          <w:rFonts w:ascii="Times New Roman" w:hAnsi="Times New Roman"/>
          <w:snapToGrid/>
          <w:sz w:val="24"/>
          <w:szCs w:val="24"/>
        </w:rPr>
        <w:t>of the grant/</w:t>
      </w:r>
      <w:r w:rsidRPr="003E180D" w:rsidR="00E97B82">
        <w:rPr>
          <w:rFonts w:ascii="Times New Roman" w:hAnsi="Times New Roman"/>
          <w:snapToGrid/>
          <w:sz w:val="24"/>
          <w:szCs w:val="24"/>
        </w:rPr>
        <w:t xml:space="preserve">technical assistance provider was </w:t>
      </w:r>
      <w:r w:rsidRPr="003E180D" w:rsidR="006A473A">
        <w:rPr>
          <w:rFonts w:ascii="Times New Roman" w:hAnsi="Times New Roman"/>
          <w:snapToGrid/>
          <w:sz w:val="24"/>
          <w:szCs w:val="24"/>
        </w:rPr>
        <w:t>changed</w:t>
      </w:r>
      <w:r w:rsidRPr="003E180D" w:rsidR="000D6185">
        <w:rPr>
          <w:rFonts w:ascii="Times New Roman" w:hAnsi="Times New Roman"/>
          <w:snapToGrid/>
          <w:sz w:val="24"/>
          <w:szCs w:val="24"/>
        </w:rPr>
        <w:t xml:space="preserve"> from </w:t>
      </w:r>
      <w:r w:rsidRPr="003E180D" w:rsidR="00011620">
        <w:rPr>
          <w:rFonts w:ascii="Times New Roman" w:hAnsi="Times New Roman"/>
          <w:snapToGrid/>
          <w:sz w:val="24"/>
          <w:szCs w:val="24"/>
        </w:rPr>
        <w:t xml:space="preserve">CBCC </w:t>
      </w:r>
      <w:r w:rsidRPr="003E180D" w:rsidR="000D6185">
        <w:rPr>
          <w:rFonts w:ascii="Times New Roman" w:hAnsi="Times New Roman"/>
          <w:snapToGrid/>
          <w:sz w:val="24"/>
          <w:szCs w:val="24"/>
        </w:rPr>
        <w:t xml:space="preserve">to </w:t>
      </w:r>
      <w:r w:rsidRPr="003E180D" w:rsidR="00011620">
        <w:rPr>
          <w:rFonts w:ascii="Times New Roman" w:hAnsi="Times New Roman"/>
          <w:snapToGrid/>
          <w:sz w:val="24"/>
          <w:szCs w:val="24"/>
        </w:rPr>
        <w:t>CLJIA</w:t>
      </w:r>
      <w:r w:rsidRPr="003E180D" w:rsidR="000D6185">
        <w:rPr>
          <w:rFonts w:ascii="Times New Roman" w:hAnsi="Times New Roman"/>
          <w:snapToGrid/>
          <w:sz w:val="24"/>
          <w:szCs w:val="24"/>
        </w:rPr>
        <w:t xml:space="preserve">. </w:t>
      </w:r>
      <w:r w:rsidRPr="003E180D" w:rsidR="00754BA6">
        <w:rPr>
          <w:rFonts w:ascii="Times New Roman" w:hAnsi="Times New Roman"/>
          <w:snapToGrid/>
          <w:sz w:val="24"/>
          <w:szCs w:val="24"/>
        </w:rPr>
        <w:t>Additionally, burden estimates were updated to reflect the estimated number of new service recipients.</w:t>
      </w:r>
    </w:p>
    <w:p w:rsidR="00EC698B" w:rsidRPr="003E180D" w:rsidP="00D7443D" w14:paraId="12A7BA7B" w14:textId="77777777">
      <w:pPr>
        <w:widowControl/>
        <w:tabs>
          <w:tab w:val="num" w:pos="360"/>
        </w:tabs>
        <w:ind w:left="360"/>
        <w:rPr>
          <w:rFonts w:ascii="Times New Roman" w:hAnsi="Times New Roman"/>
          <w:snapToGrid/>
          <w:sz w:val="24"/>
          <w:szCs w:val="24"/>
        </w:rPr>
      </w:pPr>
    </w:p>
    <w:p w:rsidR="00191A88" w:rsidRPr="003E180D" w:rsidP="00151ECA" w14:paraId="7F53A602" w14:textId="7B7946D8">
      <w:pPr>
        <w:widowControl/>
        <w:tabs>
          <w:tab w:val="num" w:pos="360"/>
        </w:tabs>
        <w:ind w:left="360"/>
        <w:rPr>
          <w:rFonts w:ascii="Times New Roman" w:hAnsi="Times New Roman"/>
          <w:snapToGrid/>
          <w:sz w:val="24"/>
          <w:szCs w:val="24"/>
        </w:rPr>
      </w:pPr>
      <w:r w:rsidRPr="003E180D">
        <w:rPr>
          <w:rFonts w:ascii="Times New Roman" w:hAnsi="Times New Roman"/>
          <w:snapToGrid/>
          <w:sz w:val="24"/>
          <w:szCs w:val="24"/>
        </w:rPr>
        <w:t>CLJIA is currently planning new services and evaluation plans</w:t>
      </w:r>
      <w:r w:rsidRPr="003E180D" w:rsidR="00754BA6">
        <w:rPr>
          <w:rFonts w:ascii="Times New Roman" w:hAnsi="Times New Roman"/>
          <w:snapToGrid/>
          <w:sz w:val="24"/>
          <w:szCs w:val="24"/>
        </w:rPr>
        <w:t xml:space="preserve"> and r</w:t>
      </w:r>
      <w:r w:rsidRPr="003E180D" w:rsidR="00E83063">
        <w:rPr>
          <w:rFonts w:ascii="Times New Roman" w:hAnsi="Times New Roman"/>
          <w:snapToGrid/>
          <w:sz w:val="24"/>
          <w:szCs w:val="24"/>
        </w:rPr>
        <w:t>elated information collections that are subject to the Paperwork Reduction Act (PRA)</w:t>
      </w:r>
      <w:r w:rsidRPr="003E180D">
        <w:rPr>
          <w:rFonts w:ascii="Times New Roman" w:hAnsi="Times New Roman"/>
          <w:snapToGrid/>
          <w:sz w:val="24"/>
          <w:szCs w:val="24"/>
        </w:rPr>
        <w:t xml:space="preserve"> will be submitted </w:t>
      </w:r>
      <w:r w:rsidRPr="003E180D" w:rsidR="00E83063">
        <w:rPr>
          <w:rFonts w:ascii="Times New Roman" w:hAnsi="Times New Roman"/>
          <w:snapToGrid/>
          <w:sz w:val="24"/>
          <w:szCs w:val="24"/>
        </w:rPr>
        <w:t xml:space="preserve">through </w:t>
      </w:r>
      <w:r w:rsidRPr="003E180D">
        <w:rPr>
          <w:rFonts w:ascii="Times New Roman" w:hAnsi="Times New Roman"/>
          <w:snapToGrid/>
          <w:sz w:val="24"/>
          <w:szCs w:val="24"/>
        </w:rPr>
        <w:t>a separate OMB I</w:t>
      </w:r>
      <w:r w:rsidRPr="003E180D" w:rsidR="00E83063">
        <w:rPr>
          <w:rFonts w:ascii="Times New Roman" w:hAnsi="Times New Roman"/>
          <w:snapToGrid/>
          <w:sz w:val="24"/>
          <w:szCs w:val="24"/>
        </w:rPr>
        <w:t>CR</w:t>
      </w:r>
      <w:r w:rsidRPr="003E180D" w:rsidR="00754BA6">
        <w:rPr>
          <w:rFonts w:ascii="Times New Roman" w:hAnsi="Times New Roman"/>
          <w:snapToGrid/>
          <w:sz w:val="24"/>
          <w:szCs w:val="24"/>
        </w:rPr>
        <w:t xml:space="preserve"> when ready</w:t>
      </w:r>
      <w:r w:rsidRPr="003E180D">
        <w:rPr>
          <w:rFonts w:ascii="Times New Roman" w:hAnsi="Times New Roman"/>
          <w:snapToGrid/>
          <w:sz w:val="24"/>
          <w:szCs w:val="24"/>
        </w:rPr>
        <w:t xml:space="preserve">. </w:t>
      </w:r>
    </w:p>
    <w:p w:rsidR="009A791A" w:rsidRPr="003E180D" w:rsidP="00191A88" w14:paraId="046526E6" w14:textId="77777777">
      <w:pPr>
        <w:widowControl/>
        <w:tabs>
          <w:tab w:val="num" w:pos="360"/>
        </w:tabs>
        <w:ind w:left="360"/>
        <w:rPr>
          <w:rFonts w:ascii="Times New Roman" w:hAnsi="Times New Roman"/>
          <w:snapToGrid/>
          <w:sz w:val="24"/>
          <w:szCs w:val="24"/>
        </w:rPr>
      </w:pPr>
    </w:p>
    <w:p w:rsidR="009A791A" w:rsidRPr="003E180D" w:rsidP="009A102D" w14:paraId="79D947BD" w14:textId="77777777">
      <w:pPr>
        <w:widowControl/>
        <w:tabs>
          <w:tab w:val="num" w:pos="360"/>
        </w:tabs>
        <w:spacing w:after="60"/>
        <w:ind w:left="360"/>
        <w:rPr>
          <w:rFonts w:ascii="Times New Roman" w:hAnsi="Times New Roman"/>
          <w:i/>
          <w:iCs/>
          <w:snapToGrid/>
          <w:sz w:val="24"/>
          <w:szCs w:val="24"/>
        </w:rPr>
      </w:pPr>
      <w:r w:rsidRPr="003E180D">
        <w:rPr>
          <w:rFonts w:ascii="Times New Roman" w:hAnsi="Times New Roman"/>
          <w:i/>
          <w:iCs/>
          <w:snapToGrid/>
          <w:sz w:val="24"/>
          <w:szCs w:val="24"/>
        </w:rPr>
        <w:t xml:space="preserve">Legislative Background and Purpose </w:t>
      </w:r>
    </w:p>
    <w:p w:rsidR="00A04D20" w:rsidRPr="003E180D" w:rsidP="009A791A" w14:paraId="1DB762EF" w14:textId="1C9E77FF">
      <w:pPr>
        <w:widowControl/>
        <w:tabs>
          <w:tab w:val="num" w:pos="360"/>
        </w:tabs>
        <w:ind w:left="360"/>
        <w:rPr>
          <w:rFonts w:ascii="Times New Roman" w:hAnsi="Times New Roman"/>
          <w:snapToGrid/>
          <w:sz w:val="24"/>
          <w:szCs w:val="24"/>
        </w:rPr>
      </w:pPr>
      <w:r w:rsidRPr="003E180D">
        <w:rPr>
          <w:rFonts w:ascii="Times New Roman" w:hAnsi="Times New Roman"/>
          <w:snapToGrid/>
          <w:sz w:val="24"/>
          <w:szCs w:val="24"/>
        </w:rPr>
        <w:t xml:space="preserve">Agencies that receive formula funding through the Child Abuse Prevention and Treatment Act (CAPTA), and titles IV-B and IV-E of the Social Security Act are eligible for TA from CB to support implementation of these programs, compliance with federal requirements, and improvement of outcomes. The proposed information collection is necessary to perform routine evaluation of quality and effectiveness and to inform future planning and decision making about the provision and improvement of TA services authorized under multiple sections of CAPTA and titles IV-B and IV-E of the Social Security Act. This information collection also complies with the statutory requirement for training projects authorized by Section 5106 of CAPTA to be evaluated for their effectiveness. </w:t>
      </w:r>
      <w:r w:rsidRPr="003E180D" w:rsidR="006E434F">
        <w:rPr>
          <w:rFonts w:ascii="Times New Roman" w:hAnsi="Times New Roman"/>
          <w:snapToGrid/>
          <w:sz w:val="24"/>
          <w:szCs w:val="24"/>
        </w:rPr>
        <w:t>Appendix 1 provides</w:t>
      </w:r>
      <w:r w:rsidRPr="003E180D">
        <w:rPr>
          <w:rFonts w:ascii="Times New Roman" w:hAnsi="Times New Roman"/>
          <w:snapToGrid/>
          <w:sz w:val="24"/>
          <w:szCs w:val="24"/>
        </w:rPr>
        <w:t xml:space="preserve"> a</w:t>
      </w:r>
      <w:r w:rsidRPr="003E180D">
        <w:rPr>
          <w:rFonts w:ascii="Times New Roman" w:hAnsi="Times New Roman"/>
          <w:snapToGrid/>
          <w:sz w:val="24"/>
          <w:szCs w:val="24"/>
        </w:rPr>
        <w:t xml:space="preserve"> copy of the relevant sections of CAPTA as Amended by P.L. 115-424 (Victims of Child Abuse Act Reauthorization Act of 2018)</w:t>
      </w:r>
      <w:r w:rsidRPr="003E180D">
        <w:rPr>
          <w:rFonts w:ascii="Times New Roman" w:hAnsi="Times New Roman"/>
          <w:snapToGrid/>
          <w:sz w:val="24"/>
          <w:szCs w:val="24"/>
        </w:rPr>
        <w:t xml:space="preserve"> and</w:t>
      </w:r>
      <w:r w:rsidRPr="003E180D">
        <w:rPr>
          <w:rFonts w:ascii="Times New Roman" w:hAnsi="Times New Roman"/>
          <w:snapToGrid/>
          <w:sz w:val="24"/>
          <w:szCs w:val="24"/>
        </w:rPr>
        <w:t xml:space="preserve"> the CAPTA Reauthorization Act of 2010. </w:t>
      </w:r>
    </w:p>
    <w:p w:rsidR="00B11D7C" w:rsidRPr="003E180D" w:rsidP="008E7371" w14:paraId="17BD55E5" w14:textId="77777777">
      <w:pPr>
        <w:widowControl/>
        <w:tabs>
          <w:tab w:val="num" w:pos="360"/>
        </w:tabs>
        <w:ind w:left="360"/>
        <w:rPr>
          <w:rFonts w:ascii="Times New Roman" w:hAnsi="Times New Roman"/>
          <w:snapToGrid/>
          <w:sz w:val="24"/>
          <w:szCs w:val="24"/>
        </w:rPr>
      </w:pPr>
    </w:p>
    <w:p w:rsidR="0088352A" w:rsidRPr="003E180D" w:rsidP="0088352A" w14:paraId="2190805F" w14:textId="066E2976">
      <w:pPr>
        <w:widowControl/>
        <w:tabs>
          <w:tab w:val="num" w:pos="360"/>
        </w:tabs>
        <w:ind w:left="360"/>
        <w:rPr>
          <w:rFonts w:ascii="Times New Roman" w:hAnsi="Times New Roman"/>
          <w:snapToGrid/>
          <w:sz w:val="24"/>
          <w:szCs w:val="24"/>
        </w:rPr>
      </w:pPr>
      <w:r w:rsidRPr="003E180D">
        <w:rPr>
          <w:rFonts w:ascii="Times New Roman" w:hAnsi="Times New Roman"/>
          <w:snapToGrid/>
          <w:sz w:val="24"/>
          <w:szCs w:val="24"/>
        </w:rPr>
        <w:t>CIPs</w:t>
      </w:r>
      <w:r w:rsidRPr="003E180D" w:rsidR="008E7371">
        <w:rPr>
          <w:rFonts w:ascii="Times New Roman" w:hAnsi="Times New Roman"/>
          <w:snapToGrid/>
          <w:sz w:val="24"/>
          <w:szCs w:val="24"/>
        </w:rPr>
        <w:t xml:space="preserve">, served by the CLJIA, receive funding </w:t>
      </w:r>
      <w:r w:rsidRPr="003E180D" w:rsidR="00A04D20">
        <w:rPr>
          <w:rFonts w:ascii="Times New Roman" w:hAnsi="Times New Roman"/>
          <w:snapToGrid/>
          <w:sz w:val="24"/>
          <w:szCs w:val="24"/>
        </w:rPr>
        <w:t>authorized by</w:t>
      </w:r>
      <w:r w:rsidRPr="003E180D" w:rsidR="009A791A">
        <w:rPr>
          <w:rFonts w:ascii="Times New Roman" w:hAnsi="Times New Roman"/>
          <w:snapToGrid/>
          <w:sz w:val="24"/>
          <w:szCs w:val="24"/>
        </w:rPr>
        <w:t xml:space="preserve"> Section 438 of the Social Security Act, as amended by Public Law </w:t>
      </w:r>
      <w:r w:rsidRPr="003E180D" w:rsidR="00B873E5">
        <w:rPr>
          <w:rFonts w:ascii="Times New Roman" w:hAnsi="Times New Roman"/>
          <w:snapToGrid/>
          <w:sz w:val="24"/>
          <w:szCs w:val="24"/>
        </w:rPr>
        <w:t>(</w:t>
      </w:r>
      <w:r w:rsidRPr="003E180D">
        <w:rPr>
          <w:rFonts w:ascii="Times New Roman" w:hAnsi="Times New Roman"/>
          <w:snapToGrid/>
          <w:sz w:val="24"/>
          <w:szCs w:val="24"/>
        </w:rPr>
        <w:t>P</w:t>
      </w:r>
      <w:r w:rsidRPr="003E180D" w:rsidR="00B873E5">
        <w:rPr>
          <w:rFonts w:ascii="Times New Roman" w:hAnsi="Times New Roman"/>
          <w:snapToGrid/>
          <w:sz w:val="24"/>
          <w:szCs w:val="24"/>
        </w:rPr>
        <w:t>.</w:t>
      </w:r>
      <w:r w:rsidRPr="003E180D">
        <w:rPr>
          <w:rFonts w:ascii="Times New Roman" w:hAnsi="Times New Roman"/>
          <w:snapToGrid/>
          <w:sz w:val="24"/>
          <w:szCs w:val="24"/>
        </w:rPr>
        <w:t>L</w:t>
      </w:r>
      <w:r w:rsidRPr="003E180D" w:rsidR="00B873E5">
        <w:rPr>
          <w:rFonts w:ascii="Times New Roman" w:hAnsi="Times New Roman"/>
          <w:snapToGrid/>
          <w:sz w:val="24"/>
          <w:szCs w:val="24"/>
        </w:rPr>
        <w:t xml:space="preserve">.) </w:t>
      </w:r>
      <w:r w:rsidRPr="003E180D">
        <w:rPr>
          <w:rFonts w:ascii="Times New Roman" w:hAnsi="Times New Roman"/>
          <w:snapToGrid/>
          <w:sz w:val="24"/>
          <w:szCs w:val="24"/>
        </w:rPr>
        <w:t>118-258</w:t>
      </w:r>
      <w:r w:rsidRPr="003E180D" w:rsidR="00177894">
        <w:rPr>
          <w:rFonts w:ascii="Times New Roman" w:hAnsi="Times New Roman"/>
          <w:snapToGrid/>
          <w:sz w:val="24"/>
          <w:szCs w:val="24"/>
        </w:rPr>
        <w:t>, Section 104 of title I</w:t>
      </w:r>
      <w:r w:rsidRPr="003E180D" w:rsidR="00F255F2">
        <w:rPr>
          <w:rFonts w:ascii="Times New Roman" w:hAnsi="Times New Roman"/>
          <w:snapToGrid/>
          <w:sz w:val="24"/>
          <w:szCs w:val="24"/>
        </w:rPr>
        <w:t xml:space="preserve"> </w:t>
      </w:r>
      <w:r w:rsidRPr="003E180D" w:rsidR="00AD352A">
        <w:rPr>
          <w:rFonts w:ascii="Times New Roman" w:hAnsi="Times New Roman"/>
          <w:snapToGrid/>
          <w:sz w:val="24"/>
          <w:szCs w:val="24"/>
        </w:rPr>
        <w:t xml:space="preserve">of the </w:t>
      </w:r>
      <w:r w:rsidRPr="003E180D">
        <w:rPr>
          <w:rFonts w:ascii="Times New Roman" w:hAnsi="Times New Roman"/>
          <w:snapToGrid/>
          <w:sz w:val="24"/>
          <w:szCs w:val="24"/>
        </w:rPr>
        <w:t>Supporting America’s Children and Families Act</w:t>
      </w:r>
    </w:p>
    <w:p w:rsidR="008E7371" w:rsidRPr="003E180D" w:rsidP="0088352A" w14:paraId="689DBE48" w14:textId="714D174D">
      <w:pPr>
        <w:widowControl/>
        <w:tabs>
          <w:tab w:val="num" w:pos="360"/>
        </w:tabs>
        <w:ind w:left="360"/>
        <w:rPr>
          <w:rFonts w:ascii="Times New Roman" w:hAnsi="Times New Roman"/>
          <w:snapToGrid/>
          <w:sz w:val="24"/>
          <w:szCs w:val="24"/>
        </w:rPr>
      </w:pPr>
      <w:r w:rsidRPr="003E180D">
        <w:rPr>
          <w:rFonts w:ascii="Times New Roman" w:hAnsi="Times New Roman"/>
          <w:snapToGrid/>
          <w:sz w:val="24"/>
          <w:szCs w:val="24"/>
        </w:rPr>
        <w:t>P.L. was signed into law on January 4, 2025</w:t>
      </w:r>
    </w:p>
    <w:p w:rsidR="008E7371" w:rsidRPr="003E180D" w:rsidP="008E7371" w14:paraId="49261F9D" w14:textId="77777777">
      <w:pPr>
        <w:widowControl/>
        <w:tabs>
          <w:tab w:val="num" w:pos="360"/>
        </w:tabs>
        <w:ind w:left="360"/>
        <w:rPr>
          <w:rFonts w:ascii="Times New Roman" w:hAnsi="Times New Roman"/>
          <w:snapToGrid/>
          <w:sz w:val="24"/>
          <w:szCs w:val="24"/>
        </w:rPr>
      </w:pPr>
    </w:p>
    <w:p w:rsidR="00790D2C" w:rsidRPr="003E180D" w:rsidP="00D7443D" w14:paraId="6A4D4BDD" w14:textId="78F2268B">
      <w:pPr>
        <w:widowControl/>
        <w:tabs>
          <w:tab w:val="num" w:pos="360"/>
        </w:tabs>
        <w:ind w:left="360"/>
        <w:rPr>
          <w:rFonts w:ascii="Times New Roman" w:hAnsi="Times New Roman"/>
          <w:snapToGrid/>
          <w:sz w:val="24"/>
          <w:szCs w:val="24"/>
        </w:rPr>
      </w:pPr>
      <w:r w:rsidRPr="003E180D">
        <w:rPr>
          <w:rFonts w:ascii="Times New Roman" w:hAnsi="Times New Roman"/>
          <w:snapToGrid/>
          <w:sz w:val="24"/>
          <w:szCs w:val="24"/>
        </w:rPr>
        <w:t>CLJIA funding is authorized by several statutes</w:t>
      </w:r>
      <w:r w:rsidRPr="003E180D" w:rsidR="00F56793">
        <w:rPr>
          <w:rFonts w:ascii="Times New Roman" w:hAnsi="Times New Roman"/>
          <w:snapToGrid/>
          <w:sz w:val="24"/>
          <w:szCs w:val="24"/>
        </w:rPr>
        <w:t xml:space="preserve">, </w:t>
      </w:r>
      <w:r w:rsidRPr="003E180D" w:rsidR="008E7371">
        <w:rPr>
          <w:rFonts w:ascii="Times New Roman" w:hAnsi="Times New Roman"/>
          <w:snapToGrid/>
          <w:sz w:val="24"/>
          <w:szCs w:val="24"/>
        </w:rPr>
        <w:t xml:space="preserve">including </w:t>
      </w:r>
      <w:r w:rsidRPr="003E180D">
        <w:rPr>
          <w:rFonts w:ascii="Times New Roman" w:hAnsi="Times New Roman"/>
          <w:snapToGrid/>
          <w:sz w:val="24"/>
          <w:szCs w:val="24"/>
        </w:rPr>
        <w:t xml:space="preserve">Child Abuse and Neglect Discretionary Activities - Title I, Section 105(b)(5) of the Child Abuse Prevention and Treatment Act (42 U.S.C. 5106(b)(5)) </w:t>
      </w:r>
      <w:r w:rsidRPr="003E180D" w:rsidR="008E7371">
        <w:rPr>
          <w:rFonts w:ascii="Times New Roman" w:hAnsi="Times New Roman"/>
          <w:snapToGrid/>
          <w:sz w:val="24"/>
          <w:szCs w:val="24"/>
        </w:rPr>
        <w:t xml:space="preserve">and </w:t>
      </w:r>
      <w:r w:rsidRPr="003E180D">
        <w:rPr>
          <w:rFonts w:ascii="Times New Roman" w:hAnsi="Times New Roman"/>
          <w:snapToGrid/>
          <w:sz w:val="24"/>
          <w:szCs w:val="24"/>
        </w:rPr>
        <w:t>Adoption Opportunities - Title II, Section 203(b)(4) of the Child Abuse Prevention and Treatment and Adoption Reform Act of 1978 (42 U.S.C. 5113(b)(4))</w:t>
      </w:r>
      <w:r w:rsidRPr="003E180D" w:rsidR="008E7371">
        <w:rPr>
          <w:rFonts w:ascii="Times New Roman" w:hAnsi="Times New Roman"/>
          <w:snapToGrid/>
          <w:sz w:val="24"/>
          <w:szCs w:val="24"/>
        </w:rPr>
        <w:t>.</w:t>
      </w:r>
    </w:p>
    <w:p w:rsidR="00A26C89" w:rsidRPr="003E180D" w:rsidP="00D7443D" w14:paraId="0C4B6789" w14:textId="77777777">
      <w:pPr>
        <w:widowControl/>
        <w:tabs>
          <w:tab w:val="num" w:pos="360"/>
        </w:tabs>
        <w:ind w:left="360"/>
        <w:rPr>
          <w:rFonts w:ascii="Times New Roman" w:hAnsi="Times New Roman"/>
          <w:snapToGrid/>
          <w:sz w:val="24"/>
          <w:szCs w:val="24"/>
        </w:rPr>
      </w:pPr>
    </w:p>
    <w:p w:rsidR="002C3C4F" w:rsidRPr="003E180D"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3E180D">
        <w:rPr>
          <w:rFonts w:ascii="Times New Roman" w:hAnsi="Times New Roman"/>
          <w:b/>
          <w:snapToGrid/>
          <w:sz w:val="24"/>
          <w:szCs w:val="24"/>
        </w:rPr>
        <w:t>P</w:t>
      </w:r>
      <w:r w:rsidRPr="003E180D">
        <w:rPr>
          <w:rFonts w:ascii="Times New Roman" w:hAnsi="Times New Roman"/>
          <w:b/>
          <w:snapToGrid/>
          <w:sz w:val="24"/>
          <w:szCs w:val="24"/>
        </w:rPr>
        <w:t xml:space="preserve">urpose and Use of the Information Collection </w:t>
      </w:r>
    </w:p>
    <w:p w:rsidR="00C1523D" w:rsidRPr="003E180D" w:rsidP="003E79E5" w14:paraId="37D614B1" w14:textId="3451CDCA">
      <w:pPr>
        <w:widowControl/>
        <w:tabs>
          <w:tab w:val="num" w:pos="360"/>
        </w:tabs>
        <w:ind w:left="360"/>
        <w:rPr>
          <w:rFonts w:ascii="Times New Roman" w:hAnsi="Times New Roman"/>
          <w:snapToGrid/>
          <w:sz w:val="24"/>
          <w:szCs w:val="24"/>
        </w:rPr>
      </w:pPr>
      <w:r w:rsidRPr="003E180D">
        <w:rPr>
          <w:rFonts w:ascii="Times New Roman" w:hAnsi="Times New Roman"/>
          <w:snapToGrid/>
          <w:sz w:val="24"/>
          <w:szCs w:val="24"/>
        </w:rPr>
        <w:t xml:space="preserve">Data collected through this proposed extended information collection will be used by CLJIA and CB for CQI to improve the development and delivery of </w:t>
      </w:r>
      <w:r w:rsidRPr="003E180D" w:rsidR="00AA4AC5">
        <w:rPr>
          <w:rFonts w:ascii="Times New Roman" w:hAnsi="Times New Roman"/>
          <w:snapToGrid/>
          <w:sz w:val="24"/>
          <w:szCs w:val="24"/>
        </w:rPr>
        <w:t>CJLIA</w:t>
      </w:r>
      <w:r w:rsidRPr="003E180D">
        <w:rPr>
          <w:rFonts w:ascii="Times New Roman" w:hAnsi="Times New Roman"/>
          <w:snapToGrid/>
          <w:sz w:val="24"/>
          <w:szCs w:val="24"/>
        </w:rPr>
        <w:t xml:space="preserve"> services</w:t>
      </w:r>
      <w:r w:rsidRPr="003E180D" w:rsidR="005D0779">
        <w:rPr>
          <w:rFonts w:ascii="Times New Roman" w:hAnsi="Times New Roman"/>
          <w:snapToGrid/>
          <w:sz w:val="24"/>
          <w:szCs w:val="24"/>
        </w:rPr>
        <w:t>, specifically the Academies and Workshops</w:t>
      </w:r>
      <w:r w:rsidRPr="003E180D" w:rsidR="003E79E5">
        <w:rPr>
          <w:rFonts w:ascii="Times New Roman" w:hAnsi="Times New Roman"/>
          <w:snapToGrid/>
          <w:sz w:val="24"/>
          <w:szCs w:val="24"/>
        </w:rPr>
        <w:t>. Information is and will continue to be used to</w:t>
      </w:r>
      <w:r w:rsidRPr="003E180D">
        <w:rPr>
          <w:rFonts w:ascii="Times New Roman" w:hAnsi="Times New Roman"/>
          <w:snapToGrid/>
          <w:sz w:val="24"/>
          <w:szCs w:val="24"/>
        </w:rPr>
        <w:t xml:space="preserve"> </w:t>
      </w:r>
      <w:r w:rsidRPr="003E180D" w:rsidR="006141EA">
        <w:rPr>
          <w:rFonts w:ascii="Times New Roman" w:hAnsi="Times New Roman"/>
          <w:snapToGrid/>
          <w:sz w:val="24"/>
          <w:szCs w:val="24"/>
        </w:rPr>
        <w:t xml:space="preserve">assess the </w:t>
      </w:r>
      <w:r w:rsidRPr="003E180D" w:rsidR="005D0779">
        <w:rPr>
          <w:rFonts w:ascii="Times New Roman" w:hAnsi="Times New Roman"/>
          <w:snapToGrid/>
          <w:sz w:val="24"/>
          <w:szCs w:val="24"/>
        </w:rPr>
        <w:t xml:space="preserve">quality, satisfaction with services, and </w:t>
      </w:r>
      <w:r w:rsidRPr="003E180D" w:rsidR="006141EA">
        <w:rPr>
          <w:rFonts w:ascii="Times New Roman" w:hAnsi="Times New Roman"/>
          <w:snapToGrid/>
          <w:sz w:val="24"/>
          <w:szCs w:val="24"/>
        </w:rPr>
        <w:t>impact on</w:t>
      </w:r>
      <w:r w:rsidRPr="003E180D">
        <w:rPr>
          <w:rFonts w:ascii="Times New Roman" w:hAnsi="Times New Roman"/>
          <w:snapToGrid/>
          <w:sz w:val="24"/>
          <w:szCs w:val="24"/>
        </w:rPr>
        <w:t xml:space="preserve"> their intended outcomes</w:t>
      </w:r>
      <w:r w:rsidRPr="003E180D" w:rsidR="007568EF">
        <w:rPr>
          <w:rFonts w:ascii="Times New Roman" w:hAnsi="Times New Roman"/>
          <w:snapToGrid/>
          <w:sz w:val="24"/>
          <w:szCs w:val="24"/>
        </w:rPr>
        <w:t>, including increased knowledge and skills</w:t>
      </w:r>
      <w:r w:rsidRPr="003E180D">
        <w:rPr>
          <w:rFonts w:ascii="Times New Roman" w:hAnsi="Times New Roman"/>
          <w:snapToGrid/>
          <w:sz w:val="24"/>
          <w:szCs w:val="24"/>
        </w:rPr>
        <w:t>. Evaluation findings will help to inform future decision making about service delivery and resource allocation.</w:t>
      </w:r>
      <w:r w:rsidRPr="003E180D" w:rsidR="006141EA">
        <w:rPr>
          <w:rFonts w:ascii="Times New Roman" w:hAnsi="Times New Roman"/>
          <w:snapToGrid/>
          <w:sz w:val="24"/>
          <w:szCs w:val="24"/>
        </w:rPr>
        <w:t xml:space="preserve"> </w:t>
      </w:r>
      <w:r w:rsidRPr="003E180D" w:rsidR="005D0779">
        <w:rPr>
          <w:rFonts w:ascii="Times New Roman" w:hAnsi="Times New Roman"/>
          <w:snapToGrid/>
          <w:sz w:val="24"/>
          <w:szCs w:val="24"/>
        </w:rPr>
        <w:t xml:space="preserve">Findings from </w:t>
      </w:r>
      <w:r w:rsidRPr="003E180D" w:rsidR="00646392">
        <w:rPr>
          <w:rFonts w:ascii="Times New Roman" w:hAnsi="Times New Roman"/>
          <w:snapToGrid/>
          <w:sz w:val="24"/>
          <w:szCs w:val="24"/>
        </w:rPr>
        <w:t>previous</w:t>
      </w:r>
      <w:r w:rsidRPr="003E180D" w:rsidR="005D0779">
        <w:rPr>
          <w:rFonts w:ascii="Times New Roman" w:hAnsi="Times New Roman"/>
          <w:snapToGrid/>
          <w:sz w:val="24"/>
          <w:szCs w:val="24"/>
        </w:rPr>
        <w:t xml:space="preserve"> Academies and Workshops were share</w:t>
      </w:r>
      <w:r w:rsidRPr="003E180D" w:rsidR="00A7178E">
        <w:rPr>
          <w:rFonts w:ascii="Times New Roman" w:hAnsi="Times New Roman"/>
          <w:snapToGrid/>
          <w:sz w:val="24"/>
          <w:szCs w:val="24"/>
        </w:rPr>
        <w:t>d in internal presentation</w:t>
      </w:r>
      <w:r w:rsidRPr="003E180D" w:rsidR="00646392">
        <w:rPr>
          <w:rFonts w:ascii="Times New Roman" w:hAnsi="Times New Roman"/>
          <w:snapToGrid/>
          <w:sz w:val="24"/>
          <w:szCs w:val="24"/>
        </w:rPr>
        <w:t xml:space="preserve">s and </w:t>
      </w:r>
      <w:r w:rsidRPr="003E180D" w:rsidR="00A7178E">
        <w:rPr>
          <w:rFonts w:ascii="Times New Roman" w:hAnsi="Times New Roman"/>
          <w:snapToGrid/>
          <w:sz w:val="24"/>
          <w:szCs w:val="24"/>
        </w:rPr>
        <w:t>evaluation briefs</w:t>
      </w:r>
      <w:r w:rsidRPr="003E180D" w:rsidR="00646392">
        <w:rPr>
          <w:rFonts w:ascii="Times New Roman" w:hAnsi="Times New Roman"/>
          <w:snapToGrid/>
          <w:sz w:val="24"/>
          <w:szCs w:val="24"/>
        </w:rPr>
        <w:t xml:space="preserve"> and submitted to </w:t>
      </w:r>
      <w:r w:rsidRPr="003E180D" w:rsidR="00AA4AC5">
        <w:rPr>
          <w:rFonts w:ascii="Times New Roman" w:hAnsi="Times New Roman"/>
          <w:snapToGrid/>
          <w:sz w:val="24"/>
          <w:szCs w:val="24"/>
        </w:rPr>
        <w:t>CB</w:t>
      </w:r>
      <w:r w:rsidRPr="003E180D" w:rsidR="00646392">
        <w:rPr>
          <w:rFonts w:ascii="Times New Roman" w:hAnsi="Times New Roman"/>
          <w:snapToGrid/>
          <w:sz w:val="24"/>
          <w:szCs w:val="24"/>
        </w:rPr>
        <w:t xml:space="preserve"> </w:t>
      </w:r>
      <w:r w:rsidRPr="003E180D" w:rsidR="00A7178E">
        <w:rPr>
          <w:rFonts w:ascii="Times New Roman" w:hAnsi="Times New Roman"/>
          <w:snapToGrid/>
          <w:sz w:val="24"/>
          <w:szCs w:val="24"/>
        </w:rPr>
        <w:t xml:space="preserve">in semi-annual reports and the </w:t>
      </w:r>
      <w:r w:rsidRPr="003E180D" w:rsidR="00646392">
        <w:rPr>
          <w:rFonts w:ascii="Times New Roman" w:hAnsi="Times New Roman"/>
          <w:i/>
          <w:iCs/>
          <w:snapToGrid/>
          <w:sz w:val="24"/>
          <w:szCs w:val="24"/>
        </w:rPr>
        <w:t>Internal Evaluation of the National Child Welfare Capacity Building Center for Courts: Final Report</w:t>
      </w:r>
      <w:r w:rsidRPr="003E180D" w:rsidR="00646392">
        <w:rPr>
          <w:rFonts w:ascii="Times New Roman" w:hAnsi="Times New Roman"/>
          <w:snapToGrid/>
          <w:sz w:val="24"/>
          <w:szCs w:val="24"/>
        </w:rPr>
        <w:t xml:space="preserve"> (September 2024)</w:t>
      </w:r>
      <w:r w:rsidRPr="003E180D" w:rsidR="00062706">
        <w:rPr>
          <w:rFonts w:ascii="Times New Roman" w:hAnsi="Times New Roman"/>
          <w:snapToGrid/>
          <w:sz w:val="24"/>
          <w:szCs w:val="24"/>
        </w:rPr>
        <w:t xml:space="preserve"> to inform </w:t>
      </w:r>
      <w:r w:rsidRPr="003E180D" w:rsidR="00AA4AC5">
        <w:rPr>
          <w:rFonts w:ascii="Times New Roman" w:hAnsi="Times New Roman"/>
          <w:snapToGrid/>
          <w:sz w:val="24"/>
          <w:szCs w:val="24"/>
        </w:rPr>
        <w:t>CQI</w:t>
      </w:r>
      <w:r w:rsidRPr="003E180D" w:rsidR="00646392">
        <w:rPr>
          <w:rFonts w:ascii="Times New Roman" w:hAnsi="Times New Roman"/>
          <w:snapToGrid/>
          <w:sz w:val="24"/>
          <w:szCs w:val="24"/>
        </w:rPr>
        <w:t>.</w:t>
      </w:r>
      <w:r w:rsidRPr="003E180D" w:rsidR="00A7178E">
        <w:rPr>
          <w:rFonts w:ascii="Times New Roman" w:hAnsi="Times New Roman"/>
          <w:snapToGrid/>
          <w:sz w:val="24"/>
          <w:szCs w:val="24"/>
        </w:rPr>
        <w:t xml:space="preserve"> </w:t>
      </w:r>
      <w:r w:rsidRPr="003E180D" w:rsidR="003E79E5">
        <w:rPr>
          <w:rFonts w:ascii="Times New Roman" w:hAnsi="Times New Roman"/>
          <w:snapToGrid/>
          <w:sz w:val="24"/>
          <w:szCs w:val="24"/>
        </w:rPr>
        <w:t xml:space="preserve">Data collection includes </w:t>
      </w:r>
      <w:r w:rsidRPr="003E180D" w:rsidR="003E79E5">
        <w:rPr>
          <w:rFonts w:ascii="Times New Roman" w:hAnsi="Times New Roman"/>
          <w:snapToGrid/>
          <w:sz w:val="24"/>
          <w:szCs w:val="24"/>
        </w:rPr>
        <w:t>online</w:t>
      </w:r>
      <w:r w:rsidRPr="003E180D" w:rsidR="003E79E5">
        <w:rPr>
          <w:rFonts w:ascii="Times New Roman" w:hAnsi="Times New Roman"/>
          <w:snapToGrid/>
          <w:sz w:val="24"/>
          <w:szCs w:val="24"/>
        </w:rPr>
        <w:t xml:space="preserve"> and paper-based surveys and assessments administered to participants in Academies and Workshops, as described in Table A1.  </w:t>
      </w:r>
    </w:p>
    <w:p w:rsidR="003E79E5" w:rsidRPr="003E180D" w:rsidP="003E79E5" w14:paraId="44F94031" w14:textId="77777777">
      <w:pPr>
        <w:widowControl/>
        <w:tabs>
          <w:tab w:val="num" w:pos="360"/>
        </w:tabs>
        <w:ind w:left="360"/>
        <w:rPr>
          <w:rFonts w:ascii="Times New Roman" w:hAnsi="Times New Roman"/>
          <w:snapToGrid/>
          <w:sz w:val="24"/>
          <w:szCs w:val="24"/>
        </w:rPr>
      </w:pPr>
    </w:p>
    <w:p w:rsidR="00C1523D" w:rsidRPr="003E180D" w:rsidP="006141EA" w14:paraId="4AA4B3E6" w14:textId="6FF42FA8">
      <w:pPr>
        <w:widowControl/>
        <w:tabs>
          <w:tab w:val="num" w:pos="360"/>
        </w:tabs>
        <w:ind w:left="360"/>
        <w:rPr>
          <w:rFonts w:ascii="Times New Roman" w:hAnsi="Times New Roman"/>
          <w:snapToGrid/>
          <w:sz w:val="24"/>
          <w:szCs w:val="24"/>
        </w:rPr>
      </w:pPr>
      <w:r w:rsidRPr="003E180D">
        <w:rPr>
          <w:rFonts w:ascii="Times New Roman" w:hAnsi="Times New Roman"/>
          <w:snapToGrid/>
          <w:sz w:val="24"/>
          <w:szCs w:val="24"/>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A7178E" w:rsidRPr="003E180D" w:rsidP="00015A21" w14:paraId="5405B310" w14:textId="77777777">
      <w:pPr>
        <w:widowControl/>
        <w:tabs>
          <w:tab w:val="num" w:pos="360"/>
        </w:tabs>
        <w:ind w:left="360"/>
        <w:rPr>
          <w:rFonts w:ascii="Times New Roman" w:hAnsi="Times New Roman"/>
          <w:snapToGrid/>
          <w:sz w:val="24"/>
          <w:szCs w:val="24"/>
        </w:rPr>
      </w:pPr>
    </w:p>
    <w:p w:rsidR="006141EA" w:rsidRPr="003E180D" w:rsidP="004C0154" w14:paraId="3EC21BFD" w14:textId="509B7576">
      <w:pPr>
        <w:widowControl/>
        <w:tabs>
          <w:tab w:val="num" w:pos="360"/>
        </w:tabs>
        <w:rPr>
          <w:rFonts w:ascii="Times New Roman" w:hAnsi="Times New Roman"/>
          <w:snapToGrid/>
          <w:sz w:val="24"/>
          <w:szCs w:val="24"/>
        </w:rPr>
      </w:pPr>
      <w:r w:rsidRPr="003E180D">
        <w:rPr>
          <w:rFonts w:ascii="Times New Roman" w:hAnsi="Times New Roman"/>
          <w:snapToGrid/>
          <w:sz w:val="24"/>
          <w:szCs w:val="24"/>
        </w:rPr>
        <w:t>Table A-1. Instrument Description and Administration Details</w:t>
      </w:r>
    </w:p>
    <w:tbl>
      <w:tblPr>
        <w:tblStyle w:val="TableGrid1"/>
        <w:tblW w:w="9265" w:type="dxa"/>
        <w:tblInd w:w="0" w:type="dxa"/>
        <w:tblLook w:val="04A0"/>
      </w:tblPr>
      <w:tblGrid>
        <w:gridCol w:w="1345"/>
        <w:gridCol w:w="5763"/>
        <w:gridCol w:w="2157"/>
      </w:tblGrid>
      <w:tr w14:paraId="02596136" w14:textId="77777777" w:rsidTr="00062706">
        <w:tblPrEx>
          <w:tblW w:w="9265" w:type="dxa"/>
          <w:tblInd w:w="0" w:type="dxa"/>
          <w:tblLook w:val="04A0"/>
        </w:tblPrEx>
        <w:trPr>
          <w:tblHeader/>
        </w:trPr>
        <w:tc>
          <w:tcPr>
            <w:tcW w:w="1345" w:type="dxa"/>
            <w:tcBorders>
              <w:bottom w:val="single" w:sz="12" w:space="0" w:color="auto"/>
            </w:tcBorders>
            <w:shd w:val="clear" w:color="auto" w:fill="D9D9D9"/>
          </w:tcPr>
          <w:p w:rsidR="0017732F" w:rsidRPr="003E180D" w:rsidP="007E52BE" w14:paraId="74824E32" w14:textId="77777777">
            <w:pPr>
              <w:rPr>
                <w:rFonts w:ascii="Times New Roman" w:hAnsi="Times New Roman"/>
                <w:b/>
                <w:bCs/>
                <w:iCs/>
              </w:rPr>
            </w:pPr>
            <w:r w:rsidRPr="003E180D">
              <w:rPr>
                <w:rFonts w:ascii="Times New Roman" w:hAnsi="Times New Roman"/>
                <w:b/>
                <w:bCs/>
                <w:iCs/>
              </w:rPr>
              <w:t>Instrument</w:t>
            </w:r>
          </w:p>
        </w:tc>
        <w:tc>
          <w:tcPr>
            <w:tcW w:w="5763" w:type="dxa"/>
            <w:tcBorders>
              <w:bottom w:val="single" w:sz="12" w:space="0" w:color="auto"/>
            </w:tcBorders>
            <w:shd w:val="clear" w:color="auto" w:fill="D9D9D9"/>
          </w:tcPr>
          <w:p w:rsidR="0017732F" w:rsidRPr="003E180D" w:rsidP="007E52BE" w14:paraId="45FEBAF7" w14:textId="77777777">
            <w:pPr>
              <w:rPr>
                <w:rFonts w:ascii="Times New Roman" w:hAnsi="Times New Roman"/>
                <w:b/>
                <w:bCs/>
                <w:iCs/>
              </w:rPr>
            </w:pPr>
            <w:r w:rsidRPr="003E180D">
              <w:rPr>
                <w:rFonts w:ascii="Times New Roman" w:hAnsi="Times New Roman"/>
                <w:b/>
                <w:bCs/>
                <w:iCs/>
              </w:rPr>
              <w:t>Respondent, Content, Purpose of Collection</w:t>
            </w:r>
          </w:p>
        </w:tc>
        <w:tc>
          <w:tcPr>
            <w:tcW w:w="2157" w:type="dxa"/>
            <w:tcBorders>
              <w:bottom w:val="single" w:sz="12" w:space="0" w:color="auto"/>
            </w:tcBorders>
            <w:shd w:val="clear" w:color="auto" w:fill="D9D9D9"/>
          </w:tcPr>
          <w:p w:rsidR="0017732F" w:rsidRPr="003E180D" w:rsidP="007E52BE" w14:paraId="585777A9" w14:textId="77777777">
            <w:pPr>
              <w:rPr>
                <w:rFonts w:ascii="Times New Roman" w:hAnsi="Times New Roman"/>
                <w:b/>
                <w:bCs/>
                <w:iCs/>
              </w:rPr>
            </w:pPr>
            <w:r w:rsidRPr="003E180D">
              <w:rPr>
                <w:rFonts w:ascii="Times New Roman" w:hAnsi="Times New Roman"/>
                <w:b/>
                <w:bCs/>
                <w:iCs/>
              </w:rPr>
              <w:t>Mode and Frequency</w:t>
            </w:r>
          </w:p>
        </w:tc>
      </w:tr>
      <w:tr w14:paraId="50B18AA7" w14:textId="77777777" w:rsidTr="00062706">
        <w:tblPrEx>
          <w:tblW w:w="9265" w:type="dxa"/>
          <w:tblInd w:w="0" w:type="dxa"/>
          <w:tblLook w:val="04A0"/>
        </w:tblPrEx>
        <w:tc>
          <w:tcPr>
            <w:tcW w:w="1345" w:type="dxa"/>
            <w:tcBorders>
              <w:top w:val="single" w:sz="12" w:space="0" w:color="auto"/>
            </w:tcBorders>
          </w:tcPr>
          <w:p w:rsidR="0017732F" w:rsidRPr="003E180D" w:rsidP="007E52BE" w14:paraId="7182F1EA" w14:textId="77777777">
            <w:pPr>
              <w:rPr>
                <w:rFonts w:ascii="Times New Roman" w:hAnsi="Times New Roman"/>
              </w:rPr>
            </w:pPr>
            <w:r w:rsidRPr="003E180D">
              <w:rPr>
                <w:rFonts w:ascii="Times New Roman" w:hAnsi="Times New Roman"/>
                <w:color w:val="000000"/>
              </w:rPr>
              <w:t>CQI Workshop Feedback Survey</w:t>
            </w:r>
          </w:p>
        </w:tc>
        <w:tc>
          <w:tcPr>
            <w:tcW w:w="5763" w:type="dxa"/>
            <w:tcBorders>
              <w:top w:val="single" w:sz="12" w:space="0" w:color="auto"/>
            </w:tcBorders>
          </w:tcPr>
          <w:p w:rsidR="0017732F" w:rsidRPr="003E180D" w:rsidP="009A102D" w14:paraId="4787949F" w14:textId="77777777">
            <w:pPr>
              <w:keepLines/>
              <w:spacing w:before="40" w:after="40"/>
              <w:rPr>
                <w:rFonts w:ascii="Times New Roman" w:hAnsi="Times New Roman"/>
              </w:rPr>
            </w:pPr>
            <w:r w:rsidRPr="003E180D">
              <w:rPr>
                <w:rFonts w:ascii="Times New Roman" w:hAnsi="Times New Roman"/>
                <w:b/>
              </w:rPr>
              <w:t>Respondents</w:t>
            </w:r>
            <w:r w:rsidRPr="003E180D">
              <w:rPr>
                <w:rFonts w:ascii="Times New Roman" w:hAnsi="Times New Roman"/>
              </w:rPr>
              <w:t>: Child welfare and court professionals</w:t>
            </w:r>
          </w:p>
          <w:p w:rsidR="0017732F" w:rsidRPr="003E180D" w:rsidP="009A102D" w14:paraId="375D5FEB" w14:textId="77777777">
            <w:pPr>
              <w:keepLines/>
              <w:spacing w:before="40" w:after="40"/>
              <w:rPr>
                <w:rFonts w:ascii="Times New Roman" w:hAnsi="Times New Roman"/>
              </w:rPr>
            </w:pPr>
            <w:r w:rsidRPr="003E180D">
              <w:rPr>
                <w:rFonts w:ascii="Times New Roman" w:hAnsi="Times New Roman"/>
                <w:b/>
              </w:rPr>
              <w:t>Content</w:t>
            </w:r>
            <w:r w:rsidRPr="003E180D">
              <w:rPr>
                <w:rFonts w:ascii="Times New Roman" w:hAnsi="Times New Roman"/>
              </w:rPr>
              <w:t>: Questions about satisfaction with the workshop and understanding of the topics covered</w:t>
            </w:r>
          </w:p>
          <w:p w:rsidR="0017732F" w:rsidRPr="003E180D" w:rsidP="009A102D" w14:paraId="660DD297" w14:textId="50648115">
            <w:pPr>
              <w:keepLines/>
              <w:spacing w:before="40" w:after="40"/>
              <w:rPr>
                <w:rFonts w:ascii="Times New Roman" w:hAnsi="Times New Roman"/>
                <w:b/>
              </w:rPr>
            </w:pPr>
            <w:r w:rsidRPr="003E180D">
              <w:rPr>
                <w:rFonts w:ascii="Times New Roman" w:hAnsi="Times New Roman"/>
                <w:b/>
              </w:rPr>
              <w:t>Purpose</w:t>
            </w:r>
            <w:r w:rsidRPr="003E180D">
              <w:rPr>
                <w:rFonts w:ascii="Times New Roman" w:hAnsi="Times New Roman"/>
              </w:rPr>
              <w:t>: T</w:t>
            </w:r>
            <w:r w:rsidRPr="003E180D">
              <w:rPr>
                <w:rFonts w:ascii="Times New Roman" w:hAnsi="Times New Roman"/>
                <w:bCs/>
              </w:rPr>
              <w:t xml:space="preserve">o assess the usefulness of the workshop, participant satisfaction, and perceived knowledge gain, to help </w:t>
            </w:r>
            <w:r w:rsidRPr="003E180D" w:rsidR="00AA4AC5">
              <w:rPr>
                <w:rFonts w:ascii="Times New Roman" w:hAnsi="Times New Roman"/>
                <w:bCs/>
              </w:rPr>
              <w:t>CJLIA</w:t>
            </w:r>
            <w:r w:rsidRPr="003E180D">
              <w:rPr>
                <w:rFonts w:ascii="Times New Roman" w:hAnsi="Times New Roman"/>
                <w:bCs/>
              </w:rPr>
              <w:t xml:space="preserve"> </w:t>
            </w:r>
            <w:r w:rsidRPr="003E180D">
              <w:rPr>
                <w:rFonts w:ascii="Times New Roman" w:hAnsi="Times New Roman"/>
                <w:bCs/>
              </w:rPr>
              <w:t>make adjustments to</w:t>
            </w:r>
            <w:r w:rsidRPr="003E180D">
              <w:rPr>
                <w:rFonts w:ascii="Times New Roman" w:hAnsi="Times New Roman"/>
                <w:bCs/>
              </w:rPr>
              <w:t xml:space="preserve"> improve future workshops</w:t>
            </w:r>
          </w:p>
        </w:tc>
        <w:tc>
          <w:tcPr>
            <w:tcW w:w="2157" w:type="dxa"/>
            <w:tcBorders>
              <w:top w:val="single" w:sz="12" w:space="0" w:color="auto"/>
            </w:tcBorders>
          </w:tcPr>
          <w:p w:rsidR="0017732F" w:rsidRPr="003E180D" w:rsidP="009A102D" w14:paraId="3B54D3C1" w14:textId="77777777">
            <w:pPr>
              <w:spacing w:before="40" w:after="40"/>
              <w:rPr>
                <w:rFonts w:ascii="Times New Roman" w:hAnsi="Times New Roman"/>
              </w:rPr>
            </w:pPr>
            <w:r w:rsidRPr="003E180D">
              <w:rPr>
                <w:rFonts w:ascii="Times New Roman" w:hAnsi="Times New Roman"/>
                <w:b/>
              </w:rPr>
              <w:t>Mode</w:t>
            </w:r>
            <w:r w:rsidRPr="003E180D">
              <w:rPr>
                <w:rFonts w:ascii="Times New Roman" w:hAnsi="Times New Roman"/>
              </w:rPr>
              <w:t>: Paper survey or online survey (for a Virtual Academy)</w:t>
            </w:r>
          </w:p>
          <w:p w:rsidR="0017732F" w:rsidRPr="003E180D" w:rsidP="009A102D" w14:paraId="1C2EC4F8" w14:textId="77777777">
            <w:pPr>
              <w:spacing w:before="40" w:after="40"/>
              <w:rPr>
                <w:rFonts w:ascii="Times New Roman" w:hAnsi="Times New Roman"/>
              </w:rPr>
            </w:pPr>
            <w:r w:rsidRPr="003E180D">
              <w:rPr>
                <w:rFonts w:ascii="Times New Roman" w:hAnsi="Times New Roman"/>
                <w:b/>
              </w:rPr>
              <w:t>Frequency</w:t>
            </w:r>
            <w:r w:rsidRPr="003E180D">
              <w:rPr>
                <w:rFonts w:ascii="Times New Roman" w:hAnsi="Times New Roman"/>
              </w:rPr>
              <w:t>: Once at the end of a CQI workshop</w:t>
            </w:r>
          </w:p>
          <w:p w:rsidR="003E79E5" w:rsidRPr="003E180D" w:rsidP="009A102D" w14:paraId="404C7857" w14:textId="7503C66D">
            <w:pPr>
              <w:spacing w:before="40" w:after="40"/>
              <w:rPr>
                <w:rFonts w:ascii="Times New Roman" w:hAnsi="Times New Roman"/>
                <w:b/>
              </w:rPr>
            </w:pPr>
            <w:r w:rsidRPr="003E180D">
              <w:rPr>
                <w:rFonts w:ascii="Times New Roman" w:hAnsi="Times New Roman"/>
                <w:b/>
              </w:rPr>
              <w:t xml:space="preserve">Duration: </w:t>
            </w:r>
            <w:r w:rsidRPr="003E180D">
              <w:rPr>
                <w:rFonts w:ascii="Times New Roman" w:hAnsi="Times New Roman"/>
                <w:bCs/>
              </w:rPr>
              <w:t>4 min</w:t>
            </w:r>
          </w:p>
        </w:tc>
      </w:tr>
      <w:tr w14:paraId="02311FC0" w14:textId="77777777" w:rsidTr="00062706">
        <w:tblPrEx>
          <w:tblW w:w="9265" w:type="dxa"/>
          <w:tblInd w:w="0" w:type="dxa"/>
          <w:tblLook w:val="04A0"/>
        </w:tblPrEx>
        <w:tc>
          <w:tcPr>
            <w:tcW w:w="1345" w:type="dxa"/>
          </w:tcPr>
          <w:p w:rsidR="0017732F" w:rsidRPr="003E180D" w:rsidP="007E52BE" w14:paraId="46211BD5" w14:textId="77777777">
            <w:pPr>
              <w:rPr>
                <w:rFonts w:ascii="Times New Roman" w:hAnsi="Times New Roman"/>
              </w:rPr>
            </w:pPr>
            <w:r w:rsidRPr="003E180D">
              <w:rPr>
                <w:rFonts w:ascii="Times New Roman" w:hAnsi="Times New Roman"/>
                <w:color w:val="000000"/>
              </w:rPr>
              <w:t>Academy Feedback Survey</w:t>
            </w:r>
          </w:p>
        </w:tc>
        <w:tc>
          <w:tcPr>
            <w:tcW w:w="5763" w:type="dxa"/>
          </w:tcPr>
          <w:p w:rsidR="0017732F" w:rsidRPr="003E180D" w:rsidP="009A102D" w14:paraId="7F359B2F" w14:textId="77777777">
            <w:pPr>
              <w:spacing w:before="40" w:after="40"/>
              <w:rPr>
                <w:rFonts w:ascii="Times New Roman" w:hAnsi="Times New Roman"/>
              </w:rPr>
            </w:pPr>
            <w:r w:rsidRPr="003E180D">
              <w:rPr>
                <w:rFonts w:ascii="Times New Roman" w:hAnsi="Times New Roman"/>
                <w:b/>
              </w:rPr>
              <w:t>Respondents</w:t>
            </w:r>
            <w:r w:rsidRPr="003E180D">
              <w:rPr>
                <w:rFonts w:ascii="Times New Roman" w:hAnsi="Times New Roman"/>
              </w:rPr>
              <w:t>: Child welfare and court professionals</w:t>
            </w:r>
          </w:p>
          <w:p w:rsidR="0017732F" w:rsidRPr="003E180D" w:rsidP="009A102D" w14:paraId="468F4DFD" w14:textId="77777777">
            <w:pPr>
              <w:spacing w:before="40" w:after="40"/>
              <w:rPr>
                <w:rFonts w:ascii="Times New Roman" w:hAnsi="Times New Roman"/>
              </w:rPr>
            </w:pPr>
            <w:r w:rsidRPr="003E180D">
              <w:rPr>
                <w:rFonts w:ascii="Times New Roman" w:hAnsi="Times New Roman"/>
                <w:b/>
              </w:rPr>
              <w:t>Content</w:t>
            </w:r>
            <w:r w:rsidRPr="003E180D">
              <w:rPr>
                <w:rFonts w:ascii="Times New Roman" w:hAnsi="Times New Roman"/>
              </w:rPr>
              <w:t>: Questions about participant satisfaction with the Academy and whether participant experienced gains in knowledge</w:t>
            </w:r>
          </w:p>
          <w:p w:rsidR="0017732F" w:rsidRPr="003E180D" w:rsidP="009A102D" w14:paraId="2AE8E36C" w14:textId="5BF454D7">
            <w:pPr>
              <w:spacing w:before="40" w:after="40"/>
              <w:rPr>
                <w:rFonts w:ascii="Times New Roman" w:hAnsi="Times New Roman"/>
              </w:rPr>
            </w:pPr>
            <w:r w:rsidRPr="003E180D">
              <w:rPr>
                <w:rFonts w:ascii="Times New Roman" w:hAnsi="Times New Roman"/>
                <w:b/>
              </w:rPr>
              <w:t>Purpose</w:t>
            </w:r>
            <w:r w:rsidRPr="003E180D">
              <w:rPr>
                <w:rFonts w:ascii="Times New Roman" w:hAnsi="Times New Roman"/>
              </w:rPr>
              <w:t>: T</w:t>
            </w:r>
            <w:r w:rsidRPr="003E180D">
              <w:rPr>
                <w:rFonts w:ascii="Times New Roman" w:hAnsi="Times New Roman"/>
                <w:bCs/>
              </w:rPr>
              <w:t>o assess participant satisfaction with and perceived knowledge gain from the CLJIA Judicial and Attorney Academies, to inform improvement of future Academies</w:t>
            </w:r>
          </w:p>
        </w:tc>
        <w:tc>
          <w:tcPr>
            <w:tcW w:w="2157" w:type="dxa"/>
          </w:tcPr>
          <w:p w:rsidR="0017732F" w:rsidRPr="003E180D" w:rsidP="009A102D" w14:paraId="43697FA0" w14:textId="77777777">
            <w:pPr>
              <w:spacing w:before="40" w:after="40"/>
              <w:rPr>
                <w:rFonts w:ascii="Times New Roman" w:hAnsi="Times New Roman"/>
              </w:rPr>
            </w:pPr>
            <w:r w:rsidRPr="003E180D">
              <w:rPr>
                <w:rFonts w:ascii="Times New Roman" w:hAnsi="Times New Roman"/>
                <w:b/>
              </w:rPr>
              <w:t>Mode</w:t>
            </w:r>
            <w:r w:rsidRPr="003E180D">
              <w:rPr>
                <w:rFonts w:ascii="Times New Roman" w:hAnsi="Times New Roman"/>
              </w:rPr>
              <w:t>: Paper survey or online survey (for a Virtual Academy)</w:t>
            </w:r>
          </w:p>
          <w:p w:rsidR="0017732F" w:rsidRPr="003E180D" w:rsidP="009A102D" w14:paraId="4F15B86F" w14:textId="77777777">
            <w:pPr>
              <w:spacing w:before="40" w:after="40"/>
              <w:rPr>
                <w:rFonts w:ascii="Times New Roman" w:hAnsi="Times New Roman"/>
              </w:rPr>
            </w:pPr>
            <w:r w:rsidRPr="003E180D">
              <w:rPr>
                <w:rFonts w:ascii="Times New Roman" w:hAnsi="Times New Roman"/>
                <w:b/>
              </w:rPr>
              <w:t>Frequency</w:t>
            </w:r>
            <w:r w:rsidRPr="003E180D">
              <w:rPr>
                <w:rFonts w:ascii="Times New Roman" w:hAnsi="Times New Roman"/>
              </w:rPr>
              <w:t>: Once at the end of the Academy training</w:t>
            </w:r>
          </w:p>
          <w:p w:rsidR="003E79E5" w:rsidRPr="003E180D" w:rsidP="009A102D" w14:paraId="4152025A" w14:textId="2273C42A">
            <w:pPr>
              <w:spacing w:before="40" w:after="40"/>
              <w:rPr>
                <w:rFonts w:ascii="Times New Roman" w:hAnsi="Times New Roman"/>
                <w:b/>
              </w:rPr>
            </w:pPr>
            <w:r w:rsidRPr="003E180D">
              <w:rPr>
                <w:rFonts w:ascii="Times New Roman" w:hAnsi="Times New Roman"/>
                <w:b/>
              </w:rPr>
              <w:t xml:space="preserve">Duration: </w:t>
            </w:r>
            <w:r w:rsidRPr="003E180D">
              <w:rPr>
                <w:rFonts w:ascii="Times New Roman" w:hAnsi="Times New Roman"/>
                <w:bCs/>
              </w:rPr>
              <w:t>4 min</w:t>
            </w:r>
          </w:p>
        </w:tc>
      </w:tr>
      <w:tr w14:paraId="2FC737D3" w14:textId="77777777" w:rsidTr="009A102D">
        <w:tblPrEx>
          <w:tblW w:w="9265" w:type="dxa"/>
          <w:tblInd w:w="0" w:type="dxa"/>
          <w:tblLook w:val="04A0"/>
        </w:tblPrEx>
        <w:tc>
          <w:tcPr>
            <w:tcW w:w="1345" w:type="dxa"/>
          </w:tcPr>
          <w:p w:rsidR="0017732F" w:rsidRPr="003E180D" w:rsidP="007E52BE" w14:paraId="319BAF30" w14:textId="77777777">
            <w:pPr>
              <w:rPr>
                <w:rFonts w:ascii="Times New Roman" w:hAnsi="Times New Roman"/>
              </w:rPr>
            </w:pPr>
            <w:r w:rsidRPr="003E180D">
              <w:rPr>
                <w:rFonts w:ascii="Times New Roman" w:hAnsi="Times New Roman"/>
                <w:color w:val="000000"/>
              </w:rPr>
              <w:t xml:space="preserve">Pre/Post Academy </w:t>
            </w:r>
            <w:r w:rsidRPr="003E180D">
              <w:rPr>
                <w:rFonts w:ascii="Times New Roman" w:hAnsi="Times New Roman"/>
              </w:rPr>
              <w:t xml:space="preserve">Learning </w:t>
            </w:r>
            <w:r w:rsidRPr="003E180D">
              <w:rPr>
                <w:rFonts w:ascii="Times New Roman" w:hAnsi="Times New Roman"/>
                <w:color w:val="000000"/>
              </w:rPr>
              <w:t>Assessment</w:t>
            </w:r>
          </w:p>
        </w:tc>
        <w:tc>
          <w:tcPr>
            <w:tcW w:w="5763" w:type="dxa"/>
            <w:vAlign w:val="center"/>
          </w:tcPr>
          <w:p w:rsidR="0017732F" w:rsidRPr="003E180D" w:rsidP="009A102D" w14:paraId="3C9CA53F" w14:textId="77777777">
            <w:pPr>
              <w:spacing w:before="40" w:after="40"/>
              <w:jc w:val="center"/>
              <w:rPr>
                <w:rFonts w:ascii="Times New Roman" w:hAnsi="Times New Roman"/>
              </w:rPr>
            </w:pPr>
            <w:r w:rsidRPr="003E180D">
              <w:rPr>
                <w:rFonts w:ascii="Times New Roman" w:hAnsi="Times New Roman"/>
                <w:b/>
              </w:rPr>
              <w:t>Respondents</w:t>
            </w:r>
            <w:r w:rsidRPr="003E180D">
              <w:rPr>
                <w:rFonts w:ascii="Times New Roman" w:hAnsi="Times New Roman"/>
              </w:rPr>
              <w:t>: Child welfare and court professionals</w:t>
            </w:r>
          </w:p>
          <w:p w:rsidR="0017732F" w:rsidRPr="003E180D" w:rsidP="009A102D" w14:paraId="607C4670" w14:textId="77777777">
            <w:pPr>
              <w:spacing w:before="40" w:after="40"/>
              <w:jc w:val="center"/>
              <w:rPr>
                <w:rFonts w:ascii="Times New Roman" w:hAnsi="Times New Roman"/>
              </w:rPr>
            </w:pPr>
            <w:r w:rsidRPr="003E180D">
              <w:rPr>
                <w:rFonts w:ascii="Times New Roman" w:hAnsi="Times New Roman"/>
                <w:b/>
              </w:rPr>
              <w:t>Content</w:t>
            </w:r>
            <w:r w:rsidRPr="003E180D">
              <w:rPr>
                <w:rFonts w:ascii="Times New Roman" w:hAnsi="Times New Roman"/>
              </w:rPr>
              <w:t>: Questions that assess knowledge of legal and judicial issues</w:t>
            </w:r>
          </w:p>
          <w:p w:rsidR="0017732F" w:rsidRPr="003E180D" w:rsidP="009A102D" w14:paraId="1A92EA48" w14:textId="3D740BCB">
            <w:pPr>
              <w:spacing w:before="40" w:after="40"/>
              <w:jc w:val="center"/>
              <w:rPr>
                <w:rFonts w:ascii="Times New Roman" w:hAnsi="Times New Roman"/>
                <w:b/>
              </w:rPr>
            </w:pPr>
            <w:r w:rsidRPr="003E180D">
              <w:rPr>
                <w:rFonts w:ascii="Times New Roman" w:hAnsi="Times New Roman"/>
                <w:b/>
              </w:rPr>
              <w:t>Purpose</w:t>
            </w:r>
            <w:r w:rsidRPr="003E180D">
              <w:rPr>
                <w:rFonts w:ascii="Times New Roman" w:hAnsi="Times New Roman"/>
              </w:rPr>
              <w:t>: T</w:t>
            </w:r>
            <w:r w:rsidRPr="003E180D">
              <w:rPr>
                <w:rFonts w:ascii="Times New Roman" w:hAnsi="Times New Roman"/>
                <w:bCs/>
              </w:rPr>
              <w:t>o gauge Academy participants’ knowledge and then provide exposure to material tailored to that knowledge</w:t>
            </w:r>
          </w:p>
        </w:tc>
        <w:tc>
          <w:tcPr>
            <w:tcW w:w="2157" w:type="dxa"/>
          </w:tcPr>
          <w:p w:rsidR="0017732F" w:rsidRPr="003E180D" w:rsidP="009A102D" w14:paraId="1132833B" w14:textId="77777777">
            <w:pPr>
              <w:spacing w:before="40" w:after="40"/>
              <w:rPr>
                <w:rFonts w:ascii="Times New Roman" w:hAnsi="Times New Roman"/>
              </w:rPr>
            </w:pPr>
            <w:r w:rsidRPr="003E180D">
              <w:rPr>
                <w:rFonts w:ascii="Times New Roman" w:hAnsi="Times New Roman"/>
                <w:b/>
              </w:rPr>
              <w:t>Mode</w:t>
            </w:r>
            <w:r w:rsidRPr="003E180D">
              <w:rPr>
                <w:rFonts w:ascii="Times New Roman" w:hAnsi="Times New Roman"/>
              </w:rPr>
              <w:t>: Online module</w:t>
            </w:r>
          </w:p>
          <w:p w:rsidR="0017732F" w:rsidRPr="003E180D" w:rsidP="009A102D" w14:paraId="4D0A1F70" w14:textId="77777777">
            <w:pPr>
              <w:spacing w:before="40" w:after="40"/>
              <w:rPr>
                <w:rFonts w:ascii="Times New Roman" w:hAnsi="Times New Roman"/>
              </w:rPr>
            </w:pPr>
            <w:r w:rsidRPr="003E180D">
              <w:rPr>
                <w:rFonts w:ascii="Times New Roman" w:hAnsi="Times New Roman"/>
                <w:b/>
              </w:rPr>
              <w:t>Frequency</w:t>
            </w:r>
            <w:r w:rsidRPr="003E180D">
              <w:rPr>
                <w:rFonts w:ascii="Times New Roman" w:hAnsi="Times New Roman"/>
              </w:rPr>
              <w:t>: Once at the end of the Academy training</w:t>
            </w:r>
          </w:p>
          <w:p w:rsidR="003E79E5" w:rsidRPr="003E180D" w:rsidP="009A102D" w14:paraId="59E13551" w14:textId="75EEBE8A">
            <w:pPr>
              <w:spacing w:before="40" w:after="40"/>
              <w:rPr>
                <w:rFonts w:ascii="Times New Roman" w:hAnsi="Times New Roman"/>
                <w:b/>
              </w:rPr>
            </w:pPr>
            <w:r w:rsidRPr="003E180D">
              <w:rPr>
                <w:rFonts w:ascii="Times New Roman" w:hAnsi="Times New Roman"/>
                <w:b/>
              </w:rPr>
              <w:t xml:space="preserve">Duration: </w:t>
            </w:r>
            <w:r w:rsidRPr="003E180D">
              <w:rPr>
                <w:rFonts w:ascii="Times New Roman" w:hAnsi="Times New Roman"/>
                <w:bCs/>
              </w:rPr>
              <w:t>13 min</w:t>
            </w:r>
          </w:p>
        </w:tc>
      </w:tr>
    </w:tbl>
    <w:p w:rsidR="00790D2C" w:rsidRPr="003E180D" w:rsidP="007D4C63" w14:paraId="6C3FFD0B" w14:textId="77777777">
      <w:pPr>
        <w:widowControl/>
        <w:tabs>
          <w:tab w:val="num" w:pos="360"/>
        </w:tabs>
        <w:rPr>
          <w:rFonts w:ascii="Times New Roman" w:hAnsi="Times New Roman"/>
          <w:snapToGrid/>
          <w:sz w:val="24"/>
          <w:szCs w:val="24"/>
        </w:rPr>
      </w:pPr>
    </w:p>
    <w:p w:rsidR="002C3C4F" w:rsidRPr="003E180D"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3E180D">
        <w:rPr>
          <w:rFonts w:ascii="Times New Roman" w:hAnsi="Times New Roman"/>
          <w:b/>
          <w:snapToGrid/>
          <w:sz w:val="24"/>
          <w:szCs w:val="24"/>
        </w:rPr>
        <w:t xml:space="preserve">Use of Improved Information Technology and Burden Reduction </w:t>
      </w:r>
    </w:p>
    <w:p w:rsidR="00D60543" w:rsidRPr="003E180D" w:rsidP="009A102D" w14:paraId="5F5541A7" w14:textId="27F55213">
      <w:pPr>
        <w:widowControl/>
        <w:tabs>
          <w:tab w:val="num" w:pos="360"/>
        </w:tabs>
        <w:ind w:left="360"/>
        <w:rPr>
          <w:rFonts w:ascii="Times New Roman" w:hAnsi="Times New Roman"/>
          <w:snapToGrid/>
          <w:sz w:val="24"/>
          <w:szCs w:val="24"/>
        </w:rPr>
      </w:pPr>
      <w:r w:rsidRPr="003E180D">
        <w:rPr>
          <w:rFonts w:ascii="Times New Roman" w:hAnsi="Times New Roman"/>
          <w:snapToGrid/>
          <w:sz w:val="24"/>
          <w:szCs w:val="24"/>
        </w:rPr>
        <w:t>When appropriate, information technology will be used to capture information and reduce burden relative to alternative methods of data collection. Administration of most surveys</w:t>
      </w:r>
      <w:r w:rsidRPr="003E180D" w:rsidR="009E6BB5">
        <w:rPr>
          <w:rFonts w:ascii="Times New Roman" w:hAnsi="Times New Roman"/>
          <w:snapToGrid/>
          <w:sz w:val="24"/>
          <w:szCs w:val="24"/>
        </w:rPr>
        <w:t xml:space="preserve"> and assessments</w:t>
      </w:r>
      <w:r w:rsidRPr="003E180D">
        <w:rPr>
          <w:rFonts w:ascii="Times New Roman" w:hAnsi="Times New Roman"/>
          <w:snapToGrid/>
          <w:sz w:val="24"/>
          <w:szCs w:val="24"/>
        </w:rPr>
        <w:t xml:space="preserve"> will be web-based, creating efficiencies for survey administrators, allowing flexibility and convenience for recipients, and ideally resulting in a user-friendly experience for respondents. </w:t>
      </w:r>
      <w:r w:rsidRPr="003E180D" w:rsidR="009E6BB5">
        <w:rPr>
          <w:rFonts w:ascii="Times New Roman" w:hAnsi="Times New Roman"/>
          <w:snapToGrid/>
          <w:sz w:val="24"/>
          <w:szCs w:val="24"/>
        </w:rPr>
        <w:t>Academy and Workshop</w:t>
      </w:r>
      <w:r w:rsidRPr="003E180D">
        <w:rPr>
          <w:rFonts w:ascii="Times New Roman" w:hAnsi="Times New Roman"/>
          <w:snapToGrid/>
          <w:sz w:val="24"/>
          <w:szCs w:val="24"/>
        </w:rPr>
        <w:t xml:space="preserve"> respondents will receive an email notification inviting them to complete the appropriate survey instrument </w:t>
      </w:r>
      <w:r w:rsidRPr="003E180D" w:rsidR="009E6BB5">
        <w:rPr>
          <w:rFonts w:ascii="Times New Roman" w:hAnsi="Times New Roman"/>
          <w:snapToGrid/>
          <w:sz w:val="24"/>
          <w:szCs w:val="24"/>
        </w:rPr>
        <w:t xml:space="preserve">or assessment module </w:t>
      </w:r>
      <w:r w:rsidRPr="003E180D">
        <w:rPr>
          <w:rFonts w:ascii="Times New Roman" w:hAnsi="Times New Roman"/>
          <w:snapToGrid/>
          <w:sz w:val="24"/>
          <w:szCs w:val="24"/>
        </w:rPr>
        <w:t>by accessing a weblink. Respondents</w:t>
      </w:r>
      <w:r w:rsidRPr="003E180D" w:rsidR="00B91A75">
        <w:rPr>
          <w:rFonts w:ascii="Times New Roman" w:hAnsi="Times New Roman"/>
          <w:snapToGrid/>
          <w:sz w:val="24"/>
          <w:szCs w:val="24"/>
        </w:rPr>
        <w:t xml:space="preserve"> will</w:t>
      </w:r>
      <w:r w:rsidRPr="003E180D">
        <w:rPr>
          <w:rFonts w:ascii="Times New Roman" w:hAnsi="Times New Roman"/>
          <w:snapToGrid/>
          <w:sz w:val="24"/>
          <w:szCs w:val="24"/>
        </w:rPr>
        <w:t xml:space="preserve"> be invited to participate in a survey immediately following the conclusion of a </w:t>
      </w:r>
      <w:r w:rsidRPr="003E180D" w:rsidR="00B91A75">
        <w:rPr>
          <w:rFonts w:ascii="Times New Roman" w:hAnsi="Times New Roman"/>
          <w:snapToGrid/>
          <w:sz w:val="24"/>
          <w:szCs w:val="24"/>
        </w:rPr>
        <w:t xml:space="preserve">Workshop or Academy </w:t>
      </w:r>
      <w:r w:rsidRPr="003E180D" w:rsidR="009E6BB5">
        <w:rPr>
          <w:rFonts w:ascii="Times New Roman" w:hAnsi="Times New Roman"/>
          <w:snapToGrid/>
          <w:sz w:val="24"/>
          <w:szCs w:val="24"/>
        </w:rPr>
        <w:t>by placing the link in the chat</w:t>
      </w:r>
      <w:r w:rsidRPr="003E180D" w:rsidR="00B91A75">
        <w:rPr>
          <w:rFonts w:ascii="Times New Roman" w:hAnsi="Times New Roman"/>
          <w:snapToGrid/>
          <w:sz w:val="24"/>
          <w:szCs w:val="24"/>
        </w:rPr>
        <w:t xml:space="preserve"> (virtual) or providing a QR code (in person)</w:t>
      </w:r>
      <w:r w:rsidRPr="003E180D" w:rsidR="009E6BB5">
        <w:rPr>
          <w:rFonts w:ascii="Times New Roman" w:hAnsi="Times New Roman"/>
          <w:snapToGrid/>
          <w:sz w:val="24"/>
          <w:szCs w:val="24"/>
        </w:rPr>
        <w:t xml:space="preserve">. Most </w:t>
      </w:r>
      <w:r w:rsidRPr="003E180D">
        <w:rPr>
          <w:rFonts w:ascii="Times New Roman" w:hAnsi="Times New Roman"/>
          <w:snapToGrid/>
          <w:sz w:val="24"/>
          <w:szCs w:val="24"/>
        </w:rPr>
        <w:t xml:space="preserve">targeted respondents are expected to be able to access the </w:t>
      </w:r>
      <w:r w:rsidRPr="003E180D" w:rsidR="009E6BB5">
        <w:rPr>
          <w:rFonts w:ascii="Times New Roman" w:hAnsi="Times New Roman"/>
          <w:snapToGrid/>
          <w:sz w:val="24"/>
          <w:szCs w:val="24"/>
        </w:rPr>
        <w:t>web-based</w:t>
      </w:r>
      <w:r w:rsidRPr="003E180D">
        <w:rPr>
          <w:rFonts w:ascii="Times New Roman" w:hAnsi="Times New Roman"/>
          <w:snapToGrid/>
          <w:sz w:val="24"/>
          <w:szCs w:val="24"/>
        </w:rPr>
        <w:t xml:space="preserve"> surveys</w:t>
      </w:r>
      <w:r w:rsidRPr="003E180D" w:rsidR="009E6BB5">
        <w:rPr>
          <w:rFonts w:ascii="Times New Roman" w:hAnsi="Times New Roman"/>
          <w:snapToGrid/>
          <w:sz w:val="24"/>
          <w:szCs w:val="24"/>
        </w:rPr>
        <w:t xml:space="preserve"> and assessments, usually on a computer or on a tablet or phone if preferred</w:t>
      </w:r>
      <w:r w:rsidRPr="003E180D">
        <w:rPr>
          <w:rFonts w:ascii="Times New Roman" w:hAnsi="Times New Roman"/>
          <w:snapToGrid/>
          <w:sz w:val="24"/>
          <w:szCs w:val="24"/>
        </w:rPr>
        <w:t xml:space="preserve">. </w:t>
      </w:r>
      <w:r w:rsidRPr="003E180D" w:rsidR="009E6BB5">
        <w:rPr>
          <w:rFonts w:ascii="Times New Roman" w:hAnsi="Times New Roman"/>
          <w:snapToGrid/>
          <w:sz w:val="24"/>
          <w:szCs w:val="24"/>
        </w:rPr>
        <w:t xml:space="preserve">For in person meetings there will be the option to complete paper surveys instead. </w:t>
      </w:r>
      <w:r w:rsidRPr="003E180D">
        <w:rPr>
          <w:rFonts w:ascii="Times New Roman" w:hAnsi="Times New Roman"/>
          <w:snapToGrid/>
          <w:sz w:val="24"/>
          <w:szCs w:val="24"/>
        </w:rPr>
        <w:t>Most survey questions include closed-ended response items that can be completed quickly</w:t>
      </w:r>
      <w:r w:rsidRPr="003E180D" w:rsidR="009E6BB5">
        <w:rPr>
          <w:rFonts w:ascii="Times New Roman" w:hAnsi="Times New Roman"/>
          <w:snapToGrid/>
          <w:sz w:val="24"/>
          <w:szCs w:val="24"/>
        </w:rPr>
        <w:t>, allowing descriptive and comparative analyses, supplemented with the option to complete several open-ended items</w:t>
      </w:r>
      <w:r w:rsidRPr="003E180D" w:rsidR="00CF7877">
        <w:rPr>
          <w:rFonts w:ascii="Times New Roman" w:hAnsi="Times New Roman"/>
          <w:snapToGrid/>
          <w:sz w:val="24"/>
          <w:szCs w:val="24"/>
        </w:rPr>
        <w:t>, with an</w:t>
      </w:r>
      <w:r w:rsidRPr="003E180D" w:rsidR="009E6BB5">
        <w:rPr>
          <w:rFonts w:ascii="Times New Roman" w:hAnsi="Times New Roman"/>
          <w:snapToGrid/>
          <w:sz w:val="24"/>
          <w:szCs w:val="24"/>
        </w:rPr>
        <w:t xml:space="preserve"> average completion</w:t>
      </w:r>
      <w:r w:rsidRPr="003E180D" w:rsidR="00B91A75">
        <w:rPr>
          <w:rFonts w:ascii="Times New Roman" w:hAnsi="Times New Roman"/>
          <w:snapToGrid/>
          <w:sz w:val="24"/>
          <w:szCs w:val="24"/>
        </w:rPr>
        <w:t xml:space="preserve"> </w:t>
      </w:r>
      <w:r w:rsidRPr="003E180D" w:rsidR="00CF7877">
        <w:rPr>
          <w:rFonts w:ascii="Times New Roman" w:hAnsi="Times New Roman"/>
          <w:snapToGrid/>
          <w:sz w:val="24"/>
          <w:szCs w:val="24"/>
        </w:rPr>
        <w:t>time</w:t>
      </w:r>
      <w:r w:rsidRPr="003E180D" w:rsidR="009E6BB5">
        <w:rPr>
          <w:rFonts w:ascii="Times New Roman" w:hAnsi="Times New Roman"/>
          <w:snapToGrid/>
          <w:sz w:val="24"/>
          <w:szCs w:val="24"/>
        </w:rPr>
        <w:t xml:space="preserve"> within</w:t>
      </w:r>
      <w:r w:rsidRPr="003E180D">
        <w:rPr>
          <w:rFonts w:ascii="Times New Roman" w:hAnsi="Times New Roman"/>
          <w:snapToGrid/>
          <w:sz w:val="24"/>
          <w:szCs w:val="24"/>
        </w:rPr>
        <w:t xml:space="preserve"> </w:t>
      </w:r>
      <w:r w:rsidRPr="003E180D" w:rsidR="00101DD1">
        <w:rPr>
          <w:rFonts w:ascii="Times New Roman" w:hAnsi="Times New Roman"/>
          <w:snapToGrid/>
          <w:sz w:val="24"/>
          <w:szCs w:val="24"/>
        </w:rPr>
        <w:t>4</w:t>
      </w:r>
      <w:r w:rsidRPr="003E180D">
        <w:rPr>
          <w:rFonts w:ascii="Times New Roman" w:hAnsi="Times New Roman"/>
          <w:snapToGrid/>
          <w:sz w:val="24"/>
          <w:szCs w:val="24"/>
        </w:rPr>
        <w:t xml:space="preserve"> minutes</w:t>
      </w:r>
      <w:r w:rsidRPr="003E180D" w:rsidR="009E6BB5">
        <w:rPr>
          <w:rFonts w:ascii="Times New Roman" w:hAnsi="Times New Roman"/>
          <w:snapToGrid/>
          <w:sz w:val="24"/>
          <w:szCs w:val="24"/>
        </w:rPr>
        <w:t xml:space="preserve">.  </w:t>
      </w:r>
      <w:r w:rsidRPr="003E180D" w:rsidR="001C7EE8">
        <w:rPr>
          <w:rFonts w:ascii="Times New Roman" w:hAnsi="Times New Roman"/>
          <w:snapToGrid/>
          <w:sz w:val="24"/>
          <w:szCs w:val="24"/>
        </w:rPr>
        <w:t>Pre/post assessment modules are complete</w:t>
      </w:r>
      <w:r w:rsidRPr="003E180D" w:rsidR="00B91A75">
        <w:rPr>
          <w:rFonts w:ascii="Times New Roman" w:hAnsi="Times New Roman"/>
          <w:snapToGrid/>
          <w:sz w:val="24"/>
          <w:szCs w:val="24"/>
        </w:rPr>
        <w:t>d</w:t>
      </w:r>
      <w:r w:rsidRPr="003E180D" w:rsidR="001C7EE8">
        <w:rPr>
          <w:rFonts w:ascii="Times New Roman" w:hAnsi="Times New Roman"/>
          <w:snapToGrid/>
          <w:sz w:val="24"/>
          <w:szCs w:val="24"/>
        </w:rPr>
        <w:t xml:space="preserve"> online, as part of instructional design, with an average completion time of </w:t>
      </w:r>
      <w:r w:rsidRPr="003E180D" w:rsidR="00101DD1">
        <w:rPr>
          <w:rFonts w:ascii="Times New Roman" w:hAnsi="Times New Roman"/>
          <w:snapToGrid/>
          <w:sz w:val="24"/>
          <w:szCs w:val="24"/>
        </w:rPr>
        <w:t>13</w:t>
      </w:r>
      <w:r w:rsidRPr="003E180D" w:rsidR="001C7EE8">
        <w:rPr>
          <w:rFonts w:ascii="Times New Roman" w:hAnsi="Times New Roman"/>
          <w:snapToGrid/>
          <w:sz w:val="24"/>
          <w:szCs w:val="24"/>
        </w:rPr>
        <w:t xml:space="preserve"> minutes.</w:t>
      </w:r>
    </w:p>
    <w:p w:rsidR="00D60543" w:rsidRPr="003E180D" w:rsidP="00022586" w14:paraId="61323458" w14:textId="77777777">
      <w:pPr>
        <w:widowControl/>
        <w:tabs>
          <w:tab w:val="num" w:pos="360"/>
        </w:tabs>
        <w:ind w:left="360"/>
        <w:rPr>
          <w:rFonts w:ascii="Times New Roman" w:hAnsi="Times New Roman"/>
          <w:snapToGrid/>
          <w:sz w:val="24"/>
          <w:szCs w:val="24"/>
        </w:rPr>
      </w:pPr>
    </w:p>
    <w:p w:rsidR="002C3C4F" w:rsidRPr="003E180D"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3E180D">
        <w:rPr>
          <w:rFonts w:ascii="Times New Roman" w:hAnsi="Times New Roman"/>
          <w:b/>
          <w:snapToGrid/>
          <w:sz w:val="24"/>
          <w:szCs w:val="24"/>
        </w:rPr>
        <w:t xml:space="preserve">Efforts to Identify Duplication and Use of Similar Information </w:t>
      </w:r>
    </w:p>
    <w:p w:rsidR="009F5543" w:rsidRPr="003E180D" w:rsidP="009A102D" w14:paraId="2896C13D" w14:textId="728DDB60">
      <w:pPr>
        <w:widowControl/>
        <w:tabs>
          <w:tab w:val="num" w:pos="360"/>
        </w:tabs>
        <w:ind w:left="360"/>
        <w:rPr>
          <w:rFonts w:ascii="Times New Roman" w:hAnsi="Times New Roman"/>
          <w:snapToGrid/>
          <w:sz w:val="24"/>
          <w:szCs w:val="24"/>
        </w:rPr>
      </w:pPr>
      <w:r w:rsidRPr="003E180D">
        <w:rPr>
          <w:rFonts w:ascii="Times New Roman" w:hAnsi="Times New Roman"/>
          <w:snapToGrid/>
          <w:sz w:val="24"/>
          <w:szCs w:val="24"/>
        </w:rPr>
        <w:t xml:space="preserve">The proposed instruments are intended to uniformly collect data that will allow for the evaluation of </w:t>
      </w:r>
      <w:r w:rsidRPr="003E180D" w:rsidR="009A5F07">
        <w:rPr>
          <w:rFonts w:ascii="Times New Roman" w:hAnsi="Times New Roman"/>
          <w:snapToGrid/>
          <w:sz w:val="24"/>
          <w:szCs w:val="24"/>
        </w:rPr>
        <w:t>CJLIA</w:t>
      </w:r>
      <w:r w:rsidRPr="003E180D" w:rsidR="00E85963">
        <w:rPr>
          <w:rFonts w:ascii="Times New Roman" w:hAnsi="Times New Roman"/>
          <w:snapToGrid/>
          <w:sz w:val="24"/>
          <w:szCs w:val="24"/>
        </w:rPr>
        <w:t xml:space="preserve"> </w:t>
      </w:r>
      <w:r w:rsidRPr="003E180D">
        <w:rPr>
          <w:rFonts w:ascii="Times New Roman" w:hAnsi="Times New Roman"/>
          <w:snapToGrid/>
          <w:sz w:val="24"/>
          <w:szCs w:val="24"/>
        </w:rPr>
        <w:t>Academies and Workshops and related outcomes, and do not duplicate other information collection. The instruments are designed to be brief, minimizing burden to respondents.</w:t>
      </w:r>
    </w:p>
    <w:p w:rsidR="009C2DE1" w:rsidRPr="003E180D" w:rsidP="009A102D" w14:paraId="5BF82A71" w14:textId="77777777">
      <w:pPr>
        <w:widowControl/>
        <w:tabs>
          <w:tab w:val="num" w:pos="360"/>
        </w:tabs>
        <w:rPr>
          <w:rFonts w:ascii="Times New Roman" w:hAnsi="Times New Roman"/>
          <w:snapToGrid/>
          <w:sz w:val="24"/>
          <w:szCs w:val="24"/>
        </w:rPr>
      </w:pPr>
    </w:p>
    <w:p w:rsidR="002C3C4F" w:rsidRPr="003E180D"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3E180D">
        <w:rPr>
          <w:rFonts w:ascii="Times New Roman" w:hAnsi="Times New Roman"/>
          <w:b/>
          <w:snapToGrid/>
          <w:sz w:val="24"/>
          <w:szCs w:val="24"/>
        </w:rPr>
        <w:t xml:space="preserve">Impact on Small Businesses or Other Small Entities </w:t>
      </w:r>
    </w:p>
    <w:p w:rsidR="00D60543" w:rsidRPr="003E180D" w:rsidP="009A102D" w14:paraId="70D79D82" w14:textId="5117A77E">
      <w:pPr>
        <w:widowControl/>
        <w:tabs>
          <w:tab w:val="num" w:pos="360"/>
        </w:tabs>
        <w:rPr>
          <w:rFonts w:ascii="Times New Roman" w:hAnsi="Times New Roman"/>
          <w:snapToGrid/>
          <w:sz w:val="24"/>
          <w:szCs w:val="24"/>
        </w:rPr>
      </w:pPr>
      <w:r w:rsidRPr="003E180D">
        <w:rPr>
          <w:rFonts w:ascii="Times New Roman" w:hAnsi="Times New Roman"/>
          <w:snapToGrid/>
          <w:sz w:val="24"/>
          <w:szCs w:val="24"/>
        </w:rPr>
        <w:tab/>
      </w:r>
      <w:r w:rsidRPr="003E180D" w:rsidR="005A414B">
        <w:rPr>
          <w:rFonts w:ascii="Times New Roman" w:hAnsi="Times New Roman"/>
          <w:snapToGrid/>
          <w:sz w:val="24"/>
          <w:szCs w:val="24"/>
        </w:rPr>
        <w:t>No small businesses will be involved with this information collection.</w:t>
      </w:r>
    </w:p>
    <w:p w:rsidR="00D60543" w:rsidRPr="003E180D" w:rsidP="009A102D" w14:paraId="7A03161C" w14:textId="77777777">
      <w:pPr>
        <w:widowControl/>
        <w:tabs>
          <w:tab w:val="num" w:pos="360"/>
        </w:tabs>
        <w:rPr>
          <w:rFonts w:ascii="Times New Roman" w:hAnsi="Times New Roman"/>
          <w:snapToGrid/>
          <w:sz w:val="24"/>
          <w:szCs w:val="24"/>
        </w:rPr>
      </w:pPr>
    </w:p>
    <w:p w:rsidR="002C3C4F" w:rsidRPr="003E180D"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3E180D">
        <w:rPr>
          <w:rFonts w:ascii="Times New Roman" w:hAnsi="Times New Roman"/>
          <w:b/>
          <w:snapToGrid/>
          <w:sz w:val="24"/>
          <w:szCs w:val="24"/>
        </w:rPr>
        <w:t xml:space="preserve">Consequences of Collecting the Information Less Frequently </w:t>
      </w:r>
    </w:p>
    <w:p w:rsidR="00D60543" w:rsidRPr="003E180D" w:rsidP="00EB742B" w14:paraId="456E0DAC" w14:textId="13176C72">
      <w:pPr>
        <w:widowControl/>
        <w:tabs>
          <w:tab w:val="num" w:pos="360"/>
        </w:tabs>
        <w:ind w:left="360"/>
        <w:rPr>
          <w:rFonts w:ascii="Times New Roman" w:hAnsi="Times New Roman"/>
          <w:snapToGrid/>
          <w:sz w:val="24"/>
          <w:szCs w:val="24"/>
        </w:rPr>
      </w:pPr>
      <w:r w:rsidRPr="003E180D">
        <w:rPr>
          <w:rFonts w:ascii="Times New Roman" w:hAnsi="Times New Roman"/>
          <w:snapToGrid/>
          <w:sz w:val="24"/>
          <w:szCs w:val="24"/>
        </w:rPr>
        <w:t xml:space="preserve">To improve </w:t>
      </w:r>
      <w:r w:rsidRPr="003E180D" w:rsidR="009A5F07">
        <w:rPr>
          <w:rFonts w:ascii="Times New Roman" w:hAnsi="Times New Roman"/>
          <w:snapToGrid/>
          <w:sz w:val="24"/>
          <w:szCs w:val="24"/>
        </w:rPr>
        <w:t>CJLIA</w:t>
      </w:r>
      <w:r w:rsidRPr="003E180D">
        <w:rPr>
          <w:rFonts w:ascii="Times New Roman" w:hAnsi="Times New Roman"/>
          <w:snapToGrid/>
          <w:sz w:val="24"/>
          <w:szCs w:val="24"/>
        </w:rPr>
        <w:t xml:space="preserve"> services</w:t>
      </w:r>
      <w:r w:rsidRPr="003E180D" w:rsidR="00E85963">
        <w:rPr>
          <w:rFonts w:ascii="Times New Roman" w:hAnsi="Times New Roman"/>
          <w:snapToGrid/>
          <w:sz w:val="24"/>
          <w:szCs w:val="24"/>
        </w:rPr>
        <w:t xml:space="preserve"> to</w:t>
      </w:r>
      <w:r w:rsidRPr="003E180D">
        <w:rPr>
          <w:rFonts w:ascii="Times New Roman" w:hAnsi="Times New Roman"/>
          <w:snapToGrid/>
          <w:sz w:val="24"/>
          <w:szCs w:val="24"/>
        </w:rPr>
        <w:t xml:space="preserve"> CIPs and the legal and judicial community, CB and CLJIA need timely data on the services delivered, including the quality of services</w:t>
      </w:r>
      <w:r w:rsidRPr="003E180D" w:rsidR="00550FD0">
        <w:rPr>
          <w:rFonts w:ascii="Times New Roman" w:hAnsi="Times New Roman"/>
          <w:snapToGrid/>
          <w:sz w:val="24"/>
          <w:szCs w:val="24"/>
        </w:rPr>
        <w:t xml:space="preserve"> and </w:t>
      </w:r>
      <w:r w:rsidRPr="003E180D">
        <w:rPr>
          <w:rFonts w:ascii="Times New Roman" w:hAnsi="Times New Roman"/>
          <w:snapToGrid/>
          <w:sz w:val="24"/>
          <w:szCs w:val="24"/>
        </w:rPr>
        <w:t>outcomes</w:t>
      </w:r>
      <w:r w:rsidRPr="003E180D" w:rsidR="00550FD0">
        <w:rPr>
          <w:rFonts w:ascii="Times New Roman" w:hAnsi="Times New Roman"/>
          <w:snapToGrid/>
          <w:sz w:val="24"/>
          <w:szCs w:val="24"/>
        </w:rPr>
        <w:t xml:space="preserve"> (</w:t>
      </w:r>
      <w:r w:rsidRPr="003E180D" w:rsidR="00E85963">
        <w:rPr>
          <w:rFonts w:ascii="Times New Roman" w:hAnsi="Times New Roman"/>
          <w:snapToGrid/>
          <w:sz w:val="24"/>
          <w:szCs w:val="24"/>
        </w:rPr>
        <w:t xml:space="preserve">knowledge gain on assessments and perceptions of increased knowledge, skills and peer connections on </w:t>
      </w:r>
      <w:r w:rsidRPr="003E180D" w:rsidR="00550FD0">
        <w:rPr>
          <w:rFonts w:ascii="Times New Roman" w:hAnsi="Times New Roman"/>
          <w:snapToGrid/>
          <w:sz w:val="24"/>
          <w:szCs w:val="24"/>
        </w:rPr>
        <w:t>surveys)</w:t>
      </w:r>
      <w:r w:rsidRPr="003E180D">
        <w:rPr>
          <w:rFonts w:ascii="Times New Roman" w:hAnsi="Times New Roman"/>
          <w:snapToGrid/>
          <w:sz w:val="24"/>
          <w:szCs w:val="24"/>
        </w:rPr>
        <w:t xml:space="preserve">. Less frequent data collection would inhibit the timely use of the </w:t>
      </w:r>
      <w:r w:rsidRPr="003E180D">
        <w:rPr>
          <w:rFonts w:ascii="Times New Roman" w:hAnsi="Times New Roman"/>
          <w:snapToGrid/>
          <w:sz w:val="24"/>
          <w:szCs w:val="24"/>
        </w:rPr>
        <w:t>information by CB and providers to improve service coordination and service quality and to potentially make decisions about service delivery</w:t>
      </w:r>
      <w:r w:rsidRPr="003E180D" w:rsidR="00550FD0">
        <w:rPr>
          <w:rFonts w:ascii="Times New Roman" w:hAnsi="Times New Roman"/>
          <w:snapToGrid/>
          <w:sz w:val="24"/>
          <w:szCs w:val="24"/>
        </w:rPr>
        <w:t>.</w:t>
      </w:r>
      <w:r w:rsidRPr="003E180D" w:rsidR="00F73B9D">
        <w:rPr>
          <w:rFonts w:ascii="Times New Roman" w:hAnsi="Times New Roman"/>
          <w:snapToGrid/>
          <w:sz w:val="24"/>
          <w:szCs w:val="24"/>
        </w:rPr>
        <w:t xml:space="preserve"> </w:t>
      </w:r>
    </w:p>
    <w:p w:rsidR="00D60543" w:rsidRPr="003E180D" w:rsidP="00022586" w14:paraId="2A0F47DE" w14:textId="77777777">
      <w:pPr>
        <w:widowControl/>
        <w:tabs>
          <w:tab w:val="num" w:pos="360"/>
        </w:tabs>
        <w:ind w:left="360"/>
        <w:rPr>
          <w:rFonts w:ascii="Times New Roman" w:hAnsi="Times New Roman"/>
          <w:snapToGrid/>
          <w:sz w:val="24"/>
          <w:szCs w:val="24"/>
        </w:rPr>
      </w:pPr>
    </w:p>
    <w:p w:rsidR="002C3C4F" w:rsidRPr="003E180D"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3E180D">
        <w:rPr>
          <w:rFonts w:ascii="Times New Roman" w:hAnsi="Times New Roman"/>
          <w:b/>
          <w:snapToGrid/>
          <w:sz w:val="24"/>
          <w:szCs w:val="24"/>
        </w:rPr>
        <w:t xml:space="preserve">Special Circumstances Relating to the Guidelines of 5 CFR 1320.5 </w:t>
      </w:r>
    </w:p>
    <w:p w:rsidR="000270AC" w:rsidRPr="003E180D" w:rsidP="009A102D" w14:paraId="13F57BFB" w14:textId="4378FD4D">
      <w:pPr>
        <w:ind w:firstLine="360"/>
        <w:rPr>
          <w:rFonts w:ascii="Times New Roman" w:hAnsi="Times New Roman"/>
          <w:bCs/>
          <w:sz w:val="24"/>
          <w:szCs w:val="24"/>
        </w:rPr>
      </w:pPr>
      <w:r w:rsidRPr="003E180D">
        <w:rPr>
          <w:rFonts w:ascii="Times New Roman" w:hAnsi="Times New Roman"/>
          <w:snapToGrid/>
          <w:sz w:val="24"/>
          <w:szCs w:val="24"/>
        </w:rPr>
        <w:t>Th</w:t>
      </w:r>
      <w:r w:rsidRPr="003E180D" w:rsidR="00EE7175">
        <w:rPr>
          <w:rFonts w:ascii="Times New Roman" w:hAnsi="Times New Roman"/>
          <w:snapToGrid/>
          <w:sz w:val="24"/>
          <w:szCs w:val="24"/>
        </w:rPr>
        <w:t>ere are no special circumstances relating to the guidelines.</w:t>
      </w:r>
    </w:p>
    <w:p w:rsidR="00DE529D" w:rsidRPr="003E180D" w:rsidP="00022586" w14:paraId="2CFEBB22" w14:textId="77777777">
      <w:pPr>
        <w:widowControl/>
        <w:tabs>
          <w:tab w:val="num" w:pos="360"/>
        </w:tabs>
        <w:ind w:left="360"/>
        <w:rPr>
          <w:rFonts w:ascii="Times New Roman" w:hAnsi="Times New Roman"/>
          <w:snapToGrid/>
          <w:sz w:val="24"/>
          <w:szCs w:val="24"/>
        </w:rPr>
      </w:pPr>
    </w:p>
    <w:p w:rsidR="0051278C" w:rsidRPr="003E180D"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3E180D">
        <w:rPr>
          <w:rFonts w:ascii="Times New Roman" w:hAnsi="Times New Roman"/>
          <w:b/>
          <w:snapToGrid/>
          <w:sz w:val="24"/>
          <w:szCs w:val="24"/>
        </w:rPr>
        <w:t xml:space="preserve">Comments in Response to the Federal Register Notice and Efforts to Consult Outside the Agency </w:t>
      </w:r>
    </w:p>
    <w:p w:rsidR="0084609A" w:rsidRPr="003E180D" w:rsidP="00022586" w14:paraId="016A1F70" w14:textId="0986BBED">
      <w:pPr>
        <w:tabs>
          <w:tab w:val="num" w:pos="360"/>
        </w:tabs>
        <w:ind w:left="360"/>
        <w:rPr>
          <w:rFonts w:ascii="Times New Roman" w:hAnsi="Times New Roman"/>
          <w:sz w:val="24"/>
          <w:szCs w:val="24"/>
        </w:rPr>
      </w:pPr>
      <w:r w:rsidRPr="003E180D">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Pr="003E180D" w:rsidR="00EB742B">
        <w:rPr>
          <w:rFonts w:ascii="Times New Roman" w:hAnsi="Times New Roman"/>
          <w:sz w:val="24"/>
          <w:szCs w:val="24"/>
        </w:rPr>
        <w:t xml:space="preserve">December 30, 2024 (89 FR 106490) and </w:t>
      </w:r>
      <w:r w:rsidRPr="003E180D" w:rsidR="00550FD0">
        <w:rPr>
          <w:rFonts w:ascii="Times New Roman" w:hAnsi="Times New Roman"/>
          <w:sz w:val="24"/>
          <w:szCs w:val="24"/>
        </w:rPr>
        <w:t xml:space="preserve">provided a sixty-day period for public comment. During the notice and comment period, no </w:t>
      </w:r>
      <w:r w:rsidRPr="003E180D" w:rsidR="00516911">
        <w:rPr>
          <w:rFonts w:ascii="Times New Roman" w:hAnsi="Times New Roman"/>
          <w:sz w:val="24"/>
          <w:szCs w:val="24"/>
        </w:rPr>
        <w:t xml:space="preserve">substantive </w:t>
      </w:r>
      <w:r w:rsidRPr="003E180D" w:rsidR="00550FD0">
        <w:rPr>
          <w:rFonts w:ascii="Times New Roman" w:hAnsi="Times New Roman"/>
          <w:sz w:val="24"/>
          <w:szCs w:val="24"/>
        </w:rPr>
        <w:t xml:space="preserve">comments were received. </w:t>
      </w:r>
      <w:r w:rsidRPr="003E180D">
        <w:rPr>
          <w:rFonts w:ascii="Times New Roman" w:hAnsi="Times New Roman"/>
          <w:sz w:val="24"/>
          <w:szCs w:val="24"/>
        </w:rPr>
        <w:t xml:space="preserve"> </w:t>
      </w:r>
    </w:p>
    <w:p w:rsidR="00022586" w:rsidRPr="003E180D" w:rsidP="00022586" w14:paraId="2EDB417E" w14:textId="77777777">
      <w:pPr>
        <w:widowControl/>
        <w:tabs>
          <w:tab w:val="num" w:pos="360"/>
        </w:tabs>
        <w:ind w:left="360"/>
        <w:rPr>
          <w:rFonts w:ascii="Times New Roman" w:hAnsi="Times New Roman"/>
          <w:snapToGrid/>
          <w:sz w:val="24"/>
          <w:szCs w:val="24"/>
        </w:rPr>
      </w:pPr>
    </w:p>
    <w:p w:rsidR="002C3C4F" w:rsidRPr="003E180D"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3E180D">
        <w:rPr>
          <w:rFonts w:ascii="Times New Roman" w:hAnsi="Times New Roman"/>
          <w:b/>
          <w:snapToGrid/>
          <w:sz w:val="24"/>
          <w:szCs w:val="24"/>
        </w:rPr>
        <w:t xml:space="preserve">Explanation of Any Payment or Gift to Respondents </w:t>
      </w:r>
    </w:p>
    <w:p w:rsidR="00D60543" w:rsidRPr="003E180D" w:rsidP="00022586" w14:paraId="07EE3689" w14:textId="1154A9E8">
      <w:pPr>
        <w:widowControl/>
        <w:tabs>
          <w:tab w:val="num" w:pos="360"/>
        </w:tabs>
        <w:ind w:left="360"/>
        <w:rPr>
          <w:rFonts w:ascii="Times New Roman" w:hAnsi="Times New Roman"/>
          <w:snapToGrid/>
          <w:sz w:val="24"/>
          <w:szCs w:val="24"/>
        </w:rPr>
      </w:pPr>
      <w:r w:rsidRPr="003E180D">
        <w:rPr>
          <w:rFonts w:ascii="Times New Roman" w:hAnsi="Times New Roman"/>
          <w:snapToGrid/>
          <w:sz w:val="24"/>
          <w:szCs w:val="24"/>
        </w:rPr>
        <w:t>No payments or gifts to respondents are proposed for this information collection request.</w:t>
      </w:r>
    </w:p>
    <w:p w:rsidR="00D60543" w:rsidRPr="003E180D" w:rsidP="00DE529D" w14:paraId="62113040" w14:textId="77777777">
      <w:pPr>
        <w:widowControl/>
        <w:tabs>
          <w:tab w:val="num" w:pos="360"/>
        </w:tabs>
        <w:ind w:left="360"/>
        <w:rPr>
          <w:rFonts w:ascii="Times New Roman" w:hAnsi="Times New Roman"/>
          <w:snapToGrid/>
          <w:sz w:val="24"/>
          <w:szCs w:val="24"/>
        </w:rPr>
      </w:pPr>
    </w:p>
    <w:p w:rsidR="002C3C4F" w:rsidRPr="003E180D" w:rsidP="009A102D"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3E180D">
        <w:rPr>
          <w:rFonts w:ascii="Times New Roman" w:hAnsi="Times New Roman"/>
          <w:b/>
          <w:bCs/>
          <w:snapToGrid/>
          <w:sz w:val="24"/>
          <w:szCs w:val="24"/>
        </w:rPr>
        <w:t xml:space="preserve">Assurance of Confidentiality Provided to Respondents </w:t>
      </w:r>
    </w:p>
    <w:p w:rsidR="00192877" w:rsidRPr="003E180D" w:rsidP="009A102D" w14:paraId="13272480" w14:textId="3640C05B">
      <w:pPr>
        <w:widowControl/>
        <w:tabs>
          <w:tab w:val="num" w:pos="360"/>
        </w:tabs>
        <w:spacing w:after="60"/>
        <w:ind w:left="360"/>
        <w:rPr>
          <w:rFonts w:ascii="Times New Roman" w:hAnsi="Times New Roman"/>
          <w:i/>
          <w:iCs/>
          <w:snapToGrid/>
          <w:sz w:val="24"/>
          <w:szCs w:val="24"/>
        </w:rPr>
      </w:pPr>
      <w:r w:rsidRPr="003E180D">
        <w:rPr>
          <w:rFonts w:ascii="Times New Roman" w:hAnsi="Times New Roman"/>
          <w:i/>
          <w:iCs/>
          <w:snapToGrid/>
          <w:sz w:val="24"/>
          <w:szCs w:val="24"/>
        </w:rPr>
        <w:t>Personally Identifiable Information</w:t>
      </w:r>
    </w:p>
    <w:p w:rsidR="00192877" w:rsidRPr="003E180D" w:rsidP="00192877" w14:paraId="5BF85C51" w14:textId="11E23678">
      <w:pPr>
        <w:widowControl/>
        <w:tabs>
          <w:tab w:val="num" w:pos="360"/>
        </w:tabs>
        <w:ind w:left="360"/>
        <w:rPr>
          <w:rFonts w:ascii="Times New Roman" w:hAnsi="Times New Roman"/>
          <w:snapToGrid/>
          <w:sz w:val="24"/>
          <w:szCs w:val="24"/>
        </w:rPr>
      </w:pPr>
      <w:r w:rsidRPr="003E180D">
        <w:rPr>
          <w:rFonts w:ascii="Times New Roman" w:hAnsi="Times New Roman"/>
          <w:snapToGrid/>
          <w:sz w:val="24"/>
          <w:szCs w:val="24"/>
        </w:rPr>
        <w:t>O</w:t>
      </w:r>
      <w:r w:rsidRPr="003E180D" w:rsidR="00550FD0">
        <w:rPr>
          <w:rFonts w:ascii="Times New Roman" w:hAnsi="Times New Roman"/>
          <w:snapToGrid/>
          <w:sz w:val="24"/>
          <w:szCs w:val="24"/>
        </w:rPr>
        <w:t xml:space="preserve">nly the Pre/Post Academy Assessment will collect any </w:t>
      </w:r>
      <w:r w:rsidRPr="003E180D">
        <w:rPr>
          <w:rFonts w:ascii="Times New Roman" w:hAnsi="Times New Roman"/>
          <w:snapToGrid/>
          <w:sz w:val="24"/>
          <w:szCs w:val="24"/>
        </w:rPr>
        <w:t>personally identifiable information (</w:t>
      </w:r>
      <w:r w:rsidRPr="003E180D" w:rsidR="00550FD0">
        <w:rPr>
          <w:rFonts w:ascii="Times New Roman" w:hAnsi="Times New Roman"/>
          <w:snapToGrid/>
          <w:sz w:val="24"/>
          <w:szCs w:val="24"/>
        </w:rPr>
        <w:t>PII</w:t>
      </w:r>
      <w:r w:rsidRPr="003E180D">
        <w:rPr>
          <w:rFonts w:ascii="Times New Roman" w:hAnsi="Times New Roman"/>
          <w:snapToGrid/>
          <w:sz w:val="24"/>
          <w:szCs w:val="24"/>
        </w:rPr>
        <w:t>)</w:t>
      </w:r>
      <w:r w:rsidRPr="003E180D" w:rsidR="00550FD0">
        <w:rPr>
          <w:rFonts w:ascii="Times New Roman" w:hAnsi="Times New Roman"/>
          <w:snapToGrid/>
          <w:sz w:val="24"/>
          <w:szCs w:val="24"/>
        </w:rPr>
        <w:t xml:space="preserve">, and that is limited to the </w:t>
      </w:r>
      <w:r w:rsidRPr="003E180D">
        <w:rPr>
          <w:rFonts w:ascii="Times New Roman" w:hAnsi="Times New Roman"/>
          <w:snapToGrid/>
          <w:sz w:val="24"/>
          <w:szCs w:val="24"/>
        </w:rPr>
        <w:t xml:space="preserve">jurisdiction and </w:t>
      </w:r>
      <w:r w:rsidRPr="003E180D" w:rsidR="00550FD0">
        <w:rPr>
          <w:rFonts w:ascii="Times New Roman" w:hAnsi="Times New Roman"/>
          <w:snapToGrid/>
          <w:sz w:val="24"/>
          <w:szCs w:val="24"/>
        </w:rPr>
        <w:t>email address</w:t>
      </w:r>
      <w:r w:rsidRPr="003E180D" w:rsidR="009A5F07">
        <w:rPr>
          <w:rFonts w:ascii="Times New Roman" w:hAnsi="Times New Roman"/>
          <w:snapToGrid/>
          <w:sz w:val="24"/>
          <w:szCs w:val="24"/>
        </w:rPr>
        <w:t xml:space="preserve"> of the respondent</w:t>
      </w:r>
      <w:r w:rsidRPr="003E180D" w:rsidR="00550FD0">
        <w:rPr>
          <w:rFonts w:ascii="Times New Roman" w:hAnsi="Times New Roman"/>
          <w:snapToGrid/>
          <w:sz w:val="24"/>
          <w:szCs w:val="24"/>
        </w:rPr>
        <w:t>.</w:t>
      </w:r>
      <w:r w:rsidRPr="003E180D">
        <w:rPr>
          <w:rFonts w:ascii="Times New Roman" w:hAnsi="Times New Roman"/>
          <w:snapToGrid/>
          <w:sz w:val="24"/>
          <w:szCs w:val="24"/>
        </w:rPr>
        <w:t xml:space="preserve"> This information is collected as part of the instructional module, allowing responses to pre- and post-tests to be linked and providing the respondent with access to their scores and instructional material for each item. Jurisdiction data</w:t>
      </w:r>
      <w:r w:rsidRPr="003E180D" w:rsidR="00E40EA0">
        <w:rPr>
          <w:rFonts w:ascii="Times New Roman" w:hAnsi="Times New Roman"/>
          <w:snapToGrid/>
          <w:sz w:val="24"/>
          <w:szCs w:val="24"/>
        </w:rPr>
        <w:t xml:space="preserve"> is only collected via the name of the event (and not collected for regional events) and</w:t>
      </w:r>
      <w:r w:rsidRPr="003E180D">
        <w:rPr>
          <w:rFonts w:ascii="Times New Roman" w:hAnsi="Times New Roman"/>
          <w:snapToGrid/>
          <w:sz w:val="24"/>
          <w:szCs w:val="24"/>
        </w:rPr>
        <w:t xml:space="preserve"> </w:t>
      </w:r>
      <w:r w:rsidRPr="003E180D" w:rsidR="00550FD0">
        <w:rPr>
          <w:rFonts w:ascii="Times New Roman" w:hAnsi="Times New Roman"/>
          <w:snapToGrid/>
          <w:sz w:val="24"/>
          <w:szCs w:val="24"/>
        </w:rPr>
        <w:t>will be used in analyses to explore variations in findings.</w:t>
      </w:r>
    </w:p>
    <w:p w:rsidR="00550FD0" w:rsidRPr="003E180D" w:rsidP="00192877" w14:paraId="121DB09C" w14:textId="300C1E6F">
      <w:pPr>
        <w:widowControl/>
        <w:tabs>
          <w:tab w:val="num" w:pos="360"/>
        </w:tabs>
        <w:ind w:left="360"/>
        <w:rPr>
          <w:rFonts w:ascii="Times New Roman" w:hAnsi="Times New Roman"/>
          <w:snapToGrid/>
          <w:sz w:val="24"/>
          <w:szCs w:val="24"/>
        </w:rPr>
      </w:pPr>
      <w:r w:rsidRPr="003E180D">
        <w:rPr>
          <w:rFonts w:ascii="Times New Roman" w:hAnsi="Times New Roman"/>
          <w:snapToGrid/>
          <w:sz w:val="24"/>
          <w:szCs w:val="24"/>
        </w:rPr>
        <w:t xml:space="preserve"> </w:t>
      </w:r>
    </w:p>
    <w:p w:rsidR="00D60543" w:rsidRPr="003E180D" w:rsidP="00183AD6" w14:paraId="2748236F" w14:textId="5322C522">
      <w:pPr>
        <w:widowControl/>
        <w:tabs>
          <w:tab w:val="num" w:pos="360"/>
        </w:tabs>
        <w:ind w:left="360"/>
        <w:rPr>
          <w:rFonts w:ascii="Times New Roman" w:hAnsi="Times New Roman"/>
          <w:snapToGrid/>
          <w:sz w:val="24"/>
          <w:szCs w:val="24"/>
        </w:rPr>
      </w:pPr>
      <w:r w:rsidRPr="003E180D">
        <w:rPr>
          <w:rFonts w:ascii="Times New Roman" w:hAnsi="Times New Roman"/>
          <w:snapToGrid/>
          <w:sz w:val="24"/>
          <w:szCs w:val="24"/>
        </w:rPr>
        <w:t>All PII collected by the C</w:t>
      </w:r>
      <w:r w:rsidRPr="003E180D" w:rsidR="009A5F07">
        <w:rPr>
          <w:rFonts w:ascii="Times New Roman" w:hAnsi="Times New Roman"/>
          <w:snapToGrid/>
          <w:sz w:val="24"/>
          <w:szCs w:val="24"/>
        </w:rPr>
        <w:t>LJIA</w:t>
      </w:r>
      <w:r w:rsidRPr="003E180D">
        <w:rPr>
          <w:rFonts w:ascii="Times New Roman" w:hAnsi="Times New Roman"/>
          <w:snapToGrid/>
          <w:sz w:val="24"/>
          <w:szCs w:val="24"/>
        </w:rPr>
        <w:t xml:space="preserve"> evaluation team will be kept private and secure. Only the evaluation team</w:t>
      </w:r>
      <w:r w:rsidRPr="003E180D" w:rsidR="003C074B">
        <w:rPr>
          <w:rFonts w:ascii="Times New Roman" w:hAnsi="Times New Roman"/>
          <w:snapToGrid/>
          <w:sz w:val="24"/>
          <w:szCs w:val="24"/>
        </w:rPr>
        <w:t xml:space="preserve"> and module administrator</w:t>
      </w:r>
      <w:r w:rsidRPr="003E180D">
        <w:rPr>
          <w:rFonts w:ascii="Times New Roman" w:hAnsi="Times New Roman"/>
          <w:snapToGrid/>
          <w:sz w:val="24"/>
          <w:szCs w:val="24"/>
        </w:rPr>
        <w:t xml:space="preserve"> will have access to identifiers such as email address for purpose of </w:t>
      </w:r>
      <w:r w:rsidRPr="003E180D" w:rsidR="00153EA7">
        <w:rPr>
          <w:rFonts w:ascii="Times New Roman" w:hAnsi="Times New Roman"/>
          <w:snapToGrid/>
          <w:sz w:val="24"/>
          <w:szCs w:val="24"/>
        </w:rPr>
        <w:t>the assessment</w:t>
      </w:r>
      <w:r w:rsidRPr="003E180D">
        <w:rPr>
          <w:rFonts w:ascii="Times New Roman" w:hAnsi="Times New Roman"/>
          <w:snapToGrid/>
          <w:sz w:val="24"/>
          <w:szCs w:val="24"/>
        </w:rPr>
        <w:t xml:space="preserve">. </w:t>
      </w:r>
      <w:r w:rsidRPr="003E180D" w:rsidR="00192877">
        <w:rPr>
          <w:rFonts w:ascii="Times New Roman" w:hAnsi="Times New Roman"/>
          <w:snapToGrid/>
          <w:sz w:val="24"/>
          <w:szCs w:val="24"/>
        </w:rPr>
        <w:t>E</w:t>
      </w:r>
      <w:r w:rsidRPr="003E180D">
        <w:rPr>
          <w:rFonts w:ascii="Times New Roman" w:hAnsi="Times New Roman"/>
          <w:snapToGrid/>
          <w:sz w:val="24"/>
          <w:szCs w:val="24"/>
        </w:rPr>
        <w:t xml:space="preserve">valuators will </w:t>
      </w:r>
      <w:r w:rsidRPr="003E180D" w:rsidR="00153EA7">
        <w:rPr>
          <w:rFonts w:ascii="Times New Roman" w:hAnsi="Times New Roman"/>
          <w:snapToGrid/>
          <w:sz w:val="24"/>
          <w:szCs w:val="24"/>
        </w:rPr>
        <w:t xml:space="preserve">download and de-identify the pre/post data, replacing email addresses with numeric identifiers, and store the data </w:t>
      </w:r>
      <w:r w:rsidRPr="003E180D">
        <w:rPr>
          <w:rFonts w:ascii="Times New Roman" w:hAnsi="Times New Roman"/>
          <w:snapToGrid/>
          <w:sz w:val="24"/>
          <w:szCs w:val="24"/>
        </w:rPr>
        <w:t xml:space="preserve">in password protected, secure data systems to ensure privacy. </w:t>
      </w:r>
      <w:r w:rsidRPr="003E180D" w:rsidR="00153EA7">
        <w:rPr>
          <w:rFonts w:ascii="Times New Roman" w:hAnsi="Times New Roman"/>
          <w:snapToGrid/>
          <w:sz w:val="24"/>
          <w:szCs w:val="24"/>
        </w:rPr>
        <w:t>De-identified data will be analyzed, and i</w:t>
      </w:r>
      <w:r w:rsidRPr="003E180D">
        <w:rPr>
          <w:rFonts w:ascii="Times New Roman" w:hAnsi="Times New Roman"/>
          <w:snapToGrid/>
          <w:sz w:val="24"/>
          <w:szCs w:val="24"/>
        </w:rPr>
        <w:t>dentifiers will not be used in any evaluation reporting.</w:t>
      </w:r>
      <w:r w:rsidRPr="003E180D" w:rsidR="00183AD6">
        <w:rPr>
          <w:rFonts w:ascii="Times New Roman" w:hAnsi="Times New Roman"/>
          <w:snapToGrid/>
          <w:sz w:val="24"/>
          <w:szCs w:val="24"/>
        </w:rPr>
        <w:t xml:space="preserve"> </w:t>
      </w:r>
    </w:p>
    <w:p w:rsidR="00D60543" w:rsidRPr="003E180D" w:rsidP="00022586" w14:paraId="15840E9A" w14:textId="77777777">
      <w:pPr>
        <w:widowControl/>
        <w:tabs>
          <w:tab w:val="num" w:pos="360"/>
        </w:tabs>
        <w:ind w:left="360"/>
        <w:rPr>
          <w:rFonts w:ascii="Times New Roman" w:hAnsi="Times New Roman"/>
          <w:snapToGrid/>
          <w:sz w:val="24"/>
          <w:szCs w:val="24"/>
        </w:rPr>
      </w:pPr>
    </w:p>
    <w:p w:rsidR="00192877" w:rsidRPr="003E180D" w:rsidP="009A102D" w14:paraId="4E19858D" w14:textId="35917388">
      <w:pPr>
        <w:widowControl/>
        <w:tabs>
          <w:tab w:val="num" w:pos="360"/>
        </w:tabs>
        <w:spacing w:after="60"/>
        <w:ind w:left="360"/>
        <w:rPr>
          <w:rFonts w:ascii="Times New Roman" w:hAnsi="Times New Roman"/>
          <w:i/>
          <w:iCs/>
          <w:snapToGrid/>
          <w:sz w:val="24"/>
          <w:szCs w:val="24"/>
        </w:rPr>
      </w:pPr>
      <w:r w:rsidRPr="003E180D">
        <w:rPr>
          <w:rFonts w:ascii="Times New Roman" w:hAnsi="Times New Roman"/>
          <w:i/>
          <w:iCs/>
          <w:snapToGrid/>
          <w:sz w:val="24"/>
          <w:szCs w:val="24"/>
        </w:rPr>
        <w:t>Assurances of Privacy</w:t>
      </w:r>
    </w:p>
    <w:p w:rsidR="00192877" w:rsidRPr="003E180D" w:rsidP="00183AD6" w14:paraId="5A826A64" w14:textId="62F1D00E">
      <w:pPr>
        <w:widowControl/>
        <w:tabs>
          <w:tab w:val="num" w:pos="360"/>
        </w:tabs>
        <w:ind w:left="360"/>
        <w:rPr>
          <w:rFonts w:ascii="Times New Roman" w:hAnsi="Times New Roman"/>
          <w:snapToGrid/>
          <w:sz w:val="24"/>
          <w:szCs w:val="24"/>
        </w:rPr>
      </w:pPr>
      <w:r w:rsidRPr="003E180D">
        <w:rPr>
          <w:rFonts w:ascii="Times New Roman" w:hAnsi="Times New Roman"/>
          <w:snapToGrid/>
          <w:sz w:val="24"/>
          <w:szCs w:val="24"/>
        </w:rPr>
        <w:t>Information collected will be kept private to the extent permitted by law. Respondents will be informed of all planned uses of data, that their participation is voluntary, and that their information will be kept private to the extent permitted by law. As specified in the contract, the Contractor will comply with all Federal and Departmental regulations for private information.</w:t>
      </w:r>
    </w:p>
    <w:p w:rsidR="00192877" w:rsidRPr="003E180D" w:rsidP="00192877" w14:paraId="58387011" w14:textId="77777777">
      <w:pPr>
        <w:widowControl/>
        <w:tabs>
          <w:tab w:val="num" w:pos="360"/>
        </w:tabs>
        <w:ind w:left="360"/>
        <w:rPr>
          <w:rFonts w:ascii="Times New Roman" w:hAnsi="Times New Roman"/>
          <w:snapToGrid/>
          <w:sz w:val="24"/>
          <w:szCs w:val="24"/>
        </w:rPr>
      </w:pPr>
    </w:p>
    <w:p w:rsidR="00192877" w:rsidRPr="003E180D" w:rsidP="009A102D" w14:paraId="0830320B" w14:textId="77777777">
      <w:pPr>
        <w:widowControl/>
        <w:tabs>
          <w:tab w:val="num" w:pos="360"/>
        </w:tabs>
        <w:spacing w:after="60"/>
        <w:ind w:left="360"/>
        <w:rPr>
          <w:rFonts w:ascii="Times New Roman" w:hAnsi="Times New Roman"/>
          <w:i/>
          <w:iCs/>
          <w:snapToGrid/>
          <w:sz w:val="24"/>
          <w:szCs w:val="24"/>
        </w:rPr>
      </w:pPr>
      <w:r w:rsidRPr="003E180D">
        <w:rPr>
          <w:rFonts w:ascii="Times New Roman" w:hAnsi="Times New Roman"/>
          <w:i/>
          <w:iCs/>
          <w:snapToGrid/>
          <w:sz w:val="24"/>
          <w:szCs w:val="24"/>
        </w:rPr>
        <w:t>Data Security and Monitoring</w:t>
      </w:r>
    </w:p>
    <w:p w:rsidR="003D391B" w:rsidRPr="003E180D" w:rsidP="001A2F29" w14:paraId="11B2FC39" w14:textId="608BE164">
      <w:pPr>
        <w:widowControl/>
        <w:tabs>
          <w:tab w:val="num" w:pos="360"/>
        </w:tabs>
        <w:ind w:left="360"/>
        <w:rPr>
          <w:rFonts w:ascii="Times New Roman" w:hAnsi="Times New Roman"/>
          <w:snapToGrid/>
          <w:sz w:val="24"/>
          <w:szCs w:val="24"/>
        </w:rPr>
      </w:pPr>
      <w:r w:rsidRPr="003E180D">
        <w:rPr>
          <w:rFonts w:ascii="Times New Roman" w:hAnsi="Times New Roman"/>
          <w:snapToGrid/>
          <w:sz w:val="24"/>
          <w:szCs w:val="24"/>
        </w:rPr>
        <w:t>Westat</w:t>
      </w:r>
      <w:r w:rsidRPr="003E180D">
        <w:rPr>
          <w:rFonts w:ascii="Times New Roman" w:hAnsi="Times New Roman"/>
          <w:snapToGrid/>
          <w:sz w:val="24"/>
          <w:szCs w:val="24"/>
        </w:rPr>
        <w:t xml:space="preserve">, </w:t>
      </w:r>
      <w:r w:rsidRPr="003E180D" w:rsidR="00B62DB1">
        <w:rPr>
          <w:rFonts w:ascii="Times New Roman" w:hAnsi="Times New Roman"/>
          <w:snapToGrid/>
          <w:sz w:val="24"/>
          <w:szCs w:val="24"/>
        </w:rPr>
        <w:t xml:space="preserve">CLJIA’s </w:t>
      </w:r>
      <w:r w:rsidRPr="003E180D">
        <w:rPr>
          <w:rFonts w:ascii="Times New Roman" w:hAnsi="Times New Roman"/>
          <w:snapToGrid/>
          <w:sz w:val="24"/>
          <w:szCs w:val="24"/>
        </w:rPr>
        <w:t>evaluation contractor,</w:t>
      </w:r>
      <w:r w:rsidRPr="003E180D" w:rsidR="00192877">
        <w:rPr>
          <w:rFonts w:ascii="Times New Roman" w:hAnsi="Times New Roman"/>
          <w:snapToGrid/>
          <w:sz w:val="24"/>
          <w:szCs w:val="24"/>
        </w:rPr>
        <w:t xml:space="preserve"> ensure</w:t>
      </w:r>
      <w:r w:rsidRPr="003E180D">
        <w:rPr>
          <w:rFonts w:ascii="Times New Roman" w:hAnsi="Times New Roman"/>
          <w:snapToGrid/>
          <w:sz w:val="24"/>
          <w:szCs w:val="24"/>
        </w:rPr>
        <w:t>s</w:t>
      </w:r>
      <w:r w:rsidRPr="003E180D" w:rsidR="00192877">
        <w:rPr>
          <w:rFonts w:ascii="Times New Roman" w:hAnsi="Times New Roman"/>
          <w:snapToGrid/>
          <w:sz w:val="24"/>
          <w:szCs w:val="24"/>
        </w:rPr>
        <w:t xml:space="preserve"> that all its employees</w:t>
      </w:r>
      <w:r w:rsidRPr="003E180D">
        <w:rPr>
          <w:rFonts w:ascii="Times New Roman" w:hAnsi="Times New Roman"/>
          <w:snapToGrid/>
          <w:sz w:val="24"/>
          <w:szCs w:val="24"/>
        </w:rPr>
        <w:t xml:space="preserve"> </w:t>
      </w:r>
      <w:r w:rsidRPr="003E180D" w:rsidR="00192877">
        <w:rPr>
          <w:rFonts w:ascii="Times New Roman" w:hAnsi="Times New Roman"/>
          <w:snapToGrid/>
          <w:sz w:val="24"/>
          <w:szCs w:val="24"/>
        </w:rPr>
        <w:t>who perform work under this contract/subcontract, are trained on data privacy issues and comply with the above requirements.</w:t>
      </w:r>
      <w:r w:rsidRPr="003E180D" w:rsidR="007F3976">
        <w:rPr>
          <w:rFonts w:ascii="Times New Roman" w:hAnsi="Times New Roman"/>
          <w:snapToGrid/>
          <w:sz w:val="24"/>
          <w:szCs w:val="24"/>
        </w:rPr>
        <w:t xml:space="preserve"> All evaluation data are either anonymous or de-identified (removing email addresses). Data will be stored on </w:t>
      </w:r>
      <w:r w:rsidRPr="003E180D" w:rsidR="007F3976">
        <w:rPr>
          <w:rFonts w:ascii="Times New Roman" w:hAnsi="Times New Roman"/>
          <w:snapToGrid/>
          <w:sz w:val="24"/>
          <w:szCs w:val="24"/>
        </w:rPr>
        <w:t>Westat’s</w:t>
      </w:r>
      <w:r w:rsidRPr="003E180D" w:rsidR="007F3976">
        <w:rPr>
          <w:rFonts w:ascii="Times New Roman" w:hAnsi="Times New Roman"/>
          <w:snapToGrid/>
          <w:sz w:val="24"/>
          <w:szCs w:val="24"/>
        </w:rPr>
        <w:t xml:space="preserve"> password protected secure network and access to the data will be restricted to only those team members working with the data.</w:t>
      </w:r>
      <w:r w:rsidRPr="003E180D" w:rsidR="00192877">
        <w:rPr>
          <w:rFonts w:ascii="Times New Roman" w:hAnsi="Times New Roman"/>
          <w:snapToGrid/>
          <w:sz w:val="24"/>
          <w:szCs w:val="24"/>
        </w:rPr>
        <w:t xml:space="preserve"> </w:t>
      </w:r>
    </w:p>
    <w:p w:rsidR="00D60543" w:rsidRPr="003E180D" w:rsidP="00DE529D" w14:paraId="1C82E036" w14:textId="51296002">
      <w:pPr>
        <w:widowControl/>
        <w:tabs>
          <w:tab w:val="num" w:pos="360"/>
        </w:tabs>
        <w:ind w:left="360"/>
        <w:rPr>
          <w:rFonts w:ascii="Times New Roman" w:hAnsi="Times New Roman"/>
          <w:snapToGrid/>
          <w:sz w:val="24"/>
          <w:szCs w:val="24"/>
        </w:rPr>
      </w:pPr>
      <w:r w:rsidRPr="003E180D">
        <w:rPr>
          <w:rFonts w:ascii="Times New Roman" w:hAnsi="Times New Roman"/>
          <w:snapToGrid/>
          <w:sz w:val="24"/>
          <w:szCs w:val="24"/>
        </w:rPr>
        <w:t xml:space="preserve"> </w:t>
      </w:r>
    </w:p>
    <w:p w:rsidR="002C3C4F" w:rsidRPr="003E180D" w:rsidP="009A102D"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3E180D">
        <w:rPr>
          <w:rFonts w:ascii="Times New Roman" w:hAnsi="Times New Roman"/>
          <w:b/>
          <w:snapToGrid/>
          <w:sz w:val="24"/>
          <w:szCs w:val="24"/>
        </w:rPr>
        <w:t xml:space="preserve">Justification for Sensitive Questions </w:t>
      </w:r>
    </w:p>
    <w:p w:rsidR="00D60543" w:rsidRPr="003E180D" w:rsidP="00517782" w14:paraId="6FDE547F" w14:textId="6CE01568">
      <w:pPr>
        <w:widowControl/>
        <w:tabs>
          <w:tab w:val="num" w:pos="360"/>
        </w:tabs>
        <w:ind w:left="360"/>
        <w:rPr>
          <w:rFonts w:ascii="Times New Roman" w:hAnsi="Times New Roman"/>
          <w:snapToGrid/>
          <w:sz w:val="24"/>
          <w:szCs w:val="24"/>
        </w:rPr>
      </w:pPr>
      <w:r w:rsidRPr="003E180D">
        <w:rPr>
          <w:rFonts w:ascii="Times New Roman" w:hAnsi="Times New Roman"/>
          <w:snapToGrid/>
          <w:sz w:val="24"/>
          <w:szCs w:val="24"/>
        </w:rPr>
        <w:t>No questions of a sensitive nature are included in these data collections.</w:t>
      </w:r>
    </w:p>
    <w:p w:rsidR="00DE529D" w:rsidRPr="003E180D" w:rsidP="0051278C" w14:paraId="710C7355" w14:textId="77777777">
      <w:pPr>
        <w:widowControl/>
        <w:tabs>
          <w:tab w:val="num" w:pos="360"/>
        </w:tabs>
        <w:ind w:left="720" w:hanging="360"/>
        <w:rPr>
          <w:rFonts w:ascii="Times New Roman" w:hAnsi="Times New Roman"/>
          <w:snapToGrid/>
          <w:sz w:val="24"/>
          <w:szCs w:val="24"/>
        </w:rPr>
      </w:pPr>
    </w:p>
    <w:p w:rsidR="002C3C4F" w:rsidRPr="003E180D"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3E180D">
        <w:rPr>
          <w:rFonts w:ascii="Times New Roman" w:hAnsi="Times New Roman"/>
          <w:b/>
          <w:bCs/>
          <w:snapToGrid/>
          <w:sz w:val="24"/>
          <w:szCs w:val="24"/>
        </w:rPr>
        <w:t xml:space="preserve">Estimates of Annualized Burden Hours and Costs </w:t>
      </w:r>
    </w:p>
    <w:p w:rsidR="00CB1A12" w:rsidRPr="003E180D" w:rsidP="5A42027D" w14:paraId="55C33B29" w14:textId="207480E7">
      <w:pPr>
        <w:widowControl/>
        <w:spacing w:after="60"/>
        <w:ind w:left="360"/>
        <w:rPr>
          <w:rFonts w:ascii="Times New Roman" w:hAnsi="Times New Roman"/>
          <w:i/>
          <w:iCs/>
          <w:sz w:val="24"/>
          <w:szCs w:val="24"/>
        </w:rPr>
      </w:pPr>
      <w:r w:rsidRPr="003E180D">
        <w:rPr>
          <w:rFonts w:ascii="Times New Roman" w:hAnsi="Times New Roman"/>
          <w:i/>
          <w:iCs/>
          <w:sz w:val="24"/>
          <w:szCs w:val="24"/>
        </w:rPr>
        <w:t>Estimated Burden Hours</w:t>
      </w:r>
    </w:p>
    <w:p w:rsidR="00F75837" w:rsidRPr="003E180D" w:rsidP="00D4004F" w14:paraId="2C7D7314" w14:textId="688FDBA8">
      <w:pPr>
        <w:widowControl/>
        <w:ind w:left="360"/>
        <w:rPr>
          <w:rFonts w:ascii="Times New Roman" w:hAnsi="Times New Roman"/>
          <w:sz w:val="24"/>
          <w:szCs w:val="24"/>
        </w:rPr>
      </w:pPr>
      <w:r w:rsidRPr="003E180D">
        <w:rPr>
          <w:rFonts w:ascii="Times New Roman" w:hAnsi="Times New Roman"/>
          <w:sz w:val="24"/>
          <w:szCs w:val="24"/>
        </w:rPr>
        <w:t>Table A-2 includes the estimates of response burden by instrument for th</w:t>
      </w:r>
      <w:r w:rsidRPr="003E180D" w:rsidR="00235369">
        <w:rPr>
          <w:rFonts w:ascii="Times New Roman" w:hAnsi="Times New Roman"/>
          <w:sz w:val="24"/>
          <w:szCs w:val="24"/>
        </w:rPr>
        <w:t>e future</w:t>
      </w:r>
      <w:r w:rsidRPr="003E180D">
        <w:rPr>
          <w:rFonts w:ascii="Times New Roman" w:hAnsi="Times New Roman"/>
          <w:sz w:val="24"/>
          <w:szCs w:val="24"/>
        </w:rPr>
        <w:t xml:space="preserve"> Workshop and Academy evaluations. </w:t>
      </w:r>
      <w:r w:rsidRPr="003E180D" w:rsidR="00B10C28">
        <w:rPr>
          <w:rFonts w:ascii="Times New Roman" w:hAnsi="Times New Roman"/>
          <w:sz w:val="24"/>
          <w:szCs w:val="24"/>
        </w:rPr>
        <w:t>Annual burden e</w:t>
      </w:r>
      <w:r w:rsidRPr="003E180D">
        <w:rPr>
          <w:rFonts w:ascii="Times New Roman" w:hAnsi="Times New Roman"/>
          <w:sz w:val="24"/>
          <w:szCs w:val="24"/>
        </w:rPr>
        <w:t xml:space="preserve">stimates </w:t>
      </w:r>
      <w:r w:rsidRPr="003E180D" w:rsidR="00B10C28">
        <w:rPr>
          <w:rFonts w:ascii="Times New Roman" w:hAnsi="Times New Roman"/>
          <w:sz w:val="24"/>
          <w:szCs w:val="24"/>
        </w:rPr>
        <w:t xml:space="preserve">are based on </w:t>
      </w:r>
      <w:r w:rsidRPr="003E180D">
        <w:rPr>
          <w:rFonts w:ascii="Times New Roman" w:hAnsi="Times New Roman"/>
          <w:sz w:val="24"/>
          <w:szCs w:val="24"/>
        </w:rPr>
        <w:t xml:space="preserve">the total </w:t>
      </w:r>
      <w:r w:rsidRPr="003E180D" w:rsidR="00B10C28">
        <w:rPr>
          <w:rFonts w:ascii="Times New Roman" w:hAnsi="Times New Roman"/>
          <w:sz w:val="24"/>
          <w:szCs w:val="24"/>
        </w:rPr>
        <w:t>estimated number of participants at</w:t>
      </w:r>
      <w:r w:rsidRPr="003E180D">
        <w:rPr>
          <w:rFonts w:ascii="Times New Roman" w:hAnsi="Times New Roman"/>
          <w:sz w:val="24"/>
          <w:szCs w:val="24"/>
        </w:rPr>
        <w:t xml:space="preserve"> </w:t>
      </w:r>
      <w:r w:rsidRPr="003E180D" w:rsidR="00D4004F">
        <w:rPr>
          <w:rFonts w:ascii="Times New Roman" w:hAnsi="Times New Roman"/>
          <w:sz w:val="24"/>
          <w:szCs w:val="24"/>
        </w:rPr>
        <w:t>the proposed number of Academies and Workshops</w:t>
      </w:r>
      <w:r w:rsidRPr="003E180D" w:rsidR="00A26C89">
        <w:rPr>
          <w:rFonts w:ascii="Times New Roman" w:hAnsi="Times New Roman"/>
          <w:sz w:val="24"/>
          <w:szCs w:val="24"/>
        </w:rPr>
        <w:t xml:space="preserve"> </w:t>
      </w:r>
      <w:r w:rsidRPr="003E180D" w:rsidR="00B10C28">
        <w:rPr>
          <w:rFonts w:ascii="Times New Roman" w:hAnsi="Times New Roman"/>
          <w:sz w:val="24"/>
          <w:szCs w:val="24"/>
        </w:rPr>
        <w:t xml:space="preserve">over the next five years of the grant period. </w:t>
      </w:r>
      <w:r w:rsidRPr="003E180D" w:rsidR="00590434">
        <w:rPr>
          <w:rFonts w:ascii="Times New Roman" w:hAnsi="Times New Roman"/>
          <w:sz w:val="24"/>
          <w:szCs w:val="24"/>
        </w:rPr>
        <w:t xml:space="preserve">(An extension request will be submitted to allow for the full data collection time period.) This was then divided by five to provide an annual burden estimate, as shown in the table. We anticipate </w:t>
      </w:r>
      <w:r w:rsidRPr="003E180D" w:rsidR="00A26C89">
        <w:rPr>
          <w:rFonts w:ascii="Times New Roman" w:hAnsi="Times New Roman"/>
          <w:sz w:val="24"/>
          <w:szCs w:val="24"/>
        </w:rPr>
        <w:t>reaching a larger audience</w:t>
      </w:r>
      <w:r w:rsidRPr="003E180D" w:rsidR="00E700C3">
        <w:rPr>
          <w:rFonts w:ascii="Times New Roman" w:hAnsi="Times New Roman"/>
          <w:sz w:val="24"/>
          <w:szCs w:val="24"/>
        </w:rPr>
        <w:t xml:space="preserve"> than in prior years</w:t>
      </w:r>
      <w:r w:rsidRPr="003E180D" w:rsidR="00590434">
        <w:rPr>
          <w:rFonts w:ascii="Times New Roman" w:hAnsi="Times New Roman"/>
          <w:sz w:val="24"/>
          <w:szCs w:val="24"/>
        </w:rPr>
        <w:t>, which is reflected in the estimated number of respondents</w:t>
      </w:r>
      <w:r w:rsidRPr="003E180D" w:rsidR="00D4004F">
        <w:rPr>
          <w:rFonts w:ascii="Times New Roman" w:hAnsi="Times New Roman"/>
          <w:sz w:val="24"/>
          <w:szCs w:val="24"/>
        </w:rPr>
        <w:t>.</w:t>
      </w:r>
      <w:r w:rsidRPr="003E180D" w:rsidR="0071058A">
        <w:rPr>
          <w:rFonts w:ascii="Times New Roman" w:hAnsi="Times New Roman"/>
          <w:sz w:val="24"/>
          <w:szCs w:val="24"/>
        </w:rPr>
        <w:t xml:space="preserve"> </w:t>
      </w:r>
      <w:r w:rsidRPr="003E180D">
        <w:rPr>
          <w:rFonts w:ascii="Times New Roman" w:hAnsi="Times New Roman"/>
          <w:sz w:val="24"/>
          <w:szCs w:val="24"/>
        </w:rPr>
        <w:t>Estimates of the average burden per response were based on</w:t>
      </w:r>
      <w:r w:rsidRPr="003E180D" w:rsidR="00D4004F">
        <w:rPr>
          <w:rFonts w:ascii="Times New Roman" w:hAnsi="Times New Roman"/>
          <w:sz w:val="24"/>
          <w:szCs w:val="24"/>
        </w:rPr>
        <w:t xml:space="preserve"> </w:t>
      </w:r>
      <w:r w:rsidRPr="003E180D">
        <w:rPr>
          <w:rFonts w:ascii="Times New Roman" w:hAnsi="Times New Roman"/>
          <w:sz w:val="24"/>
          <w:szCs w:val="24"/>
        </w:rPr>
        <w:t>prior completion times</w:t>
      </w:r>
      <w:r w:rsidRPr="003E180D" w:rsidR="00D4004F">
        <w:rPr>
          <w:rFonts w:ascii="Times New Roman" w:hAnsi="Times New Roman"/>
          <w:sz w:val="24"/>
          <w:szCs w:val="24"/>
        </w:rPr>
        <w:t>.</w:t>
      </w:r>
    </w:p>
    <w:p w:rsidR="00F75837" w:rsidRPr="003E180D" w:rsidP="5A42027D" w14:paraId="7F3ACF2E" w14:textId="77777777">
      <w:pPr>
        <w:widowControl/>
        <w:ind w:left="360"/>
        <w:rPr>
          <w:rFonts w:ascii="Times New Roman" w:hAnsi="Times New Roman"/>
          <w:sz w:val="24"/>
          <w:szCs w:val="24"/>
        </w:rPr>
      </w:pPr>
    </w:p>
    <w:p w:rsidR="00CB1A12" w:rsidRPr="003E180D" w:rsidP="5A42027D" w14:paraId="00BF9A14" w14:textId="20417381">
      <w:pPr>
        <w:widowControl/>
        <w:spacing w:after="60"/>
        <w:ind w:left="360"/>
        <w:rPr>
          <w:rFonts w:ascii="Times New Roman" w:hAnsi="Times New Roman"/>
          <w:i/>
          <w:iCs/>
          <w:sz w:val="24"/>
          <w:szCs w:val="24"/>
        </w:rPr>
      </w:pPr>
      <w:r w:rsidRPr="003E180D">
        <w:rPr>
          <w:rFonts w:ascii="Times New Roman" w:hAnsi="Times New Roman"/>
          <w:i/>
          <w:iCs/>
          <w:sz w:val="24"/>
          <w:szCs w:val="24"/>
        </w:rPr>
        <w:t>Estimated Cost to Respondents</w:t>
      </w:r>
    </w:p>
    <w:p w:rsidR="000F301B" w:rsidRPr="003E180D" w:rsidP="003E180D" w14:paraId="3A87775B" w14:textId="68663D90">
      <w:pPr>
        <w:widowControl/>
        <w:spacing w:after="120"/>
        <w:ind w:left="360"/>
        <w:rPr>
          <w:rFonts w:ascii="Times New Roman" w:hAnsi="Times New Roman"/>
          <w:snapToGrid/>
          <w:sz w:val="24"/>
          <w:szCs w:val="24"/>
        </w:rPr>
      </w:pPr>
      <w:r w:rsidRPr="003E180D">
        <w:rPr>
          <w:rFonts w:ascii="Times New Roman" w:hAnsi="Times New Roman"/>
          <w:snapToGrid/>
          <w:sz w:val="24"/>
          <w:szCs w:val="24"/>
        </w:rPr>
        <w:t>The</w:t>
      </w:r>
      <w:r w:rsidRPr="003E180D">
        <w:rPr>
          <w:rFonts w:ascii="Times New Roman" w:hAnsi="Times New Roman"/>
          <w:snapToGrid/>
          <w:sz w:val="24"/>
          <w:szCs w:val="24"/>
        </w:rPr>
        <w:t xml:space="preserve"> cost information </w:t>
      </w:r>
      <w:r w:rsidRPr="003E180D" w:rsidR="00346CC4">
        <w:rPr>
          <w:rFonts w:ascii="Times New Roman" w:hAnsi="Times New Roman"/>
          <w:snapToGrid/>
          <w:sz w:val="24"/>
          <w:szCs w:val="24"/>
        </w:rPr>
        <w:t xml:space="preserve">was calculated using the Bureau of Labor Statistics’ (BLS) </w:t>
      </w:r>
      <w:r w:rsidRPr="003E180D">
        <w:rPr>
          <w:rFonts w:ascii="Times New Roman" w:hAnsi="Times New Roman"/>
          <w:snapToGrid/>
          <w:sz w:val="24"/>
          <w:szCs w:val="24"/>
        </w:rPr>
        <w:t>most current data available from May 20</w:t>
      </w:r>
      <w:r w:rsidRPr="003E180D" w:rsidR="0070231B">
        <w:rPr>
          <w:rFonts w:ascii="Times New Roman" w:hAnsi="Times New Roman"/>
          <w:snapToGrid/>
          <w:sz w:val="24"/>
          <w:szCs w:val="24"/>
        </w:rPr>
        <w:t>2</w:t>
      </w:r>
      <w:r w:rsidRPr="003E180D" w:rsidR="004811B0">
        <w:rPr>
          <w:rFonts w:ascii="Times New Roman" w:hAnsi="Times New Roman"/>
          <w:snapToGrid/>
          <w:sz w:val="24"/>
          <w:szCs w:val="24"/>
        </w:rPr>
        <w:t>4</w:t>
      </w:r>
      <w:r w:rsidRPr="003E180D" w:rsidR="0070231B">
        <w:rPr>
          <w:rFonts w:ascii="Times New Roman" w:hAnsi="Times New Roman"/>
          <w:snapToGrid/>
          <w:sz w:val="24"/>
          <w:szCs w:val="24"/>
        </w:rPr>
        <w:t xml:space="preserve"> for the mean hourly wage for l</w:t>
      </w:r>
      <w:r w:rsidRPr="003E180D">
        <w:rPr>
          <w:rFonts w:ascii="Times New Roman" w:hAnsi="Times New Roman"/>
          <w:snapToGrid/>
          <w:sz w:val="24"/>
          <w:szCs w:val="24"/>
        </w:rPr>
        <w:t>abor categor</w:t>
      </w:r>
      <w:r w:rsidRPr="003E180D" w:rsidR="0070231B">
        <w:rPr>
          <w:rFonts w:ascii="Times New Roman" w:hAnsi="Times New Roman"/>
          <w:snapToGrid/>
          <w:sz w:val="24"/>
          <w:szCs w:val="24"/>
        </w:rPr>
        <w:t xml:space="preserve">y </w:t>
      </w:r>
      <w:r w:rsidRPr="003E180D">
        <w:rPr>
          <w:rFonts w:ascii="Times New Roman" w:hAnsi="Times New Roman"/>
          <w:snapToGrid/>
          <w:sz w:val="24"/>
          <w:szCs w:val="24"/>
        </w:rPr>
        <w:t>“Lawyers, and Judicial Law Clerks” ($</w:t>
      </w:r>
      <w:r w:rsidRPr="003E180D" w:rsidR="0070231B">
        <w:rPr>
          <w:rFonts w:ascii="Times New Roman" w:hAnsi="Times New Roman"/>
          <w:snapToGrid/>
          <w:sz w:val="24"/>
          <w:szCs w:val="24"/>
        </w:rPr>
        <w:t>8</w:t>
      </w:r>
      <w:r w:rsidRPr="003E180D" w:rsidR="004811B0">
        <w:rPr>
          <w:rFonts w:ascii="Times New Roman" w:hAnsi="Times New Roman"/>
          <w:snapToGrid/>
          <w:sz w:val="24"/>
          <w:szCs w:val="24"/>
        </w:rPr>
        <w:t>6</w:t>
      </w:r>
      <w:r w:rsidRPr="003E180D" w:rsidR="0070231B">
        <w:rPr>
          <w:rFonts w:ascii="Times New Roman" w:hAnsi="Times New Roman"/>
          <w:snapToGrid/>
          <w:sz w:val="24"/>
          <w:szCs w:val="24"/>
        </w:rPr>
        <w:t>.</w:t>
      </w:r>
      <w:r w:rsidRPr="003E180D" w:rsidR="004811B0">
        <w:rPr>
          <w:rFonts w:ascii="Times New Roman" w:hAnsi="Times New Roman"/>
          <w:snapToGrid/>
          <w:sz w:val="24"/>
          <w:szCs w:val="24"/>
        </w:rPr>
        <w:t>92</w:t>
      </w:r>
      <w:r w:rsidRPr="003E180D">
        <w:rPr>
          <w:rFonts w:ascii="Times New Roman" w:hAnsi="Times New Roman"/>
          <w:snapToGrid/>
          <w:sz w:val="24"/>
          <w:szCs w:val="24"/>
        </w:rPr>
        <w:t>)</w:t>
      </w:r>
      <w:r w:rsidRPr="003E180D" w:rsidR="00500136">
        <w:rPr>
          <w:rFonts w:ascii="Times New Roman" w:hAnsi="Times New Roman"/>
          <w:snapToGrid/>
          <w:sz w:val="24"/>
          <w:szCs w:val="24"/>
        </w:rPr>
        <w:t xml:space="preserve">. </w:t>
      </w:r>
      <w:r w:rsidRPr="003E180D">
        <w:rPr>
          <w:rFonts w:ascii="Times New Roman" w:hAnsi="Times New Roman"/>
          <w:snapToGrid/>
          <w:sz w:val="24"/>
          <w:szCs w:val="24"/>
        </w:rPr>
        <w:t>Labor categor</w:t>
      </w:r>
      <w:r w:rsidRPr="003E180D" w:rsidR="00500136">
        <w:rPr>
          <w:rFonts w:ascii="Times New Roman" w:hAnsi="Times New Roman"/>
          <w:snapToGrid/>
          <w:sz w:val="24"/>
          <w:szCs w:val="24"/>
        </w:rPr>
        <w:t>y</w:t>
      </w:r>
      <w:r w:rsidRPr="003E180D">
        <w:rPr>
          <w:rFonts w:ascii="Times New Roman" w:hAnsi="Times New Roman"/>
          <w:snapToGrid/>
          <w:sz w:val="24"/>
          <w:szCs w:val="24"/>
        </w:rPr>
        <w:t xml:space="preserve"> and wage information was obtained from the following website:</w:t>
      </w:r>
      <w:r w:rsidRPr="003E180D" w:rsidR="000C3224">
        <w:rPr>
          <w:rFonts w:ascii="Times New Roman" w:hAnsi="Times New Roman"/>
          <w:snapToGrid/>
          <w:sz w:val="24"/>
          <w:szCs w:val="24"/>
        </w:rPr>
        <w:t xml:space="preserve"> </w:t>
      </w:r>
      <w:hyperlink r:id="rId10" w:anchor="23-0000" w:history="1">
        <w:r w:rsidRPr="003E180D" w:rsidR="000C3224">
          <w:rPr>
            <w:rStyle w:val="Hyperlink"/>
            <w:rFonts w:ascii="Times New Roman" w:hAnsi="Times New Roman"/>
            <w:snapToGrid/>
            <w:sz w:val="24"/>
            <w:szCs w:val="24"/>
          </w:rPr>
          <w:t>May 202</w:t>
        </w:r>
        <w:r w:rsidRPr="003E180D" w:rsidR="00F72F6D">
          <w:rPr>
            <w:rStyle w:val="Hyperlink"/>
            <w:rFonts w:ascii="Times New Roman" w:hAnsi="Times New Roman"/>
            <w:snapToGrid/>
            <w:sz w:val="24"/>
            <w:szCs w:val="24"/>
          </w:rPr>
          <w:t>4</w:t>
        </w:r>
        <w:r w:rsidRPr="003E180D" w:rsidR="000C3224">
          <w:rPr>
            <w:rStyle w:val="Hyperlink"/>
            <w:rFonts w:ascii="Times New Roman" w:hAnsi="Times New Roman"/>
            <w:snapToGrid/>
            <w:sz w:val="24"/>
            <w:szCs w:val="24"/>
          </w:rPr>
          <w:t xml:space="preserve"> National Occupational Employment and Wage Estimates</w:t>
        </w:r>
      </w:hyperlink>
      <w:r w:rsidRPr="003E180D" w:rsidR="00500136">
        <w:rPr>
          <w:rFonts w:ascii="Times New Roman" w:hAnsi="Times New Roman"/>
          <w:snapToGrid/>
          <w:sz w:val="24"/>
          <w:szCs w:val="24"/>
        </w:rPr>
        <w:t xml:space="preserve">. </w:t>
      </w:r>
      <w:r w:rsidRPr="003E180D">
        <w:rPr>
          <w:rFonts w:ascii="Times New Roman" w:hAnsi="Times New Roman"/>
          <w:snapToGrid/>
          <w:sz w:val="24"/>
          <w:szCs w:val="24"/>
        </w:rPr>
        <w:t>The wage rate was multiplied by two to account for fringe benefits $</w:t>
      </w:r>
      <w:r w:rsidRPr="003E180D" w:rsidR="008A7341">
        <w:rPr>
          <w:rFonts w:ascii="Times New Roman" w:hAnsi="Times New Roman"/>
          <w:snapToGrid/>
          <w:sz w:val="24"/>
          <w:szCs w:val="24"/>
        </w:rPr>
        <w:t>173.84</w:t>
      </w:r>
      <w:r w:rsidRPr="003E180D">
        <w:rPr>
          <w:rFonts w:ascii="Times New Roman" w:hAnsi="Times New Roman"/>
          <w:snapToGrid/>
          <w:sz w:val="24"/>
          <w:szCs w:val="24"/>
        </w:rPr>
        <w:t xml:space="preserve">). </w:t>
      </w:r>
    </w:p>
    <w:p w:rsidR="00F75837" w:rsidRPr="003E180D" w:rsidP="001A2F29" w14:paraId="30EAB9D8" w14:textId="0D9C4CE3">
      <w:pPr>
        <w:widowControl/>
        <w:rPr>
          <w:rFonts w:ascii="Times New Roman" w:hAnsi="Times New Roman"/>
          <w:snapToGrid/>
          <w:sz w:val="24"/>
          <w:szCs w:val="24"/>
        </w:rPr>
      </w:pPr>
      <w:r w:rsidRPr="003E180D">
        <w:rPr>
          <w:rFonts w:ascii="Times New Roman" w:hAnsi="Times New Roman"/>
          <w:snapToGrid/>
          <w:sz w:val="24"/>
          <w:szCs w:val="24"/>
        </w:rPr>
        <w:t>Table A-2 Estimat</w:t>
      </w:r>
      <w:r w:rsidRPr="003E180D" w:rsidR="0071058A">
        <w:rPr>
          <w:rFonts w:ascii="Times New Roman" w:hAnsi="Times New Roman"/>
          <w:snapToGrid/>
          <w:sz w:val="24"/>
          <w:szCs w:val="24"/>
        </w:rPr>
        <w:t>es of Annualized Burden Hours and Costs</w:t>
      </w:r>
    </w:p>
    <w:tbl>
      <w:tblPr>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15"/>
        <w:gridCol w:w="1269"/>
        <w:gridCol w:w="1510"/>
        <w:gridCol w:w="1316"/>
        <w:gridCol w:w="1090"/>
        <w:gridCol w:w="845"/>
        <w:gridCol w:w="1144"/>
        <w:gridCol w:w="1297"/>
      </w:tblGrid>
      <w:tr w14:paraId="230FE56D" w14:textId="77777777" w:rsidTr="009A102D">
        <w:tblPrEx>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615" w:type="dxa"/>
            <w:shd w:val="clear" w:color="auto" w:fill="BFBFBF"/>
            <w:vAlign w:val="center"/>
          </w:tcPr>
          <w:p w:rsidR="00957799" w:rsidRPr="003E180D" w:rsidP="004110F5" w14:paraId="710C0652" w14:textId="77777777">
            <w:pPr>
              <w:jc w:val="center"/>
              <w:rPr>
                <w:rFonts w:ascii="Times New Roman" w:hAnsi="Times New Roman"/>
              </w:rPr>
            </w:pPr>
            <w:r w:rsidRPr="003E180D">
              <w:rPr>
                <w:rFonts w:ascii="Times New Roman" w:hAnsi="Times New Roman"/>
              </w:rPr>
              <w:t>I</w:t>
            </w:r>
            <w:r w:rsidRPr="003E180D" w:rsidR="004110F5">
              <w:rPr>
                <w:rFonts w:ascii="Times New Roman" w:hAnsi="Times New Roman"/>
              </w:rPr>
              <w:t>nformation Collection Title</w:t>
            </w:r>
          </w:p>
        </w:tc>
        <w:tc>
          <w:tcPr>
            <w:tcW w:w="1269" w:type="dxa"/>
            <w:shd w:val="clear" w:color="auto" w:fill="BFBFBF"/>
            <w:vAlign w:val="center"/>
          </w:tcPr>
          <w:p w:rsidR="00957799" w:rsidRPr="003E180D" w:rsidP="004F7B95" w14:paraId="755B72E5" w14:textId="77777777">
            <w:pPr>
              <w:jc w:val="center"/>
              <w:rPr>
                <w:rFonts w:ascii="Times New Roman" w:hAnsi="Times New Roman"/>
              </w:rPr>
            </w:pPr>
            <w:r w:rsidRPr="003E180D">
              <w:rPr>
                <w:rFonts w:ascii="Times New Roman" w:hAnsi="Times New Roman"/>
              </w:rPr>
              <w:t>Total Number of Respondents</w:t>
            </w:r>
          </w:p>
        </w:tc>
        <w:tc>
          <w:tcPr>
            <w:tcW w:w="1510" w:type="dxa"/>
            <w:shd w:val="clear" w:color="auto" w:fill="BFBFBF"/>
            <w:vAlign w:val="center"/>
          </w:tcPr>
          <w:p w:rsidR="00957799" w:rsidRPr="003E180D" w:rsidP="004F7B95" w14:paraId="5053A5D0" w14:textId="77777777">
            <w:pPr>
              <w:jc w:val="center"/>
              <w:rPr>
                <w:rFonts w:ascii="Times New Roman" w:hAnsi="Times New Roman"/>
              </w:rPr>
            </w:pPr>
            <w:r w:rsidRPr="003E180D">
              <w:rPr>
                <w:rFonts w:ascii="Times New Roman" w:hAnsi="Times New Roman"/>
              </w:rPr>
              <w:t>Total Number of Responses Per Respondent</w:t>
            </w:r>
          </w:p>
        </w:tc>
        <w:tc>
          <w:tcPr>
            <w:tcW w:w="1316" w:type="dxa"/>
            <w:shd w:val="clear" w:color="auto" w:fill="BFBFBF"/>
            <w:vAlign w:val="center"/>
          </w:tcPr>
          <w:p w:rsidR="00957799" w:rsidRPr="003E180D" w:rsidP="004F7B95" w14:paraId="340D08AF" w14:textId="77777777">
            <w:pPr>
              <w:jc w:val="center"/>
              <w:rPr>
                <w:rFonts w:ascii="Times New Roman" w:hAnsi="Times New Roman"/>
              </w:rPr>
            </w:pPr>
            <w:r w:rsidRPr="003E180D">
              <w:rPr>
                <w:rFonts w:ascii="Times New Roman" w:hAnsi="Times New Roman"/>
              </w:rPr>
              <w:t>Average Burden Hours Per Response</w:t>
            </w:r>
          </w:p>
        </w:tc>
        <w:tc>
          <w:tcPr>
            <w:tcW w:w="1090" w:type="dxa"/>
            <w:shd w:val="clear" w:color="auto" w:fill="BFBFBF"/>
            <w:vAlign w:val="center"/>
          </w:tcPr>
          <w:p w:rsidR="00957799" w:rsidRPr="003E180D" w:rsidP="004F7B95" w14:paraId="7312FF88" w14:textId="77777777">
            <w:pPr>
              <w:jc w:val="center"/>
              <w:rPr>
                <w:rFonts w:ascii="Times New Roman" w:hAnsi="Times New Roman"/>
              </w:rPr>
            </w:pPr>
            <w:r w:rsidRPr="003E180D">
              <w:rPr>
                <w:rFonts w:ascii="Times New Roman" w:hAnsi="Times New Roman"/>
              </w:rPr>
              <w:t>Total Burden Hours</w:t>
            </w:r>
          </w:p>
        </w:tc>
        <w:tc>
          <w:tcPr>
            <w:tcW w:w="845" w:type="dxa"/>
            <w:shd w:val="clear" w:color="auto" w:fill="BFBFBF"/>
            <w:vAlign w:val="center"/>
          </w:tcPr>
          <w:p w:rsidR="00957799" w:rsidRPr="003E180D" w:rsidP="004F7B95" w14:paraId="3AE1FC11" w14:textId="77777777">
            <w:pPr>
              <w:jc w:val="center"/>
              <w:rPr>
                <w:rFonts w:ascii="Times New Roman" w:hAnsi="Times New Roman"/>
                <w:bCs/>
              </w:rPr>
            </w:pPr>
            <w:r w:rsidRPr="003E180D">
              <w:rPr>
                <w:rFonts w:ascii="Times New Roman" w:hAnsi="Times New Roman"/>
                <w:bCs/>
              </w:rPr>
              <w:t>Annual Burden Hours</w:t>
            </w:r>
          </w:p>
        </w:tc>
        <w:tc>
          <w:tcPr>
            <w:tcW w:w="1144" w:type="dxa"/>
            <w:shd w:val="clear" w:color="auto" w:fill="BFBFBF"/>
            <w:vAlign w:val="center"/>
          </w:tcPr>
          <w:p w:rsidR="00957799" w:rsidRPr="003E180D" w:rsidP="004F7B95" w14:paraId="0A8FF52A" w14:textId="77777777">
            <w:pPr>
              <w:jc w:val="center"/>
              <w:rPr>
                <w:rFonts w:ascii="Times New Roman" w:hAnsi="Times New Roman"/>
              </w:rPr>
            </w:pPr>
            <w:r w:rsidRPr="003E180D">
              <w:rPr>
                <w:rFonts w:ascii="Times New Roman" w:hAnsi="Times New Roman"/>
                <w:bCs/>
              </w:rPr>
              <w:t>Average Hourly Wage</w:t>
            </w:r>
          </w:p>
        </w:tc>
        <w:tc>
          <w:tcPr>
            <w:tcW w:w="1297" w:type="dxa"/>
            <w:shd w:val="clear" w:color="auto" w:fill="BFBFBF"/>
            <w:vAlign w:val="center"/>
          </w:tcPr>
          <w:p w:rsidR="00957799" w:rsidRPr="003E180D" w:rsidP="004F7B95" w14:paraId="4FBD0FB1" w14:textId="77777777">
            <w:pPr>
              <w:jc w:val="center"/>
              <w:rPr>
                <w:rFonts w:ascii="Times New Roman" w:hAnsi="Times New Roman"/>
              </w:rPr>
            </w:pPr>
            <w:r w:rsidRPr="003E180D">
              <w:rPr>
                <w:rFonts w:ascii="Times New Roman" w:hAnsi="Times New Roman"/>
                <w:bCs/>
              </w:rPr>
              <w:t>Total Annual Cost</w:t>
            </w:r>
          </w:p>
        </w:tc>
      </w:tr>
      <w:tr w14:paraId="5140B154" w14:textId="77777777" w:rsidTr="009A102D">
        <w:tblPrEx>
          <w:tblW w:w="10086" w:type="dxa"/>
          <w:jc w:val="center"/>
          <w:tblLook w:val="00A0"/>
        </w:tblPrEx>
        <w:trPr>
          <w:trHeight w:val="432"/>
          <w:jc w:val="center"/>
        </w:trPr>
        <w:tc>
          <w:tcPr>
            <w:tcW w:w="1615" w:type="dxa"/>
          </w:tcPr>
          <w:p w:rsidR="00064D6C" w:rsidRPr="003E180D" w:rsidP="00064D6C" w14:paraId="33E13E32" w14:textId="44C77EE3">
            <w:pPr>
              <w:tabs>
                <w:tab w:val="center" w:pos="4320"/>
                <w:tab w:val="right" w:pos="8640"/>
              </w:tabs>
              <w:rPr>
                <w:rFonts w:ascii="Times New Roman" w:hAnsi="Times New Roman"/>
              </w:rPr>
            </w:pPr>
            <w:r w:rsidRPr="003E180D">
              <w:rPr>
                <w:rFonts w:ascii="Times New Roman" w:hAnsi="Times New Roman"/>
              </w:rPr>
              <w:t>Workshop Feedback Survey</w:t>
            </w:r>
          </w:p>
        </w:tc>
        <w:tc>
          <w:tcPr>
            <w:tcW w:w="1269" w:type="dxa"/>
            <w:vAlign w:val="center"/>
          </w:tcPr>
          <w:p w:rsidR="00064D6C" w:rsidRPr="003E180D" w:rsidP="00B10C28" w14:paraId="631BD576" w14:textId="1EC4BA41">
            <w:pPr>
              <w:tabs>
                <w:tab w:val="center" w:pos="4320"/>
                <w:tab w:val="right" w:pos="8640"/>
              </w:tabs>
              <w:jc w:val="center"/>
              <w:rPr>
                <w:rFonts w:ascii="Times New Roman" w:hAnsi="Times New Roman"/>
                <w:highlight w:val="yellow"/>
              </w:rPr>
            </w:pPr>
            <w:r w:rsidRPr="003E180D">
              <w:rPr>
                <w:rFonts w:ascii="Times New Roman" w:hAnsi="Times New Roman"/>
              </w:rPr>
              <w:t>480</w:t>
            </w:r>
          </w:p>
        </w:tc>
        <w:tc>
          <w:tcPr>
            <w:tcW w:w="1510" w:type="dxa"/>
            <w:vAlign w:val="center"/>
          </w:tcPr>
          <w:p w:rsidR="00064D6C" w:rsidRPr="003E180D" w:rsidP="00B10C28" w14:paraId="3DD8ECC7" w14:textId="7C2A2447">
            <w:pPr>
              <w:tabs>
                <w:tab w:val="center" w:pos="4320"/>
                <w:tab w:val="right" w:pos="8640"/>
              </w:tabs>
              <w:jc w:val="center"/>
              <w:rPr>
                <w:rFonts w:ascii="Times New Roman" w:hAnsi="Times New Roman"/>
              </w:rPr>
            </w:pPr>
            <w:r w:rsidRPr="003E180D">
              <w:rPr>
                <w:rFonts w:ascii="Times New Roman" w:hAnsi="Times New Roman"/>
              </w:rPr>
              <w:t>1</w:t>
            </w:r>
          </w:p>
        </w:tc>
        <w:tc>
          <w:tcPr>
            <w:tcW w:w="1316" w:type="dxa"/>
            <w:vAlign w:val="center"/>
          </w:tcPr>
          <w:p w:rsidR="00064D6C" w:rsidRPr="003E180D" w:rsidP="00B10C28" w14:paraId="46007120" w14:textId="6200698B">
            <w:pPr>
              <w:tabs>
                <w:tab w:val="center" w:pos="4320"/>
                <w:tab w:val="right" w:pos="8640"/>
              </w:tabs>
              <w:jc w:val="center"/>
              <w:rPr>
                <w:rFonts w:ascii="Times New Roman" w:hAnsi="Times New Roman"/>
              </w:rPr>
            </w:pPr>
            <w:r w:rsidRPr="003E180D">
              <w:rPr>
                <w:rFonts w:ascii="Times New Roman" w:hAnsi="Times New Roman"/>
              </w:rPr>
              <w:t>0.0</w:t>
            </w:r>
            <w:r w:rsidRPr="003E180D" w:rsidR="00590434">
              <w:rPr>
                <w:rFonts w:ascii="Times New Roman" w:hAnsi="Times New Roman"/>
              </w:rPr>
              <w:t>67</w:t>
            </w:r>
          </w:p>
        </w:tc>
        <w:tc>
          <w:tcPr>
            <w:tcW w:w="1090" w:type="dxa"/>
            <w:vAlign w:val="center"/>
          </w:tcPr>
          <w:p w:rsidR="00064D6C" w:rsidRPr="003E180D" w:rsidP="00B10C28" w14:paraId="1A00A282" w14:textId="6C1B3292">
            <w:pPr>
              <w:tabs>
                <w:tab w:val="center" w:pos="4320"/>
                <w:tab w:val="right" w:pos="8640"/>
              </w:tabs>
              <w:jc w:val="center"/>
              <w:rPr>
                <w:rFonts w:ascii="Times New Roman" w:hAnsi="Times New Roman"/>
              </w:rPr>
            </w:pPr>
            <w:r w:rsidRPr="003E180D">
              <w:rPr>
                <w:rFonts w:ascii="Times New Roman" w:hAnsi="Times New Roman"/>
              </w:rPr>
              <w:t>32</w:t>
            </w:r>
          </w:p>
        </w:tc>
        <w:tc>
          <w:tcPr>
            <w:tcW w:w="845" w:type="dxa"/>
            <w:vAlign w:val="center"/>
          </w:tcPr>
          <w:p w:rsidR="00064D6C" w:rsidRPr="003E180D" w:rsidP="00B10C28" w14:paraId="25670C73" w14:textId="6A6FECD1">
            <w:pPr>
              <w:tabs>
                <w:tab w:val="center" w:pos="4320"/>
                <w:tab w:val="right" w:pos="8640"/>
              </w:tabs>
              <w:jc w:val="center"/>
              <w:rPr>
                <w:rFonts w:ascii="Times New Roman" w:hAnsi="Times New Roman"/>
              </w:rPr>
            </w:pPr>
            <w:r w:rsidRPr="003E180D">
              <w:rPr>
                <w:rFonts w:ascii="Times New Roman" w:hAnsi="Times New Roman"/>
              </w:rPr>
              <w:t>6.4</w:t>
            </w:r>
          </w:p>
        </w:tc>
        <w:tc>
          <w:tcPr>
            <w:tcW w:w="1144" w:type="dxa"/>
            <w:vAlign w:val="center"/>
          </w:tcPr>
          <w:p w:rsidR="00064D6C" w:rsidRPr="003E180D" w:rsidP="00B10C28" w14:paraId="7D556C98" w14:textId="17FA556E">
            <w:pPr>
              <w:tabs>
                <w:tab w:val="center" w:pos="4320"/>
                <w:tab w:val="right" w:pos="8640"/>
              </w:tabs>
              <w:jc w:val="center"/>
              <w:rPr>
                <w:rFonts w:ascii="Times New Roman" w:hAnsi="Times New Roman"/>
              </w:rPr>
            </w:pPr>
            <w:r w:rsidRPr="003E180D">
              <w:rPr>
                <w:rFonts w:ascii="Times New Roman" w:hAnsi="Times New Roman"/>
              </w:rPr>
              <w:t>$</w:t>
            </w:r>
            <w:r w:rsidRPr="003E180D" w:rsidR="00C42CAC">
              <w:rPr>
                <w:rFonts w:ascii="Times New Roman" w:hAnsi="Times New Roman"/>
              </w:rPr>
              <w:t>173.84</w:t>
            </w:r>
          </w:p>
        </w:tc>
        <w:tc>
          <w:tcPr>
            <w:tcW w:w="1297" w:type="dxa"/>
            <w:vAlign w:val="center"/>
          </w:tcPr>
          <w:p w:rsidR="00064D6C" w:rsidRPr="003E180D" w:rsidP="00B10C28" w14:paraId="5133F4BC" w14:textId="72E8A493">
            <w:pPr>
              <w:tabs>
                <w:tab w:val="center" w:pos="4320"/>
                <w:tab w:val="right" w:pos="8640"/>
              </w:tabs>
              <w:jc w:val="center"/>
              <w:rPr>
                <w:rFonts w:ascii="Times New Roman" w:hAnsi="Times New Roman"/>
              </w:rPr>
            </w:pPr>
            <w:r w:rsidRPr="003E180D">
              <w:rPr>
                <w:rFonts w:ascii="Times New Roman" w:hAnsi="Times New Roman"/>
              </w:rPr>
              <w:t>$</w:t>
            </w:r>
            <w:r w:rsidRPr="003E180D" w:rsidR="00C42CAC">
              <w:rPr>
                <w:rFonts w:ascii="Times New Roman" w:hAnsi="Times New Roman"/>
              </w:rPr>
              <w:t>1</w:t>
            </w:r>
            <w:r w:rsidRPr="003E180D" w:rsidR="00E6346F">
              <w:rPr>
                <w:rFonts w:ascii="Times New Roman" w:hAnsi="Times New Roman"/>
              </w:rPr>
              <w:t>,</w:t>
            </w:r>
            <w:r w:rsidRPr="003E180D" w:rsidR="00C42CAC">
              <w:rPr>
                <w:rFonts w:ascii="Times New Roman" w:hAnsi="Times New Roman"/>
              </w:rPr>
              <w:t>112.5</w:t>
            </w:r>
            <w:r w:rsidRPr="003E180D" w:rsidR="00481FC8">
              <w:rPr>
                <w:rFonts w:ascii="Times New Roman" w:hAnsi="Times New Roman"/>
              </w:rPr>
              <w:t>8</w:t>
            </w:r>
          </w:p>
        </w:tc>
      </w:tr>
      <w:tr w14:paraId="66E3DD67" w14:textId="77777777" w:rsidTr="009A102D">
        <w:tblPrEx>
          <w:tblW w:w="10086" w:type="dxa"/>
          <w:jc w:val="center"/>
          <w:tblLook w:val="00A0"/>
        </w:tblPrEx>
        <w:trPr>
          <w:trHeight w:val="432"/>
          <w:jc w:val="center"/>
        </w:trPr>
        <w:tc>
          <w:tcPr>
            <w:tcW w:w="1615" w:type="dxa"/>
          </w:tcPr>
          <w:p w:rsidR="00064D6C" w:rsidRPr="003E180D" w:rsidP="00064D6C" w14:paraId="39DFC5F9" w14:textId="527F1B61">
            <w:pPr>
              <w:tabs>
                <w:tab w:val="center" w:pos="4320"/>
                <w:tab w:val="right" w:pos="8640"/>
              </w:tabs>
              <w:rPr>
                <w:rFonts w:ascii="Times New Roman" w:hAnsi="Times New Roman"/>
              </w:rPr>
            </w:pPr>
            <w:r w:rsidRPr="003E180D">
              <w:rPr>
                <w:rFonts w:ascii="Times New Roman" w:hAnsi="Times New Roman"/>
              </w:rPr>
              <w:t>Academy Feedback Survey</w:t>
            </w:r>
          </w:p>
        </w:tc>
        <w:tc>
          <w:tcPr>
            <w:tcW w:w="1269" w:type="dxa"/>
            <w:vAlign w:val="center"/>
          </w:tcPr>
          <w:p w:rsidR="00064D6C" w:rsidRPr="003E180D" w:rsidP="00B10C28" w14:paraId="58BAAEDB" w14:textId="714A2EB4">
            <w:pPr>
              <w:tabs>
                <w:tab w:val="center" w:pos="4320"/>
                <w:tab w:val="right" w:pos="8640"/>
              </w:tabs>
              <w:jc w:val="center"/>
              <w:rPr>
                <w:rFonts w:ascii="Times New Roman" w:hAnsi="Times New Roman"/>
                <w:highlight w:val="yellow"/>
              </w:rPr>
            </w:pPr>
            <w:r w:rsidRPr="003E180D">
              <w:rPr>
                <w:rFonts w:ascii="Times New Roman" w:hAnsi="Times New Roman"/>
              </w:rPr>
              <w:t>1050</w:t>
            </w:r>
          </w:p>
        </w:tc>
        <w:tc>
          <w:tcPr>
            <w:tcW w:w="1510" w:type="dxa"/>
            <w:vAlign w:val="center"/>
          </w:tcPr>
          <w:p w:rsidR="00064D6C" w:rsidRPr="003E180D" w:rsidP="00B10C28" w14:paraId="0CD2F9C1" w14:textId="45EEA0C2">
            <w:pPr>
              <w:tabs>
                <w:tab w:val="center" w:pos="4320"/>
                <w:tab w:val="right" w:pos="8640"/>
              </w:tabs>
              <w:jc w:val="center"/>
              <w:rPr>
                <w:rFonts w:ascii="Times New Roman" w:hAnsi="Times New Roman"/>
              </w:rPr>
            </w:pPr>
            <w:r w:rsidRPr="003E180D">
              <w:rPr>
                <w:rFonts w:ascii="Times New Roman" w:hAnsi="Times New Roman"/>
              </w:rPr>
              <w:t>1</w:t>
            </w:r>
          </w:p>
        </w:tc>
        <w:tc>
          <w:tcPr>
            <w:tcW w:w="1316" w:type="dxa"/>
            <w:vAlign w:val="center"/>
          </w:tcPr>
          <w:p w:rsidR="00064D6C" w:rsidRPr="003E180D" w:rsidP="00B10C28" w14:paraId="14C40DB3" w14:textId="44DDD38F">
            <w:pPr>
              <w:tabs>
                <w:tab w:val="center" w:pos="4320"/>
                <w:tab w:val="right" w:pos="8640"/>
              </w:tabs>
              <w:jc w:val="center"/>
              <w:rPr>
                <w:rFonts w:ascii="Times New Roman" w:hAnsi="Times New Roman"/>
              </w:rPr>
            </w:pPr>
            <w:r w:rsidRPr="003E180D">
              <w:rPr>
                <w:rFonts w:ascii="Times New Roman" w:hAnsi="Times New Roman"/>
              </w:rPr>
              <w:t>0.0</w:t>
            </w:r>
            <w:r w:rsidRPr="003E180D" w:rsidR="00590434">
              <w:rPr>
                <w:rFonts w:ascii="Times New Roman" w:hAnsi="Times New Roman"/>
              </w:rPr>
              <w:t>67</w:t>
            </w:r>
          </w:p>
        </w:tc>
        <w:tc>
          <w:tcPr>
            <w:tcW w:w="1090" w:type="dxa"/>
            <w:vAlign w:val="center"/>
          </w:tcPr>
          <w:p w:rsidR="00064D6C" w:rsidRPr="003E180D" w:rsidP="00B10C28" w14:paraId="404E426D" w14:textId="25D49CBD">
            <w:pPr>
              <w:tabs>
                <w:tab w:val="center" w:pos="4320"/>
                <w:tab w:val="right" w:pos="8640"/>
              </w:tabs>
              <w:jc w:val="center"/>
              <w:rPr>
                <w:rFonts w:ascii="Times New Roman" w:hAnsi="Times New Roman"/>
              </w:rPr>
            </w:pPr>
            <w:r w:rsidRPr="003E180D">
              <w:rPr>
                <w:rFonts w:ascii="Times New Roman" w:hAnsi="Times New Roman"/>
              </w:rPr>
              <w:t>70</w:t>
            </w:r>
          </w:p>
        </w:tc>
        <w:tc>
          <w:tcPr>
            <w:tcW w:w="845" w:type="dxa"/>
            <w:vAlign w:val="center"/>
          </w:tcPr>
          <w:p w:rsidR="00064D6C" w:rsidRPr="003E180D" w:rsidP="00B10C28" w14:paraId="1557247F" w14:textId="688DCB4F">
            <w:pPr>
              <w:tabs>
                <w:tab w:val="center" w:pos="4320"/>
                <w:tab w:val="right" w:pos="8640"/>
              </w:tabs>
              <w:jc w:val="center"/>
              <w:rPr>
                <w:rFonts w:ascii="Times New Roman" w:hAnsi="Times New Roman"/>
              </w:rPr>
            </w:pPr>
            <w:r w:rsidRPr="003E180D">
              <w:rPr>
                <w:rFonts w:ascii="Times New Roman" w:hAnsi="Times New Roman"/>
              </w:rPr>
              <w:t>14</w:t>
            </w:r>
          </w:p>
        </w:tc>
        <w:tc>
          <w:tcPr>
            <w:tcW w:w="1144" w:type="dxa"/>
            <w:vAlign w:val="center"/>
          </w:tcPr>
          <w:p w:rsidR="00064D6C" w:rsidRPr="003E180D" w:rsidP="00B10C28" w14:paraId="4B1FC7E5" w14:textId="7DA40898">
            <w:pPr>
              <w:tabs>
                <w:tab w:val="center" w:pos="4320"/>
                <w:tab w:val="right" w:pos="8640"/>
              </w:tabs>
              <w:jc w:val="center"/>
              <w:rPr>
                <w:rFonts w:ascii="Times New Roman" w:hAnsi="Times New Roman"/>
              </w:rPr>
            </w:pPr>
            <w:r w:rsidRPr="003E180D">
              <w:rPr>
                <w:rFonts w:ascii="Times New Roman" w:hAnsi="Times New Roman"/>
              </w:rPr>
              <w:t>$173.84</w:t>
            </w:r>
          </w:p>
        </w:tc>
        <w:tc>
          <w:tcPr>
            <w:tcW w:w="1297" w:type="dxa"/>
            <w:vAlign w:val="center"/>
          </w:tcPr>
          <w:p w:rsidR="00064D6C" w:rsidRPr="003E180D" w:rsidP="00B10C28" w14:paraId="1D447908" w14:textId="276899FF">
            <w:pPr>
              <w:tabs>
                <w:tab w:val="center" w:pos="4320"/>
                <w:tab w:val="right" w:pos="8640"/>
              </w:tabs>
              <w:jc w:val="center"/>
              <w:rPr>
                <w:rFonts w:ascii="Times New Roman" w:hAnsi="Times New Roman"/>
              </w:rPr>
            </w:pPr>
            <w:r w:rsidRPr="003E180D">
              <w:rPr>
                <w:rFonts w:ascii="Times New Roman" w:hAnsi="Times New Roman"/>
              </w:rPr>
              <w:t>$</w:t>
            </w:r>
            <w:r w:rsidRPr="003E180D" w:rsidR="00481FC8">
              <w:rPr>
                <w:rFonts w:ascii="Times New Roman" w:hAnsi="Times New Roman"/>
              </w:rPr>
              <w:t>2</w:t>
            </w:r>
            <w:r w:rsidRPr="003E180D" w:rsidR="00E6346F">
              <w:rPr>
                <w:rFonts w:ascii="Times New Roman" w:hAnsi="Times New Roman"/>
              </w:rPr>
              <w:t>,</w:t>
            </w:r>
            <w:r w:rsidRPr="003E180D" w:rsidR="00481FC8">
              <w:rPr>
                <w:rFonts w:ascii="Times New Roman" w:hAnsi="Times New Roman"/>
              </w:rPr>
              <w:t>433.76</w:t>
            </w:r>
          </w:p>
        </w:tc>
      </w:tr>
      <w:tr w14:paraId="4687345D" w14:textId="77777777" w:rsidTr="009A102D">
        <w:tblPrEx>
          <w:tblW w:w="10086" w:type="dxa"/>
          <w:jc w:val="center"/>
          <w:tblLook w:val="00A0"/>
        </w:tblPrEx>
        <w:trPr>
          <w:trHeight w:val="432"/>
          <w:jc w:val="center"/>
        </w:trPr>
        <w:tc>
          <w:tcPr>
            <w:tcW w:w="1615" w:type="dxa"/>
          </w:tcPr>
          <w:p w:rsidR="00064D6C" w:rsidRPr="003E180D" w:rsidP="00064D6C" w14:paraId="4EB1ACC8" w14:textId="5F1F5269">
            <w:pPr>
              <w:tabs>
                <w:tab w:val="center" w:pos="4320"/>
                <w:tab w:val="right" w:pos="8640"/>
              </w:tabs>
              <w:rPr>
                <w:rFonts w:ascii="Times New Roman" w:hAnsi="Times New Roman"/>
              </w:rPr>
            </w:pPr>
            <w:r w:rsidRPr="003E180D">
              <w:rPr>
                <w:rFonts w:ascii="Times New Roman" w:hAnsi="Times New Roman"/>
              </w:rPr>
              <w:t>Pre/Post Academy Assessment</w:t>
            </w:r>
          </w:p>
        </w:tc>
        <w:tc>
          <w:tcPr>
            <w:tcW w:w="1269" w:type="dxa"/>
            <w:vAlign w:val="center"/>
          </w:tcPr>
          <w:p w:rsidR="00064D6C" w:rsidRPr="003E180D" w:rsidP="00B10C28" w14:paraId="113E51DF" w14:textId="4FA97E41">
            <w:pPr>
              <w:tabs>
                <w:tab w:val="center" w:pos="4320"/>
                <w:tab w:val="right" w:pos="8640"/>
              </w:tabs>
              <w:jc w:val="center"/>
              <w:rPr>
                <w:rFonts w:ascii="Times New Roman" w:hAnsi="Times New Roman"/>
                <w:highlight w:val="yellow"/>
              </w:rPr>
            </w:pPr>
            <w:r w:rsidRPr="003E180D">
              <w:rPr>
                <w:rFonts w:ascii="Times New Roman" w:hAnsi="Times New Roman"/>
              </w:rPr>
              <w:t>1050</w:t>
            </w:r>
          </w:p>
        </w:tc>
        <w:tc>
          <w:tcPr>
            <w:tcW w:w="1510" w:type="dxa"/>
            <w:vAlign w:val="center"/>
          </w:tcPr>
          <w:p w:rsidR="00064D6C" w:rsidRPr="003E180D" w:rsidP="00B10C28" w14:paraId="1ED789FE" w14:textId="345D63F9">
            <w:pPr>
              <w:tabs>
                <w:tab w:val="center" w:pos="4320"/>
                <w:tab w:val="right" w:pos="8640"/>
              </w:tabs>
              <w:jc w:val="center"/>
              <w:rPr>
                <w:rFonts w:ascii="Times New Roman" w:hAnsi="Times New Roman"/>
              </w:rPr>
            </w:pPr>
            <w:r w:rsidRPr="003E180D">
              <w:rPr>
                <w:rFonts w:ascii="Times New Roman" w:hAnsi="Times New Roman"/>
              </w:rPr>
              <w:t>2</w:t>
            </w:r>
          </w:p>
        </w:tc>
        <w:tc>
          <w:tcPr>
            <w:tcW w:w="1316" w:type="dxa"/>
            <w:vAlign w:val="center"/>
          </w:tcPr>
          <w:p w:rsidR="00064D6C" w:rsidRPr="003E180D" w:rsidP="00B10C28" w14:paraId="4DD58EAB" w14:textId="7DD1118F">
            <w:pPr>
              <w:tabs>
                <w:tab w:val="center" w:pos="4320"/>
                <w:tab w:val="right" w:pos="8640"/>
              </w:tabs>
              <w:jc w:val="center"/>
              <w:rPr>
                <w:rFonts w:ascii="Times New Roman" w:hAnsi="Times New Roman"/>
              </w:rPr>
            </w:pPr>
            <w:r w:rsidRPr="003E180D">
              <w:rPr>
                <w:rFonts w:ascii="Times New Roman" w:hAnsi="Times New Roman"/>
              </w:rPr>
              <w:t>0.22</w:t>
            </w:r>
          </w:p>
        </w:tc>
        <w:tc>
          <w:tcPr>
            <w:tcW w:w="1090" w:type="dxa"/>
            <w:vAlign w:val="center"/>
          </w:tcPr>
          <w:p w:rsidR="00064D6C" w:rsidRPr="003E180D" w:rsidP="00B10C28" w14:paraId="14CF1535" w14:textId="589B8D70">
            <w:pPr>
              <w:tabs>
                <w:tab w:val="center" w:pos="4320"/>
                <w:tab w:val="right" w:pos="8640"/>
              </w:tabs>
              <w:jc w:val="center"/>
              <w:rPr>
                <w:rFonts w:ascii="Times New Roman" w:hAnsi="Times New Roman"/>
              </w:rPr>
            </w:pPr>
            <w:r w:rsidRPr="003E180D">
              <w:rPr>
                <w:rFonts w:ascii="Times New Roman" w:hAnsi="Times New Roman"/>
              </w:rPr>
              <w:t>455</w:t>
            </w:r>
          </w:p>
        </w:tc>
        <w:tc>
          <w:tcPr>
            <w:tcW w:w="845" w:type="dxa"/>
            <w:vAlign w:val="center"/>
          </w:tcPr>
          <w:p w:rsidR="00064D6C" w:rsidRPr="003E180D" w:rsidP="00B10C28" w14:paraId="676D58FC" w14:textId="628DF081">
            <w:pPr>
              <w:tabs>
                <w:tab w:val="center" w:pos="4320"/>
                <w:tab w:val="right" w:pos="8640"/>
              </w:tabs>
              <w:jc w:val="center"/>
              <w:rPr>
                <w:rFonts w:ascii="Times New Roman" w:hAnsi="Times New Roman"/>
              </w:rPr>
            </w:pPr>
            <w:r w:rsidRPr="003E180D">
              <w:rPr>
                <w:rFonts w:ascii="Times New Roman" w:hAnsi="Times New Roman"/>
              </w:rPr>
              <w:t>91</w:t>
            </w:r>
          </w:p>
        </w:tc>
        <w:tc>
          <w:tcPr>
            <w:tcW w:w="1144" w:type="dxa"/>
            <w:vAlign w:val="center"/>
          </w:tcPr>
          <w:p w:rsidR="00064D6C" w:rsidRPr="003E180D" w:rsidP="00B10C28" w14:paraId="68FBA75E" w14:textId="00E817E3">
            <w:pPr>
              <w:tabs>
                <w:tab w:val="center" w:pos="4320"/>
                <w:tab w:val="right" w:pos="8640"/>
              </w:tabs>
              <w:jc w:val="center"/>
              <w:rPr>
                <w:rFonts w:ascii="Times New Roman" w:hAnsi="Times New Roman"/>
              </w:rPr>
            </w:pPr>
            <w:r w:rsidRPr="003E180D">
              <w:rPr>
                <w:rFonts w:ascii="Times New Roman" w:hAnsi="Times New Roman"/>
              </w:rPr>
              <w:t>$</w:t>
            </w:r>
            <w:r w:rsidRPr="003E180D" w:rsidR="00481FC8">
              <w:rPr>
                <w:rFonts w:ascii="Times New Roman" w:hAnsi="Times New Roman"/>
              </w:rPr>
              <w:t>173.84</w:t>
            </w:r>
          </w:p>
        </w:tc>
        <w:tc>
          <w:tcPr>
            <w:tcW w:w="1297" w:type="dxa"/>
            <w:vAlign w:val="center"/>
          </w:tcPr>
          <w:p w:rsidR="00064D6C" w:rsidRPr="003E180D" w:rsidP="00B10C28" w14:paraId="1950A99A" w14:textId="4035D1FA">
            <w:pPr>
              <w:tabs>
                <w:tab w:val="center" w:pos="4320"/>
                <w:tab w:val="right" w:pos="8640"/>
              </w:tabs>
              <w:jc w:val="center"/>
              <w:rPr>
                <w:rFonts w:ascii="Times New Roman" w:hAnsi="Times New Roman"/>
              </w:rPr>
            </w:pPr>
            <w:r w:rsidRPr="003E180D">
              <w:rPr>
                <w:rFonts w:ascii="Times New Roman" w:hAnsi="Times New Roman"/>
              </w:rPr>
              <w:t>$</w:t>
            </w:r>
            <w:r w:rsidRPr="003E180D" w:rsidR="00E6346F">
              <w:rPr>
                <w:rFonts w:ascii="Times New Roman" w:hAnsi="Times New Roman"/>
              </w:rPr>
              <w:t>15,819.44</w:t>
            </w:r>
          </w:p>
        </w:tc>
      </w:tr>
      <w:tr w14:paraId="68F71184" w14:textId="77777777" w:rsidTr="009A102D">
        <w:tblPrEx>
          <w:tblW w:w="10086" w:type="dxa"/>
          <w:jc w:val="center"/>
          <w:tblLook w:val="00A0"/>
        </w:tblPrEx>
        <w:trPr>
          <w:jc w:val="center"/>
        </w:trPr>
        <w:tc>
          <w:tcPr>
            <w:tcW w:w="6800" w:type="dxa"/>
            <w:gridSpan w:val="5"/>
            <w:vAlign w:val="center"/>
          </w:tcPr>
          <w:p w:rsidR="00957799" w:rsidRPr="003E180D" w:rsidP="004F7B95" w14:paraId="5ECE420A" w14:textId="58EE0312">
            <w:pPr>
              <w:tabs>
                <w:tab w:val="center" w:pos="4320"/>
                <w:tab w:val="right" w:pos="8640"/>
              </w:tabs>
              <w:jc w:val="right"/>
              <w:rPr>
                <w:rFonts w:ascii="Times New Roman" w:hAnsi="Times New Roman"/>
                <w:b/>
              </w:rPr>
            </w:pPr>
            <w:r w:rsidRPr="003E180D">
              <w:rPr>
                <w:rFonts w:ascii="Times New Roman" w:hAnsi="Times New Roman"/>
                <w:b/>
              </w:rPr>
              <w:t xml:space="preserve">Estimated Annual Burden </w:t>
            </w:r>
            <w:r w:rsidRPr="003E180D" w:rsidR="00B10C28">
              <w:rPr>
                <w:rFonts w:ascii="Times New Roman" w:hAnsi="Times New Roman"/>
                <w:b/>
              </w:rPr>
              <w:t xml:space="preserve">and Cost </w:t>
            </w:r>
            <w:r w:rsidRPr="003E180D">
              <w:rPr>
                <w:rFonts w:ascii="Times New Roman" w:hAnsi="Times New Roman"/>
                <w:b/>
              </w:rPr>
              <w:t>T</w:t>
            </w:r>
            <w:r w:rsidRPr="003E180D" w:rsidR="00F210CA">
              <w:rPr>
                <w:rFonts w:ascii="Times New Roman" w:hAnsi="Times New Roman"/>
                <w:b/>
              </w:rPr>
              <w:t>otal</w:t>
            </w:r>
            <w:r w:rsidRPr="003E180D" w:rsidR="00B10C28">
              <w:rPr>
                <w:rFonts w:ascii="Times New Roman" w:hAnsi="Times New Roman"/>
                <w:b/>
              </w:rPr>
              <w:t>s</w:t>
            </w:r>
            <w:r w:rsidRPr="003E180D" w:rsidR="00F210CA">
              <w:rPr>
                <w:rFonts w:ascii="Times New Roman" w:hAnsi="Times New Roman"/>
                <w:b/>
              </w:rPr>
              <w:t xml:space="preserve">: </w:t>
            </w:r>
            <w:r w:rsidRPr="003E180D">
              <w:rPr>
                <w:rFonts w:ascii="Times New Roman" w:hAnsi="Times New Roman"/>
                <w:b/>
              </w:rPr>
              <w:t xml:space="preserve"> </w:t>
            </w:r>
          </w:p>
        </w:tc>
        <w:tc>
          <w:tcPr>
            <w:tcW w:w="845" w:type="dxa"/>
            <w:vAlign w:val="center"/>
          </w:tcPr>
          <w:p w:rsidR="00957799" w:rsidRPr="003E180D" w:rsidP="00B10C28" w14:paraId="29C85233" w14:textId="0FD191A5">
            <w:pPr>
              <w:tabs>
                <w:tab w:val="center" w:pos="4320"/>
                <w:tab w:val="right" w:pos="8640"/>
              </w:tabs>
              <w:jc w:val="center"/>
              <w:rPr>
                <w:rFonts w:ascii="Times New Roman" w:hAnsi="Times New Roman"/>
                <w:b/>
              </w:rPr>
            </w:pPr>
            <w:r w:rsidRPr="003E180D">
              <w:rPr>
                <w:rFonts w:ascii="Times New Roman" w:hAnsi="Times New Roman"/>
                <w:b/>
              </w:rPr>
              <w:t>111.4</w:t>
            </w:r>
          </w:p>
        </w:tc>
        <w:tc>
          <w:tcPr>
            <w:tcW w:w="1144" w:type="dxa"/>
            <w:vAlign w:val="center"/>
          </w:tcPr>
          <w:p w:rsidR="00957799" w:rsidRPr="003E180D" w:rsidP="00B10C28" w14:paraId="05063CD5" w14:textId="0D09FB88">
            <w:pPr>
              <w:tabs>
                <w:tab w:val="center" w:pos="4320"/>
                <w:tab w:val="right" w:pos="8640"/>
              </w:tabs>
              <w:jc w:val="center"/>
              <w:rPr>
                <w:rFonts w:ascii="Times New Roman" w:hAnsi="Times New Roman"/>
                <w:b/>
              </w:rPr>
            </w:pPr>
          </w:p>
        </w:tc>
        <w:tc>
          <w:tcPr>
            <w:tcW w:w="1297" w:type="dxa"/>
            <w:vAlign w:val="center"/>
          </w:tcPr>
          <w:p w:rsidR="00957799" w:rsidRPr="003E180D" w:rsidP="00B10C28" w14:paraId="5B5863BC" w14:textId="00CE39A3">
            <w:pPr>
              <w:tabs>
                <w:tab w:val="center" w:pos="4320"/>
                <w:tab w:val="right" w:pos="8640"/>
              </w:tabs>
              <w:jc w:val="center"/>
              <w:rPr>
                <w:rFonts w:ascii="Times New Roman" w:hAnsi="Times New Roman"/>
                <w:b/>
              </w:rPr>
            </w:pPr>
            <w:r w:rsidRPr="003E180D">
              <w:rPr>
                <w:rFonts w:ascii="Times New Roman" w:hAnsi="Times New Roman"/>
                <w:b/>
              </w:rPr>
              <w:t>$</w:t>
            </w:r>
            <w:r w:rsidRPr="003E180D" w:rsidR="00674FAC">
              <w:rPr>
                <w:rFonts w:ascii="Times New Roman" w:hAnsi="Times New Roman"/>
                <w:b/>
              </w:rPr>
              <w:t>1</w:t>
            </w:r>
            <w:r w:rsidRPr="003E180D">
              <w:rPr>
                <w:rFonts w:ascii="Times New Roman" w:hAnsi="Times New Roman"/>
                <w:b/>
              </w:rPr>
              <w:t>9,</w:t>
            </w:r>
            <w:r w:rsidRPr="003E180D" w:rsidR="00674FAC">
              <w:rPr>
                <w:rFonts w:ascii="Times New Roman" w:hAnsi="Times New Roman"/>
                <w:b/>
              </w:rPr>
              <w:t>365.78</w:t>
            </w:r>
          </w:p>
        </w:tc>
      </w:tr>
    </w:tbl>
    <w:p w:rsidR="003E180D" w:rsidP="003E180D" w14:paraId="45672A03" w14:textId="77777777">
      <w:pPr>
        <w:widowControl/>
        <w:spacing w:after="120"/>
        <w:ind w:left="360"/>
        <w:rPr>
          <w:rFonts w:ascii="Times New Roman" w:hAnsi="Times New Roman"/>
          <w:b/>
          <w:snapToGrid/>
          <w:sz w:val="24"/>
          <w:szCs w:val="24"/>
        </w:rPr>
      </w:pPr>
    </w:p>
    <w:p w:rsidR="00D60543" w:rsidRPr="003E180D" w:rsidP="00075889" w14:paraId="548FE903" w14:textId="5AC4A7D3">
      <w:pPr>
        <w:widowControl/>
        <w:numPr>
          <w:ilvl w:val="0"/>
          <w:numId w:val="3"/>
        </w:numPr>
        <w:tabs>
          <w:tab w:val="num" w:pos="360"/>
        </w:tabs>
        <w:spacing w:after="120"/>
        <w:ind w:left="360"/>
        <w:rPr>
          <w:rFonts w:ascii="Times New Roman" w:hAnsi="Times New Roman"/>
          <w:b/>
          <w:snapToGrid/>
          <w:sz w:val="24"/>
          <w:szCs w:val="24"/>
        </w:rPr>
      </w:pPr>
      <w:r w:rsidRPr="003E180D">
        <w:rPr>
          <w:rFonts w:ascii="Times New Roman" w:hAnsi="Times New Roman"/>
          <w:b/>
          <w:snapToGrid/>
          <w:sz w:val="24"/>
          <w:szCs w:val="24"/>
        </w:rPr>
        <w:t xml:space="preserve">Estimates of Other Total Annual Cost Burden to Respondents and Record Keepers </w:t>
      </w:r>
    </w:p>
    <w:p w:rsidR="00D60543" w:rsidRPr="003E180D" w:rsidP="0071046D" w14:paraId="0A69333B" w14:textId="2F226C9A">
      <w:pPr>
        <w:widowControl/>
        <w:ind w:left="360"/>
        <w:rPr>
          <w:rFonts w:ascii="Times New Roman" w:hAnsi="Times New Roman"/>
          <w:snapToGrid/>
          <w:sz w:val="24"/>
          <w:szCs w:val="24"/>
        </w:rPr>
      </w:pPr>
      <w:r w:rsidRPr="003E180D">
        <w:rPr>
          <w:rFonts w:ascii="Times New Roman" w:hAnsi="Times New Roman"/>
          <w:snapToGrid/>
          <w:sz w:val="24"/>
          <w:szCs w:val="24"/>
        </w:rPr>
        <w:t>There are no additional costs to respondents.</w:t>
      </w:r>
    </w:p>
    <w:p w:rsidR="00D60543" w:rsidRPr="003E180D" w:rsidP="00DE529D" w14:paraId="00DF26E5" w14:textId="77777777">
      <w:pPr>
        <w:widowControl/>
        <w:ind w:left="360"/>
        <w:rPr>
          <w:rFonts w:ascii="Times New Roman" w:hAnsi="Times New Roman"/>
          <w:snapToGrid/>
          <w:sz w:val="24"/>
          <w:szCs w:val="24"/>
        </w:rPr>
      </w:pPr>
    </w:p>
    <w:p w:rsidR="002C3C4F" w:rsidRPr="003E180D"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3E180D">
        <w:rPr>
          <w:rFonts w:ascii="Times New Roman" w:hAnsi="Times New Roman"/>
          <w:b/>
          <w:snapToGrid/>
          <w:sz w:val="24"/>
          <w:szCs w:val="24"/>
        </w:rPr>
        <w:t>A</w:t>
      </w:r>
      <w:r w:rsidRPr="003E180D">
        <w:rPr>
          <w:rFonts w:ascii="Times New Roman" w:hAnsi="Times New Roman"/>
          <w:b/>
          <w:snapToGrid/>
          <w:sz w:val="24"/>
          <w:szCs w:val="24"/>
        </w:rPr>
        <w:t xml:space="preserve">nnualized Cost to the Federal Government </w:t>
      </w:r>
    </w:p>
    <w:p w:rsidR="007935D5" w:rsidRPr="003E180D" w:rsidP="00517782" w14:paraId="6B09616D" w14:textId="5BF778EA">
      <w:pPr>
        <w:widowControl/>
        <w:ind w:left="360"/>
        <w:rPr>
          <w:rFonts w:ascii="Times New Roman" w:hAnsi="Times New Roman"/>
          <w:snapToGrid/>
          <w:sz w:val="24"/>
          <w:szCs w:val="24"/>
        </w:rPr>
      </w:pPr>
      <w:r w:rsidRPr="003E180D">
        <w:rPr>
          <w:rFonts w:ascii="Times New Roman" w:hAnsi="Times New Roman"/>
          <w:snapToGrid/>
          <w:sz w:val="24"/>
          <w:szCs w:val="24"/>
        </w:rPr>
        <w:t xml:space="preserve">The estimated costs for the data collection for the </w:t>
      </w:r>
      <w:r w:rsidRPr="003E180D" w:rsidR="003719AD">
        <w:rPr>
          <w:rFonts w:ascii="Times New Roman" w:hAnsi="Times New Roman"/>
          <w:snapToGrid/>
          <w:sz w:val="24"/>
          <w:szCs w:val="24"/>
        </w:rPr>
        <w:t>evaluation of the Workshops and Academies</w:t>
      </w:r>
      <w:r w:rsidRPr="003E180D">
        <w:rPr>
          <w:rFonts w:ascii="Times New Roman" w:hAnsi="Times New Roman"/>
          <w:snapToGrid/>
          <w:sz w:val="24"/>
          <w:szCs w:val="24"/>
        </w:rPr>
        <w:t xml:space="preserve"> are noted in table A-3. The estimates include the loaded costs and fees of study; data collection; analysis; and report writing and dissemination. </w:t>
      </w:r>
      <w:r w:rsidRPr="003E180D" w:rsidR="00541E0F">
        <w:rPr>
          <w:rFonts w:ascii="Times New Roman" w:hAnsi="Times New Roman"/>
          <w:snapToGrid/>
          <w:sz w:val="24"/>
          <w:szCs w:val="24"/>
        </w:rPr>
        <w:t>Th</w:t>
      </w:r>
      <w:r w:rsidRPr="003E180D">
        <w:rPr>
          <w:rFonts w:ascii="Times New Roman" w:hAnsi="Times New Roman"/>
          <w:snapToGrid/>
          <w:sz w:val="24"/>
          <w:szCs w:val="24"/>
        </w:rPr>
        <w:t>e estimates also include other direct costs associated with these activities, such as costs for survey administration software</w:t>
      </w:r>
      <w:r w:rsidRPr="003E180D" w:rsidR="00541E0F">
        <w:rPr>
          <w:rFonts w:ascii="Times New Roman" w:hAnsi="Times New Roman"/>
          <w:snapToGrid/>
          <w:sz w:val="24"/>
          <w:szCs w:val="24"/>
        </w:rPr>
        <w:t xml:space="preserve"> and </w:t>
      </w:r>
      <w:r w:rsidRPr="003E180D">
        <w:rPr>
          <w:rFonts w:ascii="Times New Roman" w:hAnsi="Times New Roman"/>
          <w:snapToGrid/>
          <w:sz w:val="24"/>
          <w:szCs w:val="24"/>
        </w:rPr>
        <w:t>quantitative software packages (e.g., S</w:t>
      </w:r>
      <w:r w:rsidRPr="003E180D" w:rsidR="00541E0F">
        <w:rPr>
          <w:rFonts w:ascii="Times New Roman" w:hAnsi="Times New Roman"/>
          <w:snapToGrid/>
          <w:sz w:val="24"/>
          <w:szCs w:val="24"/>
        </w:rPr>
        <w:t>AS</w:t>
      </w:r>
      <w:r w:rsidRPr="003E180D">
        <w:rPr>
          <w:rFonts w:ascii="Times New Roman" w:hAnsi="Times New Roman"/>
          <w:snapToGrid/>
          <w:sz w:val="24"/>
          <w:szCs w:val="24"/>
        </w:rPr>
        <w:t>). The annual cost to the federal government for this collection is estimated to be $</w:t>
      </w:r>
      <w:r w:rsidRPr="003E180D" w:rsidR="00541E0F">
        <w:rPr>
          <w:rFonts w:ascii="Times New Roman" w:hAnsi="Times New Roman"/>
          <w:snapToGrid/>
          <w:sz w:val="24"/>
          <w:szCs w:val="24"/>
        </w:rPr>
        <w:t>25,009.60</w:t>
      </w:r>
      <w:r w:rsidRPr="003E180D">
        <w:rPr>
          <w:rFonts w:ascii="Times New Roman" w:hAnsi="Times New Roman"/>
          <w:snapToGrid/>
          <w:sz w:val="24"/>
          <w:szCs w:val="24"/>
        </w:rPr>
        <w:t xml:space="preserve"> for the evaluation of the Workshops and Academies</w:t>
      </w:r>
      <w:r w:rsidRPr="003E180D" w:rsidR="000C1401">
        <w:rPr>
          <w:rFonts w:ascii="Times New Roman" w:hAnsi="Times New Roman"/>
          <w:snapToGrid/>
          <w:sz w:val="24"/>
          <w:szCs w:val="24"/>
        </w:rPr>
        <w:t>.</w:t>
      </w:r>
    </w:p>
    <w:p w:rsidR="007935D5" w:rsidRPr="003E180D" w:rsidP="00DE529D" w14:paraId="61EB7859" w14:textId="77777777">
      <w:pPr>
        <w:widowControl/>
        <w:ind w:left="360"/>
        <w:rPr>
          <w:rFonts w:ascii="Times New Roman" w:hAnsi="Times New Roman"/>
          <w:snapToGrid/>
          <w:sz w:val="24"/>
          <w:szCs w:val="24"/>
        </w:rPr>
      </w:pPr>
    </w:p>
    <w:p w:rsidR="00541E0F" w:rsidRPr="003E180D" w:rsidP="00DE529D" w14:paraId="52A291F9" w14:textId="290A4E82">
      <w:pPr>
        <w:widowControl/>
        <w:ind w:left="360"/>
        <w:rPr>
          <w:rFonts w:ascii="Times New Roman" w:hAnsi="Times New Roman"/>
          <w:snapToGrid/>
          <w:sz w:val="24"/>
          <w:szCs w:val="24"/>
        </w:rPr>
      </w:pPr>
      <w:r w:rsidRPr="003E180D">
        <w:rPr>
          <w:rFonts w:ascii="Times New Roman" w:hAnsi="Times New Roman"/>
          <w:snapToGrid/>
          <w:sz w:val="24"/>
          <w:szCs w:val="24"/>
        </w:rPr>
        <w:t>Table A-3. Estimated Costs to the Federal Government</w:t>
      </w:r>
    </w:p>
    <w:tbl>
      <w:tblPr>
        <w:tblW w:w="5940" w:type="dxa"/>
        <w:tblInd w:w="3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230"/>
        <w:gridCol w:w="1710"/>
      </w:tblGrid>
      <w:tr w14:paraId="0202FF36" w14:textId="77777777" w:rsidTr="00A81E41">
        <w:tblPrEx>
          <w:tblW w:w="5940" w:type="dxa"/>
          <w:tblInd w:w="3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290"/>
        </w:trPr>
        <w:tc>
          <w:tcPr>
            <w:tcW w:w="4230" w:type="dxa"/>
            <w:shd w:val="clear" w:color="auto" w:fill="D9D9D9" w:themeFill="background1" w:themeFillShade="D9"/>
            <w:noWrap/>
            <w:vAlign w:val="bottom"/>
            <w:hideMark/>
          </w:tcPr>
          <w:p w:rsidR="003719AD" w:rsidRPr="003E180D" w:rsidP="003719AD" w14:paraId="450A6C1F" w14:textId="77777777">
            <w:pPr>
              <w:widowControl/>
              <w:rPr>
                <w:rFonts w:ascii="Times New Roman" w:hAnsi="Times New Roman"/>
                <w:b/>
                <w:bCs/>
                <w:snapToGrid/>
                <w:color w:val="000000"/>
              </w:rPr>
            </w:pPr>
            <w:r w:rsidRPr="003E180D">
              <w:rPr>
                <w:rFonts w:ascii="Times New Roman" w:hAnsi="Times New Roman"/>
                <w:b/>
                <w:bCs/>
                <w:snapToGrid/>
              </w:rPr>
              <w:t>Cost Category</w:t>
            </w:r>
          </w:p>
        </w:tc>
        <w:tc>
          <w:tcPr>
            <w:tcW w:w="1710" w:type="dxa"/>
            <w:shd w:val="clear" w:color="auto" w:fill="D9D9D9" w:themeFill="background1" w:themeFillShade="D9"/>
            <w:noWrap/>
            <w:vAlign w:val="bottom"/>
            <w:hideMark/>
          </w:tcPr>
          <w:p w:rsidR="003719AD" w:rsidRPr="003E180D" w:rsidP="003719AD" w14:paraId="3BE2AC91" w14:textId="77777777">
            <w:pPr>
              <w:widowControl/>
              <w:jc w:val="center"/>
              <w:rPr>
                <w:rFonts w:ascii="Times New Roman" w:hAnsi="Times New Roman"/>
                <w:b/>
                <w:bCs/>
                <w:snapToGrid/>
                <w:color w:val="000000"/>
              </w:rPr>
            </w:pPr>
            <w:r w:rsidRPr="003E180D">
              <w:rPr>
                <w:rFonts w:ascii="Times New Roman" w:hAnsi="Times New Roman"/>
                <w:b/>
                <w:bCs/>
                <w:snapToGrid/>
              </w:rPr>
              <w:t xml:space="preserve">Estimated Costs </w:t>
            </w:r>
          </w:p>
        </w:tc>
      </w:tr>
      <w:tr w14:paraId="04E9AFB6" w14:textId="77777777" w:rsidTr="009A102D">
        <w:tblPrEx>
          <w:tblW w:w="5940" w:type="dxa"/>
          <w:tblInd w:w="345" w:type="dxa"/>
          <w:tblLook w:val="04A0"/>
        </w:tblPrEx>
        <w:trPr>
          <w:trHeight w:val="290"/>
        </w:trPr>
        <w:tc>
          <w:tcPr>
            <w:tcW w:w="4230" w:type="dxa"/>
            <w:shd w:val="clear" w:color="auto" w:fill="auto"/>
            <w:noWrap/>
            <w:vAlign w:val="bottom"/>
          </w:tcPr>
          <w:p w:rsidR="00A10A5B" w:rsidRPr="003E180D" w:rsidP="003719AD" w14:paraId="3B4A0886" w14:textId="3FE337C3">
            <w:pPr>
              <w:widowControl/>
              <w:rPr>
                <w:rFonts w:ascii="Times New Roman" w:hAnsi="Times New Roman"/>
                <w:snapToGrid/>
                <w:color w:val="000000"/>
              </w:rPr>
            </w:pPr>
            <w:r w:rsidRPr="003E180D">
              <w:rPr>
                <w:rFonts w:ascii="Times New Roman" w:hAnsi="Times New Roman"/>
                <w:snapToGrid/>
                <w:color w:val="000000"/>
              </w:rPr>
              <w:t>Data Collection</w:t>
            </w:r>
          </w:p>
        </w:tc>
        <w:tc>
          <w:tcPr>
            <w:tcW w:w="1710" w:type="dxa"/>
            <w:shd w:val="clear" w:color="auto" w:fill="auto"/>
            <w:noWrap/>
            <w:vAlign w:val="bottom"/>
          </w:tcPr>
          <w:p w:rsidR="00A10A5B" w:rsidRPr="003E180D" w:rsidP="003719AD" w14:paraId="2235CC41" w14:textId="0ADF0EF5">
            <w:pPr>
              <w:widowControl/>
              <w:rPr>
                <w:rFonts w:ascii="Times New Roman" w:hAnsi="Times New Roman"/>
                <w:snapToGrid/>
                <w:color w:val="000000"/>
              </w:rPr>
            </w:pPr>
            <w:r w:rsidRPr="003E180D">
              <w:rPr>
                <w:rFonts w:ascii="Times New Roman" w:hAnsi="Times New Roman"/>
                <w:snapToGrid/>
                <w:color w:val="000000"/>
              </w:rPr>
              <w:t xml:space="preserve"> </w:t>
            </w:r>
            <w:r w:rsidRPr="003E180D">
              <w:rPr>
                <w:rFonts w:ascii="Times New Roman" w:hAnsi="Times New Roman"/>
                <w:snapToGrid/>
                <w:color w:val="000000"/>
              </w:rPr>
              <w:t>$  15,619.00</w:t>
            </w:r>
            <w:r w:rsidRPr="003E180D">
              <w:rPr>
                <w:rFonts w:ascii="Times New Roman" w:hAnsi="Times New Roman"/>
                <w:snapToGrid/>
                <w:color w:val="000000"/>
              </w:rPr>
              <w:t xml:space="preserve"> </w:t>
            </w:r>
          </w:p>
        </w:tc>
      </w:tr>
      <w:tr w14:paraId="2DDA2707" w14:textId="77777777" w:rsidTr="00CE6A51">
        <w:tblPrEx>
          <w:tblW w:w="5940" w:type="dxa"/>
          <w:tblInd w:w="345" w:type="dxa"/>
          <w:tblLook w:val="04A0"/>
        </w:tblPrEx>
        <w:trPr>
          <w:trHeight w:val="290"/>
        </w:trPr>
        <w:tc>
          <w:tcPr>
            <w:tcW w:w="4230" w:type="dxa"/>
            <w:shd w:val="clear" w:color="auto" w:fill="auto"/>
            <w:noWrap/>
            <w:vAlign w:val="bottom"/>
            <w:hideMark/>
          </w:tcPr>
          <w:p w:rsidR="00A10A5B" w:rsidRPr="003E180D" w:rsidP="003719AD" w14:paraId="14068148" w14:textId="2A4D7BB0">
            <w:pPr>
              <w:widowControl/>
              <w:rPr>
                <w:rFonts w:ascii="Times New Roman" w:hAnsi="Times New Roman"/>
                <w:snapToGrid/>
                <w:color w:val="000000"/>
              </w:rPr>
            </w:pPr>
            <w:r w:rsidRPr="003E180D">
              <w:rPr>
                <w:rFonts w:ascii="Times New Roman" w:hAnsi="Times New Roman"/>
                <w:snapToGrid/>
                <w:color w:val="000000"/>
              </w:rPr>
              <w:t>Analysis</w:t>
            </w:r>
          </w:p>
        </w:tc>
        <w:tc>
          <w:tcPr>
            <w:tcW w:w="1710" w:type="dxa"/>
            <w:shd w:val="clear" w:color="auto" w:fill="auto"/>
            <w:noWrap/>
            <w:vAlign w:val="bottom"/>
            <w:hideMark/>
          </w:tcPr>
          <w:p w:rsidR="00A10A5B" w:rsidRPr="003E180D" w:rsidP="003719AD" w14:paraId="589A686B" w14:textId="798EC8A1">
            <w:pPr>
              <w:widowControl/>
              <w:rPr>
                <w:rFonts w:ascii="Times New Roman" w:hAnsi="Times New Roman"/>
                <w:snapToGrid/>
                <w:color w:val="000000"/>
              </w:rPr>
            </w:pPr>
            <w:r w:rsidRPr="003E180D">
              <w:rPr>
                <w:rFonts w:ascii="Times New Roman" w:hAnsi="Times New Roman"/>
                <w:snapToGrid/>
                <w:color w:val="000000"/>
              </w:rPr>
              <w:t xml:space="preserve"> $   62,477.00 </w:t>
            </w:r>
          </w:p>
        </w:tc>
      </w:tr>
      <w:tr w14:paraId="57CD358D" w14:textId="77777777" w:rsidTr="00CE6A51">
        <w:tblPrEx>
          <w:tblW w:w="5940" w:type="dxa"/>
          <w:tblInd w:w="345" w:type="dxa"/>
          <w:tblLook w:val="04A0"/>
        </w:tblPrEx>
        <w:trPr>
          <w:trHeight w:val="290"/>
        </w:trPr>
        <w:tc>
          <w:tcPr>
            <w:tcW w:w="4230" w:type="dxa"/>
            <w:shd w:val="clear" w:color="auto" w:fill="auto"/>
            <w:noWrap/>
            <w:vAlign w:val="bottom"/>
            <w:hideMark/>
          </w:tcPr>
          <w:p w:rsidR="00A10A5B" w:rsidRPr="003E180D" w:rsidP="003719AD" w14:paraId="67696BF3" w14:textId="75B3C371">
            <w:pPr>
              <w:widowControl/>
              <w:rPr>
                <w:rFonts w:ascii="Times New Roman" w:hAnsi="Times New Roman"/>
                <w:snapToGrid/>
                <w:color w:val="000000"/>
              </w:rPr>
            </w:pPr>
            <w:r w:rsidRPr="003E180D">
              <w:rPr>
                <w:rFonts w:ascii="Times New Roman" w:hAnsi="Times New Roman"/>
                <w:snapToGrid/>
                <w:color w:val="000000"/>
              </w:rPr>
              <w:t>Publications/Dissemination</w:t>
            </w:r>
          </w:p>
        </w:tc>
        <w:tc>
          <w:tcPr>
            <w:tcW w:w="1710" w:type="dxa"/>
            <w:shd w:val="clear" w:color="auto" w:fill="auto"/>
            <w:noWrap/>
            <w:vAlign w:val="bottom"/>
            <w:hideMark/>
          </w:tcPr>
          <w:p w:rsidR="00A10A5B" w:rsidRPr="003E180D" w:rsidP="003719AD" w14:paraId="525F3613" w14:textId="0C5DC91B">
            <w:pPr>
              <w:widowControl/>
              <w:rPr>
                <w:rFonts w:ascii="Times New Roman" w:hAnsi="Times New Roman"/>
                <w:snapToGrid/>
                <w:color w:val="000000"/>
              </w:rPr>
            </w:pPr>
            <w:r w:rsidRPr="003E180D">
              <w:rPr>
                <w:rFonts w:ascii="Times New Roman" w:hAnsi="Times New Roman"/>
                <w:snapToGrid/>
                <w:color w:val="000000"/>
              </w:rPr>
              <w:t xml:space="preserve"> $   31,328.00 </w:t>
            </w:r>
          </w:p>
        </w:tc>
      </w:tr>
      <w:tr w14:paraId="02077C39" w14:textId="77777777" w:rsidTr="00CE6A51">
        <w:tblPrEx>
          <w:tblW w:w="5940" w:type="dxa"/>
          <w:tblInd w:w="345" w:type="dxa"/>
          <w:tblLook w:val="04A0"/>
        </w:tblPrEx>
        <w:trPr>
          <w:trHeight w:val="290"/>
        </w:trPr>
        <w:tc>
          <w:tcPr>
            <w:tcW w:w="4230" w:type="dxa"/>
            <w:shd w:val="clear" w:color="auto" w:fill="auto"/>
            <w:noWrap/>
            <w:vAlign w:val="bottom"/>
            <w:hideMark/>
          </w:tcPr>
          <w:p w:rsidR="00A10A5B" w:rsidRPr="003E180D" w:rsidP="003719AD" w14:paraId="046CEBC5" w14:textId="04F8B873">
            <w:pPr>
              <w:widowControl/>
              <w:rPr>
                <w:rFonts w:ascii="Times New Roman" w:hAnsi="Times New Roman"/>
                <w:snapToGrid/>
                <w:color w:val="000000"/>
              </w:rPr>
            </w:pPr>
            <w:r w:rsidRPr="003E180D">
              <w:rPr>
                <w:rFonts w:ascii="Times New Roman" w:hAnsi="Times New Roman"/>
                <w:b/>
                <w:bCs/>
                <w:snapToGrid/>
                <w:color w:val="000000"/>
              </w:rPr>
              <w:t>Annual costs</w:t>
            </w:r>
          </w:p>
        </w:tc>
        <w:tc>
          <w:tcPr>
            <w:tcW w:w="1710" w:type="dxa"/>
            <w:shd w:val="clear" w:color="auto" w:fill="auto"/>
            <w:noWrap/>
            <w:vAlign w:val="bottom"/>
            <w:hideMark/>
          </w:tcPr>
          <w:p w:rsidR="00A10A5B" w:rsidRPr="003E180D" w:rsidP="003719AD" w14:paraId="619D9E7C" w14:textId="54C8CAA0">
            <w:pPr>
              <w:widowControl/>
              <w:rPr>
                <w:rFonts w:ascii="Times New Roman" w:hAnsi="Times New Roman"/>
                <w:snapToGrid/>
                <w:color w:val="000000"/>
              </w:rPr>
            </w:pPr>
            <w:r w:rsidRPr="003E180D">
              <w:rPr>
                <w:rFonts w:ascii="Times New Roman" w:hAnsi="Times New Roman"/>
                <w:b/>
                <w:bCs/>
                <w:snapToGrid/>
                <w:color w:val="000000"/>
              </w:rPr>
              <w:t xml:space="preserve"> $   25,009.60 </w:t>
            </w:r>
          </w:p>
        </w:tc>
      </w:tr>
    </w:tbl>
    <w:p w:rsidR="00DE529D" w:rsidRPr="003E180D" w:rsidP="00DE529D" w14:paraId="35C07DCF" w14:textId="77777777">
      <w:pPr>
        <w:widowControl/>
        <w:ind w:left="360"/>
        <w:rPr>
          <w:rFonts w:ascii="Times New Roman" w:hAnsi="Times New Roman"/>
          <w:snapToGrid/>
          <w:sz w:val="24"/>
          <w:szCs w:val="24"/>
        </w:rPr>
      </w:pPr>
    </w:p>
    <w:p w:rsidR="002C3C4F" w:rsidRPr="003E180D"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3E180D">
        <w:rPr>
          <w:rFonts w:ascii="Times New Roman" w:hAnsi="Times New Roman"/>
          <w:b/>
          <w:snapToGrid/>
          <w:sz w:val="24"/>
          <w:szCs w:val="24"/>
        </w:rPr>
        <w:t xml:space="preserve">Explanation for Program Changes or Adjustments </w:t>
      </w:r>
    </w:p>
    <w:p w:rsidR="00F53832" w:rsidRPr="003E180D" w:rsidP="004F7B95" w14:paraId="1946BAE2" w14:textId="33E51A37">
      <w:pPr>
        <w:widowControl/>
        <w:ind w:left="360"/>
        <w:rPr>
          <w:rFonts w:ascii="Times New Roman" w:hAnsi="Times New Roman"/>
          <w:snapToGrid/>
          <w:sz w:val="24"/>
          <w:szCs w:val="24"/>
        </w:rPr>
      </w:pPr>
      <w:r w:rsidRPr="003E180D">
        <w:rPr>
          <w:rFonts w:ascii="Times New Roman" w:hAnsi="Times New Roman"/>
          <w:snapToGrid/>
          <w:sz w:val="24"/>
          <w:szCs w:val="24"/>
        </w:rPr>
        <w:t xml:space="preserve">This proposed </w:t>
      </w:r>
      <w:r w:rsidRPr="003E180D" w:rsidR="00A81E41">
        <w:rPr>
          <w:rFonts w:ascii="Times New Roman" w:hAnsi="Times New Roman"/>
          <w:snapToGrid/>
          <w:sz w:val="24"/>
          <w:szCs w:val="24"/>
        </w:rPr>
        <w:t xml:space="preserve">extension </w:t>
      </w:r>
      <w:r w:rsidRPr="003E180D">
        <w:rPr>
          <w:rFonts w:ascii="Times New Roman" w:hAnsi="Times New Roman"/>
          <w:snapToGrid/>
          <w:sz w:val="24"/>
          <w:szCs w:val="24"/>
        </w:rPr>
        <w:t xml:space="preserve">of OMB ICR #0970 – 0576 </w:t>
      </w:r>
      <w:r w:rsidRPr="003E180D">
        <w:rPr>
          <w:rFonts w:ascii="Times New Roman" w:hAnsi="Times New Roman"/>
          <w:snapToGrid/>
          <w:sz w:val="24"/>
          <w:szCs w:val="24"/>
        </w:rPr>
        <w:t xml:space="preserve">will allow for the continued </w:t>
      </w:r>
      <w:r w:rsidRPr="003E180D" w:rsidR="007F2B45">
        <w:rPr>
          <w:rFonts w:ascii="Times New Roman" w:hAnsi="Times New Roman"/>
          <w:snapToGrid/>
          <w:sz w:val="24"/>
          <w:szCs w:val="24"/>
        </w:rPr>
        <w:t xml:space="preserve">administration of three data collection instruments </w:t>
      </w:r>
      <w:r w:rsidRPr="003E180D">
        <w:rPr>
          <w:rFonts w:ascii="Times New Roman" w:hAnsi="Times New Roman"/>
          <w:snapToGrid/>
          <w:sz w:val="24"/>
          <w:szCs w:val="24"/>
        </w:rPr>
        <w:t xml:space="preserve">to </w:t>
      </w:r>
      <w:r w:rsidRPr="003E180D" w:rsidR="0018069B">
        <w:rPr>
          <w:rFonts w:ascii="Times New Roman" w:hAnsi="Times New Roman"/>
          <w:snapToGrid/>
          <w:sz w:val="24"/>
          <w:szCs w:val="24"/>
        </w:rPr>
        <w:t xml:space="preserve">inform continuous quality improvement as </w:t>
      </w:r>
      <w:r w:rsidRPr="003E180D" w:rsidR="00B75CD3">
        <w:rPr>
          <w:rFonts w:ascii="Times New Roman" w:hAnsi="Times New Roman"/>
          <w:snapToGrid/>
          <w:sz w:val="24"/>
          <w:szCs w:val="24"/>
        </w:rPr>
        <w:t>CLJIA</w:t>
      </w:r>
      <w:r w:rsidRPr="003E180D" w:rsidR="0018069B">
        <w:rPr>
          <w:rFonts w:ascii="Times New Roman" w:hAnsi="Times New Roman"/>
          <w:snapToGrid/>
          <w:sz w:val="24"/>
          <w:szCs w:val="24"/>
        </w:rPr>
        <w:t xml:space="preserve"> continues to </w:t>
      </w:r>
      <w:r w:rsidRPr="003E180D">
        <w:rPr>
          <w:rFonts w:ascii="Times New Roman" w:hAnsi="Times New Roman"/>
          <w:snapToGrid/>
          <w:sz w:val="24"/>
          <w:szCs w:val="24"/>
        </w:rPr>
        <w:t xml:space="preserve">make the </w:t>
      </w:r>
      <w:r w:rsidRPr="003E180D" w:rsidR="007F2B45">
        <w:rPr>
          <w:rFonts w:ascii="Times New Roman" w:hAnsi="Times New Roman"/>
          <w:snapToGrid/>
          <w:sz w:val="24"/>
          <w:szCs w:val="24"/>
        </w:rPr>
        <w:t>Workshops and Academies</w:t>
      </w:r>
      <w:r w:rsidRPr="003E180D">
        <w:rPr>
          <w:rFonts w:ascii="Times New Roman" w:hAnsi="Times New Roman"/>
          <w:snapToGrid/>
          <w:sz w:val="24"/>
          <w:szCs w:val="24"/>
        </w:rPr>
        <w:t xml:space="preserve"> available to more CIPs, judges and attorneys</w:t>
      </w:r>
      <w:r w:rsidRPr="003E180D">
        <w:rPr>
          <w:rFonts w:ascii="Times New Roman" w:hAnsi="Times New Roman"/>
          <w:snapToGrid/>
          <w:sz w:val="24"/>
          <w:szCs w:val="24"/>
        </w:rPr>
        <w:t xml:space="preserve">. </w:t>
      </w:r>
      <w:r w:rsidRPr="003E180D">
        <w:rPr>
          <w:rFonts w:ascii="Times New Roman" w:hAnsi="Times New Roman"/>
          <w:snapToGrid/>
          <w:sz w:val="24"/>
          <w:szCs w:val="24"/>
        </w:rPr>
        <w:t>There are no changes to the</w:t>
      </w:r>
      <w:r w:rsidRPr="003E180D" w:rsidR="0018069B">
        <w:rPr>
          <w:rFonts w:ascii="Times New Roman" w:hAnsi="Times New Roman"/>
          <w:snapToGrid/>
          <w:sz w:val="24"/>
          <w:szCs w:val="24"/>
        </w:rPr>
        <w:t xml:space="preserve"> three</w:t>
      </w:r>
      <w:r w:rsidRPr="003E180D">
        <w:rPr>
          <w:rFonts w:ascii="Times New Roman" w:hAnsi="Times New Roman"/>
          <w:snapToGrid/>
          <w:sz w:val="24"/>
          <w:szCs w:val="24"/>
        </w:rPr>
        <w:t xml:space="preserve"> data collection instruments and procedures</w:t>
      </w:r>
      <w:r w:rsidRPr="003E180D" w:rsidR="00B75CD3">
        <w:rPr>
          <w:rFonts w:ascii="Times New Roman" w:hAnsi="Times New Roman"/>
          <w:snapToGrid/>
          <w:sz w:val="24"/>
          <w:szCs w:val="24"/>
        </w:rPr>
        <w:t>.</w:t>
      </w:r>
      <w:r>
        <w:rPr>
          <w:rStyle w:val="FootnoteReference"/>
          <w:rFonts w:ascii="Times New Roman" w:hAnsi="Times New Roman"/>
          <w:snapToGrid/>
          <w:sz w:val="24"/>
          <w:szCs w:val="24"/>
        </w:rPr>
        <w:footnoteReference w:id="2"/>
      </w:r>
      <w:r w:rsidRPr="003E180D">
        <w:rPr>
          <w:rFonts w:ascii="Times New Roman" w:hAnsi="Times New Roman"/>
          <w:snapToGrid/>
          <w:sz w:val="24"/>
          <w:szCs w:val="24"/>
        </w:rPr>
        <w:t xml:space="preserve"> </w:t>
      </w:r>
      <w:r w:rsidRPr="003E180D" w:rsidR="00A81E41">
        <w:rPr>
          <w:rFonts w:ascii="Times New Roman" w:hAnsi="Times New Roman"/>
          <w:snapToGrid/>
          <w:sz w:val="24"/>
          <w:szCs w:val="24"/>
        </w:rPr>
        <w:t>The new burden estimates cover burden for the additional CIPs, judges and attorneys to be served by the CLJIA Academies and Workshops</w:t>
      </w:r>
      <w:r w:rsidRPr="003E180D" w:rsidR="00A26C89">
        <w:rPr>
          <w:rFonts w:ascii="Times New Roman" w:hAnsi="Times New Roman"/>
          <w:snapToGrid/>
          <w:sz w:val="24"/>
          <w:szCs w:val="24"/>
        </w:rPr>
        <w:t xml:space="preserve"> in </w:t>
      </w:r>
      <w:r w:rsidRPr="003E180D" w:rsidR="000C1401">
        <w:rPr>
          <w:rFonts w:ascii="Times New Roman" w:hAnsi="Times New Roman"/>
          <w:snapToGrid/>
          <w:sz w:val="24"/>
          <w:szCs w:val="24"/>
        </w:rPr>
        <w:t>future years</w:t>
      </w:r>
      <w:r w:rsidRPr="003E180D" w:rsidR="00A81E41">
        <w:rPr>
          <w:rFonts w:ascii="Times New Roman" w:hAnsi="Times New Roman"/>
          <w:snapToGrid/>
          <w:sz w:val="24"/>
          <w:szCs w:val="24"/>
        </w:rPr>
        <w:t>.</w:t>
      </w:r>
    </w:p>
    <w:p w:rsidR="00F53832" w:rsidRPr="003E180D" w:rsidP="004F7B95" w14:paraId="061EC9EA" w14:textId="77777777">
      <w:pPr>
        <w:widowControl/>
        <w:ind w:left="360"/>
        <w:rPr>
          <w:rFonts w:ascii="Times New Roman" w:hAnsi="Times New Roman"/>
          <w:snapToGrid/>
          <w:sz w:val="24"/>
          <w:szCs w:val="24"/>
        </w:rPr>
      </w:pPr>
    </w:p>
    <w:p w:rsidR="002C3C4F" w:rsidRPr="003E180D"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3E180D">
        <w:rPr>
          <w:rFonts w:ascii="Times New Roman" w:hAnsi="Times New Roman"/>
          <w:b/>
          <w:snapToGrid/>
          <w:sz w:val="24"/>
          <w:szCs w:val="24"/>
        </w:rPr>
        <w:t xml:space="preserve">Plans for Tabulation and Publication and Project Time Schedule </w:t>
      </w:r>
    </w:p>
    <w:p w:rsidR="00D60543" w:rsidRPr="003E180D" w:rsidP="00DE529D" w14:paraId="34078ADA" w14:textId="5FCE0EAA">
      <w:pPr>
        <w:widowControl/>
        <w:ind w:left="360"/>
        <w:rPr>
          <w:rFonts w:ascii="Times New Roman" w:hAnsi="Times New Roman"/>
          <w:snapToGrid/>
          <w:sz w:val="24"/>
          <w:szCs w:val="24"/>
        </w:rPr>
      </w:pPr>
      <w:r w:rsidRPr="003E180D">
        <w:rPr>
          <w:rFonts w:ascii="Times New Roman" w:hAnsi="Times New Roman"/>
          <w:snapToGrid/>
          <w:sz w:val="24"/>
          <w:szCs w:val="24"/>
        </w:rPr>
        <w:t>The specified evaluation of Workshops and Academies will be implemented over the next five years. This includes ongoing data collection</w:t>
      </w:r>
      <w:r w:rsidRPr="003E180D" w:rsidR="00073A9A">
        <w:rPr>
          <w:rFonts w:ascii="Times New Roman" w:hAnsi="Times New Roman"/>
          <w:snapToGrid/>
          <w:sz w:val="24"/>
          <w:szCs w:val="24"/>
        </w:rPr>
        <w:t xml:space="preserve"> following each Academy or Workshop</w:t>
      </w:r>
      <w:r w:rsidRPr="003E180D">
        <w:rPr>
          <w:rFonts w:ascii="Times New Roman" w:hAnsi="Times New Roman"/>
          <w:snapToGrid/>
          <w:sz w:val="24"/>
          <w:szCs w:val="24"/>
        </w:rPr>
        <w:t>, which will begin again immediately after OMB approval and continue throughout the OMB approval window</w:t>
      </w:r>
      <w:r w:rsidRPr="003E180D" w:rsidR="000C1401">
        <w:rPr>
          <w:rFonts w:ascii="Times New Roman" w:hAnsi="Times New Roman"/>
          <w:snapToGrid/>
          <w:sz w:val="24"/>
          <w:szCs w:val="24"/>
        </w:rPr>
        <w:t xml:space="preserve"> (an extension ICR will be submitted to OMB to cover the final years of data collection)</w:t>
      </w:r>
      <w:r w:rsidRPr="003E180D">
        <w:rPr>
          <w:rFonts w:ascii="Times New Roman" w:hAnsi="Times New Roman"/>
          <w:snapToGrid/>
          <w:sz w:val="24"/>
          <w:szCs w:val="24"/>
        </w:rPr>
        <w:t xml:space="preserve">. Descriptive analysis and reporting will continue throughout the period following each </w:t>
      </w:r>
      <w:r w:rsidRPr="003E180D" w:rsidR="00B75CD3">
        <w:rPr>
          <w:rFonts w:ascii="Times New Roman" w:hAnsi="Times New Roman"/>
          <w:snapToGrid/>
          <w:sz w:val="24"/>
          <w:szCs w:val="24"/>
        </w:rPr>
        <w:t>W</w:t>
      </w:r>
      <w:r w:rsidRPr="003E180D">
        <w:rPr>
          <w:rFonts w:ascii="Times New Roman" w:hAnsi="Times New Roman"/>
          <w:snapToGrid/>
          <w:sz w:val="24"/>
          <w:szCs w:val="24"/>
        </w:rPr>
        <w:t xml:space="preserve">orkshop or </w:t>
      </w:r>
      <w:r w:rsidRPr="003E180D" w:rsidR="00B75CD3">
        <w:rPr>
          <w:rFonts w:ascii="Times New Roman" w:hAnsi="Times New Roman"/>
          <w:snapToGrid/>
          <w:sz w:val="24"/>
          <w:szCs w:val="24"/>
        </w:rPr>
        <w:t>A</w:t>
      </w:r>
      <w:r w:rsidRPr="003E180D">
        <w:rPr>
          <w:rFonts w:ascii="Times New Roman" w:hAnsi="Times New Roman"/>
          <w:snapToGrid/>
          <w:sz w:val="24"/>
          <w:szCs w:val="24"/>
        </w:rPr>
        <w:t>cademy. Findings from information collections will be summarized and tabulated in a series of internal presentations to team members within a month of the service to inform continuous quality improvement. We will also develop a</w:t>
      </w:r>
      <w:r w:rsidRPr="003E180D" w:rsidR="00073A9A">
        <w:rPr>
          <w:rFonts w:ascii="Times New Roman" w:hAnsi="Times New Roman"/>
          <w:snapToGrid/>
          <w:sz w:val="24"/>
          <w:szCs w:val="24"/>
        </w:rPr>
        <w:t xml:space="preserve">n </w:t>
      </w:r>
      <w:r w:rsidRPr="003E180D" w:rsidR="00073A9A">
        <w:rPr>
          <w:rFonts w:ascii="Times New Roman" w:hAnsi="Times New Roman"/>
          <w:snapToGrid/>
          <w:sz w:val="24"/>
          <w:szCs w:val="24"/>
        </w:rPr>
        <w:t>internal</w:t>
      </w:r>
      <w:r w:rsidRPr="003E180D">
        <w:rPr>
          <w:rFonts w:ascii="Times New Roman" w:hAnsi="Times New Roman"/>
          <w:snapToGrid/>
          <w:sz w:val="24"/>
          <w:szCs w:val="24"/>
        </w:rPr>
        <w:t xml:space="preserve"> data dashboard to provide the team with more efficient access to </w:t>
      </w:r>
      <w:r w:rsidRPr="003E180D" w:rsidR="00073A9A">
        <w:rPr>
          <w:rFonts w:ascii="Times New Roman" w:hAnsi="Times New Roman"/>
          <w:snapToGrid/>
          <w:sz w:val="24"/>
          <w:szCs w:val="24"/>
        </w:rPr>
        <w:t xml:space="preserve">aggregated </w:t>
      </w:r>
      <w:r w:rsidRPr="003E180D">
        <w:rPr>
          <w:rFonts w:ascii="Times New Roman" w:hAnsi="Times New Roman"/>
          <w:snapToGrid/>
          <w:sz w:val="24"/>
          <w:szCs w:val="24"/>
        </w:rPr>
        <w:t>findings</w:t>
      </w:r>
      <w:r w:rsidRPr="003E180D" w:rsidR="00073A9A">
        <w:rPr>
          <w:rFonts w:ascii="Times New Roman" w:hAnsi="Times New Roman"/>
          <w:snapToGrid/>
          <w:sz w:val="24"/>
          <w:szCs w:val="24"/>
        </w:rPr>
        <w:t xml:space="preserve"> within and across Workshops/Academies</w:t>
      </w:r>
      <w:r w:rsidRPr="003E180D">
        <w:rPr>
          <w:rFonts w:ascii="Times New Roman" w:hAnsi="Times New Roman"/>
          <w:snapToGrid/>
          <w:sz w:val="24"/>
          <w:szCs w:val="24"/>
        </w:rPr>
        <w:t xml:space="preserve">. </w:t>
      </w:r>
      <w:r w:rsidRPr="003E180D" w:rsidR="00073A9A">
        <w:rPr>
          <w:rFonts w:ascii="Times New Roman" w:hAnsi="Times New Roman"/>
          <w:snapToGrid/>
          <w:sz w:val="24"/>
          <w:szCs w:val="24"/>
        </w:rPr>
        <w:t xml:space="preserve"> Findings will also be shared in semi-annual and final reports to </w:t>
      </w:r>
      <w:r w:rsidRPr="003E180D" w:rsidR="00B75CD3">
        <w:rPr>
          <w:rFonts w:ascii="Times New Roman" w:hAnsi="Times New Roman"/>
          <w:snapToGrid/>
          <w:sz w:val="24"/>
          <w:szCs w:val="24"/>
        </w:rPr>
        <w:t>CB</w:t>
      </w:r>
      <w:r w:rsidRPr="003E180D" w:rsidR="00073A9A">
        <w:rPr>
          <w:rFonts w:ascii="Times New Roman" w:hAnsi="Times New Roman"/>
          <w:snapToGrid/>
          <w:sz w:val="24"/>
          <w:szCs w:val="24"/>
        </w:rPr>
        <w:t xml:space="preserve">. </w:t>
      </w:r>
      <w:r w:rsidRPr="003E180D">
        <w:rPr>
          <w:rFonts w:ascii="Times New Roman" w:hAnsi="Times New Roman"/>
          <w:snapToGrid/>
          <w:sz w:val="24"/>
          <w:szCs w:val="24"/>
        </w:rPr>
        <w:t>There is currently no plan to make the data collecte</w:t>
      </w:r>
      <w:r w:rsidRPr="003E180D" w:rsidR="00073A9A">
        <w:rPr>
          <w:rFonts w:ascii="Times New Roman" w:hAnsi="Times New Roman"/>
          <w:snapToGrid/>
          <w:sz w:val="24"/>
          <w:szCs w:val="24"/>
        </w:rPr>
        <w:t>d</w:t>
      </w:r>
      <w:r w:rsidRPr="003E180D">
        <w:rPr>
          <w:rFonts w:ascii="Times New Roman" w:hAnsi="Times New Roman"/>
          <w:snapToGrid/>
          <w:sz w:val="24"/>
          <w:szCs w:val="24"/>
        </w:rPr>
        <w:t xml:space="preserve"> available on</w:t>
      </w:r>
      <w:r w:rsidRPr="003E180D" w:rsidR="00073A9A">
        <w:rPr>
          <w:rFonts w:ascii="Times New Roman" w:hAnsi="Times New Roman"/>
          <w:snapToGrid/>
          <w:sz w:val="24"/>
          <w:szCs w:val="24"/>
        </w:rPr>
        <w:t xml:space="preserve"> the agency’s website or data.gov or in restricted-access public environments as the data are being used to guide internal decision making and are not anticipated to be of benefit to the public.</w:t>
      </w:r>
    </w:p>
    <w:p w:rsidR="007935D5" w:rsidRPr="003E180D" w:rsidP="00DE529D" w14:paraId="298DD100" w14:textId="77777777">
      <w:pPr>
        <w:widowControl/>
        <w:ind w:left="360"/>
        <w:rPr>
          <w:rFonts w:ascii="Times New Roman" w:hAnsi="Times New Roman"/>
          <w:snapToGrid/>
          <w:sz w:val="24"/>
          <w:szCs w:val="24"/>
        </w:rPr>
      </w:pPr>
    </w:p>
    <w:p w:rsidR="002C3C4F" w:rsidRPr="003E180D"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3E180D">
        <w:rPr>
          <w:rFonts w:ascii="Times New Roman" w:hAnsi="Times New Roman"/>
          <w:b/>
          <w:snapToGrid/>
          <w:sz w:val="24"/>
          <w:szCs w:val="24"/>
        </w:rPr>
        <w:t xml:space="preserve">Reason(s) Display of OMB Expiration Date is Inappropriate </w:t>
      </w:r>
    </w:p>
    <w:p w:rsidR="00D60543" w:rsidRPr="003E180D" w:rsidP="00DE529D" w14:paraId="71DC6EEE" w14:textId="0832B217">
      <w:pPr>
        <w:widowControl/>
        <w:ind w:left="360" w:hanging="90"/>
        <w:rPr>
          <w:rFonts w:ascii="Times New Roman" w:hAnsi="Times New Roman"/>
          <w:snapToGrid/>
          <w:sz w:val="24"/>
          <w:szCs w:val="24"/>
        </w:rPr>
      </w:pPr>
      <w:r w:rsidRPr="003E180D">
        <w:rPr>
          <w:rFonts w:ascii="Times New Roman" w:hAnsi="Times New Roman"/>
          <w:snapToGrid/>
          <w:sz w:val="24"/>
          <w:szCs w:val="24"/>
        </w:rPr>
        <w:t>Not applicable.</w:t>
      </w:r>
    </w:p>
    <w:p w:rsidR="00D60543" w:rsidRPr="003E180D" w:rsidP="00DE529D" w14:paraId="3C11407F" w14:textId="77777777">
      <w:pPr>
        <w:widowControl/>
        <w:ind w:left="360" w:hanging="90"/>
        <w:rPr>
          <w:rFonts w:ascii="Times New Roman" w:hAnsi="Times New Roman"/>
          <w:snapToGrid/>
          <w:sz w:val="24"/>
          <w:szCs w:val="24"/>
        </w:rPr>
      </w:pPr>
    </w:p>
    <w:p w:rsidR="002C3C4F" w:rsidRPr="003E180D"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3E180D">
        <w:rPr>
          <w:rFonts w:ascii="Times New Roman" w:hAnsi="Times New Roman"/>
          <w:b/>
          <w:snapToGrid/>
          <w:sz w:val="24"/>
          <w:szCs w:val="24"/>
        </w:rPr>
        <w:t>Exceptions to Certification for Paperwork Reduction Act Submissions</w:t>
      </w:r>
    </w:p>
    <w:p w:rsidR="007935D5" w:rsidRPr="003E180D" w:rsidP="00DE529D" w14:paraId="6A043934" w14:textId="585D56CD">
      <w:pPr>
        <w:widowControl/>
        <w:ind w:left="360"/>
        <w:rPr>
          <w:rFonts w:ascii="Times New Roman" w:hAnsi="Times New Roman"/>
          <w:snapToGrid/>
          <w:sz w:val="24"/>
          <w:szCs w:val="24"/>
        </w:rPr>
      </w:pPr>
      <w:r w:rsidRPr="003E180D">
        <w:rPr>
          <w:rFonts w:ascii="Times New Roman" w:hAnsi="Times New Roman"/>
          <w:snapToGrid/>
          <w:sz w:val="24"/>
          <w:szCs w:val="24"/>
        </w:rPr>
        <w:t>No exceptions are necessary for this information collection.</w:t>
      </w:r>
    </w:p>
    <w:p w:rsidR="00597E7F" w:rsidRPr="003E180D" w:rsidP="004753BB" w14:paraId="67CA458C" w14:textId="406BC832">
      <w:pPr>
        <w:pStyle w:val="ReportCover-Title"/>
        <w:rPr>
          <w:rFonts w:ascii="Times New Roman" w:hAnsi="Times New Roman"/>
          <w:b w:val="0"/>
          <w:bCs/>
          <w:sz w:val="24"/>
          <w:szCs w:val="24"/>
        </w:rPr>
      </w:pPr>
    </w:p>
    <w:p w:rsidR="00514C2B" w:rsidRPr="003E180D" w:rsidP="009A102D" w14:paraId="76014A62" w14:textId="1B1C7A24">
      <w:pPr>
        <w:pStyle w:val="ReportCover-Title"/>
        <w:spacing w:after="120" w:line="240" w:lineRule="auto"/>
        <w:rPr>
          <w:rFonts w:ascii="Times New Roman" w:hAnsi="Times New Roman"/>
          <w:color w:val="auto"/>
          <w:sz w:val="24"/>
          <w:szCs w:val="24"/>
        </w:rPr>
      </w:pPr>
      <w:bookmarkStart w:id="3" w:name="_Hlk187848360"/>
      <w:r w:rsidRPr="003E180D">
        <w:rPr>
          <w:rFonts w:ascii="Times New Roman" w:hAnsi="Times New Roman"/>
          <w:color w:val="auto"/>
          <w:sz w:val="24"/>
          <w:szCs w:val="24"/>
        </w:rPr>
        <w:t>Attachments</w:t>
      </w:r>
    </w:p>
    <w:p w:rsidR="000C1401" w:rsidRPr="003E180D" w:rsidP="009A102D" w14:paraId="0245E228" w14:textId="0959F9F9">
      <w:pPr>
        <w:pStyle w:val="ReportCover-Title"/>
        <w:numPr>
          <w:ilvl w:val="0"/>
          <w:numId w:val="22"/>
        </w:numPr>
        <w:spacing w:line="240" w:lineRule="auto"/>
        <w:rPr>
          <w:rFonts w:ascii="Times New Roman" w:hAnsi="Times New Roman"/>
          <w:b w:val="0"/>
          <w:bCs/>
          <w:color w:val="auto"/>
          <w:sz w:val="24"/>
          <w:szCs w:val="24"/>
        </w:rPr>
      </w:pPr>
      <w:r w:rsidRPr="003E180D">
        <w:rPr>
          <w:rFonts w:ascii="Times New Roman" w:hAnsi="Times New Roman"/>
          <w:b w:val="0"/>
          <w:bCs/>
          <w:color w:val="auto"/>
          <w:sz w:val="24"/>
          <w:szCs w:val="24"/>
        </w:rPr>
        <w:t>Appendix 1 – Relevant Child Abuse Prevention and Treatment Act (CAPTA) Sections</w:t>
      </w:r>
    </w:p>
    <w:p w:rsidR="000C1401" w:rsidRPr="003E180D" w:rsidP="000C1401" w14:paraId="0079734A" w14:textId="7B29145F">
      <w:pPr>
        <w:pStyle w:val="ReportCover-Title"/>
        <w:numPr>
          <w:ilvl w:val="0"/>
          <w:numId w:val="22"/>
        </w:numPr>
        <w:spacing w:line="240" w:lineRule="auto"/>
        <w:rPr>
          <w:rFonts w:ascii="Times New Roman" w:hAnsi="Times New Roman"/>
          <w:b w:val="0"/>
          <w:bCs/>
          <w:color w:val="auto"/>
          <w:sz w:val="24"/>
          <w:szCs w:val="24"/>
        </w:rPr>
      </w:pPr>
      <w:r w:rsidRPr="003E180D">
        <w:rPr>
          <w:rFonts w:ascii="Times New Roman" w:hAnsi="Times New Roman"/>
          <w:b w:val="0"/>
          <w:bCs/>
          <w:color w:val="auto"/>
          <w:sz w:val="24"/>
          <w:szCs w:val="24"/>
        </w:rPr>
        <w:t>Appendix 2 – Recruitment and Reminder Language</w:t>
      </w:r>
    </w:p>
    <w:p w:rsidR="00514C2B" w:rsidRPr="003E180D" w:rsidP="009A102D" w14:paraId="197219C3" w14:textId="1324C24C">
      <w:pPr>
        <w:pStyle w:val="ReportCover-Title"/>
        <w:numPr>
          <w:ilvl w:val="0"/>
          <w:numId w:val="22"/>
        </w:numPr>
        <w:spacing w:line="240" w:lineRule="auto"/>
        <w:rPr>
          <w:rFonts w:ascii="Times New Roman" w:hAnsi="Times New Roman"/>
          <w:b w:val="0"/>
          <w:bCs/>
          <w:color w:val="auto"/>
          <w:sz w:val="24"/>
          <w:szCs w:val="24"/>
        </w:rPr>
      </w:pPr>
      <w:r w:rsidRPr="003E180D">
        <w:rPr>
          <w:rFonts w:ascii="Times New Roman" w:hAnsi="Times New Roman"/>
          <w:b w:val="0"/>
          <w:bCs/>
          <w:color w:val="auto"/>
          <w:sz w:val="24"/>
          <w:szCs w:val="24"/>
        </w:rPr>
        <w:t>Instrument 1</w:t>
      </w:r>
      <w:r w:rsidRPr="003E180D" w:rsidR="000C1401">
        <w:rPr>
          <w:rFonts w:ascii="Times New Roman" w:hAnsi="Times New Roman"/>
          <w:b w:val="0"/>
          <w:bCs/>
          <w:color w:val="auto"/>
          <w:sz w:val="24"/>
          <w:szCs w:val="24"/>
        </w:rPr>
        <w:t xml:space="preserve"> –</w:t>
      </w:r>
      <w:r w:rsidRPr="003E180D">
        <w:rPr>
          <w:rFonts w:ascii="Times New Roman" w:hAnsi="Times New Roman"/>
          <w:b w:val="0"/>
          <w:bCs/>
          <w:color w:val="auto"/>
          <w:sz w:val="24"/>
          <w:szCs w:val="24"/>
        </w:rPr>
        <w:t xml:space="preserve"> Workshop Feedback Survey</w:t>
      </w:r>
    </w:p>
    <w:p w:rsidR="00514C2B" w:rsidRPr="003E180D" w:rsidP="009A102D" w14:paraId="495308BC" w14:textId="043E8E64">
      <w:pPr>
        <w:pStyle w:val="ReportCover-Title"/>
        <w:numPr>
          <w:ilvl w:val="0"/>
          <w:numId w:val="22"/>
        </w:numPr>
        <w:spacing w:line="240" w:lineRule="auto"/>
        <w:rPr>
          <w:rFonts w:ascii="Times New Roman" w:hAnsi="Times New Roman"/>
          <w:b w:val="0"/>
          <w:bCs/>
          <w:color w:val="auto"/>
          <w:sz w:val="24"/>
          <w:szCs w:val="24"/>
        </w:rPr>
      </w:pPr>
      <w:r w:rsidRPr="003E180D">
        <w:rPr>
          <w:rFonts w:ascii="Times New Roman" w:hAnsi="Times New Roman"/>
          <w:b w:val="0"/>
          <w:bCs/>
          <w:color w:val="auto"/>
          <w:sz w:val="24"/>
          <w:szCs w:val="24"/>
        </w:rPr>
        <w:t xml:space="preserve">Instrument 2 </w:t>
      </w:r>
      <w:r w:rsidRPr="003E180D" w:rsidR="000C1401">
        <w:rPr>
          <w:rFonts w:ascii="Times New Roman" w:hAnsi="Times New Roman"/>
          <w:b w:val="0"/>
          <w:bCs/>
          <w:color w:val="auto"/>
          <w:sz w:val="24"/>
          <w:szCs w:val="24"/>
        </w:rPr>
        <w:t xml:space="preserve">– </w:t>
      </w:r>
      <w:r w:rsidRPr="003E180D">
        <w:rPr>
          <w:rFonts w:ascii="Times New Roman" w:hAnsi="Times New Roman"/>
          <w:b w:val="0"/>
          <w:bCs/>
          <w:color w:val="auto"/>
          <w:sz w:val="24"/>
          <w:szCs w:val="24"/>
        </w:rPr>
        <w:t>Academy Feedback Survey</w:t>
      </w:r>
    </w:p>
    <w:p w:rsidR="00514C2B" w:rsidRPr="003E180D" w:rsidP="009A102D" w14:paraId="0FA4DB12" w14:textId="6EE94F51">
      <w:pPr>
        <w:pStyle w:val="ReportCover-Title"/>
        <w:numPr>
          <w:ilvl w:val="0"/>
          <w:numId w:val="22"/>
        </w:numPr>
        <w:spacing w:line="240" w:lineRule="auto"/>
        <w:rPr>
          <w:rFonts w:ascii="Times New Roman" w:hAnsi="Times New Roman"/>
          <w:b w:val="0"/>
          <w:bCs/>
          <w:color w:val="auto"/>
          <w:sz w:val="24"/>
          <w:szCs w:val="24"/>
        </w:rPr>
      </w:pPr>
      <w:r w:rsidRPr="003E180D">
        <w:rPr>
          <w:rFonts w:ascii="Times New Roman" w:hAnsi="Times New Roman"/>
          <w:b w:val="0"/>
          <w:bCs/>
          <w:color w:val="auto"/>
          <w:sz w:val="24"/>
          <w:szCs w:val="24"/>
        </w:rPr>
        <w:t xml:space="preserve">Instrument 3 </w:t>
      </w:r>
      <w:r w:rsidRPr="003E180D" w:rsidR="000C1401">
        <w:rPr>
          <w:rFonts w:ascii="Times New Roman" w:hAnsi="Times New Roman"/>
          <w:b w:val="0"/>
          <w:bCs/>
          <w:color w:val="auto"/>
          <w:sz w:val="24"/>
          <w:szCs w:val="24"/>
        </w:rPr>
        <w:t xml:space="preserve">– </w:t>
      </w:r>
      <w:r w:rsidRPr="003E180D">
        <w:rPr>
          <w:rFonts w:ascii="Times New Roman" w:hAnsi="Times New Roman"/>
          <w:b w:val="0"/>
          <w:bCs/>
          <w:color w:val="auto"/>
          <w:sz w:val="24"/>
          <w:szCs w:val="24"/>
        </w:rPr>
        <w:t>Academy Pre/Post Assessment</w:t>
      </w:r>
    </w:p>
    <w:bookmarkEnd w:id="3"/>
    <w:p w:rsidR="00514C2B" w:rsidP="004753BB" w14:paraId="2D6C8AE0" w14:textId="77777777">
      <w:pPr>
        <w:pStyle w:val="ReportCover-Title"/>
        <w:rPr>
          <w:rFonts w:ascii="Times New Roman" w:hAnsi="Times New Roman"/>
          <w:b w:val="0"/>
          <w:bCs/>
          <w:sz w:val="24"/>
          <w:szCs w:val="24"/>
        </w:rPr>
      </w:pPr>
    </w:p>
    <w:sectPr w:rsidSect="003E180D">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990"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02C4C" w14:paraId="202939A0" w14:textId="77777777">
      <w:pPr>
        <w:spacing w:line="20" w:lineRule="exact"/>
        <w:rPr>
          <w:sz w:val="24"/>
        </w:rPr>
      </w:pPr>
    </w:p>
  </w:endnote>
  <w:endnote w:type="continuationSeparator" w:id="1">
    <w:p w:rsidR="00402C4C" w14:paraId="1FDC7C84" w14:textId="77777777">
      <w:r>
        <w:rPr>
          <w:sz w:val="24"/>
        </w:rPr>
        <w:t xml:space="preserve"> </w:t>
      </w:r>
    </w:p>
  </w:endnote>
  <w:endnote w:type="continuationNotice" w:id="2">
    <w:p w:rsidR="00402C4C" w14:paraId="1A30FD7A"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02C4C" w14:paraId="17C37DD1" w14:textId="77777777">
      <w:r>
        <w:rPr>
          <w:sz w:val="24"/>
        </w:rPr>
        <w:separator/>
      </w:r>
    </w:p>
  </w:footnote>
  <w:footnote w:type="continuationSeparator" w:id="1">
    <w:p w:rsidR="00402C4C" w14:paraId="4347A3F3" w14:textId="77777777">
      <w:r>
        <w:continuationSeparator/>
      </w:r>
    </w:p>
  </w:footnote>
  <w:footnote w:id="2">
    <w:p w:rsidR="003B2FB9" w14:paraId="2E1E8852" w14:textId="5AA25BDF">
      <w:pPr>
        <w:pStyle w:val="FootnoteText"/>
      </w:pPr>
      <w:r>
        <w:rPr>
          <w:rStyle w:val="FootnoteReference"/>
        </w:rPr>
        <w:footnoteRef/>
      </w:r>
      <w:r>
        <w:t xml:space="preserve"> </w:t>
      </w:r>
      <w:r>
        <w:rPr>
          <w:rFonts w:ascii="Times New Roman" w:hAnsi="Times New Roman"/>
          <w:snapToGrid/>
          <w:szCs w:val="24"/>
        </w:rPr>
        <w:t>The Workshop Feedback Surveys are customized for each workshop to assess knowledge gain around the specific learning objectives for each workshop</w:t>
      </w:r>
      <w:r w:rsidR="009461D0">
        <w:rPr>
          <w:rFonts w:ascii="Times New Roman" w:hAnsi="Times New Roman"/>
          <w:snapToGrid/>
          <w:szCs w:val="24"/>
        </w:rPr>
        <w:t>, although those do not vary greatly</w:t>
      </w:r>
      <w:r>
        <w:rPr>
          <w:rFonts w:ascii="Times New Roman" w:hAnsi="Times New Roman"/>
          <w:snapToGrid/>
          <w:szCs w:val="24"/>
        </w:rPr>
        <w:t>, as already approved under OMB ICR #</w:t>
      </w:r>
      <w:r w:rsidRPr="00F53832">
        <w:rPr>
          <w:rFonts w:ascii="Times New Roman" w:hAnsi="Times New Roman"/>
          <w:snapToGrid/>
          <w:szCs w:val="24"/>
        </w:rPr>
        <w:t xml:space="preserve">0970 </w:t>
      </w:r>
      <w:r>
        <w:rPr>
          <w:rFonts w:ascii="Times New Roman" w:hAnsi="Times New Roman"/>
          <w:snapToGrid/>
          <w:szCs w:val="24"/>
        </w:rPr>
        <w:t>–</w:t>
      </w:r>
      <w:r w:rsidRPr="00F53832">
        <w:rPr>
          <w:rFonts w:ascii="Times New Roman" w:hAnsi="Times New Roman"/>
          <w:snapToGrid/>
          <w:szCs w:val="24"/>
        </w:rPr>
        <w:t xml:space="preserve"> 0576</w:t>
      </w:r>
      <w:r>
        <w:rPr>
          <w:rFonts w:ascii="Times New Roman" w:hAnsi="Times New Roman"/>
          <w:snapToGrid/>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017441"/>
    <w:multiLevelType w:val="hybridMultilevel"/>
    <w:tmpl w:val="736EE19C"/>
    <w:lvl w:ilvl="0">
      <w:start w:val="438"/>
      <w:numFmt w:val="bullet"/>
      <w:lvlText w:val="-"/>
      <w:lvlJc w:val="left"/>
      <w:pPr>
        <w:ind w:left="78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737D24"/>
    <w:multiLevelType w:val="hybridMultilevel"/>
    <w:tmpl w:val="15E4551A"/>
    <w:lvl w:ilvl="0">
      <w:start w:val="43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8">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627859286">
    <w:abstractNumId w:val="13"/>
  </w:num>
  <w:num w:numId="2" w16cid:durableId="1912815335">
    <w:abstractNumId w:val="14"/>
  </w:num>
  <w:num w:numId="3" w16cid:durableId="1957056372">
    <w:abstractNumId w:val="16"/>
  </w:num>
  <w:num w:numId="4" w16cid:durableId="222568666">
    <w:abstractNumId w:val="6"/>
  </w:num>
  <w:num w:numId="5" w16cid:durableId="679887910">
    <w:abstractNumId w:val="9"/>
  </w:num>
  <w:num w:numId="6" w16cid:durableId="720401114">
    <w:abstractNumId w:val="12"/>
  </w:num>
  <w:num w:numId="7" w16cid:durableId="1149596270">
    <w:abstractNumId w:val="2"/>
  </w:num>
  <w:num w:numId="8" w16cid:durableId="425419442">
    <w:abstractNumId w:val="11"/>
  </w:num>
  <w:num w:numId="9" w16cid:durableId="1921478809">
    <w:abstractNumId w:val="17"/>
  </w:num>
  <w:num w:numId="10" w16cid:durableId="857810897">
    <w:abstractNumId w:val="10"/>
  </w:num>
  <w:num w:numId="11" w16cid:durableId="1213469639">
    <w:abstractNumId w:val="8"/>
  </w:num>
  <w:num w:numId="12" w16cid:durableId="1775516436">
    <w:abstractNumId w:val="0"/>
  </w:num>
  <w:num w:numId="13" w16cid:durableId="2122913808">
    <w:abstractNumId w:val="19"/>
  </w:num>
  <w:num w:numId="14" w16cid:durableId="1041437949">
    <w:abstractNumId w:val="1"/>
  </w:num>
  <w:num w:numId="15" w16cid:durableId="1454179251">
    <w:abstractNumId w:val="4"/>
  </w:num>
  <w:num w:numId="16" w16cid:durableId="1394238423">
    <w:abstractNumId w:val="15"/>
  </w:num>
  <w:num w:numId="17" w16cid:durableId="179048277">
    <w:abstractNumId w:val="20"/>
  </w:num>
  <w:num w:numId="18" w16cid:durableId="1028019572">
    <w:abstractNumId w:val="5"/>
  </w:num>
  <w:num w:numId="19" w16cid:durableId="606930512">
    <w:abstractNumId w:val="21"/>
  </w:num>
  <w:num w:numId="20" w16cid:durableId="400635298">
    <w:abstractNumId w:val="18"/>
  </w:num>
  <w:num w:numId="21" w16cid:durableId="788090511">
    <w:abstractNumId w:val="7"/>
  </w:num>
  <w:num w:numId="22" w16cid:durableId="739250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11620"/>
    <w:rsid w:val="0001386B"/>
    <w:rsid w:val="00015A21"/>
    <w:rsid w:val="00022586"/>
    <w:rsid w:val="00024B68"/>
    <w:rsid w:val="000270AC"/>
    <w:rsid w:val="00042405"/>
    <w:rsid w:val="0004607A"/>
    <w:rsid w:val="00056C4B"/>
    <w:rsid w:val="00062706"/>
    <w:rsid w:val="00064D6C"/>
    <w:rsid w:val="00073A9A"/>
    <w:rsid w:val="00075889"/>
    <w:rsid w:val="00080CE0"/>
    <w:rsid w:val="00085C1E"/>
    <w:rsid w:val="0009007E"/>
    <w:rsid w:val="000C1401"/>
    <w:rsid w:val="000C3224"/>
    <w:rsid w:val="000D6185"/>
    <w:rsid w:val="000F069F"/>
    <w:rsid w:val="000F301B"/>
    <w:rsid w:val="00101DD1"/>
    <w:rsid w:val="00102200"/>
    <w:rsid w:val="001023A0"/>
    <w:rsid w:val="001054BD"/>
    <w:rsid w:val="001120C3"/>
    <w:rsid w:val="001337B5"/>
    <w:rsid w:val="0014145B"/>
    <w:rsid w:val="00151ECA"/>
    <w:rsid w:val="00153EA7"/>
    <w:rsid w:val="0015625F"/>
    <w:rsid w:val="00160621"/>
    <w:rsid w:val="00167145"/>
    <w:rsid w:val="0017732F"/>
    <w:rsid w:val="00177813"/>
    <w:rsid w:val="00177894"/>
    <w:rsid w:val="0018069B"/>
    <w:rsid w:val="00183AD6"/>
    <w:rsid w:val="00186385"/>
    <w:rsid w:val="00191A88"/>
    <w:rsid w:val="00192877"/>
    <w:rsid w:val="001A2F29"/>
    <w:rsid w:val="001C0B64"/>
    <w:rsid w:val="001C3173"/>
    <w:rsid w:val="001C483C"/>
    <w:rsid w:val="001C7EE8"/>
    <w:rsid w:val="001C7FFE"/>
    <w:rsid w:val="001D1651"/>
    <w:rsid w:val="001D33CA"/>
    <w:rsid w:val="00222C7F"/>
    <w:rsid w:val="00226C42"/>
    <w:rsid w:val="00234235"/>
    <w:rsid w:val="00235369"/>
    <w:rsid w:val="0023778C"/>
    <w:rsid w:val="002464EB"/>
    <w:rsid w:val="002509BD"/>
    <w:rsid w:val="0025233F"/>
    <w:rsid w:val="002661D9"/>
    <w:rsid w:val="00290A1C"/>
    <w:rsid w:val="0029589B"/>
    <w:rsid w:val="00296738"/>
    <w:rsid w:val="002A77AB"/>
    <w:rsid w:val="002C3C4F"/>
    <w:rsid w:val="002D474B"/>
    <w:rsid w:val="002E10D1"/>
    <w:rsid w:val="002F6622"/>
    <w:rsid w:val="00302BF3"/>
    <w:rsid w:val="003405A4"/>
    <w:rsid w:val="00345C14"/>
    <w:rsid w:val="00346CC4"/>
    <w:rsid w:val="00354319"/>
    <w:rsid w:val="00361246"/>
    <w:rsid w:val="00367BD3"/>
    <w:rsid w:val="003719AD"/>
    <w:rsid w:val="003775A1"/>
    <w:rsid w:val="0038209B"/>
    <w:rsid w:val="003A3E14"/>
    <w:rsid w:val="003B1D73"/>
    <w:rsid w:val="003B2FB9"/>
    <w:rsid w:val="003B659D"/>
    <w:rsid w:val="003B7A50"/>
    <w:rsid w:val="003C074B"/>
    <w:rsid w:val="003C1D6E"/>
    <w:rsid w:val="003D391B"/>
    <w:rsid w:val="003D7B82"/>
    <w:rsid w:val="003E180D"/>
    <w:rsid w:val="003E679A"/>
    <w:rsid w:val="003E6EA3"/>
    <w:rsid w:val="003E79E5"/>
    <w:rsid w:val="00402C4C"/>
    <w:rsid w:val="00402D24"/>
    <w:rsid w:val="00405463"/>
    <w:rsid w:val="00405C10"/>
    <w:rsid w:val="004110F5"/>
    <w:rsid w:val="00422E1D"/>
    <w:rsid w:val="004419CF"/>
    <w:rsid w:val="004602FE"/>
    <w:rsid w:val="00467954"/>
    <w:rsid w:val="004753BB"/>
    <w:rsid w:val="00476C1F"/>
    <w:rsid w:val="00480072"/>
    <w:rsid w:val="004811B0"/>
    <w:rsid w:val="00481FC8"/>
    <w:rsid w:val="00490457"/>
    <w:rsid w:val="0049119A"/>
    <w:rsid w:val="004943E0"/>
    <w:rsid w:val="004C0154"/>
    <w:rsid w:val="004C521A"/>
    <w:rsid w:val="004D2796"/>
    <w:rsid w:val="004D3442"/>
    <w:rsid w:val="004F45CE"/>
    <w:rsid w:val="004F7B95"/>
    <w:rsid w:val="00500136"/>
    <w:rsid w:val="0051278C"/>
    <w:rsid w:val="00514C2B"/>
    <w:rsid w:val="00516911"/>
    <w:rsid w:val="00517782"/>
    <w:rsid w:val="00522C18"/>
    <w:rsid w:val="00524295"/>
    <w:rsid w:val="00541E0F"/>
    <w:rsid w:val="00541E51"/>
    <w:rsid w:val="0054480A"/>
    <w:rsid w:val="00550FD0"/>
    <w:rsid w:val="005520C3"/>
    <w:rsid w:val="00556056"/>
    <w:rsid w:val="005824BD"/>
    <w:rsid w:val="00590434"/>
    <w:rsid w:val="00597E7F"/>
    <w:rsid w:val="005A414B"/>
    <w:rsid w:val="005A6D3E"/>
    <w:rsid w:val="005B00FC"/>
    <w:rsid w:val="005B1236"/>
    <w:rsid w:val="005B22D4"/>
    <w:rsid w:val="005C60F1"/>
    <w:rsid w:val="005D0779"/>
    <w:rsid w:val="005D1B7E"/>
    <w:rsid w:val="005D274E"/>
    <w:rsid w:val="005D61DB"/>
    <w:rsid w:val="005D72D2"/>
    <w:rsid w:val="005E0B35"/>
    <w:rsid w:val="005F0ED4"/>
    <w:rsid w:val="00603498"/>
    <w:rsid w:val="006141EA"/>
    <w:rsid w:val="00634E1D"/>
    <w:rsid w:val="00640565"/>
    <w:rsid w:val="00646392"/>
    <w:rsid w:val="00651F0F"/>
    <w:rsid w:val="00674FAC"/>
    <w:rsid w:val="00681E38"/>
    <w:rsid w:val="006A473A"/>
    <w:rsid w:val="006B1006"/>
    <w:rsid w:val="006B2726"/>
    <w:rsid w:val="006B2A55"/>
    <w:rsid w:val="006B3726"/>
    <w:rsid w:val="006D1643"/>
    <w:rsid w:val="006D247F"/>
    <w:rsid w:val="006E434F"/>
    <w:rsid w:val="006E464D"/>
    <w:rsid w:val="006E6629"/>
    <w:rsid w:val="006F589F"/>
    <w:rsid w:val="006F68BE"/>
    <w:rsid w:val="0070231B"/>
    <w:rsid w:val="00707AFB"/>
    <w:rsid w:val="0071046D"/>
    <w:rsid w:val="0071058A"/>
    <w:rsid w:val="007147A4"/>
    <w:rsid w:val="00754BA6"/>
    <w:rsid w:val="007568EF"/>
    <w:rsid w:val="00762C40"/>
    <w:rsid w:val="00786793"/>
    <w:rsid w:val="00790D2C"/>
    <w:rsid w:val="007935D5"/>
    <w:rsid w:val="007A08F5"/>
    <w:rsid w:val="007A0FBE"/>
    <w:rsid w:val="007B6552"/>
    <w:rsid w:val="007B7734"/>
    <w:rsid w:val="007C09E4"/>
    <w:rsid w:val="007D3FF2"/>
    <w:rsid w:val="007D4C63"/>
    <w:rsid w:val="007E48CC"/>
    <w:rsid w:val="007E52BE"/>
    <w:rsid w:val="007F2B45"/>
    <w:rsid w:val="007F3976"/>
    <w:rsid w:val="0080325F"/>
    <w:rsid w:val="00803C66"/>
    <w:rsid w:val="00817E2B"/>
    <w:rsid w:val="008248CC"/>
    <w:rsid w:val="00834B00"/>
    <w:rsid w:val="00841BDF"/>
    <w:rsid w:val="00842C72"/>
    <w:rsid w:val="00844F4A"/>
    <w:rsid w:val="0084609A"/>
    <w:rsid w:val="00846E18"/>
    <w:rsid w:val="0088352A"/>
    <w:rsid w:val="008900A8"/>
    <w:rsid w:val="008955AC"/>
    <w:rsid w:val="008A1F26"/>
    <w:rsid w:val="008A2C11"/>
    <w:rsid w:val="008A7341"/>
    <w:rsid w:val="008C03C3"/>
    <w:rsid w:val="008D1967"/>
    <w:rsid w:val="008E7371"/>
    <w:rsid w:val="008F7221"/>
    <w:rsid w:val="009113FF"/>
    <w:rsid w:val="009339D9"/>
    <w:rsid w:val="00936A53"/>
    <w:rsid w:val="009451B1"/>
    <w:rsid w:val="00945B72"/>
    <w:rsid w:val="009461D0"/>
    <w:rsid w:val="00951C31"/>
    <w:rsid w:val="00957799"/>
    <w:rsid w:val="00962045"/>
    <w:rsid w:val="00966622"/>
    <w:rsid w:val="009A102D"/>
    <w:rsid w:val="009A5F07"/>
    <w:rsid w:val="009A74BD"/>
    <w:rsid w:val="009A791A"/>
    <w:rsid w:val="009C2DE1"/>
    <w:rsid w:val="009C5213"/>
    <w:rsid w:val="009D789F"/>
    <w:rsid w:val="009E6157"/>
    <w:rsid w:val="009E6BB5"/>
    <w:rsid w:val="009F5543"/>
    <w:rsid w:val="009F58E1"/>
    <w:rsid w:val="009F7D97"/>
    <w:rsid w:val="00A04D20"/>
    <w:rsid w:val="00A04EF3"/>
    <w:rsid w:val="00A057F0"/>
    <w:rsid w:val="00A05B31"/>
    <w:rsid w:val="00A10A5B"/>
    <w:rsid w:val="00A160B5"/>
    <w:rsid w:val="00A26C89"/>
    <w:rsid w:val="00A61AC0"/>
    <w:rsid w:val="00A7178E"/>
    <w:rsid w:val="00A77AC0"/>
    <w:rsid w:val="00A81E41"/>
    <w:rsid w:val="00A918E4"/>
    <w:rsid w:val="00AA4AC5"/>
    <w:rsid w:val="00AA7B9B"/>
    <w:rsid w:val="00AB5ED7"/>
    <w:rsid w:val="00AC2E7F"/>
    <w:rsid w:val="00AC50C8"/>
    <w:rsid w:val="00AD352A"/>
    <w:rsid w:val="00AD5ED7"/>
    <w:rsid w:val="00AE3185"/>
    <w:rsid w:val="00AF399C"/>
    <w:rsid w:val="00AF4347"/>
    <w:rsid w:val="00AF5FE7"/>
    <w:rsid w:val="00B10C28"/>
    <w:rsid w:val="00B11D7C"/>
    <w:rsid w:val="00B1302B"/>
    <w:rsid w:val="00B14349"/>
    <w:rsid w:val="00B262ED"/>
    <w:rsid w:val="00B27347"/>
    <w:rsid w:val="00B55237"/>
    <w:rsid w:val="00B62DB1"/>
    <w:rsid w:val="00B662CA"/>
    <w:rsid w:val="00B679B2"/>
    <w:rsid w:val="00B75CD3"/>
    <w:rsid w:val="00B84243"/>
    <w:rsid w:val="00B873E5"/>
    <w:rsid w:val="00B91345"/>
    <w:rsid w:val="00B914CD"/>
    <w:rsid w:val="00B91A75"/>
    <w:rsid w:val="00BD378C"/>
    <w:rsid w:val="00BD549F"/>
    <w:rsid w:val="00BE09A1"/>
    <w:rsid w:val="00C02282"/>
    <w:rsid w:val="00C06269"/>
    <w:rsid w:val="00C067E6"/>
    <w:rsid w:val="00C13BA6"/>
    <w:rsid w:val="00C1523D"/>
    <w:rsid w:val="00C15C71"/>
    <w:rsid w:val="00C22D3C"/>
    <w:rsid w:val="00C42CAC"/>
    <w:rsid w:val="00C539C3"/>
    <w:rsid w:val="00C71B8F"/>
    <w:rsid w:val="00C92601"/>
    <w:rsid w:val="00CA17E5"/>
    <w:rsid w:val="00CB1A12"/>
    <w:rsid w:val="00CE53AB"/>
    <w:rsid w:val="00CE6182"/>
    <w:rsid w:val="00CE6A51"/>
    <w:rsid w:val="00CF7877"/>
    <w:rsid w:val="00D02EF1"/>
    <w:rsid w:val="00D038CB"/>
    <w:rsid w:val="00D176EB"/>
    <w:rsid w:val="00D203FE"/>
    <w:rsid w:val="00D21316"/>
    <w:rsid w:val="00D344B2"/>
    <w:rsid w:val="00D4004F"/>
    <w:rsid w:val="00D41823"/>
    <w:rsid w:val="00D60543"/>
    <w:rsid w:val="00D67D80"/>
    <w:rsid w:val="00D7443D"/>
    <w:rsid w:val="00D761B0"/>
    <w:rsid w:val="00D806D3"/>
    <w:rsid w:val="00D83200"/>
    <w:rsid w:val="00D9648C"/>
    <w:rsid w:val="00D9720E"/>
    <w:rsid w:val="00DB2443"/>
    <w:rsid w:val="00DC1C23"/>
    <w:rsid w:val="00DC2EDB"/>
    <w:rsid w:val="00DD74C8"/>
    <w:rsid w:val="00DE529D"/>
    <w:rsid w:val="00E01B4E"/>
    <w:rsid w:val="00E25129"/>
    <w:rsid w:val="00E368FB"/>
    <w:rsid w:val="00E40EA0"/>
    <w:rsid w:val="00E4383A"/>
    <w:rsid w:val="00E6346F"/>
    <w:rsid w:val="00E700C3"/>
    <w:rsid w:val="00E83063"/>
    <w:rsid w:val="00E85963"/>
    <w:rsid w:val="00E878CE"/>
    <w:rsid w:val="00E97B82"/>
    <w:rsid w:val="00EB742B"/>
    <w:rsid w:val="00EC26A5"/>
    <w:rsid w:val="00EC698B"/>
    <w:rsid w:val="00ED782E"/>
    <w:rsid w:val="00EE52A0"/>
    <w:rsid w:val="00EE7175"/>
    <w:rsid w:val="00EE7FC8"/>
    <w:rsid w:val="00F0049A"/>
    <w:rsid w:val="00F02021"/>
    <w:rsid w:val="00F10B17"/>
    <w:rsid w:val="00F210CA"/>
    <w:rsid w:val="00F255F2"/>
    <w:rsid w:val="00F477F2"/>
    <w:rsid w:val="00F53832"/>
    <w:rsid w:val="00F56793"/>
    <w:rsid w:val="00F635C5"/>
    <w:rsid w:val="00F67964"/>
    <w:rsid w:val="00F71223"/>
    <w:rsid w:val="00F72F6D"/>
    <w:rsid w:val="00F73B9D"/>
    <w:rsid w:val="00F75837"/>
    <w:rsid w:val="00F824C4"/>
    <w:rsid w:val="00F83116"/>
    <w:rsid w:val="00F97914"/>
    <w:rsid w:val="00FA5092"/>
    <w:rsid w:val="00FA7E1A"/>
    <w:rsid w:val="00FB1DC7"/>
    <w:rsid w:val="00FB4221"/>
    <w:rsid w:val="00FB7547"/>
    <w:rsid w:val="00FC387D"/>
    <w:rsid w:val="00FC6E59"/>
    <w:rsid w:val="00FE0FDC"/>
    <w:rsid w:val="00FE730E"/>
    <w:rsid w:val="00FF7CE7"/>
    <w:rsid w:val="049BC524"/>
    <w:rsid w:val="0EF57BEA"/>
    <w:rsid w:val="3C16D1C5"/>
    <w:rsid w:val="43DCFA87"/>
    <w:rsid w:val="5A42027D"/>
    <w:rsid w:val="65D56E8D"/>
    <w:rsid w:val="77C5AD30"/>
    <w:rsid w:val="7B0E0B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table" w:customStyle="1" w:styleId="TableGrid1">
    <w:name w:val="Table Grid1"/>
    <w:basedOn w:val="TableNormal"/>
    <w:next w:val="TableGrid"/>
    <w:rsid w:val="00177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C3224"/>
    <w:rPr>
      <w:color w:val="605E5C"/>
      <w:shd w:val="clear" w:color="auto" w:fill="E1DFDD"/>
    </w:rPr>
  </w:style>
  <w:style w:type="character" w:styleId="FollowedHyperlink">
    <w:name w:val="FollowedHyperlink"/>
    <w:basedOn w:val="DefaultParagraphFont"/>
    <w:rsid w:val="00EE7F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4D934D-F0D8-4B0A-84B4-4ACB145EF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4.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3</TotalTime>
  <Pages>8</Pages>
  <Words>2538</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3</cp:revision>
  <dcterms:created xsi:type="dcterms:W3CDTF">2025-06-10T17:11:00Z</dcterms:created>
  <dcterms:modified xsi:type="dcterms:W3CDTF">2025-06-10T17:18:00Z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