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E12" w:rsidP="001F3E12" w14:paraId="15FF80FB" w14:textId="77777777">
      <w:pPr>
        <w:pStyle w:val="ReportCover-Title"/>
        <w:jc w:val="center"/>
        <w:rPr>
          <w:rFonts w:ascii="Arial" w:eastAsia="Arial Unicode MS" w:hAnsi="Arial" w:cs="Arial"/>
          <w:noProof/>
          <w:color w:val="auto"/>
        </w:rPr>
      </w:pPr>
      <w:r>
        <w:rPr>
          <w:rFonts w:ascii="Arial" w:eastAsia="Arial Unicode MS" w:hAnsi="Arial" w:cs="Arial"/>
          <w:noProof/>
          <w:color w:val="auto"/>
        </w:rPr>
        <w:t xml:space="preserve">Evaluation of the Center for Legal and Judicial Innovation and Advancement (CLJIA) </w:t>
      </w:r>
    </w:p>
    <w:p w:rsidR="00597E7F" w:rsidRPr="00160621" w:rsidP="001F3E12" w14:paraId="4CCFB17D" w14:textId="502B5402">
      <w:pPr>
        <w:pStyle w:val="ReportCover-Title"/>
        <w:jc w:val="center"/>
        <w:rPr>
          <w:rFonts w:ascii="Arial" w:hAnsi="Arial" w:cs="Arial"/>
          <w:color w:val="auto"/>
        </w:rPr>
      </w:pPr>
      <w:r w:rsidRPr="001F3E12">
        <w:rPr>
          <w:rFonts w:ascii="Arial" w:eastAsia="Arial Unicode MS" w:hAnsi="Arial" w:cs="Arial"/>
          <w:noProof/>
          <w:color w:val="auto"/>
          <w:sz w:val="36"/>
          <w:szCs w:val="36"/>
        </w:rPr>
        <w:t>(previously Evaluation of the Capacity Building Collaborative)</w:t>
      </w: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7691DB4F">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A577F">
        <w:rPr>
          <w:rFonts w:ascii="Arial" w:hAnsi="Arial" w:cs="Arial"/>
          <w:color w:val="auto"/>
          <w:sz w:val="32"/>
          <w:szCs w:val="32"/>
        </w:rPr>
        <w:t>0576</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08C152AC">
      <w:pPr>
        <w:pStyle w:val="ReportCover-Date"/>
        <w:jc w:val="center"/>
        <w:rPr>
          <w:rFonts w:ascii="Arial" w:hAnsi="Arial" w:cs="Arial"/>
          <w:color w:val="auto"/>
        </w:rPr>
      </w:pPr>
      <w:r>
        <w:rPr>
          <w:rFonts w:ascii="Arial" w:hAnsi="Arial" w:cs="Arial"/>
          <w:color w:val="auto"/>
        </w:rPr>
        <w:t>June</w:t>
      </w:r>
      <w:r w:rsidR="00696896">
        <w:rPr>
          <w:rFonts w:ascii="Arial" w:hAnsi="Arial" w:cs="Arial"/>
          <w:color w:val="auto"/>
        </w:rPr>
        <w:t xml:space="preserve"> </w:t>
      </w:r>
      <w:r w:rsidR="00CA577F">
        <w:rPr>
          <w:rFonts w:ascii="Arial" w:hAnsi="Arial" w:cs="Arial"/>
          <w:color w:val="auto"/>
        </w:rPr>
        <w:t>202</w:t>
      </w:r>
      <w:r w:rsidR="00696896">
        <w:rPr>
          <w:rFonts w:ascii="Arial" w:hAnsi="Arial" w:cs="Arial"/>
          <w:color w:val="auto"/>
        </w:rPr>
        <w:t>5</w:t>
      </w:r>
    </w:p>
    <w:p w:rsidR="00597E7F" w:rsidP="1AF156E2" w14:paraId="149F0017" w14:textId="5FA7EDF3">
      <w:pPr>
        <w:jc w:val="center"/>
        <w:rPr>
          <w:rFonts w:ascii="Arial" w:eastAsia="Arial" w:hAnsi="Arial" w:cs="Arial"/>
          <w:sz w:val="32"/>
          <w:szCs w:val="32"/>
        </w:rPr>
      </w:pPr>
      <w:r w:rsidRPr="1AF156E2">
        <w:rPr>
          <w:rFonts w:ascii="Arial" w:eastAsia="Arial" w:hAnsi="Arial" w:cs="Arial"/>
          <w:b/>
          <w:bCs/>
          <w:color w:val="000000" w:themeColor="text1"/>
          <w:sz w:val="32"/>
          <w:szCs w:val="32"/>
        </w:rPr>
        <w:t>Type of Request:</w:t>
      </w:r>
      <w:r w:rsidRPr="1AF156E2">
        <w:rPr>
          <w:rFonts w:ascii="Arial" w:eastAsia="Arial" w:hAnsi="Arial" w:cs="Arial"/>
          <w:color w:val="000000" w:themeColor="text1"/>
          <w:sz w:val="32"/>
          <w:szCs w:val="32"/>
        </w:rPr>
        <w:t xml:space="preserve"> Revision</w:t>
      </w: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CA577F" w:rsidP="00CA577F" w14:paraId="3744F1C4" w14:textId="34E8F2B1">
      <w:pPr>
        <w:jc w:val="center"/>
        <w:rPr>
          <w:rFonts w:ascii="Arial" w:hAnsi="Arial" w:cs="Arial"/>
        </w:rPr>
      </w:pPr>
      <w:r>
        <w:rPr>
          <w:rFonts w:ascii="Arial" w:hAnsi="Arial" w:cs="Arial"/>
        </w:rPr>
        <w:t>Children’s Bureau</w:t>
      </w:r>
    </w:p>
    <w:p w:rsidR="00CA577F" w:rsidRPr="00160621" w:rsidP="00CA577F" w14:paraId="141B8137" w14:textId="44FA513F">
      <w:pPr>
        <w:jc w:val="center"/>
        <w:rPr>
          <w:rFonts w:ascii="Arial" w:hAnsi="Arial" w:cs="Arial"/>
        </w:rPr>
      </w:pPr>
      <w:r>
        <w:rPr>
          <w:rFonts w:ascii="Arial" w:hAnsi="Arial" w:cs="Arial"/>
        </w:rPr>
        <w:t>Administration on Children, Youth and Families</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P="00597E7F" w14:paraId="3AD0F90E" w14:textId="77777777">
      <w:pPr>
        <w:jc w:val="center"/>
        <w:rPr>
          <w:rFonts w:ascii="Arial" w:hAnsi="Arial" w:cs="Arial"/>
        </w:rPr>
      </w:pPr>
      <w:r w:rsidRPr="00160621">
        <w:rPr>
          <w:rFonts w:ascii="Arial" w:hAnsi="Arial" w:cs="Arial"/>
        </w:rPr>
        <w:t>U.S. Department of Health and Human Services</w:t>
      </w:r>
    </w:p>
    <w:p w:rsidR="00603901" w:rsidRPr="00160621" w:rsidP="00597E7F" w14:paraId="3826ED95" w14:textId="77777777">
      <w:pPr>
        <w:jc w:val="center"/>
        <w:rPr>
          <w:rFonts w:ascii="Arial" w:hAnsi="Arial" w:cs="Arial"/>
        </w:rPr>
      </w:pPr>
    </w:p>
    <w:p w:rsidR="00597E7F" w:rsidP="00CA0DD2" w14:paraId="64FF9A6E" w14:textId="77777777">
      <w:pPr>
        <w:rPr>
          <w:rFonts w:ascii="Arial" w:hAnsi="Arial" w:cs="Arial"/>
        </w:rPr>
      </w:pPr>
    </w:p>
    <w:p w:rsidR="007935D5" w:rsidRPr="004F7B95" w:rsidP="00CA0DD2" w14:paraId="3B00A509" w14:textId="2E4D07E2">
      <w:pPr>
        <w:widowControl/>
        <w:rPr>
          <w:rFonts w:ascii="Times New Roman" w:hAnsi="Times New Roman"/>
          <w:snapToGrid/>
          <w:sz w:val="24"/>
          <w:szCs w:val="24"/>
        </w:rPr>
      </w:pP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817E2B" w:rsidP="00DE529D" w14:paraId="6C5F5D53" w14:textId="5E86D818">
      <w:pPr>
        <w:widowControl/>
        <w:ind w:left="360"/>
        <w:rPr>
          <w:rFonts w:ascii="Times New Roman" w:hAnsi="Times New Roman"/>
          <w:snapToGrid/>
          <w:sz w:val="24"/>
          <w:szCs w:val="24"/>
        </w:rPr>
      </w:pPr>
      <w:r>
        <w:rPr>
          <w:rFonts w:ascii="Times New Roman" w:hAnsi="Times New Roman"/>
          <w:snapToGrid/>
          <w:sz w:val="24"/>
          <w:szCs w:val="24"/>
        </w:rPr>
        <w:t xml:space="preserve">Data collection for the </w:t>
      </w:r>
      <w:r w:rsidRPr="00A26C89" w:rsidR="0067495B">
        <w:rPr>
          <w:rFonts w:ascii="Times New Roman" w:hAnsi="Times New Roman"/>
          <w:snapToGrid/>
          <w:sz w:val="24"/>
          <w:szCs w:val="24"/>
        </w:rPr>
        <w:t>Center for Legal and Judicial Innovation and Advancement (</w:t>
      </w:r>
      <w:r w:rsidR="005E51C9">
        <w:rPr>
          <w:rFonts w:ascii="Times New Roman" w:hAnsi="Times New Roman"/>
          <w:snapToGrid/>
          <w:sz w:val="24"/>
          <w:szCs w:val="24"/>
        </w:rPr>
        <w:t>CLJIA</w:t>
      </w:r>
      <w:r w:rsidR="0067495B">
        <w:rPr>
          <w:rFonts w:ascii="Times New Roman" w:hAnsi="Times New Roman"/>
          <w:snapToGrid/>
          <w:sz w:val="24"/>
          <w:szCs w:val="24"/>
        </w:rPr>
        <w:t xml:space="preserve">) </w:t>
      </w:r>
      <w:r>
        <w:rPr>
          <w:rFonts w:ascii="Times New Roman" w:hAnsi="Times New Roman"/>
          <w:snapToGrid/>
          <w:sz w:val="24"/>
          <w:szCs w:val="24"/>
        </w:rPr>
        <w:t xml:space="preserve">Academies and Workshops targets the universe of participants in these services, including </w:t>
      </w:r>
      <w:r w:rsidR="0067495B">
        <w:rPr>
          <w:rFonts w:ascii="Times New Roman" w:hAnsi="Times New Roman"/>
          <w:snapToGrid/>
          <w:sz w:val="24"/>
          <w:szCs w:val="24"/>
        </w:rPr>
        <w:t>court improvement programs (</w:t>
      </w:r>
      <w:r w:rsidR="00E43B46">
        <w:rPr>
          <w:rFonts w:ascii="Times New Roman" w:hAnsi="Times New Roman"/>
          <w:snapToGrid/>
          <w:sz w:val="24"/>
          <w:szCs w:val="24"/>
        </w:rPr>
        <w:t>CIP</w:t>
      </w:r>
      <w:r w:rsidR="0067495B">
        <w:rPr>
          <w:rFonts w:ascii="Times New Roman" w:hAnsi="Times New Roman"/>
          <w:snapToGrid/>
          <w:sz w:val="24"/>
          <w:szCs w:val="24"/>
        </w:rPr>
        <w:t>)</w:t>
      </w:r>
      <w:r w:rsidR="00E43B46">
        <w:rPr>
          <w:rFonts w:ascii="Times New Roman" w:hAnsi="Times New Roman"/>
          <w:snapToGrid/>
          <w:sz w:val="24"/>
          <w:szCs w:val="24"/>
        </w:rPr>
        <w:t xml:space="preserve"> staff and court professionals (e.g., judges, attorneys) </w:t>
      </w:r>
      <w:r w:rsidR="001534A4">
        <w:rPr>
          <w:rFonts w:ascii="Times New Roman" w:hAnsi="Times New Roman"/>
          <w:snapToGrid/>
          <w:sz w:val="24"/>
          <w:szCs w:val="24"/>
        </w:rPr>
        <w:t>who participate in C</w:t>
      </w:r>
      <w:r w:rsidR="005E51C9">
        <w:rPr>
          <w:rFonts w:ascii="Times New Roman" w:hAnsi="Times New Roman"/>
          <w:snapToGrid/>
          <w:sz w:val="24"/>
          <w:szCs w:val="24"/>
        </w:rPr>
        <w:t xml:space="preserve">LJIA </w:t>
      </w:r>
      <w:r w:rsidR="001534A4">
        <w:rPr>
          <w:rFonts w:ascii="Times New Roman" w:hAnsi="Times New Roman"/>
          <w:snapToGrid/>
          <w:sz w:val="24"/>
          <w:szCs w:val="24"/>
        </w:rPr>
        <w:t>services, specifically Academies and Workshops</w:t>
      </w:r>
      <w:r>
        <w:rPr>
          <w:rFonts w:ascii="Times New Roman" w:hAnsi="Times New Roman"/>
          <w:snapToGrid/>
          <w:sz w:val="24"/>
          <w:szCs w:val="24"/>
        </w:rPr>
        <w:t xml:space="preserve">. </w:t>
      </w:r>
      <w:r w:rsidR="001534A4">
        <w:rPr>
          <w:rFonts w:ascii="Times New Roman" w:hAnsi="Times New Roman"/>
          <w:snapToGrid/>
          <w:sz w:val="24"/>
          <w:szCs w:val="24"/>
        </w:rPr>
        <w:t xml:space="preserve">This data collection uses a census – all participants in the Academies and </w:t>
      </w:r>
      <w:r w:rsidR="00FB6DF3">
        <w:rPr>
          <w:rFonts w:ascii="Times New Roman" w:hAnsi="Times New Roman"/>
          <w:snapToGrid/>
          <w:sz w:val="24"/>
          <w:szCs w:val="24"/>
        </w:rPr>
        <w:t>Workshops</w:t>
      </w:r>
      <w:r w:rsidR="001534A4">
        <w:rPr>
          <w:rFonts w:ascii="Times New Roman" w:hAnsi="Times New Roman"/>
          <w:snapToGrid/>
          <w:sz w:val="24"/>
          <w:szCs w:val="24"/>
        </w:rPr>
        <w:t xml:space="preserve"> are invited to participate in the surveys/assessments—so the universe of respondents and sample size estimates are equivalent.</w:t>
      </w:r>
      <w:r>
        <w:rPr>
          <w:rFonts w:ascii="Times New Roman" w:hAnsi="Times New Roman"/>
          <w:snapToGrid/>
          <w:sz w:val="24"/>
          <w:szCs w:val="24"/>
        </w:rPr>
        <w:t xml:space="preserve"> The universe of respondents (and equivalent sample size) is estimated based on the estimated </w:t>
      </w:r>
      <w:r w:rsidR="00936210">
        <w:rPr>
          <w:rFonts w:ascii="Times New Roman" w:hAnsi="Times New Roman"/>
          <w:snapToGrid/>
          <w:sz w:val="24"/>
          <w:szCs w:val="24"/>
        </w:rPr>
        <w:t xml:space="preserve">attendance and </w:t>
      </w:r>
      <w:r>
        <w:rPr>
          <w:rFonts w:ascii="Times New Roman" w:hAnsi="Times New Roman"/>
          <w:snapToGrid/>
          <w:sz w:val="24"/>
          <w:szCs w:val="24"/>
        </w:rPr>
        <w:t xml:space="preserve">number of </w:t>
      </w:r>
      <w:r w:rsidR="00F65CC6">
        <w:rPr>
          <w:rFonts w:ascii="Times New Roman" w:hAnsi="Times New Roman"/>
          <w:snapToGrid/>
          <w:sz w:val="24"/>
          <w:szCs w:val="24"/>
        </w:rPr>
        <w:t>A</w:t>
      </w:r>
      <w:r w:rsidR="00F401AE">
        <w:rPr>
          <w:rFonts w:ascii="Times New Roman" w:hAnsi="Times New Roman"/>
          <w:snapToGrid/>
          <w:sz w:val="24"/>
          <w:szCs w:val="24"/>
        </w:rPr>
        <w:t xml:space="preserve">cademies and </w:t>
      </w:r>
      <w:r w:rsidR="00F65CC6">
        <w:rPr>
          <w:rFonts w:ascii="Times New Roman" w:hAnsi="Times New Roman"/>
          <w:snapToGrid/>
          <w:sz w:val="24"/>
          <w:szCs w:val="24"/>
        </w:rPr>
        <w:t>W</w:t>
      </w:r>
      <w:r>
        <w:rPr>
          <w:rFonts w:ascii="Times New Roman" w:hAnsi="Times New Roman"/>
          <w:snapToGrid/>
          <w:sz w:val="24"/>
          <w:szCs w:val="24"/>
        </w:rPr>
        <w:t>orkshops</w:t>
      </w:r>
      <w:r w:rsidR="00F401AE">
        <w:rPr>
          <w:rFonts w:ascii="Times New Roman" w:hAnsi="Times New Roman"/>
          <w:snapToGrid/>
          <w:sz w:val="24"/>
          <w:szCs w:val="24"/>
        </w:rPr>
        <w:t xml:space="preserve"> </w:t>
      </w:r>
      <w:r>
        <w:rPr>
          <w:rFonts w:ascii="Times New Roman" w:hAnsi="Times New Roman"/>
          <w:snapToGrid/>
          <w:sz w:val="24"/>
          <w:szCs w:val="24"/>
        </w:rPr>
        <w:t xml:space="preserve">to be hosted over the five-year period. </w:t>
      </w:r>
    </w:p>
    <w:p w:rsidR="00F92EE4" w:rsidP="00DE529D" w14:paraId="7CDE1466" w14:textId="77777777">
      <w:pPr>
        <w:widowControl/>
        <w:ind w:left="360"/>
        <w:rPr>
          <w:rFonts w:ascii="Times New Roman" w:hAnsi="Times New Roman"/>
          <w:snapToGrid/>
          <w:sz w:val="24"/>
          <w:szCs w:val="24"/>
        </w:rPr>
      </w:pPr>
    </w:p>
    <w:p w:rsidR="00F92EE4" w:rsidP="00DE529D" w14:paraId="22C68B15" w14:textId="52F17834">
      <w:pPr>
        <w:widowControl/>
        <w:ind w:left="360"/>
        <w:rPr>
          <w:rFonts w:ascii="Times New Roman" w:hAnsi="Times New Roman"/>
          <w:snapToGrid/>
          <w:sz w:val="24"/>
          <w:szCs w:val="24"/>
        </w:rPr>
      </w:pPr>
      <w:r>
        <w:rPr>
          <w:rFonts w:ascii="Times New Roman" w:hAnsi="Times New Roman"/>
          <w:snapToGrid/>
          <w:sz w:val="24"/>
          <w:szCs w:val="24"/>
        </w:rPr>
        <w:t xml:space="preserve">Table </w:t>
      </w:r>
      <w:r w:rsidR="005E51C9">
        <w:rPr>
          <w:rFonts w:ascii="Times New Roman" w:hAnsi="Times New Roman"/>
          <w:snapToGrid/>
          <w:sz w:val="24"/>
          <w:szCs w:val="24"/>
        </w:rPr>
        <w:t>1</w:t>
      </w:r>
      <w:r>
        <w:rPr>
          <w:rFonts w:ascii="Times New Roman" w:hAnsi="Times New Roman"/>
          <w:snapToGrid/>
          <w:sz w:val="24"/>
          <w:szCs w:val="24"/>
        </w:rPr>
        <w:t>. Respondent Universe and Sample Size</w:t>
      </w:r>
    </w:p>
    <w:p w:rsidR="00F92EE4" w:rsidP="00DE529D" w14:paraId="6AB243DE" w14:textId="77777777">
      <w:pPr>
        <w:widowControl/>
        <w:ind w:left="360"/>
        <w:rPr>
          <w:rFonts w:ascii="Times New Roman" w:hAnsi="Times New Roman"/>
          <w:snapToGrid/>
          <w:sz w:val="24"/>
          <w:szCs w:val="24"/>
        </w:rPr>
      </w:pPr>
    </w:p>
    <w:tbl>
      <w:tblPr>
        <w:tblStyle w:val="TableGrid"/>
        <w:tblW w:w="0" w:type="auto"/>
        <w:tblInd w:w="360" w:type="dxa"/>
        <w:tblLook w:val="04A0"/>
      </w:tblPr>
      <w:tblGrid>
        <w:gridCol w:w="4585"/>
        <w:gridCol w:w="1890"/>
        <w:gridCol w:w="1980"/>
      </w:tblGrid>
      <w:tr w14:paraId="656C5CA8" w14:textId="77777777" w:rsidTr="00512387">
        <w:tblPrEx>
          <w:tblW w:w="0" w:type="auto"/>
          <w:tblInd w:w="360" w:type="dxa"/>
          <w:tblLook w:val="04A0"/>
        </w:tblPrEx>
        <w:tc>
          <w:tcPr>
            <w:tcW w:w="4585" w:type="dxa"/>
          </w:tcPr>
          <w:p w:rsidR="00F92EE4" w:rsidP="00DE529D" w14:paraId="4FD46356" w14:textId="6CFDF1CB">
            <w:pPr>
              <w:widowControl/>
              <w:rPr>
                <w:rFonts w:ascii="Times New Roman" w:hAnsi="Times New Roman"/>
                <w:snapToGrid/>
                <w:sz w:val="24"/>
                <w:szCs w:val="24"/>
              </w:rPr>
            </w:pPr>
            <w:r>
              <w:rPr>
                <w:rFonts w:ascii="Times New Roman" w:hAnsi="Times New Roman"/>
                <w:snapToGrid/>
                <w:sz w:val="24"/>
                <w:szCs w:val="24"/>
              </w:rPr>
              <w:t>Instrument</w:t>
            </w:r>
          </w:p>
        </w:tc>
        <w:tc>
          <w:tcPr>
            <w:tcW w:w="1890" w:type="dxa"/>
          </w:tcPr>
          <w:p w:rsidR="00F92EE4" w:rsidP="00512387" w14:paraId="21F3A9E5" w14:textId="771C6CC3">
            <w:pPr>
              <w:widowControl/>
              <w:jc w:val="center"/>
              <w:rPr>
                <w:rFonts w:ascii="Times New Roman" w:hAnsi="Times New Roman"/>
                <w:snapToGrid/>
                <w:sz w:val="24"/>
                <w:szCs w:val="24"/>
              </w:rPr>
            </w:pPr>
            <w:r>
              <w:rPr>
                <w:rFonts w:ascii="Times New Roman" w:hAnsi="Times New Roman"/>
                <w:snapToGrid/>
                <w:sz w:val="24"/>
                <w:szCs w:val="24"/>
              </w:rPr>
              <w:t>Universe of Respondents</w:t>
            </w:r>
          </w:p>
        </w:tc>
        <w:tc>
          <w:tcPr>
            <w:tcW w:w="1980" w:type="dxa"/>
          </w:tcPr>
          <w:p w:rsidR="00F92EE4" w:rsidP="00512387" w14:paraId="1BC96CE4" w14:textId="7339C63D">
            <w:pPr>
              <w:widowControl/>
              <w:jc w:val="center"/>
              <w:rPr>
                <w:rFonts w:ascii="Times New Roman" w:hAnsi="Times New Roman"/>
                <w:snapToGrid/>
                <w:sz w:val="24"/>
                <w:szCs w:val="24"/>
              </w:rPr>
            </w:pPr>
            <w:r>
              <w:rPr>
                <w:rFonts w:ascii="Times New Roman" w:hAnsi="Times New Roman"/>
                <w:snapToGrid/>
                <w:sz w:val="24"/>
                <w:szCs w:val="24"/>
              </w:rPr>
              <w:t>Sample Size</w:t>
            </w:r>
          </w:p>
        </w:tc>
      </w:tr>
      <w:tr w14:paraId="39B8CD9E" w14:textId="77777777" w:rsidTr="00512387">
        <w:tblPrEx>
          <w:tblW w:w="0" w:type="auto"/>
          <w:tblInd w:w="360" w:type="dxa"/>
          <w:tblLook w:val="04A0"/>
        </w:tblPrEx>
        <w:tc>
          <w:tcPr>
            <w:tcW w:w="4585" w:type="dxa"/>
          </w:tcPr>
          <w:p w:rsidR="00F401AE" w:rsidP="00F401AE" w14:paraId="092B8D2C" w14:textId="692F135E">
            <w:pPr>
              <w:widowControl/>
              <w:rPr>
                <w:rFonts w:ascii="Times New Roman" w:hAnsi="Times New Roman"/>
                <w:snapToGrid/>
                <w:sz w:val="24"/>
                <w:szCs w:val="24"/>
              </w:rPr>
            </w:pPr>
            <w:r>
              <w:rPr>
                <w:rFonts w:ascii="Times New Roman" w:hAnsi="Times New Roman"/>
                <w:snapToGrid/>
                <w:sz w:val="24"/>
                <w:szCs w:val="24"/>
              </w:rPr>
              <w:t>Workshop Feedback Survey</w:t>
            </w:r>
          </w:p>
        </w:tc>
        <w:tc>
          <w:tcPr>
            <w:tcW w:w="1890" w:type="dxa"/>
          </w:tcPr>
          <w:p w:rsidR="00F401AE" w:rsidP="00512387" w14:paraId="66D3994A" w14:textId="3F1274A4">
            <w:pPr>
              <w:widowControl/>
              <w:jc w:val="center"/>
              <w:rPr>
                <w:rFonts w:ascii="Times New Roman" w:hAnsi="Times New Roman"/>
                <w:snapToGrid/>
                <w:sz w:val="24"/>
                <w:szCs w:val="24"/>
              </w:rPr>
            </w:pPr>
            <w:r>
              <w:rPr>
                <w:rFonts w:ascii="Times New Roman" w:hAnsi="Times New Roman"/>
                <w:snapToGrid/>
                <w:sz w:val="24"/>
                <w:szCs w:val="24"/>
              </w:rPr>
              <w:t>480</w:t>
            </w:r>
          </w:p>
        </w:tc>
        <w:tc>
          <w:tcPr>
            <w:tcW w:w="1980" w:type="dxa"/>
          </w:tcPr>
          <w:p w:rsidR="00F401AE" w:rsidP="00512387" w14:paraId="5EAC9096" w14:textId="0EA3223A">
            <w:pPr>
              <w:widowControl/>
              <w:jc w:val="center"/>
              <w:rPr>
                <w:rFonts w:ascii="Times New Roman" w:hAnsi="Times New Roman"/>
                <w:snapToGrid/>
                <w:sz w:val="24"/>
                <w:szCs w:val="24"/>
              </w:rPr>
            </w:pPr>
            <w:r>
              <w:rPr>
                <w:rFonts w:ascii="Times New Roman" w:hAnsi="Times New Roman"/>
                <w:snapToGrid/>
                <w:sz w:val="24"/>
                <w:szCs w:val="24"/>
              </w:rPr>
              <w:t>480</w:t>
            </w:r>
          </w:p>
        </w:tc>
      </w:tr>
      <w:tr w14:paraId="20644561" w14:textId="77777777" w:rsidTr="00512387">
        <w:tblPrEx>
          <w:tblW w:w="0" w:type="auto"/>
          <w:tblInd w:w="360" w:type="dxa"/>
          <w:tblLook w:val="04A0"/>
        </w:tblPrEx>
        <w:tc>
          <w:tcPr>
            <w:tcW w:w="4585" w:type="dxa"/>
          </w:tcPr>
          <w:p w:rsidR="00F401AE" w:rsidP="00F401AE" w14:paraId="01B4E63E" w14:textId="6B677F2E">
            <w:pPr>
              <w:widowControl/>
              <w:rPr>
                <w:rFonts w:ascii="Times New Roman" w:hAnsi="Times New Roman"/>
                <w:snapToGrid/>
                <w:sz w:val="24"/>
                <w:szCs w:val="24"/>
              </w:rPr>
            </w:pPr>
            <w:r>
              <w:rPr>
                <w:rFonts w:ascii="Times New Roman" w:hAnsi="Times New Roman"/>
                <w:snapToGrid/>
                <w:sz w:val="24"/>
                <w:szCs w:val="24"/>
              </w:rPr>
              <w:t>Academy Feedback Survey</w:t>
            </w:r>
          </w:p>
        </w:tc>
        <w:tc>
          <w:tcPr>
            <w:tcW w:w="1890" w:type="dxa"/>
          </w:tcPr>
          <w:p w:rsidR="00F401AE" w:rsidP="00512387" w14:paraId="13F182B6" w14:textId="7F009ADF">
            <w:pPr>
              <w:widowControl/>
              <w:jc w:val="center"/>
              <w:rPr>
                <w:rFonts w:ascii="Times New Roman" w:hAnsi="Times New Roman"/>
                <w:snapToGrid/>
                <w:sz w:val="24"/>
                <w:szCs w:val="24"/>
              </w:rPr>
            </w:pPr>
            <w:r>
              <w:rPr>
                <w:rFonts w:ascii="Times New Roman" w:hAnsi="Times New Roman"/>
                <w:snapToGrid/>
                <w:sz w:val="24"/>
                <w:szCs w:val="24"/>
              </w:rPr>
              <w:t>1050</w:t>
            </w:r>
          </w:p>
        </w:tc>
        <w:tc>
          <w:tcPr>
            <w:tcW w:w="1980" w:type="dxa"/>
          </w:tcPr>
          <w:p w:rsidR="00F401AE" w:rsidP="00512387" w14:paraId="33303DB6" w14:textId="2364C897">
            <w:pPr>
              <w:widowControl/>
              <w:jc w:val="center"/>
              <w:rPr>
                <w:rFonts w:ascii="Times New Roman" w:hAnsi="Times New Roman"/>
                <w:snapToGrid/>
                <w:sz w:val="24"/>
                <w:szCs w:val="24"/>
              </w:rPr>
            </w:pPr>
            <w:r>
              <w:rPr>
                <w:rFonts w:ascii="Times New Roman" w:hAnsi="Times New Roman"/>
                <w:snapToGrid/>
                <w:sz w:val="24"/>
                <w:szCs w:val="24"/>
              </w:rPr>
              <w:t>1050</w:t>
            </w:r>
          </w:p>
        </w:tc>
      </w:tr>
      <w:tr w14:paraId="1B6B77C6" w14:textId="77777777" w:rsidTr="00512387">
        <w:tblPrEx>
          <w:tblW w:w="0" w:type="auto"/>
          <w:tblInd w:w="360" w:type="dxa"/>
          <w:tblLook w:val="04A0"/>
        </w:tblPrEx>
        <w:tc>
          <w:tcPr>
            <w:tcW w:w="4585" w:type="dxa"/>
          </w:tcPr>
          <w:p w:rsidR="00F401AE" w:rsidP="00F401AE" w14:paraId="41C656DB" w14:textId="37C58361">
            <w:pPr>
              <w:widowControl/>
              <w:rPr>
                <w:rFonts w:ascii="Times New Roman" w:hAnsi="Times New Roman"/>
                <w:snapToGrid/>
                <w:sz w:val="24"/>
                <w:szCs w:val="24"/>
              </w:rPr>
            </w:pPr>
            <w:r>
              <w:rPr>
                <w:rFonts w:ascii="Times New Roman" w:hAnsi="Times New Roman"/>
                <w:snapToGrid/>
                <w:sz w:val="24"/>
                <w:szCs w:val="24"/>
              </w:rPr>
              <w:t>Pre/Post Academy Assessment</w:t>
            </w:r>
          </w:p>
        </w:tc>
        <w:tc>
          <w:tcPr>
            <w:tcW w:w="1890" w:type="dxa"/>
          </w:tcPr>
          <w:p w:rsidR="00F401AE" w:rsidP="00512387" w14:paraId="70FEE75F" w14:textId="494CCABA">
            <w:pPr>
              <w:widowControl/>
              <w:jc w:val="center"/>
              <w:rPr>
                <w:rFonts w:ascii="Times New Roman" w:hAnsi="Times New Roman"/>
                <w:snapToGrid/>
                <w:sz w:val="24"/>
                <w:szCs w:val="24"/>
              </w:rPr>
            </w:pPr>
            <w:r>
              <w:rPr>
                <w:rFonts w:ascii="Times New Roman" w:hAnsi="Times New Roman"/>
                <w:snapToGrid/>
                <w:sz w:val="24"/>
                <w:szCs w:val="24"/>
              </w:rPr>
              <w:t>1050</w:t>
            </w:r>
          </w:p>
        </w:tc>
        <w:tc>
          <w:tcPr>
            <w:tcW w:w="1980" w:type="dxa"/>
          </w:tcPr>
          <w:p w:rsidR="00F401AE" w:rsidP="00512387" w14:paraId="7DFF2337" w14:textId="6C700133">
            <w:pPr>
              <w:widowControl/>
              <w:jc w:val="center"/>
              <w:rPr>
                <w:rFonts w:ascii="Times New Roman" w:hAnsi="Times New Roman"/>
                <w:snapToGrid/>
                <w:sz w:val="24"/>
                <w:szCs w:val="24"/>
              </w:rPr>
            </w:pPr>
            <w:r>
              <w:rPr>
                <w:rFonts w:ascii="Times New Roman" w:hAnsi="Times New Roman"/>
                <w:snapToGrid/>
                <w:sz w:val="24"/>
                <w:szCs w:val="24"/>
              </w:rPr>
              <w:t>1050</w:t>
            </w:r>
          </w:p>
        </w:tc>
      </w:tr>
    </w:tbl>
    <w:p w:rsidR="00F92EE4" w:rsidP="00DE529D" w14:paraId="56D26EF4" w14:textId="77777777">
      <w:pPr>
        <w:widowControl/>
        <w:ind w:left="360"/>
        <w:rPr>
          <w:rFonts w:ascii="Times New Roman" w:hAnsi="Times New Roman"/>
          <w:snapToGrid/>
          <w:sz w:val="24"/>
          <w:szCs w:val="24"/>
        </w:rPr>
      </w:pPr>
    </w:p>
    <w:p w:rsidR="00A66D07" w:rsidP="003C2464" w14:paraId="21573899" w14:textId="2D587337">
      <w:pPr>
        <w:widowControl/>
        <w:ind w:left="360"/>
        <w:rPr>
          <w:rFonts w:ascii="Times New Roman" w:hAnsi="Times New Roman"/>
          <w:snapToGrid/>
          <w:sz w:val="24"/>
          <w:szCs w:val="24"/>
        </w:rPr>
      </w:pPr>
      <w:r>
        <w:rPr>
          <w:rFonts w:ascii="Times New Roman" w:hAnsi="Times New Roman"/>
          <w:snapToGrid/>
          <w:sz w:val="24"/>
          <w:szCs w:val="24"/>
        </w:rPr>
        <w:t>During prior data collections</w:t>
      </w:r>
      <w:r>
        <w:rPr>
          <w:rFonts w:ascii="Times New Roman" w:hAnsi="Times New Roman"/>
          <w:snapToGrid/>
          <w:sz w:val="24"/>
          <w:szCs w:val="24"/>
        </w:rPr>
        <w:t xml:space="preserve"> response rates for </w:t>
      </w:r>
      <w:r w:rsidR="00F65CC6">
        <w:rPr>
          <w:rFonts w:ascii="Times New Roman" w:hAnsi="Times New Roman"/>
          <w:snapToGrid/>
          <w:sz w:val="24"/>
          <w:szCs w:val="24"/>
        </w:rPr>
        <w:t>W</w:t>
      </w:r>
      <w:r>
        <w:rPr>
          <w:rFonts w:ascii="Times New Roman" w:hAnsi="Times New Roman"/>
          <w:snapToGrid/>
          <w:sz w:val="24"/>
          <w:szCs w:val="24"/>
        </w:rPr>
        <w:t xml:space="preserve">orkshop feedback surveys varied depending on the mode of delivery, with high response rates following in person </w:t>
      </w:r>
      <w:r w:rsidR="00F65CC6">
        <w:rPr>
          <w:rFonts w:ascii="Times New Roman" w:hAnsi="Times New Roman"/>
          <w:snapToGrid/>
          <w:sz w:val="24"/>
          <w:szCs w:val="24"/>
        </w:rPr>
        <w:t>W</w:t>
      </w:r>
      <w:r>
        <w:rPr>
          <w:rFonts w:ascii="Times New Roman" w:hAnsi="Times New Roman"/>
          <w:snapToGrid/>
          <w:sz w:val="24"/>
          <w:szCs w:val="24"/>
        </w:rPr>
        <w:t xml:space="preserve">orkshops (88%) and very low response rates for virtual </w:t>
      </w:r>
      <w:r w:rsidR="00F65CC6">
        <w:rPr>
          <w:rFonts w:ascii="Times New Roman" w:hAnsi="Times New Roman"/>
          <w:snapToGrid/>
          <w:sz w:val="24"/>
          <w:szCs w:val="24"/>
        </w:rPr>
        <w:t>W</w:t>
      </w:r>
      <w:r>
        <w:rPr>
          <w:rFonts w:ascii="Times New Roman" w:hAnsi="Times New Roman"/>
          <w:snapToGrid/>
          <w:sz w:val="24"/>
          <w:szCs w:val="24"/>
        </w:rPr>
        <w:t xml:space="preserve">orkshops that included services over an extended timeframe (8%). We anticipate most </w:t>
      </w:r>
      <w:r w:rsidR="00F65CC6">
        <w:rPr>
          <w:rFonts w:ascii="Times New Roman" w:hAnsi="Times New Roman"/>
          <w:snapToGrid/>
          <w:sz w:val="24"/>
          <w:szCs w:val="24"/>
        </w:rPr>
        <w:t>W</w:t>
      </w:r>
      <w:r>
        <w:rPr>
          <w:rFonts w:ascii="Times New Roman" w:hAnsi="Times New Roman"/>
          <w:snapToGrid/>
          <w:sz w:val="24"/>
          <w:szCs w:val="24"/>
        </w:rPr>
        <w:t>orkshops moving forward will be held in person</w:t>
      </w:r>
      <w:r w:rsidR="00936210">
        <w:rPr>
          <w:rFonts w:ascii="Times New Roman" w:hAnsi="Times New Roman"/>
          <w:snapToGrid/>
          <w:sz w:val="24"/>
          <w:szCs w:val="24"/>
        </w:rPr>
        <w:t>, yielding higher response rates</w:t>
      </w:r>
      <w:r>
        <w:rPr>
          <w:rFonts w:ascii="Times New Roman" w:hAnsi="Times New Roman"/>
          <w:snapToGrid/>
          <w:sz w:val="24"/>
          <w:szCs w:val="24"/>
        </w:rPr>
        <w:t xml:space="preserve">. </w:t>
      </w:r>
    </w:p>
    <w:p w:rsidR="00A66D07" w:rsidP="003C2464" w14:paraId="087D4667" w14:textId="77777777">
      <w:pPr>
        <w:widowControl/>
        <w:ind w:left="360"/>
        <w:rPr>
          <w:rFonts w:ascii="Times New Roman" w:hAnsi="Times New Roman"/>
          <w:snapToGrid/>
          <w:sz w:val="24"/>
          <w:szCs w:val="24"/>
        </w:rPr>
      </w:pPr>
    </w:p>
    <w:p w:rsidR="003C2464" w:rsidP="003C2464" w14:paraId="5F3611F2" w14:textId="3CE79C43">
      <w:pPr>
        <w:widowControl/>
        <w:ind w:left="360"/>
        <w:rPr>
          <w:rFonts w:ascii="Times New Roman" w:hAnsi="Times New Roman"/>
          <w:snapToGrid/>
          <w:sz w:val="24"/>
          <w:szCs w:val="24"/>
        </w:rPr>
      </w:pPr>
      <w:r>
        <w:rPr>
          <w:rFonts w:ascii="Times New Roman" w:hAnsi="Times New Roman"/>
          <w:snapToGrid/>
          <w:sz w:val="24"/>
          <w:szCs w:val="24"/>
        </w:rPr>
        <w:t>T</w:t>
      </w:r>
      <w:r>
        <w:rPr>
          <w:rFonts w:ascii="Times New Roman" w:hAnsi="Times New Roman"/>
          <w:snapToGrid/>
          <w:sz w:val="24"/>
          <w:szCs w:val="24"/>
        </w:rPr>
        <w:t>he Academy Feedback Surveys have yielded response rates</w:t>
      </w:r>
      <w:r>
        <w:rPr>
          <w:rFonts w:ascii="Times New Roman" w:hAnsi="Times New Roman"/>
          <w:snapToGrid/>
          <w:sz w:val="24"/>
          <w:szCs w:val="24"/>
        </w:rPr>
        <w:t xml:space="preserve"> of 57% (Attorney Academies 57% and </w:t>
      </w:r>
      <w:r>
        <w:rPr>
          <w:rFonts w:ascii="Times New Roman" w:hAnsi="Times New Roman"/>
          <w:snapToGrid/>
          <w:sz w:val="24"/>
          <w:szCs w:val="24"/>
        </w:rPr>
        <w:t>Judicial Academies</w:t>
      </w:r>
      <w:r>
        <w:rPr>
          <w:rFonts w:ascii="Times New Roman" w:hAnsi="Times New Roman"/>
          <w:snapToGrid/>
          <w:sz w:val="24"/>
          <w:szCs w:val="24"/>
        </w:rPr>
        <w:t xml:space="preserve"> 56%</w:t>
      </w:r>
      <w:r>
        <w:rPr>
          <w:rFonts w:ascii="Times New Roman" w:hAnsi="Times New Roman"/>
          <w:snapToGrid/>
          <w:sz w:val="24"/>
          <w:szCs w:val="24"/>
        </w:rPr>
        <w:t xml:space="preserve">). </w:t>
      </w:r>
      <w:r w:rsidR="00AF2B34">
        <w:rPr>
          <w:rFonts w:ascii="Times New Roman" w:hAnsi="Times New Roman"/>
          <w:snapToGrid/>
          <w:sz w:val="24"/>
          <w:szCs w:val="24"/>
        </w:rPr>
        <w:t>Pre/post assessments</w:t>
      </w:r>
      <w:r>
        <w:rPr>
          <w:rFonts w:ascii="Times New Roman" w:hAnsi="Times New Roman"/>
          <w:snapToGrid/>
          <w:sz w:val="24"/>
          <w:szCs w:val="24"/>
        </w:rPr>
        <w:t>, which are part of instructional design,</w:t>
      </w:r>
      <w:r w:rsidR="00AF2B34">
        <w:rPr>
          <w:rFonts w:ascii="Times New Roman" w:hAnsi="Times New Roman"/>
          <w:snapToGrid/>
          <w:sz w:val="24"/>
          <w:szCs w:val="24"/>
        </w:rPr>
        <w:t xml:space="preserve"> have yielded </w:t>
      </w:r>
      <w:r>
        <w:rPr>
          <w:rFonts w:ascii="Times New Roman" w:hAnsi="Times New Roman"/>
          <w:snapToGrid/>
          <w:sz w:val="24"/>
          <w:szCs w:val="24"/>
        </w:rPr>
        <w:t xml:space="preserve">higher </w:t>
      </w:r>
      <w:r w:rsidR="00AF2B34">
        <w:rPr>
          <w:rFonts w:ascii="Times New Roman" w:hAnsi="Times New Roman"/>
          <w:snapToGrid/>
          <w:sz w:val="24"/>
          <w:szCs w:val="24"/>
        </w:rPr>
        <w:t xml:space="preserve">response rates of </w:t>
      </w:r>
      <w:r>
        <w:rPr>
          <w:rFonts w:ascii="Times New Roman" w:hAnsi="Times New Roman"/>
          <w:snapToGrid/>
          <w:sz w:val="24"/>
          <w:szCs w:val="24"/>
        </w:rPr>
        <w:t xml:space="preserve">82% </w:t>
      </w:r>
      <w:r w:rsidR="00AF2B34">
        <w:rPr>
          <w:rFonts w:ascii="Times New Roman" w:hAnsi="Times New Roman"/>
          <w:snapToGrid/>
          <w:sz w:val="24"/>
          <w:szCs w:val="24"/>
        </w:rPr>
        <w:t>(</w:t>
      </w:r>
      <w:r>
        <w:rPr>
          <w:rFonts w:ascii="Times New Roman" w:hAnsi="Times New Roman"/>
          <w:snapToGrid/>
          <w:sz w:val="24"/>
          <w:szCs w:val="24"/>
        </w:rPr>
        <w:t xml:space="preserve">Attorney Academies 84% and </w:t>
      </w:r>
      <w:r w:rsidR="00AF2B34">
        <w:rPr>
          <w:rFonts w:ascii="Times New Roman" w:hAnsi="Times New Roman"/>
          <w:snapToGrid/>
          <w:sz w:val="24"/>
          <w:szCs w:val="24"/>
        </w:rPr>
        <w:t>Judicial Academies</w:t>
      </w:r>
      <w:r>
        <w:rPr>
          <w:rFonts w:ascii="Times New Roman" w:hAnsi="Times New Roman"/>
          <w:snapToGrid/>
          <w:sz w:val="24"/>
          <w:szCs w:val="24"/>
        </w:rPr>
        <w:t xml:space="preserve"> 66%</w:t>
      </w:r>
      <w:r w:rsidR="00AF2B34">
        <w:rPr>
          <w:rFonts w:ascii="Times New Roman" w:hAnsi="Times New Roman"/>
          <w:snapToGrid/>
          <w:sz w:val="24"/>
          <w:szCs w:val="24"/>
        </w:rPr>
        <w:t>)</w:t>
      </w:r>
      <w:r>
        <w:rPr>
          <w:rFonts w:ascii="Times New Roman" w:hAnsi="Times New Roman"/>
          <w:snapToGrid/>
          <w:sz w:val="24"/>
          <w:szCs w:val="24"/>
        </w:rPr>
        <w:t>.</w:t>
      </w:r>
    </w:p>
    <w:p w:rsidR="004F7B95" w:rsidRPr="004F7B95" w:rsidP="00DE529D" w14:paraId="1A8FB4AC" w14:textId="77777777">
      <w:pPr>
        <w:widowControl/>
        <w:ind w:left="360"/>
        <w:rPr>
          <w:rFonts w:ascii="Times New Roman" w:hAnsi="Times New Roman"/>
          <w:snapToGrid/>
          <w:sz w:val="24"/>
          <w:szCs w:val="24"/>
        </w:rPr>
      </w:pPr>
    </w:p>
    <w:p w:rsidR="002C3C4F" w:rsidRPr="00817E2B"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FB6DF3" w:rsidRPr="0066751F" w:rsidP="00936210" w14:paraId="4D1C1D65" w14:textId="52631A71">
      <w:pPr>
        <w:tabs>
          <w:tab w:val="left" w:pos="-720"/>
          <w:tab w:val="left" w:pos="0"/>
        </w:tabs>
        <w:suppressAutoHyphens/>
        <w:ind w:left="360"/>
        <w:rPr>
          <w:rFonts w:ascii="Times New Roman" w:hAnsi="Times New Roman"/>
          <w:sz w:val="24"/>
          <w:szCs w:val="24"/>
        </w:rPr>
      </w:pPr>
      <w:r w:rsidRPr="0066751F">
        <w:rPr>
          <w:rFonts w:ascii="Times New Roman" w:hAnsi="Times New Roman"/>
          <w:sz w:val="24"/>
          <w:szCs w:val="24"/>
        </w:rPr>
        <w:t xml:space="preserve">Data will be collected from CIP staff and court professionals (e.g., judges, attorneys) who participate in </w:t>
      </w:r>
      <w:r w:rsidRPr="0066751F" w:rsidR="00F65CC6">
        <w:rPr>
          <w:rFonts w:ascii="Times New Roman" w:hAnsi="Times New Roman"/>
          <w:sz w:val="24"/>
          <w:szCs w:val="24"/>
        </w:rPr>
        <w:t>CLJIA</w:t>
      </w:r>
      <w:r w:rsidRPr="0066751F">
        <w:rPr>
          <w:rFonts w:ascii="Times New Roman" w:hAnsi="Times New Roman"/>
          <w:sz w:val="24"/>
          <w:szCs w:val="24"/>
        </w:rPr>
        <w:t xml:space="preserve"> Academies and Workshops. </w:t>
      </w:r>
      <w:r w:rsidRPr="0066751F" w:rsidR="00C33378">
        <w:rPr>
          <w:rFonts w:ascii="Times New Roman" w:hAnsi="Times New Roman"/>
          <w:sz w:val="24"/>
          <w:szCs w:val="24"/>
        </w:rPr>
        <w:t xml:space="preserve">This data collection primarily uses web-based </w:t>
      </w:r>
      <w:r w:rsidRPr="00F37E17" w:rsidR="00C33378">
        <w:rPr>
          <w:rFonts w:ascii="Times New Roman" w:hAnsi="Times New Roman"/>
          <w:sz w:val="24"/>
          <w:szCs w:val="24"/>
        </w:rPr>
        <w:t>instrum</w:t>
      </w:r>
      <w:r w:rsidRPr="00F37E17" w:rsidR="00C33378">
        <w:rPr>
          <w:rFonts w:ascii="Times New Roman" w:hAnsi="Times New Roman"/>
          <w:sz w:val="24"/>
          <w:szCs w:val="24"/>
          <w:shd w:val="clear" w:color="auto" w:fill="FFFFFF" w:themeFill="background1"/>
        </w:rPr>
        <w:t>ents but may use paper surveys for in person meetings in some jurisdictions</w:t>
      </w:r>
      <w:r w:rsidRPr="00F37E17">
        <w:rPr>
          <w:rFonts w:ascii="Times New Roman" w:hAnsi="Times New Roman"/>
          <w:sz w:val="24"/>
          <w:szCs w:val="24"/>
          <w:shd w:val="clear" w:color="auto" w:fill="FFFFFF" w:themeFill="background1"/>
        </w:rPr>
        <w:t xml:space="preserve">, as described below. </w:t>
      </w:r>
      <w:r w:rsidRPr="00F37E17" w:rsidR="005F4C42">
        <w:rPr>
          <w:rFonts w:ascii="Times New Roman" w:hAnsi="Times New Roman"/>
          <w:sz w:val="24"/>
          <w:szCs w:val="24"/>
          <w:shd w:val="clear" w:color="auto" w:fill="FFFFFF" w:themeFill="background1"/>
        </w:rPr>
        <w:t xml:space="preserve">Appendix </w:t>
      </w:r>
      <w:r w:rsidR="0034261A">
        <w:rPr>
          <w:rFonts w:ascii="Times New Roman" w:hAnsi="Times New Roman"/>
          <w:sz w:val="24"/>
          <w:szCs w:val="24"/>
          <w:shd w:val="clear" w:color="auto" w:fill="FFFFFF" w:themeFill="background1"/>
        </w:rPr>
        <w:t>2</w:t>
      </w:r>
      <w:r w:rsidRPr="00F37E17" w:rsidR="005F4C42">
        <w:rPr>
          <w:rFonts w:ascii="Times New Roman" w:hAnsi="Times New Roman"/>
          <w:sz w:val="24"/>
          <w:szCs w:val="24"/>
          <w:shd w:val="clear" w:color="auto" w:fill="FFFFFF" w:themeFill="background1"/>
        </w:rPr>
        <w:t xml:space="preserve"> provides</w:t>
      </w:r>
      <w:r w:rsidRPr="00F37E17" w:rsidR="005F4C42">
        <w:rPr>
          <w:rFonts w:ascii="Times New Roman" w:hAnsi="Times New Roman"/>
          <w:sz w:val="24"/>
          <w:szCs w:val="24"/>
        </w:rPr>
        <w:t xml:space="preserve"> the recruitment language, same as provided in the original OMB application.</w:t>
      </w:r>
      <w:r w:rsidRPr="0066751F" w:rsidR="005F4C42">
        <w:rPr>
          <w:rFonts w:ascii="Times New Roman" w:hAnsi="Times New Roman"/>
          <w:sz w:val="24"/>
          <w:szCs w:val="24"/>
        </w:rPr>
        <w:t xml:space="preserve"> </w:t>
      </w:r>
    </w:p>
    <w:p w:rsidR="00494F80" w:rsidRPr="0066751F" w:rsidP="00936210" w14:paraId="0CF579F2" w14:textId="77777777">
      <w:pPr>
        <w:tabs>
          <w:tab w:val="left" w:pos="-720"/>
          <w:tab w:val="left" w:pos="0"/>
        </w:tabs>
        <w:suppressAutoHyphens/>
        <w:ind w:left="360"/>
        <w:rPr>
          <w:rFonts w:ascii="Times New Roman" w:hAnsi="Times New Roman"/>
          <w:sz w:val="24"/>
          <w:szCs w:val="24"/>
        </w:rPr>
      </w:pPr>
    </w:p>
    <w:p w:rsidR="00494F80" w:rsidRPr="0066751F" w:rsidP="00494F80" w14:paraId="5CDC469E" w14:textId="530BBC11">
      <w:pPr>
        <w:tabs>
          <w:tab w:val="left" w:pos="-720"/>
          <w:tab w:val="left" w:pos="0"/>
        </w:tabs>
        <w:suppressAutoHyphens/>
        <w:ind w:left="360"/>
        <w:rPr>
          <w:rFonts w:ascii="Times New Roman" w:hAnsi="Times New Roman"/>
          <w:sz w:val="24"/>
          <w:szCs w:val="24"/>
        </w:rPr>
      </w:pPr>
      <w:r w:rsidRPr="0066751F">
        <w:rPr>
          <w:rFonts w:ascii="Times New Roman" w:hAnsi="Times New Roman"/>
          <w:sz w:val="24"/>
          <w:szCs w:val="24"/>
        </w:rPr>
        <w:t xml:space="preserve">Participants in workshops will be invited to complete the </w:t>
      </w:r>
      <w:r w:rsidRPr="0066751F">
        <w:rPr>
          <w:rFonts w:ascii="Times New Roman" w:hAnsi="Times New Roman"/>
          <w:i/>
          <w:iCs/>
          <w:sz w:val="24"/>
          <w:szCs w:val="24"/>
        </w:rPr>
        <w:t>CQI Workshop Feedback Survey</w:t>
      </w:r>
      <w:r w:rsidRPr="0066751F">
        <w:rPr>
          <w:rFonts w:ascii="Times New Roman" w:hAnsi="Times New Roman"/>
          <w:sz w:val="24"/>
          <w:szCs w:val="24"/>
        </w:rPr>
        <w:t xml:space="preserve"> anonymously at the close of the workshop. Workshop participants may include CIP project team members and other workshop participants (e.g., CB staff). Participants in the Academies will be invited to take the </w:t>
      </w:r>
      <w:r w:rsidRPr="0066751F">
        <w:rPr>
          <w:rFonts w:ascii="Times New Roman" w:hAnsi="Times New Roman"/>
          <w:i/>
          <w:iCs/>
          <w:sz w:val="24"/>
          <w:szCs w:val="24"/>
        </w:rPr>
        <w:t>Academy Feedback Survey</w:t>
      </w:r>
      <w:r w:rsidRPr="0066751F">
        <w:rPr>
          <w:rFonts w:ascii="Times New Roman" w:hAnsi="Times New Roman"/>
          <w:sz w:val="24"/>
          <w:szCs w:val="24"/>
        </w:rPr>
        <w:t xml:space="preserve"> at the close of the academy. Participants may include judges, attorneys, other officers of the court, and other participants </w:t>
      </w:r>
      <w:r w:rsidRPr="0066751F">
        <w:rPr>
          <w:rFonts w:ascii="Times New Roman" w:hAnsi="Times New Roman"/>
          <w:sz w:val="24"/>
          <w:szCs w:val="24"/>
        </w:rPr>
        <w:t xml:space="preserve">(e.g., CB staff). For both surveys, when the </w:t>
      </w:r>
      <w:r w:rsidRPr="0066751F" w:rsidR="00F65CC6">
        <w:rPr>
          <w:rFonts w:ascii="Times New Roman" w:hAnsi="Times New Roman"/>
          <w:sz w:val="24"/>
          <w:szCs w:val="24"/>
        </w:rPr>
        <w:t>W</w:t>
      </w:r>
      <w:r w:rsidRPr="0066751F">
        <w:rPr>
          <w:rFonts w:ascii="Times New Roman" w:hAnsi="Times New Roman"/>
          <w:sz w:val="24"/>
          <w:szCs w:val="24"/>
        </w:rPr>
        <w:t xml:space="preserve">orkshop or </w:t>
      </w:r>
      <w:r w:rsidRPr="0066751F" w:rsidR="00F65CC6">
        <w:rPr>
          <w:rFonts w:ascii="Times New Roman" w:hAnsi="Times New Roman"/>
          <w:sz w:val="24"/>
          <w:szCs w:val="24"/>
        </w:rPr>
        <w:t>A</w:t>
      </w:r>
      <w:r w:rsidRPr="0066751F">
        <w:rPr>
          <w:rFonts w:ascii="Times New Roman" w:hAnsi="Times New Roman"/>
          <w:sz w:val="24"/>
          <w:szCs w:val="24"/>
        </w:rPr>
        <w:t>cademy is held in person, a hard copy survey will be included with meeting materials, and when it is conducted online</w:t>
      </w:r>
      <w:r w:rsidR="00001773">
        <w:rPr>
          <w:rFonts w:ascii="Times New Roman" w:hAnsi="Times New Roman"/>
          <w:sz w:val="24"/>
          <w:szCs w:val="24"/>
        </w:rPr>
        <w:t>,</w:t>
      </w:r>
      <w:r w:rsidRPr="0066751F">
        <w:rPr>
          <w:rFonts w:ascii="Times New Roman" w:hAnsi="Times New Roman"/>
          <w:sz w:val="24"/>
          <w:szCs w:val="24"/>
        </w:rPr>
        <w:t xml:space="preserve"> a designated C</w:t>
      </w:r>
      <w:r w:rsidRPr="0066751F" w:rsidR="00F65CC6">
        <w:rPr>
          <w:rFonts w:ascii="Times New Roman" w:hAnsi="Times New Roman"/>
          <w:sz w:val="24"/>
          <w:szCs w:val="24"/>
        </w:rPr>
        <w:t>LJIA</w:t>
      </w:r>
      <w:r w:rsidRPr="0066751F" w:rsidR="005F4C42">
        <w:rPr>
          <w:rFonts w:ascii="Times New Roman" w:hAnsi="Times New Roman"/>
          <w:sz w:val="24"/>
          <w:szCs w:val="24"/>
        </w:rPr>
        <w:t xml:space="preserve"> </w:t>
      </w:r>
      <w:r w:rsidRPr="0066751F">
        <w:rPr>
          <w:rFonts w:ascii="Times New Roman" w:hAnsi="Times New Roman"/>
          <w:sz w:val="24"/>
          <w:szCs w:val="24"/>
        </w:rPr>
        <w:t>team member will provide a link to an online survey at the close of the learning experience.</w:t>
      </w:r>
      <w:r w:rsidRPr="0066751F" w:rsidR="005F4C42">
        <w:rPr>
          <w:rFonts w:ascii="Times New Roman" w:hAnsi="Times New Roman"/>
          <w:sz w:val="24"/>
          <w:szCs w:val="24"/>
        </w:rPr>
        <w:t xml:space="preserve"> Following the learning experience</w:t>
      </w:r>
      <w:r w:rsidRPr="0066751F" w:rsidR="00F65CC6">
        <w:rPr>
          <w:rFonts w:ascii="Times New Roman" w:hAnsi="Times New Roman"/>
          <w:sz w:val="24"/>
          <w:szCs w:val="24"/>
        </w:rPr>
        <w:t>,</w:t>
      </w:r>
      <w:r w:rsidRPr="0066751F" w:rsidR="005F4C42">
        <w:rPr>
          <w:rFonts w:ascii="Times New Roman" w:hAnsi="Times New Roman"/>
          <w:sz w:val="24"/>
          <w:szCs w:val="24"/>
        </w:rPr>
        <w:t xml:space="preserve"> participants may receive up to two reminder emails to complete the survey, if they have not already done so.</w:t>
      </w:r>
    </w:p>
    <w:p w:rsidR="005F4C42" w:rsidRPr="0066751F" w:rsidP="00494F80" w14:paraId="45A2C16C" w14:textId="77777777">
      <w:pPr>
        <w:tabs>
          <w:tab w:val="left" w:pos="-720"/>
          <w:tab w:val="left" w:pos="0"/>
        </w:tabs>
        <w:suppressAutoHyphens/>
        <w:ind w:left="360"/>
        <w:rPr>
          <w:rFonts w:ascii="Times New Roman" w:hAnsi="Times New Roman"/>
          <w:sz w:val="24"/>
          <w:szCs w:val="24"/>
        </w:rPr>
      </w:pPr>
    </w:p>
    <w:p w:rsidR="00494F80" w:rsidRPr="0066751F" w:rsidP="00494F80" w14:paraId="7E7594B4" w14:textId="166D05D6">
      <w:pPr>
        <w:tabs>
          <w:tab w:val="left" w:pos="-720"/>
          <w:tab w:val="left" w:pos="0"/>
        </w:tabs>
        <w:suppressAutoHyphens/>
        <w:ind w:left="360"/>
        <w:rPr>
          <w:rFonts w:ascii="Times New Roman" w:hAnsi="Times New Roman"/>
          <w:sz w:val="24"/>
          <w:szCs w:val="24"/>
        </w:rPr>
      </w:pPr>
      <w:r w:rsidRPr="0066751F">
        <w:rPr>
          <w:rFonts w:ascii="Times New Roman" w:hAnsi="Times New Roman"/>
          <w:sz w:val="24"/>
          <w:szCs w:val="24"/>
        </w:rPr>
        <w:t xml:space="preserve">The </w:t>
      </w:r>
      <w:r w:rsidRPr="0066751F">
        <w:rPr>
          <w:rFonts w:ascii="Times New Roman" w:hAnsi="Times New Roman"/>
          <w:i/>
          <w:iCs/>
          <w:sz w:val="24"/>
          <w:szCs w:val="24"/>
        </w:rPr>
        <w:t>Pre/Post Academy Assessment</w:t>
      </w:r>
      <w:r w:rsidRPr="0066751F">
        <w:rPr>
          <w:rFonts w:ascii="Times New Roman" w:hAnsi="Times New Roman"/>
          <w:sz w:val="24"/>
          <w:szCs w:val="24"/>
        </w:rPr>
        <w:t xml:space="preserve"> will be collected by </w:t>
      </w:r>
      <w:r w:rsidRPr="0066751F" w:rsidR="00F65CC6">
        <w:rPr>
          <w:rFonts w:ascii="Times New Roman" w:hAnsi="Times New Roman"/>
          <w:sz w:val="24"/>
          <w:szCs w:val="24"/>
        </w:rPr>
        <w:t>CLJIA</w:t>
      </w:r>
      <w:r w:rsidRPr="0066751F">
        <w:rPr>
          <w:rFonts w:ascii="Times New Roman" w:hAnsi="Times New Roman"/>
          <w:sz w:val="24"/>
          <w:szCs w:val="24"/>
        </w:rPr>
        <w:t xml:space="preserve"> from </w:t>
      </w:r>
      <w:r w:rsidRPr="0066751F" w:rsidR="00F65CC6">
        <w:rPr>
          <w:rFonts w:ascii="Times New Roman" w:hAnsi="Times New Roman"/>
          <w:sz w:val="24"/>
          <w:szCs w:val="24"/>
        </w:rPr>
        <w:t>A</w:t>
      </w:r>
      <w:r w:rsidRPr="0066751F">
        <w:rPr>
          <w:rFonts w:ascii="Times New Roman" w:hAnsi="Times New Roman"/>
          <w:sz w:val="24"/>
          <w:szCs w:val="24"/>
        </w:rPr>
        <w:t xml:space="preserve">cademy participants. Prior to attending the </w:t>
      </w:r>
      <w:r w:rsidRPr="0066751F" w:rsidR="00F65CC6">
        <w:rPr>
          <w:rFonts w:ascii="Times New Roman" w:hAnsi="Times New Roman"/>
          <w:sz w:val="24"/>
          <w:szCs w:val="24"/>
        </w:rPr>
        <w:t>A</w:t>
      </w:r>
      <w:r w:rsidRPr="0066751F">
        <w:rPr>
          <w:rFonts w:ascii="Times New Roman" w:hAnsi="Times New Roman"/>
          <w:sz w:val="24"/>
          <w:szCs w:val="24"/>
        </w:rPr>
        <w:t xml:space="preserve">cademy, all registrants will receive an invitation to participate in an online learning experience (via </w:t>
      </w:r>
      <w:r w:rsidRPr="0066751F" w:rsidR="00F65CC6">
        <w:rPr>
          <w:rFonts w:ascii="Times New Roman" w:hAnsi="Times New Roman"/>
          <w:sz w:val="24"/>
          <w:szCs w:val="24"/>
        </w:rPr>
        <w:t>CLJIA’s</w:t>
      </w:r>
      <w:r w:rsidRPr="0066751F">
        <w:rPr>
          <w:rFonts w:ascii="Times New Roman" w:hAnsi="Times New Roman"/>
          <w:sz w:val="24"/>
          <w:szCs w:val="24"/>
        </w:rPr>
        <w:t xml:space="preserve"> </w:t>
      </w:r>
      <w:r w:rsidRPr="0066751F" w:rsidR="00F65CC6">
        <w:rPr>
          <w:rFonts w:ascii="Times New Roman" w:hAnsi="Times New Roman"/>
          <w:sz w:val="24"/>
          <w:szCs w:val="24"/>
        </w:rPr>
        <w:t>A</w:t>
      </w:r>
      <w:r w:rsidRPr="0066751F">
        <w:rPr>
          <w:rFonts w:ascii="Times New Roman" w:hAnsi="Times New Roman"/>
          <w:sz w:val="24"/>
          <w:szCs w:val="24"/>
        </w:rPr>
        <w:t xml:space="preserve">cademy </w:t>
      </w:r>
      <w:r w:rsidRPr="0066751F" w:rsidR="005F4C42">
        <w:rPr>
          <w:rFonts w:ascii="Times New Roman" w:hAnsi="Times New Roman"/>
          <w:sz w:val="24"/>
          <w:szCs w:val="24"/>
        </w:rPr>
        <w:t>module</w:t>
      </w:r>
      <w:r w:rsidRPr="0066751F">
        <w:rPr>
          <w:rFonts w:ascii="Times New Roman" w:hAnsi="Times New Roman"/>
          <w:sz w:val="24"/>
          <w:szCs w:val="24"/>
        </w:rPr>
        <w:t xml:space="preserve">), which includes the pre-assessment. Registrants will receive up to two reminder emails prior to the </w:t>
      </w:r>
      <w:r w:rsidRPr="0066751F" w:rsidR="00F65CC6">
        <w:rPr>
          <w:rFonts w:ascii="Times New Roman" w:hAnsi="Times New Roman"/>
          <w:sz w:val="24"/>
          <w:szCs w:val="24"/>
        </w:rPr>
        <w:t>A</w:t>
      </w:r>
      <w:r w:rsidRPr="0066751F">
        <w:rPr>
          <w:rFonts w:ascii="Times New Roman" w:hAnsi="Times New Roman"/>
          <w:sz w:val="24"/>
          <w:szCs w:val="24"/>
        </w:rPr>
        <w:t xml:space="preserve">cademy if they have not completed the pre- assessment. At the close of the </w:t>
      </w:r>
      <w:r w:rsidRPr="0066751F" w:rsidR="001F3E12">
        <w:rPr>
          <w:rFonts w:ascii="Times New Roman" w:hAnsi="Times New Roman"/>
          <w:sz w:val="24"/>
          <w:szCs w:val="24"/>
        </w:rPr>
        <w:t xml:space="preserve">two-day </w:t>
      </w:r>
      <w:r w:rsidRPr="0066751F" w:rsidR="00F65CC6">
        <w:rPr>
          <w:rFonts w:ascii="Times New Roman" w:hAnsi="Times New Roman"/>
          <w:sz w:val="24"/>
          <w:szCs w:val="24"/>
        </w:rPr>
        <w:t>A</w:t>
      </w:r>
      <w:r w:rsidRPr="0066751F">
        <w:rPr>
          <w:rFonts w:ascii="Times New Roman" w:hAnsi="Times New Roman"/>
          <w:sz w:val="24"/>
          <w:szCs w:val="24"/>
        </w:rPr>
        <w:t xml:space="preserve">cademy, participants will be invited to return to the </w:t>
      </w:r>
      <w:r w:rsidRPr="0066751F" w:rsidR="00F65CC6">
        <w:rPr>
          <w:rFonts w:ascii="Times New Roman" w:hAnsi="Times New Roman"/>
          <w:sz w:val="24"/>
          <w:szCs w:val="24"/>
        </w:rPr>
        <w:t>A</w:t>
      </w:r>
      <w:r w:rsidRPr="0066751F">
        <w:rPr>
          <w:rFonts w:ascii="Times New Roman" w:hAnsi="Times New Roman"/>
          <w:sz w:val="24"/>
          <w:szCs w:val="24"/>
        </w:rPr>
        <w:t>cademy website to complete the post-assessment</w:t>
      </w:r>
      <w:r w:rsidRPr="0066751F" w:rsidR="005F4C42">
        <w:rPr>
          <w:rFonts w:ascii="Times New Roman" w:hAnsi="Times New Roman"/>
          <w:sz w:val="24"/>
          <w:szCs w:val="24"/>
        </w:rPr>
        <w:t>, and may receive up to two reminder emails.</w:t>
      </w:r>
    </w:p>
    <w:p w:rsidR="00936210" w:rsidRPr="0066751F" w:rsidP="00512387" w14:paraId="0EF253AD" w14:textId="31AABD79">
      <w:pPr>
        <w:tabs>
          <w:tab w:val="left" w:pos="-720"/>
          <w:tab w:val="left" w:pos="0"/>
        </w:tabs>
        <w:suppressAutoHyphens/>
        <w:rPr>
          <w:rFonts w:ascii="Times New Roman" w:hAnsi="Times New Roman"/>
          <w:sz w:val="24"/>
          <w:szCs w:val="24"/>
        </w:rPr>
      </w:pPr>
    </w:p>
    <w:p w:rsidR="00936210" w:rsidRPr="0066751F" w:rsidP="00936210" w14:paraId="5EDAF71A" w14:textId="560D637C">
      <w:pPr>
        <w:tabs>
          <w:tab w:val="left" w:pos="-720"/>
          <w:tab w:val="left" w:pos="0"/>
        </w:tabs>
        <w:suppressAutoHyphens/>
        <w:ind w:left="360"/>
        <w:rPr>
          <w:rFonts w:ascii="Times New Roman" w:hAnsi="Times New Roman"/>
          <w:sz w:val="24"/>
          <w:szCs w:val="24"/>
        </w:rPr>
      </w:pPr>
      <w:r w:rsidRPr="0066751F">
        <w:rPr>
          <w:rFonts w:ascii="Times New Roman" w:hAnsi="Times New Roman"/>
          <w:sz w:val="24"/>
          <w:szCs w:val="24"/>
        </w:rPr>
        <w:t>These surveys are designed to limit response options to provided values for closed-ended</w:t>
      </w:r>
      <w:r w:rsidR="0007699A">
        <w:rPr>
          <w:rFonts w:ascii="Times New Roman" w:hAnsi="Times New Roman"/>
          <w:sz w:val="24"/>
          <w:szCs w:val="24"/>
        </w:rPr>
        <w:t xml:space="preserve"> </w:t>
      </w:r>
      <w:r w:rsidRPr="0066751F">
        <w:rPr>
          <w:rFonts w:ascii="Times New Roman" w:hAnsi="Times New Roman"/>
          <w:sz w:val="24"/>
          <w:szCs w:val="24"/>
        </w:rPr>
        <w:t xml:space="preserve">questions, which eliminates the possibility of multiple answers for a single item when participants complete the online version. For the hard copy, respondents circle their response, which reduces issues with illegibility. The evaluation team will analyze survey data and identify and document any issues with data collection quality and consistency, for discussion with the </w:t>
      </w:r>
      <w:r w:rsidRPr="0066751F" w:rsidR="00F65CC6">
        <w:rPr>
          <w:rFonts w:ascii="Times New Roman" w:hAnsi="Times New Roman"/>
          <w:sz w:val="24"/>
          <w:szCs w:val="24"/>
        </w:rPr>
        <w:t>CLJIA</w:t>
      </w:r>
      <w:r w:rsidRPr="0066751F">
        <w:rPr>
          <w:rFonts w:ascii="Times New Roman" w:hAnsi="Times New Roman"/>
          <w:sz w:val="24"/>
          <w:szCs w:val="24"/>
        </w:rPr>
        <w:t xml:space="preserve"> team and amelioration. </w:t>
      </w:r>
    </w:p>
    <w:p w:rsidR="00936210" w:rsidRPr="0066751F" w:rsidP="00936210" w14:paraId="40D92348" w14:textId="77777777">
      <w:pPr>
        <w:tabs>
          <w:tab w:val="left" w:pos="-720"/>
          <w:tab w:val="left" w:pos="0"/>
        </w:tabs>
        <w:suppressAutoHyphens/>
        <w:ind w:left="360"/>
        <w:rPr>
          <w:rFonts w:ascii="Times New Roman" w:hAnsi="Times New Roman"/>
          <w:sz w:val="24"/>
          <w:szCs w:val="24"/>
        </w:rPr>
      </w:pPr>
    </w:p>
    <w:p w:rsidR="00936210" w:rsidRPr="0066751F" w:rsidP="00F92019" w14:paraId="0B781ADE" w14:textId="77777777">
      <w:pPr>
        <w:tabs>
          <w:tab w:val="left" w:pos="-720"/>
          <w:tab w:val="left" w:pos="0"/>
        </w:tabs>
        <w:suppressAutoHyphens/>
        <w:spacing w:after="60"/>
        <w:ind w:left="360"/>
        <w:rPr>
          <w:rFonts w:ascii="Times New Roman" w:hAnsi="Times New Roman"/>
          <w:sz w:val="24"/>
          <w:szCs w:val="24"/>
        </w:rPr>
      </w:pPr>
      <w:r w:rsidRPr="0066751F">
        <w:rPr>
          <w:rFonts w:ascii="Times New Roman" w:hAnsi="Times New Roman"/>
          <w:i/>
          <w:iCs/>
          <w:sz w:val="24"/>
          <w:szCs w:val="24"/>
        </w:rPr>
        <w:t xml:space="preserve">Statistical methodology </w:t>
      </w:r>
    </w:p>
    <w:p w:rsidR="003B7A50" w:rsidRPr="0066751F" w:rsidP="00936210" w14:paraId="26486433" w14:textId="589507FC">
      <w:pPr>
        <w:tabs>
          <w:tab w:val="left" w:pos="-720"/>
          <w:tab w:val="left" w:pos="0"/>
        </w:tabs>
        <w:suppressAutoHyphens/>
        <w:ind w:left="360"/>
        <w:rPr>
          <w:rFonts w:ascii="Times New Roman" w:hAnsi="Times New Roman"/>
          <w:sz w:val="24"/>
          <w:szCs w:val="24"/>
        </w:rPr>
      </w:pPr>
      <w:r w:rsidRPr="0066751F">
        <w:rPr>
          <w:rFonts w:ascii="Times New Roman" w:hAnsi="Times New Roman"/>
          <w:sz w:val="24"/>
          <w:szCs w:val="24"/>
        </w:rPr>
        <w:t>Since this is a census, and the sample size is</w:t>
      </w:r>
      <w:r w:rsidRPr="0066751F" w:rsidR="005F4C42">
        <w:rPr>
          <w:rFonts w:ascii="Times New Roman" w:hAnsi="Times New Roman"/>
          <w:sz w:val="24"/>
          <w:szCs w:val="24"/>
        </w:rPr>
        <w:t xml:space="preserve"> the same as</w:t>
      </w:r>
      <w:r w:rsidRPr="0066751F">
        <w:rPr>
          <w:rFonts w:ascii="Times New Roman" w:hAnsi="Times New Roman"/>
          <w:sz w:val="24"/>
          <w:szCs w:val="24"/>
        </w:rPr>
        <w:t xml:space="preserve"> the universe, no statistical methodology is used for sample selection</w:t>
      </w:r>
      <w:r w:rsidRPr="0066751F" w:rsidR="008618DA">
        <w:rPr>
          <w:rFonts w:ascii="Times New Roman" w:hAnsi="Times New Roman"/>
          <w:sz w:val="24"/>
          <w:szCs w:val="24"/>
        </w:rPr>
        <w:t xml:space="preserve"> or stratification and no </w:t>
      </w:r>
      <w:r w:rsidRPr="0066751F">
        <w:rPr>
          <w:rFonts w:ascii="Times New Roman" w:hAnsi="Times New Roman"/>
          <w:sz w:val="24"/>
          <w:szCs w:val="24"/>
        </w:rPr>
        <w:t xml:space="preserve">estimation procedures apply.  </w:t>
      </w:r>
    </w:p>
    <w:p w:rsidR="003B7A50" w:rsidRPr="004F7B95" w:rsidP="00DE529D" w14:paraId="16FCC811" w14:textId="77777777">
      <w:pPr>
        <w:tabs>
          <w:tab w:val="left" w:pos="-720"/>
          <w:tab w:val="left" w:pos="0"/>
        </w:tabs>
        <w:suppressAutoHyphens/>
        <w:ind w:left="360"/>
        <w:rPr>
          <w:rFonts w:ascii="Times New Roman" w:hAnsi="Times New Roman"/>
          <w:sz w:val="24"/>
          <w:szCs w:val="24"/>
        </w:rPr>
      </w:pPr>
    </w:p>
    <w:p w:rsidR="00707AFB" w:rsidRPr="00817E2B" w:rsidP="00817E2B" w14:paraId="7A93F97B" w14:textId="77777777">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455D67" w:rsidRPr="001F3E12" w:rsidP="00F92019" w14:paraId="087003C8" w14:textId="77777777">
      <w:pPr>
        <w:tabs>
          <w:tab w:val="left" w:pos="-720"/>
          <w:tab w:val="left" w:pos="360"/>
        </w:tabs>
        <w:suppressAutoHyphens/>
        <w:spacing w:after="60"/>
        <w:ind w:left="360"/>
        <w:rPr>
          <w:rFonts w:ascii="Times New Roman" w:hAnsi="Times New Roman"/>
          <w:i/>
          <w:iCs/>
          <w:sz w:val="24"/>
          <w:szCs w:val="24"/>
        </w:rPr>
      </w:pPr>
      <w:r w:rsidRPr="001F3E12">
        <w:rPr>
          <w:rFonts w:ascii="Times New Roman" w:hAnsi="Times New Roman"/>
          <w:i/>
          <w:iCs/>
          <w:sz w:val="24"/>
          <w:szCs w:val="24"/>
        </w:rPr>
        <w:t>Response Rates</w:t>
      </w:r>
    </w:p>
    <w:p w:rsidR="00455D67" w:rsidP="00455D67" w14:paraId="4C4DBCC3" w14:textId="731225E4">
      <w:pPr>
        <w:tabs>
          <w:tab w:val="left" w:pos="-720"/>
          <w:tab w:val="left" w:pos="360"/>
        </w:tabs>
        <w:suppressAutoHyphens/>
        <w:ind w:left="360"/>
        <w:rPr>
          <w:rFonts w:ascii="Times New Roman" w:hAnsi="Times New Roman"/>
          <w:sz w:val="24"/>
          <w:szCs w:val="24"/>
        </w:rPr>
      </w:pPr>
      <w:r w:rsidRPr="00455D67">
        <w:rPr>
          <w:rFonts w:ascii="Times New Roman" w:hAnsi="Times New Roman"/>
          <w:sz w:val="24"/>
          <w:szCs w:val="24"/>
        </w:rPr>
        <w:t>Maximizing response rates is critical to the administration of these data collection efforts.</w:t>
      </w:r>
      <w:r>
        <w:rPr>
          <w:rFonts w:ascii="Times New Roman" w:hAnsi="Times New Roman"/>
          <w:sz w:val="24"/>
          <w:szCs w:val="24"/>
        </w:rPr>
        <w:t xml:space="preserve"> </w:t>
      </w:r>
      <w:r w:rsidRPr="00455D67">
        <w:rPr>
          <w:rFonts w:ascii="Times New Roman" w:hAnsi="Times New Roman"/>
          <w:sz w:val="24"/>
          <w:szCs w:val="24"/>
        </w:rPr>
        <w:t xml:space="preserve">Though these data collection activities are not designed to produce statistically generalizable findings and participation in the data collection activities is wholly at the respondents’ discretion, response rates will be collected for quality improvement purposes.  </w:t>
      </w:r>
    </w:p>
    <w:p w:rsidR="00455D67" w:rsidRPr="00455D67" w:rsidP="00455D67" w14:paraId="34C3CB07" w14:textId="77777777">
      <w:pPr>
        <w:tabs>
          <w:tab w:val="left" w:pos="-720"/>
          <w:tab w:val="left" w:pos="360"/>
        </w:tabs>
        <w:suppressAutoHyphens/>
        <w:ind w:left="360"/>
        <w:rPr>
          <w:rFonts w:ascii="Times New Roman" w:hAnsi="Times New Roman"/>
          <w:sz w:val="24"/>
          <w:szCs w:val="24"/>
        </w:rPr>
      </w:pPr>
    </w:p>
    <w:p w:rsidR="00455D67" w:rsidRPr="00455D67" w:rsidP="00F92019" w14:paraId="5D4F6C04" w14:textId="77777777">
      <w:pPr>
        <w:tabs>
          <w:tab w:val="left" w:pos="-720"/>
          <w:tab w:val="left" w:pos="360"/>
        </w:tabs>
        <w:suppressAutoHyphens/>
        <w:spacing w:after="60"/>
        <w:ind w:left="360"/>
        <w:rPr>
          <w:rFonts w:ascii="Times New Roman" w:hAnsi="Times New Roman"/>
          <w:sz w:val="24"/>
          <w:szCs w:val="24"/>
        </w:rPr>
      </w:pPr>
      <w:r w:rsidRPr="00455D67">
        <w:rPr>
          <w:rFonts w:ascii="Times New Roman" w:hAnsi="Times New Roman"/>
          <w:sz w:val="24"/>
          <w:szCs w:val="24"/>
        </w:rPr>
        <w:t>Data collection strategies that emphasize flexibility, privacy, and a respect for the respondent’s time facilitate timely participation. The following strategies will be implemented to maximize participation in the data collection.:</w:t>
      </w:r>
    </w:p>
    <w:p w:rsidR="00455D67" w:rsidRPr="00512387" w:rsidP="00512387" w14:paraId="55CE5C6F" w14:textId="58564C1F">
      <w:pPr>
        <w:pStyle w:val="ListParagraph"/>
        <w:numPr>
          <w:ilvl w:val="0"/>
          <w:numId w:val="21"/>
        </w:numPr>
        <w:tabs>
          <w:tab w:val="left" w:pos="-720"/>
          <w:tab w:val="left" w:pos="360"/>
        </w:tabs>
        <w:suppressAutoHyphens/>
        <w:rPr>
          <w:rFonts w:ascii="Times New Roman" w:hAnsi="Times New Roman"/>
          <w:sz w:val="24"/>
          <w:szCs w:val="24"/>
        </w:rPr>
      </w:pPr>
      <w:r w:rsidRPr="00512387">
        <w:rPr>
          <w:rFonts w:ascii="Times New Roman" w:hAnsi="Times New Roman"/>
          <w:sz w:val="24"/>
          <w:szCs w:val="24"/>
        </w:rPr>
        <w:t>Administration: For surveys, reminder emails will be sent (per discussion above) to promote participation and a high</w:t>
      </w:r>
      <w:r w:rsidR="001E4605">
        <w:rPr>
          <w:rFonts w:ascii="Times New Roman" w:hAnsi="Times New Roman"/>
          <w:sz w:val="24"/>
          <w:szCs w:val="24"/>
        </w:rPr>
        <w:t>er</w:t>
      </w:r>
      <w:r w:rsidRPr="00512387">
        <w:rPr>
          <w:rFonts w:ascii="Times New Roman" w:hAnsi="Times New Roman"/>
          <w:sz w:val="24"/>
          <w:szCs w:val="24"/>
        </w:rPr>
        <w:t xml:space="preserve"> response.  </w:t>
      </w:r>
    </w:p>
    <w:p w:rsidR="00455D67" w:rsidRPr="00512387" w:rsidP="00512387" w14:paraId="68BCE96F" w14:textId="78932409">
      <w:pPr>
        <w:pStyle w:val="ListParagraph"/>
        <w:numPr>
          <w:ilvl w:val="0"/>
          <w:numId w:val="21"/>
        </w:numPr>
        <w:tabs>
          <w:tab w:val="left" w:pos="-720"/>
          <w:tab w:val="left" w:pos="360"/>
        </w:tabs>
        <w:suppressAutoHyphens/>
        <w:rPr>
          <w:rFonts w:ascii="Times New Roman" w:hAnsi="Times New Roman"/>
          <w:sz w:val="24"/>
          <w:szCs w:val="24"/>
        </w:rPr>
      </w:pPr>
      <w:r w:rsidRPr="00512387">
        <w:rPr>
          <w:rFonts w:ascii="Times New Roman" w:hAnsi="Times New Roman"/>
          <w:sz w:val="24"/>
          <w:szCs w:val="24"/>
        </w:rPr>
        <w:t xml:space="preserve">Alternate response methods: Respondents will be given the option to use an alternate method for responding to surveys, such </w:t>
      </w:r>
      <w:r w:rsidR="00ED171C">
        <w:rPr>
          <w:rFonts w:ascii="Times New Roman" w:hAnsi="Times New Roman"/>
          <w:sz w:val="24"/>
          <w:szCs w:val="24"/>
        </w:rPr>
        <w:t>as opting between a paper or web-based survey for in person learning experiences, i</w:t>
      </w:r>
      <w:r w:rsidRPr="00512387">
        <w:rPr>
          <w:rFonts w:ascii="Times New Roman" w:hAnsi="Times New Roman"/>
          <w:sz w:val="24"/>
          <w:szCs w:val="24"/>
        </w:rPr>
        <w:t>f this</w:t>
      </w:r>
      <w:r w:rsidR="00ED171C">
        <w:rPr>
          <w:rFonts w:ascii="Times New Roman" w:hAnsi="Times New Roman"/>
          <w:sz w:val="24"/>
          <w:szCs w:val="24"/>
        </w:rPr>
        <w:t xml:space="preserve"> </w:t>
      </w:r>
      <w:r w:rsidRPr="00512387">
        <w:rPr>
          <w:rFonts w:ascii="Times New Roman" w:hAnsi="Times New Roman"/>
          <w:sz w:val="24"/>
          <w:szCs w:val="24"/>
        </w:rPr>
        <w:t xml:space="preserve">helps to increase participation.  </w:t>
      </w:r>
    </w:p>
    <w:p w:rsidR="00455D67" w:rsidRPr="00512387" w:rsidP="00512387" w14:paraId="325442BB" w14:textId="60AE4184">
      <w:pPr>
        <w:pStyle w:val="ListParagraph"/>
        <w:numPr>
          <w:ilvl w:val="0"/>
          <w:numId w:val="21"/>
        </w:numPr>
        <w:tabs>
          <w:tab w:val="left" w:pos="-720"/>
          <w:tab w:val="left" w:pos="360"/>
        </w:tabs>
        <w:suppressAutoHyphens/>
        <w:rPr>
          <w:rFonts w:ascii="Times New Roman" w:hAnsi="Times New Roman"/>
          <w:sz w:val="24"/>
          <w:szCs w:val="24"/>
        </w:rPr>
      </w:pPr>
      <w:r w:rsidRPr="00512387">
        <w:rPr>
          <w:rFonts w:ascii="Times New Roman" w:hAnsi="Times New Roman"/>
          <w:sz w:val="24"/>
          <w:szCs w:val="24"/>
        </w:rPr>
        <w:t xml:space="preserve">Assurances of data privacy: Respondents to all surveys and interviews will be assured </w:t>
      </w:r>
      <w:r w:rsidRPr="00512387">
        <w:rPr>
          <w:rFonts w:ascii="Times New Roman" w:hAnsi="Times New Roman"/>
          <w:sz w:val="24"/>
          <w:szCs w:val="24"/>
        </w:rPr>
        <w:t xml:space="preserve">that reported data are aggregated and not attributable to individuals or specific child welfare jurisdictions. </w:t>
      </w:r>
    </w:p>
    <w:p w:rsidR="00376906" w:rsidP="00455D67" w14:paraId="16DEA3E3" w14:textId="77777777">
      <w:pPr>
        <w:tabs>
          <w:tab w:val="left" w:pos="-720"/>
          <w:tab w:val="left" w:pos="360"/>
        </w:tabs>
        <w:suppressAutoHyphens/>
        <w:ind w:left="360"/>
        <w:rPr>
          <w:rFonts w:ascii="Times New Roman" w:hAnsi="Times New Roman"/>
          <w:sz w:val="24"/>
          <w:szCs w:val="24"/>
        </w:rPr>
      </w:pPr>
    </w:p>
    <w:p w:rsidR="00455D67" w:rsidRPr="00512387" w:rsidP="00F92019" w14:paraId="6590DFFD" w14:textId="1108BA45">
      <w:pPr>
        <w:tabs>
          <w:tab w:val="left" w:pos="-720"/>
          <w:tab w:val="left" w:pos="360"/>
        </w:tabs>
        <w:suppressAutoHyphens/>
        <w:spacing w:after="60"/>
        <w:ind w:left="360"/>
        <w:rPr>
          <w:rFonts w:ascii="Times New Roman" w:hAnsi="Times New Roman"/>
          <w:i/>
          <w:iCs/>
          <w:sz w:val="24"/>
          <w:szCs w:val="24"/>
        </w:rPr>
      </w:pPr>
      <w:r w:rsidRPr="00512387">
        <w:rPr>
          <w:rFonts w:ascii="Times New Roman" w:hAnsi="Times New Roman"/>
          <w:i/>
          <w:iCs/>
          <w:sz w:val="24"/>
          <w:szCs w:val="24"/>
        </w:rPr>
        <w:t>Non-Response</w:t>
      </w:r>
    </w:p>
    <w:p w:rsidR="00817E2B" w:rsidP="00376906" w14:paraId="640B2BF9" w14:textId="27B736C8">
      <w:pPr>
        <w:tabs>
          <w:tab w:val="left" w:pos="-720"/>
          <w:tab w:val="left" w:pos="360"/>
        </w:tabs>
        <w:suppressAutoHyphens/>
        <w:ind w:left="360"/>
        <w:rPr>
          <w:rFonts w:ascii="Times New Roman" w:hAnsi="Times New Roman"/>
          <w:sz w:val="24"/>
          <w:szCs w:val="24"/>
        </w:rPr>
      </w:pPr>
      <w:r w:rsidRPr="00455D67">
        <w:rPr>
          <w:rFonts w:ascii="Times New Roman" w:hAnsi="Times New Roman"/>
          <w:sz w:val="24"/>
          <w:szCs w:val="24"/>
        </w:rPr>
        <w:t xml:space="preserve">As participants will not be randomly sampled and findings are not intended to be representative, non-response bias will not be calculated. </w:t>
      </w:r>
      <w:r w:rsidR="00376906">
        <w:rPr>
          <w:rFonts w:ascii="Times New Roman" w:hAnsi="Times New Roman"/>
          <w:sz w:val="24"/>
          <w:szCs w:val="24"/>
        </w:rPr>
        <w:t>The evaluation team will, however, track response rates and report them along with findings.</w:t>
      </w:r>
    </w:p>
    <w:p w:rsidR="00817E2B" w:rsidP="00DE529D" w14:paraId="4F30D8DC" w14:textId="77777777">
      <w:pPr>
        <w:tabs>
          <w:tab w:val="left" w:pos="-720"/>
          <w:tab w:val="left" w:pos="360"/>
        </w:tabs>
        <w:suppressAutoHyphens/>
        <w:ind w:left="360"/>
        <w:rPr>
          <w:rFonts w:ascii="Times New Roman" w:hAnsi="Times New Roman"/>
          <w:sz w:val="24"/>
          <w:szCs w:val="24"/>
        </w:rPr>
      </w:pPr>
    </w:p>
    <w:p w:rsidR="002C3C4F" w:rsidRPr="00817E2B" w:rsidP="00817E2B" w14:paraId="1FFC4258"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4F7B95" w:rsidP="00DE529D" w14:paraId="67A17ACD" w14:textId="7B30DAEA">
      <w:pPr>
        <w:widowControl/>
        <w:tabs>
          <w:tab w:val="left" w:pos="360"/>
        </w:tabs>
        <w:ind w:left="360"/>
        <w:rPr>
          <w:rFonts w:ascii="Times New Roman" w:hAnsi="Times New Roman"/>
          <w:snapToGrid/>
          <w:sz w:val="24"/>
          <w:szCs w:val="24"/>
        </w:rPr>
      </w:pPr>
      <w:r>
        <w:rPr>
          <w:rFonts w:ascii="Times New Roman" w:hAnsi="Times New Roman"/>
          <w:snapToGrid/>
          <w:sz w:val="24"/>
          <w:szCs w:val="24"/>
        </w:rPr>
        <w:t xml:space="preserve">No tests of procedures are planned, as this </w:t>
      </w:r>
      <w:r w:rsidR="0034261A">
        <w:rPr>
          <w:rFonts w:ascii="Times New Roman" w:hAnsi="Times New Roman"/>
          <w:snapToGrid/>
          <w:sz w:val="24"/>
          <w:szCs w:val="24"/>
        </w:rPr>
        <w:t xml:space="preserve">request </w:t>
      </w:r>
      <w:r>
        <w:rPr>
          <w:rFonts w:ascii="Times New Roman" w:hAnsi="Times New Roman"/>
          <w:snapToGrid/>
          <w:sz w:val="24"/>
          <w:szCs w:val="24"/>
        </w:rPr>
        <w:t xml:space="preserve">simply proposes to extend the existing data collection activities for ongoing CQI as </w:t>
      </w:r>
      <w:r w:rsidR="00F65CC6">
        <w:rPr>
          <w:rFonts w:ascii="Times New Roman" w:hAnsi="Times New Roman"/>
          <w:snapToGrid/>
          <w:sz w:val="24"/>
          <w:szCs w:val="24"/>
        </w:rPr>
        <w:t>CLJIA</w:t>
      </w:r>
      <w:r>
        <w:rPr>
          <w:rFonts w:ascii="Times New Roman" w:hAnsi="Times New Roman"/>
          <w:snapToGrid/>
          <w:sz w:val="24"/>
          <w:szCs w:val="24"/>
        </w:rPr>
        <w:t xml:space="preserve"> serves more members of the legal and judicial community.</w:t>
      </w:r>
    </w:p>
    <w:p w:rsidR="003B7A50" w:rsidRPr="004F7B95" w:rsidP="00DE529D" w14:paraId="10A6B25F" w14:textId="77777777">
      <w:pPr>
        <w:widowControl/>
        <w:tabs>
          <w:tab w:val="left" w:pos="360"/>
        </w:tabs>
        <w:ind w:left="360"/>
        <w:rPr>
          <w:rFonts w:ascii="Times New Roman" w:hAnsi="Times New Roman"/>
          <w:snapToGrid/>
          <w:sz w:val="24"/>
          <w:szCs w:val="24"/>
        </w:rPr>
      </w:pPr>
    </w:p>
    <w:p w:rsidR="00EC698B" w:rsidP="00817E2B" w14:paraId="661592CB"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A30475" w:rsidP="00A30475" w14:paraId="18CD3B22" w14:textId="7EBA7A03">
      <w:pPr>
        <w:widowControl/>
        <w:ind w:left="360"/>
      </w:pPr>
      <w:r w:rsidRPr="00A30475">
        <w:t xml:space="preserve"> </w:t>
      </w:r>
    </w:p>
    <w:p w:rsidR="00A30475" w:rsidRPr="00A30475" w:rsidP="00A30475" w14:paraId="07F9AE88" w14:textId="4887B23A">
      <w:pPr>
        <w:widowControl/>
        <w:ind w:left="360"/>
        <w:rPr>
          <w:rFonts w:ascii="Times New Roman" w:hAnsi="Times New Roman"/>
          <w:bCs/>
          <w:snapToGrid/>
          <w:sz w:val="24"/>
          <w:szCs w:val="24"/>
        </w:rPr>
      </w:pPr>
      <w:r w:rsidRPr="00A30475">
        <w:rPr>
          <w:rFonts w:ascii="Times New Roman" w:hAnsi="Times New Roman"/>
          <w:bCs/>
          <w:snapToGrid/>
          <w:sz w:val="24"/>
          <w:szCs w:val="24"/>
        </w:rPr>
        <w:t>Kristen Woodruff, PhD, MSW</w:t>
      </w:r>
    </w:p>
    <w:p w:rsidR="0086638D" w:rsidP="00A30475" w14:paraId="79E4C8D2" w14:textId="77777777">
      <w:pPr>
        <w:widowControl/>
        <w:ind w:left="360"/>
        <w:rPr>
          <w:rFonts w:ascii="Times New Roman" w:hAnsi="Times New Roman"/>
          <w:bCs/>
          <w:snapToGrid/>
          <w:sz w:val="24"/>
          <w:szCs w:val="24"/>
        </w:rPr>
      </w:pPr>
      <w:r w:rsidRPr="00A30475">
        <w:rPr>
          <w:rFonts w:ascii="Times New Roman" w:hAnsi="Times New Roman"/>
          <w:bCs/>
          <w:snapToGrid/>
          <w:sz w:val="24"/>
          <w:szCs w:val="24"/>
        </w:rPr>
        <w:t>Senior Study Director</w:t>
      </w:r>
    </w:p>
    <w:p w:rsidR="00A30475" w:rsidRPr="00A30475" w:rsidP="00A30475" w14:paraId="10A94A49" w14:textId="53013B1C">
      <w:pPr>
        <w:widowControl/>
        <w:ind w:left="360"/>
        <w:rPr>
          <w:rFonts w:ascii="Times New Roman" w:hAnsi="Times New Roman"/>
          <w:bCs/>
          <w:snapToGrid/>
          <w:sz w:val="24"/>
          <w:szCs w:val="24"/>
        </w:rPr>
      </w:pPr>
      <w:r>
        <w:rPr>
          <w:rFonts w:ascii="Times New Roman" w:hAnsi="Times New Roman"/>
          <w:bCs/>
          <w:snapToGrid/>
          <w:sz w:val="24"/>
          <w:szCs w:val="24"/>
        </w:rPr>
        <w:t>Westat / Center for Legal and Judicial Innovation and Advancement</w:t>
      </w:r>
    </w:p>
    <w:p w:rsidR="00AB515C" w:rsidP="00DE529D" w14:paraId="32D1A80B" w14:textId="20AF5A95">
      <w:pPr>
        <w:widowControl/>
        <w:ind w:left="360"/>
        <w:rPr>
          <w:rFonts w:ascii="Times New Roman" w:hAnsi="Times New Roman"/>
          <w:bCs/>
          <w:snapToGrid/>
          <w:sz w:val="24"/>
          <w:szCs w:val="24"/>
        </w:rPr>
      </w:pPr>
      <w:r>
        <w:rPr>
          <w:rFonts w:ascii="Times New Roman" w:hAnsi="Times New Roman"/>
          <w:bCs/>
          <w:snapToGrid/>
          <w:sz w:val="24"/>
          <w:szCs w:val="24"/>
        </w:rPr>
        <w:t>Jennifer Renne, JD</w:t>
      </w:r>
    </w:p>
    <w:p w:rsidR="005B15C6" w:rsidP="00DE529D" w14:paraId="7D351D95" w14:textId="569469C5">
      <w:pPr>
        <w:widowControl/>
        <w:ind w:left="360"/>
        <w:rPr>
          <w:rFonts w:ascii="Times New Roman" w:hAnsi="Times New Roman"/>
          <w:bCs/>
          <w:snapToGrid/>
          <w:sz w:val="24"/>
          <w:szCs w:val="24"/>
        </w:rPr>
      </w:pPr>
      <w:r>
        <w:rPr>
          <w:rFonts w:ascii="Times New Roman" w:hAnsi="Times New Roman"/>
          <w:bCs/>
          <w:snapToGrid/>
          <w:sz w:val="24"/>
          <w:szCs w:val="24"/>
        </w:rPr>
        <w:t>Director</w:t>
      </w:r>
    </w:p>
    <w:p w:rsidR="005B15C6" w:rsidRPr="00A30475" w:rsidP="005B15C6" w14:paraId="53A0C3C8" w14:textId="77777777">
      <w:pPr>
        <w:widowControl/>
        <w:ind w:left="360"/>
        <w:rPr>
          <w:rFonts w:ascii="Times New Roman" w:hAnsi="Times New Roman"/>
          <w:bCs/>
          <w:snapToGrid/>
          <w:sz w:val="24"/>
          <w:szCs w:val="24"/>
        </w:rPr>
      </w:pPr>
      <w:r>
        <w:rPr>
          <w:rFonts w:ascii="Times New Roman" w:hAnsi="Times New Roman"/>
          <w:bCs/>
          <w:snapToGrid/>
          <w:sz w:val="24"/>
          <w:szCs w:val="24"/>
        </w:rPr>
        <w:t>American Bar Association / Center for Legal and Judicial Innovation and Advancement</w:t>
      </w:r>
    </w:p>
    <w:p w:rsidR="005B15C6" w:rsidP="00DE529D" w14:paraId="47D86160" w14:textId="5983A5AC">
      <w:pPr>
        <w:widowControl/>
        <w:ind w:left="360"/>
        <w:rPr>
          <w:rFonts w:ascii="Times New Roman" w:hAnsi="Times New Roman"/>
          <w:bCs/>
          <w:snapToGrid/>
          <w:sz w:val="24"/>
          <w:szCs w:val="24"/>
        </w:rPr>
      </w:pPr>
    </w:p>
    <w:p w:rsidR="00AB515C" w:rsidP="00DE529D" w14:paraId="3F26FEBE" w14:textId="77777777">
      <w:pPr>
        <w:widowControl/>
        <w:ind w:left="360"/>
        <w:rPr>
          <w:rFonts w:ascii="Times New Roman" w:hAnsi="Times New Roman"/>
          <w:bCs/>
          <w:snapToGrid/>
          <w:sz w:val="24"/>
          <w:szCs w:val="24"/>
        </w:rPr>
      </w:pPr>
    </w:p>
    <w:p w:rsidR="00AB515C" w:rsidRPr="00CE7766" w:rsidP="00AB515C" w14:paraId="10A3CC61" w14:textId="77777777">
      <w:pPr>
        <w:pStyle w:val="ReportCover-Title"/>
        <w:spacing w:after="120" w:line="240" w:lineRule="auto"/>
        <w:rPr>
          <w:rFonts w:ascii="Times New Roman" w:hAnsi="Times New Roman"/>
          <w:color w:val="auto"/>
          <w:sz w:val="24"/>
          <w:szCs w:val="24"/>
        </w:rPr>
      </w:pPr>
      <w:r w:rsidRPr="00CE7766">
        <w:rPr>
          <w:rFonts w:ascii="Times New Roman" w:hAnsi="Times New Roman"/>
          <w:color w:val="auto"/>
          <w:sz w:val="24"/>
          <w:szCs w:val="24"/>
        </w:rPr>
        <w:t>Attachments</w:t>
      </w:r>
    </w:p>
    <w:p w:rsidR="00AB515C" w:rsidRPr="00CE7766" w:rsidP="00AB515C" w14:paraId="76E46F31" w14:textId="77777777">
      <w:pPr>
        <w:pStyle w:val="ReportCover-Title"/>
        <w:numPr>
          <w:ilvl w:val="0"/>
          <w:numId w:val="22"/>
        </w:numPr>
        <w:spacing w:line="240" w:lineRule="auto"/>
        <w:rPr>
          <w:rFonts w:ascii="Times New Roman" w:hAnsi="Times New Roman"/>
          <w:b w:val="0"/>
          <w:bCs/>
          <w:color w:val="auto"/>
          <w:sz w:val="24"/>
          <w:szCs w:val="24"/>
        </w:rPr>
      </w:pPr>
      <w:r w:rsidRPr="00CE7766">
        <w:rPr>
          <w:rFonts w:ascii="Times New Roman" w:hAnsi="Times New Roman"/>
          <w:b w:val="0"/>
          <w:bCs/>
          <w:color w:val="auto"/>
          <w:sz w:val="24"/>
          <w:szCs w:val="24"/>
        </w:rPr>
        <w:t>Appendix 1 – Relevant Child Abuse Prevention and Treatment Act (CAPTA) Sections</w:t>
      </w:r>
    </w:p>
    <w:p w:rsidR="00AB515C" w:rsidRPr="00495DF1" w:rsidP="00AB515C" w14:paraId="348A8F5B" w14:textId="77777777">
      <w:pPr>
        <w:pStyle w:val="ReportCover-Title"/>
        <w:numPr>
          <w:ilvl w:val="0"/>
          <w:numId w:val="22"/>
        </w:numPr>
        <w:spacing w:line="240" w:lineRule="auto"/>
        <w:rPr>
          <w:rFonts w:ascii="Times New Roman" w:hAnsi="Times New Roman"/>
          <w:b w:val="0"/>
          <w:bCs/>
          <w:color w:val="auto"/>
          <w:sz w:val="24"/>
          <w:szCs w:val="24"/>
        </w:rPr>
      </w:pPr>
      <w:r>
        <w:rPr>
          <w:rFonts w:ascii="Times New Roman" w:hAnsi="Times New Roman"/>
          <w:b w:val="0"/>
          <w:bCs/>
          <w:color w:val="auto"/>
          <w:sz w:val="24"/>
          <w:szCs w:val="24"/>
        </w:rPr>
        <w:t xml:space="preserve">Appendix 2 </w:t>
      </w:r>
      <w:r w:rsidRPr="00CE7766">
        <w:rPr>
          <w:rFonts w:ascii="Times New Roman" w:hAnsi="Times New Roman"/>
          <w:b w:val="0"/>
          <w:bCs/>
          <w:color w:val="auto"/>
          <w:sz w:val="24"/>
          <w:szCs w:val="24"/>
        </w:rPr>
        <w:t>–</w:t>
      </w:r>
      <w:r>
        <w:rPr>
          <w:rFonts w:ascii="Times New Roman" w:hAnsi="Times New Roman"/>
          <w:b w:val="0"/>
          <w:bCs/>
          <w:color w:val="auto"/>
          <w:sz w:val="24"/>
          <w:szCs w:val="24"/>
        </w:rPr>
        <w:t xml:space="preserve"> </w:t>
      </w:r>
      <w:r w:rsidRPr="00495DF1">
        <w:rPr>
          <w:rFonts w:ascii="Times New Roman" w:hAnsi="Times New Roman"/>
          <w:b w:val="0"/>
          <w:bCs/>
          <w:color w:val="auto"/>
          <w:sz w:val="24"/>
          <w:szCs w:val="24"/>
        </w:rPr>
        <w:t>Recruitment and Reminder Language</w:t>
      </w:r>
    </w:p>
    <w:p w:rsidR="00AB515C" w:rsidRPr="00CE7766" w:rsidP="00AB515C" w14:paraId="42AA66E8" w14:textId="77777777">
      <w:pPr>
        <w:pStyle w:val="ReportCover-Title"/>
        <w:numPr>
          <w:ilvl w:val="0"/>
          <w:numId w:val="22"/>
        </w:numPr>
        <w:spacing w:line="240" w:lineRule="auto"/>
        <w:rPr>
          <w:rFonts w:ascii="Times New Roman" w:hAnsi="Times New Roman"/>
          <w:b w:val="0"/>
          <w:bCs/>
          <w:color w:val="auto"/>
          <w:sz w:val="24"/>
          <w:szCs w:val="24"/>
        </w:rPr>
      </w:pPr>
      <w:r w:rsidRPr="00CE7766">
        <w:rPr>
          <w:rFonts w:ascii="Times New Roman" w:hAnsi="Times New Roman"/>
          <w:b w:val="0"/>
          <w:bCs/>
          <w:color w:val="auto"/>
          <w:sz w:val="24"/>
          <w:szCs w:val="24"/>
        </w:rPr>
        <w:t>Instrument 1</w:t>
      </w:r>
      <w:r>
        <w:rPr>
          <w:rFonts w:ascii="Times New Roman" w:hAnsi="Times New Roman"/>
          <w:b w:val="0"/>
          <w:bCs/>
          <w:color w:val="auto"/>
          <w:sz w:val="24"/>
          <w:szCs w:val="24"/>
        </w:rPr>
        <w:t xml:space="preserve"> </w:t>
      </w:r>
      <w:r w:rsidRPr="00CE7766">
        <w:rPr>
          <w:rFonts w:ascii="Times New Roman" w:hAnsi="Times New Roman"/>
          <w:b w:val="0"/>
          <w:bCs/>
          <w:color w:val="auto"/>
          <w:sz w:val="24"/>
          <w:szCs w:val="24"/>
        </w:rPr>
        <w:t>– Workshop Feedback Survey</w:t>
      </w:r>
    </w:p>
    <w:p w:rsidR="00AB515C" w:rsidRPr="00CE7766" w:rsidP="00AB515C" w14:paraId="1E3AABBF" w14:textId="77777777">
      <w:pPr>
        <w:pStyle w:val="ReportCover-Title"/>
        <w:numPr>
          <w:ilvl w:val="0"/>
          <w:numId w:val="22"/>
        </w:numPr>
        <w:spacing w:line="240" w:lineRule="auto"/>
        <w:rPr>
          <w:rFonts w:ascii="Times New Roman" w:hAnsi="Times New Roman"/>
          <w:b w:val="0"/>
          <w:bCs/>
          <w:color w:val="auto"/>
          <w:sz w:val="24"/>
          <w:szCs w:val="24"/>
        </w:rPr>
      </w:pPr>
      <w:r w:rsidRPr="00CE7766">
        <w:rPr>
          <w:rFonts w:ascii="Times New Roman" w:hAnsi="Times New Roman"/>
          <w:b w:val="0"/>
          <w:bCs/>
          <w:color w:val="auto"/>
          <w:sz w:val="24"/>
          <w:szCs w:val="24"/>
        </w:rPr>
        <w:t>Instrument 2 –</w:t>
      </w:r>
      <w:r>
        <w:rPr>
          <w:rFonts w:ascii="Times New Roman" w:hAnsi="Times New Roman"/>
          <w:b w:val="0"/>
          <w:bCs/>
          <w:color w:val="auto"/>
          <w:sz w:val="24"/>
          <w:szCs w:val="24"/>
        </w:rPr>
        <w:t xml:space="preserve"> </w:t>
      </w:r>
      <w:r w:rsidRPr="00CE7766">
        <w:rPr>
          <w:rFonts w:ascii="Times New Roman" w:hAnsi="Times New Roman"/>
          <w:b w:val="0"/>
          <w:bCs/>
          <w:color w:val="auto"/>
          <w:sz w:val="24"/>
          <w:szCs w:val="24"/>
        </w:rPr>
        <w:t>Academy Feedback Survey</w:t>
      </w:r>
    </w:p>
    <w:p w:rsidR="00AB515C" w:rsidRPr="00CE7766" w:rsidP="00AB515C" w14:paraId="4BDB9394" w14:textId="77777777">
      <w:pPr>
        <w:pStyle w:val="ReportCover-Title"/>
        <w:numPr>
          <w:ilvl w:val="0"/>
          <w:numId w:val="22"/>
        </w:numPr>
        <w:spacing w:line="240" w:lineRule="auto"/>
        <w:rPr>
          <w:rFonts w:ascii="Times New Roman" w:hAnsi="Times New Roman"/>
          <w:b w:val="0"/>
          <w:bCs/>
          <w:color w:val="auto"/>
          <w:sz w:val="24"/>
          <w:szCs w:val="24"/>
        </w:rPr>
      </w:pPr>
      <w:r w:rsidRPr="00CE7766">
        <w:rPr>
          <w:rFonts w:ascii="Times New Roman" w:hAnsi="Times New Roman"/>
          <w:b w:val="0"/>
          <w:bCs/>
          <w:color w:val="auto"/>
          <w:sz w:val="24"/>
          <w:szCs w:val="24"/>
        </w:rPr>
        <w:t>Instrument 3 –</w:t>
      </w:r>
      <w:r>
        <w:rPr>
          <w:rFonts w:ascii="Times New Roman" w:hAnsi="Times New Roman"/>
          <w:b w:val="0"/>
          <w:bCs/>
          <w:color w:val="auto"/>
          <w:sz w:val="24"/>
          <w:szCs w:val="24"/>
        </w:rPr>
        <w:t xml:space="preserve"> </w:t>
      </w:r>
      <w:r w:rsidRPr="00CE7766">
        <w:rPr>
          <w:rFonts w:ascii="Times New Roman" w:hAnsi="Times New Roman"/>
          <w:b w:val="0"/>
          <w:bCs/>
          <w:color w:val="auto"/>
          <w:sz w:val="24"/>
          <w:szCs w:val="24"/>
        </w:rPr>
        <w:t>Academy Pre/Post Assessment</w:t>
      </w:r>
    </w:p>
    <w:p w:rsidR="00AB515C" w:rsidRPr="001F3E12" w:rsidP="00DE529D" w14:paraId="26D54EBD" w14:textId="77777777">
      <w:pPr>
        <w:widowControl/>
        <w:ind w:left="360"/>
        <w:rPr>
          <w:rFonts w:ascii="Times New Roman" w:hAnsi="Times New Roman"/>
          <w:bCs/>
          <w:snapToGrid/>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52974" w14:paraId="238E3E07" w14:textId="77777777">
      <w:pPr>
        <w:spacing w:line="20" w:lineRule="exact"/>
        <w:rPr>
          <w:sz w:val="24"/>
        </w:rPr>
      </w:pPr>
    </w:p>
  </w:endnote>
  <w:endnote w:type="continuationSeparator" w:id="1">
    <w:p w:rsidR="00852974" w14:paraId="2BBBAB93" w14:textId="77777777">
      <w:r>
        <w:rPr>
          <w:sz w:val="24"/>
        </w:rPr>
        <w:t xml:space="preserve"> </w:t>
      </w:r>
    </w:p>
  </w:endnote>
  <w:endnote w:type="continuationNotice" w:id="2">
    <w:p w:rsidR="00852974" w14:paraId="198FC0E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2974" w14:paraId="02921F5B" w14:textId="77777777">
      <w:r>
        <w:rPr>
          <w:sz w:val="24"/>
        </w:rPr>
        <w:separator/>
      </w:r>
    </w:p>
  </w:footnote>
  <w:footnote w:type="continuationSeparator" w:id="1">
    <w:p w:rsidR="00852974" w14:paraId="641982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1"/>
    <w:multiLevelType w:val="hybridMultilevel"/>
    <w:tmpl w:val="736EE19C"/>
    <w:lvl w:ilvl="0">
      <w:start w:val="438"/>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E5138B"/>
    <w:multiLevelType w:val="hybridMultilevel"/>
    <w:tmpl w:val="C1382A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77770791">
    <w:abstractNumId w:val="12"/>
  </w:num>
  <w:num w:numId="2" w16cid:durableId="515047952">
    <w:abstractNumId w:val="13"/>
  </w:num>
  <w:num w:numId="3" w16cid:durableId="334117566">
    <w:abstractNumId w:val="15"/>
  </w:num>
  <w:num w:numId="4" w16cid:durableId="1528759049">
    <w:abstractNumId w:val="6"/>
  </w:num>
  <w:num w:numId="5" w16cid:durableId="2124566869">
    <w:abstractNumId w:val="8"/>
  </w:num>
  <w:num w:numId="6" w16cid:durableId="249237621">
    <w:abstractNumId w:val="11"/>
  </w:num>
  <w:num w:numId="7" w16cid:durableId="1316565512">
    <w:abstractNumId w:val="2"/>
  </w:num>
  <w:num w:numId="8" w16cid:durableId="1915505138">
    <w:abstractNumId w:val="10"/>
  </w:num>
  <w:num w:numId="9" w16cid:durableId="1360817062">
    <w:abstractNumId w:val="16"/>
  </w:num>
  <w:num w:numId="10" w16cid:durableId="2098595712">
    <w:abstractNumId w:val="9"/>
  </w:num>
  <w:num w:numId="11" w16cid:durableId="1895695840">
    <w:abstractNumId w:val="7"/>
  </w:num>
  <w:num w:numId="12" w16cid:durableId="1372026755">
    <w:abstractNumId w:val="0"/>
  </w:num>
  <w:num w:numId="13" w16cid:durableId="126362013">
    <w:abstractNumId w:val="18"/>
  </w:num>
  <w:num w:numId="14" w16cid:durableId="463885596">
    <w:abstractNumId w:val="1"/>
  </w:num>
  <w:num w:numId="15" w16cid:durableId="791939376">
    <w:abstractNumId w:val="4"/>
  </w:num>
  <w:num w:numId="16" w16cid:durableId="1798597077">
    <w:abstractNumId w:val="14"/>
  </w:num>
  <w:num w:numId="17" w16cid:durableId="523322930">
    <w:abstractNumId w:val="20"/>
  </w:num>
  <w:num w:numId="18" w16cid:durableId="404035984">
    <w:abstractNumId w:val="5"/>
  </w:num>
  <w:num w:numId="19" w16cid:durableId="1877543671">
    <w:abstractNumId w:val="21"/>
  </w:num>
  <w:num w:numId="20" w16cid:durableId="1152912292">
    <w:abstractNumId w:val="17"/>
  </w:num>
  <w:num w:numId="21" w16cid:durableId="2972680">
    <w:abstractNumId w:val="19"/>
  </w:num>
  <w:num w:numId="22" w16cid:durableId="143282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773"/>
    <w:rsid w:val="00022586"/>
    <w:rsid w:val="0004607A"/>
    <w:rsid w:val="00056C4B"/>
    <w:rsid w:val="00075889"/>
    <w:rsid w:val="0007699A"/>
    <w:rsid w:val="0009007E"/>
    <w:rsid w:val="000A5921"/>
    <w:rsid w:val="000F069F"/>
    <w:rsid w:val="00102200"/>
    <w:rsid w:val="0011211F"/>
    <w:rsid w:val="001337B5"/>
    <w:rsid w:val="0014145B"/>
    <w:rsid w:val="001534A4"/>
    <w:rsid w:val="00160621"/>
    <w:rsid w:val="00186385"/>
    <w:rsid w:val="001C483C"/>
    <w:rsid w:val="001C7FFE"/>
    <w:rsid w:val="001D1651"/>
    <w:rsid w:val="001E4605"/>
    <w:rsid w:val="001F3E12"/>
    <w:rsid w:val="00214CFA"/>
    <w:rsid w:val="00222C7F"/>
    <w:rsid w:val="00226C42"/>
    <w:rsid w:val="00233572"/>
    <w:rsid w:val="00234235"/>
    <w:rsid w:val="002464EB"/>
    <w:rsid w:val="002509BD"/>
    <w:rsid w:val="0025233F"/>
    <w:rsid w:val="002751DE"/>
    <w:rsid w:val="00290A1C"/>
    <w:rsid w:val="0029589B"/>
    <w:rsid w:val="00296738"/>
    <w:rsid w:val="002C3C4F"/>
    <w:rsid w:val="002E10D1"/>
    <w:rsid w:val="002F6622"/>
    <w:rsid w:val="003312F3"/>
    <w:rsid w:val="003405A4"/>
    <w:rsid w:val="0034261A"/>
    <w:rsid w:val="00354319"/>
    <w:rsid w:val="00376906"/>
    <w:rsid w:val="0038209B"/>
    <w:rsid w:val="003A6DA0"/>
    <w:rsid w:val="003B7A50"/>
    <w:rsid w:val="003C1D6E"/>
    <w:rsid w:val="003C2464"/>
    <w:rsid w:val="003E6EA3"/>
    <w:rsid w:val="00402D24"/>
    <w:rsid w:val="00405C10"/>
    <w:rsid w:val="004110F5"/>
    <w:rsid w:val="00422E1D"/>
    <w:rsid w:val="00455D67"/>
    <w:rsid w:val="004602FE"/>
    <w:rsid w:val="004606DA"/>
    <w:rsid w:val="00467954"/>
    <w:rsid w:val="00476C1F"/>
    <w:rsid w:val="00480072"/>
    <w:rsid w:val="00490457"/>
    <w:rsid w:val="0049119A"/>
    <w:rsid w:val="004943E0"/>
    <w:rsid w:val="00494F80"/>
    <w:rsid w:val="00495DF1"/>
    <w:rsid w:val="004F45CE"/>
    <w:rsid w:val="004F7B95"/>
    <w:rsid w:val="00512387"/>
    <w:rsid w:val="0051278C"/>
    <w:rsid w:val="00522C18"/>
    <w:rsid w:val="00541E51"/>
    <w:rsid w:val="005520C3"/>
    <w:rsid w:val="00556056"/>
    <w:rsid w:val="005824BD"/>
    <w:rsid w:val="00597E7F"/>
    <w:rsid w:val="005B00FC"/>
    <w:rsid w:val="005B15C6"/>
    <w:rsid w:val="005B22D4"/>
    <w:rsid w:val="005C60F1"/>
    <w:rsid w:val="005D1B7E"/>
    <w:rsid w:val="005D274E"/>
    <w:rsid w:val="005D61DB"/>
    <w:rsid w:val="005E0B35"/>
    <w:rsid w:val="005E51C9"/>
    <w:rsid w:val="005F0ED4"/>
    <w:rsid w:val="005F4C42"/>
    <w:rsid w:val="00603498"/>
    <w:rsid w:val="00603901"/>
    <w:rsid w:val="00634E1D"/>
    <w:rsid w:val="00640565"/>
    <w:rsid w:val="00651F0F"/>
    <w:rsid w:val="0066751F"/>
    <w:rsid w:val="0067495B"/>
    <w:rsid w:val="00681E38"/>
    <w:rsid w:val="00696896"/>
    <w:rsid w:val="0069BCF1"/>
    <w:rsid w:val="006B1006"/>
    <w:rsid w:val="006B2726"/>
    <w:rsid w:val="006D1643"/>
    <w:rsid w:val="006E6629"/>
    <w:rsid w:val="006F589F"/>
    <w:rsid w:val="006F68BE"/>
    <w:rsid w:val="00707AFB"/>
    <w:rsid w:val="00762C40"/>
    <w:rsid w:val="00786793"/>
    <w:rsid w:val="00790D2C"/>
    <w:rsid w:val="007935D5"/>
    <w:rsid w:val="007A0FBE"/>
    <w:rsid w:val="007B7F9A"/>
    <w:rsid w:val="007C51E6"/>
    <w:rsid w:val="007E48CC"/>
    <w:rsid w:val="0080325F"/>
    <w:rsid w:val="00817E2B"/>
    <w:rsid w:val="00841BDF"/>
    <w:rsid w:val="0084609A"/>
    <w:rsid w:val="00846C3C"/>
    <w:rsid w:val="00846E18"/>
    <w:rsid w:val="00847E2A"/>
    <w:rsid w:val="00852974"/>
    <w:rsid w:val="008618DA"/>
    <w:rsid w:val="0086638D"/>
    <w:rsid w:val="008900A8"/>
    <w:rsid w:val="008955AC"/>
    <w:rsid w:val="008F7221"/>
    <w:rsid w:val="009113FF"/>
    <w:rsid w:val="00936210"/>
    <w:rsid w:val="00936A53"/>
    <w:rsid w:val="009451B1"/>
    <w:rsid w:val="00945B72"/>
    <w:rsid w:val="00957799"/>
    <w:rsid w:val="00962045"/>
    <w:rsid w:val="00966622"/>
    <w:rsid w:val="009C2DE1"/>
    <w:rsid w:val="009C5213"/>
    <w:rsid w:val="009D789F"/>
    <w:rsid w:val="009E1E49"/>
    <w:rsid w:val="009E6157"/>
    <w:rsid w:val="009F5543"/>
    <w:rsid w:val="009F58E1"/>
    <w:rsid w:val="00A04EF3"/>
    <w:rsid w:val="00A05B31"/>
    <w:rsid w:val="00A160B5"/>
    <w:rsid w:val="00A26C89"/>
    <w:rsid w:val="00A30475"/>
    <w:rsid w:val="00A61AC0"/>
    <w:rsid w:val="00A66D07"/>
    <w:rsid w:val="00A77AC0"/>
    <w:rsid w:val="00A918E4"/>
    <w:rsid w:val="00AA7B9B"/>
    <w:rsid w:val="00AB515C"/>
    <w:rsid w:val="00AD5ED7"/>
    <w:rsid w:val="00AF2B34"/>
    <w:rsid w:val="00AF399C"/>
    <w:rsid w:val="00AF4347"/>
    <w:rsid w:val="00AF5FE7"/>
    <w:rsid w:val="00B14349"/>
    <w:rsid w:val="00B27347"/>
    <w:rsid w:val="00B84243"/>
    <w:rsid w:val="00BD378C"/>
    <w:rsid w:val="00C02282"/>
    <w:rsid w:val="00C13BA6"/>
    <w:rsid w:val="00C22D3C"/>
    <w:rsid w:val="00C33378"/>
    <w:rsid w:val="00CA0DD2"/>
    <w:rsid w:val="00CA577F"/>
    <w:rsid w:val="00CB1A12"/>
    <w:rsid w:val="00CE53AB"/>
    <w:rsid w:val="00CE6182"/>
    <w:rsid w:val="00CE7766"/>
    <w:rsid w:val="00D02EF1"/>
    <w:rsid w:val="00D176EB"/>
    <w:rsid w:val="00D203FE"/>
    <w:rsid w:val="00D344B2"/>
    <w:rsid w:val="00D60543"/>
    <w:rsid w:val="00D67D80"/>
    <w:rsid w:val="00D7443D"/>
    <w:rsid w:val="00D806D3"/>
    <w:rsid w:val="00D9648C"/>
    <w:rsid w:val="00D9720E"/>
    <w:rsid w:val="00DB2443"/>
    <w:rsid w:val="00DC1C23"/>
    <w:rsid w:val="00DE529D"/>
    <w:rsid w:val="00E01B4E"/>
    <w:rsid w:val="00E368FB"/>
    <w:rsid w:val="00E4383A"/>
    <w:rsid w:val="00E43B46"/>
    <w:rsid w:val="00E638DF"/>
    <w:rsid w:val="00EC26A5"/>
    <w:rsid w:val="00EC698B"/>
    <w:rsid w:val="00ED171C"/>
    <w:rsid w:val="00ED782E"/>
    <w:rsid w:val="00F02021"/>
    <w:rsid w:val="00F10B17"/>
    <w:rsid w:val="00F210CA"/>
    <w:rsid w:val="00F37E17"/>
    <w:rsid w:val="00F401AE"/>
    <w:rsid w:val="00F477F2"/>
    <w:rsid w:val="00F65CC6"/>
    <w:rsid w:val="00F83116"/>
    <w:rsid w:val="00F85996"/>
    <w:rsid w:val="00F92019"/>
    <w:rsid w:val="00F92EE4"/>
    <w:rsid w:val="00FA5092"/>
    <w:rsid w:val="00FB4221"/>
    <w:rsid w:val="00FB6DF3"/>
    <w:rsid w:val="00FB7547"/>
    <w:rsid w:val="00FE0FDC"/>
    <w:rsid w:val="00FF7CE7"/>
    <w:rsid w:val="1AF156E2"/>
    <w:rsid w:val="4E6215B1"/>
    <w:rsid w:val="70EB9FDF"/>
    <w:rsid w:val="7C3C5A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0DADCCCE-5F3D-4B1E-BBB7-C34DF2F5F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1022</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Marneena Evans</dc:creator>
  <cp:lastModifiedBy>ACF PRA</cp:lastModifiedBy>
  <cp:revision>19</cp:revision>
  <dcterms:created xsi:type="dcterms:W3CDTF">2024-11-13T02:26:00Z</dcterms:created>
  <dcterms:modified xsi:type="dcterms:W3CDTF">2025-06-11T15:06:00Z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