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B7531F" w:rsidP="00B7531F" w14:paraId="0F0B8C49" w14:textId="77777777">
      <w:pPr>
        <w:pBdr>
          <w:bottom w:val="single" w:sz="6" w:space="1" w:color="auto"/>
        </w:pBd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caps/>
        </w:rPr>
      </w:pPr>
    </w:p>
    <w:p w:rsidR="00B7531F" w:rsidP="00B7531F" w14:paraId="4911838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caps/>
        </w:rPr>
      </w:pPr>
    </w:p>
    <w:p w:rsidR="00B7531F" w:rsidRPr="00ED00CF" w:rsidP="00B7531F" w14:paraId="3FEF453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caps/>
          <w:sz w:val="20"/>
          <w:szCs w:val="20"/>
        </w:rPr>
      </w:pPr>
      <w:r w:rsidRPr="00ED00CF">
        <w:rPr>
          <w:b/>
          <w:bCs/>
          <w:caps/>
          <w:sz w:val="20"/>
          <w:szCs w:val="20"/>
        </w:rPr>
        <w:t>U.S. Department of the Interior</w:t>
      </w:r>
    </w:p>
    <w:p w:rsidR="00B7531F" w:rsidRPr="00ED00CF" w:rsidP="00B7531F" w14:paraId="593FBFF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caps/>
          <w:sz w:val="20"/>
          <w:szCs w:val="20"/>
        </w:rPr>
      </w:pPr>
      <w:r w:rsidRPr="00ED00CF">
        <w:rPr>
          <w:b/>
          <w:bCs/>
          <w:caps/>
          <w:sz w:val="20"/>
          <w:szCs w:val="20"/>
        </w:rPr>
        <w:t xml:space="preserve">Bureau of Land Management </w:t>
      </w:r>
    </w:p>
    <w:p w:rsidR="00B7531F" w:rsidRPr="00ED00CF" w:rsidP="00B7531F" w14:paraId="7DB3AD1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caps/>
          <w:sz w:val="20"/>
          <w:szCs w:val="20"/>
        </w:rPr>
      </w:pPr>
    </w:p>
    <w:p w:rsidR="00B7531F" w:rsidRPr="00ED00CF" w:rsidP="00B7531F" w14:paraId="7104F13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caps/>
          <w:sz w:val="20"/>
          <w:szCs w:val="20"/>
        </w:rPr>
      </w:pPr>
      <w:r w:rsidRPr="00ED00CF">
        <w:rPr>
          <w:b/>
          <w:bCs/>
          <w:caps/>
          <w:sz w:val="20"/>
          <w:szCs w:val="20"/>
        </w:rPr>
        <w:t xml:space="preserve">Paperwork Reduction Act Request </w:t>
      </w:r>
    </w:p>
    <w:p w:rsidR="00B7531F" w:rsidRPr="00ED00CF" w:rsidP="00B7531F" w14:paraId="65A700D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caps/>
          <w:sz w:val="20"/>
          <w:szCs w:val="20"/>
        </w:rPr>
      </w:pPr>
      <w:r w:rsidRPr="00ED00CF">
        <w:rPr>
          <w:b/>
          <w:bCs/>
          <w:caps/>
          <w:sz w:val="20"/>
          <w:szCs w:val="20"/>
        </w:rPr>
        <w:t>Supporting Statement A</w:t>
      </w:r>
    </w:p>
    <w:p w:rsidR="003370D8" w:rsidRPr="00ED00CF" w:rsidP="003370D8" w14:paraId="52D7BF3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bCs/>
          <w:sz w:val="20"/>
          <w:szCs w:val="20"/>
        </w:rPr>
      </w:pPr>
    </w:p>
    <w:p w:rsidR="003370D8" w:rsidRPr="00ED00CF" w:rsidP="0B8787FE" w14:paraId="39CFD15D" w14:textId="28F808FE">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bCs/>
          <w:sz w:val="20"/>
          <w:szCs w:val="20"/>
        </w:rPr>
      </w:pPr>
      <w:r w:rsidRPr="7D8D2F3F">
        <w:rPr>
          <w:rFonts w:ascii="Times New Roman" w:hAnsi="Times New Roman"/>
          <w:b/>
          <w:bCs/>
          <w:caps/>
          <w:sz w:val="20"/>
          <w:szCs w:val="20"/>
        </w:rPr>
        <w:t xml:space="preserve">ONSHORE Oil and Gas Leasing and Drainage </w:t>
      </w:r>
      <w:r w:rsidRPr="7D8D2F3F" w:rsidR="003406D7">
        <w:rPr>
          <w:rFonts w:ascii="Times New Roman" w:hAnsi="Times New Roman"/>
          <w:b/>
          <w:bCs/>
          <w:caps/>
          <w:sz w:val="20"/>
          <w:szCs w:val="20"/>
        </w:rPr>
        <w:t xml:space="preserve">PROTECTION </w:t>
      </w:r>
      <w:r>
        <w:br/>
      </w:r>
      <w:r w:rsidRPr="7D8D2F3F">
        <w:rPr>
          <w:rFonts w:ascii="Times New Roman" w:hAnsi="Times New Roman"/>
          <w:b/>
          <w:bCs/>
          <w:caps/>
          <w:sz w:val="20"/>
          <w:szCs w:val="20"/>
        </w:rPr>
        <w:t>(</w:t>
      </w:r>
      <w:r w:rsidRPr="7D8D2F3F">
        <w:rPr>
          <w:rFonts w:ascii="Times New Roman" w:hAnsi="Times New Roman"/>
          <w:b/>
          <w:bCs/>
          <w:sz w:val="20"/>
          <w:szCs w:val="20"/>
        </w:rPr>
        <w:t xml:space="preserve">43 CFR </w:t>
      </w:r>
      <w:r w:rsidRPr="7D8D2F3F" w:rsidR="00E87027">
        <w:rPr>
          <w:rFonts w:ascii="Times New Roman" w:hAnsi="Times New Roman"/>
          <w:b/>
          <w:bCs/>
          <w:sz w:val="20"/>
          <w:szCs w:val="20"/>
        </w:rPr>
        <w:t xml:space="preserve">PART </w:t>
      </w:r>
      <w:r w:rsidRPr="7D8D2F3F">
        <w:rPr>
          <w:rFonts w:ascii="Times New Roman" w:hAnsi="Times New Roman"/>
          <w:b/>
          <w:bCs/>
          <w:sz w:val="20"/>
          <w:szCs w:val="20"/>
        </w:rPr>
        <w:t>3100</w:t>
      </w:r>
      <w:r w:rsidRPr="7D8D2F3F" w:rsidR="00A54E51">
        <w:rPr>
          <w:rFonts w:ascii="Times New Roman" w:hAnsi="Times New Roman"/>
          <w:b/>
          <w:bCs/>
          <w:sz w:val="20"/>
          <w:szCs w:val="20"/>
        </w:rPr>
        <w:t>,</w:t>
      </w:r>
      <w:r w:rsidRPr="7D8D2F3F" w:rsidR="00E4527E">
        <w:rPr>
          <w:rFonts w:ascii="Times New Roman" w:hAnsi="Times New Roman"/>
          <w:b/>
          <w:bCs/>
          <w:sz w:val="20"/>
          <w:szCs w:val="20"/>
        </w:rPr>
        <w:t xml:space="preserve">  3120</w:t>
      </w:r>
      <w:r w:rsidRPr="7D8D2F3F" w:rsidR="00E4527E">
        <w:rPr>
          <w:rFonts w:ascii="Times New Roman" w:hAnsi="Times New Roman"/>
          <w:b/>
          <w:bCs/>
          <w:sz w:val="20"/>
          <w:szCs w:val="20"/>
        </w:rPr>
        <w:t>, and Subpart 3162</w:t>
      </w:r>
      <w:r w:rsidRPr="7D8D2F3F">
        <w:rPr>
          <w:rFonts w:ascii="Times New Roman" w:hAnsi="Times New Roman"/>
          <w:b/>
          <w:bCs/>
          <w:sz w:val="20"/>
          <w:szCs w:val="20"/>
        </w:rPr>
        <w:t>)</w:t>
      </w:r>
    </w:p>
    <w:p w:rsidR="003370D8" w:rsidRPr="00ED00CF" w:rsidP="003370D8" w14:paraId="749FA69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bCs/>
          <w:sz w:val="20"/>
          <w:szCs w:val="20"/>
        </w:rPr>
      </w:pPr>
    </w:p>
    <w:p w:rsidR="003370D8" w:rsidRPr="00ED00CF" w:rsidP="003370D8" w14:paraId="2BC6C579" w14:textId="77777777">
      <w:pPr>
        <w:pBdr>
          <w:bottom w:val="single" w:sz="6" w:space="1" w:color="auto"/>
        </w:pBd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caps/>
          <w:sz w:val="20"/>
          <w:szCs w:val="20"/>
        </w:rPr>
      </w:pPr>
      <w:r w:rsidRPr="00ED00CF">
        <w:rPr>
          <w:rFonts w:ascii="Times New Roman" w:hAnsi="Times New Roman"/>
          <w:b/>
          <w:bCs/>
          <w:caps/>
          <w:sz w:val="20"/>
          <w:szCs w:val="20"/>
        </w:rPr>
        <w:t>OMB Control Number 1004-0185</w:t>
      </w:r>
    </w:p>
    <w:p w:rsidR="00B7531F" w:rsidRPr="00ED00CF" w:rsidP="003370D8" w14:paraId="03928BE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0"/>
          <w:szCs w:val="20"/>
        </w:rPr>
      </w:pPr>
    </w:p>
    <w:p w:rsidR="00E87027" w:rsidP="00B7531F" w14:paraId="068173B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p w:rsidR="003370D8" w:rsidRPr="00ED00CF" w:rsidP="11153E48" w14:paraId="5A999926" w14:textId="40A06F61">
      <w:pPr>
        <w:tabs>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r w:rsidRPr="071F182D">
        <w:rPr>
          <w:rStyle w:val="Heading1Char"/>
          <w:sz w:val="20"/>
          <w:szCs w:val="20"/>
        </w:rPr>
        <w:t>Abstract</w:t>
      </w:r>
      <w:r w:rsidRPr="071F182D">
        <w:rPr>
          <w:rFonts w:ascii="Times New Roman" w:hAnsi="Times New Roman"/>
          <w:b/>
          <w:bCs/>
          <w:sz w:val="20"/>
          <w:szCs w:val="20"/>
        </w:rPr>
        <w:t xml:space="preserve">: </w:t>
      </w:r>
      <w:r w:rsidRPr="071F182D" w:rsidR="1A65CE76">
        <w:rPr>
          <w:rFonts w:ascii="Times New Roman" w:hAnsi="Times New Roman"/>
          <w:sz w:val="20"/>
          <w:szCs w:val="20"/>
        </w:rPr>
        <w:t xml:space="preserve">The Bureau of Land Management (BLM) is proposing to revise </w:t>
      </w:r>
      <w:r w:rsidRPr="071F182D" w:rsidR="1A65CE76">
        <w:rPr>
          <w:rFonts w:ascii="Times New Roman" w:hAnsi="Times New Roman"/>
          <w:sz w:val="20"/>
          <w:szCs w:val="20"/>
        </w:rPr>
        <w:t>the BLM’s</w:t>
      </w:r>
      <w:r w:rsidRPr="071F182D" w:rsidR="1A65CE76">
        <w:rPr>
          <w:rFonts w:ascii="Times New Roman" w:hAnsi="Times New Roman"/>
          <w:sz w:val="20"/>
          <w:szCs w:val="20"/>
        </w:rPr>
        <w:t xml:space="preserve"> oil and gas leasing regulations. Among other things, the proposed rule would reflect provisions of the Royalty Resiliency Act pertaining to applications for agreements with an allocation schedule and would </w:t>
      </w:r>
      <w:r w:rsidRPr="071F182D" w:rsidR="541021F2">
        <w:rPr>
          <w:rFonts w:ascii="Times New Roman" w:hAnsi="Times New Roman"/>
          <w:sz w:val="20"/>
          <w:szCs w:val="20"/>
        </w:rPr>
        <w:t>request public comment on changes pertaining to</w:t>
      </w:r>
      <w:r w:rsidRPr="071F182D" w:rsidR="1A65CE76">
        <w:rPr>
          <w:rFonts w:ascii="Times New Roman" w:hAnsi="Times New Roman"/>
          <w:sz w:val="20"/>
          <w:szCs w:val="20"/>
        </w:rPr>
        <w:t xml:space="preserve"> the bonding requirements for leasing, </w:t>
      </w:r>
      <w:r w:rsidRPr="071F182D" w:rsidR="71B9E383">
        <w:rPr>
          <w:rFonts w:ascii="Times New Roman" w:hAnsi="Times New Roman"/>
          <w:sz w:val="20"/>
          <w:szCs w:val="20"/>
        </w:rPr>
        <w:t>eliminate the leasing preference criteria and modify the public participation periods</w:t>
      </w:r>
      <w:r w:rsidRPr="071F182D" w:rsidR="1A65CE76">
        <w:rPr>
          <w:rFonts w:ascii="Times New Roman" w:hAnsi="Times New Roman"/>
          <w:sz w:val="20"/>
          <w:szCs w:val="20"/>
        </w:rPr>
        <w:t xml:space="preserve">. The proposed rule would also improve </w:t>
      </w:r>
      <w:r w:rsidRPr="071F182D" w:rsidR="1A65CE76">
        <w:rPr>
          <w:rFonts w:ascii="Times New Roman" w:hAnsi="Times New Roman"/>
          <w:sz w:val="20"/>
          <w:szCs w:val="20"/>
        </w:rPr>
        <w:t>the BLM’s</w:t>
      </w:r>
      <w:r w:rsidRPr="071F182D" w:rsidR="1A65CE76">
        <w:rPr>
          <w:rFonts w:ascii="Times New Roman" w:hAnsi="Times New Roman"/>
          <w:sz w:val="20"/>
          <w:szCs w:val="20"/>
        </w:rPr>
        <w:t xml:space="preserve"> leasing process to ensure proper stewardship of public lands and resources and would revise some operating requirements. </w:t>
      </w:r>
      <w:r w:rsidRPr="071F182D">
        <w:rPr>
          <w:rFonts w:ascii="Times New Roman" w:hAnsi="Times New Roman"/>
          <w:sz w:val="20"/>
          <w:szCs w:val="20"/>
        </w:rPr>
        <w:t>The</w:t>
      </w:r>
      <w:r w:rsidRPr="071F182D" w:rsidR="5DF1FACD">
        <w:rPr>
          <w:rFonts w:ascii="Times New Roman" w:hAnsi="Times New Roman"/>
          <w:sz w:val="20"/>
          <w:szCs w:val="20"/>
        </w:rPr>
        <w:t xml:space="preserve"> </w:t>
      </w:r>
      <w:r w:rsidRPr="071F182D">
        <w:rPr>
          <w:rFonts w:ascii="Times New Roman" w:hAnsi="Times New Roman"/>
          <w:sz w:val="20"/>
          <w:szCs w:val="20"/>
        </w:rPr>
        <w:t xml:space="preserve">BLM collects information to monitor and enforce compliance with requirements pertaining to Federal oil and gas leasing and operations </w:t>
      </w:r>
      <w:r w:rsidRPr="071F182D" w:rsidR="6449E13B">
        <w:rPr>
          <w:rFonts w:ascii="Times New Roman" w:hAnsi="Times New Roman"/>
          <w:sz w:val="20"/>
          <w:szCs w:val="20"/>
        </w:rPr>
        <w:t>and to decide to approve oil and gas leases</w:t>
      </w:r>
      <w:r w:rsidRPr="071F182D" w:rsidR="5DF1FACD">
        <w:rPr>
          <w:rFonts w:ascii="Times New Roman" w:hAnsi="Times New Roman"/>
          <w:sz w:val="20"/>
          <w:szCs w:val="20"/>
        </w:rPr>
        <w:t xml:space="preserve"> and operations</w:t>
      </w:r>
      <w:r w:rsidRPr="071F182D" w:rsidR="6449E13B">
        <w:rPr>
          <w:rFonts w:ascii="Times New Roman" w:hAnsi="Times New Roman"/>
          <w:sz w:val="20"/>
          <w:szCs w:val="20"/>
        </w:rPr>
        <w:t xml:space="preserve"> on public lands</w:t>
      </w:r>
      <w:r w:rsidRPr="071F182D">
        <w:rPr>
          <w:rFonts w:ascii="Times New Roman" w:hAnsi="Times New Roman"/>
          <w:sz w:val="20"/>
          <w:szCs w:val="20"/>
        </w:rPr>
        <w:t>.</w:t>
      </w:r>
      <w:r w:rsidRPr="071F182D" w:rsidR="609879A3">
        <w:rPr>
          <w:rFonts w:ascii="Times New Roman" w:hAnsi="Times New Roman"/>
          <w:sz w:val="20"/>
          <w:szCs w:val="20"/>
        </w:rPr>
        <w:t xml:space="preserve"> This request is being submitted to OMB in</w:t>
      </w:r>
      <w:r w:rsidRPr="071F182D" w:rsidR="4431DEFF">
        <w:rPr>
          <w:rFonts w:ascii="Times New Roman" w:hAnsi="Times New Roman"/>
          <w:sz w:val="20"/>
          <w:szCs w:val="20"/>
        </w:rPr>
        <w:t xml:space="preserve"> association with the BLM’s </w:t>
      </w:r>
      <w:r w:rsidRPr="071F182D" w:rsidR="6449E13B">
        <w:rPr>
          <w:rFonts w:ascii="Times New Roman" w:hAnsi="Times New Roman"/>
          <w:sz w:val="20"/>
          <w:szCs w:val="20"/>
        </w:rPr>
        <w:t xml:space="preserve">proposed </w:t>
      </w:r>
      <w:r w:rsidRPr="071F182D" w:rsidR="4431DEFF">
        <w:rPr>
          <w:rFonts w:ascii="Times New Roman" w:hAnsi="Times New Roman"/>
          <w:sz w:val="20"/>
          <w:szCs w:val="20"/>
        </w:rPr>
        <w:t xml:space="preserve">rule pertaining to </w:t>
      </w:r>
      <w:r w:rsidRPr="071F182D" w:rsidR="4E842A5A">
        <w:rPr>
          <w:rFonts w:ascii="Times New Roman" w:hAnsi="Times New Roman"/>
          <w:sz w:val="20"/>
          <w:szCs w:val="20"/>
        </w:rPr>
        <w:t>fluid mineral leasing requi</w:t>
      </w:r>
      <w:r w:rsidRPr="071F182D" w:rsidR="010FED8D">
        <w:rPr>
          <w:rFonts w:ascii="Times New Roman" w:hAnsi="Times New Roman"/>
          <w:sz w:val="20"/>
          <w:szCs w:val="20"/>
        </w:rPr>
        <w:t>rements (RIN 1004-</w:t>
      </w:r>
      <w:r w:rsidRPr="071F182D" w:rsidR="3A3CB4E2">
        <w:rPr>
          <w:rFonts w:ascii="Times New Roman" w:hAnsi="Times New Roman"/>
          <w:sz w:val="20"/>
          <w:szCs w:val="20"/>
        </w:rPr>
        <w:t>AF05</w:t>
      </w:r>
      <w:r w:rsidRPr="071F182D" w:rsidR="010FED8D">
        <w:rPr>
          <w:rFonts w:ascii="Times New Roman" w:hAnsi="Times New Roman"/>
          <w:sz w:val="20"/>
          <w:szCs w:val="20"/>
        </w:rPr>
        <w:t>).</w:t>
      </w:r>
    </w:p>
    <w:p w:rsidR="003370D8" w:rsidRPr="00ED00CF" w:rsidP="003370D8" w14:paraId="51953CD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0"/>
          <w:szCs w:val="20"/>
        </w:rPr>
      </w:pPr>
    </w:p>
    <w:p w:rsidR="003370D8" w:rsidRPr="00ED00CF" w:rsidP="00D765E9" w14:paraId="654AFAFC" w14:textId="77777777">
      <w:pPr>
        <w:pStyle w:val="Heading1"/>
        <w:rPr>
          <w:sz w:val="20"/>
          <w:szCs w:val="20"/>
        </w:rPr>
      </w:pPr>
      <w:r w:rsidRPr="00ED00CF">
        <w:rPr>
          <w:sz w:val="20"/>
          <w:szCs w:val="20"/>
        </w:rPr>
        <w:t>Justification</w:t>
      </w:r>
    </w:p>
    <w:p w:rsidR="000C3892" w:rsidRPr="00ED00CF" w:rsidP="000C3892" w14:paraId="088B865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0"/>
          <w:szCs w:val="20"/>
        </w:rPr>
      </w:pPr>
    </w:p>
    <w:p w:rsidR="003370D8" w:rsidRPr="00ED00CF" w:rsidP="00D765E9" w14:paraId="6BAC9310" w14:textId="4A5D1165">
      <w:pPr>
        <w:pStyle w:val="Heading2"/>
        <w:rPr>
          <w:sz w:val="20"/>
          <w:szCs w:val="20"/>
        </w:rPr>
      </w:pPr>
      <w:r w:rsidRPr="00ED00CF">
        <w:rPr>
          <w:sz w:val="20"/>
          <w:szCs w:val="20"/>
        </w:rPr>
        <w:t>1.</w:t>
      </w:r>
      <w:r w:rsidRPr="00ED00CF">
        <w:rPr>
          <w:sz w:val="20"/>
          <w:szCs w:val="20"/>
        </w:rPr>
        <w:tab/>
        <w:t>Explain the circumstances that make the collection of information necessary.</w:t>
      </w:r>
      <w:r w:rsidRPr="00ED00CF" w:rsidR="00A30036">
        <w:rPr>
          <w:sz w:val="20"/>
          <w:szCs w:val="20"/>
        </w:rPr>
        <w:t xml:space="preserve"> </w:t>
      </w:r>
      <w:r w:rsidRPr="00ED00CF">
        <w:rPr>
          <w:sz w:val="20"/>
          <w:szCs w:val="20"/>
        </w:rPr>
        <w:t>Identify any legal or administrative requirements that necessitate the collection.</w:t>
      </w:r>
    </w:p>
    <w:p w:rsidR="005176CD" w:rsidRPr="00ED00CF" w14:paraId="5692AB25" w14:textId="77777777">
      <w:pPr>
        <w:tabs>
          <w:tab w:val="left" w:pos="-1440"/>
          <w:tab w:val="left" w:pos="-720"/>
          <w:tab w:val="left" w:pos="0"/>
          <w:tab w:val="left" w:pos="5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p>
    <w:p w:rsidR="006B227A" w:rsidRPr="006B227A" w:rsidP="73A9246C" w14:paraId="4D05E938" w14:textId="1D62415A">
      <w:pPr>
        <w:tabs>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r w:rsidRPr="006B227A">
        <w:rPr>
          <w:rFonts w:ascii="Times New Roman" w:hAnsi="Times New Roman"/>
          <w:sz w:val="20"/>
          <w:szCs w:val="20"/>
        </w:rPr>
        <w:t xml:space="preserve">This proposed rule aims to enhance the administration of oil and gas-related activities on America’s public lands and reflects provisions in recently enacted laws that modify aspects of the Federal onshore oil and gas program. Specifically, the proposed rule would </w:t>
      </w:r>
      <w:r w:rsidRPr="007307DC" w:rsidR="00457CA6">
        <w:rPr>
          <w:rFonts w:ascii="Times New Roman" w:hAnsi="Times New Roman"/>
          <w:sz w:val="20"/>
          <w:szCs w:val="20"/>
        </w:rPr>
        <w:t xml:space="preserve">request public comment </w:t>
      </w:r>
      <w:r w:rsidRPr="73A9246C" w:rsidR="00457CA6">
        <w:rPr>
          <w:rFonts w:ascii="Times New Roman" w:hAnsi="Times New Roman"/>
          <w:sz w:val="20"/>
          <w:szCs w:val="20"/>
        </w:rPr>
        <w:t>on</w:t>
      </w:r>
      <w:r w:rsidRPr="006B227A">
        <w:rPr>
          <w:rFonts w:ascii="Times New Roman" w:hAnsi="Times New Roman"/>
          <w:sz w:val="20"/>
          <w:szCs w:val="20"/>
        </w:rPr>
        <w:t xml:space="preserve"> changes pertaining to bonding requirements for leasing, </w:t>
      </w:r>
      <w:r w:rsidR="00F41198">
        <w:rPr>
          <w:rFonts w:ascii="Times New Roman" w:hAnsi="Times New Roman"/>
          <w:sz w:val="20"/>
          <w:szCs w:val="20"/>
        </w:rPr>
        <w:t xml:space="preserve">eliminate </w:t>
      </w:r>
      <w:r w:rsidRPr="006B227A">
        <w:rPr>
          <w:rFonts w:ascii="Times New Roman" w:hAnsi="Times New Roman"/>
          <w:sz w:val="20"/>
          <w:szCs w:val="20"/>
        </w:rPr>
        <w:t xml:space="preserve">the leasing preference criteria and </w:t>
      </w:r>
      <w:r w:rsidR="00F41198">
        <w:rPr>
          <w:rFonts w:ascii="Times New Roman" w:hAnsi="Times New Roman"/>
          <w:sz w:val="20"/>
          <w:szCs w:val="20"/>
        </w:rPr>
        <w:t xml:space="preserve">modify the </w:t>
      </w:r>
      <w:r w:rsidRPr="006B227A">
        <w:rPr>
          <w:rFonts w:ascii="Times New Roman" w:hAnsi="Times New Roman"/>
          <w:sz w:val="20"/>
          <w:szCs w:val="20"/>
        </w:rPr>
        <w:t>public participation periods. This rulemaking implements provisions of President Trump's January 20, 2025, Executive Order (</w:t>
      </w:r>
      <w:r w:rsidRPr="006B227A">
        <w:rPr>
          <w:rFonts w:ascii="Times New Roman" w:hAnsi="Times New Roman"/>
          <w:sz w:val="20"/>
          <w:szCs w:val="20"/>
        </w:rPr>
        <w:t>E</w:t>
      </w:r>
      <w:r w:rsidR="00B23BA1">
        <w:rPr>
          <w:rFonts w:ascii="Times New Roman" w:hAnsi="Times New Roman"/>
          <w:sz w:val="20"/>
          <w:szCs w:val="20"/>
        </w:rPr>
        <w:t>.</w:t>
      </w:r>
      <w:r w:rsidRPr="006B227A">
        <w:rPr>
          <w:rFonts w:ascii="Times New Roman" w:hAnsi="Times New Roman"/>
          <w:sz w:val="20"/>
          <w:szCs w:val="20"/>
        </w:rPr>
        <w:t>O</w:t>
      </w:r>
      <w:r w:rsidR="00B23BA1">
        <w:rPr>
          <w:rFonts w:ascii="Times New Roman" w:hAnsi="Times New Roman"/>
          <w:sz w:val="20"/>
          <w:szCs w:val="20"/>
        </w:rPr>
        <w:t>.</w:t>
      </w:r>
      <w:r w:rsidRPr="006B227A">
        <w:rPr>
          <w:rFonts w:ascii="Times New Roman" w:hAnsi="Times New Roman"/>
          <w:sz w:val="20"/>
          <w:szCs w:val="20"/>
        </w:rPr>
        <w:t xml:space="preserve">) 14154, titled "Unleashing American Energy," which directs the removal of impediments imposed on the development and use of our Nation's abundant energy and natural resources. By removing such regulations, America's natural resources can be unleashed to restore American prosperity. Our focus must be on advancing innovation to improve energy and critical minerals leasing, development, and production capacity of the United States to provide a reliable, diversified, growing, and affordable supply of energy for our Nation. The BLM has identified the changes outlined in this rulemaking could reduce barriers to the use of Federal lands for energy development, consistent with the BLM’s mission of managing public lands for multiple use and sustained yield. This proposed rule seeks to update the existing regulations accordingly. </w:t>
      </w:r>
    </w:p>
    <w:p w:rsidR="006B227A" w:rsidRPr="006B227A" w:rsidP="006B227A" w14:paraId="76D0DB9D" w14:textId="77777777">
      <w:pPr>
        <w:tabs>
          <w:tab w:val="left" w:pos="-1440"/>
          <w:tab w:val="left" w:pos="-720"/>
          <w:tab w:val="left" w:pos="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p>
    <w:p w:rsidR="003D5C90" w:rsidP="73A9246C" w14:paraId="710F8890" w14:textId="046DB1A6">
      <w:pPr>
        <w:tabs>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r w:rsidRPr="006B227A">
        <w:rPr>
          <w:rFonts w:ascii="Times New Roman" w:hAnsi="Times New Roman"/>
          <w:sz w:val="20"/>
          <w:szCs w:val="20"/>
        </w:rPr>
        <w:t xml:space="preserve">The Secretary of the Interior manages a Federal onshore oil and gas program </w:t>
      </w:r>
      <w:r w:rsidRPr="00FB302E" w:rsidR="008F1232">
        <w:rPr>
          <w:rFonts w:ascii="Times New Roman" w:hAnsi="Times New Roman"/>
          <w:sz w:val="20"/>
          <w:szCs w:val="20"/>
        </w:rPr>
        <w:t xml:space="preserve">in accordance with the following </w:t>
      </w:r>
      <w:r w:rsidR="00AE225A">
        <w:rPr>
          <w:rFonts w:ascii="Times New Roman" w:hAnsi="Times New Roman"/>
          <w:sz w:val="20"/>
          <w:szCs w:val="20"/>
        </w:rPr>
        <w:t>authorities</w:t>
      </w:r>
      <w:r>
        <w:rPr>
          <w:rFonts w:ascii="Times New Roman" w:hAnsi="Times New Roman"/>
          <w:sz w:val="20"/>
          <w:szCs w:val="20"/>
        </w:rPr>
        <w:t>:</w:t>
      </w:r>
    </w:p>
    <w:p w:rsidR="003D5C90" w:rsidP="006B227A" w14:paraId="7B1A4DF3" w14:textId="77777777">
      <w:pPr>
        <w:tabs>
          <w:tab w:val="left" w:pos="-1440"/>
          <w:tab w:val="left" w:pos="-720"/>
          <w:tab w:val="left" w:pos="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p>
    <w:p w:rsidR="003D5C90" w:rsidRPr="00232861" w:rsidP="73A9246C" w14:paraId="11013CD9" w14:textId="0AF80B0C">
      <w:pPr>
        <w:pStyle w:val="ListParagraph"/>
        <w:numPr>
          <w:ilvl w:val="0"/>
          <w:numId w:val="55"/>
        </w:numPr>
        <w:tabs>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r w:rsidRPr="00232861">
        <w:rPr>
          <w:rFonts w:ascii="Times New Roman" w:hAnsi="Times New Roman"/>
          <w:sz w:val="20"/>
          <w:szCs w:val="20"/>
        </w:rPr>
        <w:t>Federal Land Policy and Management Act of 1976, as amended (43 U.S.C. 1701 et seq.) (</w:t>
      </w:r>
      <w:r w:rsidRPr="00232861">
        <w:rPr>
          <w:rFonts w:ascii="Times New Roman" w:hAnsi="Times New Roman"/>
          <w:sz w:val="20"/>
          <w:szCs w:val="20"/>
        </w:rPr>
        <w:t>FLPMA</w:t>
      </w:r>
      <w:r w:rsidRPr="00232861">
        <w:rPr>
          <w:rFonts w:ascii="Times New Roman" w:hAnsi="Times New Roman"/>
          <w:sz w:val="20"/>
          <w:szCs w:val="20"/>
        </w:rPr>
        <w:t>)</w:t>
      </w:r>
      <w:r w:rsidRPr="00232861">
        <w:rPr>
          <w:rFonts w:ascii="Times New Roman" w:hAnsi="Times New Roman"/>
          <w:sz w:val="20"/>
          <w:szCs w:val="20"/>
        </w:rPr>
        <w:t>;</w:t>
      </w:r>
    </w:p>
    <w:p w:rsidR="00872CFD" w:rsidRPr="00232861" w:rsidP="73A9246C" w14:paraId="331C4075" w14:textId="68CC8D38">
      <w:pPr>
        <w:pStyle w:val="ListParagraph"/>
        <w:numPr>
          <w:ilvl w:val="0"/>
          <w:numId w:val="55"/>
        </w:numPr>
        <w:tabs>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r w:rsidRPr="00232861">
        <w:rPr>
          <w:rFonts w:ascii="Times New Roman" w:hAnsi="Times New Roman"/>
          <w:sz w:val="20"/>
          <w:szCs w:val="20"/>
        </w:rPr>
        <w:t>Mineral Leasing Act of 1920, as amended (30 U.S.C. 181 et seq.) (MLA</w:t>
      </w:r>
      <w:r w:rsidRPr="00232861">
        <w:rPr>
          <w:rFonts w:ascii="Times New Roman" w:hAnsi="Times New Roman"/>
          <w:sz w:val="20"/>
          <w:szCs w:val="20"/>
        </w:rPr>
        <w:t>)</w:t>
      </w:r>
      <w:r w:rsidRPr="00232861">
        <w:rPr>
          <w:rFonts w:ascii="Times New Roman" w:hAnsi="Times New Roman"/>
          <w:sz w:val="20"/>
          <w:szCs w:val="20"/>
        </w:rPr>
        <w:t>;</w:t>
      </w:r>
    </w:p>
    <w:p w:rsidR="0084458F" w:rsidP="73A9246C" w14:paraId="6B2CE787" w14:textId="77777777">
      <w:pPr>
        <w:pStyle w:val="ListParagraph"/>
        <w:numPr>
          <w:ilvl w:val="0"/>
          <w:numId w:val="55"/>
        </w:numPr>
        <w:tabs>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r w:rsidRPr="071F182D">
        <w:rPr>
          <w:rFonts w:ascii="Times New Roman" w:hAnsi="Times New Roman"/>
          <w:sz w:val="20"/>
          <w:szCs w:val="20"/>
        </w:rPr>
        <w:t>Mineral Leasing Act for Acquired Lands of 1947, as amended (30 U.S.C. 351 et seq.) (</w:t>
      </w:r>
      <w:r w:rsidRPr="071F182D">
        <w:rPr>
          <w:rFonts w:ascii="Times New Roman" w:hAnsi="Times New Roman"/>
          <w:sz w:val="20"/>
          <w:szCs w:val="20"/>
        </w:rPr>
        <w:t>MLAAL</w:t>
      </w:r>
      <w:r w:rsidRPr="071F182D">
        <w:rPr>
          <w:rFonts w:ascii="Times New Roman" w:hAnsi="Times New Roman"/>
          <w:sz w:val="20"/>
          <w:szCs w:val="20"/>
        </w:rPr>
        <w:t>)</w:t>
      </w:r>
      <w:r w:rsidRPr="071F182D" w:rsidR="482FBB92">
        <w:rPr>
          <w:rFonts w:ascii="Times New Roman" w:hAnsi="Times New Roman"/>
          <w:sz w:val="20"/>
          <w:szCs w:val="20"/>
        </w:rPr>
        <w:t xml:space="preserve">; </w:t>
      </w:r>
      <w:r w:rsidRPr="071F182D">
        <w:rPr>
          <w:rFonts w:ascii="Times New Roman" w:hAnsi="Times New Roman"/>
          <w:sz w:val="20"/>
          <w:szCs w:val="20"/>
        </w:rPr>
        <w:t>recently enacted Royalty Resiliency Act (RRA) of 2024 (Public Law No. 118-81</w:t>
      </w:r>
      <w:r w:rsidRPr="071F182D">
        <w:rPr>
          <w:rFonts w:ascii="Times New Roman" w:hAnsi="Times New Roman"/>
          <w:sz w:val="20"/>
          <w:szCs w:val="20"/>
        </w:rPr>
        <w:t>)</w:t>
      </w:r>
      <w:r w:rsidRPr="071F182D" w:rsidR="22C4C0AF">
        <w:rPr>
          <w:rFonts w:ascii="Times New Roman" w:hAnsi="Times New Roman"/>
          <w:sz w:val="20"/>
          <w:szCs w:val="20"/>
        </w:rPr>
        <w:t>;</w:t>
      </w:r>
      <w:r w:rsidRPr="071F182D" w:rsidR="22C4C0AF">
        <w:rPr>
          <w:rFonts w:ascii="Times New Roman" w:hAnsi="Times New Roman"/>
          <w:sz w:val="20"/>
          <w:szCs w:val="20"/>
        </w:rPr>
        <w:t xml:space="preserve"> </w:t>
      </w:r>
    </w:p>
    <w:p w:rsidR="00B60731" w:rsidP="73A9246C" w14:paraId="255E92D9" w14:textId="4E0B512E">
      <w:pPr>
        <w:pStyle w:val="ListParagraph"/>
        <w:numPr>
          <w:ilvl w:val="0"/>
          <w:numId w:val="55"/>
        </w:numPr>
        <w:tabs>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r w:rsidRPr="0084458F">
        <w:rPr>
          <w:rFonts w:ascii="Times New Roman" w:hAnsi="Times New Roman"/>
          <w:sz w:val="20"/>
          <w:szCs w:val="20"/>
        </w:rPr>
        <w:t>One Big Beautiful Bill Act</w:t>
      </w:r>
      <w:r w:rsidR="00B61C67">
        <w:rPr>
          <w:rFonts w:ascii="Times New Roman" w:hAnsi="Times New Roman"/>
          <w:sz w:val="20"/>
          <w:szCs w:val="20"/>
        </w:rPr>
        <w:t xml:space="preserve"> (</w:t>
      </w:r>
      <w:r w:rsidRPr="00B61C67" w:rsidR="00B61C67">
        <w:rPr>
          <w:rFonts w:ascii="Times New Roman" w:hAnsi="Times New Roman"/>
          <w:sz w:val="20"/>
          <w:szCs w:val="20"/>
        </w:rPr>
        <w:t>Public Law No: 119-21</w:t>
      </w:r>
      <w:r w:rsidR="00B00DAD">
        <w:rPr>
          <w:rFonts w:ascii="Times New Roman" w:hAnsi="Times New Roman"/>
          <w:sz w:val="20"/>
          <w:szCs w:val="20"/>
        </w:rPr>
        <w:t xml:space="preserve">, section </w:t>
      </w:r>
      <w:r w:rsidRPr="00B00DAD" w:rsidR="00B00DAD">
        <w:rPr>
          <w:rFonts w:ascii="Times New Roman" w:hAnsi="Times New Roman"/>
          <w:sz w:val="20"/>
          <w:szCs w:val="20"/>
        </w:rPr>
        <w:t>50101</w:t>
      </w:r>
      <w:r w:rsidR="00B61C67">
        <w:rPr>
          <w:rFonts w:ascii="Times New Roman" w:hAnsi="Times New Roman"/>
          <w:sz w:val="20"/>
          <w:szCs w:val="20"/>
        </w:rPr>
        <w:t>)</w:t>
      </w:r>
      <w:r w:rsidR="0086697D">
        <w:rPr>
          <w:rFonts w:ascii="Times New Roman" w:hAnsi="Times New Roman"/>
          <w:sz w:val="20"/>
          <w:szCs w:val="20"/>
        </w:rPr>
        <w:t xml:space="preserve">; </w:t>
      </w:r>
      <w:r w:rsidRPr="071F182D" w:rsidR="22C4C0AF">
        <w:rPr>
          <w:rFonts w:ascii="Times New Roman" w:hAnsi="Times New Roman"/>
          <w:sz w:val="20"/>
          <w:szCs w:val="20"/>
        </w:rPr>
        <w:t xml:space="preserve">and </w:t>
      </w:r>
      <w:r w:rsidRPr="071F182D" w:rsidR="1A65CE76">
        <w:rPr>
          <w:rFonts w:ascii="Times New Roman" w:hAnsi="Times New Roman"/>
          <w:sz w:val="20"/>
          <w:szCs w:val="20"/>
        </w:rPr>
        <w:t xml:space="preserve"> </w:t>
      </w:r>
    </w:p>
    <w:p w:rsidR="006B227A" w:rsidRPr="00232861" w:rsidP="00232861" w14:paraId="458600CF" w14:textId="157D08DF">
      <w:pPr>
        <w:pStyle w:val="ListParagraph"/>
        <w:numPr>
          <w:ilvl w:val="0"/>
          <w:numId w:val="55"/>
        </w:numPr>
        <w:tabs>
          <w:tab w:val="left" w:pos="-1440"/>
          <w:tab w:val="left" w:pos="-720"/>
          <w:tab w:val="left" w:pos="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r>
        <w:rPr>
          <w:rFonts w:ascii="Times New Roman" w:hAnsi="Times New Roman"/>
          <w:sz w:val="20"/>
          <w:szCs w:val="20"/>
        </w:rPr>
        <w:t xml:space="preserve">Regulations under </w:t>
      </w:r>
      <w:r w:rsidR="00711AF1">
        <w:rPr>
          <w:rFonts w:ascii="Times New Roman" w:hAnsi="Times New Roman"/>
          <w:sz w:val="20"/>
          <w:szCs w:val="20"/>
        </w:rPr>
        <w:t>43 CFR Part 3100</w:t>
      </w:r>
      <w:r w:rsidR="003E0FA1">
        <w:rPr>
          <w:rFonts w:ascii="Times New Roman" w:hAnsi="Times New Roman"/>
          <w:sz w:val="20"/>
          <w:szCs w:val="20"/>
        </w:rPr>
        <w:t>.</w:t>
      </w:r>
      <w:r w:rsidRPr="00232861">
        <w:rPr>
          <w:rFonts w:ascii="Times New Roman" w:hAnsi="Times New Roman"/>
          <w:sz w:val="20"/>
          <w:szCs w:val="20"/>
        </w:rPr>
        <w:t xml:space="preserve"> </w:t>
      </w:r>
    </w:p>
    <w:p w:rsidR="006B227A" w:rsidRPr="006B227A" w:rsidP="006B227A" w14:paraId="40D9D8E5" w14:textId="77777777">
      <w:pPr>
        <w:tabs>
          <w:tab w:val="left" w:pos="-1440"/>
          <w:tab w:val="left" w:pos="-720"/>
          <w:tab w:val="left" w:pos="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p>
    <w:p w:rsidR="001975B2" w:rsidP="73A9246C" w14:paraId="781D8479" w14:textId="4CCE0D65">
      <w:pPr>
        <w:tabs>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r w:rsidRPr="006B227A">
        <w:rPr>
          <w:rFonts w:ascii="Times New Roman" w:hAnsi="Times New Roman"/>
          <w:sz w:val="20"/>
          <w:szCs w:val="20"/>
        </w:rPr>
        <w:t xml:space="preserve">The Department of the Interior (DOI) issued Secretarial Order 3418, Unleashing American Energy in February 2025. Accordingly, </w:t>
      </w:r>
      <w:r w:rsidRPr="006B227A">
        <w:rPr>
          <w:rFonts w:ascii="Times New Roman" w:hAnsi="Times New Roman"/>
          <w:sz w:val="20"/>
          <w:szCs w:val="20"/>
        </w:rPr>
        <w:t>the BLM</w:t>
      </w:r>
      <w:r w:rsidRPr="006B227A">
        <w:rPr>
          <w:rFonts w:ascii="Times New Roman" w:hAnsi="Times New Roman"/>
          <w:sz w:val="20"/>
          <w:szCs w:val="20"/>
        </w:rPr>
        <w:t xml:space="preserve"> is proposing to </w:t>
      </w:r>
      <w:r w:rsidRPr="007307DC" w:rsidR="003A1248">
        <w:rPr>
          <w:rFonts w:ascii="Times New Roman" w:hAnsi="Times New Roman"/>
          <w:sz w:val="20"/>
          <w:szCs w:val="20"/>
        </w:rPr>
        <w:t xml:space="preserve">request public </w:t>
      </w:r>
      <w:r w:rsidRPr="007307DC" w:rsidR="003A1248">
        <w:rPr>
          <w:rFonts w:ascii="Times New Roman" w:hAnsi="Times New Roman"/>
          <w:sz w:val="20"/>
          <w:szCs w:val="20"/>
        </w:rPr>
        <w:t>comment</w:t>
      </w:r>
      <w:r w:rsidRPr="007307DC" w:rsidR="003A1248">
        <w:rPr>
          <w:rFonts w:ascii="Times New Roman" w:hAnsi="Times New Roman"/>
          <w:sz w:val="20"/>
          <w:szCs w:val="20"/>
        </w:rPr>
        <w:t xml:space="preserve"> </w:t>
      </w:r>
      <w:r w:rsidRPr="73A9246C" w:rsidR="003A1248">
        <w:rPr>
          <w:rFonts w:ascii="Times New Roman" w:hAnsi="Times New Roman"/>
          <w:sz w:val="20"/>
          <w:szCs w:val="20"/>
        </w:rPr>
        <w:t>on</w:t>
      </w:r>
      <w:r w:rsidRPr="006B227A">
        <w:rPr>
          <w:rFonts w:ascii="Times New Roman" w:hAnsi="Times New Roman"/>
          <w:sz w:val="20"/>
          <w:szCs w:val="20"/>
        </w:rPr>
        <w:t xml:space="preserve"> its oil and gas bonding requirements, </w:t>
      </w:r>
      <w:r w:rsidR="003A1248">
        <w:rPr>
          <w:rFonts w:ascii="Times New Roman" w:hAnsi="Times New Roman"/>
          <w:sz w:val="20"/>
          <w:szCs w:val="20"/>
        </w:rPr>
        <w:t xml:space="preserve">eliminate </w:t>
      </w:r>
      <w:r w:rsidRPr="006B227A">
        <w:rPr>
          <w:rFonts w:ascii="Times New Roman" w:hAnsi="Times New Roman"/>
          <w:sz w:val="20"/>
          <w:szCs w:val="20"/>
        </w:rPr>
        <w:t xml:space="preserve">leasing preference criteria and </w:t>
      </w:r>
      <w:r w:rsidR="003A1248">
        <w:rPr>
          <w:rFonts w:ascii="Times New Roman" w:hAnsi="Times New Roman"/>
          <w:sz w:val="20"/>
          <w:szCs w:val="20"/>
        </w:rPr>
        <w:t xml:space="preserve">modify </w:t>
      </w:r>
      <w:r w:rsidRPr="006B227A">
        <w:rPr>
          <w:rFonts w:ascii="Times New Roman" w:hAnsi="Times New Roman"/>
          <w:sz w:val="20"/>
          <w:szCs w:val="20"/>
        </w:rPr>
        <w:t xml:space="preserve">public participation periods. The BLM believes that doing so, along with other proposed changes, would encourage energy exploration and production on Federal lands </w:t>
      </w:r>
      <w:r w:rsidRPr="006B227A">
        <w:rPr>
          <w:rFonts w:ascii="Times New Roman" w:hAnsi="Times New Roman"/>
          <w:sz w:val="20"/>
          <w:szCs w:val="20"/>
        </w:rPr>
        <w:t>in order to</w:t>
      </w:r>
      <w:r w:rsidRPr="006B227A">
        <w:rPr>
          <w:rFonts w:ascii="Times New Roman" w:hAnsi="Times New Roman"/>
          <w:sz w:val="20"/>
          <w:szCs w:val="20"/>
        </w:rPr>
        <w:t xml:space="preserve"> meet the needs of our citizens and solidify the United States as a global energy leader long into the future. In the same vein, the BLM is ensuring that all regulatory requirements related to energy are grounded in clearly applicable law.</w:t>
      </w:r>
    </w:p>
    <w:p w:rsidR="00232861" w:rsidP="00C64B06" w14:paraId="7A4F8722" w14:textId="77777777">
      <w:pPr>
        <w:tabs>
          <w:tab w:val="left" w:pos="-1440"/>
          <w:tab w:val="left" w:pos="-720"/>
          <w:tab w:val="left" w:pos="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p>
    <w:p w:rsidR="006E4955" w:rsidRPr="00ED00CF" w:rsidP="73A9246C" w14:paraId="53BC9EA8" w14:textId="369D3090">
      <w:pPr>
        <w:tabs>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r>
        <w:rPr>
          <w:rFonts w:ascii="Times New Roman" w:hAnsi="Times New Roman"/>
          <w:sz w:val="20"/>
          <w:szCs w:val="20"/>
        </w:rPr>
        <w:t>The</w:t>
      </w:r>
      <w:r w:rsidRPr="00ED00CF" w:rsidR="00C0231D">
        <w:rPr>
          <w:rFonts w:ascii="Times New Roman" w:hAnsi="Times New Roman"/>
          <w:sz w:val="20"/>
          <w:szCs w:val="20"/>
        </w:rPr>
        <w:t xml:space="preserve"> </w:t>
      </w:r>
      <w:r w:rsidRPr="00ED00CF" w:rsidR="00327C0B">
        <w:rPr>
          <w:rFonts w:ascii="Times New Roman" w:hAnsi="Times New Roman"/>
          <w:sz w:val="20"/>
          <w:szCs w:val="20"/>
        </w:rPr>
        <w:t xml:space="preserve">BLM collects information to monitor and enforce compliance with requirements pertaining to Federal oil and gas leasing and operations </w:t>
      </w:r>
      <w:r w:rsidR="00327C0B">
        <w:rPr>
          <w:rFonts w:ascii="Times New Roman" w:hAnsi="Times New Roman"/>
          <w:sz w:val="20"/>
          <w:szCs w:val="20"/>
        </w:rPr>
        <w:t>and to decide to approve oil and gas leases and operations on public lands</w:t>
      </w:r>
      <w:r w:rsidRPr="00ED00CF" w:rsidR="00327C0B">
        <w:rPr>
          <w:rFonts w:ascii="Times New Roman" w:hAnsi="Times New Roman"/>
          <w:sz w:val="20"/>
          <w:szCs w:val="20"/>
        </w:rPr>
        <w:t>.</w:t>
      </w:r>
    </w:p>
    <w:p w:rsidR="005176CD" w:rsidRPr="00ED00CF" w14:paraId="6EB2AB68" w14:textId="77777777">
      <w:pPr>
        <w:tabs>
          <w:tab w:val="left" w:pos="-1440"/>
          <w:tab w:val="left" w:pos="-720"/>
          <w:tab w:val="left" w:pos="0"/>
          <w:tab w:val="left" w:pos="5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p>
    <w:p w:rsidR="0063754A" w:rsidRPr="00ED00CF" w:rsidP="00D765E9" w14:paraId="5766A70C" w14:textId="02CDD3FE">
      <w:pPr>
        <w:pStyle w:val="Heading2"/>
        <w:rPr>
          <w:sz w:val="20"/>
          <w:szCs w:val="20"/>
        </w:rPr>
      </w:pPr>
      <w:r w:rsidRPr="00ED00CF">
        <w:rPr>
          <w:sz w:val="20"/>
          <w:szCs w:val="20"/>
        </w:rPr>
        <w:t>2.</w:t>
      </w:r>
      <w:r w:rsidRPr="00ED00CF">
        <w:rPr>
          <w:sz w:val="20"/>
          <w:szCs w:val="20"/>
        </w:rPr>
        <w:tab/>
        <w:t>Indicate how, by whom, and for what purpose the information is to be used.</w:t>
      </w:r>
      <w:r w:rsidRPr="00ED00CF" w:rsidR="00E954E6">
        <w:rPr>
          <w:sz w:val="20"/>
          <w:szCs w:val="20"/>
        </w:rPr>
        <w:t xml:space="preserve"> </w:t>
      </w:r>
      <w:r w:rsidRPr="00ED00CF">
        <w:rPr>
          <w:sz w:val="20"/>
          <w:szCs w:val="20"/>
        </w:rPr>
        <w:t>Except for a new collection, indicate the actual use the agency has made of the information received from the current collection.</w:t>
      </w:r>
      <w:r w:rsidRPr="00ED00CF" w:rsidR="00E954E6">
        <w:rPr>
          <w:sz w:val="20"/>
          <w:szCs w:val="20"/>
        </w:rPr>
        <w:t xml:space="preserve"> </w:t>
      </w:r>
      <w:r w:rsidRPr="00ED00CF">
        <w:rPr>
          <w:sz w:val="20"/>
          <w:szCs w:val="20"/>
        </w:rPr>
        <w:t>Be specific.</w:t>
      </w:r>
      <w:r w:rsidRPr="00ED00CF" w:rsidR="00E954E6">
        <w:rPr>
          <w:sz w:val="20"/>
          <w:szCs w:val="20"/>
        </w:rPr>
        <w:t xml:space="preserve"> </w:t>
      </w:r>
    </w:p>
    <w:p w:rsidR="001E60B6" w:rsidP="000C3892" w14:paraId="1823515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sz w:val="20"/>
          <w:szCs w:val="20"/>
        </w:rPr>
      </w:pPr>
    </w:p>
    <w:p w:rsidR="008A3C4B" w:rsidRPr="008A3C4B" w:rsidP="008A3C4B" w14:paraId="11F84625" w14:textId="4E6058D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Cs/>
          <w:sz w:val="20"/>
          <w:szCs w:val="20"/>
        </w:rPr>
      </w:pPr>
      <w:r w:rsidRPr="008A3C4B">
        <w:rPr>
          <w:rFonts w:ascii="Times New Roman" w:hAnsi="Times New Roman"/>
          <w:bCs/>
          <w:sz w:val="20"/>
          <w:szCs w:val="20"/>
        </w:rPr>
        <w:t xml:space="preserve">Respondents to these information collection requirements are holders of onshore oil and gas lease and public </w:t>
      </w:r>
    </w:p>
    <w:p w:rsidR="008A3C4B" w:rsidRPr="008A3C4B" w:rsidP="008A3C4B" w14:paraId="78CE6B32" w14:textId="7C650D7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Cs/>
          <w:sz w:val="20"/>
          <w:szCs w:val="20"/>
        </w:rPr>
      </w:pPr>
      <w:r w:rsidRPr="008A3C4B">
        <w:rPr>
          <w:rFonts w:ascii="Times New Roman" w:hAnsi="Times New Roman"/>
          <w:bCs/>
          <w:sz w:val="20"/>
          <w:szCs w:val="20"/>
        </w:rPr>
        <w:t xml:space="preserve">lands and Indian lands (except on the Osage Reservation), operators of such leases, and holders of operating rights </w:t>
      </w:r>
    </w:p>
    <w:p w:rsidR="008A3C4B" w:rsidP="008A3C4B" w14:paraId="26939357" w14:textId="21F358F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Cs/>
          <w:sz w:val="20"/>
          <w:szCs w:val="20"/>
        </w:rPr>
      </w:pPr>
      <w:r w:rsidRPr="008A3C4B">
        <w:rPr>
          <w:rFonts w:ascii="Times New Roman" w:hAnsi="Times New Roman"/>
          <w:bCs/>
          <w:sz w:val="20"/>
          <w:szCs w:val="20"/>
        </w:rPr>
        <w:t>on such leases.</w:t>
      </w:r>
    </w:p>
    <w:p w:rsidR="008A3C4B" w:rsidRPr="008A3C4B" w:rsidP="008A3C4B" w14:paraId="20192DE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Cs/>
          <w:sz w:val="20"/>
          <w:szCs w:val="20"/>
        </w:rPr>
      </w:pPr>
    </w:p>
    <w:p w:rsidR="008F0622" w:rsidRPr="00ED00CF" w:rsidP="002E516F" w14:paraId="1DF4A2F1"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r w:rsidRPr="00ED00CF">
        <w:rPr>
          <w:rFonts w:ascii="Times New Roman" w:hAnsi="Times New Roman"/>
          <w:sz w:val="20"/>
          <w:szCs w:val="20"/>
        </w:rPr>
        <w:t xml:space="preserve">The BLM uses the information </w:t>
      </w:r>
      <w:r w:rsidRPr="00ED00CF" w:rsidR="00674C47">
        <w:rPr>
          <w:rFonts w:ascii="Times New Roman" w:hAnsi="Times New Roman"/>
          <w:sz w:val="20"/>
          <w:szCs w:val="20"/>
        </w:rPr>
        <w:t xml:space="preserve">in this request </w:t>
      </w:r>
      <w:r w:rsidRPr="00ED00CF">
        <w:rPr>
          <w:rFonts w:ascii="Times New Roman" w:hAnsi="Times New Roman"/>
          <w:sz w:val="20"/>
          <w:szCs w:val="20"/>
        </w:rPr>
        <w:t xml:space="preserve">to monitor and enforce compliance with requirements pertaining to </w:t>
      </w:r>
      <w:r w:rsidRPr="00ED00CF" w:rsidR="00B030F9">
        <w:rPr>
          <w:rFonts w:ascii="Times New Roman" w:hAnsi="Times New Roman"/>
          <w:sz w:val="20"/>
          <w:szCs w:val="20"/>
        </w:rPr>
        <w:t xml:space="preserve">the following </w:t>
      </w:r>
      <w:r w:rsidRPr="00ED00CF">
        <w:rPr>
          <w:rFonts w:ascii="Times New Roman" w:hAnsi="Times New Roman"/>
          <w:sz w:val="20"/>
          <w:szCs w:val="20"/>
        </w:rPr>
        <w:t>aspects of Federal leases</w:t>
      </w:r>
      <w:r w:rsidRPr="00ED00CF" w:rsidR="002E516F">
        <w:rPr>
          <w:rFonts w:ascii="Times New Roman" w:hAnsi="Times New Roman"/>
          <w:sz w:val="20"/>
          <w:szCs w:val="20"/>
        </w:rPr>
        <w:t>:</w:t>
      </w:r>
    </w:p>
    <w:p w:rsidR="008F0622" w:rsidRPr="00ED00CF" w:rsidP="00B030F9" w14:paraId="3DEF4A01" w14:textId="77777777">
      <w:pPr>
        <w:widowControl/>
        <w:numPr>
          <w:ilvl w:val="0"/>
          <w:numId w:val="27"/>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ind w:left="360"/>
        <w:rPr>
          <w:rFonts w:ascii="Times New Roman" w:hAnsi="Times New Roman"/>
          <w:sz w:val="20"/>
          <w:szCs w:val="20"/>
        </w:rPr>
      </w:pPr>
      <w:r w:rsidRPr="00ED00CF">
        <w:rPr>
          <w:rFonts w:ascii="Times New Roman" w:hAnsi="Times New Roman"/>
          <w:sz w:val="20"/>
          <w:szCs w:val="20"/>
        </w:rPr>
        <w:t xml:space="preserve">Statutory acreage </w:t>
      </w:r>
      <w:r w:rsidRPr="00ED00CF">
        <w:rPr>
          <w:rFonts w:ascii="Times New Roman" w:hAnsi="Times New Roman"/>
          <w:sz w:val="20"/>
          <w:szCs w:val="20"/>
        </w:rPr>
        <w:t>limitations;</w:t>
      </w:r>
    </w:p>
    <w:p w:rsidR="007A5332" w:rsidRPr="00ED00CF" w:rsidP="00B030F9" w14:paraId="1FF6CD13" w14:textId="77777777">
      <w:pPr>
        <w:widowControl/>
        <w:numPr>
          <w:ilvl w:val="0"/>
          <w:numId w:val="27"/>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ind w:left="360"/>
        <w:rPr>
          <w:rFonts w:ascii="Times New Roman" w:hAnsi="Times New Roman"/>
          <w:sz w:val="20"/>
          <w:szCs w:val="20"/>
        </w:rPr>
      </w:pPr>
      <w:r w:rsidRPr="00ED00CF">
        <w:rPr>
          <w:rFonts w:ascii="Times New Roman" w:hAnsi="Times New Roman"/>
          <w:sz w:val="20"/>
          <w:szCs w:val="20"/>
        </w:rPr>
        <w:t xml:space="preserve">Acreage </w:t>
      </w:r>
      <w:r w:rsidRPr="00ED00CF">
        <w:rPr>
          <w:rFonts w:ascii="Times New Roman" w:hAnsi="Times New Roman"/>
          <w:sz w:val="20"/>
          <w:szCs w:val="20"/>
        </w:rPr>
        <w:t>chargeability</w:t>
      </w:r>
      <w:r w:rsidRPr="00ED00CF" w:rsidR="00DA5F01">
        <w:rPr>
          <w:rFonts w:ascii="Times New Roman" w:hAnsi="Times New Roman"/>
          <w:sz w:val="20"/>
          <w:szCs w:val="20"/>
        </w:rPr>
        <w:t>;</w:t>
      </w:r>
    </w:p>
    <w:p w:rsidR="00CA550B" w:rsidRPr="00ED00CF" w:rsidP="007A5332" w14:paraId="5A261B08" w14:textId="77777777">
      <w:pPr>
        <w:widowControl/>
        <w:numPr>
          <w:ilvl w:val="0"/>
          <w:numId w:val="27"/>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ind w:left="360"/>
        <w:rPr>
          <w:rFonts w:ascii="Times New Roman" w:hAnsi="Times New Roman"/>
          <w:sz w:val="20"/>
          <w:szCs w:val="20"/>
        </w:rPr>
      </w:pPr>
      <w:r w:rsidRPr="00ED00CF">
        <w:rPr>
          <w:rFonts w:ascii="Times New Roman" w:hAnsi="Times New Roman"/>
          <w:sz w:val="20"/>
          <w:szCs w:val="20"/>
        </w:rPr>
        <w:t>R</w:t>
      </w:r>
      <w:r w:rsidRPr="00ED00CF" w:rsidR="008F0622">
        <w:rPr>
          <w:rFonts w:ascii="Times New Roman" w:hAnsi="Times New Roman"/>
          <w:sz w:val="20"/>
          <w:szCs w:val="20"/>
        </w:rPr>
        <w:t>elinquishment</w:t>
      </w:r>
      <w:r w:rsidRPr="00ED00CF" w:rsidR="007A5332">
        <w:rPr>
          <w:rFonts w:ascii="Times New Roman" w:hAnsi="Times New Roman"/>
          <w:sz w:val="20"/>
          <w:szCs w:val="20"/>
        </w:rPr>
        <w:t>s and terminations</w:t>
      </w:r>
      <w:r w:rsidRPr="00ED00CF">
        <w:rPr>
          <w:rFonts w:ascii="Times New Roman" w:hAnsi="Times New Roman"/>
          <w:sz w:val="20"/>
          <w:szCs w:val="20"/>
        </w:rPr>
        <w:t xml:space="preserve"> of a lease; and</w:t>
      </w:r>
    </w:p>
    <w:p w:rsidR="002C42A5" w:rsidRPr="00ED00CF" w:rsidP="002C42A5" w14:paraId="02E7E68A" w14:textId="497B7C33">
      <w:pPr>
        <w:widowControl/>
        <w:numPr>
          <w:ilvl w:val="0"/>
          <w:numId w:val="27"/>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ind w:left="360"/>
        <w:rPr>
          <w:rFonts w:ascii="Times New Roman" w:hAnsi="Times New Roman"/>
          <w:sz w:val="20"/>
          <w:szCs w:val="20"/>
        </w:rPr>
      </w:pPr>
      <w:r w:rsidRPr="00ED00CF">
        <w:rPr>
          <w:rFonts w:ascii="Times New Roman" w:hAnsi="Times New Roman"/>
          <w:sz w:val="20"/>
          <w:szCs w:val="20"/>
        </w:rPr>
        <w:t>Drainage protection</w:t>
      </w:r>
    </w:p>
    <w:p w:rsidR="000A53B8" w:rsidRPr="00ED00CF" w:rsidP="00B030F9" w14:paraId="1583ED70" w14:textId="77777777">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imes New Roman" w:hAnsi="Times New Roman"/>
          <w:sz w:val="20"/>
          <w:szCs w:val="20"/>
        </w:rPr>
      </w:pPr>
    </w:p>
    <w:p w:rsidR="000A53B8" w:rsidRPr="00ED00CF" w:rsidP="00636D71" w14:paraId="0138A91A" w14:textId="32005912">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imes New Roman" w:hAnsi="Times New Roman"/>
          <w:sz w:val="20"/>
          <w:szCs w:val="20"/>
        </w:rPr>
      </w:pPr>
      <w:r w:rsidRPr="00ED00CF">
        <w:rPr>
          <w:rFonts w:ascii="Times New Roman" w:hAnsi="Times New Roman"/>
          <w:sz w:val="20"/>
          <w:szCs w:val="20"/>
        </w:rPr>
        <w:t xml:space="preserve">The BLM also uses the information </w:t>
      </w:r>
      <w:r w:rsidRPr="00ED00CF" w:rsidR="00674C47">
        <w:rPr>
          <w:rFonts w:ascii="Times New Roman" w:hAnsi="Times New Roman"/>
          <w:sz w:val="20"/>
          <w:szCs w:val="20"/>
        </w:rPr>
        <w:t xml:space="preserve">in this request </w:t>
      </w:r>
      <w:r w:rsidRPr="00ED00CF">
        <w:rPr>
          <w:rFonts w:ascii="Times New Roman" w:hAnsi="Times New Roman"/>
          <w:sz w:val="20"/>
          <w:szCs w:val="20"/>
        </w:rPr>
        <w:t xml:space="preserve">to decide whether to </w:t>
      </w:r>
      <w:r w:rsidRPr="00ED00CF" w:rsidR="00CC692F">
        <w:rPr>
          <w:rFonts w:ascii="Times New Roman" w:hAnsi="Times New Roman"/>
          <w:sz w:val="20"/>
          <w:szCs w:val="20"/>
        </w:rPr>
        <w:t xml:space="preserve">approve </w:t>
      </w:r>
      <w:r w:rsidRPr="00ED00CF">
        <w:rPr>
          <w:rFonts w:ascii="Times New Roman" w:hAnsi="Times New Roman"/>
          <w:sz w:val="20"/>
          <w:szCs w:val="20"/>
        </w:rPr>
        <w:t>proposals to:</w:t>
      </w:r>
    </w:p>
    <w:p w:rsidR="000A53B8" w:rsidRPr="00ED00CF" w:rsidP="73A9246C" w14:paraId="46542C11" w14:textId="77777777">
      <w:pPr>
        <w:widowControl/>
        <w:numPr>
          <w:ilvl w:val="0"/>
          <w:numId w:val="27"/>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ind w:left="360"/>
        <w:rPr>
          <w:rFonts w:ascii="Times New Roman" w:hAnsi="Times New Roman"/>
          <w:sz w:val="20"/>
          <w:szCs w:val="20"/>
        </w:rPr>
      </w:pPr>
      <w:r w:rsidRPr="00ED00CF">
        <w:rPr>
          <w:rFonts w:ascii="Times New Roman" w:hAnsi="Times New Roman"/>
          <w:sz w:val="20"/>
          <w:szCs w:val="20"/>
        </w:rPr>
        <w:t xml:space="preserve">Waive, suspend, or reduce rental or royalty </w:t>
      </w:r>
      <w:r w:rsidRPr="00ED00CF">
        <w:rPr>
          <w:rFonts w:ascii="Times New Roman" w:hAnsi="Times New Roman"/>
          <w:sz w:val="20"/>
          <w:szCs w:val="20"/>
        </w:rPr>
        <w:t>payments;</w:t>
      </w:r>
    </w:p>
    <w:p w:rsidR="00745BEE" w:rsidRPr="00ED00CF" w:rsidP="73A9246C" w14:paraId="262B5355" w14:textId="52113A89">
      <w:pPr>
        <w:widowControl/>
        <w:numPr>
          <w:ilvl w:val="0"/>
          <w:numId w:val="27"/>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ind w:left="360"/>
        <w:rPr>
          <w:rFonts w:ascii="Times New Roman" w:hAnsi="Times New Roman"/>
          <w:sz w:val="20"/>
          <w:szCs w:val="20"/>
        </w:rPr>
      </w:pPr>
      <w:r w:rsidRPr="00ED00CF">
        <w:rPr>
          <w:rFonts w:ascii="Times New Roman" w:hAnsi="Times New Roman"/>
          <w:sz w:val="20"/>
          <w:szCs w:val="20"/>
        </w:rPr>
        <w:t>Enter</w:t>
      </w:r>
      <w:r w:rsidRPr="00ED00CF">
        <w:rPr>
          <w:rFonts w:ascii="Times New Roman" w:hAnsi="Times New Roman"/>
          <w:sz w:val="20"/>
          <w:szCs w:val="20"/>
        </w:rPr>
        <w:t xml:space="preserve"> into various types of agreements, contracts, </w:t>
      </w:r>
      <w:r w:rsidR="009048DC">
        <w:rPr>
          <w:rFonts w:ascii="Times New Roman" w:hAnsi="Times New Roman"/>
          <w:sz w:val="20"/>
          <w:szCs w:val="20"/>
        </w:rPr>
        <w:t xml:space="preserve">and </w:t>
      </w:r>
      <w:r w:rsidRPr="00ED00CF">
        <w:rPr>
          <w:rFonts w:ascii="Times New Roman" w:hAnsi="Times New Roman"/>
          <w:sz w:val="20"/>
          <w:szCs w:val="20"/>
        </w:rPr>
        <w:t>consolidations;</w:t>
      </w:r>
    </w:p>
    <w:p w:rsidR="0001610B" w:rsidRPr="00ED00CF" w:rsidP="73A9246C" w14:paraId="67289E79" w14:textId="77777777">
      <w:pPr>
        <w:widowControl/>
        <w:numPr>
          <w:ilvl w:val="0"/>
          <w:numId w:val="27"/>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ind w:left="360"/>
        <w:rPr>
          <w:rFonts w:ascii="Times New Roman" w:hAnsi="Times New Roman"/>
          <w:sz w:val="20"/>
          <w:szCs w:val="20"/>
        </w:rPr>
      </w:pPr>
      <w:r w:rsidRPr="00ED00CF">
        <w:rPr>
          <w:rFonts w:ascii="Times New Roman" w:hAnsi="Times New Roman"/>
          <w:sz w:val="20"/>
          <w:szCs w:val="20"/>
        </w:rPr>
        <w:t xml:space="preserve">Store oil and gas underground on Federal </w:t>
      </w:r>
      <w:r w:rsidRPr="00ED00CF">
        <w:rPr>
          <w:rFonts w:ascii="Times New Roman" w:hAnsi="Times New Roman"/>
          <w:sz w:val="20"/>
          <w:szCs w:val="20"/>
        </w:rPr>
        <w:t>lands;</w:t>
      </w:r>
    </w:p>
    <w:p w:rsidR="00CC692F" w:rsidRPr="00ED00CF" w:rsidP="73A9246C" w14:paraId="1C546372" w14:textId="75D798DA">
      <w:pPr>
        <w:widowControl/>
        <w:numPr>
          <w:ilvl w:val="0"/>
          <w:numId w:val="27"/>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ind w:left="360"/>
        <w:rPr>
          <w:rFonts w:ascii="Times New Roman" w:hAnsi="Times New Roman"/>
          <w:sz w:val="20"/>
          <w:szCs w:val="20"/>
        </w:rPr>
      </w:pPr>
      <w:r w:rsidRPr="00ED00CF">
        <w:rPr>
          <w:rFonts w:ascii="Times New Roman" w:hAnsi="Times New Roman"/>
          <w:sz w:val="20"/>
          <w:szCs w:val="20"/>
        </w:rPr>
        <w:t xml:space="preserve">Transfer a lease </w:t>
      </w:r>
      <w:r w:rsidRPr="00ED00CF">
        <w:rPr>
          <w:rFonts w:ascii="Times New Roman" w:hAnsi="Times New Roman"/>
          <w:sz w:val="20"/>
          <w:szCs w:val="20"/>
        </w:rPr>
        <w:t>interest;</w:t>
      </w:r>
    </w:p>
    <w:p w:rsidR="005F6AA7" w:rsidRPr="00ED00CF" w:rsidP="73A9246C" w14:paraId="4D8A0BA4" w14:textId="2F6BEB70">
      <w:pPr>
        <w:widowControl/>
        <w:numPr>
          <w:ilvl w:val="0"/>
          <w:numId w:val="27"/>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ind w:left="360"/>
        <w:rPr>
          <w:rFonts w:ascii="Times New Roman" w:hAnsi="Times New Roman"/>
          <w:sz w:val="20"/>
          <w:szCs w:val="20"/>
        </w:rPr>
      </w:pPr>
      <w:r w:rsidRPr="00ED00CF">
        <w:rPr>
          <w:rFonts w:ascii="Times New Roman" w:hAnsi="Times New Roman"/>
          <w:sz w:val="20"/>
          <w:szCs w:val="20"/>
        </w:rPr>
        <w:t xml:space="preserve">Reinstate a </w:t>
      </w:r>
      <w:r w:rsidR="00400B87">
        <w:rPr>
          <w:rFonts w:ascii="Times New Roman" w:hAnsi="Times New Roman"/>
          <w:sz w:val="20"/>
          <w:szCs w:val="20"/>
        </w:rPr>
        <w:t xml:space="preserve">terminated </w:t>
      </w:r>
      <w:r w:rsidRPr="00ED00CF">
        <w:rPr>
          <w:rFonts w:ascii="Times New Roman" w:hAnsi="Times New Roman"/>
          <w:sz w:val="20"/>
          <w:szCs w:val="20"/>
        </w:rPr>
        <w:t>lease;</w:t>
      </w:r>
    </w:p>
    <w:p w:rsidR="00AD2576" w:rsidRPr="00ED00CF" w:rsidP="73A9246C" w14:paraId="43ED691F" w14:textId="582BD3F9">
      <w:pPr>
        <w:widowControl/>
        <w:numPr>
          <w:ilvl w:val="0"/>
          <w:numId w:val="27"/>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ind w:left="360"/>
        <w:rPr>
          <w:rFonts w:ascii="Times New Roman" w:hAnsi="Times New Roman"/>
          <w:sz w:val="20"/>
          <w:szCs w:val="20"/>
        </w:rPr>
      </w:pPr>
      <w:r w:rsidRPr="00ED00CF">
        <w:rPr>
          <w:rFonts w:ascii="Times New Roman" w:hAnsi="Times New Roman"/>
          <w:sz w:val="20"/>
          <w:szCs w:val="20"/>
        </w:rPr>
        <w:t>Obtain an oil and gas lease under railroad</w:t>
      </w:r>
      <w:r w:rsidRPr="00ED00CF" w:rsidR="00CA550B">
        <w:rPr>
          <w:rFonts w:ascii="Times New Roman" w:hAnsi="Times New Roman"/>
          <w:sz w:val="20"/>
          <w:szCs w:val="20"/>
        </w:rPr>
        <w:t>s</w:t>
      </w:r>
      <w:r w:rsidRPr="00ED00CF">
        <w:rPr>
          <w:rFonts w:ascii="Times New Roman" w:hAnsi="Times New Roman"/>
          <w:sz w:val="20"/>
          <w:szCs w:val="20"/>
        </w:rPr>
        <w:t xml:space="preserve"> and </w:t>
      </w:r>
      <w:r w:rsidRPr="00ED00CF" w:rsidR="00CA550B">
        <w:rPr>
          <w:rFonts w:ascii="Times New Roman" w:hAnsi="Times New Roman"/>
          <w:sz w:val="20"/>
          <w:szCs w:val="20"/>
        </w:rPr>
        <w:t xml:space="preserve">certain </w:t>
      </w:r>
      <w:r w:rsidRPr="00ED00CF">
        <w:rPr>
          <w:rFonts w:ascii="Times New Roman" w:hAnsi="Times New Roman"/>
          <w:sz w:val="20"/>
          <w:szCs w:val="20"/>
        </w:rPr>
        <w:t>other rights-of-way</w:t>
      </w:r>
      <w:r w:rsidRPr="00ED00CF" w:rsidR="00EF2385">
        <w:rPr>
          <w:rFonts w:ascii="Times New Roman" w:hAnsi="Times New Roman"/>
          <w:sz w:val="20"/>
          <w:szCs w:val="20"/>
        </w:rPr>
        <w:t xml:space="preserve"> (ROW</w:t>
      </w:r>
      <w:r w:rsidRPr="00ED00CF" w:rsidR="00EF2385">
        <w:rPr>
          <w:rFonts w:ascii="Times New Roman" w:hAnsi="Times New Roman"/>
          <w:sz w:val="20"/>
          <w:szCs w:val="20"/>
        </w:rPr>
        <w:t>)</w:t>
      </w:r>
      <w:r w:rsidRPr="00ED00CF">
        <w:rPr>
          <w:rFonts w:ascii="Times New Roman" w:hAnsi="Times New Roman"/>
          <w:sz w:val="20"/>
          <w:szCs w:val="20"/>
        </w:rPr>
        <w:t>;</w:t>
      </w:r>
    </w:p>
    <w:p w:rsidR="00CA550B" w:rsidRPr="00ED00CF" w:rsidP="0001610B" w14:paraId="05E69C3D" w14:textId="77777777">
      <w:pPr>
        <w:widowControl/>
        <w:numPr>
          <w:ilvl w:val="0"/>
          <w:numId w:val="27"/>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ind w:left="360"/>
        <w:rPr>
          <w:rFonts w:ascii="Times New Roman" w:hAnsi="Times New Roman"/>
          <w:sz w:val="20"/>
          <w:szCs w:val="20"/>
        </w:rPr>
      </w:pPr>
      <w:r w:rsidRPr="00ED00CF">
        <w:rPr>
          <w:rFonts w:ascii="Times New Roman" w:hAnsi="Times New Roman"/>
          <w:sz w:val="20"/>
          <w:szCs w:val="20"/>
        </w:rPr>
        <w:t xml:space="preserve">Make </w:t>
      </w:r>
      <w:r w:rsidRPr="00ED00CF">
        <w:rPr>
          <w:rFonts w:ascii="Times New Roman" w:hAnsi="Times New Roman"/>
          <w:sz w:val="20"/>
          <w:szCs w:val="20"/>
        </w:rPr>
        <w:t>lands</w:t>
      </w:r>
      <w:r w:rsidRPr="00ED00CF">
        <w:rPr>
          <w:rFonts w:ascii="Times New Roman" w:hAnsi="Times New Roman"/>
          <w:sz w:val="20"/>
          <w:szCs w:val="20"/>
        </w:rPr>
        <w:t xml:space="preserve"> available for competitive leasing;</w:t>
      </w:r>
      <w:r w:rsidRPr="00ED00CF" w:rsidR="00F134A3">
        <w:rPr>
          <w:rFonts w:ascii="Times New Roman" w:hAnsi="Times New Roman"/>
          <w:sz w:val="20"/>
          <w:szCs w:val="20"/>
        </w:rPr>
        <w:t xml:space="preserve"> and</w:t>
      </w:r>
    </w:p>
    <w:p w:rsidR="00F134A3" w:rsidRPr="00ED00CF" w:rsidP="0001610B" w14:paraId="7B0478B1" w14:textId="4FC1838A">
      <w:pPr>
        <w:widowControl/>
        <w:numPr>
          <w:ilvl w:val="0"/>
          <w:numId w:val="27"/>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ind w:left="360"/>
        <w:rPr>
          <w:rFonts w:ascii="Times New Roman" w:hAnsi="Times New Roman"/>
          <w:sz w:val="20"/>
          <w:szCs w:val="20"/>
        </w:rPr>
      </w:pPr>
      <w:r w:rsidRPr="00ED00CF">
        <w:rPr>
          <w:rFonts w:ascii="Times New Roman" w:hAnsi="Times New Roman"/>
          <w:sz w:val="20"/>
          <w:szCs w:val="20"/>
        </w:rPr>
        <w:t>Protest a BLM decision to offer lands for competitive leasing</w:t>
      </w:r>
      <w:r w:rsidR="00400B87">
        <w:rPr>
          <w:rFonts w:ascii="Times New Roman" w:hAnsi="Times New Roman"/>
          <w:sz w:val="20"/>
          <w:szCs w:val="20"/>
        </w:rPr>
        <w:t>.</w:t>
      </w:r>
    </w:p>
    <w:p w:rsidR="002E516F" w:rsidRPr="00ED00CF" w:rsidP="00B51DF8" w14:paraId="759728C4" w14:textId="77777777">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imes New Roman" w:hAnsi="Times New Roman"/>
          <w:sz w:val="20"/>
          <w:szCs w:val="20"/>
        </w:rPr>
      </w:pPr>
    </w:p>
    <w:p w:rsidR="00C174BC" w:rsidRPr="00ED00CF" w:rsidP="001E60B6" w14:paraId="4303DAD1" w14:textId="20EA018E">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r w:rsidRPr="00ED00CF">
        <w:rPr>
          <w:rFonts w:ascii="Times New Roman" w:hAnsi="Times New Roman"/>
          <w:sz w:val="20"/>
          <w:szCs w:val="20"/>
        </w:rPr>
        <w:t xml:space="preserve">The </w:t>
      </w:r>
      <w:r w:rsidRPr="00ED00CF" w:rsidR="002877E9">
        <w:rPr>
          <w:rFonts w:ascii="Times New Roman" w:hAnsi="Times New Roman"/>
          <w:sz w:val="20"/>
          <w:szCs w:val="20"/>
        </w:rPr>
        <w:t>information-</w:t>
      </w:r>
      <w:r w:rsidRPr="00ED00CF">
        <w:rPr>
          <w:rFonts w:ascii="Times New Roman" w:hAnsi="Times New Roman"/>
          <w:sz w:val="20"/>
          <w:szCs w:val="20"/>
        </w:rPr>
        <w:t>collecti</w:t>
      </w:r>
      <w:r w:rsidRPr="00ED00CF" w:rsidR="00560A28">
        <w:rPr>
          <w:rFonts w:ascii="Times New Roman" w:hAnsi="Times New Roman"/>
          <w:sz w:val="20"/>
          <w:szCs w:val="20"/>
        </w:rPr>
        <w:t>on</w:t>
      </w:r>
      <w:r w:rsidRPr="00ED00CF" w:rsidR="00AB4E9A">
        <w:rPr>
          <w:rFonts w:ascii="Times New Roman" w:hAnsi="Times New Roman"/>
          <w:sz w:val="20"/>
          <w:szCs w:val="20"/>
        </w:rPr>
        <w:t xml:space="preserve"> activities</w:t>
      </w:r>
      <w:r w:rsidRPr="00ED00CF" w:rsidR="00560A28">
        <w:rPr>
          <w:rFonts w:ascii="Times New Roman" w:hAnsi="Times New Roman"/>
          <w:sz w:val="20"/>
          <w:szCs w:val="20"/>
        </w:rPr>
        <w:t xml:space="preserve"> in this request are as follows:</w:t>
      </w:r>
    </w:p>
    <w:p w:rsidR="001E60B6" w:rsidRPr="00ED00CF" w:rsidP="001E60B6" w14:paraId="05EE6842"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p>
    <w:p w:rsidR="000A04BE" w:rsidRPr="00ED00CF" w:rsidP="00D765E9" w14:paraId="262267C5" w14:textId="5ABD00C8">
      <w:pPr>
        <w:pStyle w:val="Heading3"/>
        <w:rPr>
          <w:sz w:val="20"/>
          <w:szCs w:val="20"/>
        </w:rPr>
      </w:pPr>
      <w:r w:rsidRPr="00ED00CF">
        <w:rPr>
          <w:sz w:val="20"/>
          <w:szCs w:val="20"/>
        </w:rPr>
        <w:t>43 CFR 3100</w:t>
      </w:r>
      <w:r w:rsidRPr="00ED00CF" w:rsidR="00884528">
        <w:rPr>
          <w:sz w:val="20"/>
          <w:szCs w:val="20"/>
        </w:rPr>
        <w:t xml:space="preserve"> — </w:t>
      </w:r>
      <w:r w:rsidRPr="00ED00CF">
        <w:rPr>
          <w:sz w:val="20"/>
          <w:szCs w:val="20"/>
        </w:rPr>
        <w:t>Oil and Gas Leasing:</w:t>
      </w:r>
      <w:r w:rsidRPr="00ED00CF" w:rsidR="00E954E6">
        <w:rPr>
          <w:sz w:val="20"/>
          <w:szCs w:val="20"/>
        </w:rPr>
        <w:t xml:space="preserve"> </w:t>
      </w:r>
      <w:r w:rsidRPr="00ED00CF">
        <w:rPr>
          <w:sz w:val="20"/>
          <w:szCs w:val="20"/>
        </w:rPr>
        <w:t>General</w:t>
      </w:r>
    </w:p>
    <w:p w:rsidR="000A04BE" w:rsidRPr="00ED00CF" w:rsidP="00BC3316" w14:paraId="10F3C876"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p>
    <w:p w:rsidR="00BC3316" w:rsidRPr="00ED00CF" w:rsidP="00BC3316" w14:paraId="735E0CD0" w14:textId="0535EE3E">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r w:rsidRPr="00ED00CF">
        <w:rPr>
          <w:rFonts w:ascii="Times New Roman" w:hAnsi="Times New Roman"/>
          <w:sz w:val="20"/>
          <w:szCs w:val="20"/>
        </w:rPr>
        <w:t xml:space="preserve">With some exceptions, the MLA, at 30 U.S.C. 184(d), </w:t>
      </w:r>
      <w:r w:rsidRPr="00ED00CF" w:rsidR="00F34F99">
        <w:rPr>
          <w:rFonts w:ascii="Times New Roman" w:hAnsi="Times New Roman"/>
          <w:sz w:val="20"/>
          <w:szCs w:val="20"/>
        </w:rPr>
        <w:t xml:space="preserve">limits the aggregate number of acres of Federal oil or gas leases </w:t>
      </w:r>
      <w:r w:rsidRPr="00ED00CF">
        <w:rPr>
          <w:rFonts w:ascii="Times New Roman" w:hAnsi="Times New Roman"/>
          <w:sz w:val="20"/>
          <w:szCs w:val="20"/>
        </w:rPr>
        <w:t xml:space="preserve">any person, association, or corporation </w:t>
      </w:r>
      <w:r w:rsidRPr="00ED00CF" w:rsidR="00F34F99">
        <w:rPr>
          <w:rFonts w:ascii="Times New Roman" w:hAnsi="Times New Roman"/>
          <w:sz w:val="20"/>
          <w:szCs w:val="20"/>
        </w:rPr>
        <w:t xml:space="preserve">may </w:t>
      </w:r>
      <w:r w:rsidRPr="00ED00CF" w:rsidR="007322BF">
        <w:rPr>
          <w:rFonts w:ascii="Times New Roman" w:hAnsi="Times New Roman"/>
          <w:sz w:val="20"/>
          <w:szCs w:val="20"/>
        </w:rPr>
        <w:t xml:space="preserve">take, hold, own, or control </w:t>
      </w:r>
      <w:r w:rsidRPr="00ED00CF" w:rsidR="00F34F99">
        <w:rPr>
          <w:rFonts w:ascii="Times New Roman" w:hAnsi="Times New Roman"/>
          <w:sz w:val="20"/>
          <w:szCs w:val="20"/>
        </w:rPr>
        <w:t>in any o</w:t>
      </w:r>
      <w:r w:rsidRPr="00ED00CF" w:rsidR="009D3C5D">
        <w:rPr>
          <w:rFonts w:ascii="Times New Roman" w:hAnsi="Times New Roman"/>
          <w:sz w:val="20"/>
          <w:szCs w:val="20"/>
        </w:rPr>
        <w:t xml:space="preserve">ne </w:t>
      </w:r>
      <w:r w:rsidRPr="00ED00CF" w:rsidR="00EF2385">
        <w:rPr>
          <w:rFonts w:ascii="Times New Roman" w:hAnsi="Times New Roman"/>
          <w:sz w:val="20"/>
          <w:szCs w:val="20"/>
        </w:rPr>
        <w:t>state</w:t>
      </w:r>
      <w:r w:rsidRPr="00ED00CF" w:rsidR="009D3C5D">
        <w:rPr>
          <w:rFonts w:ascii="Times New Roman" w:hAnsi="Times New Roman"/>
          <w:sz w:val="20"/>
          <w:szCs w:val="20"/>
        </w:rPr>
        <w:t xml:space="preserve">. This provision </w:t>
      </w:r>
      <w:r w:rsidRPr="00ED00CF" w:rsidR="00F34F99">
        <w:rPr>
          <w:rFonts w:ascii="Times New Roman" w:hAnsi="Times New Roman"/>
          <w:sz w:val="20"/>
          <w:szCs w:val="20"/>
        </w:rPr>
        <w:t xml:space="preserve">imposes similar limits on options to acquire </w:t>
      </w:r>
      <w:r w:rsidRPr="00ED00CF" w:rsidR="00F34F99">
        <w:rPr>
          <w:rFonts w:ascii="Times New Roman" w:hAnsi="Times New Roman"/>
          <w:sz w:val="20"/>
          <w:szCs w:val="20"/>
        </w:rPr>
        <w:t>in</w:t>
      </w:r>
      <w:r w:rsidRPr="00ED00CF">
        <w:rPr>
          <w:rFonts w:ascii="Times New Roman" w:hAnsi="Times New Roman"/>
          <w:sz w:val="20"/>
          <w:szCs w:val="20"/>
        </w:rPr>
        <w:t>terests</w:t>
      </w:r>
      <w:r w:rsidRPr="00ED00CF">
        <w:rPr>
          <w:rFonts w:ascii="Times New Roman" w:hAnsi="Times New Roman"/>
          <w:sz w:val="20"/>
          <w:szCs w:val="20"/>
        </w:rPr>
        <w:t xml:space="preserve"> in Federal oil or gas leases</w:t>
      </w:r>
      <w:r w:rsidRPr="00ED00CF" w:rsidR="00F34F99">
        <w:rPr>
          <w:rFonts w:ascii="Times New Roman" w:hAnsi="Times New Roman"/>
          <w:sz w:val="20"/>
          <w:szCs w:val="20"/>
        </w:rPr>
        <w:t>.</w:t>
      </w:r>
      <w:r w:rsidRPr="00ED00CF" w:rsidR="00E954E6">
        <w:rPr>
          <w:rFonts w:ascii="Times New Roman" w:hAnsi="Times New Roman"/>
          <w:sz w:val="20"/>
          <w:szCs w:val="20"/>
        </w:rPr>
        <w:t xml:space="preserve"> </w:t>
      </w:r>
      <w:r w:rsidRPr="00ED00CF">
        <w:rPr>
          <w:rFonts w:ascii="Times New Roman" w:hAnsi="Times New Roman"/>
          <w:sz w:val="20"/>
          <w:szCs w:val="20"/>
        </w:rPr>
        <w:t>The ML</w:t>
      </w:r>
      <w:r w:rsidRPr="00ED00CF" w:rsidR="00E24FA1">
        <w:rPr>
          <w:rFonts w:ascii="Times New Roman" w:hAnsi="Times New Roman"/>
          <w:sz w:val="20"/>
          <w:szCs w:val="20"/>
        </w:rPr>
        <w:t>A provides for two collection acti</w:t>
      </w:r>
      <w:r w:rsidRPr="00ED00CF" w:rsidR="00F34F99">
        <w:rPr>
          <w:rFonts w:ascii="Times New Roman" w:hAnsi="Times New Roman"/>
          <w:sz w:val="20"/>
          <w:szCs w:val="20"/>
        </w:rPr>
        <w:t xml:space="preserve">vities </w:t>
      </w:r>
      <w:r w:rsidRPr="00ED00CF" w:rsidR="00A91F97">
        <w:rPr>
          <w:rFonts w:ascii="Times New Roman" w:hAnsi="Times New Roman"/>
          <w:sz w:val="20"/>
          <w:szCs w:val="20"/>
        </w:rPr>
        <w:t xml:space="preserve">that enable the BLM to enforce </w:t>
      </w:r>
      <w:r w:rsidRPr="00ED00CF" w:rsidR="00F34F99">
        <w:rPr>
          <w:rFonts w:ascii="Times New Roman" w:hAnsi="Times New Roman"/>
          <w:sz w:val="20"/>
          <w:szCs w:val="20"/>
        </w:rPr>
        <w:t>the</w:t>
      </w:r>
      <w:r w:rsidRPr="00ED00CF" w:rsidR="00E24FA1">
        <w:rPr>
          <w:rFonts w:ascii="Times New Roman" w:hAnsi="Times New Roman"/>
          <w:sz w:val="20"/>
          <w:szCs w:val="20"/>
        </w:rPr>
        <w:t xml:space="preserve"> acreage limitations</w:t>
      </w:r>
      <w:r w:rsidRPr="00ED00CF" w:rsidR="00F34F99">
        <w:rPr>
          <w:rFonts w:ascii="Times New Roman" w:hAnsi="Times New Roman"/>
          <w:sz w:val="20"/>
          <w:szCs w:val="20"/>
        </w:rPr>
        <w:t xml:space="preserve"> </w:t>
      </w:r>
      <w:r w:rsidRPr="00ED00CF" w:rsidR="00A91F97">
        <w:rPr>
          <w:rFonts w:ascii="Times New Roman" w:hAnsi="Times New Roman"/>
          <w:sz w:val="20"/>
          <w:szCs w:val="20"/>
        </w:rPr>
        <w:t xml:space="preserve">with respect to </w:t>
      </w:r>
      <w:r w:rsidRPr="00ED00CF" w:rsidR="00F34F99">
        <w:rPr>
          <w:rFonts w:ascii="Times New Roman" w:hAnsi="Times New Roman"/>
          <w:sz w:val="20"/>
          <w:szCs w:val="20"/>
        </w:rPr>
        <w:t>options</w:t>
      </w:r>
      <w:r w:rsidRPr="00ED00CF">
        <w:rPr>
          <w:rFonts w:ascii="Times New Roman" w:hAnsi="Times New Roman"/>
          <w:sz w:val="20"/>
          <w:szCs w:val="20"/>
        </w:rPr>
        <w:t>.</w:t>
      </w:r>
      <w:r w:rsidRPr="00ED00CF" w:rsidR="00E954E6">
        <w:rPr>
          <w:rFonts w:ascii="Times New Roman" w:hAnsi="Times New Roman"/>
          <w:sz w:val="20"/>
          <w:szCs w:val="20"/>
        </w:rPr>
        <w:t xml:space="preserve"> </w:t>
      </w:r>
      <w:r w:rsidRPr="00ED00CF" w:rsidR="00EF2385">
        <w:rPr>
          <w:rFonts w:ascii="Times New Roman" w:hAnsi="Times New Roman"/>
          <w:sz w:val="20"/>
          <w:szCs w:val="20"/>
        </w:rPr>
        <w:t xml:space="preserve">The BLM regulations </w:t>
      </w:r>
      <w:r w:rsidRPr="00ED00CF">
        <w:rPr>
          <w:rFonts w:ascii="Times New Roman" w:hAnsi="Times New Roman"/>
          <w:sz w:val="20"/>
          <w:szCs w:val="20"/>
        </w:rPr>
        <w:t xml:space="preserve">add detail to these two collections at 43 CFR 3100, </w:t>
      </w:r>
      <w:r w:rsidRPr="00ED00CF" w:rsidR="00B52B15">
        <w:rPr>
          <w:rFonts w:ascii="Times New Roman" w:hAnsi="Times New Roman"/>
          <w:sz w:val="20"/>
          <w:szCs w:val="20"/>
        </w:rPr>
        <w:t>in accordance with the MLA.</w:t>
      </w:r>
      <w:r w:rsidRPr="00ED00CF">
        <w:rPr>
          <w:rFonts w:ascii="Times New Roman" w:hAnsi="Times New Roman"/>
          <w:sz w:val="20"/>
          <w:szCs w:val="20"/>
        </w:rPr>
        <w:t xml:space="preserve"> </w:t>
      </w:r>
    </w:p>
    <w:p w:rsidR="00C9629E" w:rsidRPr="00ED00CF" w:rsidP="004C25E5" w14:paraId="434A8A85" w14:textId="467647A4">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p>
    <w:p w:rsidR="000A04BE" w:rsidRPr="00ED00CF" w:rsidP="007D76A0" w14:paraId="1DB0EF54" w14:textId="13C77E70">
      <w:pPr>
        <w:pStyle w:val="Heading4"/>
        <w:numPr>
          <w:ilvl w:val="0"/>
          <w:numId w:val="0"/>
        </w:numPr>
        <w:rPr>
          <w:sz w:val="20"/>
          <w:szCs w:val="20"/>
        </w:rPr>
      </w:pPr>
      <w:r w:rsidRPr="00ED00CF">
        <w:rPr>
          <w:sz w:val="20"/>
          <w:szCs w:val="20"/>
        </w:rPr>
        <w:t xml:space="preserve">43 CFR </w:t>
      </w:r>
      <w:r w:rsidRPr="00ED00CF" w:rsidR="00C9629E">
        <w:rPr>
          <w:sz w:val="20"/>
          <w:szCs w:val="20"/>
        </w:rPr>
        <w:t>3101.3</w:t>
      </w:r>
      <w:r w:rsidRPr="00ED00CF" w:rsidR="007454D6">
        <w:rPr>
          <w:sz w:val="20"/>
          <w:szCs w:val="20"/>
        </w:rPr>
        <w:t>0</w:t>
      </w:r>
      <w:r w:rsidRPr="00ED00CF" w:rsidR="00C9629E">
        <w:rPr>
          <w:sz w:val="20"/>
          <w:szCs w:val="20"/>
        </w:rPr>
        <w:t xml:space="preserve"> </w:t>
      </w:r>
      <w:r w:rsidRPr="00ED00CF" w:rsidR="00980647">
        <w:rPr>
          <w:sz w:val="20"/>
          <w:szCs w:val="20"/>
        </w:rPr>
        <w:t>—</w:t>
      </w:r>
      <w:r w:rsidRPr="00ED00CF" w:rsidR="00C9629E">
        <w:rPr>
          <w:sz w:val="20"/>
          <w:szCs w:val="20"/>
        </w:rPr>
        <w:t xml:space="preserve"> Joinder Evidence Required</w:t>
      </w:r>
    </w:p>
    <w:p w:rsidR="00712ACD" w:rsidRPr="00ED00CF" w:rsidP="00E20165" w14:paraId="27DA2948" w14:textId="77777777">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p>
    <w:p w:rsidR="001E60B6" w:rsidRPr="00ED00CF" w:rsidP="00C9629E" w14:paraId="776E78BC" w14:textId="6F614DAD">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r w:rsidRPr="00ED00CF">
        <w:rPr>
          <w:rFonts w:ascii="Times New Roman" w:hAnsi="Times New Roman"/>
          <w:sz w:val="20"/>
          <w:szCs w:val="20"/>
        </w:rPr>
        <w:t xml:space="preserve">When a lease or a portion of a lease cannot be independently developed and operated in conformity with an established well-spacing or well-development program, the BLM may approve </w:t>
      </w:r>
      <w:r w:rsidRPr="00ED00CF" w:rsidR="004E7790">
        <w:rPr>
          <w:rFonts w:ascii="Times New Roman" w:hAnsi="Times New Roman"/>
          <w:sz w:val="20"/>
          <w:szCs w:val="20"/>
        </w:rPr>
        <w:t xml:space="preserve">a </w:t>
      </w:r>
      <w:r w:rsidRPr="00ED00CF">
        <w:rPr>
          <w:rFonts w:ascii="Times New Roman" w:hAnsi="Times New Roman"/>
          <w:sz w:val="20"/>
          <w:szCs w:val="20"/>
        </w:rPr>
        <w:t>communitization</w:t>
      </w:r>
      <w:r w:rsidRPr="00ED00CF">
        <w:rPr>
          <w:rFonts w:ascii="Times New Roman" w:hAnsi="Times New Roman"/>
          <w:sz w:val="20"/>
          <w:szCs w:val="20"/>
        </w:rPr>
        <w:t xml:space="preserve"> or drilling agreement for such lands with other lands, whether or not owned by the United States, upon a determination that </w:t>
      </w:r>
      <w:r w:rsidRPr="00ED00CF">
        <w:rPr>
          <w:rFonts w:ascii="Times New Roman" w:hAnsi="Times New Roman"/>
          <w:sz w:val="20"/>
          <w:szCs w:val="20"/>
        </w:rPr>
        <w:t>such an agreem</w:t>
      </w:r>
      <w:r w:rsidRPr="00ED00CF" w:rsidR="00C9629E">
        <w:rPr>
          <w:rFonts w:ascii="Times New Roman" w:hAnsi="Times New Roman"/>
          <w:sz w:val="20"/>
          <w:szCs w:val="20"/>
        </w:rPr>
        <w:t>ent is in the public interest.</w:t>
      </w:r>
      <w:r w:rsidRPr="00ED00CF" w:rsidR="00E954E6">
        <w:rPr>
          <w:rFonts w:ascii="Times New Roman" w:hAnsi="Times New Roman"/>
          <w:sz w:val="20"/>
          <w:szCs w:val="20"/>
        </w:rPr>
        <w:t xml:space="preserve"> </w:t>
      </w:r>
      <w:r w:rsidRPr="00ED00CF" w:rsidR="00AC7CAE">
        <w:rPr>
          <w:rFonts w:ascii="Times New Roman" w:hAnsi="Times New Roman"/>
          <w:sz w:val="20"/>
          <w:szCs w:val="20"/>
        </w:rPr>
        <w:t xml:space="preserve">Before </w:t>
      </w:r>
      <w:r w:rsidRPr="00ED00CF" w:rsidR="00AC7CAE">
        <w:rPr>
          <w:rFonts w:ascii="Times New Roman" w:hAnsi="Times New Roman"/>
          <w:sz w:val="20"/>
          <w:szCs w:val="20"/>
        </w:rPr>
        <w:t>issuance of</w:t>
      </w:r>
      <w:r w:rsidRPr="00ED00CF" w:rsidR="00AC7CAE">
        <w:rPr>
          <w:rFonts w:ascii="Times New Roman" w:hAnsi="Times New Roman"/>
          <w:sz w:val="20"/>
          <w:szCs w:val="20"/>
        </w:rPr>
        <w:t xml:space="preserve"> a lease for land within an approved unit, t</w:t>
      </w:r>
      <w:r w:rsidRPr="00ED00CF" w:rsidR="00816E62">
        <w:rPr>
          <w:rFonts w:ascii="Times New Roman" w:hAnsi="Times New Roman"/>
          <w:sz w:val="20"/>
          <w:szCs w:val="20"/>
        </w:rPr>
        <w:t>he BLM</w:t>
      </w:r>
      <w:r w:rsidRPr="00ED00CF">
        <w:rPr>
          <w:rFonts w:ascii="Times New Roman" w:hAnsi="Times New Roman"/>
          <w:sz w:val="20"/>
          <w:szCs w:val="20"/>
        </w:rPr>
        <w:t xml:space="preserve"> require</w:t>
      </w:r>
      <w:r w:rsidRPr="00ED00CF" w:rsidR="00816E62">
        <w:rPr>
          <w:rFonts w:ascii="Times New Roman" w:hAnsi="Times New Roman"/>
          <w:sz w:val="20"/>
          <w:szCs w:val="20"/>
        </w:rPr>
        <w:t>s</w:t>
      </w:r>
      <w:r w:rsidRPr="00ED00CF">
        <w:rPr>
          <w:rFonts w:ascii="Times New Roman" w:hAnsi="Times New Roman"/>
          <w:sz w:val="20"/>
          <w:szCs w:val="20"/>
        </w:rPr>
        <w:t xml:space="preserve"> a statement as to whether a prospective oil and gas </w:t>
      </w:r>
      <w:r w:rsidRPr="00ED00CF" w:rsidR="00A17E2B">
        <w:rPr>
          <w:rFonts w:ascii="Times New Roman" w:hAnsi="Times New Roman"/>
          <w:sz w:val="20"/>
          <w:szCs w:val="20"/>
        </w:rPr>
        <w:t xml:space="preserve">lease </w:t>
      </w:r>
      <w:r w:rsidRPr="00ED00CF" w:rsidR="0026478D">
        <w:rPr>
          <w:rFonts w:ascii="Times New Roman" w:hAnsi="Times New Roman"/>
          <w:sz w:val="20"/>
          <w:szCs w:val="20"/>
        </w:rPr>
        <w:t xml:space="preserve">offeror </w:t>
      </w:r>
      <w:r w:rsidRPr="00ED00CF">
        <w:rPr>
          <w:rFonts w:ascii="Times New Roman" w:hAnsi="Times New Roman"/>
          <w:sz w:val="20"/>
          <w:szCs w:val="20"/>
        </w:rPr>
        <w:t>ha</w:t>
      </w:r>
      <w:r w:rsidRPr="00ED00CF" w:rsidR="00C9629E">
        <w:rPr>
          <w:rFonts w:ascii="Times New Roman" w:hAnsi="Times New Roman"/>
          <w:sz w:val="20"/>
          <w:szCs w:val="20"/>
        </w:rPr>
        <w:t xml:space="preserve">s joined in a unit agreement and unit operating agreement or a statement giving satisfactory reasons for the </w:t>
      </w:r>
      <w:r w:rsidRPr="00ED00CF" w:rsidR="00DC4566">
        <w:rPr>
          <w:rFonts w:ascii="Times New Roman" w:hAnsi="Times New Roman"/>
          <w:sz w:val="20"/>
          <w:szCs w:val="20"/>
        </w:rPr>
        <w:t>failure</w:t>
      </w:r>
      <w:r w:rsidRPr="00ED00CF" w:rsidR="00C9629E">
        <w:rPr>
          <w:rFonts w:ascii="Times New Roman" w:hAnsi="Times New Roman"/>
          <w:sz w:val="20"/>
          <w:szCs w:val="20"/>
        </w:rPr>
        <w:t xml:space="preserve"> to enter into such </w:t>
      </w:r>
      <w:r w:rsidRPr="00ED00CF" w:rsidR="00DC4566">
        <w:rPr>
          <w:rFonts w:ascii="Times New Roman" w:hAnsi="Times New Roman"/>
          <w:sz w:val="20"/>
          <w:szCs w:val="20"/>
        </w:rPr>
        <w:t>agreement</w:t>
      </w:r>
      <w:r w:rsidRPr="00ED00CF" w:rsidR="00C9629E">
        <w:rPr>
          <w:rFonts w:ascii="Times New Roman" w:hAnsi="Times New Roman"/>
          <w:sz w:val="20"/>
          <w:szCs w:val="20"/>
        </w:rPr>
        <w:t>.</w:t>
      </w:r>
    </w:p>
    <w:p w:rsidR="00E569D3" w:rsidRPr="00ED00CF" w:rsidP="00C9629E" w14:paraId="641AAC5F" w14:textId="77777777">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p>
    <w:p w:rsidR="001E60B6" w:rsidRPr="00ED00CF" w:rsidP="00E23A9B" w14:paraId="6E539DE3" w14:textId="127574A3">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r w:rsidRPr="00ED00CF">
        <w:rPr>
          <w:rFonts w:ascii="Times New Roman" w:hAnsi="Times New Roman"/>
          <w:sz w:val="20"/>
          <w:szCs w:val="20"/>
        </w:rPr>
        <w:t xml:space="preserve">Note: </w:t>
      </w:r>
      <w:r w:rsidRPr="00ED00CF" w:rsidR="00E23A9B">
        <w:rPr>
          <w:rFonts w:ascii="Times New Roman" w:hAnsi="Times New Roman"/>
          <w:sz w:val="20"/>
          <w:szCs w:val="20"/>
        </w:rPr>
        <w:t>As discussed below, t</w:t>
      </w:r>
      <w:r w:rsidRPr="00ED00CF">
        <w:rPr>
          <w:rFonts w:ascii="Times New Roman" w:hAnsi="Times New Roman"/>
          <w:sz w:val="20"/>
          <w:szCs w:val="20"/>
        </w:rPr>
        <w:t xml:space="preserve">he BLM collects </w:t>
      </w:r>
      <w:r w:rsidRPr="00ED00CF">
        <w:rPr>
          <w:rFonts w:ascii="Times New Roman" w:hAnsi="Times New Roman"/>
          <w:sz w:val="20"/>
          <w:szCs w:val="20"/>
        </w:rPr>
        <w:t>communitization</w:t>
      </w:r>
      <w:r w:rsidRPr="00ED00CF">
        <w:rPr>
          <w:rFonts w:ascii="Times New Roman" w:hAnsi="Times New Roman"/>
          <w:sz w:val="20"/>
          <w:szCs w:val="20"/>
        </w:rPr>
        <w:t xml:space="preserve"> and drilling agreeme</w:t>
      </w:r>
      <w:r w:rsidRPr="00ED00CF" w:rsidR="00E23A9B">
        <w:rPr>
          <w:rFonts w:ascii="Times New Roman" w:hAnsi="Times New Roman"/>
          <w:sz w:val="20"/>
          <w:szCs w:val="20"/>
        </w:rPr>
        <w:t>nts under 43 CFR 3105.</w:t>
      </w:r>
    </w:p>
    <w:p w:rsidR="00E23A9B" w:rsidP="00E23A9B" w14:paraId="18DD0474" w14:textId="77777777">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p>
    <w:p w:rsidR="00B26A3F" w:rsidRPr="00131AB8" w:rsidP="73A9246C" w14:paraId="059C4010" w14:textId="405C676E">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0"/>
          <w:szCs w:val="20"/>
        </w:rPr>
      </w:pPr>
      <w:r w:rsidRPr="00131AB8">
        <w:rPr>
          <w:rFonts w:ascii="Times New Roman" w:hAnsi="Times New Roman"/>
          <w:b/>
          <w:bCs/>
          <w:sz w:val="20"/>
          <w:szCs w:val="20"/>
        </w:rPr>
        <w:t>43 CFR 3102 – Qualification for Leases</w:t>
      </w:r>
      <w:r w:rsidR="004622FE">
        <w:rPr>
          <w:rFonts w:ascii="Times New Roman" w:hAnsi="Times New Roman"/>
          <w:b/>
          <w:bCs/>
          <w:sz w:val="20"/>
          <w:szCs w:val="20"/>
        </w:rPr>
        <w:t xml:space="preserve"> [</w:t>
      </w:r>
      <w:r w:rsidR="00657BF8">
        <w:rPr>
          <w:rFonts w:ascii="Times New Roman" w:hAnsi="Times New Roman"/>
          <w:b/>
          <w:bCs/>
          <w:sz w:val="20"/>
          <w:szCs w:val="20"/>
        </w:rPr>
        <w:t xml:space="preserve">PROPOSED TO </w:t>
      </w:r>
      <w:r w:rsidRPr="73A9246C" w:rsidR="004622FE">
        <w:rPr>
          <w:rFonts w:ascii="Times New Roman" w:hAnsi="Times New Roman"/>
          <w:b/>
          <w:bCs/>
          <w:sz w:val="20"/>
          <w:szCs w:val="20"/>
        </w:rPr>
        <w:t>MOVE</w:t>
      </w:r>
      <w:r w:rsidR="004622FE">
        <w:rPr>
          <w:rFonts w:ascii="Times New Roman" w:hAnsi="Times New Roman"/>
          <w:b/>
          <w:bCs/>
          <w:sz w:val="20"/>
          <w:szCs w:val="20"/>
        </w:rPr>
        <w:t xml:space="preserve"> FROM 3101]</w:t>
      </w:r>
    </w:p>
    <w:p w:rsidR="00B26A3F" w:rsidP="0028665D" w14:paraId="16C5A56C" w14:textId="77777777">
      <w:pPr>
        <w:pStyle w:val="Heading3"/>
        <w:ind w:left="0" w:firstLine="0"/>
        <w:rPr>
          <w:sz w:val="20"/>
          <w:szCs w:val="20"/>
        </w:rPr>
      </w:pPr>
    </w:p>
    <w:p w:rsidR="00B23818" w:rsidRPr="00267230" w:rsidP="00B23818" w14:paraId="7B33F8D4" w14:textId="045A4448">
      <w:pPr>
        <w:rPr>
          <w:sz w:val="20"/>
          <w:szCs w:val="20"/>
        </w:rPr>
      </w:pPr>
      <w:r w:rsidRPr="00267230">
        <w:rPr>
          <w:sz w:val="20"/>
          <w:szCs w:val="20"/>
        </w:rPr>
        <w:t xml:space="preserve">43 CFR 3102.54 – Proof of </w:t>
      </w:r>
      <w:r w:rsidRPr="008053A9">
        <w:rPr>
          <w:sz w:val="20"/>
          <w:szCs w:val="20"/>
        </w:rPr>
        <w:t>Acreage</w:t>
      </w:r>
      <w:r w:rsidRPr="00267230">
        <w:rPr>
          <w:sz w:val="20"/>
          <w:szCs w:val="20"/>
        </w:rPr>
        <w:t xml:space="preserve"> Reduction </w:t>
      </w:r>
    </w:p>
    <w:p w:rsidR="008053A9" w:rsidRPr="00267230" w:rsidP="00267230" w14:paraId="1F528BB6" w14:textId="77777777"/>
    <w:p w:rsidR="00FB40B0" w:rsidRPr="00ED00CF" w:rsidP="00FB40B0" w14:paraId="45BDAAFD"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r w:rsidRPr="00ED00CF">
        <w:rPr>
          <w:rFonts w:ascii="Times New Roman" w:hAnsi="Times New Roman"/>
          <w:sz w:val="20"/>
          <w:szCs w:val="20"/>
        </w:rPr>
        <w:t xml:space="preserve">This collection is associated with situations in which a party holds excess accountable acreage </w:t>
      </w:r>
      <w:r w:rsidRPr="00ED00CF">
        <w:rPr>
          <w:rFonts w:ascii="Times New Roman" w:hAnsi="Times New Roman"/>
          <w:sz w:val="20"/>
          <w:szCs w:val="20"/>
        </w:rPr>
        <w:t>as a result of</w:t>
      </w:r>
      <w:r w:rsidRPr="00ED00CF">
        <w:rPr>
          <w:rFonts w:ascii="Times New Roman" w:hAnsi="Times New Roman"/>
          <w:sz w:val="20"/>
          <w:szCs w:val="20"/>
        </w:rPr>
        <w:t>:</w:t>
      </w:r>
    </w:p>
    <w:p w:rsidR="00FB40B0" w:rsidRPr="00ED00CF" w:rsidP="00FB40B0" w14:paraId="185588E6"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p>
    <w:p w:rsidR="00FB40B0" w:rsidRPr="00ED00CF" w:rsidP="004622FE" w14:paraId="2471A2FE" w14:textId="77777777">
      <w:pPr>
        <w:widowControl/>
        <w:numPr>
          <w:ilvl w:val="0"/>
          <w:numId w:val="54"/>
        </w:num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r w:rsidRPr="00ED00CF">
        <w:rPr>
          <w:rFonts w:ascii="Times New Roman" w:hAnsi="Times New Roman"/>
          <w:sz w:val="20"/>
          <w:szCs w:val="20"/>
        </w:rPr>
        <w:t xml:space="preserve">The termination or contraction of an oil and gas </w:t>
      </w:r>
      <w:r w:rsidRPr="00ED00CF">
        <w:rPr>
          <w:rFonts w:ascii="Times New Roman" w:hAnsi="Times New Roman"/>
          <w:sz w:val="20"/>
          <w:szCs w:val="20"/>
        </w:rPr>
        <w:t>agreement;</w:t>
      </w:r>
    </w:p>
    <w:p w:rsidR="00FB40B0" w:rsidRPr="00ED00CF" w:rsidP="004622FE" w14:paraId="3686B008" w14:textId="77777777">
      <w:pPr>
        <w:widowControl/>
        <w:numPr>
          <w:ilvl w:val="0"/>
          <w:numId w:val="54"/>
        </w:num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r w:rsidRPr="00ED00CF">
        <w:rPr>
          <w:rFonts w:ascii="Times New Roman" w:hAnsi="Times New Roman"/>
          <w:sz w:val="20"/>
          <w:szCs w:val="20"/>
        </w:rPr>
        <w:t>The elimination of a lease from an operating, drilling, or development plan; or</w:t>
      </w:r>
    </w:p>
    <w:p w:rsidR="00FB40B0" w:rsidRPr="00ED00CF" w:rsidP="004622FE" w14:paraId="681C00DD" w14:textId="449297FA">
      <w:pPr>
        <w:widowControl/>
        <w:numPr>
          <w:ilvl w:val="0"/>
          <w:numId w:val="54"/>
        </w:num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r w:rsidRPr="00ED00CF">
        <w:rPr>
          <w:rFonts w:ascii="Times New Roman" w:hAnsi="Times New Roman"/>
          <w:sz w:val="20"/>
          <w:szCs w:val="20"/>
        </w:rPr>
        <w:t xml:space="preserve">A merger or the purchase of </w:t>
      </w:r>
      <w:r w:rsidRPr="00ED00CF">
        <w:rPr>
          <w:rFonts w:ascii="Times New Roman" w:hAnsi="Times New Roman"/>
          <w:sz w:val="20"/>
          <w:szCs w:val="20"/>
        </w:rPr>
        <w:t>the</w:t>
      </w:r>
      <w:r w:rsidRPr="00ED00CF">
        <w:rPr>
          <w:rFonts w:ascii="Times New Roman" w:hAnsi="Times New Roman"/>
          <w:sz w:val="20"/>
          <w:szCs w:val="20"/>
        </w:rPr>
        <w:t xml:space="preserve"> controlling interest in a corporation</w:t>
      </w:r>
      <w:r w:rsidR="00AA332F">
        <w:rPr>
          <w:rFonts w:ascii="Times New Roman" w:hAnsi="Times New Roman"/>
          <w:sz w:val="20"/>
          <w:szCs w:val="20"/>
        </w:rPr>
        <w:t>.</w:t>
      </w:r>
    </w:p>
    <w:p w:rsidR="00FB40B0" w:rsidRPr="00ED00CF" w:rsidP="00FB40B0" w14:paraId="155A15F3"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p>
    <w:p w:rsidR="00FB40B0" w:rsidRPr="00ED00CF" w:rsidP="00FB40B0" w14:paraId="3C08C1D3" w14:textId="77777777">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r w:rsidRPr="00ED00CF">
        <w:rPr>
          <w:rFonts w:ascii="Times New Roman" w:hAnsi="Times New Roman"/>
          <w:sz w:val="20"/>
          <w:szCs w:val="20"/>
        </w:rPr>
        <w:t>Within 90 days of acquiring excess accountable acreage under the first or second scenario, the acquiring party must reduce the holdings to the prescribed limitation and must file proof of the reduction with the BLM. The deadline for reducing excess acreage and filing proof is 180 days under the third scenario.</w:t>
      </w:r>
    </w:p>
    <w:p w:rsidR="00127514" w:rsidRPr="00127514" w:rsidP="00127514" w14:paraId="17EA50FB" w14:textId="77777777"/>
    <w:p w:rsidR="00B26A3F" w:rsidRPr="00B26A3F" w:rsidP="00D765E9" w14:paraId="2E46CF4D" w14:textId="0CE665A1">
      <w:pPr>
        <w:pStyle w:val="Heading3"/>
        <w:rPr>
          <w:b w:val="0"/>
          <w:bCs w:val="0"/>
          <w:sz w:val="20"/>
          <w:szCs w:val="20"/>
          <w:u w:val="single"/>
        </w:rPr>
      </w:pPr>
      <w:r w:rsidRPr="00B26A3F">
        <w:rPr>
          <w:b w:val="0"/>
          <w:bCs w:val="0"/>
          <w:sz w:val="20"/>
          <w:szCs w:val="20"/>
          <w:u w:val="single"/>
        </w:rPr>
        <w:t>43 CFR 3102.54 – Excess Acreage-</w:t>
      </w:r>
      <w:r w:rsidRPr="73A9246C" w:rsidR="6B7F1312">
        <w:rPr>
          <w:b w:val="0"/>
          <w:bCs w:val="0"/>
          <w:sz w:val="20"/>
          <w:szCs w:val="20"/>
          <w:u w:val="single"/>
        </w:rPr>
        <w:t>Petition</w:t>
      </w:r>
      <w:r w:rsidRPr="00B26A3F">
        <w:rPr>
          <w:b w:val="0"/>
          <w:bCs w:val="0"/>
          <w:sz w:val="20"/>
          <w:szCs w:val="20"/>
          <w:u w:val="single"/>
        </w:rPr>
        <w:t xml:space="preserve"> for Additional Time to Divest </w:t>
      </w:r>
      <w:r w:rsidR="0075344D">
        <w:rPr>
          <w:b w:val="0"/>
          <w:bCs w:val="0"/>
          <w:sz w:val="20"/>
          <w:szCs w:val="20"/>
          <w:u w:val="single"/>
        </w:rPr>
        <w:t>[</w:t>
      </w:r>
      <w:r w:rsidRPr="73A9246C" w:rsidR="4B1DA6F0">
        <w:rPr>
          <w:b w:val="0"/>
          <w:bCs w:val="0"/>
          <w:sz w:val="20"/>
          <w:szCs w:val="20"/>
          <w:u w:val="single"/>
        </w:rPr>
        <w:t xml:space="preserve">PROPOSED TO </w:t>
      </w:r>
      <w:r w:rsidRPr="73A9246C" w:rsidR="00271538">
        <w:rPr>
          <w:b w:val="0"/>
          <w:bCs w:val="0"/>
          <w:sz w:val="20"/>
          <w:szCs w:val="20"/>
          <w:u w:val="single"/>
        </w:rPr>
        <w:t>MOVE</w:t>
      </w:r>
      <w:r w:rsidR="00271538">
        <w:rPr>
          <w:b w:val="0"/>
          <w:bCs w:val="0"/>
          <w:sz w:val="20"/>
          <w:szCs w:val="20"/>
          <w:u w:val="single"/>
        </w:rPr>
        <w:t xml:space="preserve"> FROM </w:t>
      </w:r>
      <w:r w:rsidR="0075344D">
        <w:rPr>
          <w:b w:val="0"/>
          <w:bCs w:val="0"/>
          <w:sz w:val="20"/>
          <w:szCs w:val="20"/>
          <w:u w:val="single"/>
        </w:rPr>
        <w:t>3101</w:t>
      </w:r>
      <w:r w:rsidRPr="00B26A3F">
        <w:rPr>
          <w:b w:val="0"/>
          <w:bCs w:val="0"/>
          <w:sz w:val="20"/>
          <w:szCs w:val="20"/>
          <w:u w:val="single"/>
        </w:rPr>
        <w:t>]</w:t>
      </w:r>
    </w:p>
    <w:p w:rsidR="00B26A3F" w:rsidRPr="00B26A3F" w:rsidP="00B26A3F" w14:paraId="2C42D3FE" w14:textId="77777777">
      <w:pPr>
        <w:rPr>
          <w:sz w:val="20"/>
          <w:szCs w:val="20"/>
        </w:rPr>
      </w:pPr>
    </w:p>
    <w:p w:rsidR="00B26A3F" w:rsidRPr="00B26A3F" w:rsidP="00B26A3F" w14:paraId="710EF98F" w14:textId="1287F34C">
      <w:pPr>
        <w:rPr>
          <w:sz w:val="20"/>
          <w:szCs w:val="20"/>
        </w:rPr>
      </w:pPr>
      <w:r w:rsidRPr="00B26A3F">
        <w:rPr>
          <w:sz w:val="20"/>
          <w:szCs w:val="20"/>
        </w:rPr>
        <w:t xml:space="preserve">Where, as the result of the termination or contraction of an oil and gas agreement or the elimination of a lease from an operating, drilling, or development contract, a party holds or controls excess accountable acreage, that party will have 90 calendar days from the date of termination, contraction or elimination, to reduce the holdings to the prescribed limitation and to file proof of the reduction in the proper BLM office. Where, </w:t>
      </w:r>
      <w:r w:rsidRPr="00B26A3F">
        <w:rPr>
          <w:sz w:val="20"/>
          <w:szCs w:val="20"/>
        </w:rPr>
        <w:t>as a result of</w:t>
      </w:r>
      <w:r w:rsidRPr="00B26A3F">
        <w:rPr>
          <w:sz w:val="20"/>
          <w:szCs w:val="20"/>
        </w:rPr>
        <w:t xml:space="preserve"> a merger or the purchase of the controlling interest in a corporation, a party acquired acreage </w:t>
      </w:r>
      <w:r w:rsidRPr="00B26A3F">
        <w:rPr>
          <w:sz w:val="20"/>
          <w:szCs w:val="20"/>
        </w:rPr>
        <w:t>in excess of</w:t>
      </w:r>
      <w:r w:rsidRPr="00B26A3F">
        <w:rPr>
          <w:sz w:val="20"/>
          <w:szCs w:val="20"/>
        </w:rPr>
        <w:t xml:space="preserve"> the amount permitted, the party holding the excess acreage will have 180 calendar days from the date of the merger or purchase to divest the excess acreage. If additional time is required to complete the </w:t>
      </w:r>
      <w:r w:rsidRPr="00B26A3F">
        <w:rPr>
          <w:sz w:val="20"/>
          <w:szCs w:val="20"/>
        </w:rPr>
        <w:t>divestiture</w:t>
      </w:r>
      <w:r w:rsidRPr="00B26A3F">
        <w:rPr>
          <w:sz w:val="20"/>
          <w:szCs w:val="20"/>
        </w:rPr>
        <w:t xml:space="preserve"> of the excess acreage, a petition requesting additional time, along with a full justification for the additional time, may be filed with the authorized officer prior to the termination of the 180 days provided.</w:t>
      </w:r>
    </w:p>
    <w:p w:rsidR="00B26A3F" w:rsidRPr="009A551C" w:rsidP="009A551C" w14:paraId="3ED6913F" w14:textId="77777777"/>
    <w:p w:rsidR="00B26A3F" w:rsidRPr="00ED00CF" w:rsidP="73A9246C" w14:paraId="2A54DA8D" w14:textId="7DC8967F">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r>
        <w:rPr>
          <w:rFonts w:ascii="Times New Roman" w:hAnsi="Times New Roman"/>
          <w:sz w:val="20"/>
          <w:szCs w:val="20"/>
        </w:rPr>
        <w:t xml:space="preserve">This information collection requirement was moved from </w:t>
      </w:r>
      <w:r w:rsidR="0032241A">
        <w:rPr>
          <w:rFonts w:ascii="Times New Roman" w:hAnsi="Times New Roman"/>
          <w:sz w:val="20"/>
          <w:szCs w:val="20"/>
        </w:rPr>
        <w:t>43 CFR 3101</w:t>
      </w:r>
      <w:r w:rsidR="003136B5">
        <w:rPr>
          <w:rFonts w:ascii="Times New Roman" w:hAnsi="Times New Roman"/>
          <w:sz w:val="20"/>
          <w:szCs w:val="20"/>
        </w:rPr>
        <w:t>, Issuance of Leases to 43 CFR 3102</w:t>
      </w:r>
      <w:r w:rsidR="00956437">
        <w:rPr>
          <w:rFonts w:ascii="Times New Roman" w:hAnsi="Times New Roman"/>
          <w:sz w:val="20"/>
          <w:szCs w:val="20"/>
        </w:rPr>
        <w:t xml:space="preserve">, Qualifications of Lessees, </w:t>
      </w:r>
      <w:r w:rsidRPr="00F326D8" w:rsidR="00F326D8">
        <w:rPr>
          <w:rFonts w:ascii="Times New Roman" w:hAnsi="Times New Roman"/>
          <w:sz w:val="20"/>
          <w:szCs w:val="20"/>
        </w:rPr>
        <w:t>because acreage limitations can also affect post-leasing actions such as assignments, transfers and reinstatements</w:t>
      </w:r>
      <w:r w:rsidR="00EF6E55">
        <w:rPr>
          <w:rFonts w:ascii="Times New Roman" w:hAnsi="Times New Roman"/>
          <w:sz w:val="20"/>
          <w:szCs w:val="20"/>
        </w:rPr>
        <w:t>,</w:t>
      </w:r>
      <w:r w:rsidR="0032241A">
        <w:rPr>
          <w:rFonts w:ascii="Times New Roman" w:hAnsi="Times New Roman"/>
          <w:sz w:val="20"/>
          <w:szCs w:val="20"/>
        </w:rPr>
        <w:t xml:space="preserve"> and is substantively unchanged</w:t>
      </w:r>
      <w:r w:rsidR="002C6785">
        <w:rPr>
          <w:rFonts w:ascii="Times New Roman" w:hAnsi="Times New Roman"/>
          <w:sz w:val="20"/>
          <w:szCs w:val="20"/>
        </w:rPr>
        <w:t>.</w:t>
      </w:r>
      <w:r>
        <w:rPr>
          <w:rFonts w:ascii="Times New Roman" w:hAnsi="Times New Roman"/>
          <w:sz w:val="20"/>
          <w:szCs w:val="20"/>
        </w:rPr>
        <w:t xml:space="preserve"> </w:t>
      </w:r>
    </w:p>
    <w:p w:rsidR="00DB6F4E" w:rsidRPr="00DB6F4E" w:rsidP="00D90043" w14:paraId="40DB9E44" w14:textId="2C7DD75C">
      <w:pPr>
        <w:pStyle w:val="Heading3"/>
        <w:ind w:left="0" w:firstLine="0"/>
        <w:rPr>
          <w:sz w:val="20"/>
          <w:szCs w:val="20"/>
        </w:rPr>
      </w:pPr>
    </w:p>
    <w:p w:rsidR="00884528" w:rsidRPr="00ED00CF" w:rsidP="00D765E9" w14:paraId="72009AB3" w14:textId="077EDA41">
      <w:pPr>
        <w:pStyle w:val="Heading3"/>
        <w:rPr>
          <w:sz w:val="20"/>
          <w:szCs w:val="20"/>
        </w:rPr>
      </w:pPr>
      <w:r w:rsidRPr="00ED00CF">
        <w:rPr>
          <w:sz w:val="20"/>
          <w:szCs w:val="20"/>
        </w:rPr>
        <w:t>43 CFR 3103 — Fees, Rentals</w:t>
      </w:r>
      <w:r w:rsidRPr="00ED00CF" w:rsidR="00C047C9">
        <w:rPr>
          <w:sz w:val="20"/>
          <w:szCs w:val="20"/>
        </w:rPr>
        <w:t>,</w:t>
      </w:r>
      <w:r w:rsidRPr="00ED00CF">
        <w:rPr>
          <w:sz w:val="20"/>
          <w:szCs w:val="20"/>
        </w:rPr>
        <w:t xml:space="preserve"> and Royalty</w:t>
      </w:r>
    </w:p>
    <w:p w:rsidR="00884528" w:rsidRPr="00ED00CF" w:rsidP="001E60B6" w14:paraId="1C3BA696"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p>
    <w:p w:rsidR="00DF7D22" w:rsidRPr="00ED00CF" w:rsidP="00AE3AE4" w14:paraId="37728F27" w14:textId="0F84AEB6">
      <w:pPr>
        <w:pStyle w:val="Heading4"/>
        <w:numPr>
          <w:ilvl w:val="0"/>
          <w:numId w:val="0"/>
        </w:numPr>
        <w:rPr>
          <w:sz w:val="20"/>
          <w:szCs w:val="20"/>
        </w:rPr>
      </w:pPr>
      <w:r w:rsidRPr="00ED00CF">
        <w:rPr>
          <w:sz w:val="20"/>
          <w:szCs w:val="20"/>
        </w:rPr>
        <w:t xml:space="preserve">43 CFR </w:t>
      </w:r>
      <w:r w:rsidRPr="00ED00CF" w:rsidR="001E60B6">
        <w:rPr>
          <w:sz w:val="20"/>
          <w:szCs w:val="20"/>
        </w:rPr>
        <w:t>3103.</w:t>
      </w:r>
      <w:r w:rsidR="000731B8">
        <w:rPr>
          <w:sz w:val="20"/>
          <w:szCs w:val="20"/>
        </w:rPr>
        <w:t>4</w:t>
      </w:r>
      <w:r w:rsidRPr="00ED00CF" w:rsidR="007454D6">
        <w:rPr>
          <w:sz w:val="20"/>
          <w:szCs w:val="20"/>
        </w:rPr>
        <w:t>1</w:t>
      </w:r>
      <w:r w:rsidRPr="00ED00CF" w:rsidR="001E60B6">
        <w:rPr>
          <w:sz w:val="20"/>
          <w:szCs w:val="20"/>
        </w:rPr>
        <w:t xml:space="preserve"> </w:t>
      </w:r>
      <w:r w:rsidR="000731B8">
        <w:rPr>
          <w:sz w:val="20"/>
          <w:szCs w:val="20"/>
        </w:rPr>
        <w:t xml:space="preserve">and 3103.42 </w:t>
      </w:r>
      <w:r w:rsidRPr="00ED00CF" w:rsidR="00980647">
        <w:rPr>
          <w:sz w:val="20"/>
          <w:szCs w:val="20"/>
        </w:rPr>
        <w:t>—</w:t>
      </w:r>
      <w:r w:rsidRPr="00ED00CF" w:rsidR="001E60B6">
        <w:rPr>
          <w:sz w:val="20"/>
          <w:szCs w:val="20"/>
        </w:rPr>
        <w:t xml:space="preserve"> </w:t>
      </w:r>
      <w:r w:rsidRPr="00ED00CF" w:rsidR="00A41C88">
        <w:rPr>
          <w:sz w:val="20"/>
          <w:szCs w:val="20"/>
        </w:rPr>
        <w:t>Waiver, Suspension, or R</w:t>
      </w:r>
      <w:r w:rsidRPr="00ED00CF" w:rsidR="002C15D5">
        <w:rPr>
          <w:sz w:val="20"/>
          <w:szCs w:val="20"/>
        </w:rPr>
        <w:t xml:space="preserve">eduction of </w:t>
      </w:r>
      <w:r w:rsidRPr="00ED00CF" w:rsidR="00A41C88">
        <w:rPr>
          <w:sz w:val="20"/>
          <w:szCs w:val="20"/>
        </w:rPr>
        <w:t>R</w:t>
      </w:r>
      <w:r w:rsidRPr="00ED00CF" w:rsidR="002C15D5">
        <w:rPr>
          <w:sz w:val="20"/>
          <w:szCs w:val="20"/>
        </w:rPr>
        <w:t xml:space="preserve">ental or </w:t>
      </w:r>
      <w:r w:rsidRPr="00ED00CF" w:rsidR="00A41C88">
        <w:rPr>
          <w:sz w:val="20"/>
          <w:szCs w:val="20"/>
        </w:rPr>
        <w:t>R</w:t>
      </w:r>
      <w:r w:rsidRPr="00ED00CF" w:rsidR="002C15D5">
        <w:rPr>
          <w:sz w:val="20"/>
          <w:szCs w:val="20"/>
        </w:rPr>
        <w:t>oyalty</w:t>
      </w:r>
    </w:p>
    <w:p w:rsidR="00DF7D22" w:rsidRPr="00ED00CF" w:rsidP="001E60B6" w14:paraId="40EA89A9"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u w:val="single"/>
        </w:rPr>
      </w:pPr>
    </w:p>
    <w:p w:rsidR="001E60B6" w:rsidRPr="00ED00CF" w:rsidP="001E60B6" w14:paraId="00AFDE9B" w14:textId="2092EE26">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r w:rsidRPr="00ED00CF">
        <w:rPr>
          <w:rFonts w:ascii="Times New Roman" w:hAnsi="Times New Roman"/>
          <w:sz w:val="20"/>
          <w:szCs w:val="20"/>
        </w:rPr>
        <w:t>T</w:t>
      </w:r>
      <w:r w:rsidRPr="00ED00CF" w:rsidR="00E66211">
        <w:rPr>
          <w:rFonts w:ascii="Times New Roman" w:hAnsi="Times New Roman"/>
          <w:sz w:val="20"/>
          <w:szCs w:val="20"/>
        </w:rPr>
        <w:t>he BLM may waive, suspend, or reduce the rental or minimum royalty, or reduce the royalty, on a leasehold or portion thereof</w:t>
      </w:r>
      <w:r w:rsidRPr="00ED00CF">
        <w:rPr>
          <w:rFonts w:ascii="Times New Roman" w:hAnsi="Times New Roman"/>
          <w:sz w:val="20"/>
          <w:szCs w:val="20"/>
        </w:rPr>
        <w:t xml:space="preserve"> if an operator/payor files an application that enables the BLM to determine that: (1) such action is </w:t>
      </w:r>
      <w:r w:rsidRPr="00ED00CF" w:rsidR="00E66211">
        <w:rPr>
          <w:rFonts w:ascii="Times New Roman" w:hAnsi="Times New Roman"/>
          <w:sz w:val="20"/>
          <w:szCs w:val="20"/>
        </w:rPr>
        <w:t xml:space="preserve">necessary to promote development of oil or gas resources, or </w:t>
      </w:r>
      <w:r w:rsidRPr="00ED00CF">
        <w:rPr>
          <w:rFonts w:ascii="Times New Roman" w:hAnsi="Times New Roman"/>
          <w:sz w:val="20"/>
          <w:szCs w:val="20"/>
        </w:rPr>
        <w:t xml:space="preserve">(2) </w:t>
      </w:r>
      <w:r w:rsidRPr="00ED00CF" w:rsidR="00E66211">
        <w:rPr>
          <w:rFonts w:ascii="Times New Roman" w:hAnsi="Times New Roman"/>
          <w:sz w:val="20"/>
          <w:szCs w:val="20"/>
        </w:rPr>
        <w:t xml:space="preserve">the relevant lease or leases cannot be </w:t>
      </w:r>
      <w:r w:rsidRPr="00ED00CF" w:rsidR="007454D6">
        <w:rPr>
          <w:rFonts w:ascii="Times New Roman" w:hAnsi="Times New Roman"/>
          <w:sz w:val="20"/>
          <w:szCs w:val="20"/>
        </w:rPr>
        <w:t>economically</w:t>
      </w:r>
      <w:r w:rsidRPr="00ED00CF" w:rsidR="00E66211">
        <w:rPr>
          <w:rFonts w:ascii="Times New Roman" w:hAnsi="Times New Roman"/>
          <w:sz w:val="20"/>
          <w:szCs w:val="20"/>
        </w:rPr>
        <w:t xml:space="preserve"> operated under the terms provided therein.</w:t>
      </w:r>
    </w:p>
    <w:p w:rsidR="00E66211" w:rsidRPr="00ED00CF" w:rsidP="001E60B6" w14:paraId="75FB9B59"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p>
    <w:p w:rsidR="00E66211" w:rsidRPr="00ED00CF" w:rsidP="001E60B6" w14:paraId="5083AAA1"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r w:rsidRPr="00ED00CF">
        <w:rPr>
          <w:rFonts w:ascii="Times New Roman" w:hAnsi="Times New Roman"/>
          <w:sz w:val="20"/>
          <w:szCs w:val="20"/>
        </w:rPr>
        <w:t>Each application must include:</w:t>
      </w:r>
    </w:p>
    <w:p w:rsidR="00E66211" w:rsidRPr="00ED00CF" w:rsidP="00417A74" w14:paraId="391056F6" w14:textId="77777777">
      <w:pPr>
        <w:widowControl/>
        <w:numPr>
          <w:ilvl w:val="0"/>
          <w:numId w:val="8"/>
        </w:num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sz w:val="20"/>
          <w:szCs w:val="20"/>
        </w:rPr>
      </w:pPr>
      <w:r w:rsidRPr="00ED00CF">
        <w:rPr>
          <w:rFonts w:ascii="Times New Roman" w:hAnsi="Times New Roman"/>
          <w:sz w:val="20"/>
          <w:szCs w:val="20"/>
        </w:rPr>
        <w:t xml:space="preserve">The serial number of the </w:t>
      </w:r>
      <w:r w:rsidRPr="00ED00CF">
        <w:rPr>
          <w:rFonts w:ascii="Times New Roman" w:hAnsi="Times New Roman"/>
          <w:sz w:val="20"/>
          <w:szCs w:val="20"/>
        </w:rPr>
        <w:t>leases;</w:t>
      </w:r>
    </w:p>
    <w:p w:rsidR="002A4310" w:rsidRPr="00ED00CF" w:rsidP="00417A74" w14:paraId="42E4EA1E" w14:textId="77777777">
      <w:pPr>
        <w:widowControl/>
        <w:numPr>
          <w:ilvl w:val="0"/>
          <w:numId w:val="8"/>
        </w:num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sz w:val="20"/>
          <w:szCs w:val="20"/>
        </w:rPr>
      </w:pPr>
      <w:r w:rsidRPr="00ED00CF">
        <w:rPr>
          <w:rFonts w:ascii="Times New Roman" w:hAnsi="Times New Roman"/>
          <w:sz w:val="20"/>
          <w:szCs w:val="20"/>
        </w:rPr>
        <w:t>The names of the record title holders, operating rights owners (sublessees</w:t>
      </w:r>
      <w:r w:rsidRPr="00ED00CF" w:rsidR="00DF7D22">
        <w:rPr>
          <w:rFonts w:ascii="Times New Roman" w:hAnsi="Times New Roman"/>
          <w:sz w:val="20"/>
          <w:szCs w:val="20"/>
        </w:rPr>
        <w:t>)</w:t>
      </w:r>
      <w:r w:rsidRPr="00ED00CF" w:rsidR="00B8294C">
        <w:rPr>
          <w:rFonts w:ascii="Times New Roman" w:hAnsi="Times New Roman"/>
          <w:sz w:val="20"/>
          <w:szCs w:val="20"/>
        </w:rPr>
        <w:t xml:space="preserve">, and </w:t>
      </w:r>
      <w:r w:rsidRPr="00ED00CF" w:rsidR="00B8294C">
        <w:rPr>
          <w:rFonts w:ascii="Times New Roman" w:hAnsi="Times New Roman"/>
          <w:sz w:val="20"/>
          <w:szCs w:val="20"/>
        </w:rPr>
        <w:t>operators;</w:t>
      </w:r>
    </w:p>
    <w:p w:rsidR="00DF7D22" w:rsidRPr="00ED00CF" w:rsidP="00417A74" w14:paraId="62F65710" w14:textId="77777777">
      <w:pPr>
        <w:widowControl/>
        <w:numPr>
          <w:ilvl w:val="0"/>
          <w:numId w:val="8"/>
        </w:num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sz w:val="20"/>
          <w:szCs w:val="20"/>
        </w:rPr>
      </w:pPr>
      <w:r w:rsidRPr="00ED00CF">
        <w:rPr>
          <w:rFonts w:ascii="Times New Roman" w:hAnsi="Times New Roman"/>
          <w:sz w:val="20"/>
          <w:szCs w:val="20"/>
        </w:rPr>
        <w:t xml:space="preserve">The description of </w:t>
      </w:r>
      <w:r w:rsidRPr="00ED00CF">
        <w:rPr>
          <w:rFonts w:ascii="Times New Roman" w:hAnsi="Times New Roman"/>
          <w:sz w:val="20"/>
          <w:szCs w:val="20"/>
        </w:rPr>
        <w:t>lands</w:t>
      </w:r>
      <w:r w:rsidRPr="00ED00CF">
        <w:rPr>
          <w:rFonts w:ascii="Times New Roman" w:hAnsi="Times New Roman"/>
          <w:sz w:val="20"/>
          <w:szCs w:val="20"/>
        </w:rPr>
        <w:t xml:space="preserve"> by legal </w:t>
      </w:r>
      <w:r w:rsidRPr="00ED00CF">
        <w:rPr>
          <w:rFonts w:ascii="Times New Roman" w:hAnsi="Times New Roman"/>
          <w:sz w:val="20"/>
          <w:szCs w:val="20"/>
        </w:rPr>
        <w:t>subdivision;</w:t>
      </w:r>
    </w:p>
    <w:p w:rsidR="00B8294C" w:rsidRPr="00ED00CF" w:rsidP="00417A74" w14:paraId="1F76FCAC" w14:textId="77777777">
      <w:pPr>
        <w:widowControl/>
        <w:numPr>
          <w:ilvl w:val="0"/>
          <w:numId w:val="8"/>
        </w:num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sz w:val="20"/>
          <w:szCs w:val="20"/>
        </w:rPr>
      </w:pPr>
      <w:r w:rsidRPr="00ED00CF">
        <w:rPr>
          <w:rFonts w:ascii="Times New Roman" w:hAnsi="Times New Roman"/>
          <w:sz w:val="20"/>
          <w:szCs w:val="20"/>
        </w:rPr>
        <w:t xml:space="preserve">A description of the relief </w:t>
      </w:r>
      <w:r w:rsidRPr="00ED00CF">
        <w:rPr>
          <w:rFonts w:ascii="Times New Roman" w:hAnsi="Times New Roman"/>
          <w:sz w:val="20"/>
          <w:szCs w:val="20"/>
        </w:rPr>
        <w:t>requested;</w:t>
      </w:r>
    </w:p>
    <w:p w:rsidR="00B8294C" w:rsidRPr="00ED00CF" w:rsidP="00417A74" w14:paraId="32C80FA1" w14:textId="77777777">
      <w:pPr>
        <w:widowControl/>
        <w:numPr>
          <w:ilvl w:val="0"/>
          <w:numId w:val="8"/>
        </w:num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sz w:val="20"/>
          <w:szCs w:val="20"/>
        </w:rPr>
      </w:pPr>
      <w:r w:rsidRPr="00ED00CF">
        <w:rPr>
          <w:rFonts w:ascii="Times New Roman" w:hAnsi="Times New Roman"/>
          <w:sz w:val="20"/>
          <w:szCs w:val="20"/>
        </w:rPr>
        <w:t xml:space="preserve">The number, location, and status of each well </w:t>
      </w:r>
      <w:r w:rsidRPr="00ED00CF">
        <w:rPr>
          <w:rFonts w:ascii="Times New Roman" w:hAnsi="Times New Roman"/>
          <w:sz w:val="20"/>
          <w:szCs w:val="20"/>
        </w:rPr>
        <w:t>drilled;</w:t>
      </w:r>
    </w:p>
    <w:p w:rsidR="00B8294C" w:rsidRPr="00ED00CF" w:rsidP="00417A74" w14:paraId="400C4F5B" w14:textId="2ADB8234">
      <w:pPr>
        <w:widowControl/>
        <w:numPr>
          <w:ilvl w:val="0"/>
          <w:numId w:val="8"/>
        </w:num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sz w:val="20"/>
          <w:szCs w:val="20"/>
        </w:rPr>
      </w:pPr>
      <w:r w:rsidRPr="00ED00CF">
        <w:rPr>
          <w:rFonts w:ascii="Times New Roman" w:hAnsi="Times New Roman"/>
          <w:sz w:val="20"/>
          <w:szCs w:val="20"/>
        </w:rPr>
        <w:t xml:space="preserve">A tabulated statement for each month, covering a period of not less than </w:t>
      </w:r>
      <w:r w:rsidRPr="00ED00CF" w:rsidR="00E670D3">
        <w:rPr>
          <w:rFonts w:ascii="Times New Roman" w:hAnsi="Times New Roman"/>
          <w:sz w:val="20"/>
          <w:szCs w:val="20"/>
        </w:rPr>
        <w:t xml:space="preserve">six </w:t>
      </w:r>
      <w:r w:rsidRPr="00ED00CF">
        <w:rPr>
          <w:rFonts w:ascii="Times New Roman" w:hAnsi="Times New Roman"/>
          <w:sz w:val="20"/>
          <w:szCs w:val="20"/>
        </w:rPr>
        <w:t>months prior to the date of filing the application, showing the aggregate amount or oil or gas subject to royalty, the number of wells counted as producing each month, and the average production per well per day;</w:t>
      </w:r>
      <w:r w:rsidRPr="00ED00CF" w:rsidR="00E670D3">
        <w:rPr>
          <w:rFonts w:ascii="Times New Roman" w:hAnsi="Times New Roman"/>
          <w:sz w:val="20"/>
          <w:szCs w:val="20"/>
        </w:rPr>
        <w:t xml:space="preserve"> and</w:t>
      </w:r>
    </w:p>
    <w:p w:rsidR="00B8294C" w:rsidRPr="00ED00CF" w:rsidP="00417A74" w14:paraId="334D34EB" w14:textId="56B691B6">
      <w:pPr>
        <w:widowControl/>
        <w:numPr>
          <w:ilvl w:val="0"/>
          <w:numId w:val="8"/>
        </w:num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sz w:val="20"/>
          <w:szCs w:val="20"/>
        </w:rPr>
      </w:pPr>
      <w:r w:rsidRPr="00ED00CF">
        <w:rPr>
          <w:rFonts w:ascii="Times New Roman" w:hAnsi="Times New Roman"/>
          <w:sz w:val="20"/>
          <w:szCs w:val="20"/>
        </w:rPr>
        <w:t xml:space="preserve">A detailed statement </w:t>
      </w:r>
      <w:r w:rsidRPr="00ED00CF">
        <w:rPr>
          <w:rFonts w:ascii="Times New Roman" w:hAnsi="Times New Roman"/>
          <w:sz w:val="20"/>
          <w:szCs w:val="20"/>
        </w:rPr>
        <w:t>of</w:t>
      </w:r>
      <w:r w:rsidRPr="00ED00CF">
        <w:rPr>
          <w:rFonts w:ascii="Times New Roman" w:hAnsi="Times New Roman"/>
          <w:sz w:val="20"/>
          <w:szCs w:val="20"/>
        </w:rPr>
        <w:t xml:space="preserve"> expenses and costs of operating the entire lease, the income from the sale of any production, and all facts tending to show whether the wells can be successfully operated upon the fixed royalty or rental</w:t>
      </w:r>
      <w:r w:rsidR="009A551C">
        <w:rPr>
          <w:rFonts w:ascii="Times New Roman" w:hAnsi="Times New Roman"/>
          <w:sz w:val="20"/>
          <w:szCs w:val="20"/>
        </w:rPr>
        <w:t>.</w:t>
      </w:r>
    </w:p>
    <w:p w:rsidR="00B8294C" w:rsidRPr="00ED00CF" w:rsidP="00B8294C" w14:paraId="33F3F390"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p>
    <w:p w:rsidR="002F06CA" w:rsidRPr="00ED00CF" w:rsidP="002F06CA" w14:paraId="30D3AD23"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r w:rsidRPr="00ED00CF">
        <w:rPr>
          <w:rFonts w:ascii="Times New Roman" w:hAnsi="Times New Roman"/>
          <w:sz w:val="20"/>
          <w:szCs w:val="20"/>
        </w:rPr>
        <w:t xml:space="preserve">Where the application is for a reduction in royalty, the applicant must </w:t>
      </w:r>
      <w:r w:rsidRPr="00ED00CF" w:rsidR="00DF122D">
        <w:rPr>
          <w:rFonts w:ascii="Times New Roman" w:hAnsi="Times New Roman"/>
          <w:sz w:val="20"/>
          <w:szCs w:val="20"/>
        </w:rPr>
        <w:t xml:space="preserve">also </w:t>
      </w:r>
      <w:r w:rsidRPr="00ED00CF">
        <w:rPr>
          <w:rFonts w:ascii="Times New Roman" w:hAnsi="Times New Roman"/>
          <w:sz w:val="20"/>
          <w:szCs w:val="20"/>
        </w:rPr>
        <w:t>furnish:</w:t>
      </w:r>
    </w:p>
    <w:p w:rsidR="00B8294C" w:rsidRPr="00ED00CF" w:rsidP="00417A74" w14:paraId="4C765132" w14:textId="1188539E">
      <w:pPr>
        <w:widowControl/>
        <w:numPr>
          <w:ilvl w:val="0"/>
          <w:numId w:val="9"/>
        </w:num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sz w:val="20"/>
          <w:szCs w:val="20"/>
        </w:rPr>
      </w:pPr>
      <w:r w:rsidRPr="00ED00CF">
        <w:rPr>
          <w:rFonts w:ascii="Times New Roman" w:hAnsi="Times New Roman"/>
          <w:sz w:val="20"/>
          <w:szCs w:val="20"/>
        </w:rPr>
        <w:t>F</w:t>
      </w:r>
      <w:r w:rsidRPr="00ED00CF" w:rsidR="002F06CA">
        <w:rPr>
          <w:rFonts w:ascii="Times New Roman" w:hAnsi="Times New Roman"/>
          <w:sz w:val="20"/>
          <w:szCs w:val="20"/>
        </w:rPr>
        <w:t>ull information as to whether overriding royalty payments out of production, or similar interests, are paid to payees other than the United States; the amounts paid; and efforts that have been made to reduce them; and</w:t>
      </w:r>
    </w:p>
    <w:p w:rsidR="002F06CA" w:rsidRPr="00ED00CF" w:rsidP="00417A74" w14:paraId="7215B7AA" w14:textId="1F61A4B3">
      <w:pPr>
        <w:widowControl/>
        <w:numPr>
          <w:ilvl w:val="0"/>
          <w:numId w:val="9"/>
        </w:num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sz w:val="20"/>
          <w:szCs w:val="20"/>
        </w:rPr>
      </w:pPr>
      <w:r w:rsidRPr="00ED00CF">
        <w:rPr>
          <w:rFonts w:ascii="Times New Roman" w:hAnsi="Times New Roman"/>
          <w:sz w:val="20"/>
          <w:szCs w:val="20"/>
        </w:rPr>
        <w:t xml:space="preserve">Agreements of the holders to a reduction of all </w:t>
      </w:r>
      <w:r w:rsidRPr="00ED00CF" w:rsidR="00E569D3">
        <w:rPr>
          <w:rFonts w:ascii="Times New Roman" w:hAnsi="Times New Roman"/>
          <w:sz w:val="20"/>
          <w:szCs w:val="20"/>
        </w:rPr>
        <w:t>non-Federal</w:t>
      </w:r>
      <w:r w:rsidRPr="00ED00CF">
        <w:rPr>
          <w:rFonts w:ascii="Times New Roman" w:hAnsi="Times New Roman"/>
          <w:sz w:val="20"/>
          <w:szCs w:val="20"/>
        </w:rPr>
        <w:t xml:space="preserve"> royalties or similar payments from the leasehold to an aggregate not </w:t>
      </w:r>
      <w:r w:rsidRPr="00ED00CF">
        <w:rPr>
          <w:rFonts w:ascii="Times New Roman" w:hAnsi="Times New Roman"/>
          <w:sz w:val="20"/>
          <w:szCs w:val="20"/>
        </w:rPr>
        <w:t>in excess of</w:t>
      </w:r>
      <w:r w:rsidRPr="00ED00CF">
        <w:rPr>
          <w:rFonts w:ascii="Times New Roman" w:hAnsi="Times New Roman"/>
          <w:sz w:val="20"/>
          <w:szCs w:val="20"/>
        </w:rPr>
        <w:t xml:space="preserve"> one-half the royalties due to the United States</w:t>
      </w:r>
      <w:r w:rsidR="009A551C">
        <w:rPr>
          <w:rFonts w:ascii="Times New Roman" w:hAnsi="Times New Roman"/>
          <w:sz w:val="20"/>
          <w:szCs w:val="20"/>
        </w:rPr>
        <w:t>.</w:t>
      </w:r>
    </w:p>
    <w:p w:rsidR="006B3DDA" w:rsidRPr="00ED00CF" w:rsidP="001E60B6" w14:paraId="48C38D95"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0"/>
          <w:szCs w:val="20"/>
        </w:rPr>
      </w:pPr>
    </w:p>
    <w:p w:rsidR="00741740" w:rsidRPr="00ED00CF" w:rsidP="00D765E9" w14:paraId="111B79DA" w14:textId="51823658">
      <w:pPr>
        <w:pStyle w:val="Heading3"/>
        <w:rPr>
          <w:sz w:val="20"/>
          <w:szCs w:val="20"/>
        </w:rPr>
      </w:pPr>
      <w:r w:rsidRPr="00ED00CF">
        <w:rPr>
          <w:sz w:val="20"/>
          <w:szCs w:val="20"/>
        </w:rPr>
        <w:t>43 CFR 3105 — Coo</w:t>
      </w:r>
      <w:r w:rsidRPr="00ED00CF" w:rsidR="00C047C9">
        <w:rPr>
          <w:sz w:val="20"/>
          <w:szCs w:val="20"/>
        </w:rPr>
        <w:t>perative Conservation</w:t>
      </w:r>
    </w:p>
    <w:p w:rsidR="006D48F9" w:rsidRPr="00ED00CF" w:rsidP="001E60B6" w14:paraId="661E692C"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p>
    <w:p w:rsidR="006D48F9" w:rsidRPr="00ED00CF" w:rsidP="001E60B6" w14:paraId="37B5BA0A" w14:textId="56992BDA">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r w:rsidRPr="00ED00CF">
        <w:rPr>
          <w:rFonts w:ascii="Times New Roman" w:hAnsi="Times New Roman"/>
          <w:sz w:val="20"/>
          <w:szCs w:val="20"/>
        </w:rPr>
        <w:t>Th</w:t>
      </w:r>
      <w:r w:rsidRPr="00ED00CF" w:rsidR="004B4280">
        <w:rPr>
          <w:rFonts w:ascii="Times New Roman" w:hAnsi="Times New Roman"/>
          <w:sz w:val="20"/>
          <w:szCs w:val="20"/>
        </w:rPr>
        <w:t xml:space="preserve">e </w:t>
      </w:r>
      <w:r w:rsidRPr="00ED00CF" w:rsidR="002877E9">
        <w:rPr>
          <w:rFonts w:ascii="Times New Roman" w:hAnsi="Times New Roman"/>
          <w:sz w:val="20"/>
          <w:szCs w:val="20"/>
        </w:rPr>
        <w:t>information-</w:t>
      </w:r>
      <w:r w:rsidRPr="00ED00CF" w:rsidR="004B4280">
        <w:rPr>
          <w:rFonts w:ascii="Times New Roman" w:hAnsi="Times New Roman"/>
          <w:sz w:val="20"/>
          <w:szCs w:val="20"/>
        </w:rPr>
        <w:t xml:space="preserve">collection activities in this </w:t>
      </w:r>
      <w:r w:rsidRPr="00ED00CF">
        <w:rPr>
          <w:rFonts w:ascii="Times New Roman" w:hAnsi="Times New Roman"/>
          <w:sz w:val="20"/>
          <w:szCs w:val="20"/>
        </w:rPr>
        <w:t xml:space="preserve">subpart </w:t>
      </w:r>
      <w:r w:rsidRPr="00ED00CF" w:rsidR="004B4280">
        <w:rPr>
          <w:rFonts w:ascii="Times New Roman" w:hAnsi="Times New Roman"/>
          <w:sz w:val="20"/>
          <w:szCs w:val="20"/>
        </w:rPr>
        <w:t xml:space="preserve">enable the BLM to manage </w:t>
      </w:r>
      <w:r w:rsidRPr="00ED00CF">
        <w:rPr>
          <w:rFonts w:ascii="Times New Roman" w:hAnsi="Times New Roman"/>
          <w:sz w:val="20"/>
          <w:szCs w:val="20"/>
        </w:rPr>
        <w:t xml:space="preserve">situations in which owners of any right, title, or interest in a </w:t>
      </w:r>
      <w:r w:rsidRPr="00ED00CF">
        <w:rPr>
          <w:rFonts w:ascii="Times New Roman" w:hAnsi="Times New Roman"/>
          <w:sz w:val="20"/>
          <w:szCs w:val="20"/>
        </w:rPr>
        <w:t>F</w:t>
      </w:r>
      <w:r w:rsidRPr="00ED00CF" w:rsidR="00FC176E">
        <w:rPr>
          <w:rFonts w:ascii="Times New Roman" w:hAnsi="Times New Roman"/>
          <w:sz w:val="20"/>
          <w:szCs w:val="20"/>
        </w:rPr>
        <w:t>ederal</w:t>
      </w:r>
      <w:r w:rsidRPr="00ED00CF">
        <w:rPr>
          <w:rFonts w:ascii="Times New Roman" w:hAnsi="Times New Roman"/>
          <w:sz w:val="20"/>
          <w:szCs w:val="20"/>
        </w:rPr>
        <w:t xml:space="preserve"> oil and gas lease wish to adopt and operate under a joint plan for the development of oil and gas resources.</w:t>
      </w:r>
      <w:r w:rsidRPr="00ED00CF" w:rsidR="004B4280">
        <w:rPr>
          <w:rFonts w:ascii="Times New Roman" w:hAnsi="Times New Roman"/>
          <w:sz w:val="20"/>
          <w:szCs w:val="20"/>
        </w:rPr>
        <w:t xml:space="preserve"> </w:t>
      </w:r>
    </w:p>
    <w:p w:rsidR="001E60B6" w:rsidRPr="00ED00CF" w:rsidP="001E60B6" w14:paraId="51AEF18A"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p>
    <w:p w:rsidR="00801D85" w:rsidRPr="00ED00CF" w:rsidP="00AE3AE4" w14:paraId="3F752827" w14:textId="081A16E9">
      <w:pPr>
        <w:pStyle w:val="Heading4"/>
        <w:numPr>
          <w:ilvl w:val="0"/>
          <w:numId w:val="0"/>
        </w:numPr>
        <w:rPr>
          <w:sz w:val="20"/>
          <w:szCs w:val="20"/>
        </w:rPr>
      </w:pPr>
      <w:r w:rsidRPr="708E2E1F">
        <w:rPr>
          <w:sz w:val="20"/>
          <w:szCs w:val="20"/>
        </w:rPr>
        <w:t xml:space="preserve">43 CFR </w:t>
      </w:r>
      <w:r w:rsidRPr="708E2E1F" w:rsidR="001E60B6">
        <w:rPr>
          <w:sz w:val="20"/>
          <w:szCs w:val="20"/>
        </w:rPr>
        <w:t>3105.2</w:t>
      </w:r>
      <w:r w:rsidRPr="708E2E1F" w:rsidR="005D7666">
        <w:rPr>
          <w:sz w:val="20"/>
          <w:szCs w:val="20"/>
        </w:rPr>
        <w:t>1</w:t>
      </w:r>
      <w:r w:rsidRPr="708E2E1F" w:rsidR="001E60B6">
        <w:rPr>
          <w:sz w:val="20"/>
          <w:szCs w:val="20"/>
        </w:rPr>
        <w:t xml:space="preserve"> </w:t>
      </w:r>
      <w:r w:rsidRPr="708E2E1F" w:rsidR="00D07338">
        <w:rPr>
          <w:sz w:val="20"/>
          <w:szCs w:val="20"/>
        </w:rPr>
        <w:t>—</w:t>
      </w:r>
      <w:r w:rsidRPr="708E2E1F" w:rsidR="001E60B6">
        <w:rPr>
          <w:sz w:val="20"/>
          <w:szCs w:val="20"/>
        </w:rPr>
        <w:t xml:space="preserve"> </w:t>
      </w:r>
      <w:r w:rsidRPr="708E2E1F" w:rsidR="001E60B6">
        <w:rPr>
          <w:sz w:val="20"/>
          <w:szCs w:val="20"/>
        </w:rPr>
        <w:t>Communitization</w:t>
      </w:r>
      <w:r w:rsidRPr="708E2E1F" w:rsidR="001E60B6">
        <w:rPr>
          <w:sz w:val="20"/>
          <w:szCs w:val="20"/>
        </w:rPr>
        <w:t xml:space="preserve"> Agreements</w:t>
      </w:r>
      <w:r w:rsidRPr="708E2E1F" w:rsidR="00A656D4">
        <w:rPr>
          <w:sz w:val="20"/>
          <w:szCs w:val="20"/>
        </w:rPr>
        <w:t xml:space="preserve"> (CAs)</w:t>
      </w:r>
      <w:r w:rsidR="00E046E3">
        <w:rPr>
          <w:sz w:val="20"/>
          <w:szCs w:val="20"/>
        </w:rPr>
        <w:t xml:space="preserve"> </w:t>
      </w:r>
    </w:p>
    <w:p w:rsidR="00801D85" w:rsidRPr="00ED00CF" w:rsidP="001E60B6" w14:paraId="0C924506"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u w:val="single"/>
        </w:rPr>
      </w:pPr>
    </w:p>
    <w:p w:rsidR="001E60B6" w:rsidRPr="00ED00CF" w:rsidP="001E60B6" w14:paraId="626EBD63" w14:textId="62BE0373">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r w:rsidRPr="00ED00CF">
        <w:rPr>
          <w:rFonts w:ascii="Times New Roman" w:hAnsi="Times New Roman"/>
          <w:sz w:val="20"/>
          <w:szCs w:val="20"/>
        </w:rPr>
        <w:t>Thes</w:t>
      </w:r>
      <w:r w:rsidRPr="00ED00CF" w:rsidR="00C25FC1">
        <w:rPr>
          <w:rFonts w:ascii="Times New Roman" w:hAnsi="Times New Roman"/>
          <w:sz w:val="20"/>
          <w:szCs w:val="20"/>
        </w:rPr>
        <w:t xml:space="preserve">e types of </w:t>
      </w:r>
      <w:r w:rsidRPr="00ED00CF" w:rsidR="00C25FC1">
        <w:rPr>
          <w:rFonts w:ascii="Times New Roman" w:hAnsi="Times New Roman"/>
          <w:sz w:val="20"/>
          <w:szCs w:val="20"/>
        </w:rPr>
        <w:t>agreements</w:t>
      </w:r>
      <w:r w:rsidRPr="00ED00CF" w:rsidR="00C25FC1">
        <w:rPr>
          <w:rFonts w:ascii="Times New Roman" w:hAnsi="Times New Roman"/>
          <w:sz w:val="20"/>
          <w:szCs w:val="20"/>
        </w:rPr>
        <w:t xml:space="preserve"> must be submitted to and approved by the BLM before they may</w:t>
      </w:r>
      <w:r w:rsidRPr="00ED00CF">
        <w:rPr>
          <w:rFonts w:ascii="Times New Roman" w:hAnsi="Times New Roman"/>
          <w:sz w:val="20"/>
          <w:szCs w:val="20"/>
        </w:rPr>
        <w:t xml:space="preserve"> be effective as to Federal leases</w:t>
      </w:r>
      <w:r w:rsidRPr="00ED00CF" w:rsidR="00C25FC1">
        <w:rPr>
          <w:rFonts w:ascii="Times New Roman" w:hAnsi="Times New Roman"/>
          <w:sz w:val="20"/>
          <w:szCs w:val="20"/>
        </w:rPr>
        <w:t>.</w:t>
      </w:r>
      <w:r w:rsidRPr="00ED00CF" w:rsidR="00E954E6">
        <w:rPr>
          <w:rFonts w:ascii="Times New Roman" w:hAnsi="Times New Roman"/>
          <w:sz w:val="20"/>
          <w:szCs w:val="20"/>
        </w:rPr>
        <w:t xml:space="preserve"> </w:t>
      </w:r>
      <w:r w:rsidRPr="00ED00CF" w:rsidR="00AF514A">
        <w:rPr>
          <w:rFonts w:ascii="Times New Roman" w:hAnsi="Times New Roman"/>
          <w:sz w:val="20"/>
          <w:szCs w:val="20"/>
        </w:rPr>
        <w:t xml:space="preserve">The BLM </w:t>
      </w:r>
      <w:r w:rsidRPr="00ED00CF">
        <w:rPr>
          <w:rFonts w:ascii="Times New Roman" w:hAnsi="Times New Roman"/>
          <w:sz w:val="20"/>
          <w:szCs w:val="20"/>
        </w:rPr>
        <w:t>use</w:t>
      </w:r>
      <w:r w:rsidRPr="00ED00CF" w:rsidR="00AF514A">
        <w:rPr>
          <w:rFonts w:ascii="Times New Roman" w:hAnsi="Times New Roman"/>
          <w:sz w:val="20"/>
          <w:szCs w:val="20"/>
        </w:rPr>
        <w:t>s</w:t>
      </w:r>
      <w:r w:rsidRPr="00ED00CF">
        <w:rPr>
          <w:rFonts w:ascii="Times New Roman" w:hAnsi="Times New Roman"/>
          <w:sz w:val="20"/>
          <w:szCs w:val="20"/>
        </w:rPr>
        <w:t xml:space="preserve"> </w:t>
      </w:r>
      <w:r w:rsidRPr="00ED00CF" w:rsidR="00456B74">
        <w:rPr>
          <w:rFonts w:ascii="Times New Roman" w:hAnsi="Times New Roman"/>
          <w:sz w:val="20"/>
          <w:szCs w:val="20"/>
        </w:rPr>
        <w:t>the information</w:t>
      </w:r>
      <w:r w:rsidRPr="00ED00CF">
        <w:rPr>
          <w:rFonts w:ascii="Times New Roman" w:hAnsi="Times New Roman"/>
          <w:sz w:val="20"/>
          <w:szCs w:val="20"/>
        </w:rPr>
        <w:t xml:space="preserve"> to determine </w:t>
      </w:r>
      <w:r w:rsidRPr="00ED00CF" w:rsidR="00AF514A">
        <w:rPr>
          <w:rFonts w:ascii="Times New Roman" w:hAnsi="Times New Roman"/>
          <w:sz w:val="20"/>
          <w:szCs w:val="20"/>
        </w:rPr>
        <w:t xml:space="preserve">whether </w:t>
      </w:r>
      <w:r w:rsidRPr="00ED00CF" w:rsidR="003F70B1">
        <w:rPr>
          <w:rFonts w:ascii="Times New Roman" w:hAnsi="Times New Roman"/>
          <w:sz w:val="20"/>
          <w:szCs w:val="20"/>
        </w:rPr>
        <w:t>the lease</w:t>
      </w:r>
      <w:r w:rsidRPr="00ED00CF">
        <w:rPr>
          <w:rFonts w:ascii="Times New Roman" w:hAnsi="Times New Roman"/>
          <w:sz w:val="20"/>
          <w:szCs w:val="20"/>
        </w:rPr>
        <w:t xml:space="preserve"> may be subject to drainage by an </w:t>
      </w:r>
      <w:r w:rsidRPr="00ED00CF">
        <w:rPr>
          <w:rFonts w:ascii="Times New Roman" w:hAnsi="Times New Roman"/>
          <w:sz w:val="20"/>
          <w:szCs w:val="20"/>
        </w:rPr>
        <w:t>off-lease</w:t>
      </w:r>
      <w:r w:rsidRPr="00ED00CF">
        <w:rPr>
          <w:rFonts w:ascii="Times New Roman" w:hAnsi="Times New Roman"/>
          <w:sz w:val="20"/>
          <w:szCs w:val="20"/>
        </w:rPr>
        <w:t xml:space="preserve"> well, and </w:t>
      </w:r>
      <w:r w:rsidRPr="00ED00CF" w:rsidR="003A463E">
        <w:rPr>
          <w:rFonts w:ascii="Times New Roman" w:hAnsi="Times New Roman"/>
          <w:sz w:val="20"/>
          <w:szCs w:val="20"/>
        </w:rPr>
        <w:t xml:space="preserve">whether </w:t>
      </w:r>
      <w:r w:rsidRPr="00ED00CF">
        <w:rPr>
          <w:rFonts w:ascii="Times New Roman" w:hAnsi="Times New Roman"/>
          <w:sz w:val="20"/>
          <w:szCs w:val="20"/>
        </w:rPr>
        <w:t>it is in the public interest to combine operation efforts.</w:t>
      </w:r>
    </w:p>
    <w:p w:rsidR="004C7C54" w:rsidRPr="00ED00CF" w:rsidP="004C7C54" w14:paraId="700856A2" w14:textId="64DE1C96">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p>
    <w:p w:rsidR="004C7C54" w:rsidRPr="00ED00CF" w:rsidP="004C7C54" w14:paraId="5DFFA7FF" w14:textId="297BB639">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r w:rsidRPr="00ED00CF">
        <w:rPr>
          <w:rFonts w:ascii="Times New Roman" w:hAnsi="Times New Roman"/>
          <w:sz w:val="20"/>
          <w:szCs w:val="20"/>
        </w:rPr>
        <w:t xml:space="preserve">An application for a </w:t>
      </w:r>
      <w:r w:rsidRPr="00ED00CF" w:rsidR="00A656D4">
        <w:rPr>
          <w:rFonts w:ascii="Times New Roman" w:hAnsi="Times New Roman"/>
          <w:sz w:val="20"/>
          <w:szCs w:val="20"/>
        </w:rPr>
        <w:t>CA</w:t>
      </w:r>
      <w:r w:rsidRPr="00ED00CF">
        <w:rPr>
          <w:rFonts w:ascii="Times New Roman" w:hAnsi="Times New Roman"/>
          <w:sz w:val="20"/>
          <w:szCs w:val="20"/>
        </w:rPr>
        <w:t xml:space="preserve"> </w:t>
      </w:r>
      <w:r w:rsidRPr="00ED00CF" w:rsidR="00617A85">
        <w:rPr>
          <w:rFonts w:ascii="Times New Roman" w:hAnsi="Times New Roman"/>
          <w:sz w:val="20"/>
          <w:szCs w:val="20"/>
        </w:rPr>
        <w:t>must</w:t>
      </w:r>
      <w:r w:rsidRPr="00ED00CF">
        <w:rPr>
          <w:rFonts w:ascii="Times New Roman" w:hAnsi="Times New Roman"/>
          <w:sz w:val="20"/>
          <w:szCs w:val="20"/>
        </w:rPr>
        <w:t xml:space="preserve"> include:</w:t>
      </w:r>
    </w:p>
    <w:p w:rsidR="004C7C54" w:rsidRPr="00ED00CF" w:rsidP="004C7C54" w14:paraId="33DCB748" w14:textId="0E4FD97F">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r w:rsidRPr="00ED00CF">
        <w:rPr>
          <w:rFonts w:ascii="Times New Roman" w:hAnsi="Times New Roman"/>
          <w:sz w:val="20"/>
          <w:szCs w:val="20"/>
        </w:rPr>
        <w:t>(1) A statement as to whether the proposed CA deviates from the B</w:t>
      </w:r>
      <w:r w:rsidRPr="00ED00CF" w:rsidR="00617A85">
        <w:rPr>
          <w:rFonts w:ascii="Times New Roman" w:hAnsi="Times New Roman"/>
          <w:sz w:val="20"/>
          <w:szCs w:val="20"/>
        </w:rPr>
        <w:t>LM</w:t>
      </w:r>
      <w:r w:rsidRPr="00ED00CF">
        <w:rPr>
          <w:rFonts w:ascii="Times New Roman" w:hAnsi="Times New Roman"/>
          <w:sz w:val="20"/>
          <w:szCs w:val="20"/>
        </w:rPr>
        <w:t xml:space="preserve">’s current model CA form, and a certification that the applicant received the required </w:t>
      </w:r>
      <w:r w:rsidRPr="00ED00CF">
        <w:rPr>
          <w:rFonts w:ascii="Times New Roman" w:hAnsi="Times New Roman"/>
          <w:sz w:val="20"/>
          <w:szCs w:val="20"/>
        </w:rPr>
        <w:t>signatures;</w:t>
      </w:r>
    </w:p>
    <w:p w:rsidR="004C7C54" w:rsidRPr="00ED00CF" w:rsidP="004C7C54" w14:paraId="3570103C"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r w:rsidRPr="00ED00CF">
        <w:rPr>
          <w:rFonts w:ascii="Times New Roman" w:hAnsi="Times New Roman"/>
          <w:sz w:val="20"/>
          <w:szCs w:val="20"/>
        </w:rPr>
        <w:t>(2) An Exhibit A displaying a map of the agreement and the separate agreement tracts;</w:t>
      </w:r>
      <w:r w:rsidRPr="00ED00CF" w:rsidR="00897945">
        <w:rPr>
          <w:rFonts w:ascii="Times New Roman" w:hAnsi="Times New Roman"/>
          <w:sz w:val="20"/>
          <w:szCs w:val="20"/>
        </w:rPr>
        <w:t xml:space="preserve"> and</w:t>
      </w:r>
    </w:p>
    <w:p w:rsidR="004C7C54" w:rsidRPr="00ED00CF" w:rsidP="004C7C54" w14:paraId="272BA7CA" w14:textId="4BC51135">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r w:rsidRPr="00ED00CF">
        <w:rPr>
          <w:rFonts w:ascii="Times New Roman" w:hAnsi="Times New Roman"/>
          <w:sz w:val="20"/>
          <w:szCs w:val="20"/>
        </w:rPr>
        <w:t xml:space="preserve">(3) </w:t>
      </w:r>
      <w:r w:rsidRPr="00ED00CF">
        <w:rPr>
          <w:rFonts w:ascii="Times New Roman" w:hAnsi="Times New Roman"/>
          <w:sz w:val="20"/>
          <w:szCs w:val="20"/>
        </w:rPr>
        <w:t>An Exhibit</w:t>
      </w:r>
      <w:r w:rsidRPr="00ED00CF">
        <w:rPr>
          <w:rFonts w:ascii="Times New Roman" w:hAnsi="Times New Roman"/>
          <w:sz w:val="20"/>
          <w:szCs w:val="20"/>
        </w:rPr>
        <w:t xml:space="preserve"> B displaying </w:t>
      </w:r>
      <w:r w:rsidRPr="00ED00CF">
        <w:rPr>
          <w:rFonts w:ascii="Times New Roman" w:hAnsi="Times New Roman"/>
          <w:sz w:val="20"/>
          <w:szCs w:val="20"/>
        </w:rPr>
        <w:t>the separate</w:t>
      </w:r>
      <w:r w:rsidRPr="00ED00CF">
        <w:rPr>
          <w:rFonts w:ascii="Times New Roman" w:hAnsi="Times New Roman"/>
          <w:sz w:val="20"/>
          <w:szCs w:val="20"/>
        </w:rPr>
        <w:t xml:space="preserve"> tracts and ownership</w:t>
      </w:r>
      <w:r w:rsidR="00A2554A">
        <w:rPr>
          <w:rFonts w:ascii="Times New Roman" w:hAnsi="Times New Roman"/>
          <w:sz w:val="20"/>
          <w:szCs w:val="20"/>
        </w:rPr>
        <w:t>.</w:t>
      </w:r>
    </w:p>
    <w:p w:rsidR="0034148F" w:rsidRPr="00ED00CF" w:rsidP="004C7C54" w14:paraId="01397EF6"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p>
    <w:p w:rsidR="00CF54BB" w:rsidRPr="00ED00CF" w:rsidP="5A64A34E" w14:paraId="44683D13" w14:textId="5C799AD6">
      <w:pPr>
        <w:widowControl/>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r w:rsidRPr="00ED00CF">
        <w:rPr>
          <w:rFonts w:ascii="Times New Roman" w:hAnsi="Times New Roman"/>
          <w:sz w:val="20"/>
          <w:szCs w:val="20"/>
        </w:rPr>
        <w:t xml:space="preserve">To ensure correct reporting to </w:t>
      </w:r>
      <w:r w:rsidRPr="00ED00CF" w:rsidR="00897945">
        <w:rPr>
          <w:rFonts w:ascii="Times New Roman" w:hAnsi="Times New Roman"/>
          <w:sz w:val="20"/>
          <w:szCs w:val="20"/>
        </w:rPr>
        <w:t xml:space="preserve">the </w:t>
      </w:r>
      <w:r w:rsidRPr="00ED00CF">
        <w:rPr>
          <w:rFonts w:ascii="Times New Roman" w:hAnsi="Times New Roman"/>
          <w:sz w:val="20"/>
          <w:szCs w:val="20"/>
        </w:rPr>
        <w:t>ONRR</w:t>
      </w:r>
      <w:r w:rsidRPr="00ED00CF">
        <w:rPr>
          <w:rFonts w:ascii="Times New Roman" w:hAnsi="Times New Roman"/>
          <w:sz w:val="20"/>
          <w:szCs w:val="20"/>
        </w:rPr>
        <w:t>, an application should be submitted at least 90 calendar days prior to first production</w:t>
      </w:r>
      <w:r w:rsidRPr="00ED00CF" w:rsidR="00897945">
        <w:rPr>
          <w:rFonts w:ascii="Times New Roman" w:hAnsi="Times New Roman"/>
          <w:sz w:val="20"/>
          <w:szCs w:val="20"/>
        </w:rPr>
        <w:t>,</w:t>
      </w:r>
      <w:r w:rsidRPr="00ED00CF" w:rsidR="0034148F">
        <w:rPr>
          <w:rFonts w:ascii="Times New Roman" w:hAnsi="Times New Roman"/>
          <w:sz w:val="20"/>
          <w:szCs w:val="20"/>
        </w:rPr>
        <w:t xml:space="preserve"> and </w:t>
      </w:r>
      <w:r w:rsidRPr="00ED00CF" w:rsidR="00463E65">
        <w:rPr>
          <w:rFonts w:ascii="Times New Roman" w:hAnsi="Times New Roman"/>
          <w:sz w:val="20"/>
          <w:szCs w:val="20"/>
        </w:rPr>
        <w:t xml:space="preserve">an application to form a unit agreement, a unit expansion, or a designation of a successor operator must include the processing fee found in the fee schedule in </w:t>
      </w:r>
      <w:r w:rsidRPr="00ED00CF" w:rsidR="00ED6816">
        <w:rPr>
          <w:rFonts w:ascii="Times New Roman" w:hAnsi="Times New Roman"/>
          <w:sz w:val="20"/>
          <w:szCs w:val="20"/>
        </w:rPr>
        <w:t>43 CFR</w:t>
      </w:r>
      <w:r w:rsidRPr="00ED00CF" w:rsidR="002877E9">
        <w:rPr>
          <w:rFonts w:ascii="Times New Roman" w:hAnsi="Times New Roman"/>
          <w:sz w:val="20"/>
          <w:szCs w:val="20"/>
        </w:rPr>
        <w:t xml:space="preserve"> </w:t>
      </w:r>
      <w:r w:rsidRPr="00ED00CF" w:rsidR="00463E65">
        <w:rPr>
          <w:rFonts w:ascii="Times New Roman" w:hAnsi="Times New Roman"/>
          <w:sz w:val="20"/>
          <w:szCs w:val="20"/>
        </w:rPr>
        <w:t>3000.12</w:t>
      </w:r>
      <w:r w:rsidR="00A2554A">
        <w:rPr>
          <w:rFonts w:ascii="Times New Roman" w:hAnsi="Times New Roman"/>
          <w:sz w:val="20"/>
          <w:szCs w:val="20"/>
        </w:rPr>
        <w:t>0</w:t>
      </w:r>
      <w:r w:rsidRPr="00ED00CF">
        <w:rPr>
          <w:rFonts w:ascii="Times New Roman" w:hAnsi="Times New Roman"/>
          <w:sz w:val="20"/>
          <w:szCs w:val="20"/>
        </w:rPr>
        <w:t>.</w:t>
      </w:r>
    </w:p>
    <w:p w:rsidR="001E60B6" w:rsidRPr="00ED00CF" w:rsidP="001E60B6" w14:paraId="39FCCECD" w14:textId="659F6149">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p>
    <w:p w:rsidR="00E569D3" w:rsidRPr="00ED00CF" w:rsidP="00AE3AE4" w14:paraId="32965A14" w14:textId="3BD73E49">
      <w:pPr>
        <w:pStyle w:val="Heading4"/>
        <w:numPr>
          <w:ilvl w:val="0"/>
          <w:numId w:val="0"/>
        </w:numPr>
        <w:rPr>
          <w:sz w:val="20"/>
          <w:szCs w:val="20"/>
        </w:rPr>
      </w:pPr>
      <w:r w:rsidRPr="00ED00CF">
        <w:rPr>
          <w:sz w:val="20"/>
          <w:szCs w:val="20"/>
        </w:rPr>
        <w:t xml:space="preserve">43 CFR </w:t>
      </w:r>
      <w:r w:rsidRPr="00ED00CF" w:rsidR="001E60B6">
        <w:rPr>
          <w:sz w:val="20"/>
          <w:szCs w:val="20"/>
        </w:rPr>
        <w:t>3105.3</w:t>
      </w:r>
      <w:r w:rsidR="005D7666">
        <w:rPr>
          <w:sz w:val="20"/>
          <w:szCs w:val="20"/>
        </w:rPr>
        <w:t>1</w:t>
      </w:r>
      <w:r w:rsidRPr="00ED00CF" w:rsidR="001E60B6">
        <w:rPr>
          <w:sz w:val="20"/>
          <w:szCs w:val="20"/>
        </w:rPr>
        <w:t xml:space="preserve"> </w:t>
      </w:r>
      <w:r w:rsidRPr="00ED00CF" w:rsidR="00897945">
        <w:rPr>
          <w:sz w:val="20"/>
          <w:szCs w:val="20"/>
        </w:rPr>
        <w:t>—</w:t>
      </w:r>
      <w:r w:rsidRPr="00ED00CF" w:rsidR="001E60B6">
        <w:rPr>
          <w:sz w:val="20"/>
          <w:szCs w:val="20"/>
        </w:rPr>
        <w:t xml:space="preserve"> Operating, Drilling</w:t>
      </w:r>
      <w:r w:rsidRPr="00ED00CF" w:rsidR="00897945">
        <w:rPr>
          <w:sz w:val="20"/>
          <w:szCs w:val="20"/>
        </w:rPr>
        <w:t>,</w:t>
      </w:r>
      <w:r w:rsidRPr="00ED00CF" w:rsidR="001E60B6">
        <w:rPr>
          <w:sz w:val="20"/>
          <w:szCs w:val="20"/>
        </w:rPr>
        <w:t xml:space="preserve"> or Development Contracts</w:t>
      </w:r>
      <w:r w:rsidR="002C52A6">
        <w:rPr>
          <w:sz w:val="20"/>
          <w:szCs w:val="20"/>
        </w:rPr>
        <w:t xml:space="preserve"> </w:t>
      </w:r>
    </w:p>
    <w:p w:rsidR="00E569D3" w:rsidRPr="00ED00CF" w:rsidP="001E60B6" w14:paraId="4D0A6F4E"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u w:val="single"/>
        </w:rPr>
      </w:pPr>
    </w:p>
    <w:p w:rsidR="001E60B6" w:rsidRPr="00ED00CF" w:rsidP="001E60B6" w14:paraId="245CEC76" w14:textId="7EA846C1">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r w:rsidRPr="00ED00CF">
        <w:rPr>
          <w:rFonts w:ascii="Times New Roman" w:hAnsi="Times New Roman"/>
          <w:sz w:val="20"/>
          <w:szCs w:val="20"/>
        </w:rPr>
        <w:t xml:space="preserve">The BLM requires a statement showing </w:t>
      </w:r>
      <w:r w:rsidRPr="00ED00CF" w:rsidR="006D68C0">
        <w:rPr>
          <w:rFonts w:ascii="Times New Roman" w:hAnsi="Times New Roman"/>
          <w:sz w:val="20"/>
          <w:szCs w:val="20"/>
        </w:rPr>
        <w:t xml:space="preserve">any </w:t>
      </w:r>
      <w:r w:rsidRPr="00ED00CF">
        <w:rPr>
          <w:rFonts w:ascii="Times New Roman" w:hAnsi="Times New Roman"/>
          <w:sz w:val="20"/>
          <w:szCs w:val="20"/>
        </w:rPr>
        <w:t xml:space="preserve">interest held by </w:t>
      </w:r>
      <w:r w:rsidRPr="00ED00CF" w:rsidR="006D68C0">
        <w:rPr>
          <w:rFonts w:ascii="Times New Roman" w:hAnsi="Times New Roman"/>
          <w:sz w:val="20"/>
          <w:szCs w:val="20"/>
        </w:rPr>
        <w:t>a</w:t>
      </w:r>
      <w:r w:rsidRPr="00ED00CF">
        <w:rPr>
          <w:rFonts w:ascii="Times New Roman" w:hAnsi="Times New Roman"/>
          <w:sz w:val="20"/>
          <w:szCs w:val="20"/>
        </w:rPr>
        <w:t xml:space="preserve"> contractor</w:t>
      </w:r>
      <w:r w:rsidRPr="00ED00CF" w:rsidR="006D68C0">
        <w:rPr>
          <w:rFonts w:ascii="Times New Roman" w:hAnsi="Times New Roman"/>
          <w:sz w:val="20"/>
          <w:szCs w:val="20"/>
        </w:rPr>
        <w:t>,</w:t>
      </w:r>
      <w:r w:rsidRPr="00ED00CF">
        <w:rPr>
          <w:rFonts w:ascii="Times New Roman" w:hAnsi="Times New Roman"/>
          <w:sz w:val="20"/>
          <w:szCs w:val="20"/>
        </w:rPr>
        <w:t xml:space="preserve"> and a copy of the contract. </w:t>
      </w:r>
      <w:r w:rsidRPr="00ED00CF" w:rsidR="009F54A9">
        <w:rPr>
          <w:rFonts w:ascii="Times New Roman" w:hAnsi="Times New Roman"/>
          <w:sz w:val="20"/>
          <w:szCs w:val="20"/>
        </w:rPr>
        <w:t>A</w:t>
      </w:r>
      <w:r w:rsidRPr="00ED00CF">
        <w:rPr>
          <w:rFonts w:ascii="Times New Roman" w:hAnsi="Times New Roman"/>
          <w:sz w:val="20"/>
          <w:szCs w:val="20"/>
        </w:rPr>
        <w:t xml:space="preserve"> </w:t>
      </w:r>
      <w:r w:rsidRPr="00ED00CF" w:rsidR="009F54A9">
        <w:rPr>
          <w:rFonts w:ascii="Times New Roman" w:hAnsi="Times New Roman"/>
          <w:sz w:val="20"/>
          <w:szCs w:val="20"/>
        </w:rPr>
        <w:t>contract submitted for approval under this section shall be filed with the proper BLM office</w:t>
      </w:r>
      <w:r w:rsidRPr="00ED00CF" w:rsidR="00AD1B5F">
        <w:rPr>
          <w:rFonts w:ascii="Times New Roman" w:hAnsi="Times New Roman"/>
          <w:sz w:val="20"/>
          <w:szCs w:val="20"/>
        </w:rPr>
        <w:t xml:space="preserve">. </w:t>
      </w:r>
    </w:p>
    <w:p w:rsidR="00EE5784" w:rsidRPr="00ED00CF" w:rsidP="001E60B6" w14:paraId="1BE83EA4"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p>
    <w:p w:rsidR="0001418D" w:rsidRPr="00ED00CF" w:rsidP="0001418D" w14:paraId="37B7CFE7" w14:textId="36512541">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r w:rsidRPr="00ED00CF">
        <w:rPr>
          <w:rFonts w:ascii="Times New Roman" w:hAnsi="Times New Roman"/>
          <w:sz w:val="20"/>
          <w:szCs w:val="20"/>
        </w:rPr>
        <w:t xml:space="preserve">The BLM uses the information to determine whether </w:t>
      </w:r>
      <w:r w:rsidRPr="00ED00CF" w:rsidR="008F2517">
        <w:rPr>
          <w:rFonts w:ascii="Times New Roman" w:hAnsi="Times New Roman"/>
          <w:sz w:val="20"/>
          <w:szCs w:val="20"/>
        </w:rPr>
        <w:t xml:space="preserve">the contracts involve </w:t>
      </w:r>
      <w:r w:rsidRPr="00ED00CF" w:rsidR="008F2517">
        <w:rPr>
          <w:rFonts w:ascii="Times New Roman" w:hAnsi="Times New Roman"/>
          <w:sz w:val="20"/>
          <w:szCs w:val="20"/>
        </w:rPr>
        <w:t>a number of</w:t>
      </w:r>
      <w:r w:rsidRPr="00ED00CF" w:rsidR="008F2517">
        <w:rPr>
          <w:rFonts w:ascii="Times New Roman" w:hAnsi="Times New Roman"/>
          <w:sz w:val="20"/>
          <w:szCs w:val="20"/>
        </w:rPr>
        <w:t xml:space="preserve"> lessees sufficient to justify operations on a scale large enough to </w:t>
      </w:r>
      <w:r w:rsidRPr="00ED00CF" w:rsidR="00897945">
        <w:rPr>
          <w:rFonts w:ascii="Times New Roman" w:hAnsi="Times New Roman"/>
          <w:sz w:val="20"/>
          <w:szCs w:val="20"/>
        </w:rPr>
        <w:t xml:space="preserve">merit </w:t>
      </w:r>
      <w:r w:rsidRPr="00ED00CF" w:rsidR="008F2517">
        <w:rPr>
          <w:rFonts w:ascii="Times New Roman" w:hAnsi="Times New Roman"/>
          <w:sz w:val="20"/>
          <w:szCs w:val="20"/>
        </w:rPr>
        <w:t>the discovery, development, production, or transportation o</w:t>
      </w:r>
      <w:r w:rsidRPr="00ED00CF" w:rsidR="00BD5566">
        <w:rPr>
          <w:rFonts w:ascii="Times New Roman" w:hAnsi="Times New Roman"/>
          <w:sz w:val="20"/>
          <w:szCs w:val="20"/>
        </w:rPr>
        <w:t xml:space="preserve">f </w:t>
      </w:r>
      <w:r w:rsidRPr="00ED00CF" w:rsidR="008F2517">
        <w:rPr>
          <w:rFonts w:ascii="Times New Roman" w:hAnsi="Times New Roman"/>
          <w:sz w:val="20"/>
          <w:szCs w:val="20"/>
        </w:rPr>
        <w:t>oil or gas and to finance the same.</w:t>
      </w:r>
    </w:p>
    <w:p w:rsidR="00DD346F" w:rsidRPr="00ED00CF" w:rsidP="001E60B6" w14:paraId="0129933C"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p>
    <w:p w:rsidR="002F3E8E" w:rsidRPr="00ED00CF" w:rsidP="00AE3AE4" w14:paraId="33021C52" w14:textId="08EDD977">
      <w:pPr>
        <w:pStyle w:val="Heading4"/>
        <w:numPr>
          <w:ilvl w:val="0"/>
          <w:numId w:val="0"/>
        </w:numPr>
        <w:rPr>
          <w:sz w:val="20"/>
          <w:szCs w:val="20"/>
        </w:rPr>
      </w:pPr>
      <w:r w:rsidRPr="00ED00CF">
        <w:rPr>
          <w:sz w:val="20"/>
          <w:szCs w:val="20"/>
        </w:rPr>
        <w:t xml:space="preserve">43 CFR </w:t>
      </w:r>
      <w:r w:rsidRPr="00ED00CF" w:rsidR="001E60B6">
        <w:rPr>
          <w:sz w:val="20"/>
          <w:szCs w:val="20"/>
        </w:rPr>
        <w:t>3105.</w:t>
      </w:r>
      <w:r w:rsidRPr="00ED00CF" w:rsidR="009A3308">
        <w:rPr>
          <w:sz w:val="20"/>
          <w:szCs w:val="20"/>
        </w:rPr>
        <w:t>4</w:t>
      </w:r>
      <w:r w:rsidR="005D7666">
        <w:rPr>
          <w:sz w:val="20"/>
          <w:szCs w:val="20"/>
        </w:rPr>
        <w:t>1</w:t>
      </w:r>
      <w:r w:rsidRPr="00ED00CF" w:rsidR="009A3308">
        <w:rPr>
          <w:sz w:val="20"/>
          <w:szCs w:val="20"/>
        </w:rPr>
        <w:t xml:space="preserve"> </w:t>
      </w:r>
      <w:r w:rsidRPr="00ED00CF" w:rsidR="00897945">
        <w:rPr>
          <w:sz w:val="20"/>
          <w:szCs w:val="20"/>
        </w:rPr>
        <w:t>—</w:t>
      </w:r>
      <w:r w:rsidRPr="00ED00CF" w:rsidR="001E60B6">
        <w:rPr>
          <w:sz w:val="20"/>
          <w:szCs w:val="20"/>
        </w:rPr>
        <w:t xml:space="preserve"> Subsurface Storage of Oil and Gas</w:t>
      </w:r>
      <w:r w:rsidR="000F3F1E">
        <w:rPr>
          <w:sz w:val="20"/>
          <w:szCs w:val="20"/>
        </w:rPr>
        <w:t xml:space="preserve"> </w:t>
      </w:r>
    </w:p>
    <w:p w:rsidR="002F3E8E" w:rsidRPr="00ED00CF" w:rsidP="002F3E8E" w14:paraId="7305401E"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sz w:val="20"/>
          <w:szCs w:val="20"/>
        </w:rPr>
      </w:pPr>
    </w:p>
    <w:p w:rsidR="001E60B6" w:rsidRPr="00ED00CF" w:rsidP="0058362E" w14:paraId="2B79AB6F" w14:textId="161AD2E8">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r w:rsidRPr="00ED00CF">
        <w:rPr>
          <w:rFonts w:ascii="Times New Roman" w:hAnsi="Times New Roman"/>
          <w:sz w:val="20"/>
          <w:szCs w:val="20"/>
        </w:rPr>
        <w:t>Any interested party who wants to obtain authorization to store oil and gas underground on Federal lands must file an application</w:t>
      </w:r>
      <w:r w:rsidRPr="00ED00CF" w:rsidR="00EF5CDE">
        <w:rPr>
          <w:rFonts w:ascii="Times New Roman" w:hAnsi="Times New Roman"/>
          <w:sz w:val="20"/>
          <w:szCs w:val="20"/>
        </w:rPr>
        <w:t xml:space="preserve"> for a gas storage agreement</w:t>
      </w:r>
      <w:r w:rsidRPr="00ED00CF">
        <w:rPr>
          <w:rFonts w:ascii="Times New Roman" w:hAnsi="Times New Roman"/>
          <w:sz w:val="20"/>
          <w:szCs w:val="20"/>
        </w:rPr>
        <w:t>.</w:t>
      </w:r>
      <w:r w:rsidRPr="00ED00CF" w:rsidR="00E954E6">
        <w:rPr>
          <w:rFonts w:ascii="Times New Roman" w:hAnsi="Times New Roman"/>
          <w:sz w:val="20"/>
          <w:szCs w:val="20"/>
        </w:rPr>
        <w:t xml:space="preserve"> </w:t>
      </w:r>
      <w:r w:rsidRPr="00ED00CF" w:rsidR="0058362E">
        <w:rPr>
          <w:rFonts w:ascii="Times New Roman" w:hAnsi="Times New Roman"/>
          <w:sz w:val="20"/>
          <w:szCs w:val="20"/>
        </w:rPr>
        <w:t>Applications for subsurface storage or designations of successor operator shall be filed in the proper BLM office.</w:t>
      </w:r>
      <w:r w:rsidRPr="00ED00CF" w:rsidR="006C3704">
        <w:rPr>
          <w:rFonts w:ascii="Times New Roman" w:hAnsi="Times New Roman"/>
          <w:sz w:val="20"/>
          <w:szCs w:val="20"/>
        </w:rPr>
        <w:t xml:space="preserve"> </w:t>
      </w:r>
      <w:r w:rsidRPr="00ED00CF" w:rsidR="00617A85">
        <w:rPr>
          <w:rFonts w:ascii="Times New Roman" w:hAnsi="Times New Roman"/>
          <w:sz w:val="20"/>
          <w:szCs w:val="20"/>
        </w:rPr>
        <w:t>T</w:t>
      </w:r>
      <w:r w:rsidRPr="00ED00CF" w:rsidR="0058362E">
        <w:rPr>
          <w:rFonts w:ascii="Times New Roman" w:hAnsi="Times New Roman"/>
          <w:sz w:val="20"/>
          <w:szCs w:val="20"/>
        </w:rPr>
        <w:t xml:space="preserve">he final agreement signed by all the parties in interest </w:t>
      </w:r>
      <w:r w:rsidRPr="00ED00CF" w:rsidR="00617A85">
        <w:rPr>
          <w:rFonts w:ascii="Times New Roman" w:hAnsi="Times New Roman"/>
          <w:sz w:val="20"/>
          <w:szCs w:val="20"/>
        </w:rPr>
        <w:t>must</w:t>
      </w:r>
      <w:r w:rsidRPr="00ED00CF" w:rsidR="0058362E">
        <w:rPr>
          <w:rFonts w:ascii="Times New Roman" w:hAnsi="Times New Roman"/>
          <w:sz w:val="20"/>
          <w:szCs w:val="20"/>
        </w:rPr>
        <w:t xml:space="preserve"> be submitted to </w:t>
      </w:r>
      <w:r w:rsidRPr="00ED00CF" w:rsidR="00617A85">
        <w:rPr>
          <w:rFonts w:ascii="Times New Roman" w:hAnsi="Times New Roman"/>
          <w:sz w:val="20"/>
          <w:szCs w:val="20"/>
        </w:rPr>
        <w:t>the BLM</w:t>
      </w:r>
      <w:r w:rsidRPr="00ED00CF" w:rsidR="0058362E">
        <w:rPr>
          <w:rFonts w:ascii="Times New Roman" w:hAnsi="Times New Roman"/>
          <w:sz w:val="20"/>
          <w:szCs w:val="20"/>
        </w:rPr>
        <w:t>.</w:t>
      </w:r>
      <w:r w:rsidRPr="00ED00CF" w:rsidR="006C3704">
        <w:rPr>
          <w:rFonts w:ascii="Times New Roman" w:hAnsi="Times New Roman"/>
          <w:sz w:val="20"/>
          <w:szCs w:val="20"/>
        </w:rPr>
        <w:t xml:space="preserve"> </w:t>
      </w:r>
      <w:r w:rsidRPr="00ED00CF" w:rsidR="0058362E">
        <w:rPr>
          <w:rFonts w:ascii="Times New Roman" w:hAnsi="Times New Roman"/>
          <w:sz w:val="20"/>
          <w:szCs w:val="20"/>
        </w:rPr>
        <w:t xml:space="preserve">Applications for subsurface storage agreements or designations of successor operator must include the processing fee found in the fee schedule in </w:t>
      </w:r>
      <w:r w:rsidRPr="00ED00CF" w:rsidR="00E4468C">
        <w:rPr>
          <w:rFonts w:ascii="Times New Roman" w:hAnsi="Times New Roman"/>
          <w:sz w:val="20"/>
          <w:szCs w:val="20"/>
        </w:rPr>
        <w:t>43 CFR</w:t>
      </w:r>
      <w:r w:rsidRPr="00ED00CF" w:rsidR="00617A85">
        <w:rPr>
          <w:rFonts w:ascii="Times New Roman" w:hAnsi="Times New Roman"/>
          <w:sz w:val="20"/>
          <w:szCs w:val="20"/>
        </w:rPr>
        <w:t xml:space="preserve"> </w:t>
      </w:r>
      <w:r w:rsidRPr="00ED00CF" w:rsidR="0058362E">
        <w:rPr>
          <w:rFonts w:ascii="Times New Roman" w:hAnsi="Times New Roman"/>
          <w:sz w:val="20"/>
          <w:szCs w:val="20"/>
        </w:rPr>
        <w:t>3000.12</w:t>
      </w:r>
      <w:r w:rsidRPr="00ED00CF" w:rsidR="00617A85">
        <w:rPr>
          <w:rFonts w:ascii="Times New Roman" w:hAnsi="Times New Roman"/>
          <w:sz w:val="20"/>
          <w:szCs w:val="20"/>
        </w:rPr>
        <w:t>0</w:t>
      </w:r>
      <w:r w:rsidRPr="00ED00CF" w:rsidR="0058362E">
        <w:rPr>
          <w:rFonts w:ascii="Times New Roman" w:hAnsi="Times New Roman"/>
          <w:sz w:val="20"/>
          <w:szCs w:val="20"/>
        </w:rPr>
        <w:t>.</w:t>
      </w:r>
      <w:r w:rsidRPr="00ED00CF" w:rsidR="00870C55">
        <w:rPr>
          <w:rFonts w:ascii="Times New Roman" w:hAnsi="Times New Roman"/>
          <w:sz w:val="20"/>
          <w:szCs w:val="20"/>
        </w:rPr>
        <w:t xml:space="preserve"> </w:t>
      </w:r>
      <w:r w:rsidRPr="00ED00CF">
        <w:rPr>
          <w:rFonts w:ascii="Times New Roman" w:hAnsi="Times New Roman"/>
          <w:sz w:val="20"/>
          <w:szCs w:val="20"/>
        </w:rPr>
        <w:t>The</w:t>
      </w:r>
      <w:r w:rsidRPr="00ED00CF" w:rsidR="00F402D1">
        <w:rPr>
          <w:rFonts w:ascii="Times New Roman" w:hAnsi="Times New Roman"/>
          <w:sz w:val="20"/>
          <w:szCs w:val="20"/>
        </w:rPr>
        <w:t xml:space="preserve"> BLM uses </w:t>
      </w:r>
      <w:r w:rsidRPr="00ED00CF" w:rsidR="00E33CAF">
        <w:rPr>
          <w:rFonts w:ascii="Times New Roman" w:hAnsi="Times New Roman"/>
          <w:sz w:val="20"/>
          <w:szCs w:val="20"/>
        </w:rPr>
        <w:t>the information</w:t>
      </w:r>
      <w:r w:rsidRPr="00ED00CF">
        <w:rPr>
          <w:rFonts w:ascii="Times New Roman" w:hAnsi="Times New Roman"/>
          <w:sz w:val="20"/>
          <w:szCs w:val="20"/>
        </w:rPr>
        <w:t xml:space="preserve"> to authorize subsurface storage</w:t>
      </w:r>
      <w:r w:rsidRPr="00ED00CF" w:rsidR="00F402D1">
        <w:rPr>
          <w:rFonts w:ascii="Times New Roman" w:hAnsi="Times New Roman"/>
          <w:sz w:val="20"/>
          <w:szCs w:val="20"/>
        </w:rPr>
        <w:t xml:space="preserve"> that will avoid </w:t>
      </w:r>
      <w:r w:rsidRPr="00ED00CF">
        <w:rPr>
          <w:rFonts w:ascii="Times New Roman" w:hAnsi="Times New Roman"/>
          <w:sz w:val="20"/>
          <w:szCs w:val="20"/>
        </w:rPr>
        <w:t xml:space="preserve">waste and promote conservation of </w:t>
      </w:r>
      <w:r w:rsidRPr="00ED00CF">
        <w:rPr>
          <w:rFonts w:ascii="Times New Roman" w:hAnsi="Times New Roman"/>
          <w:sz w:val="20"/>
          <w:szCs w:val="20"/>
        </w:rPr>
        <w:t>the natural</w:t>
      </w:r>
      <w:r w:rsidRPr="00ED00CF">
        <w:rPr>
          <w:rFonts w:ascii="Times New Roman" w:hAnsi="Times New Roman"/>
          <w:sz w:val="20"/>
          <w:szCs w:val="20"/>
        </w:rPr>
        <w:t xml:space="preserve"> resources.</w:t>
      </w:r>
    </w:p>
    <w:p w:rsidR="008A7CB4" w:rsidRPr="00ED00CF" w:rsidP="001E60B6" w14:paraId="75B28C2D"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p>
    <w:p w:rsidR="00311F3E" w:rsidRPr="00ED00CF" w:rsidP="00AE3AE4" w14:paraId="5DB885CB" w14:textId="378CC91F">
      <w:pPr>
        <w:pStyle w:val="Heading4"/>
        <w:numPr>
          <w:ilvl w:val="0"/>
          <w:numId w:val="0"/>
        </w:numPr>
        <w:rPr>
          <w:sz w:val="20"/>
          <w:szCs w:val="20"/>
        </w:rPr>
      </w:pPr>
      <w:r w:rsidRPr="00ED00CF">
        <w:rPr>
          <w:sz w:val="20"/>
          <w:szCs w:val="20"/>
        </w:rPr>
        <w:t xml:space="preserve">43 CFR </w:t>
      </w:r>
      <w:r w:rsidRPr="00ED00CF" w:rsidR="008A7CB4">
        <w:rPr>
          <w:sz w:val="20"/>
          <w:szCs w:val="20"/>
        </w:rPr>
        <w:t>3105.</w:t>
      </w:r>
      <w:r w:rsidRPr="00ED00CF" w:rsidR="009A3308">
        <w:rPr>
          <w:sz w:val="20"/>
          <w:szCs w:val="20"/>
        </w:rPr>
        <w:t>5</w:t>
      </w:r>
      <w:r w:rsidRPr="00ED00CF" w:rsidR="00617A85">
        <w:rPr>
          <w:sz w:val="20"/>
          <w:szCs w:val="20"/>
        </w:rPr>
        <w:t>0</w:t>
      </w:r>
      <w:r w:rsidRPr="00ED00CF" w:rsidR="009A3308">
        <w:rPr>
          <w:sz w:val="20"/>
          <w:szCs w:val="20"/>
        </w:rPr>
        <w:t xml:space="preserve"> </w:t>
      </w:r>
      <w:r w:rsidRPr="00ED00CF" w:rsidR="004649DC">
        <w:rPr>
          <w:sz w:val="20"/>
          <w:szCs w:val="20"/>
        </w:rPr>
        <w:t>—</w:t>
      </w:r>
      <w:r w:rsidRPr="00ED00CF" w:rsidR="008A7CB4">
        <w:rPr>
          <w:sz w:val="20"/>
          <w:szCs w:val="20"/>
        </w:rPr>
        <w:t xml:space="preserve"> Consolidation of Leases</w:t>
      </w:r>
      <w:r w:rsidR="000F3F1E">
        <w:rPr>
          <w:sz w:val="20"/>
          <w:szCs w:val="20"/>
        </w:rPr>
        <w:t xml:space="preserve"> </w:t>
      </w:r>
    </w:p>
    <w:p w:rsidR="00311F3E" w:rsidRPr="00ED00CF" w:rsidP="00311F3E" w14:paraId="0AF1A8DF"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sz w:val="20"/>
          <w:szCs w:val="20"/>
        </w:rPr>
      </w:pPr>
    </w:p>
    <w:p w:rsidR="00133F48" w:rsidRPr="00ED00CF" w:rsidP="73A9246C" w14:paraId="49D46323" w14:textId="773BE2FB">
      <w:pPr>
        <w:widowControl/>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r w:rsidRPr="00ED00CF">
        <w:rPr>
          <w:rFonts w:ascii="Times New Roman" w:hAnsi="Times New Roman"/>
          <w:sz w:val="20"/>
          <w:szCs w:val="20"/>
        </w:rPr>
        <w:t>Leases may be consolidated upon written request of the lessee filed with the proper B</w:t>
      </w:r>
      <w:r w:rsidRPr="00ED00CF" w:rsidR="00617A85">
        <w:rPr>
          <w:rFonts w:ascii="Times New Roman" w:hAnsi="Times New Roman"/>
          <w:sz w:val="20"/>
          <w:szCs w:val="20"/>
        </w:rPr>
        <w:t>LM</w:t>
      </w:r>
      <w:r w:rsidRPr="00ED00CF">
        <w:rPr>
          <w:rFonts w:ascii="Times New Roman" w:hAnsi="Times New Roman"/>
          <w:sz w:val="20"/>
          <w:szCs w:val="20"/>
        </w:rPr>
        <w:t xml:space="preserve"> office. The request </w:t>
      </w:r>
      <w:r w:rsidRPr="73A9246C" w:rsidR="00F57B94">
        <w:rPr>
          <w:rFonts w:ascii="Times New Roman" w:hAnsi="Times New Roman"/>
          <w:sz w:val="20"/>
          <w:szCs w:val="20"/>
        </w:rPr>
        <w:t>must</w:t>
      </w:r>
      <w:r w:rsidRPr="00ED00CF">
        <w:rPr>
          <w:rFonts w:ascii="Times New Roman" w:hAnsi="Times New Roman"/>
          <w:sz w:val="20"/>
          <w:szCs w:val="20"/>
        </w:rPr>
        <w:t xml:space="preserve"> identify each lease involved by serial number and explain the factors that justify the consolidation. </w:t>
      </w:r>
      <w:r w:rsidRPr="00ED00CF" w:rsidR="00CE1300">
        <w:rPr>
          <w:rFonts w:ascii="Times New Roman" w:hAnsi="Times New Roman"/>
          <w:sz w:val="20"/>
          <w:szCs w:val="20"/>
        </w:rPr>
        <w:t xml:space="preserve">Include with each request for a consolidation of leases </w:t>
      </w:r>
      <w:r w:rsidRPr="00ED00CF">
        <w:rPr>
          <w:rFonts w:ascii="Times New Roman" w:hAnsi="Times New Roman"/>
          <w:sz w:val="20"/>
          <w:szCs w:val="20"/>
        </w:rPr>
        <w:t xml:space="preserve">the processing fee found in the fee schedule in </w:t>
      </w:r>
      <w:r w:rsidRPr="00ED00CF" w:rsidR="00074AD4">
        <w:rPr>
          <w:rFonts w:ascii="Times New Roman" w:hAnsi="Times New Roman"/>
          <w:sz w:val="20"/>
          <w:szCs w:val="20"/>
        </w:rPr>
        <w:t xml:space="preserve">43 CFR </w:t>
      </w:r>
      <w:r w:rsidRPr="00ED00CF">
        <w:rPr>
          <w:rFonts w:ascii="Times New Roman" w:hAnsi="Times New Roman"/>
          <w:sz w:val="20"/>
          <w:szCs w:val="20"/>
        </w:rPr>
        <w:t>3000.12</w:t>
      </w:r>
      <w:r w:rsidRPr="00ED00CF" w:rsidR="00617A85">
        <w:rPr>
          <w:rFonts w:ascii="Times New Roman" w:hAnsi="Times New Roman"/>
          <w:sz w:val="20"/>
          <w:szCs w:val="20"/>
        </w:rPr>
        <w:t>0.</w:t>
      </w:r>
      <w:r w:rsidRPr="00ED00CF">
        <w:rPr>
          <w:rFonts w:ascii="Times New Roman" w:hAnsi="Times New Roman"/>
          <w:sz w:val="20"/>
          <w:szCs w:val="20"/>
        </w:rPr>
        <w:t xml:space="preserve"> </w:t>
      </w:r>
    </w:p>
    <w:p w:rsidR="0072738E" w:rsidP="001875D9" w14:paraId="2E7AF105" w14:textId="67ACB03D">
      <w:pPr>
        <w:pStyle w:val="Heading3"/>
        <w:widowControl/>
        <w:tabs>
          <w:tab w:val="left" w:pos="2160"/>
          <w:tab w:val="left" w:pos="2880"/>
        </w:tabs>
        <w:rPr>
          <w:sz w:val="20"/>
          <w:szCs w:val="20"/>
        </w:rPr>
      </w:pPr>
    </w:p>
    <w:p w:rsidR="00CB66D0" w:rsidRPr="00ED00CF" w:rsidP="00D765E9" w14:paraId="29D43A79" w14:textId="4CB3F2EB">
      <w:pPr>
        <w:pStyle w:val="Heading3"/>
        <w:rPr>
          <w:sz w:val="20"/>
          <w:szCs w:val="20"/>
        </w:rPr>
      </w:pPr>
      <w:r w:rsidRPr="00ED00CF">
        <w:rPr>
          <w:sz w:val="20"/>
          <w:szCs w:val="20"/>
        </w:rPr>
        <w:t>43 CFR 3106 — Transfers by Assignment, Sublease</w:t>
      </w:r>
      <w:r w:rsidRPr="00ED00CF" w:rsidR="00C047C9">
        <w:rPr>
          <w:sz w:val="20"/>
          <w:szCs w:val="20"/>
        </w:rPr>
        <w:t>,</w:t>
      </w:r>
      <w:r w:rsidRPr="00ED00CF">
        <w:rPr>
          <w:sz w:val="20"/>
          <w:szCs w:val="20"/>
        </w:rPr>
        <w:t xml:space="preserve"> or Otherwise</w:t>
      </w:r>
      <w:r w:rsidRPr="00ED00CF" w:rsidR="008550CA">
        <w:rPr>
          <w:sz w:val="20"/>
          <w:szCs w:val="20"/>
        </w:rPr>
        <w:t xml:space="preserve"> </w:t>
      </w:r>
    </w:p>
    <w:p w:rsidR="00CB66D0" w:rsidRPr="00ED00CF" w:rsidP="001E60B6" w14:paraId="209FDEE9"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0"/>
          <w:szCs w:val="20"/>
        </w:rPr>
      </w:pPr>
    </w:p>
    <w:p w:rsidR="00D638A7" w:rsidRPr="00ED00CF" w:rsidP="00AE3AE4" w14:paraId="14E8CE15" w14:textId="14A6C922">
      <w:pPr>
        <w:pStyle w:val="Heading4"/>
        <w:numPr>
          <w:ilvl w:val="0"/>
          <w:numId w:val="0"/>
        </w:numPr>
        <w:rPr>
          <w:sz w:val="20"/>
          <w:szCs w:val="20"/>
        </w:rPr>
      </w:pPr>
      <w:r w:rsidRPr="00ED00CF">
        <w:rPr>
          <w:sz w:val="20"/>
          <w:szCs w:val="20"/>
        </w:rPr>
        <w:t xml:space="preserve">43 CFR </w:t>
      </w:r>
      <w:r w:rsidRPr="00ED00CF" w:rsidR="007D5A85">
        <w:rPr>
          <w:sz w:val="20"/>
          <w:szCs w:val="20"/>
        </w:rPr>
        <w:t>3106.</w:t>
      </w:r>
      <w:r w:rsidRPr="00ED00CF" w:rsidR="00495B87">
        <w:rPr>
          <w:sz w:val="20"/>
          <w:szCs w:val="20"/>
        </w:rPr>
        <w:t>4</w:t>
      </w:r>
      <w:r w:rsidRPr="00ED00CF" w:rsidR="008D244A">
        <w:rPr>
          <w:sz w:val="20"/>
          <w:szCs w:val="20"/>
        </w:rPr>
        <w:t>1</w:t>
      </w:r>
      <w:r w:rsidRPr="00ED00CF" w:rsidR="00A30036">
        <w:rPr>
          <w:sz w:val="20"/>
          <w:szCs w:val="20"/>
        </w:rPr>
        <w:t xml:space="preserve"> </w:t>
      </w:r>
      <w:r w:rsidRPr="00ED00CF" w:rsidR="004649DC">
        <w:rPr>
          <w:sz w:val="20"/>
          <w:szCs w:val="20"/>
        </w:rPr>
        <w:t xml:space="preserve">— </w:t>
      </w:r>
      <w:r w:rsidRPr="00ED00CF" w:rsidR="00495B87">
        <w:rPr>
          <w:sz w:val="20"/>
          <w:szCs w:val="20"/>
        </w:rPr>
        <w:t xml:space="preserve">Transfers of </w:t>
      </w:r>
      <w:r w:rsidRPr="00ED00CF" w:rsidR="004649DC">
        <w:rPr>
          <w:sz w:val="20"/>
          <w:szCs w:val="20"/>
        </w:rPr>
        <w:t xml:space="preserve">Record Title </w:t>
      </w:r>
      <w:r w:rsidRPr="00ED00CF" w:rsidR="00495B87">
        <w:rPr>
          <w:sz w:val="20"/>
          <w:szCs w:val="20"/>
        </w:rPr>
        <w:t xml:space="preserve">and of </w:t>
      </w:r>
      <w:r w:rsidRPr="00ED00CF" w:rsidR="004649DC">
        <w:rPr>
          <w:sz w:val="20"/>
          <w:szCs w:val="20"/>
        </w:rPr>
        <w:t xml:space="preserve">Operating Rights </w:t>
      </w:r>
      <w:r w:rsidRPr="00ED00CF" w:rsidR="00495B87">
        <w:rPr>
          <w:sz w:val="20"/>
          <w:szCs w:val="20"/>
        </w:rPr>
        <w:t>(</w:t>
      </w:r>
      <w:r w:rsidRPr="00ED00CF" w:rsidR="004649DC">
        <w:rPr>
          <w:sz w:val="20"/>
          <w:szCs w:val="20"/>
        </w:rPr>
        <w:t>Subleases</w:t>
      </w:r>
      <w:r w:rsidRPr="00ED00CF" w:rsidR="00495B87">
        <w:rPr>
          <w:sz w:val="20"/>
          <w:szCs w:val="20"/>
        </w:rPr>
        <w:t>)</w:t>
      </w:r>
      <w:r w:rsidRPr="00ED00CF" w:rsidR="000A34C3">
        <w:rPr>
          <w:sz w:val="20"/>
          <w:szCs w:val="20"/>
        </w:rPr>
        <w:t xml:space="preserve"> and </w:t>
      </w:r>
      <w:r w:rsidRPr="00ED00CF">
        <w:rPr>
          <w:sz w:val="20"/>
          <w:szCs w:val="20"/>
        </w:rPr>
        <w:t xml:space="preserve">43 CFR </w:t>
      </w:r>
      <w:r w:rsidRPr="00ED00CF" w:rsidR="00171345">
        <w:rPr>
          <w:sz w:val="20"/>
          <w:szCs w:val="20"/>
        </w:rPr>
        <w:t>3106.4</w:t>
      </w:r>
      <w:r w:rsidRPr="00ED00CF" w:rsidR="008D244A">
        <w:rPr>
          <w:sz w:val="20"/>
          <w:szCs w:val="20"/>
        </w:rPr>
        <w:t>2</w:t>
      </w:r>
      <w:r w:rsidRPr="00ED00CF" w:rsidR="004649DC">
        <w:rPr>
          <w:sz w:val="20"/>
          <w:szCs w:val="20"/>
        </w:rPr>
        <w:t xml:space="preserve"> —</w:t>
      </w:r>
      <w:r w:rsidRPr="00ED00CF" w:rsidR="00171345">
        <w:rPr>
          <w:sz w:val="20"/>
          <w:szCs w:val="20"/>
        </w:rPr>
        <w:t xml:space="preserve"> Transfers of </w:t>
      </w:r>
      <w:r w:rsidRPr="00ED00CF" w:rsidR="004649DC">
        <w:rPr>
          <w:sz w:val="20"/>
          <w:szCs w:val="20"/>
        </w:rPr>
        <w:t>O</w:t>
      </w:r>
      <w:r w:rsidRPr="00ED00CF" w:rsidR="00171345">
        <w:rPr>
          <w:sz w:val="20"/>
          <w:szCs w:val="20"/>
        </w:rPr>
        <w:t xml:space="preserve">ther </w:t>
      </w:r>
      <w:r w:rsidRPr="00ED00CF" w:rsidR="004649DC">
        <w:rPr>
          <w:sz w:val="20"/>
          <w:szCs w:val="20"/>
        </w:rPr>
        <w:t>I</w:t>
      </w:r>
      <w:r w:rsidRPr="00ED00CF" w:rsidR="00171345">
        <w:rPr>
          <w:sz w:val="20"/>
          <w:szCs w:val="20"/>
        </w:rPr>
        <w:t xml:space="preserve">nterests, </w:t>
      </w:r>
      <w:r w:rsidRPr="00ED00CF" w:rsidR="004649DC">
        <w:rPr>
          <w:sz w:val="20"/>
          <w:szCs w:val="20"/>
        </w:rPr>
        <w:t>Including Royalty Interests</w:t>
      </w:r>
      <w:r w:rsidRPr="00ED00CF" w:rsidR="00171345">
        <w:rPr>
          <w:sz w:val="20"/>
          <w:szCs w:val="20"/>
        </w:rPr>
        <w:t xml:space="preserve"> and </w:t>
      </w:r>
      <w:r w:rsidRPr="00ED00CF" w:rsidR="004649DC">
        <w:rPr>
          <w:sz w:val="20"/>
          <w:szCs w:val="20"/>
        </w:rPr>
        <w:t>Production P</w:t>
      </w:r>
      <w:r w:rsidRPr="00ED00CF" w:rsidR="00171345">
        <w:rPr>
          <w:sz w:val="20"/>
          <w:szCs w:val="20"/>
        </w:rPr>
        <w:t xml:space="preserve">ayments </w:t>
      </w:r>
    </w:p>
    <w:p w:rsidR="000A34C3" w:rsidRPr="00ED00CF" w:rsidP="001E60B6" w14:paraId="6671596E"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0"/>
          <w:szCs w:val="20"/>
        </w:rPr>
      </w:pPr>
    </w:p>
    <w:p w:rsidR="0047616A" w:rsidRPr="00ED00CF" w:rsidP="0047616A" w14:paraId="6A386AB0" w14:textId="3A080DAB">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r w:rsidRPr="00ED00CF">
        <w:rPr>
          <w:rFonts w:ascii="Times New Roman" w:hAnsi="Times New Roman"/>
          <w:sz w:val="20"/>
          <w:szCs w:val="20"/>
        </w:rPr>
        <w:t>T</w:t>
      </w:r>
      <w:r w:rsidRPr="00ED00CF" w:rsidR="006D02F6">
        <w:rPr>
          <w:rFonts w:ascii="Times New Roman" w:hAnsi="Times New Roman"/>
          <w:sz w:val="20"/>
          <w:szCs w:val="20"/>
        </w:rPr>
        <w:t xml:space="preserve">he </w:t>
      </w:r>
      <w:r w:rsidRPr="00ED00CF">
        <w:rPr>
          <w:rFonts w:ascii="Times New Roman" w:hAnsi="Times New Roman"/>
          <w:sz w:val="20"/>
          <w:szCs w:val="20"/>
        </w:rPr>
        <w:t>BLM uses the requested information (name, address, lease serial number, percentage of interest, and land description) to communicate with the assignee/transferee; to determine whether the assignee/transferee is qualified to hold a lease in accordance with pertinent legal and regulatory authorities; to record ownership of interests in Federal leases; to enable accurate rental billing of leaseholders; and to verify location of the lands.</w:t>
      </w:r>
      <w:r w:rsidRPr="00ED00CF" w:rsidR="00E954E6">
        <w:rPr>
          <w:rFonts w:ascii="Times New Roman" w:hAnsi="Times New Roman"/>
          <w:sz w:val="20"/>
          <w:szCs w:val="20"/>
        </w:rPr>
        <w:t xml:space="preserve"> </w:t>
      </w:r>
      <w:r w:rsidRPr="00ED00CF">
        <w:rPr>
          <w:rFonts w:ascii="Times New Roman" w:hAnsi="Times New Roman"/>
          <w:sz w:val="20"/>
          <w:szCs w:val="20"/>
        </w:rPr>
        <w:t xml:space="preserve">The assignor/transferor is not required to complete the boxes for “lease effective date” or “new serial number.” The BLM supplies this information so that the assignee/transferee is aware of a new lease serial number when the lease is segregated </w:t>
      </w:r>
      <w:r w:rsidRPr="00ED00CF">
        <w:rPr>
          <w:rFonts w:ascii="Times New Roman" w:hAnsi="Times New Roman"/>
          <w:sz w:val="20"/>
          <w:szCs w:val="20"/>
        </w:rPr>
        <w:t>as a result of</w:t>
      </w:r>
      <w:r w:rsidRPr="00ED00CF">
        <w:rPr>
          <w:rFonts w:ascii="Times New Roman" w:hAnsi="Times New Roman"/>
          <w:sz w:val="20"/>
          <w:szCs w:val="20"/>
        </w:rPr>
        <w:t xml:space="preserve"> a partial assignment and is aware of the anniversary date of the lease for rental payment purposes.</w:t>
      </w:r>
      <w:r w:rsidRPr="00ED00CF" w:rsidR="00E954E6">
        <w:rPr>
          <w:rFonts w:ascii="Times New Roman" w:hAnsi="Times New Roman"/>
          <w:sz w:val="20"/>
          <w:szCs w:val="20"/>
        </w:rPr>
        <w:t xml:space="preserve"> </w:t>
      </w:r>
      <w:r w:rsidRPr="00ED00CF">
        <w:rPr>
          <w:rFonts w:ascii="Times New Roman" w:hAnsi="Times New Roman"/>
          <w:sz w:val="20"/>
          <w:szCs w:val="20"/>
        </w:rPr>
        <w:t>Respondents check boxes to indicate whether the interest conveyed is for an oil and gas or geothermal assignment of record title, operating rights, or overriding royalty transfers.</w:t>
      </w:r>
      <w:r w:rsidRPr="00ED00CF" w:rsidR="00E954E6">
        <w:rPr>
          <w:rFonts w:ascii="Times New Roman" w:hAnsi="Times New Roman"/>
          <w:sz w:val="20"/>
          <w:szCs w:val="20"/>
        </w:rPr>
        <w:t xml:space="preserve"> </w:t>
      </w:r>
      <w:r w:rsidRPr="00ED00CF">
        <w:rPr>
          <w:rFonts w:ascii="Times New Roman" w:hAnsi="Times New Roman"/>
          <w:sz w:val="20"/>
          <w:szCs w:val="20"/>
        </w:rPr>
        <w:t xml:space="preserve">Under the regulations at 43 CFR 3106.42, </w:t>
      </w:r>
      <w:r w:rsidRPr="00ED00CF" w:rsidR="00ED6816">
        <w:rPr>
          <w:rFonts w:ascii="Times New Roman" w:hAnsi="Times New Roman"/>
          <w:sz w:val="20"/>
          <w:szCs w:val="20"/>
        </w:rPr>
        <w:t xml:space="preserve">the BLM </w:t>
      </w:r>
      <w:r w:rsidRPr="00ED00CF">
        <w:rPr>
          <w:rFonts w:ascii="Times New Roman" w:hAnsi="Times New Roman"/>
          <w:sz w:val="20"/>
          <w:szCs w:val="20"/>
        </w:rPr>
        <w:t>require</w:t>
      </w:r>
      <w:r w:rsidRPr="00ED00CF" w:rsidR="00ED6816">
        <w:rPr>
          <w:rFonts w:ascii="Times New Roman" w:hAnsi="Times New Roman"/>
          <w:sz w:val="20"/>
          <w:szCs w:val="20"/>
        </w:rPr>
        <w:t>s</w:t>
      </w:r>
      <w:r w:rsidRPr="00ED00CF">
        <w:rPr>
          <w:rFonts w:ascii="Times New Roman" w:hAnsi="Times New Roman"/>
          <w:sz w:val="20"/>
          <w:szCs w:val="20"/>
        </w:rPr>
        <w:t xml:space="preserve"> use of these forms for transfers of royalty interests or payments out of production, if such transfers are created or reserved independently of a transfer of record title or of operating rights.</w:t>
      </w:r>
      <w:r w:rsidRPr="00ED00CF" w:rsidR="00E954E6">
        <w:rPr>
          <w:rFonts w:ascii="Times New Roman" w:hAnsi="Times New Roman"/>
          <w:sz w:val="20"/>
          <w:szCs w:val="20"/>
        </w:rPr>
        <w:t xml:space="preserve"> </w:t>
      </w:r>
    </w:p>
    <w:p w:rsidR="0047616A" w:rsidRPr="00ED00CF" w:rsidP="0047616A" w14:paraId="1161C1A0"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p>
    <w:p w:rsidR="0047616A" w:rsidRPr="00ED00CF" w:rsidP="0047616A" w14:paraId="6E4DC8E0" w14:textId="4F8AA642">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r w:rsidRPr="00ED00CF">
        <w:rPr>
          <w:rFonts w:ascii="Times New Roman" w:hAnsi="Times New Roman"/>
          <w:sz w:val="20"/>
          <w:szCs w:val="20"/>
        </w:rPr>
        <w:t xml:space="preserve">When a lessee submits an assignment or transfer, the BLM records this information </w:t>
      </w:r>
      <w:r w:rsidRPr="00ED00CF">
        <w:rPr>
          <w:rFonts w:ascii="Times New Roman" w:hAnsi="Times New Roman"/>
          <w:sz w:val="20"/>
          <w:szCs w:val="20"/>
        </w:rPr>
        <w:t>in order to</w:t>
      </w:r>
      <w:r w:rsidRPr="00ED00CF">
        <w:rPr>
          <w:rFonts w:ascii="Times New Roman" w:hAnsi="Times New Roman"/>
          <w:sz w:val="20"/>
          <w:szCs w:val="20"/>
        </w:rPr>
        <w:t xml:space="preserve"> prevent unlawful extraction of mineral resources and to ensure prompt payment of rentals and royalties for the rights obtained under a </w:t>
      </w:r>
      <w:r w:rsidRPr="00ED00CF">
        <w:rPr>
          <w:rFonts w:ascii="Times New Roman" w:hAnsi="Times New Roman"/>
          <w:sz w:val="20"/>
          <w:szCs w:val="20"/>
        </w:rPr>
        <w:t>Federal</w:t>
      </w:r>
      <w:r w:rsidRPr="00ED00CF">
        <w:rPr>
          <w:rFonts w:ascii="Times New Roman" w:hAnsi="Times New Roman"/>
          <w:sz w:val="20"/>
          <w:szCs w:val="20"/>
        </w:rPr>
        <w:t xml:space="preserve"> lease.</w:t>
      </w:r>
      <w:r w:rsidRPr="00ED00CF" w:rsidR="00E954E6">
        <w:rPr>
          <w:rFonts w:ascii="Times New Roman" w:hAnsi="Times New Roman"/>
          <w:sz w:val="20"/>
          <w:szCs w:val="20"/>
        </w:rPr>
        <w:t xml:space="preserve"> </w:t>
      </w:r>
      <w:r w:rsidRPr="00ED00CF">
        <w:rPr>
          <w:rFonts w:ascii="Times New Roman" w:hAnsi="Times New Roman"/>
          <w:sz w:val="20"/>
          <w:szCs w:val="20"/>
        </w:rPr>
        <w:t>This information also ensures that leases are not encumbered with agreements that cause the minerals to be uneconomical to produce, resulting in lost revenues to the Federal Government.</w:t>
      </w:r>
      <w:r w:rsidRPr="00ED00CF" w:rsidR="00E954E6">
        <w:rPr>
          <w:rFonts w:ascii="Times New Roman" w:hAnsi="Times New Roman"/>
          <w:sz w:val="20"/>
          <w:szCs w:val="20"/>
        </w:rPr>
        <w:t xml:space="preserve"> </w:t>
      </w:r>
      <w:r w:rsidRPr="00ED00CF">
        <w:rPr>
          <w:rFonts w:ascii="Times New Roman" w:hAnsi="Times New Roman"/>
          <w:sz w:val="20"/>
          <w:szCs w:val="20"/>
        </w:rPr>
        <w:t xml:space="preserve">In addition, this information enables the BLM to ensure the assignee or transferee </w:t>
      </w:r>
      <w:r w:rsidRPr="00ED00CF">
        <w:rPr>
          <w:rFonts w:ascii="Times New Roman" w:hAnsi="Times New Roman"/>
          <w:sz w:val="20"/>
          <w:szCs w:val="20"/>
        </w:rPr>
        <w:t>is in compliance with</w:t>
      </w:r>
      <w:r w:rsidRPr="00ED00CF">
        <w:rPr>
          <w:rFonts w:ascii="Times New Roman" w:hAnsi="Times New Roman"/>
          <w:sz w:val="20"/>
          <w:szCs w:val="20"/>
        </w:rPr>
        <w:t xml:space="preserve"> bonding requirements, when necessary, before approval of the transfer or assignment.</w:t>
      </w:r>
    </w:p>
    <w:p w:rsidR="0047616A" w:rsidRPr="00ED00CF" w:rsidP="0047616A" w14:paraId="220ECE61"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r w:rsidRPr="00ED00CF">
        <w:rPr>
          <w:rFonts w:ascii="Times New Roman" w:hAnsi="Times New Roman"/>
          <w:sz w:val="20"/>
          <w:szCs w:val="20"/>
        </w:rPr>
        <w:t xml:space="preserve"> </w:t>
      </w:r>
    </w:p>
    <w:p w:rsidR="0047616A" w:rsidRPr="00ED00CF" w:rsidP="0047616A" w14:paraId="2D102BD1" w14:textId="7ECF19F5">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r w:rsidRPr="00ED00CF">
        <w:rPr>
          <w:rFonts w:ascii="Times New Roman" w:hAnsi="Times New Roman"/>
          <w:sz w:val="20"/>
          <w:szCs w:val="20"/>
        </w:rPr>
        <w:t>The BLM requires the applicant to submit the following information on Form 3000-3</w:t>
      </w:r>
      <w:r w:rsidRPr="00ED00CF" w:rsidR="00933D89">
        <w:rPr>
          <w:rFonts w:ascii="Times New Roman" w:hAnsi="Times New Roman"/>
          <w:sz w:val="20"/>
          <w:szCs w:val="20"/>
        </w:rPr>
        <w:t xml:space="preserve">, </w:t>
      </w:r>
      <w:r w:rsidRPr="00ED00CF" w:rsidR="00C9556D">
        <w:rPr>
          <w:rFonts w:ascii="Times New Roman" w:hAnsi="Times New Roman"/>
          <w:sz w:val="20"/>
          <w:szCs w:val="20"/>
        </w:rPr>
        <w:t>Assignment of Record Title Interest / Oil and Gas Leases</w:t>
      </w:r>
      <w:r w:rsidRPr="00ED00CF">
        <w:rPr>
          <w:rFonts w:ascii="Times New Roman" w:hAnsi="Times New Roman"/>
          <w:sz w:val="20"/>
          <w:szCs w:val="20"/>
        </w:rPr>
        <w:t>, and Form 3000-</w:t>
      </w:r>
      <w:r w:rsidRPr="00ED00CF">
        <w:rPr>
          <w:rFonts w:ascii="Times New Roman" w:hAnsi="Times New Roman"/>
          <w:sz w:val="20"/>
          <w:szCs w:val="20"/>
        </w:rPr>
        <w:t>3a</w:t>
      </w:r>
      <w:r w:rsidRPr="00ED00CF" w:rsidR="00C9556D">
        <w:rPr>
          <w:rFonts w:ascii="Times New Roman" w:hAnsi="Times New Roman"/>
          <w:sz w:val="20"/>
          <w:szCs w:val="20"/>
        </w:rPr>
        <w:t xml:space="preserve">, </w:t>
      </w:r>
      <w:r w:rsidRPr="00ED00CF" w:rsidR="008B5683">
        <w:rPr>
          <w:rFonts w:ascii="Times New Roman" w:hAnsi="Times New Roman"/>
          <w:sz w:val="20"/>
          <w:szCs w:val="20"/>
        </w:rPr>
        <w:t>Transfer of Operating Rights / Oil and Gas Leases</w:t>
      </w:r>
      <w:r w:rsidRPr="00ED00CF">
        <w:rPr>
          <w:rFonts w:ascii="Times New Roman" w:hAnsi="Times New Roman"/>
          <w:sz w:val="20"/>
          <w:szCs w:val="20"/>
        </w:rPr>
        <w:t>:</w:t>
      </w:r>
    </w:p>
    <w:p w:rsidR="0047616A" w:rsidRPr="00ED00CF" w:rsidP="00D765E9" w14:paraId="17CE851B" w14:textId="66AB40A6">
      <w:pPr>
        <w:pStyle w:val="ListParagraph"/>
        <w:widowControl/>
        <w:numPr>
          <w:ilvl w:val="0"/>
          <w:numId w:val="37"/>
        </w:num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r w:rsidRPr="00ED00CF">
        <w:rPr>
          <w:rFonts w:ascii="Times New Roman" w:hAnsi="Times New Roman"/>
          <w:sz w:val="20"/>
          <w:szCs w:val="20"/>
        </w:rPr>
        <w:t>Lease Serial Number</w:t>
      </w:r>
      <w:r w:rsidRPr="00ED00CF" w:rsidR="008E654F">
        <w:rPr>
          <w:rFonts w:ascii="Times New Roman" w:hAnsi="Times New Roman"/>
          <w:sz w:val="20"/>
          <w:szCs w:val="20"/>
        </w:rPr>
        <w:t>—needed to</w:t>
      </w:r>
      <w:r w:rsidRPr="00ED00CF">
        <w:rPr>
          <w:rFonts w:ascii="Times New Roman" w:hAnsi="Times New Roman"/>
          <w:sz w:val="20"/>
          <w:szCs w:val="20"/>
        </w:rPr>
        <w:t xml:space="preserve"> determine the lease upon which an</w:t>
      </w:r>
      <w:r w:rsidRPr="00ED00CF" w:rsidR="008E654F">
        <w:rPr>
          <w:rFonts w:ascii="Times New Roman" w:hAnsi="Times New Roman"/>
          <w:sz w:val="20"/>
          <w:szCs w:val="20"/>
        </w:rPr>
        <w:t xml:space="preserve"> </w:t>
      </w:r>
      <w:r w:rsidRPr="00ED00CF">
        <w:rPr>
          <w:rFonts w:ascii="Times New Roman" w:hAnsi="Times New Roman"/>
          <w:sz w:val="20"/>
          <w:szCs w:val="20"/>
        </w:rPr>
        <w:t>assignment/transfer for all or part of a record title interest, operating rights, or overriding royalty, or similar interest in a lease to another party</w:t>
      </w:r>
      <w:r w:rsidRPr="00ED00CF" w:rsidR="008E654F">
        <w:rPr>
          <w:rFonts w:ascii="Times New Roman" w:hAnsi="Times New Roman"/>
          <w:sz w:val="20"/>
          <w:szCs w:val="20"/>
        </w:rPr>
        <w:t>,</w:t>
      </w:r>
      <w:r w:rsidRPr="00ED00CF">
        <w:rPr>
          <w:rFonts w:ascii="Times New Roman" w:hAnsi="Times New Roman"/>
          <w:sz w:val="20"/>
          <w:szCs w:val="20"/>
        </w:rPr>
        <w:t xml:space="preserve"> will be made</w:t>
      </w:r>
      <w:r w:rsidRPr="00ED00CF" w:rsidR="008E654F">
        <w:rPr>
          <w:rFonts w:ascii="Times New Roman" w:hAnsi="Times New Roman"/>
          <w:sz w:val="20"/>
          <w:szCs w:val="20"/>
        </w:rPr>
        <w:t>.</w:t>
      </w:r>
    </w:p>
    <w:p w:rsidR="0047616A" w:rsidRPr="00ED00CF" w:rsidP="004A124F" w14:paraId="503219F3" w14:textId="11963379">
      <w:pPr>
        <w:pStyle w:val="ListParagraph"/>
        <w:widowControl/>
        <w:numPr>
          <w:ilvl w:val="0"/>
          <w:numId w:val="37"/>
        </w:num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r w:rsidRPr="00ED00CF">
        <w:rPr>
          <w:rFonts w:ascii="Times New Roman" w:hAnsi="Times New Roman"/>
          <w:sz w:val="20"/>
          <w:szCs w:val="20"/>
        </w:rPr>
        <w:t>Lease Effective Date</w:t>
      </w:r>
      <w:r w:rsidRPr="00ED00CF" w:rsidR="008E654F">
        <w:rPr>
          <w:rFonts w:ascii="Times New Roman" w:hAnsi="Times New Roman"/>
          <w:sz w:val="20"/>
          <w:szCs w:val="20"/>
        </w:rPr>
        <w:t>—needed to</w:t>
      </w:r>
      <w:r w:rsidRPr="00ED00CF">
        <w:rPr>
          <w:rFonts w:ascii="Times New Roman" w:hAnsi="Times New Roman"/>
          <w:sz w:val="20"/>
          <w:szCs w:val="20"/>
        </w:rPr>
        <w:t xml:space="preserve"> determine if the lease is still in effect.</w:t>
      </w:r>
    </w:p>
    <w:p w:rsidR="0047616A" w:rsidRPr="00ED00CF" w:rsidP="004A124F" w14:paraId="6957C8DC" w14:textId="1CBA31FB">
      <w:pPr>
        <w:pStyle w:val="ListParagraph"/>
        <w:widowControl/>
        <w:numPr>
          <w:ilvl w:val="0"/>
          <w:numId w:val="37"/>
        </w:num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r w:rsidRPr="00ED00CF">
        <w:rPr>
          <w:rFonts w:ascii="Times New Roman" w:hAnsi="Times New Roman"/>
          <w:sz w:val="20"/>
          <w:szCs w:val="20"/>
        </w:rPr>
        <w:t xml:space="preserve">New Serial </w:t>
      </w:r>
      <w:r w:rsidRPr="00ED00CF">
        <w:rPr>
          <w:rFonts w:ascii="Times New Roman" w:hAnsi="Times New Roman"/>
          <w:sz w:val="20"/>
          <w:szCs w:val="20"/>
        </w:rPr>
        <w:t>Number</w:t>
      </w:r>
      <w:r w:rsidRPr="00ED00CF" w:rsidR="008E654F">
        <w:rPr>
          <w:rFonts w:ascii="Times New Roman" w:hAnsi="Times New Roman"/>
          <w:sz w:val="20"/>
          <w:szCs w:val="20"/>
        </w:rPr>
        <w:t>—</w:t>
      </w:r>
      <w:r w:rsidRPr="00ED00CF" w:rsidR="008E654F">
        <w:rPr>
          <w:rFonts w:ascii="Times New Roman" w:hAnsi="Times New Roman"/>
          <w:sz w:val="20"/>
          <w:szCs w:val="20"/>
        </w:rPr>
        <w:t>the BLM</w:t>
      </w:r>
      <w:r w:rsidRPr="00ED00CF">
        <w:rPr>
          <w:rFonts w:ascii="Times New Roman" w:hAnsi="Times New Roman"/>
          <w:sz w:val="20"/>
          <w:szCs w:val="20"/>
        </w:rPr>
        <w:t xml:space="preserve"> provide</w:t>
      </w:r>
      <w:r w:rsidRPr="00ED00CF" w:rsidR="008E654F">
        <w:rPr>
          <w:rFonts w:ascii="Times New Roman" w:hAnsi="Times New Roman"/>
          <w:sz w:val="20"/>
          <w:szCs w:val="20"/>
        </w:rPr>
        <w:t>s</w:t>
      </w:r>
      <w:r w:rsidRPr="00ED00CF">
        <w:rPr>
          <w:rFonts w:ascii="Times New Roman" w:hAnsi="Times New Roman"/>
          <w:sz w:val="20"/>
          <w:szCs w:val="20"/>
        </w:rPr>
        <w:t xml:space="preserve"> a new serial number and segregate</w:t>
      </w:r>
      <w:r w:rsidRPr="00ED00CF" w:rsidR="008E654F">
        <w:rPr>
          <w:rFonts w:ascii="Times New Roman" w:hAnsi="Times New Roman"/>
          <w:sz w:val="20"/>
          <w:szCs w:val="20"/>
        </w:rPr>
        <w:t>s</w:t>
      </w:r>
      <w:r w:rsidRPr="00ED00CF">
        <w:rPr>
          <w:rFonts w:ascii="Times New Roman" w:hAnsi="Times New Roman"/>
          <w:sz w:val="20"/>
          <w:szCs w:val="20"/>
        </w:rPr>
        <w:t xml:space="preserve"> into two separate leases if the assignee conveys 100 percent record title interest of a portion of the lease to another party.</w:t>
      </w:r>
      <w:r w:rsidRPr="00ED00CF" w:rsidR="00E954E6">
        <w:rPr>
          <w:rFonts w:ascii="Times New Roman" w:hAnsi="Times New Roman"/>
          <w:sz w:val="20"/>
          <w:szCs w:val="20"/>
        </w:rPr>
        <w:t xml:space="preserve"> </w:t>
      </w:r>
    </w:p>
    <w:p w:rsidR="008E654F" w:rsidRPr="00ED00CF" w:rsidP="004A124F" w14:paraId="7C4CAE26" w14:textId="1B8129EE">
      <w:pPr>
        <w:pStyle w:val="ListParagraph"/>
        <w:widowControl/>
        <w:numPr>
          <w:ilvl w:val="0"/>
          <w:numId w:val="37"/>
        </w:num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r w:rsidRPr="00ED00CF">
        <w:rPr>
          <w:rFonts w:ascii="Times New Roman" w:hAnsi="Times New Roman"/>
          <w:sz w:val="20"/>
          <w:szCs w:val="20"/>
        </w:rPr>
        <w:t>Assignee/Transferee Name and Address—needed to identify ownership of the interest assigned/transferred and the qualifications of the transferee/assignee to take interest</w:t>
      </w:r>
      <w:r w:rsidRPr="00ED00CF" w:rsidR="00BE01B0">
        <w:rPr>
          <w:rFonts w:ascii="Times New Roman" w:hAnsi="Times New Roman"/>
          <w:sz w:val="20"/>
          <w:szCs w:val="20"/>
        </w:rPr>
        <w:t>; and</w:t>
      </w:r>
      <w:r w:rsidRPr="00ED00CF">
        <w:rPr>
          <w:rFonts w:ascii="Times New Roman" w:hAnsi="Times New Roman"/>
          <w:sz w:val="20"/>
          <w:szCs w:val="20"/>
        </w:rPr>
        <w:t xml:space="preserve"> to ensure that the assignee/transferee is qualified to obtain interest in an oil and gas or geothermal lease and that the transfer will not result in holdings in violation of statutory acreage limits.</w:t>
      </w:r>
    </w:p>
    <w:p w:rsidR="00BE01B0" w:rsidRPr="00ED00CF" w:rsidP="004A124F" w14:paraId="112E6D2A" w14:textId="77777777">
      <w:pPr>
        <w:pStyle w:val="ListParagraph"/>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p>
    <w:p w:rsidR="0047616A" w:rsidRPr="00ED00CF" w:rsidP="004A124F" w14:paraId="752A3F94" w14:textId="48EEB5CB">
      <w:pPr>
        <w:pStyle w:val="ListParagraph"/>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rPr>
          <w:sz w:val="20"/>
          <w:szCs w:val="20"/>
        </w:rPr>
      </w:pPr>
      <w:r w:rsidRPr="00ED00CF">
        <w:rPr>
          <w:sz w:val="20"/>
          <w:szCs w:val="20"/>
        </w:rPr>
        <w:t>This assignment/transfer conveys the following interest:</w:t>
      </w:r>
      <w:r w:rsidRPr="00ED00CF" w:rsidR="00E954E6">
        <w:rPr>
          <w:sz w:val="20"/>
          <w:szCs w:val="20"/>
        </w:rPr>
        <w:t xml:space="preserve"> </w:t>
      </w:r>
      <w:r w:rsidRPr="00ED00CF" w:rsidR="00BE01B0">
        <w:rPr>
          <w:rFonts w:ascii="Times New Roman" w:hAnsi="Times New Roman"/>
          <w:sz w:val="20"/>
          <w:szCs w:val="20"/>
        </w:rPr>
        <w:t>the BLM</w:t>
      </w:r>
      <w:r w:rsidRPr="00ED00CF">
        <w:rPr>
          <w:sz w:val="20"/>
          <w:szCs w:val="20"/>
        </w:rPr>
        <w:t xml:space="preserve"> need</w:t>
      </w:r>
      <w:r w:rsidRPr="00ED00CF" w:rsidR="00BE01B0">
        <w:rPr>
          <w:sz w:val="20"/>
          <w:szCs w:val="20"/>
        </w:rPr>
        <w:t>s</w:t>
      </w:r>
      <w:r w:rsidRPr="00ED00CF">
        <w:rPr>
          <w:sz w:val="20"/>
          <w:szCs w:val="20"/>
        </w:rPr>
        <w:t xml:space="preserve"> the legal land description and the percent</w:t>
      </w:r>
      <w:r w:rsidRPr="00ED00CF" w:rsidR="004649DC">
        <w:rPr>
          <w:sz w:val="20"/>
          <w:szCs w:val="20"/>
        </w:rPr>
        <w:t>age</w:t>
      </w:r>
      <w:r w:rsidRPr="00ED00CF">
        <w:rPr>
          <w:sz w:val="20"/>
          <w:szCs w:val="20"/>
        </w:rPr>
        <w:t xml:space="preserve"> of interest owned, conveyed, and retained to determine the record title interest, operating rights, or overriding royalty, or similar interest in a lease transferred or assigned to another party.</w:t>
      </w:r>
    </w:p>
    <w:p w:rsidR="00C91E44" w:rsidRPr="00ED00CF" w:rsidP="0047616A" w14:paraId="3F975184" w14:textId="192B1C0A">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p>
    <w:p w:rsidR="00C91E44" w:rsidRPr="00ED00CF" w:rsidP="73A9246C" w14:paraId="25DF7969" w14:textId="1DFEB300">
      <w:pPr>
        <w:widowControl/>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r w:rsidRPr="00ED00CF">
        <w:rPr>
          <w:rFonts w:ascii="Times New Roman" w:hAnsi="Times New Roman"/>
          <w:sz w:val="20"/>
          <w:szCs w:val="20"/>
        </w:rPr>
        <w:t>F</w:t>
      </w:r>
      <w:r w:rsidRPr="00ED00CF" w:rsidR="0065023B">
        <w:rPr>
          <w:rFonts w:ascii="Times New Roman" w:hAnsi="Times New Roman"/>
          <w:sz w:val="20"/>
          <w:szCs w:val="20"/>
        </w:rPr>
        <w:t>orms</w:t>
      </w:r>
      <w:r w:rsidRPr="00ED00CF" w:rsidR="00540DF4">
        <w:rPr>
          <w:rFonts w:ascii="Times New Roman" w:hAnsi="Times New Roman"/>
          <w:sz w:val="20"/>
          <w:szCs w:val="20"/>
        </w:rPr>
        <w:t xml:space="preserve"> </w:t>
      </w:r>
      <w:r w:rsidRPr="00ED00CF" w:rsidR="0065023B">
        <w:rPr>
          <w:rFonts w:ascii="Times New Roman" w:hAnsi="Times New Roman"/>
          <w:sz w:val="20"/>
          <w:szCs w:val="20"/>
        </w:rPr>
        <w:t>3000-3 and 3000-</w:t>
      </w:r>
      <w:r w:rsidRPr="00ED00CF" w:rsidR="0065023B">
        <w:rPr>
          <w:rFonts w:ascii="Times New Roman" w:hAnsi="Times New Roman"/>
          <w:sz w:val="20"/>
          <w:szCs w:val="20"/>
        </w:rPr>
        <w:t>3a</w:t>
      </w:r>
      <w:r w:rsidRPr="00ED00CF" w:rsidR="0065023B">
        <w:rPr>
          <w:rFonts w:ascii="Times New Roman" w:hAnsi="Times New Roman"/>
          <w:sz w:val="20"/>
          <w:szCs w:val="20"/>
        </w:rPr>
        <w:t xml:space="preserve"> are approved under OMB Control Number 1004-0034</w:t>
      </w:r>
      <w:r w:rsidRPr="00ED00CF" w:rsidR="00D15F3B">
        <w:rPr>
          <w:rFonts w:ascii="Times New Roman" w:hAnsi="Times New Roman"/>
          <w:sz w:val="20"/>
          <w:szCs w:val="20"/>
        </w:rPr>
        <w:t xml:space="preserve"> (</w:t>
      </w:r>
      <w:r w:rsidRPr="00ED00CF">
        <w:rPr>
          <w:rFonts w:ascii="Times New Roman" w:hAnsi="Times New Roman"/>
          <w:sz w:val="20"/>
          <w:szCs w:val="20"/>
        </w:rPr>
        <w:t>expiration date</w:t>
      </w:r>
      <w:r w:rsidRPr="00ED00CF" w:rsidR="00F547CC">
        <w:rPr>
          <w:rFonts w:ascii="Times New Roman" w:hAnsi="Times New Roman"/>
          <w:sz w:val="20"/>
          <w:szCs w:val="20"/>
        </w:rPr>
        <w:t xml:space="preserve"> </w:t>
      </w:r>
      <w:r w:rsidRPr="73A9246C" w:rsidR="00DF249A">
        <w:rPr>
          <w:rFonts w:ascii="Times New Roman" w:hAnsi="Times New Roman"/>
          <w:sz w:val="20"/>
          <w:szCs w:val="20"/>
        </w:rPr>
        <w:t>July</w:t>
      </w:r>
      <w:r w:rsidR="00DF249A">
        <w:rPr>
          <w:rFonts w:ascii="Times New Roman" w:hAnsi="Times New Roman"/>
          <w:sz w:val="20"/>
          <w:szCs w:val="20"/>
        </w:rPr>
        <w:t xml:space="preserve"> 31, 2027</w:t>
      </w:r>
      <w:r w:rsidRPr="00ED00CF" w:rsidR="00F547CC">
        <w:rPr>
          <w:rFonts w:ascii="Times New Roman" w:hAnsi="Times New Roman"/>
          <w:sz w:val="20"/>
          <w:szCs w:val="20"/>
        </w:rPr>
        <w:t>)</w:t>
      </w:r>
      <w:r w:rsidRPr="00ED00CF" w:rsidR="00036CBF">
        <w:rPr>
          <w:rFonts w:ascii="Times New Roman" w:hAnsi="Times New Roman"/>
          <w:sz w:val="20"/>
          <w:szCs w:val="20"/>
        </w:rPr>
        <w:t xml:space="preserve">. The underlying </w:t>
      </w:r>
      <w:r w:rsidRPr="00ED00CF" w:rsidR="00DD61CE">
        <w:rPr>
          <w:rFonts w:ascii="Times New Roman" w:hAnsi="Times New Roman"/>
          <w:sz w:val="20"/>
          <w:szCs w:val="20"/>
        </w:rPr>
        <w:t xml:space="preserve">final </w:t>
      </w:r>
      <w:r w:rsidRPr="00ED00CF" w:rsidR="00036CBF">
        <w:rPr>
          <w:rFonts w:ascii="Times New Roman" w:hAnsi="Times New Roman"/>
          <w:sz w:val="20"/>
          <w:szCs w:val="20"/>
        </w:rPr>
        <w:t xml:space="preserve">rule </w:t>
      </w:r>
      <w:r w:rsidRPr="00ED00CF" w:rsidR="00C43057">
        <w:rPr>
          <w:rFonts w:ascii="Times New Roman" w:hAnsi="Times New Roman"/>
          <w:sz w:val="20"/>
          <w:szCs w:val="20"/>
        </w:rPr>
        <w:t>does</w:t>
      </w:r>
      <w:r w:rsidRPr="00ED00CF" w:rsidR="00036CBF">
        <w:rPr>
          <w:rFonts w:ascii="Times New Roman" w:hAnsi="Times New Roman"/>
          <w:sz w:val="20"/>
          <w:szCs w:val="20"/>
        </w:rPr>
        <w:t xml:space="preserve"> not change these forms. </w:t>
      </w:r>
    </w:p>
    <w:p w:rsidR="0047616A" w:rsidRPr="00ED00CF" w:rsidP="0047616A" w14:paraId="70C06FCE"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p>
    <w:p w:rsidR="00D638A7" w:rsidRPr="00ED00CF" w:rsidP="0047616A" w14:paraId="4236BF11" w14:textId="5AAFF15A">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r w:rsidRPr="00ED00CF">
        <w:rPr>
          <w:rFonts w:ascii="Times New Roman" w:hAnsi="Times New Roman"/>
          <w:sz w:val="20"/>
          <w:szCs w:val="20"/>
        </w:rPr>
        <w:t xml:space="preserve">Each transfer of record title or of operating rights (sublease) for each lease must include payment of the processing fee for assignments and transfers found in the fee schedule in </w:t>
      </w:r>
      <w:r w:rsidRPr="00ED00CF" w:rsidR="00074AD4">
        <w:rPr>
          <w:rFonts w:ascii="Times New Roman" w:hAnsi="Times New Roman"/>
          <w:sz w:val="20"/>
          <w:szCs w:val="20"/>
        </w:rPr>
        <w:t xml:space="preserve">43 CFR </w:t>
      </w:r>
      <w:r w:rsidRPr="00ED00CF">
        <w:rPr>
          <w:rFonts w:ascii="Times New Roman" w:hAnsi="Times New Roman"/>
          <w:sz w:val="20"/>
          <w:szCs w:val="20"/>
        </w:rPr>
        <w:t>3000.12</w:t>
      </w:r>
      <w:r w:rsidRPr="00ED00CF" w:rsidR="00540DF4">
        <w:rPr>
          <w:rFonts w:ascii="Times New Roman" w:hAnsi="Times New Roman"/>
          <w:sz w:val="20"/>
          <w:szCs w:val="20"/>
        </w:rPr>
        <w:t>0</w:t>
      </w:r>
      <w:r w:rsidRPr="00ED00CF" w:rsidR="00CF0DD4">
        <w:rPr>
          <w:rFonts w:ascii="Times New Roman" w:hAnsi="Times New Roman"/>
          <w:sz w:val="20"/>
          <w:szCs w:val="20"/>
        </w:rPr>
        <w:t>.</w:t>
      </w:r>
    </w:p>
    <w:p w:rsidR="00CF0DD4" w:rsidRPr="00ED00CF" w:rsidP="001E60B6" w14:paraId="4D264F38" w14:textId="2F0C3F8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p>
    <w:p w:rsidR="00611E0D" w:rsidRPr="00ED00CF" w:rsidP="00AE3AE4" w14:paraId="03EDE53B" w14:textId="486782D6">
      <w:pPr>
        <w:pStyle w:val="Heading4"/>
        <w:numPr>
          <w:ilvl w:val="0"/>
          <w:numId w:val="0"/>
        </w:numPr>
        <w:rPr>
          <w:sz w:val="20"/>
          <w:szCs w:val="20"/>
        </w:rPr>
      </w:pPr>
      <w:r w:rsidRPr="00ED00CF">
        <w:rPr>
          <w:sz w:val="20"/>
          <w:szCs w:val="20"/>
        </w:rPr>
        <w:t xml:space="preserve">43 CFR </w:t>
      </w:r>
      <w:r w:rsidRPr="00ED00CF" w:rsidR="00567C79">
        <w:rPr>
          <w:sz w:val="20"/>
          <w:szCs w:val="20"/>
        </w:rPr>
        <w:t>3106.4</w:t>
      </w:r>
      <w:r w:rsidRPr="00ED00CF" w:rsidR="00540DF4">
        <w:rPr>
          <w:sz w:val="20"/>
          <w:szCs w:val="20"/>
        </w:rPr>
        <w:t>3</w:t>
      </w:r>
      <w:r w:rsidRPr="00ED00CF" w:rsidR="00567C79">
        <w:rPr>
          <w:sz w:val="20"/>
          <w:szCs w:val="20"/>
        </w:rPr>
        <w:t xml:space="preserve"> </w:t>
      </w:r>
      <w:r w:rsidRPr="00ED00CF" w:rsidR="00BE01B0">
        <w:rPr>
          <w:sz w:val="20"/>
          <w:szCs w:val="20"/>
        </w:rPr>
        <w:t>—</w:t>
      </w:r>
      <w:r w:rsidRPr="00ED00CF" w:rsidR="00567C79">
        <w:rPr>
          <w:sz w:val="20"/>
          <w:szCs w:val="20"/>
        </w:rPr>
        <w:t xml:space="preserve"> Mass </w:t>
      </w:r>
      <w:r w:rsidRPr="00ED00CF" w:rsidR="00BE01B0">
        <w:rPr>
          <w:sz w:val="20"/>
          <w:szCs w:val="20"/>
        </w:rPr>
        <w:t>Transfers</w:t>
      </w:r>
    </w:p>
    <w:p w:rsidR="00741902" w:rsidRPr="00ED00CF" w:rsidP="001E60B6" w14:paraId="794E7B34"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u w:val="single"/>
        </w:rPr>
      </w:pPr>
    </w:p>
    <w:p w:rsidR="00C11C8B" w:rsidRPr="00ED00CF" w:rsidP="73A9246C" w14:paraId="4499C06E" w14:textId="753C1CB3">
      <w:pPr>
        <w:widowControl/>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r w:rsidRPr="00ED00CF">
        <w:rPr>
          <w:rFonts w:ascii="Times New Roman" w:hAnsi="Times New Roman"/>
          <w:sz w:val="20"/>
          <w:szCs w:val="20"/>
        </w:rPr>
        <w:t xml:space="preserve">A mass transfer may be utilized in lieu of the provisions of </w:t>
      </w:r>
      <w:r w:rsidRPr="00ED00CF" w:rsidR="00074AD4">
        <w:rPr>
          <w:rFonts w:ascii="Times New Roman" w:hAnsi="Times New Roman"/>
          <w:sz w:val="20"/>
          <w:szCs w:val="20"/>
        </w:rPr>
        <w:t>43 CFR</w:t>
      </w:r>
      <w:r w:rsidRPr="00ED00CF" w:rsidR="00540DF4">
        <w:rPr>
          <w:rFonts w:ascii="Times New Roman" w:hAnsi="Times New Roman"/>
          <w:sz w:val="20"/>
          <w:szCs w:val="20"/>
        </w:rPr>
        <w:t xml:space="preserve"> </w:t>
      </w:r>
      <w:r w:rsidRPr="00ED00CF">
        <w:rPr>
          <w:rFonts w:ascii="Times New Roman" w:hAnsi="Times New Roman"/>
          <w:sz w:val="20"/>
          <w:szCs w:val="20"/>
        </w:rPr>
        <w:t>3106.4</w:t>
      </w:r>
      <w:r w:rsidRPr="00ED00CF" w:rsidR="00540DF4">
        <w:rPr>
          <w:rFonts w:ascii="Times New Roman" w:hAnsi="Times New Roman"/>
          <w:sz w:val="20"/>
          <w:szCs w:val="20"/>
        </w:rPr>
        <w:t>1</w:t>
      </w:r>
      <w:r w:rsidRPr="00ED00CF">
        <w:rPr>
          <w:rFonts w:ascii="Times New Roman" w:hAnsi="Times New Roman"/>
          <w:sz w:val="20"/>
          <w:szCs w:val="20"/>
        </w:rPr>
        <w:t xml:space="preserve"> and 3106.4</w:t>
      </w:r>
      <w:r w:rsidRPr="00ED00CF" w:rsidR="00540DF4">
        <w:rPr>
          <w:rFonts w:ascii="Times New Roman" w:hAnsi="Times New Roman"/>
          <w:sz w:val="20"/>
          <w:szCs w:val="20"/>
        </w:rPr>
        <w:t>2</w:t>
      </w:r>
      <w:r w:rsidRPr="00ED00CF">
        <w:rPr>
          <w:rFonts w:ascii="Times New Roman" w:hAnsi="Times New Roman"/>
          <w:sz w:val="20"/>
          <w:szCs w:val="20"/>
        </w:rPr>
        <w:t xml:space="preserve"> when an assignor or transferor transfers interests of any type in </w:t>
      </w:r>
      <w:r w:rsidRPr="00ED00CF">
        <w:rPr>
          <w:rFonts w:ascii="Times New Roman" w:hAnsi="Times New Roman"/>
          <w:sz w:val="20"/>
          <w:szCs w:val="20"/>
        </w:rPr>
        <w:t>a large number of</w:t>
      </w:r>
      <w:r w:rsidRPr="00ED00CF">
        <w:rPr>
          <w:rFonts w:ascii="Times New Roman" w:hAnsi="Times New Roman"/>
          <w:sz w:val="20"/>
          <w:szCs w:val="20"/>
        </w:rPr>
        <w:t xml:space="preserve"> Federal leases to the same assignee or transferee. </w:t>
      </w:r>
      <w:r w:rsidRPr="00ED00CF" w:rsidR="00C16B8B">
        <w:rPr>
          <w:rFonts w:ascii="Times New Roman" w:hAnsi="Times New Roman"/>
          <w:sz w:val="20"/>
          <w:szCs w:val="20"/>
        </w:rPr>
        <w:t xml:space="preserve">The mass transfer </w:t>
      </w:r>
      <w:r w:rsidRPr="73A9246C" w:rsidR="00BF0260">
        <w:rPr>
          <w:rFonts w:ascii="Times New Roman" w:hAnsi="Times New Roman"/>
          <w:sz w:val="20"/>
          <w:szCs w:val="20"/>
        </w:rPr>
        <w:t>must</w:t>
      </w:r>
      <w:r w:rsidRPr="00ED00CF" w:rsidR="00C16B8B">
        <w:rPr>
          <w:rFonts w:ascii="Times New Roman" w:hAnsi="Times New Roman"/>
          <w:sz w:val="20"/>
          <w:szCs w:val="20"/>
        </w:rPr>
        <w:t xml:space="preserve"> be filed, in duplicate, with each proper BLM office administering any lease affected by the mass transfer. Where the B</w:t>
      </w:r>
      <w:r w:rsidRPr="00ED00CF" w:rsidR="00540DF4">
        <w:rPr>
          <w:rFonts w:ascii="Times New Roman" w:hAnsi="Times New Roman"/>
          <w:sz w:val="20"/>
          <w:szCs w:val="20"/>
        </w:rPr>
        <w:t>LM</w:t>
      </w:r>
      <w:r w:rsidRPr="00ED00CF" w:rsidR="00C16B8B">
        <w:rPr>
          <w:rFonts w:ascii="Times New Roman" w:hAnsi="Times New Roman"/>
          <w:sz w:val="20"/>
          <w:szCs w:val="20"/>
        </w:rPr>
        <w:t xml:space="preserve"> has authorized electronic submission, a duplicate copy of the mass transfer is not required. The transfer</w:t>
      </w:r>
      <w:r w:rsidRPr="00ED00CF" w:rsidR="00C16B8B">
        <w:rPr>
          <w:rFonts w:ascii="Times New Roman" w:hAnsi="Times New Roman"/>
          <w:sz w:val="20"/>
          <w:szCs w:val="20"/>
        </w:rPr>
        <w:t xml:space="preserve"> </w:t>
      </w:r>
      <w:r w:rsidR="00BF0260">
        <w:rPr>
          <w:rFonts w:ascii="Times New Roman" w:hAnsi="Times New Roman"/>
          <w:sz w:val="20"/>
          <w:szCs w:val="20"/>
        </w:rPr>
        <w:t>must</w:t>
      </w:r>
      <w:r w:rsidRPr="00ED00CF" w:rsidR="00BF0260">
        <w:rPr>
          <w:rFonts w:ascii="Times New Roman" w:hAnsi="Times New Roman"/>
          <w:sz w:val="20"/>
          <w:szCs w:val="20"/>
        </w:rPr>
        <w:t xml:space="preserve"> </w:t>
      </w:r>
      <w:r w:rsidRPr="00ED00CF" w:rsidR="00C16B8B">
        <w:rPr>
          <w:rFonts w:ascii="Times New Roman" w:hAnsi="Times New Roman"/>
          <w:sz w:val="20"/>
          <w:szCs w:val="20"/>
        </w:rPr>
        <w:t xml:space="preserve">be on </w:t>
      </w:r>
      <w:r w:rsidRPr="00ED00CF" w:rsidR="00540DF4">
        <w:rPr>
          <w:rFonts w:ascii="Times New Roman" w:hAnsi="Times New Roman"/>
          <w:sz w:val="20"/>
          <w:szCs w:val="20"/>
        </w:rPr>
        <w:t>the</w:t>
      </w:r>
      <w:r w:rsidRPr="00ED00CF" w:rsidR="00C16B8B">
        <w:rPr>
          <w:rFonts w:ascii="Times New Roman" w:hAnsi="Times New Roman"/>
          <w:sz w:val="20"/>
          <w:szCs w:val="20"/>
        </w:rPr>
        <w:t xml:space="preserve"> current </w:t>
      </w:r>
      <w:r w:rsidRPr="00ED00CF" w:rsidR="00BE01B0">
        <w:rPr>
          <w:rFonts w:ascii="Times New Roman" w:hAnsi="Times New Roman"/>
          <w:sz w:val="20"/>
          <w:szCs w:val="20"/>
        </w:rPr>
        <w:t xml:space="preserve">Forms </w:t>
      </w:r>
      <w:r w:rsidRPr="00ED00CF" w:rsidR="00540DF4">
        <w:rPr>
          <w:rFonts w:ascii="Times New Roman" w:hAnsi="Times New Roman"/>
          <w:sz w:val="20"/>
          <w:szCs w:val="20"/>
        </w:rPr>
        <w:t>3000-3 and 3000-</w:t>
      </w:r>
      <w:r w:rsidRPr="00ED00CF" w:rsidR="00540DF4">
        <w:rPr>
          <w:rFonts w:ascii="Times New Roman" w:hAnsi="Times New Roman"/>
          <w:sz w:val="20"/>
          <w:szCs w:val="20"/>
        </w:rPr>
        <w:t>3a</w:t>
      </w:r>
      <w:r w:rsidRPr="00ED00CF" w:rsidR="00BE01B0">
        <w:rPr>
          <w:rFonts w:ascii="Times New Roman" w:hAnsi="Times New Roman"/>
          <w:sz w:val="20"/>
          <w:szCs w:val="20"/>
        </w:rPr>
        <w:t>,</w:t>
      </w:r>
      <w:r w:rsidRPr="00ED00CF" w:rsidR="00540DF4">
        <w:rPr>
          <w:rFonts w:ascii="Times New Roman" w:hAnsi="Times New Roman"/>
          <w:sz w:val="20"/>
          <w:szCs w:val="20"/>
        </w:rPr>
        <w:t xml:space="preserve"> </w:t>
      </w:r>
      <w:r w:rsidRPr="00ED00CF">
        <w:rPr>
          <w:rFonts w:ascii="Times New Roman" w:hAnsi="Times New Roman"/>
          <w:sz w:val="20"/>
          <w:szCs w:val="20"/>
        </w:rPr>
        <w:t>with an exhibit attached to each copy listing the following for each lease:</w:t>
      </w:r>
    </w:p>
    <w:p w:rsidR="00C11C8B" w:rsidRPr="00ED00CF" w:rsidP="73A9246C" w14:paraId="597816FF" w14:textId="7F48D389">
      <w:pPr>
        <w:widowControl/>
        <w:numPr>
          <w:ilvl w:val="0"/>
          <w:numId w:val="35"/>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r w:rsidRPr="00ED00CF">
        <w:rPr>
          <w:rFonts w:ascii="Times New Roman" w:hAnsi="Times New Roman"/>
          <w:sz w:val="20"/>
          <w:szCs w:val="20"/>
        </w:rPr>
        <w:t xml:space="preserve">The serial </w:t>
      </w:r>
      <w:r w:rsidRPr="00ED00CF">
        <w:rPr>
          <w:rFonts w:ascii="Times New Roman" w:hAnsi="Times New Roman"/>
          <w:sz w:val="20"/>
          <w:szCs w:val="20"/>
        </w:rPr>
        <w:t>number;</w:t>
      </w:r>
    </w:p>
    <w:p w:rsidR="00C11C8B" w:rsidRPr="00ED00CF" w:rsidP="001D57DB" w14:paraId="6F172913" w14:textId="43F061B5">
      <w:pPr>
        <w:widowControl/>
        <w:numPr>
          <w:ilvl w:val="0"/>
          <w:numId w:val="35"/>
        </w:num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r w:rsidRPr="00ED00CF">
        <w:rPr>
          <w:rFonts w:ascii="Times New Roman" w:hAnsi="Times New Roman"/>
          <w:sz w:val="20"/>
          <w:szCs w:val="20"/>
        </w:rPr>
        <w:t>The type and percent</w:t>
      </w:r>
      <w:r w:rsidRPr="00ED00CF" w:rsidR="004649DC">
        <w:rPr>
          <w:rFonts w:ascii="Times New Roman" w:hAnsi="Times New Roman"/>
          <w:sz w:val="20"/>
          <w:szCs w:val="20"/>
        </w:rPr>
        <w:t>age</w:t>
      </w:r>
      <w:r w:rsidRPr="00ED00CF">
        <w:rPr>
          <w:rFonts w:ascii="Times New Roman" w:hAnsi="Times New Roman"/>
          <w:sz w:val="20"/>
          <w:szCs w:val="20"/>
        </w:rPr>
        <w:t xml:space="preserve"> of interest being conveyed; and</w:t>
      </w:r>
    </w:p>
    <w:p w:rsidR="00C11C8B" w:rsidRPr="00ED00CF" w:rsidP="73A9246C" w14:paraId="668FA214" w14:textId="272C40AD">
      <w:pPr>
        <w:widowControl/>
        <w:numPr>
          <w:ilvl w:val="0"/>
          <w:numId w:val="35"/>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r w:rsidRPr="00ED00CF">
        <w:rPr>
          <w:rFonts w:ascii="Times New Roman" w:hAnsi="Times New Roman"/>
          <w:sz w:val="20"/>
          <w:szCs w:val="20"/>
        </w:rPr>
        <w:t>A description of the lands affected by the transfer</w:t>
      </w:r>
      <w:r w:rsidRPr="00ED00CF" w:rsidR="00BE01B0">
        <w:rPr>
          <w:rFonts w:ascii="Times New Roman" w:hAnsi="Times New Roman"/>
          <w:sz w:val="20"/>
          <w:szCs w:val="20"/>
        </w:rPr>
        <w:t>,</w:t>
      </w:r>
      <w:r w:rsidRPr="00ED00CF">
        <w:rPr>
          <w:rFonts w:ascii="Times New Roman" w:hAnsi="Times New Roman"/>
          <w:sz w:val="20"/>
          <w:szCs w:val="20"/>
        </w:rPr>
        <w:t xml:space="preserve"> in accordance with </w:t>
      </w:r>
      <w:r w:rsidRPr="00ED00CF" w:rsidR="00074AD4">
        <w:rPr>
          <w:rFonts w:ascii="Times New Roman" w:hAnsi="Times New Roman"/>
          <w:sz w:val="20"/>
          <w:szCs w:val="20"/>
        </w:rPr>
        <w:t>43 CFR</w:t>
      </w:r>
      <w:r w:rsidRPr="00ED00CF" w:rsidR="00540DF4">
        <w:rPr>
          <w:rFonts w:ascii="Times New Roman" w:hAnsi="Times New Roman"/>
          <w:sz w:val="20"/>
          <w:szCs w:val="20"/>
        </w:rPr>
        <w:t xml:space="preserve"> </w:t>
      </w:r>
      <w:r w:rsidRPr="00ED00CF">
        <w:rPr>
          <w:rFonts w:ascii="Times New Roman" w:hAnsi="Times New Roman"/>
          <w:sz w:val="20"/>
          <w:szCs w:val="20"/>
        </w:rPr>
        <w:t>3106.5</w:t>
      </w:r>
      <w:r w:rsidRPr="00ED00CF" w:rsidR="00540DF4">
        <w:rPr>
          <w:rFonts w:ascii="Times New Roman" w:hAnsi="Times New Roman"/>
          <w:sz w:val="20"/>
          <w:szCs w:val="20"/>
        </w:rPr>
        <w:t>0</w:t>
      </w:r>
      <w:r w:rsidRPr="00ED00CF">
        <w:rPr>
          <w:rFonts w:ascii="Times New Roman" w:hAnsi="Times New Roman"/>
          <w:sz w:val="20"/>
          <w:szCs w:val="20"/>
        </w:rPr>
        <w:t xml:space="preserve"> of this title</w:t>
      </w:r>
      <w:r w:rsidR="009A551C">
        <w:rPr>
          <w:rFonts w:ascii="Times New Roman" w:hAnsi="Times New Roman"/>
          <w:sz w:val="20"/>
          <w:szCs w:val="20"/>
        </w:rPr>
        <w:t>.</w:t>
      </w:r>
    </w:p>
    <w:p w:rsidR="00567C79" w:rsidRPr="00ED00CF" w:rsidP="73A9246C" w14:paraId="5A6DB30F" w14:textId="532EC98B">
      <w:pPr>
        <w:widowControl/>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r>
        <w:br/>
      </w:r>
      <w:r w:rsidRPr="00ED00CF" w:rsidR="00C11C8B">
        <w:rPr>
          <w:rFonts w:ascii="Times New Roman" w:hAnsi="Times New Roman"/>
          <w:sz w:val="20"/>
          <w:szCs w:val="20"/>
        </w:rPr>
        <w:t xml:space="preserve">One reproduced copy of the form required by paragraph (b) of this section </w:t>
      </w:r>
      <w:r w:rsidRPr="73A9246C" w:rsidR="001B026C">
        <w:rPr>
          <w:rFonts w:ascii="Times New Roman" w:hAnsi="Times New Roman"/>
          <w:sz w:val="20"/>
          <w:szCs w:val="20"/>
        </w:rPr>
        <w:t>must</w:t>
      </w:r>
      <w:r w:rsidRPr="00ED00CF" w:rsidR="00C11C8B">
        <w:rPr>
          <w:rFonts w:ascii="Times New Roman" w:hAnsi="Times New Roman"/>
          <w:sz w:val="20"/>
          <w:szCs w:val="20"/>
        </w:rPr>
        <w:t xml:space="preserve"> be filed with the proper office for each lease involved in the mass transfer.</w:t>
      </w:r>
      <w:r w:rsidRPr="00ED00CF" w:rsidR="00BE7AB3">
        <w:rPr>
          <w:sz w:val="20"/>
          <w:szCs w:val="20"/>
        </w:rPr>
        <w:t xml:space="preserve"> </w:t>
      </w:r>
      <w:r w:rsidRPr="00ED00CF" w:rsidR="00BE7AB3">
        <w:rPr>
          <w:rFonts w:ascii="Times New Roman" w:hAnsi="Times New Roman"/>
          <w:sz w:val="20"/>
          <w:szCs w:val="20"/>
        </w:rPr>
        <w:t>Where the B</w:t>
      </w:r>
      <w:r w:rsidRPr="00ED00CF" w:rsidR="00540DF4">
        <w:rPr>
          <w:rFonts w:ascii="Times New Roman" w:hAnsi="Times New Roman"/>
          <w:sz w:val="20"/>
          <w:szCs w:val="20"/>
        </w:rPr>
        <w:t>LM</w:t>
      </w:r>
      <w:r w:rsidRPr="00ED00CF" w:rsidR="00BE7AB3">
        <w:rPr>
          <w:rFonts w:ascii="Times New Roman" w:hAnsi="Times New Roman"/>
          <w:sz w:val="20"/>
          <w:szCs w:val="20"/>
        </w:rPr>
        <w:t xml:space="preserve"> has authorized electronic submission, a reproduced copy of the form per lease is not required.</w:t>
      </w:r>
    </w:p>
    <w:p w:rsidR="00C11C8B" w:rsidRPr="00ED00CF" w:rsidP="004A124F" w14:paraId="3E2385CC" w14:textId="04A91E12">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r w:rsidRPr="00ED00CF">
        <w:rPr>
          <w:rFonts w:ascii="Times New Roman" w:hAnsi="Times New Roman"/>
          <w:sz w:val="20"/>
          <w:szCs w:val="20"/>
        </w:rPr>
        <w:br/>
      </w:r>
      <w:r w:rsidRPr="00ED00CF" w:rsidR="00540DF4">
        <w:rPr>
          <w:rFonts w:ascii="Times New Roman" w:hAnsi="Times New Roman"/>
          <w:sz w:val="20"/>
          <w:szCs w:val="20"/>
        </w:rPr>
        <w:t xml:space="preserve">The </w:t>
      </w:r>
      <w:r w:rsidRPr="00ED00CF" w:rsidR="003E1D69">
        <w:rPr>
          <w:rFonts w:ascii="Times New Roman" w:hAnsi="Times New Roman"/>
          <w:sz w:val="20"/>
          <w:szCs w:val="20"/>
        </w:rPr>
        <w:t xml:space="preserve">mass transfer </w:t>
      </w:r>
      <w:r w:rsidRPr="00ED00CF" w:rsidR="00540DF4">
        <w:rPr>
          <w:rFonts w:ascii="Times New Roman" w:hAnsi="Times New Roman"/>
          <w:sz w:val="20"/>
          <w:szCs w:val="20"/>
        </w:rPr>
        <w:t xml:space="preserve">must include </w:t>
      </w:r>
      <w:r w:rsidRPr="00ED00CF" w:rsidR="003E1D69">
        <w:rPr>
          <w:rFonts w:ascii="Times New Roman" w:hAnsi="Times New Roman"/>
          <w:sz w:val="20"/>
          <w:szCs w:val="20"/>
        </w:rPr>
        <w:t xml:space="preserve">the processing fee for assignments and transfers found in the fee schedule in </w:t>
      </w:r>
      <w:r w:rsidRPr="00ED00CF" w:rsidR="00074AD4">
        <w:rPr>
          <w:rFonts w:ascii="Times New Roman" w:hAnsi="Times New Roman"/>
          <w:sz w:val="20"/>
          <w:szCs w:val="20"/>
        </w:rPr>
        <w:t xml:space="preserve">43 CFR </w:t>
      </w:r>
      <w:r w:rsidRPr="00ED00CF" w:rsidR="003E1D69">
        <w:rPr>
          <w:rFonts w:ascii="Times New Roman" w:hAnsi="Times New Roman"/>
          <w:sz w:val="20"/>
          <w:szCs w:val="20"/>
        </w:rPr>
        <w:t>3000.12</w:t>
      </w:r>
      <w:r w:rsidRPr="00ED00CF" w:rsidR="00540DF4">
        <w:rPr>
          <w:rFonts w:ascii="Times New Roman" w:hAnsi="Times New Roman"/>
          <w:sz w:val="20"/>
          <w:szCs w:val="20"/>
        </w:rPr>
        <w:t>0</w:t>
      </w:r>
      <w:r w:rsidRPr="00ED00CF" w:rsidR="003E1D69">
        <w:rPr>
          <w:rFonts w:ascii="Times New Roman" w:hAnsi="Times New Roman"/>
          <w:sz w:val="20"/>
          <w:szCs w:val="20"/>
        </w:rPr>
        <w:t>.</w:t>
      </w:r>
    </w:p>
    <w:p w:rsidR="003E1D69" w:rsidRPr="00ED00CF" w:rsidP="003E1D69" w14:paraId="641A5E88" w14:textId="11A0FA30">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p>
    <w:p w:rsidR="004A5169" w:rsidRPr="00ED00CF" w:rsidP="00AE3AE4" w14:paraId="494CB4EF" w14:textId="73950219">
      <w:pPr>
        <w:pStyle w:val="Heading4"/>
        <w:numPr>
          <w:ilvl w:val="0"/>
          <w:numId w:val="0"/>
        </w:numPr>
        <w:rPr>
          <w:sz w:val="20"/>
          <w:szCs w:val="20"/>
        </w:rPr>
      </w:pPr>
      <w:r w:rsidRPr="00ED00CF">
        <w:rPr>
          <w:sz w:val="20"/>
          <w:szCs w:val="20"/>
        </w:rPr>
        <w:t xml:space="preserve">43 CFR </w:t>
      </w:r>
      <w:r w:rsidRPr="00ED00CF" w:rsidR="001E60B6">
        <w:rPr>
          <w:sz w:val="20"/>
          <w:szCs w:val="20"/>
        </w:rPr>
        <w:t>3106.8</w:t>
      </w:r>
      <w:r w:rsidRPr="00ED00CF" w:rsidR="00540DF4">
        <w:rPr>
          <w:sz w:val="20"/>
          <w:szCs w:val="20"/>
        </w:rPr>
        <w:t>1</w:t>
      </w:r>
      <w:r w:rsidRPr="00ED00CF" w:rsidR="001E60B6">
        <w:rPr>
          <w:sz w:val="20"/>
          <w:szCs w:val="20"/>
        </w:rPr>
        <w:t xml:space="preserve"> </w:t>
      </w:r>
      <w:r w:rsidRPr="00ED00CF" w:rsidR="00BE01B0">
        <w:rPr>
          <w:sz w:val="20"/>
          <w:szCs w:val="20"/>
        </w:rPr>
        <w:t>—</w:t>
      </w:r>
      <w:r w:rsidRPr="00ED00CF" w:rsidR="001E60B6">
        <w:rPr>
          <w:sz w:val="20"/>
          <w:szCs w:val="20"/>
        </w:rPr>
        <w:t xml:space="preserve"> </w:t>
      </w:r>
      <w:r w:rsidRPr="00ED00CF" w:rsidR="00E15A6A">
        <w:rPr>
          <w:sz w:val="20"/>
          <w:szCs w:val="20"/>
        </w:rPr>
        <w:t>Heirs and D</w:t>
      </w:r>
      <w:r w:rsidRPr="00ED00CF" w:rsidR="001E60B6">
        <w:rPr>
          <w:sz w:val="20"/>
          <w:szCs w:val="20"/>
        </w:rPr>
        <w:t>evisee</w:t>
      </w:r>
      <w:r w:rsidRPr="00ED00CF" w:rsidR="00E15A6A">
        <w:rPr>
          <w:sz w:val="20"/>
          <w:szCs w:val="20"/>
        </w:rPr>
        <w:t>s</w:t>
      </w:r>
      <w:r w:rsidRPr="00ED00CF" w:rsidR="0043193F">
        <w:rPr>
          <w:sz w:val="20"/>
          <w:szCs w:val="20"/>
        </w:rPr>
        <w:t xml:space="preserve"> Statement</w:t>
      </w:r>
      <w:r w:rsidR="007617DF">
        <w:rPr>
          <w:sz w:val="20"/>
          <w:szCs w:val="20"/>
        </w:rPr>
        <w:t xml:space="preserve"> </w:t>
      </w:r>
    </w:p>
    <w:p w:rsidR="004A5169" w:rsidRPr="00ED00CF" w:rsidP="001E60B6" w14:paraId="1EC612C9"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p>
    <w:p w:rsidR="003C0878" w:rsidRPr="00ED00CF" w:rsidP="73A9246C" w14:paraId="68399C90" w14:textId="468AB887">
      <w:pPr>
        <w:widowControl/>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r w:rsidRPr="00ED00CF">
        <w:rPr>
          <w:rFonts w:ascii="Times New Roman" w:hAnsi="Times New Roman"/>
          <w:sz w:val="20"/>
          <w:szCs w:val="20"/>
        </w:rPr>
        <w:t xml:space="preserve">In case of the death of an offeror, applicant, lessee, or transferee, </w:t>
      </w:r>
      <w:r w:rsidRPr="00ED00CF" w:rsidR="004A5169">
        <w:rPr>
          <w:rFonts w:ascii="Times New Roman" w:hAnsi="Times New Roman"/>
          <w:sz w:val="20"/>
          <w:szCs w:val="20"/>
        </w:rPr>
        <w:t>the BLM</w:t>
      </w:r>
      <w:r w:rsidRPr="00ED00CF">
        <w:rPr>
          <w:rFonts w:ascii="Times New Roman" w:hAnsi="Times New Roman"/>
          <w:sz w:val="20"/>
          <w:szCs w:val="20"/>
        </w:rPr>
        <w:t xml:space="preserve"> require</w:t>
      </w:r>
      <w:r w:rsidRPr="00ED00CF" w:rsidR="004A5169">
        <w:rPr>
          <w:rFonts w:ascii="Times New Roman" w:hAnsi="Times New Roman"/>
          <w:sz w:val="20"/>
          <w:szCs w:val="20"/>
        </w:rPr>
        <w:t>s</w:t>
      </w:r>
      <w:r w:rsidRPr="00ED00CF">
        <w:rPr>
          <w:rFonts w:ascii="Times New Roman" w:hAnsi="Times New Roman"/>
          <w:sz w:val="20"/>
          <w:szCs w:val="20"/>
        </w:rPr>
        <w:t xml:space="preserve"> a </w:t>
      </w:r>
      <w:r w:rsidRPr="00ED00CF" w:rsidR="00E32372">
        <w:rPr>
          <w:rFonts w:ascii="Times New Roman" w:hAnsi="Times New Roman"/>
          <w:sz w:val="20"/>
          <w:szCs w:val="20"/>
        </w:rPr>
        <w:t xml:space="preserve">court order, death certificate, or other legal document demonstrating that </w:t>
      </w:r>
      <w:r w:rsidRPr="00ED00CF" w:rsidR="00BE01B0">
        <w:rPr>
          <w:rFonts w:ascii="Times New Roman" w:hAnsi="Times New Roman"/>
          <w:sz w:val="20"/>
          <w:szCs w:val="20"/>
        </w:rPr>
        <w:t xml:space="preserve">the </w:t>
      </w:r>
      <w:r w:rsidRPr="00ED00CF" w:rsidR="00E32372">
        <w:rPr>
          <w:rFonts w:ascii="Times New Roman" w:hAnsi="Times New Roman"/>
          <w:sz w:val="20"/>
          <w:szCs w:val="20"/>
        </w:rPr>
        <w:t>transferee is to be recognized as the successor of the deceased.</w:t>
      </w:r>
      <w:r w:rsidRPr="00ED00CF" w:rsidR="004B039D">
        <w:rPr>
          <w:sz w:val="20"/>
          <w:szCs w:val="20"/>
        </w:rPr>
        <w:t xml:space="preserve"> </w:t>
      </w:r>
      <w:r w:rsidRPr="00ED00CF" w:rsidR="004B039D">
        <w:rPr>
          <w:rFonts w:ascii="Times New Roman" w:hAnsi="Times New Roman"/>
          <w:sz w:val="20"/>
          <w:szCs w:val="20"/>
        </w:rPr>
        <w:t xml:space="preserve">The filing must include a qualification statement demonstrating </w:t>
      </w:r>
      <w:r w:rsidRPr="00ED00CF" w:rsidR="004B039D">
        <w:rPr>
          <w:rFonts w:ascii="Times New Roman" w:hAnsi="Times New Roman"/>
          <w:sz w:val="20"/>
          <w:szCs w:val="20"/>
        </w:rPr>
        <w:t>qualification</w:t>
      </w:r>
      <w:r w:rsidRPr="00ED00CF" w:rsidR="004B039D">
        <w:rPr>
          <w:rFonts w:ascii="Times New Roman" w:hAnsi="Times New Roman"/>
          <w:sz w:val="20"/>
          <w:szCs w:val="20"/>
        </w:rPr>
        <w:t xml:space="preserve"> to hold interest in a lease</w:t>
      </w:r>
      <w:r w:rsidRPr="00ED00CF" w:rsidR="00BE01B0">
        <w:rPr>
          <w:rFonts w:ascii="Times New Roman" w:hAnsi="Times New Roman"/>
          <w:sz w:val="20"/>
          <w:szCs w:val="20"/>
        </w:rPr>
        <w:t>,</w:t>
      </w:r>
      <w:r w:rsidRPr="00ED00CF" w:rsidR="004B039D">
        <w:rPr>
          <w:rFonts w:ascii="Times New Roman" w:hAnsi="Times New Roman"/>
          <w:sz w:val="20"/>
          <w:szCs w:val="20"/>
        </w:rPr>
        <w:t xml:space="preserve"> in accordance with </w:t>
      </w:r>
      <w:r w:rsidRPr="00ED00CF" w:rsidR="00074AD4">
        <w:rPr>
          <w:rFonts w:ascii="Times New Roman" w:hAnsi="Times New Roman"/>
          <w:sz w:val="20"/>
          <w:szCs w:val="20"/>
        </w:rPr>
        <w:t xml:space="preserve">43 CFR </w:t>
      </w:r>
      <w:r w:rsidRPr="00ED00CF" w:rsidR="004B039D">
        <w:rPr>
          <w:rFonts w:ascii="Times New Roman" w:hAnsi="Times New Roman"/>
          <w:sz w:val="20"/>
          <w:szCs w:val="20"/>
        </w:rPr>
        <w:t xml:space="preserve">3102. </w:t>
      </w:r>
      <w:r w:rsidRPr="00ED00CF" w:rsidR="00574927">
        <w:rPr>
          <w:rFonts w:ascii="Times New Roman" w:hAnsi="Times New Roman"/>
          <w:sz w:val="20"/>
          <w:szCs w:val="20"/>
        </w:rPr>
        <w:t>The filing must include the processing fee for transfers to heir/</w:t>
      </w:r>
      <w:r w:rsidRPr="00ED00CF" w:rsidR="00574927">
        <w:rPr>
          <w:rFonts w:ascii="Times New Roman" w:hAnsi="Times New Roman"/>
          <w:sz w:val="20"/>
          <w:szCs w:val="20"/>
        </w:rPr>
        <w:t>devisee</w:t>
      </w:r>
      <w:r w:rsidRPr="00ED00CF" w:rsidR="00BE01B0">
        <w:rPr>
          <w:rFonts w:ascii="Times New Roman" w:hAnsi="Times New Roman"/>
          <w:sz w:val="20"/>
          <w:szCs w:val="20"/>
        </w:rPr>
        <w:t>,</w:t>
      </w:r>
      <w:r w:rsidRPr="00ED00CF" w:rsidR="00574927">
        <w:rPr>
          <w:rFonts w:ascii="Times New Roman" w:hAnsi="Times New Roman"/>
          <w:sz w:val="20"/>
          <w:szCs w:val="20"/>
        </w:rPr>
        <w:t xml:space="preserve"> found in the fee schedule in </w:t>
      </w:r>
      <w:r w:rsidRPr="00ED00CF" w:rsidR="00074AD4">
        <w:rPr>
          <w:rFonts w:ascii="Times New Roman" w:hAnsi="Times New Roman"/>
          <w:sz w:val="20"/>
          <w:szCs w:val="20"/>
        </w:rPr>
        <w:t xml:space="preserve">43 CFR </w:t>
      </w:r>
      <w:r w:rsidRPr="00ED00CF" w:rsidR="00574927">
        <w:rPr>
          <w:rFonts w:ascii="Times New Roman" w:hAnsi="Times New Roman"/>
          <w:sz w:val="20"/>
          <w:szCs w:val="20"/>
        </w:rPr>
        <w:t>3000.12</w:t>
      </w:r>
      <w:r w:rsidRPr="00ED00CF" w:rsidR="00540DF4">
        <w:rPr>
          <w:rFonts w:ascii="Times New Roman" w:hAnsi="Times New Roman"/>
          <w:sz w:val="20"/>
          <w:szCs w:val="20"/>
        </w:rPr>
        <w:t>0</w:t>
      </w:r>
      <w:r w:rsidRPr="00ED00CF" w:rsidR="00FF61CC">
        <w:rPr>
          <w:rFonts w:ascii="Times New Roman" w:hAnsi="Times New Roman"/>
          <w:sz w:val="20"/>
          <w:szCs w:val="20"/>
        </w:rPr>
        <w:t>.</w:t>
      </w:r>
      <w:r>
        <w:rPr>
          <w:rFonts w:ascii="Times New Roman" w:hAnsi="Times New Roman"/>
          <w:sz w:val="20"/>
          <w:szCs w:val="20"/>
        </w:rPr>
        <w:t xml:space="preserve"> </w:t>
      </w:r>
      <w:r w:rsidRPr="00ED00CF">
        <w:rPr>
          <w:rFonts w:ascii="Times New Roman" w:hAnsi="Times New Roman"/>
          <w:sz w:val="20"/>
          <w:szCs w:val="20"/>
        </w:rPr>
        <w:t xml:space="preserve">This information is necessary to update the appropriate lease(s) </w:t>
      </w:r>
      <w:r w:rsidRPr="00ED00CF" w:rsidR="009256C8">
        <w:rPr>
          <w:rFonts w:ascii="Times New Roman" w:hAnsi="Times New Roman"/>
          <w:sz w:val="20"/>
          <w:szCs w:val="20"/>
        </w:rPr>
        <w:t>accomplished by operation of</w:t>
      </w:r>
      <w:r w:rsidR="00091538">
        <w:rPr>
          <w:rFonts w:ascii="Times New Roman" w:hAnsi="Times New Roman"/>
          <w:sz w:val="20"/>
          <w:szCs w:val="20"/>
        </w:rPr>
        <w:t xml:space="preserve"> state</w:t>
      </w:r>
      <w:r w:rsidRPr="00ED00CF" w:rsidR="009256C8">
        <w:rPr>
          <w:rFonts w:ascii="Times New Roman" w:hAnsi="Times New Roman"/>
          <w:sz w:val="20"/>
          <w:szCs w:val="20"/>
        </w:rPr>
        <w:t xml:space="preserve"> law</w:t>
      </w:r>
      <w:r w:rsidR="009256C8">
        <w:rPr>
          <w:rFonts w:ascii="Times New Roman" w:hAnsi="Times New Roman"/>
          <w:sz w:val="20"/>
          <w:szCs w:val="20"/>
        </w:rPr>
        <w:t>.</w:t>
      </w:r>
    </w:p>
    <w:p w:rsidR="001E60B6" w:rsidRPr="00ED00CF" w:rsidP="73A9246C" w14:paraId="2C205257" w14:textId="113982BD">
      <w:pPr>
        <w:widowControl/>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p>
    <w:p w:rsidR="004A5169" w:rsidRPr="00ED00CF" w:rsidP="00AE3AE4" w14:paraId="6F039012" w14:textId="497F0DFC">
      <w:pPr>
        <w:pStyle w:val="Heading4"/>
        <w:numPr>
          <w:ilvl w:val="0"/>
          <w:numId w:val="0"/>
        </w:numPr>
        <w:rPr>
          <w:sz w:val="20"/>
          <w:szCs w:val="20"/>
        </w:rPr>
      </w:pPr>
      <w:r w:rsidRPr="00ED00CF">
        <w:rPr>
          <w:sz w:val="20"/>
          <w:szCs w:val="20"/>
        </w:rPr>
        <w:t>43 CFR 3106.8</w:t>
      </w:r>
      <w:r w:rsidRPr="00ED00CF" w:rsidR="00540DF4">
        <w:rPr>
          <w:sz w:val="20"/>
          <w:szCs w:val="20"/>
        </w:rPr>
        <w:t>2</w:t>
      </w:r>
      <w:r w:rsidRPr="00ED00CF">
        <w:rPr>
          <w:sz w:val="20"/>
          <w:szCs w:val="20"/>
        </w:rPr>
        <w:t xml:space="preserve"> </w:t>
      </w:r>
      <w:r w:rsidRPr="00ED00CF" w:rsidR="00BE01B0">
        <w:rPr>
          <w:sz w:val="20"/>
          <w:szCs w:val="20"/>
        </w:rPr>
        <w:t>—</w:t>
      </w:r>
      <w:r w:rsidRPr="00ED00CF">
        <w:rPr>
          <w:sz w:val="20"/>
          <w:szCs w:val="20"/>
        </w:rPr>
        <w:t xml:space="preserve"> Change of Name</w:t>
      </w:r>
      <w:r w:rsidR="00083300">
        <w:rPr>
          <w:sz w:val="20"/>
          <w:szCs w:val="20"/>
        </w:rPr>
        <w:t xml:space="preserve"> </w:t>
      </w:r>
    </w:p>
    <w:p w:rsidR="004A5169" w:rsidRPr="00ED00CF" w:rsidP="001E60B6" w14:paraId="76BAF2C7"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p>
    <w:p w:rsidR="00735707" w:rsidRPr="00ED00CF" w:rsidP="73A9246C" w14:paraId="7D00C063" w14:textId="27A7417B">
      <w:pPr>
        <w:widowControl/>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r w:rsidRPr="00ED00CF">
        <w:rPr>
          <w:rFonts w:ascii="Times New Roman" w:hAnsi="Times New Roman"/>
          <w:sz w:val="20"/>
          <w:szCs w:val="20"/>
        </w:rPr>
        <w:t xml:space="preserve">A </w:t>
      </w:r>
      <w:r w:rsidRPr="00ED00CF" w:rsidR="00AC11DD">
        <w:rPr>
          <w:rFonts w:ascii="Times New Roman" w:hAnsi="Times New Roman"/>
          <w:sz w:val="20"/>
          <w:szCs w:val="20"/>
        </w:rPr>
        <w:t xml:space="preserve">legally recognized </w:t>
      </w:r>
      <w:r w:rsidRPr="00ED00CF">
        <w:rPr>
          <w:rFonts w:ascii="Times New Roman" w:hAnsi="Times New Roman"/>
          <w:sz w:val="20"/>
          <w:szCs w:val="20"/>
        </w:rPr>
        <w:t>change of name of the lessee</w:t>
      </w:r>
      <w:r w:rsidRPr="00ED00CF" w:rsidR="00692B75">
        <w:rPr>
          <w:rFonts w:ascii="Times New Roman" w:hAnsi="Times New Roman"/>
          <w:sz w:val="20"/>
          <w:szCs w:val="20"/>
        </w:rPr>
        <w:t xml:space="preserve"> or sublessee</w:t>
      </w:r>
      <w:r w:rsidRPr="00ED00CF">
        <w:rPr>
          <w:rFonts w:ascii="Times New Roman" w:hAnsi="Times New Roman"/>
          <w:sz w:val="20"/>
          <w:szCs w:val="20"/>
        </w:rPr>
        <w:t xml:space="preserve"> </w:t>
      </w:r>
      <w:r w:rsidRPr="00ED00CF" w:rsidR="004A5169">
        <w:rPr>
          <w:rFonts w:ascii="Times New Roman" w:hAnsi="Times New Roman"/>
          <w:sz w:val="20"/>
          <w:szCs w:val="20"/>
        </w:rPr>
        <w:t xml:space="preserve">must </w:t>
      </w:r>
      <w:r w:rsidRPr="00ED00CF">
        <w:rPr>
          <w:rFonts w:ascii="Times New Roman" w:hAnsi="Times New Roman"/>
          <w:sz w:val="20"/>
          <w:szCs w:val="20"/>
        </w:rPr>
        <w:t>be reported to the BLM</w:t>
      </w:r>
      <w:r w:rsidRPr="00ED00CF" w:rsidR="004A5169">
        <w:rPr>
          <w:rFonts w:ascii="Times New Roman" w:hAnsi="Times New Roman"/>
          <w:sz w:val="20"/>
          <w:szCs w:val="20"/>
        </w:rPr>
        <w:t>.</w:t>
      </w:r>
      <w:r w:rsidRPr="00ED00CF" w:rsidR="00E954E6">
        <w:rPr>
          <w:rFonts w:ascii="Times New Roman" w:hAnsi="Times New Roman"/>
          <w:sz w:val="20"/>
          <w:szCs w:val="20"/>
        </w:rPr>
        <w:t xml:space="preserve"> </w:t>
      </w:r>
      <w:r w:rsidRPr="00ED00CF" w:rsidR="00E56528">
        <w:rPr>
          <w:rFonts w:ascii="Times New Roman" w:hAnsi="Times New Roman"/>
          <w:sz w:val="20"/>
          <w:szCs w:val="20"/>
        </w:rPr>
        <w:t xml:space="preserve">The notice of name change </w:t>
      </w:r>
      <w:r w:rsidRPr="73A9246C" w:rsidR="009B280F">
        <w:rPr>
          <w:rFonts w:ascii="Times New Roman" w:hAnsi="Times New Roman"/>
          <w:sz w:val="20"/>
          <w:szCs w:val="20"/>
        </w:rPr>
        <w:t>must</w:t>
      </w:r>
      <w:r w:rsidRPr="00ED00CF" w:rsidR="00E56528">
        <w:rPr>
          <w:rFonts w:ascii="Times New Roman" w:hAnsi="Times New Roman"/>
          <w:sz w:val="20"/>
          <w:szCs w:val="20"/>
        </w:rPr>
        <w:t xml:space="preserve"> be submitted in writing with adequate information concerning the name change. For a corporate name change</w:t>
      </w:r>
      <w:r w:rsidRPr="00ED00CF" w:rsidR="00BE01B0">
        <w:rPr>
          <w:rFonts w:ascii="Times New Roman" w:hAnsi="Times New Roman"/>
          <w:sz w:val="20"/>
          <w:szCs w:val="20"/>
        </w:rPr>
        <w:t>,</w:t>
      </w:r>
      <w:r w:rsidRPr="00ED00CF" w:rsidR="00E56528">
        <w:rPr>
          <w:rFonts w:ascii="Times New Roman" w:hAnsi="Times New Roman"/>
          <w:sz w:val="20"/>
          <w:szCs w:val="20"/>
        </w:rPr>
        <w:t xml:space="preserve"> the request </w:t>
      </w:r>
      <w:r w:rsidRPr="00ED00CF" w:rsidR="00A61E85">
        <w:rPr>
          <w:rFonts w:ascii="Times New Roman" w:hAnsi="Times New Roman"/>
          <w:sz w:val="20"/>
          <w:szCs w:val="20"/>
        </w:rPr>
        <w:t>must</w:t>
      </w:r>
      <w:r w:rsidRPr="00ED00CF" w:rsidR="00E56528">
        <w:rPr>
          <w:rFonts w:ascii="Times New Roman" w:hAnsi="Times New Roman"/>
          <w:sz w:val="20"/>
          <w:szCs w:val="20"/>
        </w:rPr>
        <w:t xml:space="preserve"> include the Secretary of </w:t>
      </w:r>
      <w:r w:rsidRPr="00ED00CF" w:rsidR="00BE01B0">
        <w:rPr>
          <w:rFonts w:ascii="Times New Roman" w:hAnsi="Times New Roman"/>
          <w:sz w:val="20"/>
          <w:szCs w:val="20"/>
        </w:rPr>
        <w:t xml:space="preserve">State’s </w:t>
      </w:r>
      <w:r w:rsidRPr="00ED00CF" w:rsidR="00E56528">
        <w:rPr>
          <w:rFonts w:ascii="Times New Roman" w:hAnsi="Times New Roman"/>
          <w:sz w:val="20"/>
          <w:szCs w:val="20"/>
        </w:rPr>
        <w:t>Certificate of Name Change</w:t>
      </w:r>
      <w:r w:rsidRPr="00ED00CF" w:rsidR="00BE01B0">
        <w:rPr>
          <w:rFonts w:ascii="Times New Roman" w:hAnsi="Times New Roman"/>
          <w:sz w:val="20"/>
          <w:szCs w:val="20"/>
        </w:rPr>
        <w:t>,</w:t>
      </w:r>
      <w:r w:rsidRPr="00ED00CF" w:rsidR="00E56528">
        <w:rPr>
          <w:rFonts w:ascii="Times New Roman" w:hAnsi="Times New Roman"/>
          <w:sz w:val="20"/>
          <w:szCs w:val="20"/>
        </w:rPr>
        <w:t xml:space="preserve"> along with the Articles of Incorporation or Amendment, if available. </w:t>
      </w:r>
      <w:r w:rsidRPr="00ED00CF" w:rsidR="009D19A8">
        <w:rPr>
          <w:rFonts w:ascii="Times New Roman" w:hAnsi="Times New Roman"/>
          <w:sz w:val="20"/>
          <w:szCs w:val="20"/>
        </w:rPr>
        <w:t>A notice of name change</w:t>
      </w:r>
      <w:r w:rsidRPr="00ED00CF" w:rsidR="00F56B8F">
        <w:rPr>
          <w:rFonts w:ascii="Times New Roman" w:hAnsi="Times New Roman"/>
          <w:sz w:val="20"/>
          <w:szCs w:val="20"/>
        </w:rPr>
        <w:t xml:space="preserve"> </w:t>
      </w:r>
      <w:r w:rsidR="00B47923">
        <w:rPr>
          <w:rFonts w:ascii="Times New Roman" w:hAnsi="Times New Roman"/>
          <w:sz w:val="20"/>
          <w:szCs w:val="20"/>
        </w:rPr>
        <w:t>must</w:t>
      </w:r>
      <w:r w:rsidRPr="00ED00CF" w:rsidR="00B47923">
        <w:rPr>
          <w:rFonts w:ascii="Times New Roman" w:hAnsi="Times New Roman"/>
          <w:sz w:val="20"/>
          <w:szCs w:val="20"/>
        </w:rPr>
        <w:t xml:space="preserve"> </w:t>
      </w:r>
      <w:r w:rsidRPr="00ED00CF" w:rsidR="00F56B8F">
        <w:rPr>
          <w:rFonts w:ascii="Times New Roman" w:hAnsi="Times New Roman"/>
          <w:sz w:val="20"/>
          <w:szCs w:val="20"/>
        </w:rPr>
        <w:t>i</w:t>
      </w:r>
      <w:r w:rsidRPr="00ED00CF" w:rsidR="009D19A8">
        <w:rPr>
          <w:rFonts w:ascii="Times New Roman" w:hAnsi="Times New Roman"/>
          <w:sz w:val="20"/>
          <w:szCs w:val="20"/>
        </w:rPr>
        <w:t>nclude the processing fee for name change</w:t>
      </w:r>
      <w:r w:rsidRPr="00ED00CF" w:rsidR="00BE01B0">
        <w:rPr>
          <w:rFonts w:ascii="Times New Roman" w:hAnsi="Times New Roman"/>
          <w:sz w:val="20"/>
          <w:szCs w:val="20"/>
        </w:rPr>
        <w:t>,</w:t>
      </w:r>
      <w:r w:rsidRPr="00ED00CF" w:rsidR="009D19A8">
        <w:rPr>
          <w:rFonts w:ascii="Times New Roman" w:hAnsi="Times New Roman"/>
          <w:sz w:val="20"/>
          <w:szCs w:val="20"/>
        </w:rPr>
        <w:t xml:space="preserve"> found in the fee schedule in </w:t>
      </w:r>
      <w:r w:rsidRPr="00ED00CF" w:rsidR="00074AD4">
        <w:rPr>
          <w:rFonts w:ascii="Times New Roman" w:hAnsi="Times New Roman"/>
          <w:sz w:val="20"/>
          <w:szCs w:val="20"/>
        </w:rPr>
        <w:t xml:space="preserve">43 CFR </w:t>
      </w:r>
      <w:r w:rsidRPr="00ED00CF" w:rsidR="009D19A8">
        <w:rPr>
          <w:rFonts w:ascii="Times New Roman" w:hAnsi="Times New Roman"/>
          <w:sz w:val="20"/>
          <w:szCs w:val="20"/>
        </w:rPr>
        <w:t>3000.12</w:t>
      </w:r>
      <w:r w:rsidRPr="00ED00CF" w:rsidR="00A61E85">
        <w:rPr>
          <w:rFonts w:ascii="Times New Roman" w:hAnsi="Times New Roman"/>
          <w:sz w:val="20"/>
          <w:szCs w:val="20"/>
        </w:rPr>
        <w:t>0</w:t>
      </w:r>
      <w:r w:rsidRPr="00ED00CF" w:rsidR="00F56B8F">
        <w:rPr>
          <w:rFonts w:ascii="Times New Roman" w:hAnsi="Times New Roman"/>
          <w:sz w:val="20"/>
          <w:szCs w:val="20"/>
        </w:rPr>
        <w:t>.</w:t>
      </w:r>
      <w:r w:rsidRPr="00ED00CF" w:rsidR="009D19A8">
        <w:rPr>
          <w:rFonts w:ascii="Times New Roman" w:hAnsi="Times New Roman"/>
          <w:sz w:val="20"/>
          <w:szCs w:val="20"/>
        </w:rPr>
        <w:t xml:space="preserve"> </w:t>
      </w:r>
      <w:r w:rsidRPr="00ED00CF">
        <w:rPr>
          <w:rFonts w:ascii="Times New Roman" w:hAnsi="Times New Roman"/>
          <w:sz w:val="20"/>
          <w:szCs w:val="20"/>
        </w:rPr>
        <w:t xml:space="preserve">This information is necessary </w:t>
      </w:r>
      <w:r w:rsidRPr="00ED00CF" w:rsidR="00ED16C6">
        <w:rPr>
          <w:rFonts w:ascii="Times New Roman" w:hAnsi="Times New Roman"/>
          <w:sz w:val="20"/>
          <w:szCs w:val="20"/>
        </w:rPr>
        <w:t>to update the appropriate lease</w:t>
      </w:r>
      <w:r w:rsidRPr="00ED00CF" w:rsidR="003374A7">
        <w:rPr>
          <w:rFonts w:ascii="Times New Roman" w:hAnsi="Times New Roman"/>
          <w:sz w:val="20"/>
          <w:szCs w:val="20"/>
        </w:rPr>
        <w:t>(s)</w:t>
      </w:r>
      <w:r w:rsidRPr="00ED00CF" w:rsidR="00ED16C6">
        <w:rPr>
          <w:rFonts w:ascii="Times New Roman" w:hAnsi="Times New Roman"/>
          <w:sz w:val="20"/>
          <w:szCs w:val="20"/>
        </w:rPr>
        <w:t xml:space="preserve"> and agreement</w:t>
      </w:r>
      <w:r w:rsidRPr="00ED00CF" w:rsidR="003374A7">
        <w:rPr>
          <w:rFonts w:ascii="Times New Roman" w:hAnsi="Times New Roman"/>
          <w:sz w:val="20"/>
          <w:szCs w:val="20"/>
        </w:rPr>
        <w:t>(</w:t>
      </w:r>
      <w:r w:rsidRPr="00ED00CF" w:rsidR="00ED16C6">
        <w:rPr>
          <w:rFonts w:ascii="Times New Roman" w:hAnsi="Times New Roman"/>
          <w:sz w:val="20"/>
          <w:szCs w:val="20"/>
        </w:rPr>
        <w:t>s</w:t>
      </w:r>
      <w:r w:rsidRPr="00ED00CF" w:rsidR="003374A7">
        <w:rPr>
          <w:rFonts w:ascii="Times New Roman" w:hAnsi="Times New Roman"/>
          <w:sz w:val="20"/>
          <w:szCs w:val="20"/>
        </w:rPr>
        <w:t>)</w:t>
      </w:r>
      <w:r w:rsidR="009256C8">
        <w:rPr>
          <w:rFonts w:ascii="Times New Roman" w:hAnsi="Times New Roman"/>
          <w:sz w:val="20"/>
          <w:szCs w:val="20"/>
        </w:rPr>
        <w:t xml:space="preserve"> </w:t>
      </w:r>
      <w:r w:rsidRPr="00ED00CF" w:rsidR="009256C8">
        <w:rPr>
          <w:rFonts w:ascii="Times New Roman" w:hAnsi="Times New Roman"/>
          <w:sz w:val="20"/>
          <w:szCs w:val="20"/>
        </w:rPr>
        <w:t xml:space="preserve">accomplished by operation of </w:t>
      </w:r>
      <w:r w:rsidR="00091538">
        <w:rPr>
          <w:rFonts w:ascii="Times New Roman" w:hAnsi="Times New Roman"/>
          <w:sz w:val="20"/>
          <w:szCs w:val="20"/>
        </w:rPr>
        <w:t xml:space="preserve">state </w:t>
      </w:r>
      <w:r w:rsidRPr="00ED00CF" w:rsidR="009256C8">
        <w:rPr>
          <w:rFonts w:ascii="Times New Roman" w:hAnsi="Times New Roman"/>
          <w:sz w:val="20"/>
          <w:szCs w:val="20"/>
        </w:rPr>
        <w:t>law</w:t>
      </w:r>
      <w:r w:rsidRPr="00ED00CF">
        <w:rPr>
          <w:rFonts w:ascii="Times New Roman" w:hAnsi="Times New Roman"/>
          <w:sz w:val="20"/>
          <w:szCs w:val="20"/>
        </w:rPr>
        <w:t>.</w:t>
      </w:r>
    </w:p>
    <w:p w:rsidR="001B45B8" w:rsidRPr="00ED00CF" w:rsidP="001E60B6" w14:paraId="20E19F29"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p>
    <w:p w:rsidR="004A5169" w:rsidRPr="00ED00CF" w:rsidP="00AE3AE4" w14:paraId="0AA3B1DA" w14:textId="3614E601">
      <w:pPr>
        <w:pStyle w:val="Heading4"/>
        <w:numPr>
          <w:ilvl w:val="0"/>
          <w:numId w:val="0"/>
        </w:numPr>
        <w:rPr>
          <w:sz w:val="20"/>
          <w:szCs w:val="20"/>
        </w:rPr>
      </w:pPr>
      <w:r w:rsidRPr="00ED00CF">
        <w:rPr>
          <w:sz w:val="20"/>
          <w:szCs w:val="20"/>
        </w:rPr>
        <w:t xml:space="preserve">43 CFR </w:t>
      </w:r>
      <w:r w:rsidRPr="00ED00CF" w:rsidR="001E60B6">
        <w:rPr>
          <w:sz w:val="20"/>
          <w:szCs w:val="20"/>
        </w:rPr>
        <w:t>3106.8</w:t>
      </w:r>
      <w:r w:rsidRPr="00ED00CF" w:rsidR="00A61E85">
        <w:rPr>
          <w:sz w:val="20"/>
          <w:szCs w:val="20"/>
        </w:rPr>
        <w:t>3</w:t>
      </w:r>
      <w:r w:rsidRPr="00ED00CF" w:rsidR="001E60B6">
        <w:rPr>
          <w:sz w:val="20"/>
          <w:szCs w:val="20"/>
        </w:rPr>
        <w:t xml:space="preserve"> </w:t>
      </w:r>
      <w:r w:rsidRPr="00ED00CF" w:rsidR="00BE01B0">
        <w:rPr>
          <w:sz w:val="20"/>
          <w:szCs w:val="20"/>
        </w:rPr>
        <w:t>—</w:t>
      </w:r>
      <w:r w:rsidRPr="00ED00CF" w:rsidR="001E60B6">
        <w:rPr>
          <w:sz w:val="20"/>
          <w:szCs w:val="20"/>
        </w:rPr>
        <w:t xml:space="preserve"> Corporate </w:t>
      </w:r>
      <w:r w:rsidRPr="00ED00CF">
        <w:rPr>
          <w:sz w:val="20"/>
          <w:szCs w:val="20"/>
        </w:rPr>
        <w:t>Merger</w:t>
      </w:r>
      <w:r w:rsidRPr="00ED00CF" w:rsidR="00FB0880">
        <w:rPr>
          <w:sz w:val="20"/>
          <w:szCs w:val="20"/>
        </w:rPr>
        <w:t xml:space="preserve"> </w:t>
      </w:r>
      <w:r w:rsidRPr="00ED00CF" w:rsidR="003A4A67">
        <w:rPr>
          <w:sz w:val="20"/>
          <w:szCs w:val="20"/>
        </w:rPr>
        <w:t>and Dissolution of Corporations, Partnerships</w:t>
      </w:r>
      <w:r w:rsidRPr="00ED00CF" w:rsidR="00BE01B0">
        <w:rPr>
          <w:sz w:val="20"/>
          <w:szCs w:val="20"/>
        </w:rPr>
        <w:t>,</w:t>
      </w:r>
      <w:r w:rsidRPr="00ED00CF" w:rsidR="003A4A67">
        <w:rPr>
          <w:sz w:val="20"/>
          <w:szCs w:val="20"/>
        </w:rPr>
        <w:t xml:space="preserve"> and Trust</w:t>
      </w:r>
    </w:p>
    <w:p w:rsidR="004A5169" w:rsidRPr="00ED00CF" w:rsidP="001E60B6" w14:paraId="44EAB663"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p>
    <w:p w:rsidR="007F2439" w:rsidRPr="00ED00CF" w:rsidP="73A9246C" w14:paraId="07A91698" w14:textId="14279864">
      <w:pPr>
        <w:widowControl/>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r w:rsidRPr="00ED00CF">
        <w:rPr>
          <w:rFonts w:ascii="Times New Roman" w:hAnsi="Times New Roman"/>
          <w:sz w:val="20"/>
          <w:szCs w:val="20"/>
        </w:rPr>
        <w:t xml:space="preserve">Where a corporate merger affects leases where the transfer of property of the dissolving corporation to the surviving corporation is accomplished by </w:t>
      </w:r>
      <w:r w:rsidRPr="00ED00CF">
        <w:rPr>
          <w:rFonts w:ascii="Times New Roman" w:hAnsi="Times New Roman"/>
          <w:sz w:val="20"/>
          <w:szCs w:val="20"/>
        </w:rPr>
        <w:t>operation of law</w:t>
      </w:r>
      <w:r w:rsidRPr="00ED00CF">
        <w:rPr>
          <w:rFonts w:ascii="Times New Roman" w:hAnsi="Times New Roman"/>
          <w:sz w:val="20"/>
          <w:szCs w:val="20"/>
        </w:rPr>
        <w:t xml:space="preserve">, </w:t>
      </w:r>
      <w:r w:rsidRPr="00ED00CF" w:rsidR="007759C0">
        <w:rPr>
          <w:rFonts w:ascii="Times New Roman" w:hAnsi="Times New Roman"/>
          <w:sz w:val="20"/>
          <w:szCs w:val="20"/>
        </w:rPr>
        <w:t xml:space="preserve">a </w:t>
      </w:r>
      <w:r w:rsidRPr="00ED00CF">
        <w:rPr>
          <w:rFonts w:ascii="Times New Roman" w:hAnsi="Times New Roman"/>
          <w:sz w:val="20"/>
          <w:szCs w:val="20"/>
        </w:rPr>
        <w:t>transfer of any affected lease interest i</w:t>
      </w:r>
      <w:r w:rsidRPr="00ED00CF" w:rsidR="00CC2C32">
        <w:rPr>
          <w:rFonts w:ascii="Times New Roman" w:hAnsi="Times New Roman"/>
          <w:sz w:val="20"/>
          <w:szCs w:val="20"/>
        </w:rPr>
        <w:t>s</w:t>
      </w:r>
      <w:r w:rsidRPr="00ED00CF">
        <w:rPr>
          <w:rFonts w:ascii="Times New Roman" w:hAnsi="Times New Roman"/>
          <w:sz w:val="20"/>
          <w:szCs w:val="20"/>
        </w:rPr>
        <w:t xml:space="preserve"> </w:t>
      </w:r>
      <w:r w:rsidRPr="00ED00CF" w:rsidR="007759C0">
        <w:rPr>
          <w:rFonts w:ascii="Times New Roman" w:hAnsi="Times New Roman"/>
          <w:sz w:val="20"/>
          <w:szCs w:val="20"/>
        </w:rPr>
        <w:t xml:space="preserve">not </w:t>
      </w:r>
      <w:r w:rsidRPr="00ED00CF">
        <w:rPr>
          <w:rFonts w:ascii="Times New Roman" w:hAnsi="Times New Roman"/>
          <w:sz w:val="20"/>
          <w:szCs w:val="20"/>
        </w:rPr>
        <w:t>required.</w:t>
      </w:r>
      <w:r w:rsidRPr="00ED00CF" w:rsidR="00E954E6">
        <w:rPr>
          <w:rFonts w:ascii="Times New Roman" w:hAnsi="Times New Roman"/>
          <w:sz w:val="20"/>
          <w:szCs w:val="20"/>
        </w:rPr>
        <w:t xml:space="preserve"> </w:t>
      </w:r>
      <w:r w:rsidRPr="00ED00CF">
        <w:rPr>
          <w:rFonts w:ascii="Times New Roman" w:hAnsi="Times New Roman"/>
          <w:sz w:val="20"/>
          <w:szCs w:val="20"/>
        </w:rPr>
        <w:t>However, t</w:t>
      </w:r>
      <w:r w:rsidRPr="00ED00CF" w:rsidR="004A5169">
        <w:rPr>
          <w:rFonts w:ascii="Times New Roman" w:hAnsi="Times New Roman"/>
          <w:sz w:val="20"/>
          <w:szCs w:val="20"/>
        </w:rPr>
        <w:t xml:space="preserve">he BLM </w:t>
      </w:r>
      <w:r w:rsidRPr="00ED00CF" w:rsidR="001E60B6">
        <w:rPr>
          <w:rFonts w:ascii="Times New Roman" w:hAnsi="Times New Roman"/>
          <w:sz w:val="20"/>
          <w:szCs w:val="20"/>
        </w:rPr>
        <w:t>require</w:t>
      </w:r>
      <w:r w:rsidRPr="00ED00CF" w:rsidR="004A5169">
        <w:rPr>
          <w:rFonts w:ascii="Times New Roman" w:hAnsi="Times New Roman"/>
          <w:sz w:val="20"/>
          <w:szCs w:val="20"/>
        </w:rPr>
        <w:t xml:space="preserve">s </w:t>
      </w:r>
      <w:r w:rsidRPr="00ED00CF">
        <w:rPr>
          <w:rFonts w:ascii="Times New Roman" w:hAnsi="Times New Roman"/>
          <w:sz w:val="20"/>
          <w:szCs w:val="20"/>
        </w:rPr>
        <w:t>a notification of such merger.</w:t>
      </w:r>
      <w:r w:rsidRPr="00ED00CF" w:rsidR="00E954E6">
        <w:rPr>
          <w:rFonts w:ascii="Times New Roman" w:hAnsi="Times New Roman"/>
          <w:sz w:val="20"/>
          <w:szCs w:val="20"/>
        </w:rPr>
        <w:t xml:space="preserve"> </w:t>
      </w:r>
      <w:r w:rsidRPr="00ED00CF" w:rsidR="007D6CDC">
        <w:rPr>
          <w:rFonts w:ascii="Times New Roman" w:hAnsi="Times New Roman"/>
          <w:sz w:val="20"/>
          <w:szCs w:val="20"/>
        </w:rPr>
        <w:t xml:space="preserve">The </w:t>
      </w:r>
      <w:r w:rsidRPr="00ED00CF">
        <w:rPr>
          <w:rFonts w:ascii="Times New Roman" w:hAnsi="Times New Roman"/>
          <w:sz w:val="20"/>
          <w:szCs w:val="20"/>
        </w:rPr>
        <w:t xml:space="preserve">required information includes: </w:t>
      </w:r>
    </w:p>
    <w:p w:rsidR="007F2439" w:rsidRPr="00ED00CF" w:rsidP="73A9246C" w14:paraId="409616D0" w14:textId="3599FDCC">
      <w:pPr>
        <w:widowControl/>
        <w:numPr>
          <w:ilvl w:val="0"/>
          <w:numId w:val="33"/>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r w:rsidRPr="00ED00CF">
        <w:rPr>
          <w:rFonts w:ascii="Times New Roman" w:hAnsi="Times New Roman"/>
          <w:sz w:val="20"/>
          <w:szCs w:val="20"/>
        </w:rPr>
        <w:t>T</w:t>
      </w:r>
      <w:r w:rsidRPr="00ED00CF" w:rsidR="0041593C">
        <w:rPr>
          <w:rFonts w:ascii="Times New Roman" w:hAnsi="Times New Roman"/>
          <w:sz w:val="20"/>
          <w:szCs w:val="20"/>
        </w:rPr>
        <w:t xml:space="preserve">he Secretary of </w:t>
      </w:r>
      <w:r w:rsidRPr="00ED00CF" w:rsidR="00BE01B0">
        <w:rPr>
          <w:rFonts w:ascii="Times New Roman" w:hAnsi="Times New Roman"/>
          <w:sz w:val="20"/>
          <w:szCs w:val="20"/>
        </w:rPr>
        <w:t xml:space="preserve">State’s </w:t>
      </w:r>
      <w:r w:rsidRPr="00ED00CF" w:rsidR="0041593C">
        <w:rPr>
          <w:rFonts w:ascii="Times New Roman" w:hAnsi="Times New Roman"/>
          <w:sz w:val="20"/>
          <w:szCs w:val="20"/>
        </w:rPr>
        <w:t>Certificate of Merger</w:t>
      </w:r>
      <w:r w:rsidRPr="00ED00CF" w:rsidR="00BE01B0">
        <w:rPr>
          <w:rFonts w:ascii="Times New Roman" w:hAnsi="Times New Roman"/>
          <w:sz w:val="20"/>
          <w:szCs w:val="20"/>
        </w:rPr>
        <w:t>,</w:t>
      </w:r>
      <w:r w:rsidRPr="00ED00CF" w:rsidR="0041593C">
        <w:rPr>
          <w:rFonts w:ascii="Times New Roman" w:hAnsi="Times New Roman"/>
          <w:sz w:val="20"/>
          <w:szCs w:val="20"/>
        </w:rPr>
        <w:t xml:space="preserve"> along with the Articles of Incorporation or Amendment, if </w:t>
      </w:r>
      <w:r w:rsidRPr="00ED00CF" w:rsidR="0041593C">
        <w:rPr>
          <w:rFonts w:ascii="Times New Roman" w:hAnsi="Times New Roman"/>
          <w:sz w:val="20"/>
          <w:szCs w:val="20"/>
        </w:rPr>
        <w:t>available</w:t>
      </w:r>
      <w:r w:rsidRPr="00ED00CF" w:rsidR="006B468B">
        <w:rPr>
          <w:rFonts w:ascii="Times New Roman" w:hAnsi="Times New Roman"/>
          <w:sz w:val="20"/>
          <w:szCs w:val="20"/>
        </w:rPr>
        <w:t>;</w:t>
      </w:r>
    </w:p>
    <w:p w:rsidR="0041593C" w:rsidRPr="00ED00CF" w:rsidP="73A9246C" w14:paraId="31B5EB1C" w14:textId="19B6F81B">
      <w:pPr>
        <w:widowControl/>
        <w:numPr>
          <w:ilvl w:val="0"/>
          <w:numId w:val="33"/>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r w:rsidRPr="00ED00CF">
        <w:rPr>
          <w:rFonts w:ascii="Times New Roman" w:hAnsi="Times New Roman"/>
          <w:sz w:val="20"/>
          <w:szCs w:val="20"/>
        </w:rPr>
        <w:t xml:space="preserve">A Certificate of Dissolution of an incorporated entity certified as having been accepted by the </w:t>
      </w:r>
      <w:r w:rsidRPr="00ED00CF" w:rsidR="00BE01B0">
        <w:rPr>
          <w:rFonts w:ascii="Times New Roman" w:hAnsi="Times New Roman"/>
          <w:sz w:val="20"/>
          <w:szCs w:val="20"/>
        </w:rPr>
        <w:t xml:space="preserve">state </w:t>
      </w:r>
      <w:r w:rsidRPr="00ED00CF">
        <w:rPr>
          <w:rFonts w:ascii="Times New Roman" w:hAnsi="Times New Roman"/>
          <w:sz w:val="20"/>
          <w:szCs w:val="20"/>
        </w:rPr>
        <w:t xml:space="preserve">where the entity was </w:t>
      </w:r>
      <w:r w:rsidRPr="00ED00CF">
        <w:rPr>
          <w:rFonts w:ascii="Times New Roman" w:hAnsi="Times New Roman"/>
          <w:sz w:val="20"/>
          <w:szCs w:val="20"/>
        </w:rPr>
        <w:t>incorporated;</w:t>
      </w:r>
      <w:r w:rsidRPr="00ED00CF" w:rsidR="00E954E6">
        <w:rPr>
          <w:rFonts w:ascii="Times New Roman" w:hAnsi="Times New Roman"/>
          <w:sz w:val="20"/>
          <w:szCs w:val="20"/>
        </w:rPr>
        <w:t xml:space="preserve"> </w:t>
      </w:r>
    </w:p>
    <w:p w:rsidR="006B468B" w:rsidRPr="00ED00CF" w:rsidP="0041593C" w14:paraId="3DFA4D71" w14:textId="6A3CB829">
      <w:pPr>
        <w:widowControl/>
        <w:numPr>
          <w:ilvl w:val="0"/>
          <w:numId w:val="33"/>
        </w:num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r w:rsidRPr="00ED00CF">
        <w:rPr>
          <w:rFonts w:ascii="Times New Roman" w:hAnsi="Times New Roman"/>
          <w:sz w:val="20"/>
          <w:szCs w:val="20"/>
        </w:rPr>
        <w:t>Dissolution of a partnership or trust through an order or decree that authorizes settlement, discharge, and distribution of the lease holdings and/or interests</w:t>
      </w:r>
      <w:r w:rsidRPr="00ED00CF" w:rsidR="00242C1F">
        <w:rPr>
          <w:rFonts w:ascii="Times New Roman" w:hAnsi="Times New Roman"/>
          <w:sz w:val="20"/>
          <w:szCs w:val="20"/>
        </w:rPr>
        <w:t>; and</w:t>
      </w:r>
    </w:p>
    <w:p w:rsidR="00242C1F" w:rsidRPr="00ED00CF" w:rsidP="0041593C" w14:paraId="3671E20C" w14:textId="2429B126">
      <w:pPr>
        <w:widowControl/>
        <w:numPr>
          <w:ilvl w:val="0"/>
          <w:numId w:val="33"/>
        </w:num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r w:rsidRPr="00ED00CF">
        <w:rPr>
          <w:rFonts w:ascii="Times New Roman" w:hAnsi="Times New Roman"/>
          <w:sz w:val="20"/>
          <w:szCs w:val="20"/>
        </w:rPr>
        <w:t xml:space="preserve">The processing fee for corporate </w:t>
      </w:r>
      <w:r w:rsidRPr="00ED00CF">
        <w:rPr>
          <w:rFonts w:ascii="Times New Roman" w:hAnsi="Times New Roman"/>
          <w:sz w:val="20"/>
          <w:szCs w:val="20"/>
        </w:rPr>
        <w:t>merger, found</w:t>
      </w:r>
      <w:r w:rsidRPr="00ED00CF">
        <w:rPr>
          <w:rFonts w:ascii="Times New Roman" w:hAnsi="Times New Roman"/>
          <w:sz w:val="20"/>
          <w:szCs w:val="20"/>
        </w:rPr>
        <w:t xml:space="preserve"> in the fee schedule </w:t>
      </w:r>
      <w:r w:rsidRPr="00ED00CF">
        <w:rPr>
          <w:rFonts w:ascii="Times New Roman" w:hAnsi="Times New Roman"/>
          <w:sz w:val="20"/>
          <w:szCs w:val="20"/>
        </w:rPr>
        <w:t>in</w:t>
      </w:r>
      <w:r w:rsidRPr="00ED00CF">
        <w:rPr>
          <w:rFonts w:ascii="Times New Roman" w:hAnsi="Times New Roman"/>
          <w:sz w:val="20"/>
          <w:szCs w:val="20"/>
        </w:rPr>
        <w:t xml:space="preserve"> </w:t>
      </w:r>
      <w:r w:rsidRPr="00ED00CF" w:rsidR="00074AD4">
        <w:rPr>
          <w:rFonts w:ascii="Times New Roman" w:hAnsi="Times New Roman"/>
          <w:sz w:val="20"/>
          <w:szCs w:val="20"/>
        </w:rPr>
        <w:t xml:space="preserve">43 CFR </w:t>
      </w:r>
      <w:r w:rsidRPr="00ED00CF">
        <w:rPr>
          <w:rFonts w:ascii="Times New Roman" w:hAnsi="Times New Roman"/>
          <w:sz w:val="20"/>
          <w:szCs w:val="20"/>
        </w:rPr>
        <w:t>3000.12</w:t>
      </w:r>
      <w:r w:rsidRPr="00ED00CF" w:rsidR="00A61E85">
        <w:rPr>
          <w:rFonts w:ascii="Times New Roman" w:hAnsi="Times New Roman"/>
          <w:sz w:val="20"/>
          <w:szCs w:val="20"/>
        </w:rPr>
        <w:t>0</w:t>
      </w:r>
      <w:r w:rsidR="004A69E4">
        <w:rPr>
          <w:rFonts w:ascii="Times New Roman" w:hAnsi="Times New Roman"/>
          <w:sz w:val="20"/>
          <w:szCs w:val="20"/>
        </w:rPr>
        <w:t>.</w:t>
      </w:r>
    </w:p>
    <w:p w:rsidR="00C01669" w:rsidRPr="00ED00CF" w:rsidP="009C51E3" w14:paraId="6BBB3009" w14:textId="2BE679B2">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p>
    <w:p w:rsidR="001E60B6" w:rsidRPr="00ED00CF" w:rsidP="73A9246C" w14:paraId="7B63C4A9" w14:textId="470FC840">
      <w:pPr>
        <w:widowControl/>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r w:rsidRPr="00ED00CF">
        <w:rPr>
          <w:rFonts w:ascii="Times New Roman" w:hAnsi="Times New Roman"/>
          <w:sz w:val="20"/>
          <w:szCs w:val="20"/>
        </w:rPr>
        <w:t xml:space="preserve">This information is necessary to </w:t>
      </w:r>
      <w:r w:rsidRPr="00ED00CF" w:rsidR="00ED16C6">
        <w:rPr>
          <w:rFonts w:ascii="Times New Roman" w:hAnsi="Times New Roman"/>
          <w:sz w:val="20"/>
          <w:szCs w:val="20"/>
        </w:rPr>
        <w:t>update the appropriate lease</w:t>
      </w:r>
      <w:r w:rsidRPr="00ED00CF" w:rsidR="003374A7">
        <w:rPr>
          <w:rFonts w:ascii="Times New Roman" w:hAnsi="Times New Roman"/>
          <w:sz w:val="20"/>
          <w:szCs w:val="20"/>
        </w:rPr>
        <w:t>(s)</w:t>
      </w:r>
      <w:r w:rsidRPr="00ED00CF" w:rsidR="00ED16C6">
        <w:rPr>
          <w:rFonts w:ascii="Times New Roman" w:hAnsi="Times New Roman"/>
          <w:sz w:val="20"/>
          <w:szCs w:val="20"/>
        </w:rPr>
        <w:t xml:space="preserve"> and agreement</w:t>
      </w:r>
      <w:r w:rsidRPr="00ED00CF" w:rsidR="003374A7">
        <w:rPr>
          <w:rFonts w:ascii="Times New Roman" w:hAnsi="Times New Roman"/>
          <w:sz w:val="20"/>
          <w:szCs w:val="20"/>
        </w:rPr>
        <w:t>(</w:t>
      </w:r>
      <w:r w:rsidRPr="00ED00CF" w:rsidR="00ED16C6">
        <w:rPr>
          <w:rFonts w:ascii="Times New Roman" w:hAnsi="Times New Roman"/>
          <w:sz w:val="20"/>
          <w:szCs w:val="20"/>
        </w:rPr>
        <w:t>s</w:t>
      </w:r>
      <w:r w:rsidRPr="00ED00CF" w:rsidR="003374A7">
        <w:rPr>
          <w:rFonts w:ascii="Times New Roman" w:hAnsi="Times New Roman"/>
          <w:sz w:val="20"/>
          <w:szCs w:val="20"/>
        </w:rPr>
        <w:t>)</w:t>
      </w:r>
      <w:r w:rsidR="00AD3E23">
        <w:rPr>
          <w:rFonts w:ascii="Times New Roman" w:hAnsi="Times New Roman"/>
          <w:sz w:val="20"/>
          <w:szCs w:val="20"/>
        </w:rPr>
        <w:t xml:space="preserve"> </w:t>
      </w:r>
      <w:r w:rsidRPr="00ED00CF" w:rsidR="00AD3E23">
        <w:rPr>
          <w:rFonts w:ascii="Times New Roman" w:hAnsi="Times New Roman"/>
          <w:sz w:val="20"/>
          <w:szCs w:val="20"/>
        </w:rPr>
        <w:t xml:space="preserve">accomplished by operation of </w:t>
      </w:r>
      <w:r w:rsidR="00091538">
        <w:rPr>
          <w:rFonts w:ascii="Times New Roman" w:hAnsi="Times New Roman"/>
          <w:sz w:val="20"/>
          <w:szCs w:val="20"/>
        </w:rPr>
        <w:t xml:space="preserve">state </w:t>
      </w:r>
      <w:r w:rsidRPr="00ED00CF" w:rsidR="00AD3E23">
        <w:rPr>
          <w:rFonts w:ascii="Times New Roman" w:hAnsi="Times New Roman"/>
          <w:sz w:val="20"/>
          <w:szCs w:val="20"/>
        </w:rPr>
        <w:t>law</w:t>
      </w:r>
      <w:r w:rsidRPr="00ED00CF" w:rsidR="00ED16C6">
        <w:rPr>
          <w:rFonts w:ascii="Times New Roman" w:hAnsi="Times New Roman"/>
          <w:sz w:val="20"/>
          <w:szCs w:val="20"/>
        </w:rPr>
        <w:t>.</w:t>
      </w:r>
    </w:p>
    <w:p w:rsidR="00F733CA" w:rsidRPr="00ED00CF" w:rsidP="00FB7B24" w14:paraId="1CED5BA6" w14:textId="4E76A14B">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p>
    <w:p w:rsidR="00FB7B24" w:rsidRPr="00ED00CF" w:rsidP="00AE3AE4" w14:paraId="3816AAB7" w14:textId="6FAC48F4">
      <w:pPr>
        <w:pStyle w:val="Heading4"/>
        <w:numPr>
          <w:ilvl w:val="0"/>
          <w:numId w:val="0"/>
        </w:numPr>
        <w:rPr>
          <w:sz w:val="20"/>
          <w:szCs w:val="20"/>
        </w:rPr>
      </w:pPr>
      <w:r w:rsidRPr="00ED00CF">
        <w:rPr>
          <w:sz w:val="20"/>
          <w:szCs w:val="20"/>
        </w:rPr>
        <w:t>43 CFR 3106.8</w:t>
      </w:r>
      <w:r w:rsidRPr="00ED00CF" w:rsidR="00A61E85">
        <w:rPr>
          <w:sz w:val="20"/>
          <w:szCs w:val="20"/>
        </w:rPr>
        <w:t>4</w:t>
      </w:r>
      <w:r w:rsidRPr="00ED00CF" w:rsidR="00E954E6">
        <w:rPr>
          <w:sz w:val="20"/>
          <w:szCs w:val="20"/>
        </w:rPr>
        <w:t xml:space="preserve"> </w:t>
      </w:r>
      <w:r w:rsidRPr="00ED00CF" w:rsidR="006650A1">
        <w:rPr>
          <w:sz w:val="20"/>
          <w:szCs w:val="20"/>
        </w:rPr>
        <w:t>—</w:t>
      </w:r>
      <w:r w:rsidRPr="00ED00CF" w:rsidR="00E90805">
        <w:rPr>
          <w:sz w:val="20"/>
          <w:szCs w:val="20"/>
        </w:rPr>
        <w:t xml:space="preserve"> </w:t>
      </w:r>
      <w:r w:rsidRPr="00ED00CF" w:rsidR="00E44E6D">
        <w:rPr>
          <w:sz w:val="20"/>
          <w:szCs w:val="20"/>
        </w:rPr>
        <w:t xml:space="preserve">Sheriff’s </w:t>
      </w:r>
      <w:r w:rsidRPr="00ED00CF" w:rsidR="006D4BDD">
        <w:rPr>
          <w:sz w:val="20"/>
          <w:szCs w:val="20"/>
        </w:rPr>
        <w:t>S</w:t>
      </w:r>
      <w:r w:rsidRPr="00ED00CF" w:rsidR="00E44E6D">
        <w:rPr>
          <w:sz w:val="20"/>
          <w:szCs w:val="20"/>
        </w:rPr>
        <w:t>ale/</w:t>
      </w:r>
      <w:r w:rsidRPr="00ED00CF" w:rsidR="006D4BDD">
        <w:rPr>
          <w:sz w:val="20"/>
          <w:szCs w:val="20"/>
        </w:rPr>
        <w:t>D</w:t>
      </w:r>
      <w:r w:rsidRPr="00ED00CF" w:rsidR="00E44E6D">
        <w:rPr>
          <w:sz w:val="20"/>
          <w:szCs w:val="20"/>
        </w:rPr>
        <w:t>eed</w:t>
      </w:r>
      <w:r w:rsidR="00D4236C">
        <w:rPr>
          <w:sz w:val="20"/>
          <w:szCs w:val="20"/>
        </w:rPr>
        <w:t xml:space="preserve"> </w:t>
      </w:r>
    </w:p>
    <w:p w:rsidR="00E44E6D" w:rsidRPr="00ED00CF" w:rsidP="00E44E6D" w14:paraId="01B521E2" w14:textId="3242FD91">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sz w:val="20"/>
          <w:szCs w:val="20"/>
          <w:u w:val="single"/>
        </w:rPr>
      </w:pPr>
    </w:p>
    <w:p w:rsidR="00E44E6D" w:rsidRPr="00ED00CF" w:rsidP="73A9246C" w14:paraId="4F06653D" w14:textId="31911A86">
      <w:pPr>
        <w:widowControl/>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sz w:val="20"/>
          <w:szCs w:val="20"/>
        </w:rPr>
      </w:pPr>
      <w:r w:rsidRPr="00ED00CF">
        <w:rPr>
          <w:rFonts w:ascii="Times New Roman" w:hAnsi="Times New Roman"/>
          <w:sz w:val="20"/>
          <w:szCs w:val="20"/>
        </w:rPr>
        <w:t xml:space="preserve">Where a notice of sale of the leasehold interest is published pursuant to </w:t>
      </w:r>
      <w:r w:rsidRPr="00ED00CF" w:rsidR="006650A1">
        <w:rPr>
          <w:rFonts w:ascii="Times New Roman" w:hAnsi="Times New Roman"/>
          <w:sz w:val="20"/>
          <w:szCs w:val="20"/>
        </w:rPr>
        <w:t xml:space="preserve">state </w:t>
      </w:r>
      <w:r w:rsidRPr="00ED00CF">
        <w:rPr>
          <w:rFonts w:ascii="Times New Roman" w:hAnsi="Times New Roman"/>
          <w:sz w:val="20"/>
          <w:szCs w:val="20"/>
        </w:rPr>
        <w:t xml:space="preserve">law applicable to the execution of sales of real property, the purchaser </w:t>
      </w:r>
      <w:r w:rsidRPr="00ED00CF" w:rsidR="00A61E85">
        <w:rPr>
          <w:rFonts w:ascii="Times New Roman" w:hAnsi="Times New Roman"/>
          <w:sz w:val="20"/>
          <w:szCs w:val="20"/>
        </w:rPr>
        <w:t>must</w:t>
      </w:r>
      <w:r w:rsidRPr="00ED00CF">
        <w:rPr>
          <w:rFonts w:ascii="Times New Roman" w:hAnsi="Times New Roman"/>
          <w:sz w:val="20"/>
          <w:szCs w:val="20"/>
        </w:rPr>
        <w:t xml:space="preserve"> submit </w:t>
      </w:r>
      <w:r w:rsidRPr="00ED00CF" w:rsidR="006650A1">
        <w:rPr>
          <w:rFonts w:ascii="Times New Roman" w:hAnsi="Times New Roman"/>
          <w:sz w:val="20"/>
          <w:szCs w:val="20"/>
        </w:rPr>
        <w:t xml:space="preserve">to the proper BLM office </w:t>
      </w:r>
      <w:r w:rsidRPr="00ED00CF">
        <w:rPr>
          <w:rFonts w:ascii="Times New Roman" w:hAnsi="Times New Roman"/>
          <w:sz w:val="20"/>
          <w:szCs w:val="20"/>
        </w:rPr>
        <w:t xml:space="preserve">a copy of the </w:t>
      </w:r>
      <w:r w:rsidRPr="00ED00CF" w:rsidR="006650A1">
        <w:rPr>
          <w:rFonts w:ascii="Times New Roman" w:hAnsi="Times New Roman"/>
          <w:sz w:val="20"/>
          <w:szCs w:val="20"/>
        </w:rPr>
        <w:t xml:space="preserve">Sheriff’s </w:t>
      </w:r>
      <w:r w:rsidRPr="00ED00CF">
        <w:rPr>
          <w:rFonts w:ascii="Times New Roman" w:hAnsi="Times New Roman"/>
          <w:sz w:val="20"/>
          <w:szCs w:val="20"/>
        </w:rPr>
        <w:t>Certificate of Sale after any redemption period has passed.</w:t>
      </w:r>
      <w:r w:rsidRPr="00ED00CF" w:rsidR="00E954E6">
        <w:rPr>
          <w:rFonts w:ascii="Times New Roman" w:hAnsi="Times New Roman"/>
          <w:sz w:val="20"/>
          <w:szCs w:val="20"/>
        </w:rPr>
        <w:t xml:space="preserve"> </w:t>
      </w:r>
      <w:r w:rsidRPr="00ED00CF" w:rsidR="005872A1">
        <w:rPr>
          <w:rFonts w:ascii="Times New Roman" w:hAnsi="Times New Roman"/>
          <w:sz w:val="20"/>
          <w:szCs w:val="20"/>
        </w:rPr>
        <w:t xml:space="preserve">The purchaser(s) </w:t>
      </w:r>
      <w:r w:rsidRPr="00ED00CF" w:rsidR="00A61E85">
        <w:rPr>
          <w:rFonts w:ascii="Times New Roman" w:hAnsi="Times New Roman"/>
          <w:sz w:val="20"/>
          <w:szCs w:val="20"/>
        </w:rPr>
        <w:t>must</w:t>
      </w:r>
      <w:r w:rsidRPr="00ED00CF" w:rsidR="005872A1">
        <w:rPr>
          <w:rFonts w:ascii="Times New Roman" w:hAnsi="Times New Roman"/>
          <w:sz w:val="20"/>
          <w:szCs w:val="20"/>
        </w:rPr>
        <w:t xml:space="preserve"> file a qualification statement to hold interest in a lease</w:t>
      </w:r>
      <w:r w:rsidRPr="00ED00CF" w:rsidR="006650A1">
        <w:rPr>
          <w:rFonts w:ascii="Times New Roman" w:hAnsi="Times New Roman"/>
          <w:sz w:val="20"/>
          <w:szCs w:val="20"/>
        </w:rPr>
        <w:t>,</w:t>
      </w:r>
      <w:r w:rsidRPr="00ED00CF" w:rsidR="005872A1">
        <w:rPr>
          <w:rFonts w:ascii="Times New Roman" w:hAnsi="Times New Roman"/>
          <w:sz w:val="20"/>
          <w:szCs w:val="20"/>
        </w:rPr>
        <w:t xml:space="preserve"> in accordance with </w:t>
      </w:r>
      <w:r w:rsidRPr="00ED00CF" w:rsidR="00074AD4">
        <w:rPr>
          <w:rFonts w:ascii="Times New Roman" w:hAnsi="Times New Roman"/>
          <w:sz w:val="20"/>
          <w:szCs w:val="20"/>
        </w:rPr>
        <w:t xml:space="preserve">43 CFR </w:t>
      </w:r>
      <w:r w:rsidRPr="00ED00CF" w:rsidR="005872A1">
        <w:rPr>
          <w:rFonts w:ascii="Times New Roman" w:hAnsi="Times New Roman"/>
          <w:sz w:val="20"/>
          <w:szCs w:val="20"/>
        </w:rPr>
        <w:t>3102 of this title. Any ownership or interest otherwise forbidden by the regulations</w:t>
      </w:r>
      <w:r w:rsidRPr="00ED00CF" w:rsidR="006650A1">
        <w:rPr>
          <w:rFonts w:ascii="Times New Roman" w:hAnsi="Times New Roman"/>
          <w:sz w:val="20"/>
          <w:szCs w:val="20"/>
        </w:rPr>
        <w:t>,</w:t>
      </w:r>
      <w:r w:rsidRPr="00ED00CF" w:rsidR="005872A1">
        <w:rPr>
          <w:rFonts w:ascii="Times New Roman" w:hAnsi="Times New Roman"/>
          <w:sz w:val="20"/>
          <w:szCs w:val="20"/>
        </w:rPr>
        <w:t xml:space="preserve"> which may be acquired </w:t>
      </w:r>
      <w:r w:rsidRPr="00ED00CF" w:rsidR="00EE5581">
        <w:rPr>
          <w:rFonts w:ascii="Times New Roman" w:hAnsi="Times New Roman"/>
          <w:sz w:val="20"/>
          <w:szCs w:val="20"/>
        </w:rPr>
        <w:t xml:space="preserve">by </w:t>
      </w:r>
      <w:r w:rsidRPr="00ED00CF" w:rsidR="005872A1">
        <w:rPr>
          <w:rFonts w:ascii="Times New Roman" w:hAnsi="Times New Roman"/>
          <w:sz w:val="20"/>
          <w:szCs w:val="20"/>
        </w:rPr>
        <w:t xml:space="preserve">a </w:t>
      </w:r>
      <w:r w:rsidRPr="00ED00CF" w:rsidR="00ED6816">
        <w:rPr>
          <w:rFonts w:ascii="Times New Roman" w:hAnsi="Times New Roman"/>
          <w:sz w:val="20"/>
          <w:szCs w:val="20"/>
        </w:rPr>
        <w:t>s</w:t>
      </w:r>
      <w:r w:rsidRPr="00ED00CF" w:rsidR="005872A1">
        <w:rPr>
          <w:rFonts w:ascii="Times New Roman" w:hAnsi="Times New Roman"/>
          <w:sz w:val="20"/>
          <w:szCs w:val="20"/>
        </w:rPr>
        <w:t>heriff</w:t>
      </w:r>
      <w:r w:rsidRPr="00ED00CF" w:rsidR="006650A1">
        <w:rPr>
          <w:rFonts w:ascii="Times New Roman" w:hAnsi="Times New Roman"/>
          <w:sz w:val="20"/>
          <w:szCs w:val="20"/>
        </w:rPr>
        <w:t>’</w:t>
      </w:r>
      <w:r w:rsidRPr="00ED00CF" w:rsidR="005872A1">
        <w:rPr>
          <w:rFonts w:ascii="Times New Roman" w:hAnsi="Times New Roman"/>
          <w:sz w:val="20"/>
          <w:szCs w:val="20"/>
        </w:rPr>
        <w:t>s deed</w:t>
      </w:r>
      <w:r w:rsidRPr="001875D9" w:rsidR="00ED6816">
        <w:rPr>
          <w:rFonts w:ascii="Times New Roman" w:hAnsi="Times New Roman"/>
          <w:sz w:val="20"/>
          <w:szCs w:val="20"/>
        </w:rPr>
        <w:t>,</w:t>
      </w:r>
      <w:r w:rsidRPr="001875D9" w:rsidR="005872A1">
        <w:rPr>
          <w:rFonts w:ascii="Times New Roman" w:hAnsi="Times New Roman"/>
          <w:sz w:val="20"/>
          <w:szCs w:val="20"/>
        </w:rPr>
        <w:t xml:space="preserve"> </w:t>
      </w:r>
      <w:r w:rsidRPr="00ED00CF" w:rsidR="005872A1">
        <w:rPr>
          <w:rFonts w:ascii="Times New Roman" w:hAnsi="Times New Roman"/>
          <w:sz w:val="20"/>
          <w:szCs w:val="20"/>
        </w:rPr>
        <w:t>may be held for a period not to exceed two years</w:t>
      </w:r>
      <w:r w:rsidRPr="00ED00CF" w:rsidR="009A43F3">
        <w:rPr>
          <w:rFonts w:ascii="Times New Roman" w:hAnsi="Times New Roman"/>
          <w:sz w:val="20"/>
          <w:szCs w:val="20"/>
        </w:rPr>
        <w:t xml:space="preserve"> </w:t>
      </w:r>
      <w:r w:rsidRPr="00ED00CF" w:rsidR="005872A1">
        <w:rPr>
          <w:rFonts w:ascii="Times New Roman" w:hAnsi="Times New Roman"/>
          <w:sz w:val="20"/>
          <w:szCs w:val="20"/>
        </w:rPr>
        <w:t xml:space="preserve">after its acquisition. Such notice </w:t>
      </w:r>
      <w:r w:rsidRPr="73A9246C" w:rsidR="00D100C4">
        <w:rPr>
          <w:rFonts w:ascii="Times New Roman" w:hAnsi="Times New Roman"/>
          <w:sz w:val="20"/>
          <w:szCs w:val="20"/>
        </w:rPr>
        <w:t>must</w:t>
      </w:r>
      <w:r w:rsidRPr="00ED00CF" w:rsidR="005872A1">
        <w:rPr>
          <w:rFonts w:ascii="Times New Roman" w:hAnsi="Times New Roman"/>
          <w:sz w:val="20"/>
          <w:szCs w:val="20"/>
        </w:rPr>
        <w:t xml:space="preserve"> </w:t>
      </w:r>
      <w:r w:rsidRPr="00ED00CF" w:rsidR="009A43F3">
        <w:rPr>
          <w:rFonts w:ascii="Times New Roman" w:hAnsi="Times New Roman"/>
          <w:sz w:val="20"/>
          <w:szCs w:val="20"/>
        </w:rPr>
        <w:t>i</w:t>
      </w:r>
      <w:r w:rsidRPr="00ED00CF">
        <w:rPr>
          <w:rFonts w:ascii="Times New Roman" w:hAnsi="Times New Roman"/>
          <w:sz w:val="20"/>
          <w:szCs w:val="20"/>
        </w:rPr>
        <w:t xml:space="preserve">nclude the processing fee for </w:t>
      </w:r>
      <w:r w:rsidRPr="00ED00CF" w:rsidR="006650A1">
        <w:rPr>
          <w:rFonts w:ascii="Times New Roman" w:hAnsi="Times New Roman"/>
          <w:sz w:val="20"/>
          <w:szCs w:val="20"/>
        </w:rPr>
        <w:t xml:space="preserve">the </w:t>
      </w:r>
      <w:r w:rsidRPr="00ED00CF" w:rsidR="00ED6816">
        <w:rPr>
          <w:rFonts w:ascii="Times New Roman" w:hAnsi="Times New Roman"/>
          <w:sz w:val="20"/>
          <w:szCs w:val="20"/>
        </w:rPr>
        <w:t>s</w:t>
      </w:r>
      <w:r w:rsidRPr="00ED00CF" w:rsidR="006650A1">
        <w:rPr>
          <w:rFonts w:ascii="Times New Roman" w:hAnsi="Times New Roman"/>
          <w:sz w:val="20"/>
          <w:szCs w:val="20"/>
        </w:rPr>
        <w:t xml:space="preserve">heriff’s </w:t>
      </w:r>
      <w:r w:rsidRPr="00ED00CF">
        <w:rPr>
          <w:rFonts w:ascii="Times New Roman" w:hAnsi="Times New Roman"/>
          <w:sz w:val="20"/>
          <w:szCs w:val="20"/>
        </w:rPr>
        <w:t>deed</w:t>
      </w:r>
      <w:r w:rsidRPr="00ED00CF" w:rsidR="006650A1">
        <w:rPr>
          <w:rFonts w:ascii="Times New Roman" w:hAnsi="Times New Roman"/>
          <w:sz w:val="20"/>
          <w:szCs w:val="20"/>
        </w:rPr>
        <w:t>,</w:t>
      </w:r>
      <w:r w:rsidRPr="00ED00CF">
        <w:rPr>
          <w:rFonts w:ascii="Times New Roman" w:hAnsi="Times New Roman"/>
          <w:sz w:val="20"/>
          <w:szCs w:val="20"/>
        </w:rPr>
        <w:t xml:space="preserve"> found in the fee schedule in </w:t>
      </w:r>
      <w:r w:rsidRPr="00ED00CF" w:rsidR="00074AD4">
        <w:rPr>
          <w:rFonts w:ascii="Times New Roman" w:hAnsi="Times New Roman"/>
          <w:sz w:val="20"/>
          <w:szCs w:val="20"/>
        </w:rPr>
        <w:t xml:space="preserve">43 CFR </w:t>
      </w:r>
      <w:r w:rsidRPr="00ED00CF">
        <w:rPr>
          <w:rFonts w:ascii="Times New Roman" w:hAnsi="Times New Roman"/>
          <w:sz w:val="20"/>
          <w:szCs w:val="20"/>
        </w:rPr>
        <w:t>3000.12</w:t>
      </w:r>
      <w:r w:rsidRPr="00ED00CF" w:rsidR="00A61E85">
        <w:rPr>
          <w:rFonts w:ascii="Times New Roman" w:hAnsi="Times New Roman"/>
          <w:sz w:val="20"/>
          <w:szCs w:val="20"/>
        </w:rPr>
        <w:t>0</w:t>
      </w:r>
      <w:r w:rsidRPr="00ED00CF">
        <w:rPr>
          <w:rFonts w:ascii="Times New Roman" w:hAnsi="Times New Roman"/>
          <w:sz w:val="20"/>
          <w:szCs w:val="20"/>
        </w:rPr>
        <w:t>.</w:t>
      </w:r>
    </w:p>
    <w:p w:rsidR="004B3522" w:rsidRPr="00ED00CF" w:rsidP="001E60B6" w14:paraId="7D29D56A"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p>
    <w:p w:rsidR="00C047C9" w:rsidRPr="00ED00CF" w:rsidP="00612B45" w14:paraId="48ED4462" w14:textId="2F0C897F">
      <w:pPr>
        <w:pStyle w:val="Heading3"/>
        <w:rPr>
          <w:sz w:val="20"/>
          <w:szCs w:val="20"/>
        </w:rPr>
      </w:pPr>
      <w:r w:rsidRPr="00ED00CF">
        <w:rPr>
          <w:sz w:val="20"/>
          <w:szCs w:val="20"/>
        </w:rPr>
        <w:t>43 CFR Subpart 3108 — Relinquishment, Termination, or Cancellation</w:t>
      </w:r>
    </w:p>
    <w:p w:rsidR="00C83533" w:rsidRPr="00ED00CF" w:rsidP="001E60B6" w14:paraId="51654DA0"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p>
    <w:p w:rsidR="00C83533" w:rsidRPr="00ED00CF" w:rsidP="001E60B6" w14:paraId="365FCDCA"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r w:rsidRPr="00ED00CF">
        <w:rPr>
          <w:rFonts w:ascii="Times New Roman" w:hAnsi="Times New Roman"/>
          <w:sz w:val="20"/>
          <w:szCs w:val="20"/>
        </w:rPr>
        <w:t>There are four collections in this subpart:</w:t>
      </w:r>
    </w:p>
    <w:p w:rsidR="001E60B6" w:rsidRPr="00ED00CF" w:rsidP="001E60B6" w14:paraId="14668FFC"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p>
    <w:p w:rsidR="00B908C1" w:rsidRPr="00ED00CF" w:rsidP="00AE3AE4" w14:paraId="3DAE629B" w14:textId="1A7717DF">
      <w:pPr>
        <w:pStyle w:val="Heading4"/>
        <w:numPr>
          <w:ilvl w:val="0"/>
          <w:numId w:val="0"/>
        </w:numPr>
        <w:rPr>
          <w:sz w:val="20"/>
          <w:szCs w:val="20"/>
        </w:rPr>
      </w:pPr>
      <w:r w:rsidRPr="00ED00CF">
        <w:rPr>
          <w:sz w:val="20"/>
          <w:szCs w:val="20"/>
        </w:rPr>
        <w:t xml:space="preserve">43 CFR </w:t>
      </w:r>
      <w:r w:rsidRPr="00ED00CF" w:rsidR="001E60B6">
        <w:rPr>
          <w:sz w:val="20"/>
          <w:szCs w:val="20"/>
        </w:rPr>
        <w:t>3108.1</w:t>
      </w:r>
      <w:r w:rsidRPr="00ED00CF" w:rsidR="002C45ED">
        <w:rPr>
          <w:sz w:val="20"/>
          <w:szCs w:val="20"/>
        </w:rPr>
        <w:t>0</w:t>
      </w:r>
      <w:r w:rsidRPr="00ED00CF" w:rsidR="001E60B6">
        <w:rPr>
          <w:sz w:val="20"/>
          <w:szCs w:val="20"/>
        </w:rPr>
        <w:t xml:space="preserve"> </w:t>
      </w:r>
      <w:r w:rsidRPr="00ED00CF" w:rsidR="006650A1">
        <w:rPr>
          <w:sz w:val="20"/>
          <w:szCs w:val="20"/>
        </w:rPr>
        <w:t>—</w:t>
      </w:r>
      <w:r w:rsidRPr="00ED00CF" w:rsidR="001E60B6">
        <w:rPr>
          <w:sz w:val="20"/>
          <w:szCs w:val="20"/>
        </w:rPr>
        <w:t xml:space="preserve"> Relinquishment</w:t>
      </w:r>
    </w:p>
    <w:p w:rsidR="00B908C1" w:rsidRPr="00ED00CF" w:rsidP="001E60B6" w14:paraId="6609A6A7"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u w:val="single"/>
        </w:rPr>
      </w:pPr>
    </w:p>
    <w:p w:rsidR="001E60B6" w:rsidRPr="00ED00CF" w:rsidP="001E60B6" w14:paraId="1B4B4669" w14:textId="5EFBC1F5">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r w:rsidRPr="00ED00CF">
        <w:rPr>
          <w:rFonts w:ascii="Times New Roman" w:hAnsi="Times New Roman"/>
          <w:sz w:val="20"/>
          <w:szCs w:val="20"/>
        </w:rPr>
        <w:t xml:space="preserve">A lessee may relinquish a lease only after filing </w:t>
      </w:r>
      <w:r w:rsidRPr="00ED00CF" w:rsidR="006B0AA1">
        <w:rPr>
          <w:rFonts w:ascii="Times New Roman" w:hAnsi="Times New Roman"/>
          <w:sz w:val="20"/>
          <w:szCs w:val="20"/>
        </w:rPr>
        <w:t>a written relinquishment</w:t>
      </w:r>
      <w:r w:rsidRPr="00ED00CF" w:rsidR="0072293D">
        <w:rPr>
          <w:rFonts w:ascii="Times New Roman" w:hAnsi="Times New Roman"/>
          <w:sz w:val="20"/>
          <w:szCs w:val="20"/>
        </w:rPr>
        <w:t>.</w:t>
      </w:r>
      <w:r w:rsidRPr="00ED00CF" w:rsidR="00E954E6">
        <w:rPr>
          <w:rFonts w:ascii="Times New Roman" w:hAnsi="Times New Roman"/>
          <w:sz w:val="20"/>
          <w:szCs w:val="20"/>
        </w:rPr>
        <w:t xml:space="preserve"> </w:t>
      </w:r>
      <w:r w:rsidRPr="00ED00CF" w:rsidR="00FF2858">
        <w:rPr>
          <w:rFonts w:ascii="Times New Roman" w:hAnsi="Times New Roman"/>
          <w:sz w:val="20"/>
          <w:szCs w:val="20"/>
        </w:rPr>
        <w:t>All lessees holding record title interests in the lease must sign the relinquishment.</w:t>
      </w:r>
    </w:p>
    <w:p w:rsidR="001B45B8" w:rsidRPr="00ED00CF" w:rsidP="001E60B6" w14:paraId="31D8F9A5"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p>
    <w:p w:rsidR="00C83533" w:rsidRPr="00ED00CF" w:rsidP="00AE3AE4" w14:paraId="6BEDFE10" w14:textId="4262BE4B">
      <w:pPr>
        <w:pStyle w:val="Heading4"/>
        <w:numPr>
          <w:ilvl w:val="0"/>
          <w:numId w:val="0"/>
        </w:numPr>
        <w:rPr>
          <w:sz w:val="20"/>
          <w:szCs w:val="20"/>
        </w:rPr>
      </w:pPr>
      <w:r w:rsidRPr="00ED00CF">
        <w:rPr>
          <w:sz w:val="20"/>
          <w:szCs w:val="20"/>
        </w:rPr>
        <w:t xml:space="preserve">43 CFR </w:t>
      </w:r>
      <w:r w:rsidRPr="00ED00CF" w:rsidR="001E60B6">
        <w:rPr>
          <w:sz w:val="20"/>
          <w:szCs w:val="20"/>
        </w:rPr>
        <w:t>3108.2</w:t>
      </w:r>
      <w:r w:rsidRPr="00ED00CF" w:rsidR="002C45ED">
        <w:rPr>
          <w:sz w:val="20"/>
          <w:szCs w:val="20"/>
        </w:rPr>
        <w:t>2</w:t>
      </w:r>
      <w:r w:rsidRPr="00ED00CF">
        <w:rPr>
          <w:sz w:val="20"/>
          <w:szCs w:val="20"/>
        </w:rPr>
        <w:t xml:space="preserve"> </w:t>
      </w:r>
      <w:r w:rsidRPr="00ED00CF" w:rsidR="006650A1">
        <w:rPr>
          <w:sz w:val="20"/>
          <w:szCs w:val="20"/>
        </w:rPr>
        <w:t>—</w:t>
      </w:r>
      <w:r w:rsidRPr="00ED00CF" w:rsidR="00ED16C6">
        <w:rPr>
          <w:sz w:val="20"/>
          <w:szCs w:val="20"/>
        </w:rPr>
        <w:t xml:space="preserve"> </w:t>
      </w:r>
      <w:r w:rsidRPr="00ED00CF" w:rsidR="00B520DB">
        <w:rPr>
          <w:sz w:val="20"/>
          <w:szCs w:val="20"/>
        </w:rPr>
        <w:t>Class I Reinstatement Petition</w:t>
      </w:r>
    </w:p>
    <w:p w:rsidR="00B006FC" w:rsidRPr="00ED00CF" w:rsidP="00B006FC" w14:paraId="2438A4D3"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u w:val="single"/>
        </w:rPr>
      </w:pPr>
    </w:p>
    <w:p w:rsidR="008B6681" w:rsidRPr="00ED00CF" w:rsidP="008B6681" w14:paraId="2C17F39E" w14:textId="675D8332">
      <w:pPr>
        <w:widowControl/>
        <w:rPr>
          <w:rFonts w:ascii="Times New Roman" w:hAnsi="Times New Roman"/>
          <w:sz w:val="20"/>
          <w:szCs w:val="20"/>
        </w:rPr>
      </w:pPr>
      <w:r w:rsidRPr="00ED00CF">
        <w:rPr>
          <w:rFonts w:ascii="Times New Roman" w:hAnsi="Times New Roman"/>
          <w:sz w:val="20"/>
          <w:szCs w:val="20"/>
        </w:rPr>
        <w:t>In accordance with the MLA, at 30 U.S.C. 188 and 43 CFR 3108.2</w:t>
      </w:r>
      <w:r w:rsidRPr="00ED00CF" w:rsidR="002C45ED">
        <w:rPr>
          <w:rFonts w:ascii="Times New Roman" w:hAnsi="Times New Roman"/>
          <w:sz w:val="20"/>
          <w:szCs w:val="20"/>
        </w:rPr>
        <w:t>2</w:t>
      </w:r>
      <w:r w:rsidRPr="00ED00CF">
        <w:rPr>
          <w:rFonts w:ascii="Times New Roman" w:hAnsi="Times New Roman"/>
          <w:sz w:val="20"/>
          <w:szCs w:val="20"/>
        </w:rPr>
        <w:t>, the BLM may reinstate a lease at existing rental and royalty rates (i.e., grant a Class I Reinstatement), provided that the lessee:</w:t>
      </w:r>
    </w:p>
    <w:p w:rsidR="008B6681" w:rsidRPr="00ED00CF" w:rsidP="00417A74" w14:paraId="7AA00E1A" w14:textId="77777777">
      <w:pPr>
        <w:widowControl/>
        <w:numPr>
          <w:ilvl w:val="0"/>
          <w:numId w:val="14"/>
        </w:numPr>
        <w:ind w:left="360"/>
        <w:rPr>
          <w:rFonts w:ascii="Times New Roman" w:hAnsi="Times New Roman"/>
          <w:sz w:val="20"/>
          <w:szCs w:val="20"/>
        </w:rPr>
      </w:pPr>
      <w:r w:rsidRPr="00ED00CF">
        <w:rPr>
          <w:rFonts w:ascii="Times New Roman" w:hAnsi="Times New Roman"/>
          <w:sz w:val="20"/>
          <w:szCs w:val="20"/>
        </w:rPr>
        <w:t xml:space="preserve">Has paid the full amount of rental due within 20 days after the anniversary </w:t>
      </w:r>
      <w:r w:rsidRPr="00ED00CF">
        <w:rPr>
          <w:rFonts w:ascii="Times New Roman" w:hAnsi="Times New Roman"/>
          <w:sz w:val="20"/>
          <w:szCs w:val="20"/>
        </w:rPr>
        <w:t>date;</w:t>
      </w:r>
    </w:p>
    <w:p w:rsidR="008B6681" w:rsidRPr="00ED00CF" w:rsidP="00417A74" w14:paraId="6949E6BE" w14:textId="4032E1D2">
      <w:pPr>
        <w:widowControl/>
        <w:numPr>
          <w:ilvl w:val="0"/>
          <w:numId w:val="14"/>
        </w:numPr>
        <w:ind w:left="360"/>
        <w:rPr>
          <w:rFonts w:ascii="Times New Roman" w:hAnsi="Times New Roman"/>
          <w:sz w:val="20"/>
          <w:szCs w:val="20"/>
        </w:rPr>
      </w:pPr>
      <w:r w:rsidRPr="00ED00CF">
        <w:rPr>
          <w:rFonts w:ascii="Times New Roman" w:hAnsi="Times New Roman"/>
          <w:sz w:val="20"/>
          <w:szCs w:val="20"/>
        </w:rPr>
        <w:t>Show</w:t>
      </w:r>
      <w:r w:rsidRPr="00ED00CF" w:rsidR="009A7471">
        <w:rPr>
          <w:rFonts w:ascii="Times New Roman" w:hAnsi="Times New Roman"/>
          <w:sz w:val="20"/>
          <w:szCs w:val="20"/>
        </w:rPr>
        <w:t>s</w:t>
      </w:r>
      <w:r w:rsidRPr="00ED00CF">
        <w:rPr>
          <w:rFonts w:ascii="Times New Roman" w:hAnsi="Times New Roman"/>
          <w:sz w:val="20"/>
          <w:szCs w:val="20"/>
        </w:rPr>
        <w:t xml:space="preserve"> to the BLM’s satisfaction that the failure </w:t>
      </w:r>
      <w:r w:rsidRPr="00ED00CF">
        <w:rPr>
          <w:rFonts w:ascii="Times New Roman" w:hAnsi="Times New Roman"/>
          <w:sz w:val="20"/>
          <w:szCs w:val="20"/>
        </w:rPr>
        <w:t>to timely</w:t>
      </w:r>
      <w:r w:rsidRPr="00ED00CF">
        <w:rPr>
          <w:rFonts w:ascii="Times New Roman" w:hAnsi="Times New Roman"/>
          <w:sz w:val="20"/>
          <w:szCs w:val="20"/>
        </w:rPr>
        <w:t xml:space="preserve"> submit the full amount of the rental due was either justified or not due to a lack of reasonable diligence on the part of the lessee (e.g., </w:t>
      </w:r>
      <w:r w:rsidRPr="00ED00CF" w:rsidR="00C17827">
        <w:rPr>
          <w:rFonts w:ascii="Times New Roman" w:hAnsi="Times New Roman"/>
          <w:sz w:val="20"/>
          <w:szCs w:val="20"/>
        </w:rPr>
        <w:t>paid to the </w:t>
      </w:r>
      <w:r w:rsidRPr="00ED00CF" w:rsidR="00C17827">
        <w:rPr>
          <w:rFonts w:ascii="Times New Roman" w:hAnsi="Times New Roman"/>
          <w:sz w:val="20"/>
          <w:szCs w:val="20"/>
        </w:rPr>
        <w:t>ONRR</w:t>
      </w:r>
      <w:r w:rsidRPr="00ED00CF" w:rsidR="00C17827">
        <w:rPr>
          <w:rFonts w:ascii="Times New Roman" w:hAnsi="Times New Roman"/>
          <w:sz w:val="20"/>
          <w:szCs w:val="20"/>
        </w:rPr>
        <w:t xml:space="preserve"> through its online rental payment system</w:t>
      </w:r>
      <w:r w:rsidRPr="00ED00CF">
        <w:rPr>
          <w:rFonts w:ascii="Times New Roman" w:hAnsi="Times New Roman"/>
          <w:sz w:val="20"/>
          <w:szCs w:val="20"/>
        </w:rPr>
        <w:t>); and</w:t>
      </w:r>
    </w:p>
    <w:p w:rsidR="00B006FC" w:rsidRPr="00ED00CF" w:rsidP="00417A74" w14:paraId="5325E50F" w14:textId="6F4640A8">
      <w:pPr>
        <w:widowControl/>
        <w:numPr>
          <w:ilvl w:val="0"/>
          <w:numId w:val="14"/>
        </w:numPr>
        <w:ind w:left="360"/>
        <w:rPr>
          <w:rFonts w:ascii="Times New Roman" w:hAnsi="Times New Roman"/>
          <w:sz w:val="20"/>
          <w:szCs w:val="20"/>
          <w:u w:val="single"/>
        </w:rPr>
      </w:pPr>
      <w:r w:rsidRPr="00ED00CF">
        <w:rPr>
          <w:rFonts w:ascii="Times New Roman" w:hAnsi="Times New Roman"/>
          <w:sz w:val="20"/>
          <w:szCs w:val="20"/>
        </w:rPr>
        <w:t>Submit</w:t>
      </w:r>
      <w:r w:rsidRPr="00ED00CF" w:rsidR="009A7471">
        <w:rPr>
          <w:rFonts w:ascii="Times New Roman" w:hAnsi="Times New Roman"/>
          <w:sz w:val="20"/>
          <w:szCs w:val="20"/>
        </w:rPr>
        <w:t>s</w:t>
      </w:r>
      <w:r w:rsidRPr="00ED00CF">
        <w:rPr>
          <w:rFonts w:ascii="Times New Roman" w:hAnsi="Times New Roman"/>
          <w:sz w:val="20"/>
          <w:szCs w:val="20"/>
        </w:rPr>
        <w:t xml:space="preserve"> </w:t>
      </w:r>
      <w:r w:rsidRPr="00ED00CF" w:rsidR="005D0B72">
        <w:rPr>
          <w:rFonts w:ascii="Times New Roman" w:hAnsi="Times New Roman"/>
          <w:sz w:val="20"/>
          <w:szCs w:val="20"/>
        </w:rPr>
        <w:t xml:space="preserve">to </w:t>
      </w:r>
      <w:r w:rsidRPr="00ED00CF" w:rsidR="005D0B72">
        <w:rPr>
          <w:rFonts w:ascii="Times New Roman" w:hAnsi="Times New Roman"/>
          <w:sz w:val="20"/>
          <w:szCs w:val="20"/>
        </w:rPr>
        <w:t>the BLM</w:t>
      </w:r>
      <w:r w:rsidRPr="00ED00CF" w:rsidR="005D0B72">
        <w:rPr>
          <w:rFonts w:ascii="Times New Roman" w:hAnsi="Times New Roman"/>
          <w:sz w:val="20"/>
          <w:szCs w:val="20"/>
        </w:rPr>
        <w:t xml:space="preserve"> </w:t>
      </w:r>
      <w:r w:rsidRPr="00ED00CF">
        <w:rPr>
          <w:rFonts w:ascii="Times New Roman" w:hAnsi="Times New Roman"/>
          <w:sz w:val="20"/>
          <w:szCs w:val="20"/>
        </w:rPr>
        <w:t>a petition for reinstatement, together with a</w:t>
      </w:r>
      <w:r w:rsidRPr="00ED00CF" w:rsidR="005D0B72">
        <w:rPr>
          <w:rFonts w:ascii="Times New Roman" w:hAnsi="Times New Roman"/>
          <w:sz w:val="20"/>
          <w:szCs w:val="20"/>
        </w:rPr>
        <w:t xml:space="preserve"> nonrefundable filing fee (specified in 43 CFR 3000.12</w:t>
      </w:r>
      <w:r w:rsidRPr="00ED00CF" w:rsidR="002C45ED">
        <w:rPr>
          <w:rFonts w:ascii="Times New Roman" w:hAnsi="Times New Roman"/>
          <w:sz w:val="20"/>
          <w:szCs w:val="20"/>
        </w:rPr>
        <w:t>0</w:t>
      </w:r>
      <w:r w:rsidRPr="00ED00CF" w:rsidR="005D0B72">
        <w:rPr>
          <w:rFonts w:ascii="Times New Roman" w:hAnsi="Times New Roman"/>
          <w:sz w:val="20"/>
          <w:szCs w:val="20"/>
        </w:rPr>
        <w:t xml:space="preserve">) within </w:t>
      </w:r>
      <w:r w:rsidRPr="00ED00CF">
        <w:rPr>
          <w:rFonts w:ascii="Times New Roman" w:hAnsi="Times New Roman"/>
          <w:sz w:val="20"/>
          <w:szCs w:val="20"/>
        </w:rPr>
        <w:t>60 days after</w:t>
      </w:r>
      <w:r w:rsidRPr="00ED00CF" w:rsidR="005D0B72">
        <w:rPr>
          <w:rFonts w:ascii="Times New Roman" w:hAnsi="Times New Roman"/>
          <w:sz w:val="20"/>
          <w:szCs w:val="20"/>
        </w:rPr>
        <w:t xml:space="preserve"> </w:t>
      </w:r>
      <w:r w:rsidRPr="00ED00CF">
        <w:rPr>
          <w:rFonts w:ascii="Times New Roman" w:hAnsi="Times New Roman"/>
          <w:sz w:val="20"/>
          <w:szCs w:val="20"/>
        </w:rPr>
        <w:t>receipt of Notice of Termination of lease due to late payment of rental</w:t>
      </w:r>
      <w:r w:rsidR="00F314DC">
        <w:rPr>
          <w:rFonts w:ascii="Times New Roman" w:hAnsi="Times New Roman"/>
          <w:sz w:val="20"/>
          <w:szCs w:val="20"/>
        </w:rPr>
        <w:t>.</w:t>
      </w:r>
    </w:p>
    <w:p w:rsidR="00B006FC" w:rsidRPr="00ED00CF" w:rsidP="00B006FC" w14:paraId="6FD148B6"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u w:val="single"/>
        </w:rPr>
      </w:pPr>
    </w:p>
    <w:p w:rsidR="00D834BE" w:rsidRPr="00ED00CF" w:rsidP="73A9246C" w14:paraId="4ADF6D45" w14:textId="6D0AA366">
      <w:pPr>
        <w:widowControl/>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r w:rsidRPr="00ED00CF">
        <w:rPr>
          <w:rFonts w:ascii="Times New Roman" w:hAnsi="Times New Roman"/>
          <w:sz w:val="20"/>
          <w:szCs w:val="20"/>
        </w:rPr>
        <w:t xml:space="preserve">The BLM uses the information </w:t>
      </w:r>
      <w:r w:rsidRPr="00ED00CF" w:rsidR="00B520DB">
        <w:rPr>
          <w:rFonts w:ascii="Times New Roman" w:hAnsi="Times New Roman"/>
          <w:sz w:val="20"/>
          <w:szCs w:val="20"/>
        </w:rPr>
        <w:t xml:space="preserve">in the petition </w:t>
      </w:r>
      <w:r w:rsidRPr="00ED00CF">
        <w:rPr>
          <w:rFonts w:ascii="Times New Roman" w:hAnsi="Times New Roman"/>
          <w:sz w:val="20"/>
          <w:szCs w:val="20"/>
        </w:rPr>
        <w:t>to determine whether to grant a Class I Reinstatement.</w:t>
      </w:r>
    </w:p>
    <w:p w:rsidR="00D834BE" w:rsidRPr="00ED00CF" w:rsidP="00D834BE" w14:paraId="786FD358"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p>
    <w:p w:rsidR="00321A0D" w:rsidRPr="00ED00CF" w:rsidP="00AE3AE4" w14:paraId="750BCAA8" w14:textId="68A7E747">
      <w:pPr>
        <w:pStyle w:val="Heading4"/>
        <w:numPr>
          <w:ilvl w:val="0"/>
          <w:numId w:val="0"/>
        </w:numPr>
        <w:rPr>
          <w:sz w:val="20"/>
          <w:szCs w:val="20"/>
        </w:rPr>
      </w:pPr>
      <w:r w:rsidRPr="00ED00CF">
        <w:rPr>
          <w:sz w:val="20"/>
          <w:szCs w:val="20"/>
        </w:rPr>
        <w:t xml:space="preserve">43 CFR </w:t>
      </w:r>
      <w:r w:rsidRPr="00ED00CF" w:rsidR="00CC7F5E">
        <w:rPr>
          <w:sz w:val="20"/>
          <w:szCs w:val="20"/>
        </w:rPr>
        <w:t>3108.2</w:t>
      </w:r>
      <w:r w:rsidRPr="00ED00CF" w:rsidR="002C45ED">
        <w:rPr>
          <w:sz w:val="20"/>
          <w:szCs w:val="20"/>
        </w:rPr>
        <w:t>3</w:t>
      </w:r>
      <w:r w:rsidRPr="00ED00CF">
        <w:rPr>
          <w:sz w:val="20"/>
          <w:szCs w:val="20"/>
        </w:rPr>
        <w:t xml:space="preserve"> </w:t>
      </w:r>
      <w:r w:rsidRPr="00ED00CF" w:rsidR="006650A1">
        <w:rPr>
          <w:sz w:val="20"/>
          <w:szCs w:val="20"/>
        </w:rPr>
        <w:t>—</w:t>
      </w:r>
      <w:r w:rsidRPr="00ED00CF" w:rsidR="00564934">
        <w:rPr>
          <w:sz w:val="20"/>
          <w:szCs w:val="20"/>
        </w:rPr>
        <w:t xml:space="preserve"> </w:t>
      </w:r>
      <w:r w:rsidRPr="00ED00CF" w:rsidR="003A5647">
        <w:rPr>
          <w:sz w:val="20"/>
          <w:szCs w:val="20"/>
        </w:rPr>
        <w:t>Class II Reinstatement Petition</w:t>
      </w:r>
      <w:r w:rsidR="00935B8A">
        <w:rPr>
          <w:sz w:val="20"/>
          <w:szCs w:val="20"/>
        </w:rPr>
        <w:t xml:space="preserve"> </w:t>
      </w:r>
    </w:p>
    <w:p w:rsidR="004167DF" w:rsidRPr="00ED00CF" w:rsidP="004167DF" w14:paraId="606A7A41" w14:textId="0C4C09AA">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p>
    <w:p w:rsidR="00CC7F5E" w:rsidRPr="00ED00CF" w:rsidP="00CC7F5E" w14:paraId="6FE0E6C1" w14:textId="00E5CA75">
      <w:pPr>
        <w:widowControl/>
        <w:rPr>
          <w:rFonts w:ascii="Times New Roman" w:hAnsi="Times New Roman"/>
          <w:sz w:val="20"/>
          <w:szCs w:val="20"/>
        </w:rPr>
      </w:pPr>
      <w:r w:rsidRPr="00ED00CF">
        <w:rPr>
          <w:rFonts w:ascii="Times New Roman" w:hAnsi="Times New Roman"/>
          <w:sz w:val="20"/>
          <w:szCs w:val="20"/>
        </w:rPr>
        <w:t>In accordance with the MLA, at 30 U.S.C. 188 and 43 CFR 3108.2</w:t>
      </w:r>
      <w:r w:rsidRPr="00ED00CF" w:rsidR="002C45ED">
        <w:rPr>
          <w:rFonts w:ascii="Times New Roman" w:hAnsi="Times New Roman"/>
          <w:sz w:val="20"/>
          <w:szCs w:val="20"/>
        </w:rPr>
        <w:t>3</w:t>
      </w:r>
      <w:r w:rsidRPr="00ED00CF">
        <w:rPr>
          <w:rFonts w:ascii="Times New Roman" w:hAnsi="Times New Roman"/>
          <w:sz w:val="20"/>
          <w:szCs w:val="20"/>
        </w:rPr>
        <w:t>, the BLM may reinstate a lease at higher rental and royalty rates (i.e., grant a Class II Reinstatement</w:t>
      </w:r>
      <w:r w:rsidRPr="00ED00CF" w:rsidR="00297951">
        <w:rPr>
          <w:rFonts w:ascii="Times New Roman" w:hAnsi="Times New Roman"/>
          <w:sz w:val="20"/>
          <w:szCs w:val="20"/>
        </w:rPr>
        <w:t>)</w:t>
      </w:r>
      <w:r w:rsidRPr="00ED00CF" w:rsidR="002C45ED">
        <w:rPr>
          <w:rFonts w:ascii="Times New Roman" w:hAnsi="Times New Roman"/>
          <w:sz w:val="20"/>
          <w:szCs w:val="20"/>
        </w:rPr>
        <w:t xml:space="preserve"> for competitive leases</w:t>
      </w:r>
      <w:r w:rsidRPr="00ED00CF" w:rsidR="00297951">
        <w:rPr>
          <w:rFonts w:ascii="Times New Roman" w:hAnsi="Times New Roman"/>
          <w:sz w:val="20"/>
          <w:szCs w:val="20"/>
        </w:rPr>
        <w:t xml:space="preserve"> when </w:t>
      </w:r>
      <w:r w:rsidRPr="00ED00CF">
        <w:rPr>
          <w:rFonts w:ascii="Times New Roman" w:hAnsi="Times New Roman"/>
          <w:sz w:val="20"/>
          <w:szCs w:val="20"/>
        </w:rPr>
        <w:t xml:space="preserve">the </w:t>
      </w:r>
      <w:r w:rsidRPr="00ED00CF" w:rsidR="00033A0E">
        <w:rPr>
          <w:rFonts w:ascii="Times New Roman" w:hAnsi="Times New Roman"/>
          <w:sz w:val="20"/>
          <w:szCs w:val="20"/>
        </w:rPr>
        <w:t xml:space="preserve">holder of a </w:t>
      </w:r>
      <w:r w:rsidRPr="00ED00CF" w:rsidR="00470E3C">
        <w:rPr>
          <w:rFonts w:ascii="Times New Roman" w:hAnsi="Times New Roman"/>
          <w:sz w:val="20"/>
          <w:szCs w:val="20"/>
        </w:rPr>
        <w:t xml:space="preserve">terminated </w:t>
      </w:r>
      <w:r w:rsidRPr="00ED00CF" w:rsidR="00033A0E">
        <w:rPr>
          <w:rFonts w:ascii="Times New Roman" w:hAnsi="Times New Roman"/>
          <w:sz w:val="20"/>
          <w:szCs w:val="20"/>
        </w:rPr>
        <w:t>lease</w:t>
      </w:r>
      <w:r w:rsidRPr="00ED00CF">
        <w:rPr>
          <w:rFonts w:ascii="Times New Roman" w:hAnsi="Times New Roman"/>
          <w:sz w:val="20"/>
          <w:szCs w:val="20"/>
        </w:rPr>
        <w:t>:</w:t>
      </w:r>
    </w:p>
    <w:p w:rsidR="00033A0E" w:rsidRPr="00ED00CF" w:rsidP="00417A74" w14:paraId="296B990A" w14:textId="51B3AB80">
      <w:pPr>
        <w:widowControl/>
        <w:numPr>
          <w:ilvl w:val="0"/>
          <w:numId w:val="17"/>
        </w:numPr>
        <w:ind w:left="360"/>
        <w:rPr>
          <w:rFonts w:ascii="Times New Roman" w:hAnsi="Times New Roman"/>
          <w:sz w:val="20"/>
          <w:szCs w:val="20"/>
        </w:rPr>
      </w:pPr>
      <w:r w:rsidRPr="00ED00CF">
        <w:rPr>
          <w:rFonts w:ascii="Times New Roman" w:hAnsi="Times New Roman"/>
          <w:sz w:val="20"/>
          <w:szCs w:val="20"/>
        </w:rPr>
        <w:t>Has n</w:t>
      </w:r>
      <w:r w:rsidRPr="00ED00CF" w:rsidR="00470E3C">
        <w:rPr>
          <w:rFonts w:ascii="Times New Roman" w:hAnsi="Times New Roman"/>
          <w:sz w:val="20"/>
          <w:szCs w:val="20"/>
        </w:rPr>
        <w:t>ot paid or tendered back rent</w:t>
      </w:r>
      <w:r w:rsidRPr="00ED00CF">
        <w:rPr>
          <w:rFonts w:ascii="Times New Roman" w:hAnsi="Times New Roman"/>
          <w:sz w:val="20"/>
          <w:szCs w:val="20"/>
        </w:rPr>
        <w:t>al</w:t>
      </w:r>
      <w:r w:rsidRPr="00ED00CF" w:rsidR="00470E3C">
        <w:rPr>
          <w:rFonts w:ascii="Times New Roman" w:hAnsi="Times New Roman"/>
          <w:sz w:val="20"/>
          <w:szCs w:val="20"/>
        </w:rPr>
        <w:t xml:space="preserve"> within 20 days of the </w:t>
      </w:r>
      <w:r w:rsidRPr="00ED00CF" w:rsidR="002C45ED">
        <w:rPr>
          <w:rFonts w:ascii="Times New Roman" w:hAnsi="Times New Roman"/>
          <w:sz w:val="20"/>
          <w:szCs w:val="20"/>
        </w:rPr>
        <w:t>anniversary</w:t>
      </w:r>
      <w:r w:rsidRPr="00ED00CF" w:rsidR="00470E3C">
        <w:rPr>
          <w:rFonts w:ascii="Times New Roman" w:hAnsi="Times New Roman"/>
          <w:sz w:val="20"/>
          <w:szCs w:val="20"/>
        </w:rPr>
        <w:t xml:space="preserve"> date;</w:t>
      </w:r>
      <w:r w:rsidRPr="00ED00CF" w:rsidR="00297951">
        <w:rPr>
          <w:rFonts w:ascii="Times New Roman" w:hAnsi="Times New Roman"/>
          <w:sz w:val="20"/>
          <w:szCs w:val="20"/>
        </w:rPr>
        <w:t xml:space="preserve"> and</w:t>
      </w:r>
    </w:p>
    <w:p w:rsidR="00470E3C" w:rsidRPr="00ED00CF" w:rsidP="00417A74" w14:paraId="1FDAE34F" w14:textId="26480912">
      <w:pPr>
        <w:widowControl/>
        <w:numPr>
          <w:ilvl w:val="0"/>
          <w:numId w:val="17"/>
        </w:numPr>
        <w:ind w:left="360"/>
        <w:rPr>
          <w:rFonts w:ascii="Times New Roman" w:hAnsi="Times New Roman"/>
          <w:sz w:val="20"/>
          <w:szCs w:val="20"/>
        </w:rPr>
      </w:pPr>
      <w:r w:rsidRPr="00ED00CF">
        <w:rPr>
          <w:rFonts w:ascii="Times New Roman" w:hAnsi="Times New Roman"/>
          <w:sz w:val="20"/>
          <w:szCs w:val="20"/>
        </w:rPr>
        <w:t>Has shown to the BLM’s satisfaction that such failure was justified</w:t>
      </w:r>
      <w:r w:rsidRPr="00ED00CF" w:rsidR="00DE01AB">
        <w:rPr>
          <w:rFonts w:ascii="Times New Roman" w:hAnsi="Times New Roman"/>
          <w:sz w:val="20"/>
          <w:szCs w:val="20"/>
        </w:rPr>
        <w:t xml:space="preserve">, </w:t>
      </w:r>
      <w:r w:rsidRPr="00ED00CF">
        <w:rPr>
          <w:rFonts w:ascii="Times New Roman" w:hAnsi="Times New Roman"/>
          <w:sz w:val="20"/>
          <w:szCs w:val="20"/>
        </w:rPr>
        <w:t>was not due to a lack of reasonable diligence</w:t>
      </w:r>
      <w:r w:rsidRPr="00ED00CF" w:rsidR="00DE01AB">
        <w:rPr>
          <w:rFonts w:ascii="Times New Roman" w:hAnsi="Times New Roman"/>
          <w:sz w:val="20"/>
          <w:szCs w:val="20"/>
        </w:rPr>
        <w:t>, or was inadvertent</w:t>
      </w:r>
      <w:r w:rsidR="00F314DC">
        <w:rPr>
          <w:rFonts w:ascii="Times New Roman" w:hAnsi="Times New Roman"/>
          <w:sz w:val="20"/>
          <w:szCs w:val="20"/>
        </w:rPr>
        <w:t>.</w:t>
      </w:r>
    </w:p>
    <w:p w:rsidR="00DE01AB" w:rsidRPr="00ED00CF" w:rsidP="00DE01AB" w14:paraId="4E12BDC0" w14:textId="67F8173F">
      <w:pPr>
        <w:widowControl/>
        <w:rPr>
          <w:rFonts w:ascii="Times New Roman" w:hAnsi="Times New Roman"/>
          <w:sz w:val="20"/>
          <w:szCs w:val="20"/>
        </w:rPr>
      </w:pPr>
    </w:p>
    <w:p w:rsidR="00DE01AB" w:rsidRPr="00ED00CF" w:rsidP="00DE01AB" w14:paraId="40065481" w14:textId="528073A3">
      <w:pPr>
        <w:widowControl/>
        <w:rPr>
          <w:rFonts w:ascii="Times New Roman" w:hAnsi="Times New Roman"/>
          <w:sz w:val="20"/>
          <w:szCs w:val="20"/>
        </w:rPr>
      </w:pPr>
      <w:r>
        <w:rPr>
          <w:rFonts w:ascii="Times New Roman" w:hAnsi="Times New Roman"/>
          <w:sz w:val="20"/>
          <w:szCs w:val="20"/>
        </w:rPr>
        <w:t>Terminate</w:t>
      </w:r>
      <w:r w:rsidR="00126FD3">
        <w:rPr>
          <w:rFonts w:ascii="Times New Roman" w:hAnsi="Times New Roman"/>
          <w:sz w:val="20"/>
          <w:szCs w:val="20"/>
        </w:rPr>
        <w:t xml:space="preserve">d </w:t>
      </w:r>
      <w:r w:rsidRPr="73A9246C" w:rsidR="00126FD3">
        <w:rPr>
          <w:rFonts w:ascii="Times New Roman" w:hAnsi="Times New Roman"/>
          <w:sz w:val="20"/>
          <w:szCs w:val="20"/>
        </w:rPr>
        <w:t>c</w:t>
      </w:r>
      <w:r w:rsidRPr="73A9246C" w:rsidR="00C0231D">
        <w:rPr>
          <w:rFonts w:ascii="Times New Roman" w:hAnsi="Times New Roman"/>
          <w:sz w:val="20"/>
          <w:szCs w:val="20"/>
        </w:rPr>
        <w:t>ompetitive l</w:t>
      </w:r>
      <w:r w:rsidRPr="73A9246C" w:rsidR="000456EB">
        <w:rPr>
          <w:rFonts w:ascii="Times New Roman" w:hAnsi="Times New Roman"/>
          <w:sz w:val="20"/>
          <w:szCs w:val="20"/>
        </w:rPr>
        <w:t>eases</w:t>
      </w:r>
      <w:r w:rsidRPr="00ED00CF" w:rsidR="000456EB">
        <w:rPr>
          <w:rFonts w:ascii="Times New Roman" w:hAnsi="Times New Roman"/>
          <w:sz w:val="20"/>
          <w:szCs w:val="20"/>
        </w:rPr>
        <w:t xml:space="preserve"> </w:t>
      </w:r>
      <w:r w:rsidRPr="00ED00CF" w:rsidR="00246DE4">
        <w:rPr>
          <w:rFonts w:ascii="Times New Roman" w:hAnsi="Times New Roman"/>
          <w:sz w:val="20"/>
          <w:szCs w:val="20"/>
        </w:rPr>
        <w:t xml:space="preserve">may be reinstated if the required back rental and royalty at the increased rates accruing from the date of termination, together with a petition for reinstatement, are </w:t>
      </w:r>
      <w:r w:rsidRPr="00ED00CF" w:rsidR="00987EF2">
        <w:rPr>
          <w:rFonts w:ascii="Times New Roman" w:hAnsi="Times New Roman"/>
          <w:sz w:val="20"/>
          <w:szCs w:val="20"/>
        </w:rPr>
        <w:t xml:space="preserve">submitted </w:t>
      </w:r>
      <w:r w:rsidRPr="00ED00CF" w:rsidR="00246DE4">
        <w:rPr>
          <w:rFonts w:ascii="Times New Roman" w:hAnsi="Times New Roman"/>
          <w:sz w:val="20"/>
          <w:szCs w:val="20"/>
        </w:rPr>
        <w:t xml:space="preserve">on or before 60 days after the last date that </w:t>
      </w:r>
      <w:r w:rsidRPr="00ED00CF" w:rsidR="00987EF2">
        <w:rPr>
          <w:rFonts w:ascii="Times New Roman" w:hAnsi="Times New Roman"/>
          <w:sz w:val="20"/>
          <w:szCs w:val="20"/>
        </w:rPr>
        <w:t>an</w:t>
      </w:r>
      <w:r w:rsidRPr="00ED00CF" w:rsidR="00246DE4">
        <w:rPr>
          <w:rFonts w:ascii="Times New Roman" w:hAnsi="Times New Roman"/>
          <w:sz w:val="20"/>
          <w:szCs w:val="20"/>
        </w:rPr>
        <w:t xml:space="preserve">y lessee of record received </w:t>
      </w:r>
      <w:r w:rsidRPr="00ED00CF" w:rsidR="00987EF2">
        <w:rPr>
          <w:rFonts w:ascii="Times New Roman" w:hAnsi="Times New Roman"/>
          <w:sz w:val="20"/>
          <w:szCs w:val="20"/>
        </w:rPr>
        <w:t xml:space="preserve">the </w:t>
      </w:r>
      <w:r w:rsidRPr="00ED00CF" w:rsidR="00246DE4">
        <w:rPr>
          <w:rFonts w:ascii="Times New Roman" w:hAnsi="Times New Roman"/>
          <w:sz w:val="20"/>
          <w:szCs w:val="20"/>
        </w:rPr>
        <w:t>Notice of Termination by certified mail, or 24 months after termination.</w:t>
      </w:r>
      <w:r w:rsidRPr="00ED00CF" w:rsidR="00FC1819">
        <w:rPr>
          <w:rFonts w:ascii="Times New Roman" w:hAnsi="Times New Roman"/>
          <w:sz w:val="20"/>
          <w:szCs w:val="20"/>
        </w:rPr>
        <w:t xml:space="preserve"> </w:t>
      </w:r>
      <w:r w:rsidRPr="00ED00CF" w:rsidR="002E75BE">
        <w:rPr>
          <w:rFonts w:ascii="Times New Roman" w:hAnsi="Times New Roman"/>
          <w:sz w:val="20"/>
          <w:szCs w:val="20"/>
        </w:rPr>
        <w:t xml:space="preserve">There is a </w:t>
      </w:r>
      <w:r w:rsidRPr="00ED00CF" w:rsidR="00FC1819">
        <w:rPr>
          <w:rFonts w:ascii="Times New Roman" w:hAnsi="Times New Roman"/>
          <w:sz w:val="20"/>
          <w:szCs w:val="20"/>
        </w:rPr>
        <w:t>nonrefundable</w:t>
      </w:r>
      <w:r w:rsidRPr="00ED00CF" w:rsidR="00FC1819">
        <w:rPr>
          <w:rFonts w:ascii="Times New Roman" w:hAnsi="Times New Roman"/>
          <w:sz w:val="20"/>
          <w:szCs w:val="20"/>
        </w:rPr>
        <w:t xml:space="preserve"> administrative fee of $500</w:t>
      </w:r>
      <w:r w:rsidRPr="00ED00CF" w:rsidR="002E75BE">
        <w:rPr>
          <w:rFonts w:ascii="Times New Roman" w:hAnsi="Times New Roman"/>
          <w:sz w:val="20"/>
          <w:szCs w:val="20"/>
        </w:rPr>
        <w:t>.</w:t>
      </w:r>
    </w:p>
    <w:p w:rsidR="001E60B6" w:rsidRPr="00ED00CF" w:rsidP="001E60B6" w14:paraId="2DCC1CBD"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p>
    <w:p w:rsidR="00C047C9" w:rsidRPr="00ED00CF" w:rsidP="00EE5581" w14:paraId="0A773F11" w14:textId="19633F6B">
      <w:pPr>
        <w:pStyle w:val="Heading3"/>
        <w:rPr>
          <w:sz w:val="20"/>
          <w:szCs w:val="20"/>
        </w:rPr>
      </w:pPr>
      <w:r w:rsidRPr="00ED00CF">
        <w:rPr>
          <w:sz w:val="20"/>
          <w:szCs w:val="20"/>
        </w:rPr>
        <w:t>43 CFR Subpart 3</w:t>
      </w:r>
      <w:r w:rsidRPr="00ED00CF" w:rsidR="003F0AAD">
        <w:rPr>
          <w:sz w:val="20"/>
          <w:szCs w:val="20"/>
        </w:rPr>
        <w:t>109 — Leasing u</w:t>
      </w:r>
      <w:r w:rsidRPr="00ED00CF" w:rsidR="00F66A4F">
        <w:rPr>
          <w:sz w:val="20"/>
          <w:szCs w:val="20"/>
        </w:rPr>
        <w:t>nder Rights-of-Way</w:t>
      </w:r>
    </w:p>
    <w:p w:rsidR="00C047C9" w:rsidRPr="00ED00CF" w:rsidP="001E60B6" w14:paraId="1BBB1415"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p>
    <w:p w:rsidR="00A31F80" w:rsidRPr="00ED00CF" w:rsidP="00AE3AE4" w14:paraId="72FE1B7E" w14:textId="676CC5B7">
      <w:pPr>
        <w:pStyle w:val="Heading4"/>
        <w:numPr>
          <w:ilvl w:val="0"/>
          <w:numId w:val="0"/>
        </w:numPr>
        <w:rPr>
          <w:sz w:val="20"/>
          <w:szCs w:val="20"/>
        </w:rPr>
      </w:pPr>
      <w:r w:rsidRPr="00ED00CF">
        <w:rPr>
          <w:sz w:val="20"/>
          <w:szCs w:val="20"/>
        </w:rPr>
        <w:t xml:space="preserve">43 CFR </w:t>
      </w:r>
      <w:r w:rsidRPr="00ED00CF" w:rsidR="001E60B6">
        <w:rPr>
          <w:sz w:val="20"/>
          <w:szCs w:val="20"/>
        </w:rPr>
        <w:t>3109.1</w:t>
      </w:r>
      <w:r w:rsidRPr="00ED00CF" w:rsidR="00560714">
        <w:rPr>
          <w:sz w:val="20"/>
          <w:szCs w:val="20"/>
        </w:rPr>
        <w:t>2</w:t>
      </w:r>
      <w:r w:rsidRPr="00ED00CF" w:rsidR="001E60B6">
        <w:rPr>
          <w:sz w:val="20"/>
          <w:szCs w:val="20"/>
        </w:rPr>
        <w:t xml:space="preserve"> </w:t>
      </w:r>
      <w:r w:rsidRPr="00ED00CF" w:rsidR="00677D47">
        <w:rPr>
          <w:sz w:val="20"/>
          <w:szCs w:val="20"/>
        </w:rPr>
        <w:t>—</w:t>
      </w:r>
      <w:r w:rsidRPr="00ED00CF" w:rsidR="001E60B6">
        <w:rPr>
          <w:sz w:val="20"/>
          <w:szCs w:val="20"/>
        </w:rPr>
        <w:t xml:space="preserve"> </w:t>
      </w:r>
      <w:r w:rsidRPr="00ED00CF" w:rsidR="007B3A5F">
        <w:rPr>
          <w:sz w:val="20"/>
          <w:szCs w:val="20"/>
        </w:rPr>
        <w:t>Application for Lease u</w:t>
      </w:r>
      <w:r w:rsidRPr="00ED00CF" w:rsidR="006D2F0D">
        <w:rPr>
          <w:sz w:val="20"/>
          <w:szCs w:val="20"/>
        </w:rPr>
        <w:t xml:space="preserve">nder </w:t>
      </w:r>
      <w:r w:rsidRPr="00ED00CF" w:rsidR="001E60B6">
        <w:rPr>
          <w:sz w:val="20"/>
          <w:szCs w:val="20"/>
        </w:rPr>
        <w:t>Right</w:t>
      </w:r>
      <w:r w:rsidRPr="00ED00CF" w:rsidR="00677D47">
        <w:rPr>
          <w:sz w:val="20"/>
          <w:szCs w:val="20"/>
        </w:rPr>
        <w:t>s</w:t>
      </w:r>
      <w:r w:rsidRPr="00ED00CF" w:rsidR="001E60B6">
        <w:rPr>
          <w:sz w:val="20"/>
          <w:szCs w:val="20"/>
        </w:rPr>
        <w:noBreakHyphen/>
        <w:t>of</w:t>
      </w:r>
      <w:r w:rsidRPr="00ED00CF" w:rsidR="001E60B6">
        <w:rPr>
          <w:sz w:val="20"/>
          <w:szCs w:val="20"/>
        </w:rPr>
        <w:noBreakHyphen/>
        <w:t>Way</w:t>
      </w:r>
      <w:r w:rsidR="00002A5B">
        <w:rPr>
          <w:sz w:val="20"/>
          <w:szCs w:val="20"/>
        </w:rPr>
        <w:t xml:space="preserve"> </w:t>
      </w:r>
    </w:p>
    <w:p w:rsidR="00A31F80" w:rsidRPr="00ED00CF" w:rsidP="001E60B6" w14:paraId="19719943"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p>
    <w:p w:rsidR="001E60B6" w:rsidRPr="00ED00CF" w:rsidP="73A9246C" w14:paraId="3611718A" w14:textId="0ED136A8">
      <w:pPr>
        <w:widowControl/>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r w:rsidRPr="00ED00CF">
        <w:rPr>
          <w:rFonts w:ascii="Times New Roman" w:hAnsi="Times New Roman"/>
          <w:sz w:val="20"/>
          <w:szCs w:val="20"/>
        </w:rPr>
        <w:t xml:space="preserve">The BLM requires an application, but no specific form, to lease certain lands within </w:t>
      </w:r>
      <w:r w:rsidRPr="00ED00CF" w:rsidR="00F34F91">
        <w:rPr>
          <w:rFonts w:ascii="Times New Roman" w:hAnsi="Times New Roman"/>
          <w:sz w:val="20"/>
          <w:szCs w:val="20"/>
        </w:rPr>
        <w:t>a</w:t>
      </w:r>
      <w:r w:rsidRPr="00ED00CF">
        <w:rPr>
          <w:rFonts w:ascii="Times New Roman" w:hAnsi="Times New Roman"/>
          <w:sz w:val="20"/>
          <w:szCs w:val="20"/>
        </w:rPr>
        <w:t xml:space="preserve"> </w:t>
      </w:r>
      <w:r w:rsidR="00481D9E">
        <w:rPr>
          <w:rFonts w:ascii="Times New Roman" w:hAnsi="Times New Roman"/>
          <w:sz w:val="20"/>
          <w:szCs w:val="20"/>
        </w:rPr>
        <w:t>right-of-way (</w:t>
      </w:r>
      <w:r w:rsidRPr="00ED00CF" w:rsidR="00EF2385">
        <w:rPr>
          <w:rFonts w:ascii="Times New Roman" w:hAnsi="Times New Roman"/>
          <w:sz w:val="20"/>
          <w:szCs w:val="20"/>
        </w:rPr>
        <w:t>ROW</w:t>
      </w:r>
      <w:r w:rsidR="00481D9E">
        <w:rPr>
          <w:rFonts w:ascii="Times New Roman" w:hAnsi="Times New Roman"/>
          <w:sz w:val="20"/>
          <w:szCs w:val="20"/>
        </w:rPr>
        <w:t>)</w:t>
      </w:r>
      <w:r w:rsidRPr="00ED00CF">
        <w:rPr>
          <w:rFonts w:ascii="Times New Roman" w:hAnsi="Times New Roman"/>
          <w:sz w:val="20"/>
          <w:szCs w:val="20"/>
        </w:rPr>
        <w:t xml:space="preserve"> for</w:t>
      </w:r>
      <w:r w:rsidRPr="00ED00CF" w:rsidR="00703E94">
        <w:rPr>
          <w:rFonts w:ascii="Times New Roman" w:hAnsi="Times New Roman"/>
          <w:sz w:val="20"/>
          <w:szCs w:val="20"/>
        </w:rPr>
        <w:t xml:space="preserve"> the underlying oil and gas.</w:t>
      </w:r>
      <w:r w:rsidRPr="00ED00CF" w:rsidR="00E954E6">
        <w:rPr>
          <w:rFonts w:ascii="Times New Roman" w:hAnsi="Times New Roman"/>
          <w:sz w:val="20"/>
          <w:szCs w:val="20"/>
        </w:rPr>
        <w:t xml:space="preserve"> </w:t>
      </w:r>
      <w:r w:rsidRPr="00ED00CF" w:rsidR="00272CD2">
        <w:rPr>
          <w:rFonts w:ascii="Times New Roman" w:hAnsi="Times New Roman"/>
          <w:sz w:val="20"/>
          <w:szCs w:val="20"/>
        </w:rPr>
        <w:t xml:space="preserve">The </w:t>
      </w:r>
      <w:r w:rsidRPr="00ED00CF">
        <w:rPr>
          <w:rFonts w:ascii="Times New Roman" w:hAnsi="Times New Roman"/>
          <w:sz w:val="20"/>
          <w:szCs w:val="20"/>
        </w:rPr>
        <w:t xml:space="preserve">BLM needs the information under the Act of May 21, 1930, which authorizes the leasing of, or the entering into a compensatory royalty agreement for, oil and gas deposits under railroads and certain other types of </w:t>
      </w:r>
      <w:r w:rsidRPr="00ED00CF" w:rsidR="00EF2385">
        <w:rPr>
          <w:rFonts w:ascii="Times New Roman" w:hAnsi="Times New Roman"/>
          <w:sz w:val="20"/>
          <w:szCs w:val="20"/>
        </w:rPr>
        <w:t>ROW</w:t>
      </w:r>
      <w:r w:rsidRPr="00ED00CF">
        <w:rPr>
          <w:rFonts w:ascii="Times New Roman" w:hAnsi="Times New Roman"/>
          <w:sz w:val="20"/>
          <w:szCs w:val="20"/>
        </w:rPr>
        <w:t>.</w:t>
      </w:r>
    </w:p>
    <w:p w:rsidR="00C122C2" w:rsidRPr="00ED00CF" w:rsidP="001E60B6" w14:paraId="3BF5B452" w14:textId="4921FDD2">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p>
    <w:p w:rsidR="0047411B" w:rsidRPr="00ED00CF" w:rsidP="0047411B" w14:paraId="75EE57C9" w14:textId="028824BD">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r w:rsidRPr="00ED00CF">
        <w:rPr>
          <w:rFonts w:ascii="Times New Roman" w:hAnsi="Times New Roman"/>
          <w:sz w:val="20"/>
          <w:szCs w:val="20"/>
        </w:rPr>
        <w:t xml:space="preserve">The </w:t>
      </w:r>
      <w:r w:rsidRPr="00ED00CF" w:rsidR="00677D47">
        <w:rPr>
          <w:rFonts w:ascii="Times New Roman" w:hAnsi="Times New Roman"/>
          <w:sz w:val="20"/>
          <w:szCs w:val="20"/>
        </w:rPr>
        <w:t>ROW</w:t>
      </w:r>
      <w:r w:rsidRPr="00ED00CF">
        <w:rPr>
          <w:rFonts w:ascii="Times New Roman" w:hAnsi="Times New Roman"/>
          <w:sz w:val="20"/>
          <w:szCs w:val="20"/>
        </w:rPr>
        <w:t xml:space="preserve"> owner or his/her transferee must file the application in the proper BLM office and include the processing fee for leasing under </w:t>
      </w:r>
      <w:r w:rsidRPr="00ED00CF" w:rsidR="00677D47">
        <w:rPr>
          <w:rFonts w:ascii="Times New Roman" w:hAnsi="Times New Roman"/>
          <w:sz w:val="20"/>
          <w:szCs w:val="20"/>
        </w:rPr>
        <w:t>ROW,</w:t>
      </w:r>
      <w:r w:rsidRPr="00ED00CF">
        <w:rPr>
          <w:rFonts w:ascii="Times New Roman" w:hAnsi="Times New Roman"/>
          <w:sz w:val="20"/>
          <w:szCs w:val="20"/>
        </w:rPr>
        <w:t xml:space="preserve"> found in the fee schedule in </w:t>
      </w:r>
      <w:r w:rsidRPr="00ED00CF" w:rsidR="00ED6816">
        <w:rPr>
          <w:rFonts w:ascii="Times New Roman" w:hAnsi="Times New Roman"/>
          <w:sz w:val="20"/>
          <w:szCs w:val="20"/>
        </w:rPr>
        <w:t xml:space="preserve">43 CFR </w:t>
      </w:r>
      <w:r w:rsidRPr="00ED00CF">
        <w:rPr>
          <w:rFonts w:ascii="Times New Roman" w:hAnsi="Times New Roman"/>
          <w:sz w:val="20"/>
          <w:szCs w:val="20"/>
        </w:rPr>
        <w:t>3000.12</w:t>
      </w:r>
      <w:r w:rsidRPr="00ED00CF" w:rsidR="00241B7B">
        <w:rPr>
          <w:rFonts w:ascii="Times New Roman" w:hAnsi="Times New Roman"/>
          <w:sz w:val="20"/>
          <w:szCs w:val="20"/>
        </w:rPr>
        <w:t>0</w:t>
      </w:r>
      <w:r w:rsidRPr="00ED00CF">
        <w:rPr>
          <w:rFonts w:ascii="Times New Roman" w:hAnsi="Times New Roman"/>
          <w:sz w:val="20"/>
          <w:szCs w:val="20"/>
        </w:rPr>
        <w:t>.</w:t>
      </w:r>
      <w:r w:rsidRPr="00ED00CF" w:rsidR="00E954E6">
        <w:rPr>
          <w:rFonts w:ascii="Times New Roman" w:hAnsi="Times New Roman"/>
          <w:sz w:val="20"/>
          <w:szCs w:val="20"/>
        </w:rPr>
        <w:t xml:space="preserve"> </w:t>
      </w:r>
      <w:r w:rsidRPr="00ED00CF">
        <w:rPr>
          <w:rFonts w:ascii="Times New Roman" w:hAnsi="Times New Roman"/>
          <w:sz w:val="20"/>
          <w:szCs w:val="20"/>
        </w:rPr>
        <w:t>If the transferee files an application, it must also include:</w:t>
      </w:r>
    </w:p>
    <w:p w:rsidR="0047411B" w:rsidRPr="00ED00CF" w:rsidP="73A9246C" w14:paraId="53AAAA69" w14:textId="1ADE7C42">
      <w:pPr>
        <w:pStyle w:val="ListParagraph"/>
        <w:widowControl/>
        <w:numPr>
          <w:ilvl w:val="0"/>
          <w:numId w:val="48"/>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r w:rsidRPr="00ED00CF">
        <w:rPr>
          <w:rFonts w:ascii="Times New Roman" w:hAnsi="Times New Roman"/>
          <w:sz w:val="20"/>
          <w:szCs w:val="20"/>
        </w:rPr>
        <w:t xml:space="preserve">Facts as to the ownership of the </w:t>
      </w:r>
      <w:r w:rsidRPr="00ED00CF" w:rsidR="00677D47">
        <w:rPr>
          <w:rFonts w:ascii="Times New Roman" w:hAnsi="Times New Roman"/>
          <w:sz w:val="20"/>
          <w:szCs w:val="20"/>
        </w:rPr>
        <w:t>ROW</w:t>
      </w:r>
      <w:r w:rsidRPr="00ED00CF">
        <w:rPr>
          <w:rFonts w:ascii="Times New Roman" w:hAnsi="Times New Roman"/>
          <w:sz w:val="20"/>
          <w:szCs w:val="20"/>
        </w:rPr>
        <w:t xml:space="preserve"> and of the transfer</w:t>
      </w:r>
      <w:r w:rsidRPr="00ED00CF" w:rsidR="00677D47">
        <w:rPr>
          <w:rFonts w:ascii="Times New Roman" w:hAnsi="Times New Roman"/>
          <w:sz w:val="20"/>
          <w:szCs w:val="20"/>
        </w:rPr>
        <w:t>,</w:t>
      </w:r>
      <w:r w:rsidRPr="00ED00CF">
        <w:rPr>
          <w:rFonts w:ascii="Times New Roman" w:hAnsi="Times New Roman"/>
          <w:sz w:val="20"/>
          <w:szCs w:val="20"/>
        </w:rPr>
        <w:t xml:space="preserve"> if the application is filed by a </w:t>
      </w:r>
      <w:r w:rsidRPr="00ED00CF">
        <w:rPr>
          <w:rFonts w:ascii="Times New Roman" w:hAnsi="Times New Roman"/>
          <w:sz w:val="20"/>
          <w:szCs w:val="20"/>
        </w:rPr>
        <w:t>transferee;</w:t>
      </w:r>
      <w:r w:rsidRPr="00ED00CF">
        <w:rPr>
          <w:rFonts w:ascii="Times New Roman" w:hAnsi="Times New Roman"/>
          <w:sz w:val="20"/>
          <w:szCs w:val="20"/>
        </w:rPr>
        <w:t xml:space="preserve"> </w:t>
      </w:r>
    </w:p>
    <w:p w:rsidR="0047411B" w:rsidRPr="00ED00CF" w:rsidP="73A9246C" w14:paraId="555869AA" w14:textId="402AAA41">
      <w:pPr>
        <w:pStyle w:val="ListParagraph"/>
        <w:widowControl/>
        <w:numPr>
          <w:ilvl w:val="0"/>
          <w:numId w:val="48"/>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r w:rsidRPr="00ED00CF">
        <w:rPr>
          <w:rFonts w:ascii="Times New Roman" w:hAnsi="Times New Roman"/>
          <w:sz w:val="20"/>
          <w:szCs w:val="20"/>
        </w:rPr>
        <w:t xml:space="preserve">An executed transfer of the right to obtain a lease, if </w:t>
      </w:r>
      <w:r w:rsidRPr="00ED00CF">
        <w:rPr>
          <w:rFonts w:ascii="Times New Roman" w:hAnsi="Times New Roman"/>
          <w:sz w:val="20"/>
          <w:szCs w:val="20"/>
        </w:rPr>
        <w:t>necessary;</w:t>
      </w:r>
    </w:p>
    <w:p w:rsidR="0047411B" w:rsidRPr="00ED00CF" w:rsidP="73A9246C" w14:paraId="3BDA91B3" w14:textId="3FD2648B">
      <w:pPr>
        <w:pStyle w:val="ListParagraph"/>
        <w:widowControl/>
        <w:numPr>
          <w:ilvl w:val="0"/>
          <w:numId w:val="48"/>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r w:rsidRPr="00ED00CF">
        <w:rPr>
          <w:rFonts w:ascii="Times New Roman" w:hAnsi="Times New Roman"/>
          <w:sz w:val="20"/>
          <w:szCs w:val="20"/>
        </w:rPr>
        <w:t>A description of the development of oil or gas in adjacent or nearby lands, the location and depth of the wells, the production</w:t>
      </w:r>
      <w:r w:rsidRPr="00ED00CF" w:rsidR="00677D47">
        <w:rPr>
          <w:rFonts w:ascii="Times New Roman" w:hAnsi="Times New Roman"/>
          <w:sz w:val="20"/>
          <w:szCs w:val="20"/>
        </w:rPr>
        <w:t>,</w:t>
      </w:r>
      <w:r w:rsidRPr="00ED00CF">
        <w:rPr>
          <w:rFonts w:ascii="Times New Roman" w:hAnsi="Times New Roman"/>
          <w:sz w:val="20"/>
          <w:szCs w:val="20"/>
        </w:rPr>
        <w:t xml:space="preserve"> and the probability of drainage of the deposits in the </w:t>
      </w:r>
      <w:r w:rsidRPr="00ED00CF" w:rsidR="00677D47">
        <w:rPr>
          <w:rFonts w:ascii="Times New Roman" w:hAnsi="Times New Roman"/>
          <w:sz w:val="20"/>
          <w:szCs w:val="20"/>
        </w:rPr>
        <w:t>ROW</w:t>
      </w:r>
      <w:r w:rsidRPr="00ED00CF">
        <w:rPr>
          <w:rFonts w:ascii="Times New Roman" w:hAnsi="Times New Roman"/>
          <w:sz w:val="20"/>
          <w:szCs w:val="20"/>
        </w:rPr>
        <w:t>;</w:t>
      </w:r>
      <w:r w:rsidRPr="00ED00CF">
        <w:rPr>
          <w:rFonts w:ascii="Times New Roman" w:hAnsi="Times New Roman"/>
          <w:sz w:val="20"/>
          <w:szCs w:val="20"/>
        </w:rPr>
        <w:t xml:space="preserve"> </w:t>
      </w:r>
    </w:p>
    <w:p w:rsidR="0047411B" w:rsidRPr="00ED00CF" w:rsidP="73A9246C" w14:paraId="4B144BEE" w14:textId="0567F5AD">
      <w:pPr>
        <w:pStyle w:val="ListParagraph"/>
        <w:widowControl/>
        <w:numPr>
          <w:ilvl w:val="0"/>
          <w:numId w:val="48"/>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r w:rsidRPr="00ED00CF">
        <w:rPr>
          <w:rFonts w:ascii="Times New Roman" w:hAnsi="Times New Roman"/>
          <w:sz w:val="20"/>
          <w:szCs w:val="20"/>
        </w:rPr>
        <w:t xml:space="preserve">A description of each legal subdivision through which a portion of the </w:t>
      </w:r>
      <w:r w:rsidRPr="00ED00CF" w:rsidR="00677D47">
        <w:rPr>
          <w:rFonts w:ascii="Times New Roman" w:hAnsi="Times New Roman"/>
          <w:sz w:val="20"/>
          <w:szCs w:val="20"/>
        </w:rPr>
        <w:t>ROW</w:t>
      </w:r>
      <w:r w:rsidRPr="00ED00CF">
        <w:rPr>
          <w:rFonts w:ascii="Times New Roman" w:hAnsi="Times New Roman"/>
          <w:sz w:val="20"/>
          <w:szCs w:val="20"/>
        </w:rPr>
        <w:t xml:space="preserve"> </w:t>
      </w:r>
      <w:r w:rsidRPr="00ED00CF" w:rsidR="00677D47">
        <w:rPr>
          <w:rFonts w:ascii="Times New Roman" w:hAnsi="Times New Roman"/>
          <w:sz w:val="20"/>
          <w:szCs w:val="20"/>
        </w:rPr>
        <w:t>is</w:t>
      </w:r>
      <w:r w:rsidRPr="00ED00CF">
        <w:rPr>
          <w:rFonts w:ascii="Times New Roman" w:hAnsi="Times New Roman"/>
          <w:sz w:val="20"/>
          <w:szCs w:val="20"/>
        </w:rPr>
        <w:t xml:space="preserve"> desired to be leased; however, a description by </w:t>
      </w:r>
      <w:r w:rsidRPr="00ED00CF">
        <w:rPr>
          <w:rFonts w:ascii="Times New Roman" w:hAnsi="Times New Roman"/>
          <w:sz w:val="20"/>
          <w:szCs w:val="20"/>
        </w:rPr>
        <w:t>metes</w:t>
      </w:r>
      <w:r w:rsidRPr="00ED00CF">
        <w:rPr>
          <w:rFonts w:ascii="Times New Roman" w:hAnsi="Times New Roman"/>
          <w:sz w:val="20"/>
          <w:szCs w:val="20"/>
        </w:rPr>
        <w:t xml:space="preserve"> and bounds of the </w:t>
      </w:r>
      <w:r w:rsidRPr="00ED00CF" w:rsidR="00677D47">
        <w:rPr>
          <w:rFonts w:ascii="Times New Roman" w:hAnsi="Times New Roman"/>
          <w:sz w:val="20"/>
          <w:szCs w:val="20"/>
        </w:rPr>
        <w:t>ROW</w:t>
      </w:r>
      <w:r w:rsidRPr="00ED00CF">
        <w:rPr>
          <w:rFonts w:ascii="Times New Roman" w:hAnsi="Times New Roman"/>
          <w:sz w:val="20"/>
          <w:szCs w:val="20"/>
        </w:rPr>
        <w:t xml:space="preserve"> is not </w:t>
      </w:r>
      <w:r w:rsidRPr="00ED00CF">
        <w:rPr>
          <w:rFonts w:ascii="Times New Roman" w:hAnsi="Times New Roman"/>
          <w:sz w:val="20"/>
          <w:szCs w:val="20"/>
        </w:rPr>
        <w:t>required;</w:t>
      </w:r>
    </w:p>
    <w:p w:rsidR="00241B7B" w:rsidRPr="00ED00CF" w:rsidP="00F34F91" w14:paraId="54018531" w14:textId="0048A4C6">
      <w:pPr>
        <w:pStyle w:val="ListParagraph"/>
        <w:widowControl/>
        <w:numPr>
          <w:ilvl w:val="0"/>
          <w:numId w:val="48"/>
        </w:num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r w:rsidRPr="00ED00CF">
        <w:rPr>
          <w:rFonts w:ascii="Times New Roman" w:hAnsi="Times New Roman"/>
          <w:sz w:val="20"/>
          <w:szCs w:val="20"/>
        </w:rPr>
        <w:t>A map of the applicable lands; and</w:t>
      </w:r>
    </w:p>
    <w:p w:rsidR="00241B7B" w:rsidRPr="00ED00CF" w:rsidP="00F34F91" w14:paraId="7A5C5C30" w14:textId="33ACB228">
      <w:pPr>
        <w:pStyle w:val="ListParagraph"/>
        <w:widowControl/>
        <w:numPr>
          <w:ilvl w:val="0"/>
          <w:numId w:val="48"/>
        </w:num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r w:rsidRPr="00ED00CF">
        <w:rPr>
          <w:rFonts w:ascii="Times New Roman" w:hAnsi="Times New Roman"/>
          <w:sz w:val="20"/>
          <w:szCs w:val="20"/>
        </w:rPr>
        <w:t xml:space="preserve">The processing fee for leasing under </w:t>
      </w:r>
      <w:r w:rsidRPr="00ED00CF" w:rsidR="00677D47">
        <w:rPr>
          <w:rFonts w:ascii="Times New Roman" w:hAnsi="Times New Roman"/>
          <w:sz w:val="20"/>
          <w:szCs w:val="20"/>
        </w:rPr>
        <w:t>ROW,</w:t>
      </w:r>
      <w:r w:rsidRPr="00ED00CF">
        <w:rPr>
          <w:rFonts w:ascii="Times New Roman" w:hAnsi="Times New Roman"/>
          <w:sz w:val="20"/>
          <w:szCs w:val="20"/>
        </w:rPr>
        <w:t xml:space="preserve"> found in the fee schedule in </w:t>
      </w:r>
      <w:r w:rsidRPr="00ED00CF" w:rsidR="00ED6816">
        <w:rPr>
          <w:rFonts w:ascii="Times New Roman" w:hAnsi="Times New Roman"/>
          <w:sz w:val="20"/>
          <w:szCs w:val="20"/>
        </w:rPr>
        <w:t xml:space="preserve">43 CFR </w:t>
      </w:r>
      <w:r w:rsidRPr="00ED00CF">
        <w:rPr>
          <w:rFonts w:ascii="Times New Roman" w:hAnsi="Times New Roman"/>
          <w:sz w:val="20"/>
          <w:szCs w:val="20"/>
        </w:rPr>
        <w:t>3000.120</w:t>
      </w:r>
      <w:r w:rsidR="001B1317">
        <w:rPr>
          <w:rFonts w:ascii="Times New Roman" w:hAnsi="Times New Roman"/>
          <w:sz w:val="20"/>
          <w:szCs w:val="20"/>
        </w:rPr>
        <w:t>.</w:t>
      </w:r>
    </w:p>
    <w:p w:rsidR="009E4D9E" w:rsidRPr="007D5DC7" w:rsidP="000F56A4" w14:paraId="409EF97E" w14:textId="35C83207">
      <w:pPr>
        <w:spacing w:before="240"/>
        <w:rPr>
          <w:sz w:val="20"/>
          <w:szCs w:val="20"/>
        </w:rPr>
      </w:pPr>
    </w:p>
    <w:p w:rsidR="00FC5487" w:rsidRPr="00ED00CF" w:rsidP="00EE5581" w14:paraId="0F477726" w14:textId="3354E6C5">
      <w:pPr>
        <w:pStyle w:val="Heading3"/>
        <w:rPr>
          <w:sz w:val="20"/>
          <w:szCs w:val="20"/>
        </w:rPr>
      </w:pPr>
      <w:r w:rsidRPr="00ED00CF">
        <w:rPr>
          <w:sz w:val="20"/>
          <w:szCs w:val="20"/>
        </w:rPr>
        <w:t xml:space="preserve">43 CFR </w:t>
      </w:r>
      <w:r w:rsidR="00196B72">
        <w:rPr>
          <w:sz w:val="20"/>
          <w:szCs w:val="20"/>
        </w:rPr>
        <w:t>P</w:t>
      </w:r>
      <w:r w:rsidRPr="00ED00CF">
        <w:rPr>
          <w:sz w:val="20"/>
          <w:szCs w:val="20"/>
        </w:rPr>
        <w:t>art 3120 — Competitive Leases</w:t>
      </w:r>
    </w:p>
    <w:p w:rsidR="00FC5487" w:rsidRPr="00ED00CF" w:rsidP="001E60B6" w14:paraId="43B294D1"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p>
    <w:p w:rsidR="00E92D1D" w:rsidRPr="00ED00CF" w:rsidP="00AE3AE4" w14:paraId="3503EF9E" w14:textId="54BAD913">
      <w:pPr>
        <w:pStyle w:val="Heading4"/>
        <w:numPr>
          <w:ilvl w:val="0"/>
          <w:numId w:val="0"/>
        </w:numPr>
        <w:rPr>
          <w:sz w:val="20"/>
          <w:szCs w:val="20"/>
        </w:rPr>
      </w:pPr>
      <w:r w:rsidRPr="00ED00CF">
        <w:rPr>
          <w:sz w:val="20"/>
          <w:szCs w:val="20"/>
        </w:rPr>
        <w:t xml:space="preserve">43 CFR </w:t>
      </w:r>
      <w:r w:rsidRPr="00ED00CF" w:rsidR="001E60B6">
        <w:rPr>
          <w:sz w:val="20"/>
          <w:szCs w:val="20"/>
        </w:rPr>
        <w:t>3120.1</w:t>
      </w:r>
      <w:r w:rsidRPr="00ED00CF" w:rsidR="00241B7B">
        <w:rPr>
          <w:sz w:val="20"/>
          <w:szCs w:val="20"/>
        </w:rPr>
        <w:t>1</w:t>
      </w:r>
      <w:r w:rsidRPr="00ED00CF" w:rsidR="00677D47">
        <w:rPr>
          <w:sz w:val="20"/>
          <w:szCs w:val="20"/>
        </w:rPr>
        <w:t>—</w:t>
      </w:r>
      <w:r w:rsidRPr="00ED00CF" w:rsidR="001E60B6">
        <w:rPr>
          <w:sz w:val="20"/>
          <w:szCs w:val="20"/>
        </w:rPr>
        <w:t xml:space="preserve"> Lands </w:t>
      </w:r>
      <w:r w:rsidRPr="00ED00CF" w:rsidR="009E7074">
        <w:rPr>
          <w:sz w:val="20"/>
          <w:szCs w:val="20"/>
        </w:rPr>
        <w:t>A</w:t>
      </w:r>
      <w:r w:rsidRPr="00ED00CF" w:rsidR="001E60B6">
        <w:rPr>
          <w:sz w:val="20"/>
          <w:szCs w:val="20"/>
        </w:rPr>
        <w:t xml:space="preserve">vailable for </w:t>
      </w:r>
      <w:r w:rsidRPr="00ED00CF" w:rsidR="009E7074">
        <w:rPr>
          <w:sz w:val="20"/>
          <w:szCs w:val="20"/>
        </w:rPr>
        <w:t>C</w:t>
      </w:r>
      <w:r w:rsidRPr="00ED00CF" w:rsidR="001E60B6">
        <w:rPr>
          <w:sz w:val="20"/>
          <w:szCs w:val="20"/>
        </w:rPr>
        <w:t xml:space="preserve">ompetitive </w:t>
      </w:r>
      <w:r w:rsidRPr="00ED00CF" w:rsidR="009E7074">
        <w:rPr>
          <w:sz w:val="20"/>
          <w:szCs w:val="20"/>
        </w:rPr>
        <w:t>L</w:t>
      </w:r>
      <w:r w:rsidRPr="00ED00CF" w:rsidR="001E60B6">
        <w:rPr>
          <w:sz w:val="20"/>
          <w:szCs w:val="20"/>
        </w:rPr>
        <w:t>easing</w:t>
      </w:r>
    </w:p>
    <w:p w:rsidR="00E92D1D" w:rsidRPr="00ED00CF" w:rsidP="001E60B6" w14:paraId="730C4421"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u w:val="single"/>
        </w:rPr>
      </w:pPr>
    </w:p>
    <w:p w:rsidR="00E127E6" w:rsidRPr="00ED00CF" w:rsidP="73A9246C" w14:paraId="21676FF7" w14:textId="0E3B05D9">
      <w:pPr>
        <w:widowControl/>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r>
        <w:rPr>
          <w:rFonts w:ascii="Times New Roman" w:hAnsi="Times New Roman"/>
          <w:sz w:val="20"/>
          <w:szCs w:val="20"/>
        </w:rPr>
        <w:t xml:space="preserve">The </w:t>
      </w:r>
      <w:r w:rsidRPr="73A9246C">
        <w:rPr>
          <w:rFonts w:ascii="Times New Roman" w:hAnsi="Times New Roman"/>
          <w:sz w:val="20"/>
          <w:szCs w:val="20"/>
        </w:rPr>
        <w:t>BLM</w:t>
      </w:r>
      <w:r w:rsidRPr="73A9246C" w:rsidR="00C0231D">
        <w:rPr>
          <w:rFonts w:ascii="Times New Roman" w:hAnsi="Times New Roman"/>
          <w:sz w:val="20"/>
          <w:szCs w:val="20"/>
        </w:rPr>
        <w:t xml:space="preserve"> </w:t>
      </w:r>
      <w:r w:rsidRPr="00ED00CF" w:rsidR="00C0231D">
        <w:rPr>
          <w:rFonts w:ascii="Times New Roman" w:hAnsi="Times New Roman"/>
          <w:sz w:val="20"/>
          <w:szCs w:val="20"/>
        </w:rPr>
        <w:t>collect</w:t>
      </w:r>
      <w:r>
        <w:rPr>
          <w:rFonts w:ascii="Times New Roman" w:hAnsi="Times New Roman"/>
          <w:sz w:val="20"/>
          <w:szCs w:val="20"/>
        </w:rPr>
        <w:t>s</w:t>
      </w:r>
      <w:r w:rsidRPr="00ED00CF" w:rsidR="00C0231D">
        <w:rPr>
          <w:rFonts w:ascii="Times New Roman" w:hAnsi="Times New Roman"/>
          <w:sz w:val="20"/>
          <w:szCs w:val="20"/>
        </w:rPr>
        <w:t xml:space="preserve"> information from parties </w:t>
      </w:r>
      <w:r w:rsidRPr="00ED00CF" w:rsidR="00996080">
        <w:rPr>
          <w:rFonts w:ascii="Times New Roman" w:hAnsi="Times New Roman"/>
          <w:sz w:val="20"/>
          <w:szCs w:val="20"/>
        </w:rPr>
        <w:t xml:space="preserve">that </w:t>
      </w:r>
      <w:r w:rsidRPr="73A9246C" w:rsidR="00A83D62">
        <w:rPr>
          <w:rFonts w:ascii="Times New Roman" w:hAnsi="Times New Roman"/>
          <w:sz w:val="20"/>
          <w:szCs w:val="20"/>
        </w:rPr>
        <w:t>request</w:t>
      </w:r>
      <w:r w:rsidRPr="00ED00CF" w:rsidR="00996080">
        <w:rPr>
          <w:rFonts w:ascii="Times New Roman" w:hAnsi="Times New Roman"/>
          <w:sz w:val="20"/>
          <w:szCs w:val="20"/>
        </w:rPr>
        <w:t xml:space="preserve"> </w:t>
      </w:r>
      <w:r w:rsidR="00EC3144">
        <w:rPr>
          <w:rFonts w:ascii="Times New Roman" w:hAnsi="Times New Roman"/>
          <w:sz w:val="20"/>
          <w:szCs w:val="20"/>
        </w:rPr>
        <w:t xml:space="preserve">the BLM to offer </w:t>
      </w:r>
      <w:r w:rsidRPr="00ED00CF" w:rsidR="00C0231D">
        <w:rPr>
          <w:rFonts w:ascii="Times New Roman" w:hAnsi="Times New Roman"/>
          <w:sz w:val="20"/>
          <w:szCs w:val="20"/>
        </w:rPr>
        <w:t>specific lands for competitive oil and gas lease sale.</w:t>
      </w:r>
      <w:r w:rsidRPr="00ED00CF" w:rsidR="00E954E6">
        <w:rPr>
          <w:rFonts w:ascii="Times New Roman" w:hAnsi="Times New Roman"/>
          <w:sz w:val="20"/>
          <w:szCs w:val="20"/>
        </w:rPr>
        <w:t xml:space="preserve"> </w:t>
      </w:r>
      <w:r w:rsidRPr="00ED00CF" w:rsidR="00996080">
        <w:rPr>
          <w:rFonts w:ascii="Times New Roman" w:hAnsi="Times New Roman"/>
          <w:sz w:val="20"/>
          <w:szCs w:val="20"/>
        </w:rPr>
        <w:t xml:space="preserve">Such a request </w:t>
      </w:r>
      <w:r w:rsidRPr="00ED00CF" w:rsidR="00C0231D">
        <w:rPr>
          <w:rFonts w:ascii="Times New Roman" w:hAnsi="Times New Roman"/>
          <w:sz w:val="20"/>
          <w:szCs w:val="20"/>
        </w:rPr>
        <w:t xml:space="preserve">must describe the lands with enough specificity </w:t>
      </w:r>
      <w:r w:rsidRPr="00ED00CF" w:rsidR="001B0FDF">
        <w:rPr>
          <w:rFonts w:ascii="Times New Roman" w:hAnsi="Times New Roman"/>
          <w:sz w:val="20"/>
          <w:szCs w:val="20"/>
        </w:rPr>
        <w:t xml:space="preserve">so </w:t>
      </w:r>
      <w:r w:rsidRPr="00ED00CF" w:rsidR="00C0231D">
        <w:rPr>
          <w:rFonts w:ascii="Times New Roman" w:hAnsi="Times New Roman"/>
          <w:sz w:val="20"/>
          <w:szCs w:val="20"/>
        </w:rPr>
        <w:t xml:space="preserve">that </w:t>
      </w:r>
      <w:r w:rsidRPr="00ED00CF" w:rsidR="001B0FDF">
        <w:rPr>
          <w:rFonts w:ascii="Times New Roman" w:hAnsi="Times New Roman"/>
          <w:sz w:val="20"/>
          <w:szCs w:val="20"/>
        </w:rPr>
        <w:t xml:space="preserve">the </w:t>
      </w:r>
      <w:r w:rsidRPr="00ED00CF" w:rsidR="00C0231D">
        <w:rPr>
          <w:rFonts w:ascii="Times New Roman" w:hAnsi="Times New Roman"/>
          <w:sz w:val="20"/>
          <w:szCs w:val="20"/>
        </w:rPr>
        <w:t>BLM can determine what the entity is requesting.</w:t>
      </w:r>
      <w:r w:rsidRPr="00ED00CF" w:rsidR="006D76BD">
        <w:rPr>
          <w:rFonts w:ascii="Times New Roman" w:hAnsi="Times New Roman"/>
          <w:sz w:val="20"/>
          <w:szCs w:val="20"/>
        </w:rPr>
        <w:t xml:space="preserve"> This is further described under </w:t>
      </w:r>
      <w:r w:rsidRPr="00ED00CF" w:rsidR="00ED6816">
        <w:rPr>
          <w:rFonts w:ascii="Times New Roman" w:hAnsi="Times New Roman"/>
          <w:sz w:val="20"/>
          <w:szCs w:val="20"/>
        </w:rPr>
        <w:t xml:space="preserve">43 CFR </w:t>
      </w:r>
      <w:r w:rsidRPr="00ED00CF" w:rsidR="006D76BD">
        <w:rPr>
          <w:rFonts w:ascii="Times New Roman" w:hAnsi="Times New Roman"/>
          <w:sz w:val="20"/>
          <w:szCs w:val="20"/>
        </w:rPr>
        <w:t>3120.</w:t>
      </w:r>
      <w:r w:rsidR="00AC6773">
        <w:rPr>
          <w:rFonts w:ascii="Times New Roman" w:hAnsi="Times New Roman"/>
          <w:sz w:val="20"/>
          <w:szCs w:val="20"/>
        </w:rPr>
        <w:t xml:space="preserve">31 </w:t>
      </w:r>
      <w:r w:rsidRPr="00ED00CF" w:rsidR="00677D47">
        <w:rPr>
          <w:rFonts w:ascii="Times New Roman" w:hAnsi="Times New Roman"/>
          <w:sz w:val="20"/>
          <w:szCs w:val="20"/>
        </w:rPr>
        <w:t>below,</w:t>
      </w:r>
      <w:r w:rsidRPr="00ED00CF" w:rsidR="006D76BD">
        <w:rPr>
          <w:rFonts w:ascii="Times New Roman" w:hAnsi="Times New Roman"/>
          <w:sz w:val="20"/>
          <w:szCs w:val="20"/>
        </w:rPr>
        <w:t xml:space="preserve"> Expressions of </w:t>
      </w:r>
      <w:r w:rsidRPr="00ED00CF" w:rsidR="0096010B">
        <w:rPr>
          <w:rFonts w:ascii="Times New Roman" w:hAnsi="Times New Roman"/>
          <w:sz w:val="20"/>
          <w:szCs w:val="20"/>
        </w:rPr>
        <w:t>I</w:t>
      </w:r>
      <w:r w:rsidRPr="00ED00CF" w:rsidR="006D76BD">
        <w:rPr>
          <w:rFonts w:ascii="Times New Roman" w:hAnsi="Times New Roman"/>
          <w:sz w:val="20"/>
          <w:szCs w:val="20"/>
        </w:rPr>
        <w:t>nterest.</w:t>
      </w:r>
      <w:r w:rsidRPr="00ED00CF" w:rsidR="00CA0EFF">
        <w:rPr>
          <w:rFonts w:ascii="Times New Roman" w:hAnsi="Times New Roman"/>
          <w:sz w:val="20"/>
          <w:szCs w:val="20"/>
        </w:rPr>
        <w:t xml:space="preserve"> </w:t>
      </w:r>
      <w:r w:rsidRPr="00ED00CF" w:rsidR="00150B32">
        <w:rPr>
          <w:rFonts w:ascii="Times New Roman" w:hAnsi="Times New Roman"/>
          <w:sz w:val="20"/>
          <w:szCs w:val="20"/>
        </w:rPr>
        <w:t>Since this</w:t>
      </w:r>
      <w:r w:rsidRPr="00ED00CF" w:rsidR="003D6A52">
        <w:rPr>
          <w:rFonts w:ascii="Times New Roman" w:hAnsi="Times New Roman"/>
          <w:sz w:val="20"/>
          <w:szCs w:val="20"/>
        </w:rPr>
        <w:t xml:space="preserve"> activity is a part of the burden associated with the Expression of Interest, the burden</w:t>
      </w:r>
      <w:r w:rsidRPr="00ED00CF" w:rsidR="00DE7A4A">
        <w:rPr>
          <w:rFonts w:ascii="Times New Roman" w:hAnsi="Times New Roman"/>
          <w:sz w:val="20"/>
          <w:szCs w:val="20"/>
        </w:rPr>
        <w:t xml:space="preserve"> is included under that activity in </w:t>
      </w:r>
      <w:r w:rsidRPr="00ED00CF" w:rsidR="00F40410">
        <w:rPr>
          <w:rFonts w:ascii="Times New Roman" w:hAnsi="Times New Roman"/>
          <w:sz w:val="20"/>
          <w:szCs w:val="20"/>
        </w:rPr>
        <w:t>Table 12-2.</w:t>
      </w:r>
    </w:p>
    <w:p w:rsidR="001E60B6" w:rsidP="001E60B6" w14:paraId="3A856A19"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p>
    <w:p w:rsidR="00AC6773" w:rsidRPr="003B5BD1" w:rsidP="00AC6773" w14:paraId="74AE1D69" w14:textId="77777777">
      <w:pPr>
        <w:pStyle w:val="Heading4"/>
        <w:numPr>
          <w:ilvl w:val="0"/>
          <w:numId w:val="0"/>
        </w:numPr>
        <w:rPr>
          <w:sz w:val="20"/>
          <w:szCs w:val="20"/>
          <w:highlight w:val="yellow"/>
        </w:rPr>
      </w:pPr>
      <w:r w:rsidRPr="001A5785">
        <w:rPr>
          <w:sz w:val="20"/>
          <w:szCs w:val="20"/>
        </w:rPr>
        <w:t>4</w:t>
      </w:r>
      <w:r w:rsidRPr="009D280E">
        <w:rPr>
          <w:sz w:val="20"/>
          <w:szCs w:val="20"/>
        </w:rPr>
        <w:t>3 CFR 3120.</w:t>
      </w:r>
      <w:r>
        <w:rPr>
          <w:sz w:val="20"/>
          <w:szCs w:val="20"/>
        </w:rPr>
        <w:t>3</w:t>
      </w:r>
      <w:r w:rsidRPr="009D280E">
        <w:rPr>
          <w:sz w:val="20"/>
          <w:szCs w:val="20"/>
        </w:rPr>
        <w:t>1 — Expressions of Interest (EOI) Process</w:t>
      </w:r>
    </w:p>
    <w:p w:rsidR="00AC6773" w:rsidRPr="00ED00CF" w:rsidP="00AC6773" w14:paraId="56AB439F"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p>
    <w:p w:rsidR="00AC6773" w:rsidRPr="00ED00CF" w:rsidP="73A9246C" w14:paraId="034E1BFB" w14:textId="77777777">
      <w:pPr>
        <w:widowControl/>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r w:rsidRPr="00ED00CF">
        <w:rPr>
          <w:rFonts w:ascii="Times New Roman" w:hAnsi="Times New Roman"/>
          <w:sz w:val="20"/>
          <w:szCs w:val="20"/>
        </w:rPr>
        <w:t xml:space="preserve">Lands must be identified for competitive leasing by submitting an EOI, including the applicant’s name and address, to </w:t>
      </w:r>
      <w:r w:rsidRPr="00ED00CF">
        <w:rPr>
          <w:rFonts w:ascii="Times New Roman" w:hAnsi="Times New Roman"/>
          <w:sz w:val="20"/>
          <w:szCs w:val="20"/>
        </w:rPr>
        <w:t>the BLM’s</w:t>
      </w:r>
      <w:r w:rsidRPr="00ED00CF">
        <w:rPr>
          <w:rFonts w:ascii="Times New Roman" w:hAnsi="Times New Roman"/>
          <w:sz w:val="20"/>
          <w:szCs w:val="20"/>
        </w:rPr>
        <w:t xml:space="preserve"> online leasing system.</w:t>
      </w:r>
    </w:p>
    <w:p w:rsidR="00AC6773" w:rsidRPr="00ED00CF" w:rsidP="00AC6773" w14:paraId="66943144"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p>
    <w:p w:rsidR="00AC6773" w:rsidRPr="00ED00CF" w:rsidP="73A9246C" w14:paraId="5E32E9AD" w14:textId="77777777">
      <w:pPr>
        <w:widowControl/>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r w:rsidRPr="00ED00CF">
        <w:rPr>
          <w:rFonts w:ascii="Times New Roman" w:hAnsi="Times New Roman"/>
          <w:sz w:val="20"/>
          <w:szCs w:val="20"/>
        </w:rPr>
        <w:t>An EOI is a description of lands that an applicant seeks to include in a competitive auction. The expression must provide a description of the lands identified by legal land description, as follows:</w:t>
      </w:r>
    </w:p>
    <w:p w:rsidR="00AC6773" w:rsidRPr="00ED00CF" w:rsidP="73A9246C" w14:paraId="623B78DF" w14:textId="77777777">
      <w:pPr>
        <w:pStyle w:val="ListParagraph"/>
        <w:widowControl/>
        <w:numPr>
          <w:ilvl w:val="0"/>
          <w:numId w:val="38"/>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sz w:val="20"/>
          <w:szCs w:val="20"/>
        </w:rPr>
      </w:pPr>
      <w:r w:rsidRPr="00ED00CF">
        <w:rPr>
          <w:rFonts w:ascii="Times New Roman" w:hAnsi="Times New Roman"/>
          <w:sz w:val="20"/>
          <w:szCs w:val="20"/>
        </w:rPr>
        <w:t xml:space="preserve">For lands surveyed under the public land rectangular survey system, describe the lands to the nearest aliquot part within the legal subdivision, section, township, range, and </w:t>
      </w:r>
      <w:r w:rsidRPr="00ED00CF">
        <w:rPr>
          <w:rFonts w:ascii="Times New Roman" w:hAnsi="Times New Roman"/>
          <w:sz w:val="20"/>
          <w:szCs w:val="20"/>
        </w:rPr>
        <w:t>meridian;</w:t>
      </w:r>
    </w:p>
    <w:p w:rsidR="00AC6773" w:rsidRPr="00ED00CF" w:rsidP="73A9246C" w14:paraId="1E98F9DA" w14:textId="77777777">
      <w:pPr>
        <w:pStyle w:val="ListParagraph"/>
        <w:widowControl/>
        <w:numPr>
          <w:ilvl w:val="0"/>
          <w:numId w:val="38"/>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sz w:val="20"/>
          <w:szCs w:val="20"/>
        </w:rPr>
      </w:pPr>
      <w:r w:rsidRPr="00ED00CF">
        <w:rPr>
          <w:rFonts w:ascii="Times New Roman" w:hAnsi="Times New Roman"/>
          <w:sz w:val="20"/>
          <w:szCs w:val="20"/>
        </w:rPr>
        <w:t xml:space="preserve">For </w:t>
      </w:r>
      <w:r w:rsidRPr="00ED00CF">
        <w:rPr>
          <w:rFonts w:ascii="Times New Roman" w:hAnsi="Times New Roman"/>
          <w:sz w:val="20"/>
          <w:szCs w:val="20"/>
        </w:rPr>
        <w:t>unsurveyed</w:t>
      </w:r>
      <w:r w:rsidRPr="00ED00CF">
        <w:rPr>
          <w:rFonts w:ascii="Times New Roman" w:hAnsi="Times New Roman"/>
          <w:sz w:val="20"/>
          <w:szCs w:val="20"/>
        </w:rPr>
        <w:t xml:space="preserve"> lands, describe the lands by </w:t>
      </w:r>
      <w:r w:rsidRPr="00ED00CF">
        <w:rPr>
          <w:rFonts w:ascii="Times New Roman" w:hAnsi="Times New Roman"/>
          <w:sz w:val="20"/>
          <w:szCs w:val="20"/>
        </w:rPr>
        <w:t>metes</w:t>
      </w:r>
      <w:r w:rsidRPr="00ED00CF">
        <w:rPr>
          <w:rFonts w:ascii="Times New Roman" w:hAnsi="Times New Roman"/>
          <w:sz w:val="20"/>
          <w:szCs w:val="20"/>
        </w:rPr>
        <w:t xml:space="preserve"> and bounds, giving courses and distances, and tying this information to an official corner of the public land surveys or to a prominent topographic </w:t>
      </w:r>
      <w:r w:rsidRPr="00ED00CF">
        <w:rPr>
          <w:rFonts w:ascii="Times New Roman" w:hAnsi="Times New Roman"/>
          <w:sz w:val="20"/>
          <w:szCs w:val="20"/>
        </w:rPr>
        <w:t>feature;</w:t>
      </w:r>
    </w:p>
    <w:p w:rsidR="00AC6773" w:rsidRPr="00ED00CF" w:rsidP="73A9246C" w14:paraId="6DB5D6D1" w14:textId="77777777">
      <w:pPr>
        <w:pStyle w:val="ListParagraph"/>
        <w:widowControl/>
        <w:numPr>
          <w:ilvl w:val="0"/>
          <w:numId w:val="38"/>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sz w:val="20"/>
          <w:szCs w:val="20"/>
        </w:rPr>
      </w:pPr>
      <w:r w:rsidRPr="00ED00CF">
        <w:rPr>
          <w:rFonts w:ascii="Times New Roman" w:hAnsi="Times New Roman"/>
          <w:sz w:val="20"/>
          <w:szCs w:val="20"/>
        </w:rPr>
        <w:t xml:space="preserve">For approved protracted surveys, include an entire section, township, range, and meridian—do not divide protracted sections into aliquot </w:t>
      </w:r>
      <w:r w:rsidRPr="00ED00CF">
        <w:rPr>
          <w:rFonts w:ascii="Times New Roman" w:hAnsi="Times New Roman"/>
          <w:sz w:val="20"/>
          <w:szCs w:val="20"/>
        </w:rPr>
        <w:t>parts;</w:t>
      </w:r>
    </w:p>
    <w:p w:rsidR="00AC6773" w:rsidRPr="00ED00CF" w:rsidP="73A9246C" w14:paraId="73FEF9B9" w14:textId="77777777">
      <w:pPr>
        <w:pStyle w:val="ListParagraph"/>
        <w:widowControl/>
        <w:numPr>
          <w:ilvl w:val="0"/>
          <w:numId w:val="38"/>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sz w:val="20"/>
          <w:szCs w:val="20"/>
        </w:rPr>
      </w:pPr>
      <w:r w:rsidRPr="00ED00CF">
        <w:rPr>
          <w:rFonts w:ascii="Times New Roman" w:hAnsi="Times New Roman"/>
          <w:sz w:val="20"/>
          <w:szCs w:val="20"/>
        </w:rPr>
        <w:t xml:space="preserve">For lands that have water boundaries, include the base acreage on the initial survey or deed acquiring </w:t>
      </w:r>
      <w:r w:rsidRPr="00ED00CF">
        <w:rPr>
          <w:rFonts w:ascii="Times New Roman" w:hAnsi="Times New Roman"/>
          <w:sz w:val="20"/>
          <w:szCs w:val="20"/>
        </w:rPr>
        <w:t>ownership;</w:t>
      </w:r>
      <w:r w:rsidRPr="00ED00CF">
        <w:rPr>
          <w:rFonts w:ascii="Times New Roman" w:hAnsi="Times New Roman"/>
          <w:sz w:val="20"/>
          <w:szCs w:val="20"/>
        </w:rPr>
        <w:t xml:space="preserve"> </w:t>
      </w:r>
    </w:p>
    <w:p w:rsidR="00AC6773" w:rsidRPr="00ED00CF" w:rsidP="73A9246C" w14:paraId="17BF1A55" w14:textId="77777777">
      <w:pPr>
        <w:pStyle w:val="ListParagraph"/>
        <w:widowControl/>
        <w:numPr>
          <w:ilvl w:val="0"/>
          <w:numId w:val="38"/>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sz w:val="20"/>
          <w:szCs w:val="20"/>
        </w:rPr>
      </w:pPr>
      <w:r w:rsidRPr="00ED00CF">
        <w:rPr>
          <w:rFonts w:ascii="Times New Roman" w:hAnsi="Times New Roman"/>
          <w:sz w:val="20"/>
          <w:szCs w:val="20"/>
        </w:rPr>
        <w:t xml:space="preserve">For fractional interest lands, identify the United States mineral ownership by </w:t>
      </w:r>
      <w:r w:rsidRPr="00ED00CF">
        <w:rPr>
          <w:rFonts w:ascii="Times New Roman" w:hAnsi="Times New Roman"/>
          <w:sz w:val="20"/>
          <w:szCs w:val="20"/>
        </w:rPr>
        <w:t>percentage;</w:t>
      </w:r>
    </w:p>
    <w:p w:rsidR="00AC6773" w:rsidRPr="00ED00CF" w:rsidP="73A9246C" w14:paraId="1961E68E" w14:textId="64A32535">
      <w:pPr>
        <w:pStyle w:val="ListParagraph"/>
        <w:widowControl/>
        <w:numPr>
          <w:ilvl w:val="0"/>
          <w:numId w:val="38"/>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sz w:val="20"/>
          <w:szCs w:val="20"/>
        </w:rPr>
      </w:pPr>
      <w:r w:rsidRPr="00ED00CF">
        <w:rPr>
          <w:rFonts w:ascii="Times New Roman" w:hAnsi="Times New Roman"/>
          <w:sz w:val="20"/>
          <w:szCs w:val="20"/>
        </w:rPr>
        <w:t xml:space="preserve">For split estate lands where the surface rights are in private ownership and the rights to development of </w:t>
      </w:r>
      <w:r w:rsidRPr="00ED00CF">
        <w:rPr>
          <w:rFonts w:ascii="Times New Roman" w:hAnsi="Times New Roman"/>
          <w:sz w:val="20"/>
          <w:szCs w:val="20"/>
        </w:rPr>
        <w:t>the mineral</w:t>
      </w:r>
      <w:r w:rsidRPr="00ED00CF">
        <w:rPr>
          <w:rFonts w:ascii="Times New Roman" w:hAnsi="Times New Roman"/>
          <w:sz w:val="20"/>
          <w:szCs w:val="20"/>
        </w:rPr>
        <w:t xml:space="preserve"> resources are publicly held and managed by the Federal Government, submit the private surface owner’s name and address</w:t>
      </w:r>
      <w:r w:rsidR="002C536F">
        <w:rPr>
          <w:rFonts w:ascii="Times New Roman" w:hAnsi="Times New Roman"/>
          <w:sz w:val="20"/>
          <w:szCs w:val="20"/>
        </w:rPr>
        <w:t>.</w:t>
      </w:r>
    </w:p>
    <w:p w:rsidR="00AC6773" w:rsidRPr="00ED00CF" w:rsidP="001E60B6" w14:paraId="79692250"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p>
    <w:p w:rsidR="00E92D1D" w:rsidRPr="00ED00CF" w:rsidP="00AE3AE4" w14:paraId="2B441AD9" w14:textId="3CC6D1FB">
      <w:pPr>
        <w:pStyle w:val="Heading4"/>
        <w:numPr>
          <w:ilvl w:val="0"/>
          <w:numId w:val="0"/>
        </w:numPr>
        <w:rPr>
          <w:sz w:val="20"/>
          <w:szCs w:val="20"/>
        </w:rPr>
      </w:pPr>
      <w:r w:rsidRPr="00ED00CF">
        <w:rPr>
          <w:sz w:val="20"/>
          <w:szCs w:val="20"/>
        </w:rPr>
        <w:t xml:space="preserve">43 CFR </w:t>
      </w:r>
      <w:r w:rsidRPr="00ED00CF" w:rsidR="001E60B6">
        <w:rPr>
          <w:sz w:val="20"/>
          <w:szCs w:val="20"/>
        </w:rPr>
        <w:t>3120.</w:t>
      </w:r>
      <w:r w:rsidR="00C833B8">
        <w:rPr>
          <w:sz w:val="20"/>
          <w:szCs w:val="20"/>
        </w:rPr>
        <w:t>43</w:t>
      </w:r>
      <w:r w:rsidRPr="00ED00CF" w:rsidR="00C833B8">
        <w:rPr>
          <w:sz w:val="20"/>
          <w:szCs w:val="20"/>
        </w:rPr>
        <w:t xml:space="preserve"> </w:t>
      </w:r>
      <w:r w:rsidRPr="00ED00CF" w:rsidR="00677D47">
        <w:rPr>
          <w:sz w:val="20"/>
          <w:szCs w:val="20"/>
        </w:rPr>
        <w:t>—</w:t>
      </w:r>
      <w:r w:rsidRPr="00ED00CF" w:rsidR="001E60B6">
        <w:rPr>
          <w:sz w:val="20"/>
          <w:szCs w:val="20"/>
        </w:rPr>
        <w:t xml:space="preserve"> Protests </w:t>
      </w:r>
      <w:r w:rsidR="0053565D">
        <w:rPr>
          <w:sz w:val="20"/>
          <w:szCs w:val="20"/>
        </w:rPr>
        <w:t>[REVISED]</w:t>
      </w:r>
    </w:p>
    <w:p w:rsidR="00846FFA" w:rsidRPr="00ED00CF" w:rsidP="00846FFA" w14:paraId="6EC6C188"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sz w:val="20"/>
          <w:szCs w:val="20"/>
          <w:u w:val="single"/>
        </w:rPr>
      </w:pPr>
    </w:p>
    <w:p w:rsidR="001E60B6" w:rsidRPr="00ED00CF" w:rsidP="003B6599" w14:paraId="59FB8247" w14:textId="0E416D84">
      <w:pPr>
        <w:widowControl/>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r w:rsidRPr="00ED00CF">
        <w:rPr>
          <w:rFonts w:ascii="Times New Roman" w:hAnsi="Times New Roman"/>
          <w:sz w:val="20"/>
          <w:szCs w:val="20"/>
        </w:rPr>
        <w:t xml:space="preserve">Before </w:t>
      </w:r>
      <w:r w:rsidRPr="00ED00CF">
        <w:rPr>
          <w:rFonts w:ascii="Times New Roman" w:hAnsi="Times New Roman"/>
          <w:sz w:val="20"/>
          <w:szCs w:val="20"/>
        </w:rPr>
        <w:t>the BLM</w:t>
      </w:r>
      <w:r w:rsidRPr="00ED00CF">
        <w:rPr>
          <w:rFonts w:ascii="Times New Roman" w:hAnsi="Times New Roman"/>
          <w:sz w:val="20"/>
          <w:szCs w:val="20"/>
        </w:rPr>
        <w:t xml:space="preserve"> holds a </w:t>
      </w:r>
      <w:r w:rsidRPr="00ED00CF" w:rsidR="0060621A">
        <w:rPr>
          <w:rFonts w:ascii="Times New Roman" w:hAnsi="Times New Roman"/>
          <w:sz w:val="20"/>
          <w:szCs w:val="20"/>
        </w:rPr>
        <w:t xml:space="preserve">competitive </w:t>
      </w:r>
      <w:r w:rsidRPr="00ED00CF">
        <w:rPr>
          <w:rFonts w:ascii="Times New Roman" w:hAnsi="Times New Roman"/>
          <w:sz w:val="20"/>
          <w:szCs w:val="20"/>
        </w:rPr>
        <w:t xml:space="preserve">lease sale, it identifies eligible parcels in a </w:t>
      </w:r>
      <w:r w:rsidRPr="00ED00CF" w:rsidR="0060621A">
        <w:rPr>
          <w:rFonts w:ascii="Times New Roman" w:hAnsi="Times New Roman"/>
          <w:sz w:val="20"/>
          <w:szCs w:val="20"/>
        </w:rPr>
        <w:t xml:space="preserve">Notice of Competitive Oil and Gas Lease </w:t>
      </w:r>
      <w:r w:rsidRPr="00ED00CF">
        <w:rPr>
          <w:rFonts w:ascii="Times New Roman" w:hAnsi="Times New Roman"/>
          <w:sz w:val="20"/>
          <w:szCs w:val="20"/>
        </w:rPr>
        <w:t>Sale</w:t>
      </w:r>
      <w:r w:rsidRPr="00ED00CF" w:rsidR="0060621A">
        <w:rPr>
          <w:rFonts w:ascii="Times New Roman" w:hAnsi="Times New Roman"/>
          <w:sz w:val="20"/>
          <w:szCs w:val="20"/>
        </w:rPr>
        <w:t>.</w:t>
      </w:r>
      <w:r w:rsidRPr="00ED00CF" w:rsidR="00E954E6">
        <w:rPr>
          <w:rFonts w:ascii="Times New Roman" w:hAnsi="Times New Roman"/>
          <w:sz w:val="20"/>
          <w:szCs w:val="20"/>
        </w:rPr>
        <w:t xml:space="preserve"> </w:t>
      </w:r>
      <w:r w:rsidRPr="00ED00CF">
        <w:rPr>
          <w:rFonts w:ascii="Times New Roman" w:hAnsi="Times New Roman"/>
          <w:sz w:val="20"/>
          <w:szCs w:val="20"/>
        </w:rPr>
        <w:t xml:space="preserve">The notice </w:t>
      </w:r>
      <w:r w:rsidRPr="00ED00CF" w:rsidR="0060621A">
        <w:rPr>
          <w:rFonts w:ascii="Times New Roman" w:hAnsi="Times New Roman"/>
          <w:sz w:val="20"/>
          <w:szCs w:val="20"/>
        </w:rPr>
        <w:t xml:space="preserve">provides for </w:t>
      </w:r>
      <w:r w:rsidRPr="00ED00CF">
        <w:rPr>
          <w:rFonts w:ascii="Times New Roman" w:hAnsi="Times New Roman"/>
          <w:sz w:val="20"/>
          <w:szCs w:val="20"/>
        </w:rPr>
        <w:t xml:space="preserve">a public protest period </w:t>
      </w:r>
      <w:r w:rsidRPr="00ED00CF" w:rsidR="0060621A">
        <w:rPr>
          <w:rFonts w:ascii="Times New Roman" w:hAnsi="Times New Roman"/>
          <w:sz w:val="20"/>
          <w:szCs w:val="20"/>
        </w:rPr>
        <w:t xml:space="preserve">and instructions for challenging any BLM </w:t>
      </w:r>
      <w:r w:rsidRPr="00ED00CF" w:rsidR="0068727F">
        <w:rPr>
          <w:rFonts w:ascii="Times New Roman" w:hAnsi="Times New Roman"/>
          <w:sz w:val="20"/>
          <w:szCs w:val="20"/>
        </w:rPr>
        <w:t>notice</w:t>
      </w:r>
      <w:r w:rsidRPr="00ED00CF" w:rsidR="00996080">
        <w:rPr>
          <w:rFonts w:ascii="Times New Roman" w:hAnsi="Times New Roman"/>
          <w:sz w:val="20"/>
          <w:szCs w:val="20"/>
        </w:rPr>
        <w:t xml:space="preserve"> to offer</w:t>
      </w:r>
      <w:r w:rsidRPr="00ED00CF">
        <w:rPr>
          <w:rFonts w:ascii="Times New Roman" w:hAnsi="Times New Roman"/>
          <w:sz w:val="20"/>
          <w:szCs w:val="20"/>
        </w:rPr>
        <w:t xml:space="preserve"> certain lands</w:t>
      </w:r>
      <w:r w:rsidRPr="00ED00CF" w:rsidR="0060621A">
        <w:rPr>
          <w:rFonts w:ascii="Times New Roman" w:hAnsi="Times New Roman"/>
          <w:sz w:val="20"/>
          <w:szCs w:val="20"/>
        </w:rPr>
        <w:t>.</w:t>
      </w:r>
      <w:r w:rsidRPr="003B6599" w:rsidR="003B6599">
        <w:t xml:space="preserve"> </w:t>
      </w:r>
      <w:r w:rsidRPr="003B6599" w:rsidR="003B6599">
        <w:rPr>
          <w:rFonts w:ascii="Times New Roman" w:hAnsi="Times New Roman"/>
          <w:sz w:val="20"/>
          <w:szCs w:val="20"/>
        </w:rPr>
        <w:t>At least 45 calendar days prior to conducting a competitive auction, the BLM will make available to the public a list of lands to be offered for competitive lease sale in a Notice of Competitive Lease Sale. After posting the Notice of Competitive Lease Sale, the BLM will provide a protest period, of not less than 10 calendar days, for public input on the upcoming lease sale.</w:t>
      </w:r>
    </w:p>
    <w:p w:rsidR="0060621A" w:rsidRPr="00ED00CF" w:rsidP="00846FFA" w14:paraId="20C1D202" w14:textId="77777777">
      <w:pPr>
        <w:widowControl/>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p>
    <w:p w:rsidR="008335A4" w:rsidP="00846FFA" w14:paraId="46A26600" w14:textId="606474B7">
      <w:pPr>
        <w:widowControl/>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r>
        <w:rPr>
          <w:rFonts w:ascii="Times New Roman" w:hAnsi="Times New Roman"/>
          <w:sz w:val="20"/>
          <w:szCs w:val="20"/>
        </w:rPr>
        <w:t xml:space="preserve">A protest statement </w:t>
      </w:r>
      <w:r w:rsidRPr="00ED00CF" w:rsidR="00C0231D">
        <w:rPr>
          <w:rFonts w:ascii="Times New Roman" w:hAnsi="Times New Roman"/>
          <w:sz w:val="20"/>
          <w:szCs w:val="20"/>
        </w:rPr>
        <w:t>require</w:t>
      </w:r>
      <w:r w:rsidRPr="00ED00CF" w:rsidR="0068727F">
        <w:rPr>
          <w:rFonts w:ascii="Times New Roman" w:hAnsi="Times New Roman"/>
          <w:sz w:val="20"/>
          <w:szCs w:val="20"/>
        </w:rPr>
        <w:t>s</w:t>
      </w:r>
      <w:r w:rsidRPr="00ED00CF" w:rsidR="00C0231D">
        <w:rPr>
          <w:rFonts w:ascii="Times New Roman" w:hAnsi="Times New Roman"/>
          <w:sz w:val="20"/>
          <w:szCs w:val="20"/>
        </w:rPr>
        <w:t xml:space="preserve"> each protest to include a statement of reasons to support the protest.</w:t>
      </w:r>
      <w:r w:rsidRPr="00ED00CF" w:rsidR="00E954E6">
        <w:rPr>
          <w:rFonts w:ascii="Times New Roman" w:hAnsi="Times New Roman"/>
          <w:sz w:val="20"/>
          <w:szCs w:val="20"/>
        </w:rPr>
        <w:t xml:space="preserve"> </w:t>
      </w:r>
      <w:r w:rsidRPr="00ED00CF" w:rsidR="00C0231D">
        <w:rPr>
          <w:rFonts w:ascii="Times New Roman" w:hAnsi="Times New Roman"/>
          <w:sz w:val="20"/>
          <w:szCs w:val="20"/>
        </w:rPr>
        <w:t>It also require</w:t>
      </w:r>
      <w:r w:rsidRPr="00ED00CF" w:rsidR="0068727F">
        <w:rPr>
          <w:rFonts w:ascii="Times New Roman" w:hAnsi="Times New Roman"/>
          <w:sz w:val="20"/>
          <w:szCs w:val="20"/>
        </w:rPr>
        <w:t>s</w:t>
      </w:r>
      <w:r w:rsidRPr="00ED00CF" w:rsidR="00C0231D">
        <w:rPr>
          <w:rFonts w:ascii="Times New Roman" w:hAnsi="Times New Roman"/>
          <w:sz w:val="20"/>
          <w:szCs w:val="20"/>
        </w:rPr>
        <w:t xml:space="preserve"> that the protest state the interest of the protesting party, be signed, and reference the parcel number identified in the sale notice.</w:t>
      </w:r>
      <w:r w:rsidRPr="00ED00CF" w:rsidR="00E954E6">
        <w:rPr>
          <w:rFonts w:ascii="Times New Roman" w:hAnsi="Times New Roman"/>
          <w:sz w:val="20"/>
          <w:szCs w:val="20"/>
        </w:rPr>
        <w:t xml:space="preserve"> </w:t>
      </w:r>
      <w:r w:rsidRPr="00ED00CF" w:rsidR="00677D47">
        <w:rPr>
          <w:rFonts w:ascii="Times New Roman" w:hAnsi="Times New Roman"/>
          <w:sz w:val="20"/>
          <w:szCs w:val="20"/>
        </w:rPr>
        <w:t>P</w:t>
      </w:r>
      <w:r w:rsidRPr="00ED00CF" w:rsidR="00C0231D">
        <w:rPr>
          <w:rFonts w:ascii="Times New Roman" w:hAnsi="Times New Roman"/>
          <w:sz w:val="20"/>
          <w:szCs w:val="20"/>
        </w:rPr>
        <w:t>rotests may be filed by mail in hard</w:t>
      </w:r>
      <w:r w:rsidRPr="00ED00CF" w:rsidR="00677D47">
        <w:rPr>
          <w:rFonts w:ascii="Times New Roman" w:hAnsi="Times New Roman"/>
          <w:sz w:val="20"/>
          <w:szCs w:val="20"/>
        </w:rPr>
        <w:t xml:space="preserve"> </w:t>
      </w:r>
      <w:r w:rsidRPr="00ED00CF" w:rsidR="00C0231D">
        <w:rPr>
          <w:rFonts w:ascii="Times New Roman" w:hAnsi="Times New Roman"/>
          <w:sz w:val="20"/>
          <w:szCs w:val="20"/>
        </w:rPr>
        <w:t>copy form or by fax, but not by email.</w:t>
      </w:r>
    </w:p>
    <w:p w:rsidR="00877377" w:rsidP="00846FFA" w14:paraId="222C84C7" w14:textId="77777777">
      <w:pPr>
        <w:widowControl/>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p>
    <w:p w:rsidR="00877377" w:rsidRPr="00ED00CF" w:rsidP="73A9246C" w14:paraId="19930CF1" w14:textId="4B126896">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r>
        <w:rPr>
          <w:rFonts w:ascii="Times New Roman" w:hAnsi="Times New Roman"/>
          <w:sz w:val="20"/>
          <w:szCs w:val="20"/>
        </w:rPr>
        <w:t>The BLM</w:t>
      </w:r>
      <w:r>
        <w:rPr>
          <w:rFonts w:ascii="Times New Roman" w:hAnsi="Times New Roman"/>
          <w:sz w:val="20"/>
          <w:szCs w:val="20"/>
        </w:rPr>
        <w:t xml:space="preserve"> is proposing to move </w:t>
      </w:r>
      <w:r w:rsidR="005D2ECD">
        <w:rPr>
          <w:rFonts w:ascii="Times New Roman" w:hAnsi="Times New Roman"/>
          <w:sz w:val="20"/>
          <w:szCs w:val="20"/>
        </w:rPr>
        <w:t>Protests from 43 CFR 3120.13 (current regulation) to 43 CFR 3120.43</w:t>
      </w:r>
      <w:r w:rsidR="00832808">
        <w:rPr>
          <w:rFonts w:ascii="Times New Roman" w:hAnsi="Times New Roman"/>
          <w:sz w:val="20"/>
          <w:szCs w:val="20"/>
        </w:rPr>
        <w:t xml:space="preserve"> so that it follows the posting of the Notice of Competitive Lease Sale.</w:t>
      </w:r>
      <w:r w:rsidR="00DB4EC9">
        <w:rPr>
          <w:rFonts w:ascii="Times New Roman" w:hAnsi="Times New Roman"/>
          <w:sz w:val="20"/>
          <w:szCs w:val="20"/>
        </w:rPr>
        <w:t xml:space="preserve"> I</w:t>
      </w:r>
      <w:r w:rsidR="009A090A">
        <w:rPr>
          <w:rFonts w:ascii="Times New Roman" w:hAnsi="Times New Roman"/>
          <w:sz w:val="20"/>
          <w:szCs w:val="20"/>
        </w:rPr>
        <w:t>n</w:t>
      </w:r>
      <w:r w:rsidR="00DB4EC9">
        <w:rPr>
          <w:rFonts w:ascii="Times New Roman" w:hAnsi="Times New Roman"/>
          <w:sz w:val="20"/>
          <w:szCs w:val="20"/>
        </w:rPr>
        <w:t xml:space="preserve"> addition, </w:t>
      </w:r>
      <w:r w:rsidR="00DB4EC9">
        <w:rPr>
          <w:rFonts w:ascii="Times New Roman" w:hAnsi="Times New Roman"/>
          <w:sz w:val="20"/>
          <w:szCs w:val="20"/>
        </w:rPr>
        <w:t>the BLM</w:t>
      </w:r>
      <w:r w:rsidR="00DB4EC9">
        <w:rPr>
          <w:rFonts w:ascii="Times New Roman" w:hAnsi="Times New Roman"/>
          <w:sz w:val="20"/>
          <w:szCs w:val="20"/>
        </w:rPr>
        <w:t xml:space="preserve"> is proposing</w:t>
      </w:r>
      <w:r w:rsidR="00BF3F8C">
        <w:rPr>
          <w:rFonts w:ascii="Times New Roman" w:hAnsi="Times New Roman"/>
          <w:sz w:val="20"/>
          <w:szCs w:val="20"/>
        </w:rPr>
        <w:t xml:space="preserve"> a </w:t>
      </w:r>
      <w:r w:rsidR="009A090A">
        <w:rPr>
          <w:rFonts w:ascii="Times New Roman" w:hAnsi="Times New Roman"/>
          <w:sz w:val="20"/>
          <w:szCs w:val="20"/>
        </w:rPr>
        <w:t xml:space="preserve">new </w:t>
      </w:r>
      <w:r w:rsidR="00BF3F8C">
        <w:rPr>
          <w:rFonts w:ascii="Times New Roman" w:hAnsi="Times New Roman"/>
          <w:sz w:val="20"/>
          <w:szCs w:val="20"/>
        </w:rPr>
        <w:t xml:space="preserve">filing fee </w:t>
      </w:r>
      <w:r w:rsidRPr="73A9246C" w:rsidR="43AC4FB3">
        <w:rPr>
          <w:rFonts w:ascii="Times New Roman" w:hAnsi="Times New Roman"/>
          <w:sz w:val="20"/>
          <w:szCs w:val="20"/>
        </w:rPr>
        <w:t xml:space="preserve">of $1 per page </w:t>
      </w:r>
      <w:r w:rsidR="00BF3F8C">
        <w:rPr>
          <w:rFonts w:ascii="Times New Roman" w:hAnsi="Times New Roman"/>
          <w:sz w:val="20"/>
          <w:szCs w:val="20"/>
        </w:rPr>
        <w:t xml:space="preserve">for </w:t>
      </w:r>
      <w:r w:rsidR="009A090A">
        <w:rPr>
          <w:rFonts w:ascii="Times New Roman" w:hAnsi="Times New Roman"/>
          <w:sz w:val="20"/>
          <w:szCs w:val="20"/>
        </w:rPr>
        <w:t xml:space="preserve">filing </w:t>
      </w:r>
      <w:r w:rsidR="00BF3F8C">
        <w:rPr>
          <w:rFonts w:ascii="Times New Roman" w:hAnsi="Times New Roman"/>
          <w:sz w:val="20"/>
          <w:szCs w:val="20"/>
        </w:rPr>
        <w:t>protests</w:t>
      </w:r>
      <w:r w:rsidR="009A090A">
        <w:rPr>
          <w:rFonts w:ascii="Times New Roman" w:hAnsi="Times New Roman"/>
          <w:sz w:val="20"/>
          <w:szCs w:val="20"/>
        </w:rPr>
        <w:t xml:space="preserve"> over 50 pages</w:t>
      </w:r>
      <w:r w:rsidR="00C247BE">
        <w:rPr>
          <w:rFonts w:ascii="Times New Roman" w:hAnsi="Times New Roman"/>
          <w:sz w:val="20"/>
          <w:szCs w:val="20"/>
        </w:rPr>
        <w:t xml:space="preserve">, inclusive of exhibits. </w:t>
      </w:r>
    </w:p>
    <w:p w:rsidR="0072738E" w:rsidP="00D00F17" w14:paraId="27CDB815" w14:textId="77777777">
      <w:pPr>
        <w:pStyle w:val="Heading3"/>
        <w:rPr>
          <w:sz w:val="20"/>
          <w:szCs w:val="20"/>
        </w:rPr>
      </w:pPr>
    </w:p>
    <w:p w:rsidR="00F66A4F" w:rsidRPr="008735EC" w:rsidP="00D00F17" w14:paraId="4CE0A923" w14:textId="05BC6725">
      <w:pPr>
        <w:pStyle w:val="Heading3"/>
        <w:rPr>
          <w:sz w:val="20"/>
          <w:szCs w:val="20"/>
        </w:rPr>
      </w:pPr>
      <w:r w:rsidRPr="008735EC">
        <w:rPr>
          <w:sz w:val="20"/>
          <w:szCs w:val="20"/>
        </w:rPr>
        <w:t>43 CFR Subpart 3162 — Drainage</w:t>
      </w:r>
    </w:p>
    <w:p w:rsidR="00F66A4F" w:rsidRPr="008735EC" w:rsidP="001E60B6" w14:paraId="61C589D7"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0"/>
          <w:szCs w:val="20"/>
        </w:rPr>
      </w:pPr>
    </w:p>
    <w:p w:rsidR="00E92D1D" w:rsidRPr="008735EC" w:rsidP="00AE3AE4" w14:paraId="7245ED0C" w14:textId="74A58298">
      <w:pPr>
        <w:pStyle w:val="Heading4"/>
        <w:numPr>
          <w:ilvl w:val="0"/>
          <w:numId w:val="0"/>
        </w:numPr>
        <w:rPr>
          <w:sz w:val="20"/>
          <w:szCs w:val="20"/>
        </w:rPr>
      </w:pPr>
      <w:r w:rsidRPr="008735EC">
        <w:rPr>
          <w:sz w:val="20"/>
          <w:szCs w:val="20"/>
        </w:rPr>
        <w:t xml:space="preserve">43 CFR </w:t>
      </w:r>
      <w:r w:rsidRPr="008735EC" w:rsidR="00736D49">
        <w:rPr>
          <w:sz w:val="20"/>
          <w:szCs w:val="20"/>
        </w:rPr>
        <w:t>3162.2-9 — Drainage Protection Reports</w:t>
      </w:r>
      <w:r w:rsidRPr="008735EC" w:rsidR="006551BA">
        <w:rPr>
          <w:sz w:val="20"/>
          <w:szCs w:val="20"/>
        </w:rPr>
        <w:t>:</w:t>
      </w:r>
      <w:r w:rsidRPr="008735EC" w:rsidR="00684F24">
        <w:rPr>
          <w:sz w:val="20"/>
          <w:szCs w:val="20"/>
        </w:rPr>
        <w:t xml:space="preserve"> Preliminary, Detailed, and Additional</w:t>
      </w:r>
    </w:p>
    <w:p w:rsidR="00E92D1D" w:rsidRPr="00ED00CF" w:rsidP="00411F56" w14:paraId="7FA3CD6E" w14:textId="77777777">
      <w:pPr>
        <w:widowControl/>
        <w:rPr>
          <w:rFonts w:ascii="Times New Roman" w:hAnsi="Times New Roman"/>
          <w:sz w:val="20"/>
          <w:szCs w:val="20"/>
        </w:rPr>
      </w:pPr>
    </w:p>
    <w:p w:rsidR="00411F56" w:rsidRPr="00ED00CF" w:rsidP="00411F56" w14:paraId="4A0D00B4" w14:textId="741F886B">
      <w:pPr>
        <w:widowControl/>
        <w:rPr>
          <w:rFonts w:ascii="Times New Roman" w:hAnsi="Times New Roman"/>
          <w:sz w:val="20"/>
          <w:szCs w:val="20"/>
        </w:rPr>
      </w:pPr>
      <w:r w:rsidRPr="00ED00CF">
        <w:rPr>
          <w:rFonts w:ascii="Times New Roman" w:hAnsi="Times New Roman"/>
          <w:sz w:val="20"/>
          <w:szCs w:val="20"/>
        </w:rPr>
        <w:t xml:space="preserve">Drainage occurs when a well is drilled close enough to the boundary of an adjacent parcel </w:t>
      </w:r>
      <w:r w:rsidRPr="00ED00CF">
        <w:rPr>
          <w:rFonts w:ascii="Times New Roman" w:hAnsi="Times New Roman"/>
          <w:sz w:val="20"/>
          <w:szCs w:val="20"/>
        </w:rPr>
        <w:t>that</w:t>
      </w:r>
      <w:r w:rsidRPr="00ED00CF">
        <w:rPr>
          <w:rFonts w:ascii="Times New Roman" w:hAnsi="Times New Roman"/>
          <w:sz w:val="20"/>
          <w:szCs w:val="20"/>
        </w:rPr>
        <w:t xml:space="preserve"> oil or gas migrates from that parcel to the well.</w:t>
      </w:r>
      <w:r w:rsidRPr="00ED00CF" w:rsidR="00E954E6">
        <w:rPr>
          <w:rFonts w:ascii="Times New Roman" w:hAnsi="Times New Roman"/>
          <w:sz w:val="20"/>
          <w:szCs w:val="20"/>
        </w:rPr>
        <w:t xml:space="preserve"> </w:t>
      </w:r>
      <w:r w:rsidRPr="00ED00CF" w:rsidR="0098733B">
        <w:rPr>
          <w:rFonts w:ascii="Times New Roman" w:hAnsi="Times New Roman"/>
          <w:sz w:val="20"/>
          <w:szCs w:val="20"/>
        </w:rPr>
        <w:t>The information collect</w:t>
      </w:r>
      <w:r w:rsidRPr="00ED00CF" w:rsidR="00A84CAF">
        <w:rPr>
          <w:rFonts w:ascii="Times New Roman" w:hAnsi="Times New Roman"/>
          <w:sz w:val="20"/>
          <w:szCs w:val="20"/>
        </w:rPr>
        <w:t>ed from this section</w:t>
      </w:r>
      <w:r w:rsidRPr="00ED00CF" w:rsidR="0098733B">
        <w:rPr>
          <w:rFonts w:ascii="Times New Roman" w:hAnsi="Times New Roman"/>
          <w:sz w:val="20"/>
          <w:szCs w:val="20"/>
        </w:rPr>
        <w:t xml:space="preserve"> </w:t>
      </w:r>
      <w:r w:rsidRPr="00ED00CF" w:rsidR="00E010D1">
        <w:rPr>
          <w:rFonts w:ascii="Times New Roman" w:hAnsi="Times New Roman"/>
          <w:sz w:val="20"/>
          <w:szCs w:val="20"/>
        </w:rPr>
        <w:t>enable</w:t>
      </w:r>
      <w:r w:rsidRPr="00ED00CF" w:rsidR="00A84CAF">
        <w:rPr>
          <w:rFonts w:ascii="Times New Roman" w:hAnsi="Times New Roman"/>
          <w:sz w:val="20"/>
          <w:szCs w:val="20"/>
        </w:rPr>
        <w:t>s</w:t>
      </w:r>
      <w:r w:rsidRPr="00ED00CF">
        <w:rPr>
          <w:rFonts w:ascii="Times New Roman" w:hAnsi="Times New Roman"/>
          <w:sz w:val="20"/>
          <w:szCs w:val="20"/>
        </w:rPr>
        <w:t xml:space="preserve"> </w:t>
      </w:r>
      <w:r w:rsidRPr="00ED00CF">
        <w:rPr>
          <w:rFonts w:ascii="Times New Roman" w:hAnsi="Times New Roman"/>
          <w:sz w:val="20"/>
          <w:szCs w:val="20"/>
        </w:rPr>
        <w:t>the</w:t>
      </w:r>
      <w:r w:rsidRPr="00ED00CF" w:rsidR="0098733B">
        <w:rPr>
          <w:rFonts w:ascii="Times New Roman" w:hAnsi="Times New Roman"/>
          <w:sz w:val="20"/>
          <w:szCs w:val="20"/>
        </w:rPr>
        <w:t xml:space="preserve"> BLM</w:t>
      </w:r>
      <w:r w:rsidRPr="00ED00CF" w:rsidR="0098733B">
        <w:rPr>
          <w:rFonts w:ascii="Times New Roman" w:hAnsi="Times New Roman"/>
          <w:sz w:val="20"/>
          <w:szCs w:val="20"/>
        </w:rPr>
        <w:t xml:space="preserve"> </w:t>
      </w:r>
      <w:r w:rsidRPr="00ED00CF" w:rsidR="006551BA">
        <w:rPr>
          <w:rFonts w:ascii="Times New Roman" w:hAnsi="Times New Roman"/>
          <w:sz w:val="20"/>
          <w:szCs w:val="20"/>
        </w:rPr>
        <w:t>to meet</w:t>
      </w:r>
      <w:r w:rsidRPr="00ED00CF">
        <w:rPr>
          <w:rFonts w:ascii="Times New Roman" w:hAnsi="Times New Roman"/>
          <w:sz w:val="20"/>
          <w:szCs w:val="20"/>
        </w:rPr>
        <w:t xml:space="preserve"> its responsibility </w:t>
      </w:r>
      <w:r w:rsidRPr="00ED00CF" w:rsidR="006551BA">
        <w:rPr>
          <w:rFonts w:ascii="Times New Roman" w:hAnsi="Times New Roman"/>
          <w:sz w:val="20"/>
          <w:szCs w:val="20"/>
        </w:rPr>
        <w:t xml:space="preserve">for </w:t>
      </w:r>
      <w:r w:rsidRPr="00ED00CF" w:rsidR="002620A3">
        <w:rPr>
          <w:rFonts w:ascii="Times New Roman" w:hAnsi="Times New Roman"/>
          <w:sz w:val="20"/>
          <w:szCs w:val="20"/>
        </w:rPr>
        <w:t>prevent</w:t>
      </w:r>
      <w:r w:rsidRPr="00ED00CF" w:rsidR="006551BA">
        <w:rPr>
          <w:rFonts w:ascii="Times New Roman" w:hAnsi="Times New Roman"/>
          <w:sz w:val="20"/>
          <w:szCs w:val="20"/>
        </w:rPr>
        <w:t>ing</w:t>
      </w:r>
      <w:r w:rsidRPr="00ED00CF" w:rsidR="002620A3">
        <w:rPr>
          <w:rFonts w:ascii="Times New Roman" w:hAnsi="Times New Roman"/>
          <w:sz w:val="20"/>
          <w:szCs w:val="20"/>
        </w:rPr>
        <w:t xml:space="preserve"> </w:t>
      </w:r>
      <w:r w:rsidRPr="00ED00CF">
        <w:rPr>
          <w:rFonts w:ascii="Times New Roman" w:hAnsi="Times New Roman"/>
          <w:sz w:val="20"/>
          <w:szCs w:val="20"/>
        </w:rPr>
        <w:t xml:space="preserve">drainage that </w:t>
      </w:r>
      <w:r w:rsidRPr="00ED00CF" w:rsidR="0006506C">
        <w:rPr>
          <w:rFonts w:ascii="Times New Roman" w:hAnsi="Times New Roman"/>
          <w:sz w:val="20"/>
          <w:szCs w:val="20"/>
        </w:rPr>
        <w:t>c</w:t>
      </w:r>
      <w:r w:rsidRPr="00ED00CF">
        <w:rPr>
          <w:rFonts w:ascii="Times New Roman" w:hAnsi="Times New Roman"/>
          <w:sz w:val="20"/>
          <w:szCs w:val="20"/>
        </w:rPr>
        <w:t xml:space="preserve">ould result in reduced </w:t>
      </w:r>
      <w:r w:rsidRPr="00ED00CF">
        <w:rPr>
          <w:rFonts w:ascii="Times New Roman" w:hAnsi="Times New Roman"/>
          <w:sz w:val="20"/>
          <w:szCs w:val="20"/>
        </w:rPr>
        <w:t>royalties</w:t>
      </w:r>
      <w:r w:rsidRPr="00ED00CF">
        <w:rPr>
          <w:rFonts w:ascii="Times New Roman" w:hAnsi="Times New Roman"/>
          <w:sz w:val="20"/>
          <w:szCs w:val="20"/>
        </w:rPr>
        <w:t xml:space="preserve"> for </w:t>
      </w:r>
      <w:r w:rsidRPr="00ED00CF" w:rsidR="0098733B">
        <w:rPr>
          <w:rFonts w:ascii="Times New Roman" w:hAnsi="Times New Roman"/>
          <w:sz w:val="20"/>
          <w:szCs w:val="20"/>
        </w:rPr>
        <w:t>their oil and gas resources.</w:t>
      </w:r>
    </w:p>
    <w:p w:rsidR="00411F56" w:rsidRPr="00ED00CF" w:rsidP="00411F56" w14:paraId="6FE0CA16" w14:textId="77777777">
      <w:pPr>
        <w:widowControl/>
        <w:rPr>
          <w:rFonts w:ascii="Times New Roman" w:hAnsi="Times New Roman"/>
          <w:sz w:val="20"/>
          <w:szCs w:val="20"/>
        </w:rPr>
      </w:pPr>
    </w:p>
    <w:p w:rsidR="00D14DAF" w:rsidRPr="00ED00CF" w:rsidP="007677FD" w14:paraId="1DB59FE3" w14:textId="36D4630C">
      <w:pPr>
        <w:widowControl/>
        <w:rPr>
          <w:rFonts w:ascii="Times New Roman" w:hAnsi="Times New Roman"/>
          <w:sz w:val="20"/>
          <w:szCs w:val="20"/>
        </w:rPr>
      </w:pPr>
      <w:r w:rsidRPr="00ED00CF">
        <w:rPr>
          <w:rFonts w:ascii="Times New Roman" w:hAnsi="Times New Roman"/>
          <w:sz w:val="20"/>
          <w:szCs w:val="20"/>
        </w:rPr>
        <w:t>While t</w:t>
      </w:r>
      <w:r w:rsidRPr="00ED00CF" w:rsidR="000E5E30">
        <w:rPr>
          <w:rFonts w:ascii="Times New Roman" w:hAnsi="Times New Roman"/>
          <w:sz w:val="20"/>
          <w:szCs w:val="20"/>
        </w:rPr>
        <w:t xml:space="preserve">he lessee has the primary responsibility to </w:t>
      </w:r>
      <w:r w:rsidRPr="00ED00CF" w:rsidR="0006506C">
        <w:rPr>
          <w:rFonts w:ascii="Times New Roman" w:hAnsi="Times New Roman"/>
          <w:sz w:val="20"/>
          <w:szCs w:val="20"/>
        </w:rPr>
        <w:t xml:space="preserve">protect </w:t>
      </w:r>
      <w:r w:rsidRPr="00ED00CF" w:rsidR="00A84CAF">
        <w:rPr>
          <w:rFonts w:ascii="Times New Roman" w:hAnsi="Times New Roman"/>
          <w:sz w:val="20"/>
          <w:szCs w:val="20"/>
        </w:rPr>
        <w:t xml:space="preserve">the lease </w:t>
      </w:r>
      <w:r w:rsidRPr="00ED00CF" w:rsidR="000E5E30">
        <w:rPr>
          <w:rFonts w:ascii="Times New Roman" w:hAnsi="Times New Roman"/>
          <w:sz w:val="20"/>
          <w:szCs w:val="20"/>
        </w:rPr>
        <w:t>from drainage</w:t>
      </w:r>
      <w:r w:rsidRPr="00ED00CF">
        <w:rPr>
          <w:rFonts w:ascii="Times New Roman" w:hAnsi="Times New Roman"/>
          <w:sz w:val="20"/>
          <w:szCs w:val="20"/>
        </w:rPr>
        <w:t>, t</w:t>
      </w:r>
      <w:r w:rsidRPr="00ED00CF" w:rsidR="001C1051">
        <w:rPr>
          <w:rFonts w:ascii="Times New Roman" w:hAnsi="Times New Roman"/>
          <w:sz w:val="20"/>
          <w:szCs w:val="20"/>
        </w:rPr>
        <w:t>he BLM routinely monitors</w:t>
      </w:r>
      <w:r w:rsidRPr="00ED00CF" w:rsidR="0006506C">
        <w:rPr>
          <w:rFonts w:ascii="Times New Roman" w:hAnsi="Times New Roman"/>
          <w:sz w:val="20"/>
          <w:szCs w:val="20"/>
        </w:rPr>
        <w:t xml:space="preserve"> drilling activities to determine whether </w:t>
      </w:r>
      <w:r w:rsidRPr="00ED00CF" w:rsidR="00EA72D3">
        <w:rPr>
          <w:rFonts w:ascii="Times New Roman" w:hAnsi="Times New Roman"/>
          <w:sz w:val="20"/>
          <w:szCs w:val="20"/>
        </w:rPr>
        <w:t xml:space="preserve">appropriate </w:t>
      </w:r>
      <w:r w:rsidRPr="00ED00CF" w:rsidR="0006506C">
        <w:rPr>
          <w:rFonts w:ascii="Times New Roman" w:hAnsi="Times New Roman"/>
          <w:sz w:val="20"/>
          <w:szCs w:val="20"/>
        </w:rPr>
        <w:t xml:space="preserve">steps </w:t>
      </w:r>
      <w:r w:rsidRPr="00ED00CF" w:rsidR="00EA72D3">
        <w:rPr>
          <w:rFonts w:ascii="Times New Roman" w:hAnsi="Times New Roman"/>
          <w:sz w:val="20"/>
          <w:szCs w:val="20"/>
        </w:rPr>
        <w:t xml:space="preserve">are </w:t>
      </w:r>
      <w:r w:rsidRPr="00ED00CF" w:rsidR="001C1051">
        <w:rPr>
          <w:rFonts w:ascii="Times New Roman" w:hAnsi="Times New Roman"/>
          <w:sz w:val="20"/>
          <w:szCs w:val="20"/>
        </w:rPr>
        <w:t>ensur</w:t>
      </w:r>
      <w:r w:rsidRPr="00ED00CF" w:rsidR="006551BA">
        <w:rPr>
          <w:rFonts w:ascii="Times New Roman" w:hAnsi="Times New Roman"/>
          <w:sz w:val="20"/>
          <w:szCs w:val="20"/>
        </w:rPr>
        <w:t>ing</w:t>
      </w:r>
      <w:r w:rsidRPr="00ED00CF" w:rsidR="001C1051">
        <w:rPr>
          <w:rFonts w:ascii="Times New Roman" w:hAnsi="Times New Roman"/>
          <w:sz w:val="20"/>
          <w:szCs w:val="20"/>
        </w:rPr>
        <w:t xml:space="preserve"> that</w:t>
      </w:r>
      <w:r w:rsidRPr="00ED00CF" w:rsidR="0006506C">
        <w:rPr>
          <w:rFonts w:ascii="Times New Roman" w:hAnsi="Times New Roman"/>
          <w:sz w:val="20"/>
          <w:szCs w:val="20"/>
        </w:rPr>
        <w:t xml:space="preserve"> Federal </w:t>
      </w:r>
      <w:r w:rsidRPr="00ED00CF" w:rsidR="00EA72D3">
        <w:rPr>
          <w:rFonts w:ascii="Times New Roman" w:hAnsi="Times New Roman"/>
          <w:sz w:val="20"/>
          <w:szCs w:val="20"/>
        </w:rPr>
        <w:t xml:space="preserve">and Indian </w:t>
      </w:r>
      <w:r w:rsidRPr="00ED00CF" w:rsidR="0006506C">
        <w:rPr>
          <w:rFonts w:ascii="Times New Roman" w:hAnsi="Times New Roman"/>
          <w:sz w:val="20"/>
          <w:szCs w:val="20"/>
        </w:rPr>
        <w:t xml:space="preserve">leases are not </w:t>
      </w:r>
      <w:r w:rsidRPr="00ED00CF" w:rsidR="00EA72D3">
        <w:rPr>
          <w:rFonts w:ascii="Times New Roman" w:hAnsi="Times New Roman"/>
          <w:sz w:val="20"/>
          <w:szCs w:val="20"/>
        </w:rPr>
        <w:t xml:space="preserve">being </w:t>
      </w:r>
      <w:r w:rsidRPr="00ED00CF" w:rsidR="0006506C">
        <w:rPr>
          <w:rFonts w:ascii="Times New Roman" w:hAnsi="Times New Roman"/>
          <w:sz w:val="20"/>
          <w:szCs w:val="20"/>
        </w:rPr>
        <w:t>drained.</w:t>
      </w:r>
      <w:r w:rsidRPr="00ED00CF" w:rsidR="00E954E6">
        <w:rPr>
          <w:rFonts w:ascii="Times New Roman" w:hAnsi="Times New Roman"/>
          <w:sz w:val="20"/>
          <w:szCs w:val="20"/>
        </w:rPr>
        <w:t xml:space="preserve"> </w:t>
      </w:r>
      <w:r w:rsidRPr="00ED00CF" w:rsidR="00564934">
        <w:rPr>
          <w:rFonts w:ascii="Times New Roman" w:hAnsi="Times New Roman"/>
          <w:sz w:val="20"/>
          <w:szCs w:val="20"/>
        </w:rPr>
        <w:t>T</w:t>
      </w:r>
      <w:r w:rsidRPr="00ED00CF" w:rsidR="008F12D7">
        <w:rPr>
          <w:rFonts w:ascii="Times New Roman" w:hAnsi="Times New Roman"/>
          <w:sz w:val="20"/>
          <w:szCs w:val="20"/>
        </w:rPr>
        <w:t>he BLM conducts an administrative revie</w:t>
      </w:r>
      <w:r w:rsidRPr="00ED00CF" w:rsidR="00066B4E">
        <w:rPr>
          <w:rFonts w:ascii="Times New Roman" w:hAnsi="Times New Roman"/>
          <w:sz w:val="20"/>
          <w:szCs w:val="20"/>
        </w:rPr>
        <w:t xml:space="preserve">w of </w:t>
      </w:r>
      <w:r w:rsidRPr="00ED00CF" w:rsidR="001C1051">
        <w:rPr>
          <w:rFonts w:ascii="Times New Roman" w:hAnsi="Times New Roman"/>
          <w:sz w:val="20"/>
          <w:szCs w:val="20"/>
        </w:rPr>
        <w:t>l</w:t>
      </w:r>
      <w:r w:rsidRPr="00ED00CF" w:rsidR="00A51072">
        <w:rPr>
          <w:rFonts w:ascii="Times New Roman" w:hAnsi="Times New Roman"/>
          <w:sz w:val="20"/>
          <w:szCs w:val="20"/>
        </w:rPr>
        <w:t>eases each year</w:t>
      </w:r>
      <w:r w:rsidRPr="00ED00CF" w:rsidR="00564934">
        <w:rPr>
          <w:rFonts w:ascii="Times New Roman" w:hAnsi="Times New Roman"/>
          <w:sz w:val="20"/>
          <w:szCs w:val="20"/>
        </w:rPr>
        <w:t xml:space="preserve"> to identify drainage situations</w:t>
      </w:r>
      <w:r w:rsidRPr="00ED00CF" w:rsidR="00E954E6">
        <w:rPr>
          <w:rFonts w:ascii="Times New Roman" w:hAnsi="Times New Roman"/>
          <w:sz w:val="20"/>
          <w:szCs w:val="20"/>
        </w:rPr>
        <w:t xml:space="preserve"> </w:t>
      </w:r>
      <w:r w:rsidRPr="00ED00CF" w:rsidR="006551BA">
        <w:rPr>
          <w:rFonts w:ascii="Times New Roman" w:hAnsi="Times New Roman"/>
          <w:sz w:val="20"/>
          <w:szCs w:val="20"/>
        </w:rPr>
        <w:t>and then</w:t>
      </w:r>
      <w:r w:rsidRPr="00ED00CF" w:rsidR="00A446C1">
        <w:rPr>
          <w:rFonts w:ascii="Times New Roman" w:hAnsi="Times New Roman"/>
          <w:sz w:val="20"/>
          <w:szCs w:val="20"/>
        </w:rPr>
        <w:t xml:space="preserve"> sends the affected lessees</w:t>
      </w:r>
      <w:r w:rsidRPr="00ED00CF" w:rsidR="001C1051">
        <w:rPr>
          <w:rFonts w:ascii="Times New Roman" w:hAnsi="Times New Roman"/>
          <w:sz w:val="20"/>
          <w:szCs w:val="20"/>
        </w:rPr>
        <w:t>/operating rights owners</w:t>
      </w:r>
      <w:r w:rsidRPr="00ED00CF" w:rsidR="00A446C1">
        <w:rPr>
          <w:rFonts w:ascii="Times New Roman" w:hAnsi="Times New Roman"/>
          <w:sz w:val="20"/>
          <w:szCs w:val="20"/>
        </w:rPr>
        <w:t xml:space="preserve"> an initial contact letter</w:t>
      </w:r>
      <w:r w:rsidRPr="00ED00CF" w:rsidR="006551BA">
        <w:rPr>
          <w:rFonts w:ascii="Times New Roman" w:hAnsi="Times New Roman"/>
          <w:sz w:val="20"/>
          <w:szCs w:val="20"/>
        </w:rPr>
        <w:t>. I</w:t>
      </w:r>
      <w:r w:rsidRPr="00ED00CF" w:rsidR="00A446C1">
        <w:rPr>
          <w:rFonts w:ascii="Times New Roman" w:hAnsi="Times New Roman"/>
          <w:sz w:val="20"/>
          <w:szCs w:val="20"/>
        </w:rPr>
        <w:t>n response, the</w:t>
      </w:r>
      <w:r w:rsidRPr="00ED00CF" w:rsidR="00090CE7">
        <w:rPr>
          <w:rFonts w:ascii="Times New Roman" w:hAnsi="Times New Roman"/>
          <w:sz w:val="20"/>
          <w:szCs w:val="20"/>
        </w:rPr>
        <w:t xml:space="preserve"> lessee(s)</w:t>
      </w:r>
      <w:r w:rsidRPr="00ED00CF" w:rsidR="00A446C1">
        <w:rPr>
          <w:rFonts w:ascii="Times New Roman" w:hAnsi="Times New Roman"/>
          <w:sz w:val="20"/>
          <w:szCs w:val="20"/>
        </w:rPr>
        <w:t xml:space="preserve"> are required to submit a detailed drainage protection report</w:t>
      </w:r>
      <w:r w:rsidRPr="00ED00CF" w:rsidR="001C1051">
        <w:rPr>
          <w:rFonts w:ascii="Times New Roman" w:hAnsi="Times New Roman"/>
          <w:sz w:val="20"/>
          <w:szCs w:val="20"/>
        </w:rPr>
        <w:t>.</w:t>
      </w:r>
      <w:r w:rsidRPr="00ED00CF" w:rsidR="00E954E6">
        <w:rPr>
          <w:rFonts w:ascii="Times New Roman" w:hAnsi="Times New Roman"/>
          <w:sz w:val="20"/>
          <w:szCs w:val="20"/>
        </w:rPr>
        <w:t xml:space="preserve"> </w:t>
      </w:r>
      <w:r w:rsidRPr="00ED00CF" w:rsidR="001C1051">
        <w:rPr>
          <w:rFonts w:ascii="Times New Roman" w:hAnsi="Times New Roman"/>
          <w:sz w:val="20"/>
          <w:szCs w:val="20"/>
        </w:rPr>
        <w:t>The content of the report varies</w:t>
      </w:r>
      <w:r w:rsidRPr="00ED00CF" w:rsidR="006551BA">
        <w:rPr>
          <w:rFonts w:ascii="Times New Roman" w:hAnsi="Times New Roman"/>
          <w:sz w:val="20"/>
          <w:szCs w:val="20"/>
        </w:rPr>
        <w:t>,</w:t>
      </w:r>
      <w:r w:rsidRPr="00ED00CF" w:rsidR="001C1051">
        <w:rPr>
          <w:rFonts w:ascii="Times New Roman" w:hAnsi="Times New Roman"/>
          <w:sz w:val="20"/>
          <w:szCs w:val="20"/>
        </w:rPr>
        <w:t xml:space="preserve"> depending on the circumstances.</w:t>
      </w:r>
      <w:r w:rsidRPr="00ED00CF" w:rsidR="00E954E6">
        <w:rPr>
          <w:rFonts w:ascii="Times New Roman" w:hAnsi="Times New Roman"/>
          <w:sz w:val="20"/>
          <w:szCs w:val="20"/>
        </w:rPr>
        <w:t xml:space="preserve"> </w:t>
      </w:r>
      <w:r w:rsidRPr="00ED00CF" w:rsidR="001C1051">
        <w:rPr>
          <w:rFonts w:ascii="Times New Roman" w:hAnsi="Times New Roman"/>
          <w:sz w:val="20"/>
          <w:szCs w:val="20"/>
        </w:rPr>
        <w:t>The usual response indicates that a review of each drainage situation has been completed</w:t>
      </w:r>
      <w:r w:rsidRPr="00ED00CF">
        <w:rPr>
          <w:rFonts w:ascii="Times New Roman" w:hAnsi="Times New Roman"/>
          <w:sz w:val="20"/>
          <w:szCs w:val="20"/>
        </w:rPr>
        <w:t xml:space="preserve">, and action is </w:t>
      </w:r>
      <w:r w:rsidRPr="00ED00CF" w:rsidR="006551BA">
        <w:rPr>
          <w:rFonts w:ascii="Times New Roman" w:hAnsi="Times New Roman"/>
          <w:sz w:val="20"/>
          <w:szCs w:val="20"/>
        </w:rPr>
        <w:t>underway to</w:t>
      </w:r>
      <w:r w:rsidRPr="00ED00CF">
        <w:rPr>
          <w:rFonts w:ascii="Times New Roman" w:hAnsi="Times New Roman"/>
          <w:sz w:val="20"/>
          <w:szCs w:val="20"/>
        </w:rPr>
        <w:t xml:space="preserve"> sufficiently protect the BLM-administered lease from drainage.</w:t>
      </w:r>
    </w:p>
    <w:p w:rsidR="00D14DAF" w:rsidRPr="00ED00CF" w:rsidP="001C1051" w14:paraId="5BC37E89" w14:textId="77777777">
      <w:pPr>
        <w:tabs>
          <w:tab w:val="left" w:pos="-1080"/>
          <w:tab w:val="left" w:pos="-720"/>
          <w:tab w:val="left" w:pos="0"/>
          <w:tab w:val="left" w:pos="360"/>
          <w:tab w:val="left" w:pos="720"/>
          <w:tab w:val="left" w:pos="117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p>
    <w:p w:rsidR="002A4310" w:rsidRPr="00ED00CF" w:rsidP="002A4310" w14:paraId="75DA3B03" w14:textId="475D808E">
      <w:pPr>
        <w:tabs>
          <w:tab w:val="left" w:pos="-1080"/>
          <w:tab w:val="left" w:pos="-720"/>
          <w:tab w:val="left" w:pos="0"/>
          <w:tab w:val="left" w:pos="360"/>
          <w:tab w:val="left" w:pos="720"/>
          <w:tab w:val="left" w:pos="117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r w:rsidRPr="00ED00CF">
        <w:rPr>
          <w:rFonts w:ascii="Times New Roman" w:hAnsi="Times New Roman"/>
          <w:sz w:val="20"/>
          <w:szCs w:val="20"/>
        </w:rPr>
        <w:t>T</w:t>
      </w:r>
      <w:r w:rsidRPr="00ED00CF" w:rsidR="00D14DAF">
        <w:rPr>
          <w:rFonts w:ascii="Times New Roman" w:hAnsi="Times New Roman"/>
          <w:sz w:val="20"/>
          <w:szCs w:val="20"/>
        </w:rPr>
        <w:t xml:space="preserve">he BLM </w:t>
      </w:r>
      <w:r w:rsidRPr="00ED00CF">
        <w:rPr>
          <w:rFonts w:ascii="Times New Roman" w:hAnsi="Times New Roman"/>
          <w:sz w:val="20"/>
          <w:szCs w:val="20"/>
        </w:rPr>
        <w:t xml:space="preserve">may </w:t>
      </w:r>
      <w:r w:rsidRPr="00ED00CF" w:rsidR="00D14DAF">
        <w:rPr>
          <w:rFonts w:ascii="Times New Roman" w:hAnsi="Times New Roman"/>
          <w:sz w:val="20"/>
          <w:szCs w:val="20"/>
        </w:rPr>
        <w:t xml:space="preserve">send a demand letter that requires an additional drainage protection report </w:t>
      </w:r>
      <w:r w:rsidRPr="00ED00CF" w:rsidR="001263E6">
        <w:rPr>
          <w:rFonts w:ascii="Times New Roman" w:hAnsi="Times New Roman"/>
          <w:sz w:val="20"/>
          <w:szCs w:val="20"/>
        </w:rPr>
        <w:t>from lessees</w:t>
      </w:r>
      <w:r w:rsidRPr="00ED00CF" w:rsidR="00D14DAF">
        <w:rPr>
          <w:rFonts w:ascii="Times New Roman" w:hAnsi="Times New Roman"/>
          <w:sz w:val="20"/>
          <w:szCs w:val="20"/>
        </w:rPr>
        <w:t>/operating rights owners.</w:t>
      </w:r>
      <w:r w:rsidRPr="00ED00CF" w:rsidR="00E954E6">
        <w:rPr>
          <w:rFonts w:ascii="Times New Roman" w:hAnsi="Times New Roman"/>
          <w:sz w:val="20"/>
          <w:szCs w:val="20"/>
        </w:rPr>
        <w:t xml:space="preserve"> </w:t>
      </w:r>
      <w:r w:rsidRPr="00ED00CF" w:rsidR="001A196E">
        <w:rPr>
          <w:rFonts w:ascii="Times New Roman" w:hAnsi="Times New Roman"/>
          <w:sz w:val="20"/>
          <w:szCs w:val="20"/>
        </w:rPr>
        <w:t xml:space="preserve">Demand letters are sent when the BLM believes that lessees and operating rights owners did not gather sufficient data to determine whether drainage is occurring or has not </w:t>
      </w:r>
      <w:r w:rsidRPr="00ED00CF" w:rsidR="001A196E">
        <w:rPr>
          <w:rFonts w:ascii="Times New Roman" w:hAnsi="Times New Roman"/>
          <w:sz w:val="20"/>
          <w:szCs w:val="20"/>
        </w:rPr>
        <w:t>occurred, or</w:t>
      </w:r>
      <w:r w:rsidRPr="00ED00CF" w:rsidR="001A196E">
        <w:rPr>
          <w:rFonts w:ascii="Times New Roman" w:hAnsi="Times New Roman"/>
          <w:sz w:val="20"/>
          <w:szCs w:val="20"/>
        </w:rPr>
        <w:t xml:space="preserve"> did not analyze the data properly to determine that a protective well would be uneconomic</w:t>
      </w:r>
      <w:r w:rsidRPr="00ED00CF" w:rsidR="006551BA">
        <w:rPr>
          <w:rFonts w:ascii="Times New Roman" w:hAnsi="Times New Roman"/>
          <w:sz w:val="20"/>
          <w:szCs w:val="20"/>
        </w:rPr>
        <w:t>al</w:t>
      </w:r>
      <w:r w:rsidRPr="00ED00CF" w:rsidR="001A196E">
        <w:rPr>
          <w:rFonts w:ascii="Times New Roman" w:hAnsi="Times New Roman"/>
          <w:sz w:val="20"/>
          <w:szCs w:val="20"/>
        </w:rPr>
        <w:t>. In t</w:t>
      </w:r>
      <w:r w:rsidRPr="00ED00CF" w:rsidR="00A446C1">
        <w:rPr>
          <w:rFonts w:ascii="Times New Roman" w:hAnsi="Times New Roman"/>
          <w:sz w:val="20"/>
          <w:szCs w:val="20"/>
        </w:rPr>
        <w:t>he response</w:t>
      </w:r>
      <w:r w:rsidRPr="00ED00CF" w:rsidR="001A196E">
        <w:rPr>
          <w:rFonts w:ascii="Times New Roman" w:hAnsi="Times New Roman"/>
          <w:sz w:val="20"/>
          <w:szCs w:val="20"/>
        </w:rPr>
        <w:t xml:space="preserve">, </w:t>
      </w:r>
      <w:r w:rsidRPr="00ED00CF" w:rsidR="005A64CD">
        <w:rPr>
          <w:rFonts w:ascii="Times New Roman" w:hAnsi="Times New Roman"/>
          <w:sz w:val="20"/>
          <w:szCs w:val="20"/>
        </w:rPr>
        <w:t xml:space="preserve">the </w:t>
      </w:r>
      <w:r w:rsidRPr="00ED00CF" w:rsidR="00A446C1">
        <w:rPr>
          <w:rFonts w:ascii="Times New Roman" w:hAnsi="Times New Roman"/>
          <w:sz w:val="20"/>
          <w:szCs w:val="20"/>
        </w:rPr>
        <w:t>lessee or operating rights owner notif</w:t>
      </w:r>
      <w:r w:rsidRPr="00ED00CF" w:rsidR="005A64CD">
        <w:rPr>
          <w:rFonts w:ascii="Times New Roman" w:hAnsi="Times New Roman"/>
          <w:sz w:val="20"/>
          <w:szCs w:val="20"/>
        </w:rPr>
        <w:t>ies</w:t>
      </w:r>
      <w:r w:rsidRPr="00ED00CF" w:rsidR="00A446C1">
        <w:rPr>
          <w:rFonts w:ascii="Times New Roman" w:hAnsi="Times New Roman"/>
          <w:sz w:val="20"/>
          <w:szCs w:val="20"/>
        </w:rPr>
        <w:t xml:space="preserve"> </w:t>
      </w:r>
      <w:r w:rsidRPr="00ED00CF" w:rsidR="005A64CD">
        <w:rPr>
          <w:rFonts w:ascii="Times New Roman" w:hAnsi="Times New Roman"/>
          <w:sz w:val="20"/>
          <w:szCs w:val="20"/>
        </w:rPr>
        <w:t xml:space="preserve">the </w:t>
      </w:r>
      <w:r w:rsidRPr="00ED00CF" w:rsidR="00A446C1">
        <w:rPr>
          <w:rFonts w:ascii="Times New Roman" w:hAnsi="Times New Roman"/>
          <w:sz w:val="20"/>
          <w:szCs w:val="20"/>
        </w:rPr>
        <w:t>BLM of plans for drainage protection and analysis</w:t>
      </w:r>
      <w:r w:rsidRPr="00ED00CF" w:rsidR="005A64CD">
        <w:rPr>
          <w:rFonts w:ascii="Times New Roman" w:hAnsi="Times New Roman"/>
          <w:sz w:val="20"/>
          <w:szCs w:val="20"/>
        </w:rPr>
        <w:t xml:space="preserve"> and</w:t>
      </w:r>
      <w:r w:rsidRPr="00ED00CF" w:rsidR="00A446C1">
        <w:rPr>
          <w:rFonts w:ascii="Times New Roman" w:hAnsi="Times New Roman"/>
          <w:sz w:val="20"/>
          <w:szCs w:val="20"/>
        </w:rPr>
        <w:t xml:space="preserve">, if requested by </w:t>
      </w:r>
      <w:r w:rsidRPr="00ED00CF" w:rsidR="00965109">
        <w:rPr>
          <w:rFonts w:ascii="Times New Roman" w:hAnsi="Times New Roman"/>
          <w:sz w:val="20"/>
          <w:szCs w:val="20"/>
        </w:rPr>
        <w:t>the BLM</w:t>
      </w:r>
      <w:r w:rsidRPr="00ED00CF" w:rsidR="00A446C1">
        <w:rPr>
          <w:rFonts w:ascii="Times New Roman" w:hAnsi="Times New Roman"/>
          <w:sz w:val="20"/>
          <w:szCs w:val="20"/>
        </w:rPr>
        <w:t xml:space="preserve">, </w:t>
      </w:r>
      <w:r w:rsidRPr="00ED00CF" w:rsidR="005A64CD">
        <w:rPr>
          <w:rFonts w:ascii="Times New Roman" w:hAnsi="Times New Roman"/>
          <w:sz w:val="20"/>
          <w:szCs w:val="20"/>
        </w:rPr>
        <w:t xml:space="preserve">discloses </w:t>
      </w:r>
      <w:r w:rsidRPr="00ED00CF" w:rsidR="00A446C1">
        <w:rPr>
          <w:rFonts w:ascii="Times New Roman" w:hAnsi="Times New Roman"/>
          <w:sz w:val="20"/>
          <w:szCs w:val="20"/>
        </w:rPr>
        <w:t>the drainage area of the ultimate recovery of the offending well, the amount of oil and gas resources drained from the lease, and whether a protective well would be economic</w:t>
      </w:r>
      <w:r w:rsidRPr="00ED00CF" w:rsidR="006551BA">
        <w:rPr>
          <w:rFonts w:ascii="Times New Roman" w:hAnsi="Times New Roman"/>
          <w:sz w:val="20"/>
          <w:szCs w:val="20"/>
        </w:rPr>
        <w:t>al</w:t>
      </w:r>
      <w:r w:rsidRPr="00ED00CF" w:rsidR="00A446C1">
        <w:rPr>
          <w:rFonts w:ascii="Times New Roman" w:hAnsi="Times New Roman"/>
          <w:sz w:val="20"/>
          <w:szCs w:val="20"/>
        </w:rPr>
        <w:t xml:space="preserve"> to drill.</w:t>
      </w:r>
    </w:p>
    <w:p w:rsidR="002A4310" w:rsidRPr="00ED00CF" w:rsidP="002A4310" w14:paraId="5016DBD9" w14:textId="77777777">
      <w:pPr>
        <w:tabs>
          <w:tab w:val="left" w:pos="-1080"/>
          <w:tab w:val="left" w:pos="-720"/>
          <w:tab w:val="left" w:pos="0"/>
          <w:tab w:val="left" w:pos="360"/>
          <w:tab w:val="left" w:pos="720"/>
          <w:tab w:val="left" w:pos="117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p>
    <w:p w:rsidR="003949F0" w:rsidRPr="00ED00CF" w:rsidP="005B091C" w14:paraId="17FCF41E" w14:textId="7980CA8E">
      <w:pPr>
        <w:pStyle w:val="Heading2"/>
        <w:rPr>
          <w:sz w:val="20"/>
          <w:szCs w:val="20"/>
        </w:rPr>
      </w:pPr>
      <w:r w:rsidRPr="00ED00CF">
        <w:rPr>
          <w:sz w:val="20"/>
          <w:szCs w:val="20"/>
        </w:rPr>
        <w:t>3.</w:t>
      </w:r>
      <w:r w:rsidRPr="00ED00CF">
        <w:rPr>
          <w:sz w:val="20"/>
          <w:szCs w:val="20"/>
        </w:rPr>
        <w:tab/>
        <w:t>D</w:t>
      </w:r>
      <w:r w:rsidRPr="00ED00CF" w:rsidR="008B7FF9">
        <w:rPr>
          <w:sz w:val="20"/>
          <w:szCs w:val="20"/>
        </w:rPr>
        <w:t xml:space="preserve">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w:t>
      </w:r>
      <w:r w:rsidRPr="00ED00CF" w:rsidR="008B7FF9">
        <w:rPr>
          <w:sz w:val="20"/>
          <w:szCs w:val="20"/>
        </w:rPr>
        <w:t>for adopting</w:t>
      </w:r>
      <w:r w:rsidRPr="00ED00CF" w:rsidR="008B7FF9">
        <w:rPr>
          <w:sz w:val="20"/>
          <w:szCs w:val="20"/>
        </w:rPr>
        <w:t xml:space="preserve"> this means of collection.</w:t>
      </w:r>
      <w:r w:rsidRPr="00ED00CF" w:rsidR="00E954E6">
        <w:rPr>
          <w:sz w:val="20"/>
          <w:szCs w:val="20"/>
        </w:rPr>
        <w:t xml:space="preserve"> </w:t>
      </w:r>
      <w:r w:rsidRPr="00ED00CF" w:rsidR="008B7FF9">
        <w:rPr>
          <w:sz w:val="20"/>
          <w:szCs w:val="20"/>
        </w:rPr>
        <w:t xml:space="preserve">Also describe any consideration of using information technology to reduce burden and specifically how this collection meets </w:t>
      </w:r>
      <w:r w:rsidRPr="00ED00CF" w:rsidR="008B7FF9">
        <w:rPr>
          <w:sz w:val="20"/>
          <w:szCs w:val="20"/>
        </w:rPr>
        <w:t>GPEA</w:t>
      </w:r>
      <w:r w:rsidRPr="00ED00CF" w:rsidR="008B7FF9">
        <w:rPr>
          <w:sz w:val="20"/>
          <w:szCs w:val="20"/>
        </w:rPr>
        <w:t xml:space="preserve"> requirements.</w:t>
      </w:r>
    </w:p>
    <w:p w:rsidR="003949F0" w:rsidRPr="00ED00CF" w:rsidP="002A4310" w14:paraId="5E2DE608" w14:textId="77777777">
      <w:pPr>
        <w:tabs>
          <w:tab w:val="left" w:pos="-1080"/>
          <w:tab w:val="left" w:pos="-720"/>
          <w:tab w:val="left" w:pos="0"/>
          <w:tab w:val="left" w:pos="360"/>
          <w:tab w:val="left" w:pos="720"/>
          <w:tab w:val="left" w:pos="117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p>
    <w:p w:rsidR="004B515B" w:rsidRPr="00ED00CF" w:rsidP="73A9246C" w14:paraId="21DEB785" w14:textId="24B2F83E">
      <w:pPr>
        <w:tabs>
          <w:tab w:val="left" w:pos="360"/>
          <w:tab w:val="left" w:pos="720"/>
          <w:tab w:val="left" w:pos="117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r w:rsidRPr="00ED00CF">
        <w:rPr>
          <w:rFonts w:ascii="Times New Roman" w:hAnsi="Times New Roman"/>
          <w:sz w:val="20"/>
          <w:szCs w:val="20"/>
        </w:rPr>
        <w:t>Forms 3000-3 and 3000-</w:t>
      </w:r>
      <w:r w:rsidRPr="00ED00CF">
        <w:rPr>
          <w:rFonts w:ascii="Times New Roman" w:hAnsi="Times New Roman"/>
          <w:sz w:val="20"/>
          <w:szCs w:val="20"/>
        </w:rPr>
        <w:t>3a</w:t>
      </w:r>
      <w:r w:rsidRPr="00ED00CF" w:rsidR="006D06F1">
        <w:rPr>
          <w:rFonts w:ascii="Times New Roman" w:hAnsi="Times New Roman"/>
          <w:sz w:val="20"/>
          <w:szCs w:val="20"/>
        </w:rPr>
        <w:t>,</w:t>
      </w:r>
      <w:r w:rsidRPr="00ED00CF">
        <w:rPr>
          <w:rFonts w:ascii="Times New Roman" w:hAnsi="Times New Roman"/>
          <w:sz w:val="20"/>
          <w:szCs w:val="20"/>
        </w:rPr>
        <w:t xml:space="preserve"> </w:t>
      </w:r>
      <w:r w:rsidRPr="00ED00CF" w:rsidR="006D06F1">
        <w:rPr>
          <w:rFonts w:ascii="Times New Roman" w:hAnsi="Times New Roman"/>
          <w:sz w:val="20"/>
          <w:szCs w:val="20"/>
        </w:rPr>
        <w:t xml:space="preserve">which are approved by </w:t>
      </w:r>
      <w:r w:rsidRPr="00ED00CF" w:rsidR="006551BA">
        <w:rPr>
          <w:rFonts w:ascii="Times New Roman" w:hAnsi="Times New Roman"/>
          <w:sz w:val="20"/>
          <w:szCs w:val="20"/>
        </w:rPr>
        <w:t xml:space="preserve">the </w:t>
      </w:r>
      <w:r w:rsidRPr="00ED00CF" w:rsidR="006D06F1">
        <w:rPr>
          <w:rFonts w:ascii="Times New Roman" w:hAnsi="Times New Roman"/>
          <w:sz w:val="20"/>
          <w:szCs w:val="20"/>
        </w:rPr>
        <w:t xml:space="preserve">OMB under Control Number 1004-0034, </w:t>
      </w:r>
      <w:r w:rsidRPr="00ED00CF">
        <w:rPr>
          <w:rFonts w:ascii="Times New Roman" w:hAnsi="Times New Roman"/>
          <w:sz w:val="20"/>
          <w:szCs w:val="20"/>
        </w:rPr>
        <w:t>are electronically available to the public in fillable and printable format at:</w:t>
      </w:r>
      <w:r w:rsidRPr="00ED00CF" w:rsidR="00E954E6">
        <w:rPr>
          <w:rFonts w:ascii="Times New Roman" w:hAnsi="Times New Roman"/>
          <w:sz w:val="20"/>
          <w:szCs w:val="20"/>
        </w:rPr>
        <w:t xml:space="preserve"> </w:t>
      </w:r>
      <w:r w:rsidRPr="00ED00CF">
        <w:rPr>
          <w:rFonts w:ascii="Times New Roman" w:hAnsi="Times New Roman"/>
          <w:sz w:val="20"/>
          <w:szCs w:val="20"/>
        </w:rPr>
        <w:t>https://www.blm.gov/services/electronic-forms.</w:t>
      </w:r>
      <w:r w:rsidRPr="00ED00CF" w:rsidR="00145C01">
        <w:rPr>
          <w:rFonts w:ascii="Times New Roman" w:hAnsi="Times New Roman"/>
          <w:sz w:val="20"/>
          <w:szCs w:val="20"/>
        </w:rPr>
        <w:t xml:space="preserve"> </w:t>
      </w:r>
      <w:r w:rsidRPr="00ED00CF" w:rsidR="00841415">
        <w:rPr>
          <w:rFonts w:ascii="Times New Roman" w:hAnsi="Times New Roman"/>
          <w:sz w:val="20"/>
          <w:szCs w:val="20"/>
        </w:rPr>
        <w:t>Regarding i</w:t>
      </w:r>
      <w:r w:rsidRPr="00ED00CF" w:rsidR="00E56902">
        <w:rPr>
          <w:rFonts w:ascii="Times New Roman" w:hAnsi="Times New Roman"/>
          <w:sz w:val="20"/>
          <w:szCs w:val="20"/>
        </w:rPr>
        <w:t>nformation that does not require a specific form</w:t>
      </w:r>
      <w:r w:rsidRPr="00ED00CF" w:rsidR="00841415">
        <w:rPr>
          <w:rFonts w:ascii="Times New Roman" w:hAnsi="Times New Roman"/>
          <w:sz w:val="20"/>
          <w:szCs w:val="20"/>
        </w:rPr>
        <w:t xml:space="preserve">, respondents </w:t>
      </w:r>
      <w:r w:rsidRPr="00ED00CF" w:rsidR="008146AA">
        <w:rPr>
          <w:rFonts w:ascii="Times New Roman" w:hAnsi="Times New Roman"/>
          <w:sz w:val="20"/>
          <w:szCs w:val="20"/>
        </w:rPr>
        <w:t xml:space="preserve">may </w:t>
      </w:r>
      <w:r w:rsidRPr="00ED00CF" w:rsidR="00145C01">
        <w:rPr>
          <w:rFonts w:ascii="Times New Roman" w:hAnsi="Times New Roman"/>
          <w:sz w:val="20"/>
          <w:szCs w:val="20"/>
        </w:rPr>
        <w:t>compile the required non</w:t>
      </w:r>
      <w:r w:rsidR="001C43A0">
        <w:rPr>
          <w:rFonts w:ascii="Times New Roman" w:hAnsi="Times New Roman"/>
          <w:sz w:val="20"/>
          <w:szCs w:val="20"/>
        </w:rPr>
        <w:t>-</w:t>
      </w:r>
      <w:r w:rsidRPr="00ED00CF" w:rsidR="00145C01">
        <w:rPr>
          <w:rFonts w:ascii="Times New Roman" w:hAnsi="Times New Roman"/>
          <w:sz w:val="20"/>
          <w:szCs w:val="20"/>
        </w:rPr>
        <w:t xml:space="preserve">form data </w:t>
      </w:r>
      <w:r w:rsidRPr="00ED00CF" w:rsidR="008146AA">
        <w:rPr>
          <w:rFonts w:ascii="Times New Roman" w:hAnsi="Times New Roman"/>
          <w:sz w:val="20"/>
          <w:szCs w:val="20"/>
        </w:rPr>
        <w:t xml:space="preserve">and may choose </w:t>
      </w:r>
      <w:r w:rsidRPr="00ED00CF" w:rsidR="00145C01">
        <w:rPr>
          <w:rFonts w:ascii="Times New Roman" w:hAnsi="Times New Roman"/>
          <w:sz w:val="20"/>
          <w:szCs w:val="20"/>
        </w:rPr>
        <w:t xml:space="preserve">to submit the information </w:t>
      </w:r>
      <w:r w:rsidRPr="73A9246C" w:rsidR="008146AA">
        <w:rPr>
          <w:rFonts w:ascii="Times New Roman" w:hAnsi="Times New Roman"/>
          <w:sz w:val="20"/>
          <w:szCs w:val="20"/>
        </w:rPr>
        <w:t xml:space="preserve">to the appropriate </w:t>
      </w:r>
      <w:r w:rsidRPr="73A9246C" w:rsidR="00A852D1">
        <w:rPr>
          <w:rFonts w:ascii="Times New Roman" w:hAnsi="Times New Roman"/>
          <w:sz w:val="20"/>
          <w:szCs w:val="20"/>
        </w:rPr>
        <w:t>BLM</w:t>
      </w:r>
      <w:r w:rsidRPr="73A9246C" w:rsidR="008146AA">
        <w:rPr>
          <w:rFonts w:ascii="Times New Roman" w:hAnsi="Times New Roman"/>
          <w:sz w:val="20"/>
          <w:szCs w:val="20"/>
        </w:rPr>
        <w:t xml:space="preserve"> office.</w:t>
      </w:r>
      <w:r w:rsidRPr="73A9246C" w:rsidR="00E954E6">
        <w:rPr>
          <w:rFonts w:ascii="Times New Roman" w:hAnsi="Times New Roman"/>
          <w:sz w:val="20"/>
          <w:szCs w:val="20"/>
        </w:rPr>
        <w:t xml:space="preserve"> </w:t>
      </w:r>
      <w:r w:rsidRPr="73A9246C" w:rsidR="009D169C">
        <w:rPr>
          <w:rFonts w:ascii="Times New Roman" w:hAnsi="Times New Roman"/>
          <w:sz w:val="20"/>
          <w:szCs w:val="20"/>
        </w:rPr>
        <w:t>V</w:t>
      </w:r>
      <w:r w:rsidRPr="73A9246C" w:rsidR="00706C6C">
        <w:rPr>
          <w:rFonts w:ascii="Times New Roman" w:hAnsi="Times New Roman"/>
          <w:sz w:val="20"/>
          <w:szCs w:val="20"/>
        </w:rPr>
        <w:t>irtually</w:t>
      </w:r>
      <w:r w:rsidRPr="00ED00CF" w:rsidR="00706C6C">
        <w:rPr>
          <w:rFonts w:ascii="Times New Roman" w:hAnsi="Times New Roman"/>
          <w:sz w:val="20"/>
          <w:szCs w:val="20"/>
        </w:rPr>
        <w:t xml:space="preserve"> all respondents prepare </w:t>
      </w:r>
      <w:r w:rsidRPr="00ED00CF" w:rsidR="0077310A">
        <w:rPr>
          <w:rFonts w:ascii="Times New Roman" w:hAnsi="Times New Roman"/>
          <w:sz w:val="20"/>
          <w:szCs w:val="20"/>
        </w:rPr>
        <w:t>petitions, requests, applications, etc., in letter form on official company letterhead</w:t>
      </w:r>
      <w:r w:rsidRPr="00ED00CF" w:rsidR="00706C6C">
        <w:rPr>
          <w:rFonts w:ascii="Times New Roman" w:hAnsi="Times New Roman"/>
          <w:sz w:val="20"/>
          <w:szCs w:val="20"/>
        </w:rPr>
        <w:t>,</w:t>
      </w:r>
      <w:r w:rsidRPr="00ED00CF" w:rsidR="0077310A">
        <w:rPr>
          <w:rFonts w:ascii="Times New Roman" w:hAnsi="Times New Roman"/>
          <w:sz w:val="20"/>
          <w:szCs w:val="20"/>
        </w:rPr>
        <w:t xml:space="preserve"> and </w:t>
      </w:r>
      <w:r w:rsidRPr="00ED00CF" w:rsidR="006551BA">
        <w:rPr>
          <w:rFonts w:ascii="Times New Roman" w:hAnsi="Times New Roman"/>
          <w:sz w:val="20"/>
          <w:szCs w:val="20"/>
        </w:rPr>
        <w:t>submit</w:t>
      </w:r>
      <w:r w:rsidRPr="00ED00CF" w:rsidR="0077310A">
        <w:rPr>
          <w:rFonts w:ascii="Times New Roman" w:hAnsi="Times New Roman"/>
          <w:sz w:val="20"/>
          <w:szCs w:val="20"/>
        </w:rPr>
        <w:t xml:space="preserve"> </w:t>
      </w:r>
      <w:r w:rsidRPr="00ED00CF" w:rsidR="00706C6C">
        <w:rPr>
          <w:rFonts w:ascii="Times New Roman" w:hAnsi="Times New Roman"/>
          <w:sz w:val="20"/>
          <w:szCs w:val="20"/>
        </w:rPr>
        <w:t xml:space="preserve">them </w:t>
      </w:r>
      <w:r w:rsidRPr="00ED00CF" w:rsidR="0077310A">
        <w:rPr>
          <w:rFonts w:ascii="Times New Roman" w:hAnsi="Times New Roman"/>
          <w:sz w:val="20"/>
          <w:szCs w:val="20"/>
        </w:rPr>
        <w:t>by regular mail</w:t>
      </w:r>
      <w:r w:rsidRPr="00ED00CF" w:rsidR="006551BA">
        <w:rPr>
          <w:rFonts w:ascii="Times New Roman" w:hAnsi="Times New Roman"/>
          <w:sz w:val="20"/>
          <w:szCs w:val="20"/>
        </w:rPr>
        <w:t>. T</w:t>
      </w:r>
      <w:r w:rsidRPr="00ED00CF" w:rsidR="0077310A">
        <w:rPr>
          <w:rFonts w:ascii="Times New Roman" w:hAnsi="Times New Roman"/>
          <w:sz w:val="20"/>
          <w:szCs w:val="20"/>
        </w:rPr>
        <w:t xml:space="preserve">his facilitates </w:t>
      </w:r>
      <w:r w:rsidRPr="00ED00CF" w:rsidR="006551BA">
        <w:rPr>
          <w:rFonts w:ascii="Times New Roman" w:hAnsi="Times New Roman"/>
          <w:sz w:val="20"/>
          <w:szCs w:val="20"/>
        </w:rPr>
        <w:t xml:space="preserve">the </w:t>
      </w:r>
      <w:r w:rsidRPr="00ED00CF" w:rsidR="0077310A">
        <w:rPr>
          <w:rFonts w:ascii="Times New Roman" w:hAnsi="Times New Roman"/>
          <w:sz w:val="20"/>
          <w:szCs w:val="20"/>
        </w:rPr>
        <w:t>BLM</w:t>
      </w:r>
      <w:r w:rsidRPr="00ED00CF" w:rsidR="00E35708">
        <w:rPr>
          <w:rFonts w:ascii="Times New Roman" w:hAnsi="Times New Roman"/>
          <w:sz w:val="20"/>
          <w:szCs w:val="20"/>
        </w:rPr>
        <w:t>’s</w:t>
      </w:r>
      <w:r w:rsidRPr="00ED00CF" w:rsidR="0077310A">
        <w:rPr>
          <w:rFonts w:ascii="Times New Roman" w:hAnsi="Times New Roman"/>
          <w:sz w:val="20"/>
          <w:szCs w:val="20"/>
        </w:rPr>
        <w:t xml:space="preserve"> review </w:t>
      </w:r>
      <w:r w:rsidRPr="00ED00CF" w:rsidR="003949F0">
        <w:rPr>
          <w:rFonts w:ascii="Times New Roman" w:hAnsi="Times New Roman"/>
          <w:sz w:val="20"/>
          <w:szCs w:val="20"/>
        </w:rPr>
        <w:t>and collection of fees</w:t>
      </w:r>
      <w:r w:rsidRPr="73A9246C" w:rsidR="003949F0">
        <w:rPr>
          <w:rFonts w:ascii="Times New Roman" w:hAnsi="Times New Roman"/>
          <w:sz w:val="20"/>
          <w:szCs w:val="20"/>
        </w:rPr>
        <w:t>.</w:t>
      </w:r>
      <w:r w:rsidRPr="00ED00CF" w:rsidR="00E954E6">
        <w:rPr>
          <w:rFonts w:ascii="Times New Roman" w:hAnsi="Times New Roman"/>
          <w:sz w:val="20"/>
          <w:szCs w:val="20"/>
        </w:rPr>
        <w:t xml:space="preserve"> </w:t>
      </w:r>
      <w:r w:rsidRPr="00ED00CF" w:rsidR="0077310A">
        <w:rPr>
          <w:rFonts w:ascii="Times New Roman" w:hAnsi="Times New Roman"/>
          <w:sz w:val="20"/>
          <w:szCs w:val="20"/>
        </w:rPr>
        <w:t>Also, d</w:t>
      </w:r>
      <w:r w:rsidRPr="00ED00CF" w:rsidR="00055136">
        <w:rPr>
          <w:rFonts w:ascii="Times New Roman" w:hAnsi="Times New Roman"/>
          <w:sz w:val="20"/>
          <w:szCs w:val="20"/>
        </w:rPr>
        <w:t>rainage determination information</w:t>
      </w:r>
      <w:r w:rsidRPr="00ED00CF" w:rsidR="00FB7CCC">
        <w:rPr>
          <w:rFonts w:ascii="Times New Roman" w:hAnsi="Times New Roman"/>
          <w:sz w:val="20"/>
          <w:szCs w:val="20"/>
        </w:rPr>
        <w:t xml:space="preserve"> correspondence</w:t>
      </w:r>
      <w:r w:rsidRPr="00ED00CF" w:rsidR="00055136">
        <w:rPr>
          <w:rFonts w:ascii="Times New Roman" w:hAnsi="Times New Roman"/>
          <w:sz w:val="20"/>
          <w:szCs w:val="20"/>
        </w:rPr>
        <w:t xml:space="preserve"> </w:t>
      </w:r>
      <w:r w:rsidRPr="00ED00CF" w:rsidR="00FB7CCC">
        <w:rPr>
          <w:rFonts w:ascii="Times New Roman" w:hAnsi="Times New Roman"/>
          <w:sz w:val="20"/>
          <w:szCs w:val="20"/>
        </w:rPr>
        <w:t>has</w:t>
      </w:r>
      <w:r w:rsidRPr="00ED00CF" w:rsidR="00055136">
        <w:rPr>
          <w:rFonts w:ascii="Times New Roman" w:hAnsi="Times New Roman"/>
          <w:sz w:val="20"/>
          <w:szCs w:val="20"/>
        </w:rPr>
        <w:t xml:space="preserve"> no official</w:t>
      </w:r>
      <w:r w:rsidRPr="00ED00CF" w:rsidR="00FB7CCC">
        <w:rPr>
          <w:rFonts w:ascii="Times New Roman" w:hAnsi="Times New Roman"/>
          <w:sz w:val="20"/>
          <w:szCs w:val="20"/>
        </w:rPr>
        <w:t xml:space="preserve"> or legal standing</w:t>
      </w:r>
      <w:r w:rsidRPr="00ED00CF" w:rsidR="00055136">
        <w:rPr>
          <w:rFonts w:ascii="Times New Roman" w:hAnsi="Times New Roman"/>
          <w:sz w:val="20"/>
          <w:szCs w:val="20"/>
        </w:rPr>
        <w:t xml:space="preserve"> unless it </w:t>
      </w:r>
      <w:r w:rsidRPr="00ED00CF" w:rsidR="00FB7CCC">
        <w:rPr>
          <w:rFonts w:ascii="Times New Roman" w:hAnsi="Times New Roman"/>
          <w:sz w:val="20"/>
          <w:szCs w:val="20"/>
        </w:rPr>
        <w:t xml:space="preserve">is transmitted by mail or </w:t>
      </w:r>
      <w:r w:rsidRPr="00ED00CF" w:rsidR="00F24D80">
        <w:rPr>
          <w:rFonts w:ascii="Times New Roman" w:hAnsi="Times New Roman"/>
          <w:sz w:val="20"/>
          <w:szCs w:val="20"/>
        </w:rPr>
        <w:t>certified</w:t>
      </w:r>
      <w:r w:rsidRPr="00ED00CF" w:rsidR="00055136">
        <w:rPr>
          <w:rFonts w:ascii="Times New Roman" w:hAnsi="Times New Roman"/>
          <w:sz w:val="20"/>
          <w:szCs w:val="20"/>
        </w:rPr>
        <w:t xml:space="preserve"> mail.</w:t>
      </w:r>
    </w:p>
    <w:p w:rsidR="002A4310" w:rsidRPr="00ED00CF" w:rsidP="009271B8" w14:paraId="78333165" w14:textId="77777777">
      <w:pPr>
        <w:tabs>
          <w:tab w:val="left" w:pos="360"/>
          <w:tab w:val="left" w:pos="1296"/>
          <w:tab w:val="left" w:pos="2016"/>
        </w:tabs>
        <w:rPr>
          <w:rFonts w:ascii="Times New Roman" w:hAnsi="Times New Roman"/>
          <w:sz w:val="20"/>
          <w:szCs w:val="20"/>
        </w:rPr>
      </w:pPr>
    </w:p>
    <w:p w:rsidR="000754BE" w:rsidRPr="00ED00CF" w:rsidP="000017EE" w14:paraId="5EFAE5DA" w14:textId="7C58C73F">
      <w:pPr>
        <w:pStyle w:val="Heading2"/>
        <w:rPr>
          <w:sz w:val="20"/>
          <w:szCs w:val="20"/>
        </w:rPr>
      </w:pPr>
      <w:r w:rsidRPr="00ED00CF">
        <w:rPr>
          <w:sz w:val="20"/>
          <w:szCs w:val="20"/>
        </w:rPr>
        <w:t>4.</w:t>
      </w:r>
      <w:r>
        <w:tab/>
      </w:r>
      <w:r w:rsidRPr="00ED00CF">
        <w:rPr>
          <w:sz w:val="20"/>
          <w:szCs w:val="20"/>
        </w:rPr>
        <w:t>Describe efforts to identify duplication.</w:t>
      </w:r>
      <w:r w:rsidRPr="00ED00CF" w:rsidR="00E954E6">
        <w:rPr>
          <w:sz w:val="20"/>
          <w:szCs w:val="20"/>
        </w:rPr>
        <w:t xml:space="preserve"> </w:t>
      </w:r>
      <w:r w:rsidRPr="00ED00CF">
        <w:rPr>
          <w:sz w:val="20"/>
          <w:szCs w:val="20"/>
        </w:rPr>
        <w:t>Show specifically why any similar information already available cannot be used or modified for use for the purposes described in Item 2 above.</w:t>
      </w:r>
    </w:p>
    <w:p w:rsidR="006434BA" w:rsidRPr="00ED00CF" w:rsidP="009B7150" w14:paraId="5A50C74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sz w:val="20"/>
          <w:szCs w:val="20"/>
        </w:rPr>
      </w:pPr>
    </w:p>
    <w:p w:rsidR="0072738E" w:rsidP="73A9246C" w14:paraId="704FFAE5" w14:textId="7A4DA055">
      <w:pPr>
        <w:tabs>
          <w:tab w:val="left" w:pos="548"/>
          <w:tab w:val="left" w:pos="1028"/>
          <w:tab w:val="left" w:pos="1549"/>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sidRPr="00ED00CF">
        <w:rPr>
          <w:rFonts w:ascii="Times New Roman" w:hAnsi="Times New Roman"/>
          <w:sz w:val="20"/>
          <w:szCs w:val="20"/>
        </w:rPr>
        <w:t xml:space="preserve">No duplication of information occurs on the information </w:t>
      </w:r>
      <w:r w:rsidRPr="00ED00CF" w:rsidR="00E42525">
        <w:rPr>
          <w:rFonts w:ascii="Times New Roman" w:hAnsi="Times New Roman"/>
          <w:sz w:val="20"/>
          <w:szCs w:val="20"/>
        </w:rPr>
        <w:t xml:space="preserve">the BLM </w:t>
      </w:r>
      <w:r w:rsidRPr="00ED00CF">
        <w:rPr>
          <w:rFonts w:ascii="Times New Roman" w:hAnsi="Times New Roman"/>
          <w:sz w:val="20"/>
          <w:szCs w:val="20"/>
        </w:rPr>
        <w:t>collect</w:t>
      </w:r>
      <w:r w:rsidRPr="00ED00CF" w:rsidR="00E42525">
        <w:rPr>
          <w:rFonts w:ascii="Times New Roman" w:hAnsi="Times New Roman"/>
          <w:sz w:val="20"/>
          <w:szCs w:val="20"/>
        </w:rPr>
        <w:t>s</w:t>
      </w:r>
      <w:r w:rsidRPr="00ED00CF">
        <w:rPr>
          <w:rFonts w:ascii="Times New Roman" w:hAnsi="Times New Roman"/>
          <w:sz w:val="20"/>
          <w:szCs w:val="20"/>
        </w:rPr>
        <w:t>. The requested information is nonrecurring, occasional, and unique to each applicant/operator and to each specific oil and gas activity</w:t>
      </w:r>
      <w:r w:rsidRPr="00ED00CF" w:rsidR="00E42525">
        <w:rPr>
          <w:rFonts w:ascii="Times New Roman" w:hAnsi="Times New Roman"/>
          <w:sz w:val="20"/>
          <w:szCs w:val="20"/>
        </w:rPr>
        <w:t>,</w:t>
      </w:r>
      <w:r w:rsidRPr="00ED00CF">
        <w:rPr>
          <w:rFonts w:ascii="Times New Roman" w:hAnsi="Times New Roman"/>
          <w:sz w:val="20"/>
          <w:szCs w:val="20"/>
        </w:rPr>
        <w:t xml:space="preserve"> and </w:t>
      </w:r>
      <w:r w:rsidRPr="00ED00CF" w:rsidR="00E42525">
        <w:rPr>
          <w:rFonts w:ascii="Times New Roman" w:hAnsi="Times New Roman"/>
          <w:sz w:val="20"/>
          <w:szCs w:val="20"/>
        </w:rPr>
        <w:t xml:space="preserve">it </w:t>
      </w:r>
      <w:r w:rsidRPr="00ED00CF">
        <w:rPr>
          <w:rFonts w:ascii="Times New Roman" w:hAnsi="Times New Roman"/>
          <w:sz w:val="20"/>
          <w:szCs w:val="20"/>
        </w:rPr>
        <w:t>is not available from any other data source.</w:t>
      </w:r>
      <w:r w:rsidRPr="00ED00CF" w:rsidR="00E954E6">
        <w:rPr>
          <w:rFonts w:ascii="Times New Roman" w:hAnsi="Times New Roman"/>
          <w:sz w:val="20"/>
          <w:szCs w:val="20"/>
        </w:rPr>
        <w:t xml:space="preserve"> </w:t>
      </w:r>
      <w:r w:rsidRPr="00ED00CF">
        <w:rPr>
          <w:rFonts w:ascii="Times New Roman" w:hAnsi="Times New Roman"/>
          <w:sz w:val="20"/>
          <w:szCs w:val="20"/>
        </w:rPr>
        <w:t xml:space="preserve">No </w:t>
      </w:r>
      <w:r w:rsidRPr="00ED00CF" w:rsidR="00302C19">
        <w:rPr>
          <w:rFonts w:ascii="Times New Roman" w:hAnsi="Times New Roman"/>
          <w:sz w:val="20"/>
          <w:szCs w:val="20"/>
        </w:rPr>
        <w:t>similar information is available or able to be modified.</w:t>
      </w:r>
      <w:r w:rsidRPr="00ED00CF" w:rsidR="00E954E6">
        <w:rPr>
          <w:rFonts w:ascii="Times New Roman" w:hAnsi="Times New Roman"/>
          <w:sz w:val="20"/>
          <w:szCs w:val="20"/>
        </w:rPr>
        <w:t xml:space="preserve"> </w:t>
      </w:r>
      <w:r w:rsidR="00AC40F5">
        <w:rPr>
          <w:rFonts w:ascii="Times New Roman" w:hAnsi="Times New Roman"/>
          <w:sz w:val="20"/>
          <w:szCs w:val="20"/>
        </w:rPr>
        <w:t>Responden</w:t>
      </w:r>
      <w:r w:rsidR="00762E58">
        <w:rPr>
          <w:rFonts w:ascii="Times New Roman" w:hAnsi="Times New Roman"/>
          <w:sz w:val="20"/>
          <w:szCs w:val="20"/>
        </w:rPr>
        <w:t xml:space="preserve">ts supply </w:t>
      </w:r>
      <w:r w:rsidRPr="73A9246C" w:rsidR="00762E58">
        <w:rPr>
          <w:rFonts w:ascii="Times New Roman" w:hAnsi="Times New Roman"/>
          <w:sz w:val="20"/>
          <w:szCs w:val="20"/>
        </w:rPr>
        <w:t>t</w:t>
      </w:r>
      <w:r w:rsidRPr="73A9246C" w:rsidR="00302C19">
        <w:rPr>
          <w:rFonts w:ascii="Times New Roman" w:hAnsi="Times New Roman"/>
          <w:sz w:val="20"/>
          <w:szCs w:val="20"/>
        </w:rPr>
        <w:t>he</w:t>
      </w:r>
      <w:r w:rsidRPr="00ED00CF" w:rsidR="00302C19">
        <w:rPr>
          <w:rFonts w:ascii="Times New Roman" w:hAnsi="Times New Roman"/>
          <w:sz w:val="20"/>
          <w:szCs w:val="20"/>
        </w:rPr>
        <w:t xml:space="preserve"> </w:t>
      </w:r>
      <w:r w:rsidRPr="00ED00CF" w:rsidR="00302C19">
        <w:rPr>
          <w:rFonts w:ascii="Times New Roman" w:hAnsi="Times New Roman"/>
          <w:sz w:val="20"/>
          <w:szCs w:val="20"/>
        </w:rPr>
        <w:t>information</w:t>
      </w:r>
      <w:r w:rsidRPr="00ED00CF">
        <w:rPr>
          <w:rFonts w:ascii="Times New Roman" w:hAnsi="Times New Roman"/>
          <w:sz w:val="20"/>
          <w:szCs w:val="20"/>
        </w:rPr>
        <w:t>, wh</w:t>
      </w:r>
      <w:r w:rsidRPr="00ED00CF" w:rsidR="00BE0374">
        <w:rPr>
          <w:rFonts w:ascii="Times New Roman" w:hAnsi="Times New Roman"/>
          <w:sz w:val="20"/>
          <w:szCs w:val="20"/>
        </w:rPr>
        <w:t>ich</w:t>
      </w:r>
      <w:r w:rsidRPr="00ED00CF" w:rsidR="00BE0374">
        <w:rPr>
          <w:rFonts w:ascii="Times New Roman" w:hAnsi="Times New Roman"/>
          <w:sz w:val="20"/>
          <w:szCs w:val="20"/>
        </w:rPr>
        <w:t xml:space="preserve"> are entities conducting </w:t>
      </w:r>
      <w:r w:rsidRPr="00ED00CF" w:rsidR="008647DD">
        <w:rPr>
          <w:rFonts w:ascii="Times New Roman" w:hAnsi="Times New Roman"/>
          <w:sz w:val="20"/>
          <w:szCs w:val="20"/>
        </w:rPr>
        <w:t>oil and gas exploration and leasing activities.</w:t>
      </w:r>
      <w:r w:rsidRPr="00ED00CF" w:rsidR="00E954E6">
        <w:rPr>
          <w:rFonts w:ascii="Times New Roman" w:hAnsi="Times New Roman"/>
          <w:sz w:val="20"/>
          <w:szCs w:val="20"/>
        </w:rPr>
        <w:t xml:space="preserve"> </w:t>
      </w:r>
      <w:r w:rsidRPr="00ED00CF">
        <w:rPr>
          <w:rFonts w:ascii="Times New Roman" w:hAnsi="Times New Roman"/>
          <w:sz w:val="20"/>
          <w:szCs w:val="20"/>
        </w:rPr>
        <w:t xml:space="preserve">The information is required to receive </w:t>
      </w:r>
      <w:r w:rsidRPr="00ED00CF">
        <w:rPr>
          <w:rFonts w:ascii="Times New Roman" w:hAnsi="Times New Roman"/>
          <w:sz w:val="20"/>
          <w:szCs w:val="20"/>
        </w:rPr>
        <w:t>a benefit</w:t>
      </w:r>
      <w:r w:rsidRPr="00ED00CF">
        <w:rPr>
          <w:rFonts w:ascii="Times New Roman" w:hAnsi="Times New Roman"/>
          <w:sz w:val="20"/>
          <w:szCs w:val="20"/>
        </w:rPr>
        <w:t>.</w:t>
      </w:r>
      <w:r w:rsidRPr="00ED00CF" w:rsidR="00E954E6">
        <w:rPr>
          <w:rFonts w:ascii="Times New Roman" w:hAnsi="Times New Roman"/>
          <w:sz w:val="20"/>
          <w:szCs w:val="20"/>
        </w:rPr>
        <w:t xml:space="preserve"> </w:t>
      </w:r>
      <w:r w:rsidRPr="00ED00CF">
        <w:rPr>
          <w:rFonts w:ascii="Times New Roman" w:hAnsi="Times New Roman"/>
          <w:sz w:val="20"/>
          <w:szCs w:val="20"/>
        </w:rPr>
        <w:t xml:space="preserve">Each BLM </w:t>
      </w:r>
      <w:r w:rsidRPr="00ED00CF" w:rsidR="00E42525">
        <w:rPr>
          <w:rFonts w:ascii="Times New Roman" w:hAnsi="Times New Roman"/>
          <w:sz w:val="20"/>
          <w:szCs w:val="20"/>
        </w:rPr>
        <w:t>s</w:t>
      </w:r>
      <w:r w:rsidRPr="00ED00CF">
        <w:rPr>
          <w:rFonts w:ascii="Times New Roman" w:hAnsi="Times New Roman"/>
          <w:sz w:val="20"/>
          <w:szCs w:val="20"/>
        </w:rPr>
        <w:t xml:space="preserve">tate </w:t>
      </w:r>
      <w:r w:rsidRPr="00ED00CF" w:rsidR="00E42525">
        <w:rPr>
          <w:rFonts w:ascii="Times New Roman" w:hAnsi="Times New Roman"/>
          <w:sz w:val="20"/>
          <w:szCs w:val="20"/>
        </w:rPr>
        <w:t>office</w:t>
      </w:r>
      <w:r w:rsidRPr="00ED00CF">
        <w:rPr>
          <w:rFonts w:ascii="Times New Roman" w:hAnsi="Times New Roman"/>
          <w:sz w:val="20"/>
          <w:szCs w:val="20"/>
        </w:rPr>
        <w:t xml:space="preserve"> has jurisdiction over </w:t>
      </w:r>
      <w:r w:rsidRPr="00ED00CF" w:rsidR="008647DD">
        <w:rPr>
          <w:rFonts w:ascii="Times New Roman" w:hAnsi="Times New Roman"/>
          <w:sz w:val="20"/>
          <w:szCs w:val="20"/>
        </w:rPr>
        <w:t>specific lands, so no duplication occurs with respect to processing a respondent’s application or information</w:t>
      </w:r>
      <w:r w:rsidRPr="00ED00CF" w:rsidR="00302C19">
        <w:rPr>
          <w:rFonts w:ascii="Times New Roman" w:hAnsi="Times New Roman"/>
          <w:sz w:val="20"/>
          <w:szCs w:val="20"/>
        </w:rPr>
        <w:t>.</w:t>
      </w:r>
    </w:p>
    <w:p w:rsidR="0072738E" w:rsidP="003C344B" w14:paraId="3E578C72" w14:textId="77777777">
      <w:pPr>
        <w:pStyle w:val="Heading2"/>
        <w:rPr>
          <w:sz w:val="20"/>
          <w:szCs w:val="20"/>
        </w:rPr>
      </w:pPr>
    </w:p>
    <w:p w:rsidR="00115B0F" w:rsidRPr="00ED00CF" w:rsidP="003C344B" w14:paraId="13F2E06A" w14:textId="4892AF2F">
      <w:pPr>
        <w:pStyle w:val="Heading2"/>
        <w:rPr>
          <w:sz w:val="20"/>
          <w:szCs w:val="20"/>
        </w:rPr>
      </w:pPr>
      <w:r w:rsidRPr="00ED00CF">
        <w:rPr>
          <w:sz w:val="20"/>
          <w:szCs w:val="20"/>
        </w:rPr>
        <w:t>5.</w:t>
      </w:r>
      <w:r w:rsidRPr="00ED00CF">
        <w:rPr>
          <w:sz w:val="20"/>
          <w:szCs w:val="20"/>
        </w:rPr>
        <w:tab/>
        <w:t>If the collection of information impacts small businesses or other small entities, describe any methods used to minimize burden.</w:t>
      </w:r>
    </w:p>
    <w:p w:rsidR="006434BA" w:rsidRPr="00ED00CF" w:rsidP="009B7150" w14:paraId="679809E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sz w:val="20"/>
          <w:szCs w:val="20"/>
        </w:rPr>
      </w:pPr>
    </w:p>
    <w:p w:rsidR="005176CD" w:rsidRPr="00ED00CF" w:rsidP="009B7150" w14:paraId="4EC133D1" w14:textId="251749F8">
      <w:pPr>
        <w:tabs>
          <w:tab w:val="left" w:pos="-1440"/>
          <w:tab w:val="left" w:pos="-720"/>
          <w:tab w:val="left" w:pos="0"/>
          <w:tab w:val="left" w:pos="548"/>
          <w:tab w:val="left" w:pos="1028"/>
          <w:tab w:val="left" w:pos="1549"/>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r w:rsidRPr="00ED00CF">
        <w:rPr>
          <w:rFonts w:ascii="Times New Roman" w:hAnsi="Times New Roman"/>
          <w:sz w:val="20"/>
          <w:szCs w:val="20"/>
        </w:rPr>
        <w:t>There is no</w:t>
      </w:r>
      <w:r w:rsidRPr="00ED00CF" w:rsidR="00302C19">
        <w:rPr>
          <w:rFonts w:ascii="Times New Roman" w:hAnsi="Times New Roman"/>
          <w:sz w:val="20"/>
          <w:szCs w:val="20"/>
        </w:rPr>
        <w:t xml:space="preserve"> significant impact on small </w:t>
      </w:r>
      <w:r w:rsidRPr="00ED00CF">
        <w:rPr>
          <w:rFonts w:ascii="Times New Roman" w:hAnsi="Times New Roman"/>
          <w:sz w:val="20"/>
          <w:szCs w:val="20"/>
        </w:rPr>
        <w:t xml:space="preserve">businesses or other small </w:t>
      </w:r>
      <w:r w:rsidRPr="00ED00CF" w:rsidR="00302C19">
        <w:rPr>
          <w:rFonts w:ascii="Times New Roman" w:hAnsi="Times New Roman"/>
          <w:sz w:val="20"/>
          <w:szCs w:val="20"/>
        </w:rPr>
        <w:t>entities</w:t>
      </w:r>
      <w:r w:rsidRPr="00ED00CF">
        <w:rPr>
          <w:rFonts w:ascii="Times New Roman" w:hAnsi="Times New Roman"/>
          <w:sz w:val="20"/>
          <w:szCs w:val="20"/>
        </w:rPr>
        <w:t xml:space="preserve"> from the information </w:t>
      </w:r>
      <w:r w:rsidRPr="00ED00CF" w:rsidR="00E42525">
        <w:rPr>
          <w:rFonts w:ascii="Times New Roman" w:hAnsi="Times New Roman"/>
          <w:sz w:val="20"/>
          <w:szCs w:val="20"/>
        </w:rPr>
        <w:t xml:space="preserve">the BLM </w:t>
      </w:r>
      <w:r w:rsidRPr="00ED00CF">
        <w:rPr>
          <w:rFonts w:ascii="Times New Roman" w:hAnsi="Times New Roman"/>
          <w:sz w:val="20"/>
          <w:szCs w:val="20"/>
        </w:rPr>
        <w:t>request</w:t>
      </w:r>
      <w:r w:rsidRPr="00ED00CF" w:rsidR="00E42525">
        <w:rPr>
          <w:rFonts w:ascii="Times New Roman" w:hAnsi="Times New Roman"/>
          <w:sz w:val="20"/>
          <w:szCs w:val="20"/>
        </w:rPr>
        <w:t>s</w:t>
      </w:r>
      <w:r w:rsidRPr="00ED00CF" w:rsidR="00302C19">
        <w:rPr>
          <w:rFonts w:ascii="Times New Roman" w:hAnsi="Times New Roman"/>
          <w:sz w:val="20"/>
          <w:szCs w:val="20"/>
        </w:rPr>
        <w:t xml:space="preserve">. The </w:t>
      </w:r>
      <w:r w:rsidRPr="00ED00CF">
        <w:rPr>
          <w:rFonts w:ascii="Times New Roman" w:hAnsi="Times New Roman"/>
          <w:sz w:val="20"/>
          <w:szCs w:val="20"/>
        </w:rPr>
        <w:t xml:space="preserve">required </w:t>
      </w:r>
      <w:r w:rsidRPr="00ED00CF" w:rsidR="00302C19">
        <w:rPr>
          <w:rFonts w:ascii="Times New Roman" w:hAnsi="Times New Roman"/>
          <w:sz w:val="20"/>
          <w:szCs w:val="20"/>
        </w:rPr>
        <w:t xml:space="preserve">information is the minimum necessary to </w:t>
      </w:r>
      <w:r w:rsidRPr="00ED00CF">
        <w:rPr>
          <w:rFonts w:ascii="Times New Roman" w:hAnsi="Times New Roman"/>
          <w:sz w:val="20"/>
          <w:szCs w:val="20"/>
        </w:rPr>
        <w:t xml:space="preserve">allow the BLM to process an </w:t>
      </w:r>
      <w:r w:rsidRPr="00ED00CF" w:rsidR="00E35708">
        <w:rPr>
          <w:rFonts w:ascii="Times New Roman" w:hAnsi="Times New Roman"/>
          <w:sz w:val="20"/>
          <w:szCs w:val="20"/>
        </w:rPr>
        <w:t xml:space="preserve">application or statement </w:t>
      </w:r>
      <w:r w:rsidRPr="00ED00CF">
        <w:rPr>
          <w:rFonts w:ascii="Times New Roman" w:hAnsi="Times New Roman"/>
          <w:sz w:val="20"/>
          <w:szCs w:val="20"/>
        </w:rPr>
        <w:t>about oil and gas activities and drainage protection</w:t>
      </w:r>
      <w:r w:rsidRPr="00ED00CF" w:rsidR="00E42525">
        <w:rPr>
          <w:rFonts w:ascii="Times New Roman" w:hAnsi="Times New Roman"/>
          <w:sz w:val="20"/>
          <w:szCs w:val="20"/>
        </w:rPr>
        <w:t>,</w:t>
      </w:r>
      <w:r w:rsidRPr="00ED00CF">
        <w:rPr>
          <w:rFonts w:ascii="Times New Roman" w:hAnsi="Times New Roman"/>
          <w:sz w:val="20"/>
          <w:szCs w:val="20"/>
        </w:rPr>
        <w:t xml:space="preserve"> and to </w:t>
      </w:r>
      <w:r w:rsidRPr="00ED00CF" w:rsidR="00302C19">
        <w:rPr>
          <w:rFonts w:ascii="Times New Roman" w:hAnsi="Times New Roman"/>
          <w:sz w:val="20"/>
          <w:szCs w:val="20"/>
        </w:rPr>
        <w:t>comply with provisions of the applicable laws and regulations.</w:t>
      </w:r>
      <w:r w:rsidRPr="00ED00CF">
        <w:rPr>
          <w:rFonts w:ascii="Times New Roman" w:hAnsi="Times New Roman"/>
          <w:sz w:val="20"/>
          <w:szCs w:val="20"/>
        </w:rPr>
        <w:t xml:space="preserve"> </w:t>
      </w:r>
      <w:r w:rsidRPr="00ED00CF" w:rsidR="00E954E6">
        <w:rPr>
          <w:rFonts w:ascii="Times New Roman" w:hAnsi="Times New Roman"/>
          <w:sz w:val="20"/>
          <w:szCs w:val="20"/>
        </w:rPr>
        <w:t xml:space="preserve"> </w:t>
      </w:r>
    </w:p>
    <w:p w:rsidR="005176CD" w:rsidRPr="00ED00CF" w:rsidP="009B7150" w14:paraId="64EDC2A6" w14:textId="77777777">
      <w:pPr>
        <w:tabs>
          <w:tab w:val="left" w:pos="-1440"/>
          <w:tab w:val="left" w:pos="-720"/>
          <w:tab w:val="left" w:pos="0"/>
          <w:tab w:val="left" w:pos="548"/>
          <w:tab w:val="left" w:pos="1028"/>
          <w:tab w:val="left" w:pos="1549"/>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p>
    <w:p w:rsidR="002B60F5" w:rsidRPr="00ED00CF" w:rsidP="003C344B" w14:paraId="10513F76" w14:textId="77777777">
      <w:pPr>
        <w:pStyle w:val="Heading2"/>
        <w:rPr>
          <w:sz w:val="20"/>
          <w:szCs w:val="20"/>
        </w:rPr>
      </w:pPr>
      <w:r w:rsidRPr="00ED00CF">
        <w:rPr>
          <w:sz w:val="20"/>
          <w:szCs w:val="20"/>
        </w:rPr>
        <w:t>6.</w:t>
      </w:r>
      <w:r w:rsidRPr="00ED00CF">
        <w:rPr>
          <w:sz w:val="20"/>
          <w:szCs w:val="20"/>
        </w:rPr>
        <w:tab/>
        <w:t xml:space="preserve">Describe the </w:t>
      </w:r>
      <w:r w:rsidRPr="00ED00CF">
        <w:rPr>
          <w:sz w:val="20"/>
          <w:szCs w:val="20"/>
        </w:rPr>
        <w:t>consequence</w:t>
      </w:r>
      <w:r w:rsidRPr="00ED00CF">
        <w:rPr>
          <w:sz w:val="20"/>
          <w:szCs w:val="20"/>
        </w:rPr>
        <w:t xml:space="preserve"> </w:t>
      </w:r>
      <w:r w:rsidRPr="00ED00CF">
        <w:rPr>
          <w:sz w:val="20"/>
          <w:szCs w:val="20"/>
        </w:rPr>
        <w:t>to</w:t>
      </w:r>
      <w:r w:rsidRPr="00ED00CF">
        <w:rPr>
          <w:sz w:val="20"/>
          <w:szCs w:val="20"/>
        </w:rPr>
        <w:t xml:space="preserve"> Federal program or policy activities if the collection is not conducted or is conducted less frequently, as well as any technical or legal obstacles to reducing burden.</w:t>
      </w:r>
    </w:p>
    <w:p w:rsidR="006434BA" w:rsidRPr="00ED00CF" w:rsidP="006434BA" w14:paraId="17FC4D9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sz w:val="20"/>
          <w:szCs w:val="20"/>
        </w:rPr>
      </w:pPr>
    </w:p>
    <w:p w:rsidR="005176CD" w:rsidRPr="00ED00CF" w14:paraId="4539446A" w14:textId="2C5F89E1">
      <w:pPr>
        <w:tabs>
          <w:tab w:val="left" w:pos="-1440"/>
          <w:tab w:val="left" w:pos="-720"/>
          <w:tab w:val="left" w:pos="0"/>
          <w:tab w:val="left" w:pos="548"/>
          <w:tab w:val="left" w:pos="1028"/>
          <w:tab w:val="left" w:pos="1549"/>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r w:rsidRPr="00ED00CF">
        <w:rPr>
          <w:rFonts w:ascii="Times New Roman" w:hAnsi="Times New Roman"/>
          <w:sz w:val="20"/>
          <w:szCs w:val="20"/>
        </w:rPr>
        <w:t>A</w:t>
      </w:r>
      <w:r w:rsidRPr="00ED00CF" w:rsidR="00E34985">
        <w:rPr>
          <w:rFonts w:ascii="Times New Roman" w:hAnsi="Times New Roman"/>
          <w:sz w:val="20"/>
          <w:szCs w:val="20"/>
        </w:rPr>
        <w:t xml:space="preserve"> respondent</w:t>
      </w:r>
      <w:r w:rsidRPr="00ED00CF">
        <w:rPr>
          <w:rFonts w:ascii="Times New Roman" w:hAnsi="Times New Roman"/>
          <w:sz w:val="20"/>
          <w:szCs w:val="20"/>
        </w:rPr>
        <w:t xml:space="preserve"> uses applications and statements to submit information regarding oil and gas offers and leases on public domain and acquired lands.</w:t>
      </w:r>
      <w:r w:rsidRPr="00ED00CF" w:rsidR="00E954E6">
        <w:rPr>
          <w:rFonts w:ascii="Times New Roman" w:hAnsi="Times New Roman"/>
          <w:sz w:val="20"/>
          <w:szCs w:val="20"/>
        </w:rPr>
        <w:t xml:space="preserve"> </w:t>
      </w:r>
      <w:r w:rsidRPr="00ED00CF" w:rsidR="008611A9">
        <w:rPr>
          <w:rFonts w:ascii="Times New Roman" w:hAnsi="Times New Roman"/>
          <w:sz w:val="20"/>
          <w:szCs w:val="20"/>
        </w:rPr>
        <w:t xml:space="preserve">When </w:t>
      </w:r>
      <w:r w:rsidRPr="00ED00CF">
        <w:rPr>
          <w:rFonts w:ascii="Times New Roman" w:hAnsi="Times New Roman"/>
          <w:sz w:val="20"/>
          <w:szCs w:val="20"/>
        </w:rPr>
        <w:t xml:space="preserve">the </w:t>
      </w:r>
      <w:r w:rsidRPr="00ED00CF" w:rsidR="008611A9">
        <w:rPr>
          <w:rFonts w:ascii="Times New Roman" w:hAnsi="Times New Roman"/>
          <w:sz w:val="20"/>
          <w:szCs w:val="20"/>
        </w:rPr>
        <w:t xml:space="preserve">required </w:t>
      </w:r>
      <w:r w:rsidRPr="00ED00CF">
        <w:rPr>
          <w:rFonts w:ascii="Times New Roman" w:hAnsi="Times New Roman"/>
          <w:sz w:val="20"/>
          <w:szCs w:val="20"/>
        </w:rPr>
        <w:t xml:space="preserve">information is not provided, </w:t>
      </w:r>
      <w:r w:rsidRPr="00ED00CF">
        <w:rPr>
          <w:rFonts w:ascii="Times New Roman" w:hAnsi="Times New Roman"/>
          <w:sz w:val="20"/>
          <w:szCs w:val="20"/>
        </w:rPr>
        <w:t>lands</w:t>
      </w:r>
      <w:r w:rsidRPr="00ED00CF">
        <w:rPr>
          <w:rFonts w:ascii="Times New Roman" w:hAnsi="Times New Roman"/>
          <w:sz w:val="20"/>
          <w:szCs w:val="20"/>
        </w:rPr>
        <w:t xml:space="preserve"> cannot be leased, explored or developed, which would prevent the individual or entity from obtaining</w:t>
      </w:r>
      <w:r w:rsidRPr="00ED00CF" w:rsidR="00B066CD">
        <w:rPr>
          <w:rFonts w:ascii="Times New Roman" w:hAnsi="Times New Roman"/>
          <w:sz w:val="20"/>
          <w:szCs w:val="20"/>
        </w:rPr>
        <w:t xml:space="preserve"> or retaining</w:t>
      </w:r>
      <w:r w:rsidRPr="00ED00CF">
        <w:rPr>
          <w:rFonts w:ascii="Times New Roman" w:hAnsi="Times New Roman"/>
          <w:sz w:val="20"/>
          <w:szCs w:val="20"/>
        </w:rPr>
        <w:t xml:space="preserve"> the be</w:t>
      </w:r>
      <w:r w:rsidRPr="00ED00CF" w:rsidR="001B45B8">
        <w:rPr>
          <w:rFonts w:ascii="Times New Roman" w:hAnsi="Times New Roman"/>
          <w:sz w:val="20"/>
          <w:szCs w:val="20"/>
        </w:rPr>
        <w:t>nefit of an oil and gas lease.</w:t>
      </w:r>
    </w:p>
    <w:p w:rsidR="00EB3B54" w:rsidRPr="00ED00CF" w14:paraId="410276F1" w14:textId="77777777">
      <w:pPr>
        <w:tabs>
          <w:tab w:val="left" w:pos="-1440"/>
          <w:tab w:val="left" w:pos="-720"/>
          <w:tab w:val="left" w:pos="0"/>
          <w:tab w:val="left" w:pos="548"/>
          <w:tab w:val="left" w:pos="1028"/>
          <w:tab w:val="left" w:pos="1549"/>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p>
    <w:p w:rsidR="0056491A" w:rsidRPr="00ED00CF" w14:paraId="1699CCA0" w14:textId="77777777">
      <w:pPr>
        <w:tabs>
          <w:tab w:val="left" w:pos="-1440"/>
          <w:tab w:val="left" w:pos="-720"/>
          <w:tab w:val="left" w:pos="0"/>
          <w:tab w:val="left" w:pos="548"/>
          <w:tab w:val="left" w:pos="1028"/>
          <w:tab w:val="left" w:pos="1549"/>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r w:rsidRPr="00ED00CF">
        <w:rPr>
          <w:rFonts w:ascii="Times New Roman" w:hAnsi="Times New Roman"/>
          <w:sz w:val="20"/>
          <w:szCs w:val="20"/>
        </w:rPr>
        <w:t xml:space="preserve">Failure to collect the requested information </w:t>
      </w:r>
      <w:r w:rsidRPr="00ED00CF" w:rsidR="008647DD">
        <w:rPr>
          <w:rFonts w:ascii="Times New Roman" w:hAnsi="Times New Roman"/>
          <w:sz w:val="20"/>
          <w:szCs w:val="20"/>
        </w:rPr>
        <w:t xml:space="preserve">would </w:t>
      </w:r>
      <w:r w:rsidRPr="00ED00CF">
        <w:rPr>
          <w:rFonts w:ascii="Times New Roman" w:hAnsi="Times New Roman"/>
          <w:sz w:val="20"/>
          <w:szCs w:val="20"/>
        </w:rPr>
        <w:t>mean that the BLM would lack the information necessary to:</w:t>
      </w:r>
    </w:p>
    <w:p w:rsidR="00E34985" w:rsidRPr="00ED00CF" w:rsidP="00E34985" w14:paraId="6A95872E" w14:textId="77777777">
      <w:pPr>
        <w:numPr>
          <w:ilvl w:val="0"/>
          <w:numId w:val="23"/>
        </w:numPr>
        <w:tabs>
          <w:tab w:val="left" w:pos="-1440"/>
          <w:tab w:val="left" w:pos="-720"/>
          <w:tab w:val="left" w:pos="0"/>
          <w:tab w:val="left" w:pos="548"/>
          <w:tab w:val="left" w:pos="1028"/>
          <w:tab w:val="left" w:pos="1549"/>
          <w:tab w:val="left" w:pos="2880"/>
          <w:tab w:val="left" w:pos="3600"/>
          <w:tab w:val="left" w:pos="4320"/>
          <w:tab w:val="left" w:pos="5040"/>
          <w:tab w:val="left" w:pos="5760"/>
          <w:tab w:val="left" w:pos="6480"/>
          <w:tab w:val="left" w:pos="7200"/>
          <w:tab w:val="left" w:pos="7920"/>
          <w:tab w:val="left" w:pos="8640"/>
          <w:tab w:val="left" w:pos="9360"/>
        </w:tabs>
        <w:ind w:left="0" w:firstLine="0"/>
        <w:rPr>
          <w:rFonts w:ascii="Times New Roman" w:hAnsi="Times New Roman"/>
          <w:sz w:val="20"/>
          <w:szCs w:val="20"/>
        </w:rPr>
      </w:pPr>
      <w:r w:rsidRPr="00ED00CF">
        <w:rPr>
          <w:rFonts w:ascii="Times New Roman" w:hAnsi="Times New Roman"/>
          <w:sz w:val="20"/>
          <w:szCs w:val="20"/>
        </w:rPr>
        <w:t>A</w:t>
      </w:r>
      <w:r w:rsidRPr="00ED00CF" w:rsidR="00EB3B54">
        <w:rPr>
          <w:rFonts w:ascii="Times New Roman" w:hAnsi="Times New Roman"/>
          <w:sz w:val="20"/>
          <w:szCs w:val="20"/>
        </w:rPr>
        <w:t>pprove</w:t>
      </w:r>
      <w:r w:rsidRPr="00ED00CF" w:rsidR="00EB3B54">
        <w:rPr>
          <w:rFonts w:ascii="Times New Roman" w:hAnsi="Times New Roman"/>
          <w:sz w:val="20"/>
          <w:szCs w:val="20"/>
        </w:rPr>
        <w:t xml:space="preserve"> proposed oil and gas leasing</w:t>
      </w:r>
      <w:r w:rsidRPr="00ED00CF" w:rsidR="00E35708">
        <w:rPr>
          <w:rFonts w:ascii="Times New Roman" w:hAnsi="Times New Roman"/>
          <w:sz w:val="20"/>
          <w:szCs w:val="20"/>
        </w:rPr>
        <w:t>, exploration,</w:t>
      </w:r>
      <w:r w:rsidRPr="00ED00CF" w:rsidR="00EB3B54">
        <w:rPr>
          <w:rFonts w:ascii="Times New Roman" w:hAnsi="Times New Roman"/>
          <w:sz w:val="20"/>
          <w:szCs w:val="20"/>
        </w:rPr>
        <w:t xml:space="preserve"> </w:t>
      </w:r>
      <w:r w:rsidRPr="00ED00CF" w:rsidR="00E35708">
        <w:rPr>
          <w:rFonts w:ascii="Times New Roman" w:hAnsi="Times New Roman"/>
          <w:sz w:val="20"/>
          <w:szCs w:val="20"/>
        </w:rPr>
        <w:t>or</w:t>
      </w:r>
      <w:r w:rsidRPr="00ED00CF" w:rsidR="00EB3B54">
        <w:rPr>
          <w:rFonts w:ascii="Times New Roman" w:hAnsi="Times New Roman"/>
          <w:sz w:val="20"/>
          <w:szCs w:val="20"/>
        </w:rPr>
        <w:t xml:space="preserve"> </w:t>
      </w:r>
      <w:r w:rsidRPr="00ED00CF" w:rsidR="00EB3B54">
        <w:rPr>
          <w:rFonts w:ascii="Times New Roman" w:hAnsi="Times New Roman"/>
          <w:sz w:val="20"/>
          <w:szCs w:val="20"/>
        </w:rPr>
        <w:t>operations</w:t>
      </w:r>
      <w:r w:rsidRPr="00ED00CF">
        <w:rPr>
          <w:rFonts w:ascii="Times New Roman" w:hAnsi="Times New Roman"/>
          <w:sz w:val="20"/>
          <w:szCs w:val="20"/>
        </w:rPr>
        <w:t>;</w:t>
      </w:r>
    </w:p>
    <w:p w:rsidR="0056491A" w:rsidRPr="00ED00CF" w:rsidP="00E34985" w14:paraId="2FC4532B" w14:textId="77777777">
      <w:pPr>
        <w:numPr>
          <w:ilvl w:val="0"/>
          <w:numId w:val="23"/>
        </w:numPr>
        <w:tabs>
          <w:tab w:val="left" w:pos="-1440"/>
          <w:tab w:val="left" w:pos="-720"/>
          <w:tab w:val="left" w:pos="0"/>
          <w:tab w:val="left" w:pos="548"/>
          <w:tab w:val="left" w:pos="1028"/>
          <w:tab w:val="left" w:pos="1549"/>
          <w:tab w:val="left" w:pos="2880"/>
          <w:tab w:val="left" w:pos="3600"/>
          <w:tab w:val="left" w:pos="4320"/>
          <w:tab w:val="left" w:pos="5040"/>
          <w:tab w:val="left" w:pos="5760"/>
          <w:tab w:val="left" w:pos="6480"/>
          <w:tab w:val="left" w:pos="7200"/>
          <w:tab w:val="left" w:pos="7920"/>
          <w:tab w:val="left" w:pos="8640"/>
          <w:tab w:val="left" w:pos="9360"/>
        </w:tabs>
        <w:ind w:left="0" w:firstLine="0"/>
        <w:rPr>
          <w:rFonts w:ascii="Times New Roman" w:hAnsi="Times New Roman"/>
          <w:sz w:val="20"/>
          <w:szCs w:val="20"/>
        </w:rPr>
      </w:pPr>
      <w:r w:rsidRPr="00ED00CF">
        <w:rPr>
          <w:rFonts w:ascii="Times New Roman" w:hAnsi="Times New Roman"/>
          <w:sz w:val="20"/>
          <w:szCs w:val="20"/>
        </w:rPr>
        <w:t xml:space="preserve">Monitor </w:t>
      </w:r>
      <w:r w:rsidRPr="00ED00CF" w:rsidR="00EB3B54">
        <w:rPr>
          <w:rFonts w:ascii="Times New Roman" w:hAnsi="Times New Roman"/>
          <w:sz w:val="20"/>
          <w:szCs w:val="20"/>
        </w:rPr>
        <w:t xml:space="preserve">compliance with </w:t>
      </w:r>
      <w:r w:rsidRPr="00ED00CF">
        <w:rPr>
          <w:rFonts w:ascii="Times New Roman" w:hAnsi="Times New Roman"/>
          <w:sz w:val="20"/>
          <w:szCs w:val="20"/>
        </w:rPr>
        <w:t xml:space="preserve">the terms and conditions of Federal oil and gas leases and with </w:t>
      </w:r>
      <w:r w:rsidRPr="00ED00CF" w:rsidR="00EB3B54">
        <w:rPr>
          <w:rFonts w:ascii="Times New Roman" w:hAnsi="Times New Roman"/>
          <w:sz w:val="20"/>
          <w:szCs w:val="20"/>
        </w:rPr>
        <w:t>applicable laws</w:t>
      </w:r>
      <w:r w:rsidRPr="00ED00CF" w:rsidR="008647DD">
        <w:rPr>
          <w:rFonts w:ascii="Times New Roman" w:hAnsi="Times New Roman"/>
          <w:sz w:val="20"/>
          <w:szCs w:val="20"/>
        </w:rPr>
        <w:t>; and</w:t>
      </w:r>
    </w:p>
    <w:p w:rsidR="00EB3B54" w:rsidRPr="00ED00CF" w:rsidP="0056491A" w14:paraId="2AB24CF1" w14:textId="5C164A7B">
      <w:pPr>
        <w:numPr>
          <w:ilvl w:val="0"/>
          <w:numId w:val="22"/>
        </w:numPr>
        <w:tabs>
          <w:tab w:val="left" w:pos="-1440"/>
          <w:tab w:val="left" w:pos="-720"/>
          <w:tab w:val="left" w:pos="0"/>
          <w:tab w:val="left" w:pos="548"/>
          <w:tab w:val="left" w:pos="1028"/>
          <w:tab w:val="left" w:pos="1549"/>
          <w:tab w:val="left" w:pos="2880"/>
          <w:tab w:val="left" w:pos="3600"/>
          <w:tab w:val="left" w:pos="4320"/>
          <w:tab w:val="left" w:pos="5040"/>
          <w:tab w:val="left" w:pos="5760"/>
          <w:tab w:val="left" w:pos="6480"/>
          <w:tab w:val="left" w:pos="7200"/>
          <w:tab w:val="left" w:pos="7920"/>
          <w:tab w:val="left" w:pos="8640"/>
          <w:tab w:val="left" w:pos="9360"/>
        </w:tabs>
        <w:ind w:left="0" w:firstLine="0"/>
        <w:rPr>
          <w:rFonts w:ascii="Times New Roman" w:hAnsi="Times New Roman"/>
          <w:sz w:val="20"/>
          <w:szCs w:val="20"/>
        </w:rPr>
      </w:pPr>
      <w:r w:rsidRPr="00ED00CF">
        <w:rPr>
          <w:rFonts w:ascii="Times New Roman" w:hAnsi="Times New Roman"/>
          <w:sz w:val="20"/>
          <w:szCs w:val="20"/>
        </w:rPr>
        <w:t xml:space="preserve">Determine whether lessees/operating rights owners </w:t>
      </w:r>
      <w:r w:rsidRPr="00ED00CF" w:rsidR="00E34985">
        <w:rPr>
          <w:rFonts w:ascii="Times New Roman" w:hAnsi="Times New Roman"/>
          <w:sz w:val="20"/>
          <w:szCs w:val="20"/>
        </w:rPr>
        <w:t>are fulfilling their obligation</w:t>
      </w:r>
      <w:r w:rsidRPr="00ED00CF">
        <w:rPr>
          <w:rFonts w:ascii="Times New Roman" w:hAnsi="Times New Roman"/>
          <w:sz w:val="20"/>
          <w:szCs w:val="20"/>
        </w:rPr>
        <w:t xml:space="preserve"> to </w:t>
      </w:r>
      <w:r w:rsidRPr="00ED00CF" w:rsidR="000A7BF0">
        <w:rPr>
          <w:rFonts w:ascii="Times New Roman" w:hAnsi="Times New Roman"/>
          <w:sz w:val="20"/>
          <w:szCs w:val="20"/>
        </w:rPr>
        <w:t xml:space="preserve">protect their </w:t>
      </w:r>
      <w:r w:rsidRPr="00ED00CF" w:rsidR="000A7BF0">
        <w:rPr>
          <w:rFonts w:ascii="Times New Roman" w:hAnsi="Times New Roman"/>
          <w:sz w:val="20"/>
          <w:szCs w:val="20"/>
        </w:rPr>
        <w:t>Federal</w:t>
      </w:r>
      <w:r w:rsidRPr="00ED00CF" w:rsidR="000A7BF0">
        <w:rPr>
          <w:rFonts w:ascii="Times New Roman" w:hAnsi="Times New Roman"/>
          <w:sz w:val="20"/>
          <w:szCs w:val="20"/>
        </w:rPr>
        <w:t xml:space="preserve"> </w:t>
      </w:r>
      <w:r w:rsidRPr="00ED00CF" w:rsidR="00E34985">
        <w:rPr>
          <w:rFonts w:ascii="Times New Roman" w:hAnsi="Times New Roman"/>
          <w:sz w:val="20"/>
          <w:szCs w:val="20"/>
        </w:rPr>
        <w:t xml:space="preserve">oil and gas </w:t>
      </w:r>
      <w:r w:rsidRPr="00ED00CF" w:rsidR="000A7BF0">
        <w:rPr>
          <w:rFonts w:ascii="Times New Roman" w:hAnsi="Times New Roman"/>
          <w:sz w:val="20"/>
          <w:szCs w:val="20"/>
        </w:rPr>
        <w:t>leases from drainage</w:t>
      </w:r>
      <w:r w:rsidR="009A551C">
        <w:rPr>
          <w:rFonts w:ascii="Times New Roman" w:hAnsi="Times New Roman"/>
          <w:sz w:val="20"/>
          <w:szCs w:val="20"/>
        </w:rPr>
        <w:t>.</w:t>
      </w:r>
    </w:p>
    <w:p w:rsidR="00D95CEB" w:rsidRPr="00ED00CF" w:rsidP="00D95CEB" w14:paraId="153E829C" w14:textId="77777777">
      <w:pPr>
        <w:tabs>
          <w:tab w:val="left" w:pos="-1440"/>
          <w:tab w:val="left" w:pos="-720"/>
          <w:tab w:val="left" w:pos="0"/>
          <w:tab w:val="left" w:pos="58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p>
    <w:p w:rsidR="00DC4A6F" w:rsidRPr="00ED00CF" w:rsidP="003C344B" w14:paraId="1A2551F9" w14:textId="77777777">
      <w:pPr>
        <w:pStyle w:val="Heading2"/>
        <w:rPr>
          <w:sz w:val="20"/>
          <w:szCs w:val="20"/>
        </w:rPr>
      </w:pPr>
      <w:r w:rsidRPr="00ED00CF">
        <w:rPr>
          <w:sz w:val="20"/>
          <w:szCs w:val="20"/>
        </w:rPr>
        <w:t>7.</w:t>
      </w:r>
      <w:r w:rsidRPr="00ED00CF">
        <w:rPr>
          <w:sz w:val="20"/>
          <w:szCs w:val="20"/>
        </w:rPr>
        <w:tab/>
        <w:t>Explain any special circumstances that would cause an information collection to be conducted in a manner:</w:t>
      </w:r>
    </w:p>
    <w:p w:rsidR="00DC4A6F" w:rsidRPr="00ED00CF" w:rsidP="003C344B" w14:paraId="24C672E2" w14:textId="77777777">
      <w:pPr>
        <w:pStyle w:val="Heading2"/>
        <w:tabs>
          <w:tab w:val="clear" w:pos="0"/>
          <w:tab w:val="clear" w:pos="720"/>
          <w:tab w:val="clear" w:pos="1080"/>
          <w:tab w:val="clear" w:pos="1440"/>
        </w:tabs>
        <w:ind w:left="720" w:hanging="720"/>
        <w:rPr>
          <w:sz w:val="20"/>
          <w:szCs w:val="20"/>
        </w:rPr>
      </w:pPr>
      <w:r w:rsidRPr="00ED00CF">
        <w:rPr>
          <w:sz w:val="20"/>
          <w:szCs w:val="20"/>
        </w:rPr>
        <w:tab/>
        <w:t>*</w:t>
      </w:r>
      <w:r w:rsidRPr="00ED00CF">
        <w:rPr>
          <w:sz w:val="20"/>
          <w:szCs w:val="20"/>
        </w:rPr>
        <w:tab/>
      </w:r>
      <w:r w:rsidRPr="00ED00CF">
        <w:rPr>
          <w:sz w:val="20"/>
          <w:szCs w:val="20"/>
        </w:rPr>
        <w:t>requiring</w:t>
      </w:r>
      <w:r w:rsidRPr="00ED00CF">
        <w:rPr>
          <w:sz w:val="20"/>
          <w:szCs w:val="20"/>
        </w:rPr>
        <w:t xml:space="preserve"> respondents to report information to the agency more often than </w:t>
      </w:r>
      <w:r w:rsidRPr="00ED00CF">
        <w:rPr>
          <w:sz w:val="20"/>
          <w:szCs w:val="20"/>
        </w:rPr>
        <w:t>quarterly;</w:t>
      </w:r>
    </w:p>
    <w:p w:rsidR="00DC4A6F" w:rsidRPr="00ED00CF" w:rsidP="003C344B" w14:paraId="6C320F22" w14:textId="77777777">
      <w:pPr>
        <w:pStyle w:val="Heading2"/>
        <w:tabs>
          <w:tab w:val="clear" w:pos="0"/>
          <w:tab w:val="clear" w:pos="720"/>
          <w:tab w:val="clear" w:pos="1080"/>
          <w:tab w:val="clear" w:pos="1440"/>
        </w:tabs>
        <w:ind w:left="720" w:hanging="720"/>
        <w:rPr>
          <w:sz w:val="20"/>
          <w:szCs w:val="20"/>
        </w:rPr>
      </w:pPr>
      <w:r w:rsidRPr="00ED00CF">
        <w:rPr>
          <w:sz w:val="20"/>
          <w:szCs w:val="20"/>
        </w:rPr>
        <w:tab/>
        <w:t>*</w:t>
      </w:r>
      <w:r w:rsidRPr="00ED00CF">
        <w:rPr>
          <w:sz w:val="20"/>
          <w:szCs w:val="20"/>
        </w:rPr>
        <w:tab/>
      </w:r>
      <w:r w:rsidRPr="00ED00CF">
        <w:rPr>
          <w:sz w:val="20"/>
          <w:szCs w:val="20"/>
        </w:rPr>
        <w:t>requiring</w:t>
      </w:r>
      <w:r w:rsidRPr="00ED00CF">
        <w:rPr>
          <w:sz w:val="20"/>
          <w:szCs w:val="20"/>
        </w:rPr>
        <w:t xml:space="preserve"> respondents to prepare a written response to a collection of information in fewer than 30 days after </w:t>
      </w:r>
      <w:r w:rsidRPr="00ED00CF">
        <w:rPr>
          <w:sz w:val="20"/>
          <w:szCs w:val="20"/>
        </w:rPr>
        <w:t>receipt of</w:t>
      </w:r>
      <w:r w:rsidRPr="00ED00CF">
        <w:rPr>
          <w:sz w:val="20"/>
          <w:szCs w:val="20"/>
        </w:rPr>
        <w:t xml:space="preserve"> </w:t>
      </w:r>
      <w:r w:rsidRPr="00ED00CF">
        <w:rPr>
          <w:sz w:val="20"/>
          <w:szCs w:val="20"/>
        </w:rPr>
        <w:t>it;</w:t>
      </w:r>
    </w:p>
    <w:p w:rsidR="00DC4A6F" w:rsidRPr="00ED00CF" w:rsidP="003C344B" w14:paraId="577B6CAF" w14:textId="77777777">
      <w:pPr>
        <w:pStyle w:val="Heading2"/>
        <w:tabs>
          <w:tab w:val="clear" w:pos="0"/>
          <w:tab w:val="clear" w:pos="720"/>
          <w:tab w:val="clear" w:pos="1080"/>
          <w:tab w:val="clear" w:pos="1440"/>
        </w:tabs>
        <w:ind w:left="720" w:hanging="720"/>
        <w:rPr>
          <w:sz w:val="20"/>
          <w:szCs w:val="20"/>
        </w:rPr>
      </w:pPr>
      <w:r w:rsidRPr="00ED00CF">
        <w:rPr>
          <w:sz w:val="20"/>
          <w:szCs w:val="20"/>
        </w:rPr>
        <w:tab/>
        <w:t>*</w:t>
      </w:r>
      <w:r w:rsidRPr="00ED00CF">
        <w:rPr>
          <w:sz w:val="20"/>
          <w:szCs w:val="20"/>
        </w:rPr>
        <w:tab/>
      </w:r>
      <w:r w:rsidRPr="00ED00CF">
        <w:rPr>
          <w:sz w:val="20"/>
          <w:szCs w:val="20"/>
        </w:rPr>
        <w:t>requiring</w:t>
      </w:r>
      <w:r w:rsidRPr="00ED00CF">
        <w:rPr>
          <w:sz w:val="20"/>
          <w:szCs w:val="20"/>
        </w:rPr>
        <w:t xml:space="preserve"> respondents to submit more than an original and two copies of any </w:t>
      </w:r>
      <w:r w:rsidRPr="00ED00CF">
        <w:rPr>
          <w:sz w:val="20"/>
          <w:szCs w:val="20"/>
        </w:rPr>
        <w:t>document;</w:t>
      </w:r>
    </w:p>
    <w:p w:rsidR="00DC4A6F" w:rsidRPr="00ED00CF" w:rsidP="003C344B" w14:paraId="35054D9E" w14:textId="77777777">
      <w:pPr>
        <w:pStyle w:val="Heading2"/>
        <w:tabs>
          <w:tab w:val="clear" w:pos="0"/>
          <w:tab w:val="clear" w:pos="720"/>
          <w:tab w:val="clear" w:pos="1080"/>
          <w:tab w:val="clear" w:pos="1440"/>
        </w:tabs>
        <w:ind w:left="720" w:hanging="720"/>
        <w:rPr>
          <w:sz w:val="20"/>
          <w:szCs w:val="20"/>
        </w:rPr>
      </w:pPr>
      <w:r w:rsidRPr="00ED00CF">
        <w:rPr>
          <w:sz w:val="20"/>
          <w:szCs w:val="20"/>
        </w:rPr>
        <w:tab/>
        <w:t>*</w:t>
      </w:r>
      <w:r w:rsidRPr="00ED00CF">
        <w:rPr>
          <w:sz w:val="20"/>
          <w:szCs w:val="20"/>
        </w:rPr>
        <w:tab/>
      </w:r>
      <w:r w:rsidRPr="00ED00CF">
        <w:rPr>
          <w:sz w:val="20"/>
          <w:szCs w:val="20"/>
        </w:rPr>
        <w:t>requiring</w:t>
      </w:r>
      <w:r w:rsidRPr="00ED00CF">
        <w:rPr>
          <w:sz w:val="20"/>
          <w:szCs w:val="20"/>
        </w:rPr>
        <w:t xml:space="preserve"> respondents to retain records, other than health, medical, government contract, grant-in-aid, or tax records, for more than three </w:t>
      </w:r>
      <w:r w:rsidRPr="00ED00CF">
        <w:rPr>
          <w:sz w:val="20"/>
          <w:szCs w:val="20"/>
        </w:rPr>
        <w:t>years;</w:t>
      </w:r>
    </w:p>
    <w:p w:rsidR="00DC4A6F" w:rsidRPr="00ED00CF" w:rsidP="003C344B" w14:paraId="277F6A49" w14:textId="77777777">
      <w:pPr>
        <w:pStyle w:val="Heading2"/>
        <w:tabs>
          <w:tab w:val="clear" w:pos="0"/>
          <w:tab w:val="clear" w:pos="720"/>
          <w:tab w:val="clear" w:pos="1080"/>
          <w:tab w:val="clear" w:pos="1440"/>
        </w:tabs>
        <w:ind w:left="720" w:hanging="720"/>
        <w:rPr>
          <w:sz w:val="20"/>
          <w:szCs w:val="20"/>
        </w:rPr>
      </w:pPr>
      <w:r w:rsidRPr="00ED00CF">
        <w:rPr>
          <w:sz w:val="20"/>
          <w:szCs w:val="20"/>
        </w:rPr>
        <w:tab/>
        <w:t>*</w:t>
      </w:r>
      <w:r w:rsidRPr="00ED00CF">
        <w:rPr>
          <w:sz w:val="20"/>
          <w:szCs w:val="20"/>
        </w:rPr>
        <w:tab/>
      </w:r>
      <w:r w:rsidRPr="00ED00CF">
        <w:rPr>
          <w:sz w:val="20"/>
          <w:szCs w:val="20"/>
        </w:rPr>
        <w:t>in</w:t>
      </w:r>
      <w:r w:rsidRPr="00ED00CF">
        <w:rPr>
          <w:sz w:val="20"/>
          <w:szCs w:val="20"/>
        </w:rPr>
        <w:t xml:space="preserve"> connection with a statistical survey that is not designed to produce valid and reliable results that can be generalized to the universe of </w:t>
      </w:r>
      <w:r w:rsidRPr="00ED00CF">
        <w:rPr>
          <w:sz w:val="20"/>
          <w:szCs w:val="20"/>
        </w:rPr>
        <w:t>study;</w:t>
      </w:r>
    </w:p>
    <w:p w:rsidR="00DC4A6F" w:rsidRPr="00ED00CF" w:rsidP="003C344B" w14:paraId="5E1D3BB9" w14:textId="77777777">
      <w:pPr>
        <w:pStyle w:val="Heading2"/>
        <w:tabs>
          <w:tab w:val="clear" w:pos="0"/>
          <w:tab w:val="clear" w:pos="720"/>
          <w:tab w:val="clear" w:pos="1080"/>
          <w:tab w:val="clear" w:pos="1440"/>
        </w:tabs>
        <w:ind w:left="720" w:hanging="720"/>
        <w:rPr>
          <w:sz w:val="20"/>
          <w:szCs w:val="20"/>
        </w:rPr>
      </w:pPr>
      <w:r w:rsidRPr="00ED00CF">
        <w:rPr>
          <w:sz w:val="20"/>
          <w:szCs w:val="20"/>
        </w:rPr>
        <w:tab/>
        <w:t>*</w:t>
      </w:r>
      <w:r w:rsidRPr="00ED00CF">
        <w:rPr>
          <w:sz w:val="20"/>
          <w:szCs w:val="20"/>
        </w:rPr>
        <w:tab/>
      </w:r>
      <w:r w:rsidRPr="00ED00CF">
        <w:rPr>
          <w:sz w:val="20"/>
          <w:szCs w:val="20"/>
        </w:rPr>
        <w:t>requiring</w:t>
      </w:r>
      <w:r w:rsidRPr="00ED00CF">
        <w:rPr>
          <w:sz w:val="20"/>
          <w:szCs w:val="20"/>
        </w:rPr>
        <w:t xml:space="preserve"> the use of a statistical data classification that has not been reviewed and approved by </w:t>
      </w:r>
      <w:r w:rsidRPr="00ED00CF">
        <w:rPr>
          <w:sz w:val="20"/>
          <w:szCs w:val="20"/>
        </w:rPr>
        <w:t>OMB;</w:t>
      </w:r>
    </w:p>
    <w:p w:rsidR="00DC4A6F" w:rsidRPr="00ED00CF" w:rsidP="003C344B" w14:paraId="228913CE" w14:textId="77777777">
      <w:pPr>
        <w:pStyle w:val="Heading2"/>
        <w:tabs>
          <w:tab w:val="clear" w:pos="0"/>
          <w:tab w:val="clear" w:pos="720"/>
          <w:tab w:val="clear" w:pos="1080"/>
          <w:tab w:val="clear" w:pos="1440"/>
        </w:tabs>
        <w:ind w:left="720" w:hanging="720"/>
        <w:rPr>
          <w:sz w:val="20"/>
          <w:szCs w:val="20"/>
        </w:rPr>
      </w:pPr>
      <w:r w:rsidRPr="00ED00CF">
        <w:rPr>
          <w:sz w:val="20"/>
          <w:szCs w:val="20"/>
        </w:rPr>
        <w:tab/>
        <w:t>*</w:t>
      </w:r>
      <w:r w:rsidRPr="00ED00CF">
        <w:rPr>
          <w:sz w:val="20"/>
          <w:szCs w:val="20"/>
        </w:rPr>
        <w:tab/>
      </w:r>
      <w:r w:rsidRPr="00ED00CF">
        <w:rPr>
          <w:sz w:val="20"/>
          <w:szCs w:val="20"/>
        </w:rPr>
        <w:t>that</w:t>
      </w:r>
      <w:r w:rsidRPr="00ED00CF">
        <w:rPr>
          <w:sz w:val="20"/>
          <w:szCs w:val="20"/>
        </w:rPr>
        <w:t xml:space="preserve">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DC4A6F" w:rsidRPr="00ED00CF" w:rsidP="003C344B" w14:paraId="7FC99961" w14:textId="77777777">
      <w:pPr>
        <w:pStyle w:val="Heading2"/>
        <w:tabs>
          <w:tab w:val="clear" w:pos="0"/>
          <w:tab w:val="clear" w:pos="720"/>
          <w:tab w:val="clear" w:pos="1080"/>
          <w:tab w:val="clear" w:pos="1440"/>
        </w:tabs>
        <w:ind w:left="720" w:hanging="720"/>
        <w:rPr>
          <w:sz w:val="20"/>
          <w:szCs w:val="20"/>
        </w:rPr>
      </w:pPr>
      <w:r w:rsidRPr="00ED00CF">
        <w:rPr>
          <w:sz w:val="20"/>
          <w:szCs w:val="20"/>
        </w:rPr>
        <w:tab/>
        <w:t>*</w:t>
      </w:r>
      <w:r w:rsidRPr="00ED00CF">
        <w:rPr>
          <w:sz w:val="20"/>
          <w:szCs w:val="20"/>
        </w:rPr>
        <w:tab/>
      </w:r>
      <w:r w:rsidRPr="00ED00CF">
        <w:rPr>
          <w:sz w:val="20"/>
          <w:szCs w:val="20"/>
        </w:rPr>
        <w:t>requiring</w:t>
      </w:r>
      <w:r w:rsidRPr="00ED00CF">
        <w:rPr>
          <w:sz w:val="20"/>
          <w:szCs w:val="20"/>
        </w:rPr>
        <w:t xml:space="preserve"> respondents to submit proprietary trade secrets, or other confidential information, unless the agency can demonstrate that it has instituted procedures to protect the information's confidentiality to the extent permitted by law.</w:t>
      </w:r>
    </w:p>
    <w:p w:rsidR="00B7531F" w:rsidRPr="00ED00CF" w:rsidP="73A9246C" w14:paraId="6C161D04" w14:textId="168B5996">
      <w:pPr>
        <w:widowControl/>
        <w:tabs>
          <w:tab w:val="left" w:pos="548"/>
          <w:tab w:val="left" w:pos="1028"/>
          <w:tab w:val="left" w:pos="1549"/>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p>
    <w:p w:rsidR="00B7531F" w:rsidRPr="00ED00CF" w:rsidP="008763B7" w14:paraId="276424E8" w14:textId="11AE5EFA">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r w:rsidRPr="00ED00CF">
        <w:rPr>
          <w:rFonts w:ascii="Times New Roman" w:hAnsi="Times New Roman"/>
          <w:sz w:val="20"/>
          <w:szCs w:val="20"/>
        </w:rPr>
        <w:t>The collections of information under this OMB control number are consistent with requirements outlined in 5 CFR 1320.</w:t>
      </w:r>
      <w:r w:rsidRPr="00ED00CF" w:rsidR="00F25FFB">
        <w:rPr>
          <w:rFonts w:ascii="Times New Roman" w:hAnsi="Times New Roman"/>
          <w:sz w:val="20"/>
          <w:szCs w:val="20"/>
        </w:rPr>
        <w:t>5</w:t>
      </w:r>
      <w:r w:rsidRPr="00ED00CF">
        <w:rPr>
          <w:rFonts w:ascii="Times New Roman" w:hAnsi="Times New Roman"/>
          <w:sz w:val="20"/>
          <w:szCs w:val="20"/>
        </w:rPr>
        <w:t>(d).</w:t>
      </w:r>
    </w:p>
    <w:p w:rsidR="005176CD" w:rsidRPr="00ED00CF" w14:paraId="47E894E6" w14:textId="77777777">
      <w:pPr>
        <w:tabs>
          <w:tab w:val="left" w:pos="-1440"/>
          <w:tab w:val="left" w:pos="-720"/>
          <w:tab w:val="left" w:pos="0"/>
          <w:tab w:val="left" w:pos="548"/>
          <w:tab w:val="left" w:pos="1028"/>
          <w:tab w:val="left" w:pos="1549"/>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p>
    <w:p w:rsidR="00CB01F1" w:rsidRPr="00ED00CF" w:rsidP="003C344B" w14:paraId="40A5135F" w14:textId="56DF40D4">
      <w:pPr>
        <w:pStyle w:val="Heading2"/>
        <w:rPr>
          <w:sz w:val="20"/>
          <w:szCs w:val="20"/>
        </w:rPr>
      </w:pPr>
      <w:r w:rsidRPr="00ED00CF">
        <w:rPr>
          <w:sz w:val="20"/>
          <w:szCs w:val="20"/>
        </w:rPr>
        <w:t>8.</w:t>
      </w:r>
      <w:r w:rsidRPr="00ED00CF">
        <w:rPr>
          <w:sz w:val="20"/>
          <w:szCs w:val="20"/>
        </w:rPr>
        <w:tab/>
        <w:t xml:space="preserve">If applicable, provide a copy and identify the date and page number of </w:t>
      </w:r>
      <w:r w:rsidRPr="00ED00CF">
        <w:rPr>
          <w:sz w:val="20"/>
          <w:szCs w:val="20"/>
        </w:rPr>
        <w:t>publication</w:t>
      </w:r>
      <w:r w:rsidRPr="00ED00CF">
        <w:rPr>
          <w:sz w:val="20"/>
          <w:szCs w:val="20"/>
        </w:rPr>
        <w:t xml:space="preserve"> in the Federal Register of the agency's notice, required by 5 CFR 1320.8(d), soliciting comments on the information collection prior to submission to OMB.</w:t>
      </w:r>
      <w:r w:rsidRPr="00ED00CF" w:rsidR="00E954E6">
        <w:rPr>
          <w:sz w:val="20"/>
          <w:szCs w:val="20"/>
        </w:rPr>
        <w:t xml:space="preserve"> </w:t>
      </w:r>
      <w:r w:rsidRPr="00ED00CF">
        <w:rPr>
          <w:sz w:val="20"/>
          <w:szCs w:val="20"/>
        </w:rPr>
        <w:t>Summarize public comments received in response to that notice and in response to the PRA statement associated with the collection over the past three years, and describe actions taken by the agency in response to these comments.</w:t>
      </w:r>
      <w:r w:rsidRPr="00ED00CF" w:rsidR="00E954E6">
        <w:rPr>
          <w:sz w:val="20"/>
          <w:szCs w:val="20"/>
        </w:rPr>
        <w:t xml:space="preserve"> </w:t>
      </w:r>
      <w:r w:rsidRPr="00ED00CF">
        <w:rPr>
          <w:sz w:val="20"/>
          <w:szCs w:val="20"/>
        </w:rPr>
        <w:t>Specifically address comments received on cost and hour burden.</w:t>
      </w:r>
    </w:p>
    <w:p w:rsidR="00CB01F1" w:rsidRPr="00ED00CF" w:rsidP="003C344B" w14:paraId="17E4F8DC" w14:textId="77777777">
      <w:pPr>
        <w:pStyle w:val="Heading2"/>
        <w:rPr>
          <w:sz w:val="20"/>
          <w:szCs w:val="20"/>
        </w:rPr>
      </w:pPr>
    </w:p>
    <w:p w:rsidR="00CB01F1" w:rsidRPr="00ED00CF" w:rsidP="003C344B" w14:paraId="462BBF20" w14:textId="77777777">
      <w:pPr>
        <w:pStyle w:val="Heading2"/>
        <w:rPr>
          <w:sz w:val="20"/>
          <w:szCs w:val="20"/>
        </w:rPr>
      </w:pPr>
      <w:r w:rsidRPr="009D280E">
        <w:rPr>
          <w:sz w:val="20"/>
          <w:szCs w:val="20"/>
        </w:rPr>
        <w:t xml:space="preserve">Describe efforts to consult with </w:t>
      </w:r>
      <w:r w:rsidRPr="009D280E">
        <w:rPr>
          <w:sz w:val="20"/>
          <w:szCs w:val="20"/>
        </w:rPr>
        <w:t>persons</w:t>
      </w:r>
      <w:r w:rsidRPr="009D280E">
        <w:rPr>
          <w:sz w:val="20"/>
          <w:szCs w:val="20"/>
        </w:rPr>
        <w:t xml:space="preserve"> outside the agency to obtain their views on the availability of data,</w:t>
      </w:r>
      <w:r w:rsidRPr="00ED00CF">
        <w:rPr>
          <w:sz w:val="20"/>
          <w:szCs w:val="20"/>
        </w:rPr>
        <w:t xml:space="preserve"> frequency of collection, the clarity of instructions and recordkeeping, disclosure, or reporting format (if any), and on the data elements to be recorded, disclosed, or reported.</w:t>
      </w:r>
    </w:p>
    <w:p w:rsidR="00CB01F1" w:rsidRPr="00ED00CF" w:rsidP="003C344B" w14:paraId="1750191A" w14:textId="77777777">
      <w:pPr>
        <w:pStyle w:val="Heading2"/>
        <w:rPr>
          <w:sz w:val="20"/>
          <w:szCs w:val="20"/>
        </w:rPr>
      </w:pPr>
    </w:p>
    <w:p w:rsidR="00CB01F1" w:rsidRPr="00ED00CF" w:rsidP="003C344B" w14:paraId="76DFB230" w14:textId="3ED407EE">
      <w:pPr>
        <w:pStyle w:val="Heading2"/>
        <w:rPr>
          <w:sz w:val="20"/>
          <w:szCs w:val="20"/>
        </w:rPr>
      </w:pPr>
      <w:r w:rsidRPr="00ED00CF">
        <w:rPr>
          <w:sz w:val="20"/>
          <w:szCs w:val="20"/>
        </w:rPr>
        <w:t>Consultation with representatives of those from whom information is to be obtained or those who must compile records should occur at least once every three years — even if the collection of information activity is the same as in prior periods.</w:t>
      </w:r>
      <w:r w:rsidRPr="00ED00CF" w:rsidR="00E954E6">
        <w:rPr>
          <w:sz w:val="20"/>
          <w:szCs w:val="20"/>
        </w:rPr>
        <w:t xml:space="preserve"> </w:t>
      </w:r>
      <w:r w:rsidRPr="00ED00CF">
        <w:rPr>
          <w:sz w:val="20"/>
          <w:szCs w:val="20"/>
        </w:rPr>
        <w:t>There may be circumstances that may preclude consultation in a specific situation.</w:t>
      </w:r>
      <w:r w:rsidRPr="00ED00CF" w:rsidR="00E954E6">
        <w:rPr>
          <w:sz w:val="20"/>
          <w:szCs w:val="20"/>
        </w:rPr>
        <w:t xml:space="preserve"> </w:t>
      </w:r>
      <w:r w:rsidRPr="00ED00CF">
        <w:rPr>
          <w:sz w:val="20"/>
          <w:szCs w:val="20"/>
        </w:rPr>
        <w:t>These circumstances should be explained.</w:t>
      </w:r>
    </w:p>
    <w:p w:rsidR="006434BA" w:rsidRPr="00ED00CF" w:rsidP="006434BA" w14:paraId="7EC3E10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sz w:val="20"/>
          <w:szCs w:val="20"/>
        </w:rPr>
      </w:pPr>
    </w:p>
    <w:p w:rsidR="001F4F44" w14:paraId="098F4969" w14:textId="1DA2755C">
      <w:pPr>
        <w:tabs>
          <w:tab w:val="left" w:pos="-1440"/>
          <w:tab w:val="left" w:pos="-720"/>
          <w:tab w:val="left" w:pos="0"/>
          <w:tab w:val="left" w:pos="548"/>
          <w:tab w:val="left" w:pos="1028"/>
          <w:tab w:val="left" w:pos="1549"/>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bookmarkStart w:id="0" w:name="QuickMark"/>
      <w:bookmarkEnd w:id="0"/>
      <w:r w:rsidRPr="00BF5092">
        <w:rPr>
          <w:rFonts w:ascii="Times New Roman" w:hAnsi="Times New Roman"/>
          <w:sz w:val="20"/>
          <w:szCs w:val="20"/>
        </w:rPr>
        <w:t xml:space="preserve">On </w:t>
      </w:r>
      <w:r w:rsidRPr="00BF5092" w:rsidR="00BF5092">
        <w:rPr>
          <w:rFonts w:ascii="Times New Roman" w:hAnsi="Times New Roman"/>
          <w:sz w:val="20"/>
          <w:szCs w:val="20"/>
        </w:rPr>
        <w:t>June 24</w:t>
      </w:r>
      <w:r w:rsidRPr="00BF5092" w:rsidR="00C30DAC">
        <w:rPr>
          <w:rFonts w:ascii="Times New Roman" w:hAnsi="Times New Roman"/>
          <w:sz w:val="20"/>
          <w:szCs w:val="20"/>
        </w:rPr>
        <w:t>,</w:t>
      </w:r>
      <w:r w:rsidRPr="00BF5092" w:rsidR="00BF5092">
        <w:rPr>
          <w:rFonts w:ascii="Times New Roman" w:hAnsi="Times New Roman"/>
          <w:sz w:val="20"/>
          <w:szCs w:val="20"/>
        </w:rPr>
        <w:t xml:space="preserve"> 2026</w:t>
      </w:r>
      <w:r w:rsidRPr="00BF5092" w:rsidR="00C30DAC">
        <w:rPr>
          <w:rFonts w:ascii="Times New Roman" w:hAnsi="Times New Roman"/>
          <w:sz w:val="20"/>
          <w:szCs w:val="20"/>
        </w:rPr>
        <w:t xml:space="preserve"> </w:t>
      </w:r>
      <w:r w:rsidRPr="00BF5092">
        <w:rPr>
          <w:rFonts w:ascii="Times New Roman" w:hAnsi="Times New Roman"/>
          <w:sz w:val="20"/>
          <w:szCs w:val="20"/>
        </w:rPr>
        <w:t>(</w:t>
      </w:r>
      <w:r w:rsidRPr="00BF5092" w:rsidR="00BF5092">
        <w:rPr>
          <w:rFonts w:ascii="Times New Roman" w:hAnsi="Times New Roman"/>
          <w:sz w:val="20"/>
          <w:szCs w:val="20"/>
        </w:rPr>
        <w:t>91</w:t>
      </w:r>
      <w:r w:rsidRPr="00BF5092" w:rsidR="00C30DAC">
        <w:rPr>
          <w:rFonts w:ascii="Times New Roman" w:hAnsi="Times New Roman"/>
          <w:sz w:val="20"/>
          <w:szCs w:val="20"/>
        </w:rPr>
        <w:t xml:space="preserve"> </w:t>
      </w:r>
      <w:r w:rsidRPr="00BF5092">
        <w:rPr>
          <w:rFonts w:ascii="Times New Roman" w:hAnsi="Times New Roman"/>
          <w:sz w:val="20"/>
          <w:szCs w:val="20"/>
        </w:rPr>
        <w:t xml:space="preserve">FR </w:t>
      </w:r>
      <w:r w:rsidRPr="00BF5092" w:rsidR="00BF5092">
        <w:rPr>
          <w:rFonts w:ascii="Times New Roman" w:hAnsi="Times New Roman"/>
          <w:sz w:val="20"/>
          <w:szCs w:val="20"/>
        </w:rPr>
        <w:t>38084</w:t>
      </w:r>
      <w:r w:rsidRPr="00BF5092">
        <w:rPr>
          <w:rFonts w:ascii="Times New Roman" w:hAnsi="Times New Roman"/>
          <w:sz w:val="20"/>
          <w:szCs w:val="20"/>
        </w:rPr>
        <w:t>), the</w:t>
      </w:r>
      <w:r w:rsidRPr="03AEAB0E">
        <w:rPr>
          <w:rFonts w:ascii="Times New Roman" w:hAnsi="Times New Roman"/>
          <w:sz w:val="20"/>
          <w:szCs w:val="20"/>
        </w:rPr>
        <w:t xml:space="preserve"> BLM published a notice of proposed rulemaking (</w:t>
      </w:r>
      <w:r w:rsidRPr="03AEAB0E">
        <w:rPr>
          <w:rFonts w:ascii="Times New Roman" w:hAnsi="Times New Roman"/>
          <w:sz w:val="20"/>
          <w:szCs w:val="20"/>
        </w:rPr>
        <w:t>NPRM</w:t>
      </w:r>
      <w:r w:rsidRPr="03AEAB0E">
        <w:rPr>
          <w:rFonts w:ascii="Times New Roman" w:hAnsi="Times New Roman"/>
          <w:sz w:val="20"/>
          <w:szCs w:val="20"/>
        </w:rPr>
        <w:t xml:space="preserve">) providing the </w:t>
      </w:r>
      <w:r w:rsidRPr="03AEAB0E">
        <w:rPr>
          <w:rFonts w:ascii="Times New Roman" w:hAnsi="Times New Roman"/>
          <w:sz w:val="20"/>
          <w:szCs w:val="20"/>
        </w:rPr>
        <w:t>general public</w:t>
      </w:r>
      <w:r w:rsidRPr="03AEAB0E">
        <w:rPr>
          <w:rFonts w:ascii="Times New Roman" w:hAnsi="Times New Roman"/>
          <w:sz w:val="20"/>
          <w:szCs w:val="20"/>
        </w:rPr>
        <w:t xml:space="preserve"> and interested </w:t>
      </w:r>
      <w:r w:rsidRPr="03AEAB0E">
        <w:rPr>
          <w:rFonts w:ascii="Times New Roman" w:hAnsi="Times New Roman"/>
          <w:sz w:val="20"/>
          <w:szCs w:val="20"/>
        </w:rPr>
        <w:t>parties</w:t>
      </w:r>
      <w:r w:rsidRPr="03AEAB0E">
        <w:rPr>
          <w:rFonts w:ascii="Times New Roman" w:hAnsi="Times New Roman"/>
          <w:sz w:val="20"/>
          <w:szCs w:val="20"/>
        </w:rPr>
        <w:t xml:space="preserve"> the opportunity to submit comments on the proposed regulatory changes.</w:t>
      </w:r>
      <w:r w:rsidRPr="03AEAB0E" w:rsidR="101518BF">
        <w:rPr>
          <w:rFonts w:ascii="Times New Roman" w:hAnsi="Times New Roman"/>
          <w:sz w:val="20"/>
          <w:szCs w:val="20"/>
        </w:rPr>
        <w:t xml:space="preserve"> </w:t>
      </w:r>
    </w:p>
    <w:p w:rsidR="001F4F44" w14:paraId="6F919B56" w14:textId="77777777">
      <w:pPr>
        <w:tabs>
          <w:tab w:val="left" w:pos="-1440"/>
          <w:tab w:val="left" w:pos="-720"/>
          <w:tab w:val="left" w:pos="0"/>
          <w:tab w:val="left" w:pos="548"/>
          <w:tab w:val="left" w:pos="1028"/>
          <w:tab w:val="left" w:pos="1549"/>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p>
    <w:p w:rsidR="00930C49" w:rsidRPr="00417E75" w:rsidP="00417E75" w14:paraId="578D3CDB" w14:textId="15AF9DA5">
      <w:pPr>
        <w:tabs>
          <w:tab w:val="left" w:pos="-1440"/>
          <w:tab w:val="left" w:pos="-720"/>
          <w:tab w:val="left" w:pos="0"/>
          <w:tab w:val="left" w:pos="548"/>
          <w:tab w:val="left" w:pos="1028"/>
          <w:tab w:val="left" w:pos="1549"/>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r w:rsidRPr="00417E75">
        <w:rPr>
          <w:rFonts w:ascii="Times New Roman" w:hAnsi="Times New Roman"/>
          <w:sz w:val="20"/>
          <w:szCs w:val="20"/>
        </w:rPr>
        <w:t xml:space="preserve">Comments </w:t>
      </w:r>
      <w:r w:rsidRPr="00417E75" w:rsidR="00C30DAC">
        <w:rPr>
          <w:rFonts w:ascii="Times New Roman" w:hAnsi="Times New Roman"/>
          <w:sz w:val="20"/>
          <w:szCs w:val="20"/>
        </w:rPr>
        <w:t>submitted</w:t>
      </w:r>
      <w:r w:rsidRPr="00417E75">
        <w:rPr>
          <w:rFonts w:ascii="Times New Roman" w:hAnsi="Times New Roman"/>
          <w:sz w:val="20"/>
          <w:szCs w:val="20"/>
        </w:rPr>
        <w:t xml:space="preserve"> in response to the </w:t>
      </w:r>
      <w:r w:rsidRPr="00417E75">
        <w:rPr>
          <w:rFonts w:ascii="Times New Roman" w:hAnsi="Times New Roman"/>
          <w:sz w:val="20"/>
          <w:szCs w:val="20"/>
        </w:rPr>
        <w:t>NPRM</w:t>
      </w:r>
      <w:r w:rsidRPr="00417E75">
        <w:rPr>
          <w:rFonts w:ascii="Times New Roman" w:hAnsi="Times New Roman"/>
          <w:sz w:val="20"/>
          <w:szCs w:val="20"/>
        </w:rPr>
        <w:t xml:space="preserve"> </w:t>
      </w:r>
      <w:r w:rsidR="00C30DAC">
        <w:rPr>
          <w:rFonts w:ascii="Times New Roman" w:hAnsi="Times New Roman"/>
          <w:sz w:val="20"/>
          <w:szCs w:val="20"/>
        </w:rPr>
        <w:t>will be</w:t>
      </w:r>
      <w:r w:rsidRPr="00417E75">
        <w:rPr>
          <w:rFonts w:ascii="Times New Roman" w:hAnsi="Times New Roman"/>
          <w:sz w:val="20"/>
          <w:szCs w:val="20"/>
        </w:rPr>
        <w:t xml:space="preserve"> addressed in the preamble to the final rule.</w:t>
      </w:r>
      <w:r w:rsidRPr="00417E75" w:rsidR="008A7FDD">
        <w:rPr>
          <w:rFonts w:ascii="Times New Roman" w:hAnsi="Times New Roman"/>
          <w:sz w:val="20"/>
          <w:szCs w:val="20"/>
        </w:rPr>
        <w:t xml:space="preserve"> </w:t>
      </w:r>
      <w:r w:rsidR="00C30DAC">
        <w:rPr>
          <w:rFonts w:ascii="Times New Roman" w:hAnsi="Times New Roman"/>
          <w:sz w:val="20"/>
          <w:szCs w:val="20"/>
        </w:rPr>
        <w:t>Comments that address the information collection requirements of this rulemaking will be summarized, along with the BLM’s response</w:t>
      </w:r>
      <w:r w:rsidR="00C514D2">
        <w:rPr>
          <w:rFonts w:ascii="Times New Roman" w:hAnsi="Times New Roman"/>
          <w:sz w:val="20"/>
          <w:szCs w:val="20"/>
        </w:rPr>
        <w:t xml:space="preserve"> to those </w:t>
      </w:r>
      <w:r w:rsidR="005B4042">
        <w:rPr>
          <w:rFonts w:ascii="Times New Roman" w:hAnsi="Times New Roman"/>
          <w:sz w:val="20"/>
          <w:szCs w:val="20"/>
        </w:rPr>
        <w:t>comments, in</w:t>
      </w:r>
      <w:r w:rsidR="00C30DAC">
        <w:rPr>
          <w:rFonts w:ascii="Times New Roman" w:hAnsi="Times New Roman"/>
          <w:sz w:val="20"/>
          <w:szCs w:val="20"/>
        </w:rPr>
        <w:t xml:space="preserve"> the information collection request submitted to OMB under the </w:t>
      </w:r>
      <w:r w:rsidR="008657BB">
        <w:rPr>
          <w:rFonts w:ascii="Times New Roman" w:hAnsi="Times New Roman"/>
          <w:sz w:val="20"/>
          <w:szCs w:val="20"/>
        </w:rPr>
        <w:t xml:space="preserve">PRA at the </w:t>
      </w:r>
      <w:r w:rsidR="00C30DAC">
        <w:rPr>
          <w:rFonts w:ascii="Times New Roman" w:hAnsi="Times New Roman"/>
          <w:sz w:val="20"/>
          <w:szCs w:val="20"/>
        </w:rPr>
        <w:t>final rule</w:t>
      </w:r>
      <w:r w:rsidR="008657BB">
        <w:rPr>
          <w:rFonts w:ascii="Times New Roman" w:hAnsi="Times New Roman"/>
          <w:sz w:val="20"/>
          <w:szCs w:val="20"/>
        </w:rPr>
        <w:t xml:space="preserve"> stage of this rulemaking</w:t>
      </w:r>
      <w:r w:rsidR="00C30DAC">
        <w:rPr>
          <w:rFonts w:ascii="Times New Roman" w:hAnsi="Times New Roman"/>
          <w:sz w:val="20"/>
          <w:szCs w:val="20"/>
        </w:rPr>
        <w:t xml:space="preserve">, as applicable. </w:t>
      </w:r>
    </w:p>
    <w:p w:rsidR="000738BE" w:rsidRPr="00ED00CF" w14:paraId="1D658639" w14:textId="77777777">
      <w:pPr>
        <w:tabs>
          <w:tab w:val="left" w:pos="-1440"/>
          <w:tab w:val="left" w:pos="-720"/>
          <w:tab w:val="left" w:pos="0"/>
          <w:tab w:val="left" w:pos="548"/>
          <w:tab w:val="left" w:pos="1028"/>
          <w:tab w:val="left" w:pos="1549"/>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p>
    <w:p w:rsidR="00150835" w:rsidRPr="00ED00CF" w:rsidP="003C344B" w14:paraId="606486FB" w14:textId="77777777">
      <w:pPr>
        <w:pStyle w:val="Heading2"/>
        <w:rPr>
          <w:sz w:val="20"/>
          <w:szCs w:val="20"/>
        </w:rPr>
      </w:pPr>
      <w:r w:rsidRPr="00ED00CF">
        <w:rPr>
          <w:sz w:val="20"/>
          <w:szCs w:val="20"/>
        </w:rPr>
        <w:t>9.</w:t>
      </w:r>
      <w:r w:rsidRPr="00ED00CF">
        <w:rPr>
          <w:sz w:val="20"/>
          <w:szCs w:val="20"/>
        </w:rPr>
        <w:tab/>
        <w:t>Explain any decision to provide any payment or gift to respondents, other than remuneration of contractors or grantees.</w:t>
      </w:r>
    </w:p>
    <w:p w:rsidR="00FC43F3" w:rsidRPr="00ED00CF" w:rsidP="006758F1" w14:paraId="0B9B3AD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0"/>
          <w:szCs w:val="20"/>
        </w:rPr>
      </w:pPr>
    </w:p>
    <w:p w:rsidR="005176CD" w:rsidRPr="00ED00CF" w:rsidP="006758F1" w14:paraId="5D2CA337" w14:textId="5AA158F0">
      <w:pPr>
        <w:tabs>
          <w:tab w:val="left" w:pos="-1440"/>
          <w:tab w:val="left" w:pos="-720"/>
          <w:tab w:val="left" w:pos="0"/>
          <w:tab w:val="left" w:pos="548"/>
          <w:tab w:val="left" w:pos="1028"/>
          <w:tab w:val="left" w:pos="1549"/>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r w:rsidRPr="00ED00CF">
        <w:rPr>
          <w:rFonts w:ascii="Times New Roman" w:hAnsi="Times New Roman"/>
          <w:sz w:val="20"/>
          <w:szCs w:val="20"/>
        </w:rPr>
        <w:t xml:space="preserve">The BLM </w:t>
      </w:r>
      <w:r w:rsidRPr="00ED00CF" w:rsidR="005B1254">
        <w:rPr>
          <w:rFonts w:ascii="Times New Roman" w:hAnsi="Times New Roman"/>
          <w:sz w:val="20"/>
          <w:szCs w:val="20"/>
        </w:rPr>
        <w:t>do</w:t>
      </w:r>
      <w:r w:rsidRPr="00ED00CF">
        <w:rPr>
          <w:rFonts w:ascii="Times New Roman" w:hAnsi="Times New Roman"/>
          <w:sz w:val="20"/>
          <w:szCs w:val="20"/>
        </w:rPr>
        <w:t>es</w:t>
      </w:r>
      <w:r w:rsidRPr="00ED00CF" w:rsidR="005B1254">
        <w:rPr>
          <w:rFonts w:ascii="Times New Roman" w:hAnsi="Times New Roman"/>
          <w:sz w:val="20"/>
          <w:szCs w:val="20"/>
        </w:rPr>
        <w:t xml:space="preserve"> not </w:t>
      </w:r>
      <w:r w:rsidRPr="00ED00CF" w:rsidR="00E713CA">
        <w:rPr>
          <w:rFonts w:ascii="Times New Roman" w:hAnsi="Times New Roman"/>
          <w:sz w:val="20"/>
          <w:szCs w:val="20"/>
        </w:rPr>
        <w:t xml:space="preserve">provide </w:t>
      </w:r>
      <w:r w:rsidRPr="00ED00CF">
        <w:rPr>
          <w:rFonts w:ascii="Times New Roman" w:hAnsi="Times New Roman"/>
          <w:sz w:val="20"/>
          <w:szCs w:val="20"/>
        </w:rPr>
        <w:t>payments or gifts to respondents.</w:t>
      </w:r>
    </w:p>
    <w:p w:rsidR="005176CD" w:rsidRPr="00ED00CF" w:rsidP="006758F1" w14:paraId="147E6AC5" w14:textId="77777777">
      <w:pPr>
        <w:tabs>
          <w:tab w:val="left" w:pos="-1440"/>
          <w:tab w:val="left" w:pos="-720"/>
          <w:tab w:val="left" w:pos="0"/>
          <w:tab w:val="left" w:pos="548"/>
          <w:tab w:val="left" w:pos="1028"/>
          <w:tab w:val="left" w:pos="1549"/>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p>
    <w:p w:rsidR="000E1C86" w:rsidRPr="00ED00CF" w:rsidP="00DC28EB" w14:paraId="50D2CFB9" w14:textId="77777777">
      <w:pPr>
        <w:pStyle w:val="Heading2"/>
        <w:rPr>
          <w:sz w:val="20"/>
          <w:szCs w:val="20"/>
        </w:rPr>
      </w:pPr>
      <w:r w:rsidRPr="00ED00CF">
        <w:rPr>
          <w:sz w:val="20"/>
          <w:szCs w:val="20"/>
        </w:rPr>
        <w:t>10.</w:t>
      </w:r>
      <w:r w:rsidRPr="00ED00CF">
        <w:rPr>
          <w:sz w:val="20"/>
          <w:szCs w:val="20"/>
        </w:rPr>
        <w:tab/>
        <w:t>Describe any assurance of confidentiality provided to respondents and the basis for the assurance in statute, regulation, or agency policy.</w:t>
      </w:r>
    </w:p>
    <w:p w:rsidR="00FC43F3" w:rsidRPr="00ED00CF" w14:paraId="4277C2F9" w14:textId="77777777">
      <w:pPr>
        <w:tabs>
          <w:tab w:val="left" w:pos="-1440"/>
          <w:tab w:val="left" w:pos="-720"/>
          <w:tab w:val="left" w:pos="0"/>
          <w:tab w:val="left" w:pos="548"/>
          <w:tab w:val="left" w:pos="1028"/>
          <w:tab w:val="left" w:pos="1549"/>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p>
    <w:p w:rsidR="000869A9" w:rsidRPr="00ED00CF" w14:paraId="077FB156" w14:textId="7330FC76">
      <w:pPr>
        <w:tabs>
          <w:tab w:val="left" w:pos="-1440"/>
          <w:tab w:val="left" w:pos="-720"/>
          <w:tab w:val="left" w:pos="0"/>
          <w:tab w:val="left" w:pos="548"/>
          <w:tab w:val="left" w:pos="1028"/>
          <w:tab w:val="left" w:pos="1549"/>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r w:rsidRPr="00ED00CF">
        <w:rPr>
          <w:rFonts w:ascii="Times New Roman" w:hAnsi="Times New Roman"/>
          <w:sz w:val="20"/>
          <w:szCs w:val="20"/>
        </w:rPr>
        <w:t>There is no explicit pledge of confidentiality.</w:t>
      </w:r>
      <w:r w:rsidRPr="00ED00CF" w:rsidR="00E954E6">
        <w:rPr>
          <w:rFonts w:ascii="Times New Roman" w:hAnsi="Times New Roman"/>
          <w:sz w:val="20"/>
          <w:szCs w:val="20"/>
        </w:rPr>
        <w:t xml:space="preserve"> </w:t>
      </w:r>
      <w:r w:rsidRPr="00ED00CF" w:rsidR="00104E96">
        <w:rPr>
          <w:rFonts w:ascii="Times New Roman" w:hAnsi="Times New Roman"/>
          <w:sz w:val="20"/>
          <w:szCs w:val="20"/>
        </w:rPr>
        <w:t xml:space="preserve">This information collection is subject to a System of Records Notice, BLM-32, Minerals </w:t>
      </w:r>
      <w:r w:rsidRPr="00ED00CF" w:rsidR="00AB2391">
        <w:rPr>
          <w:rFonts w:ascii="Times New Roman" w:hAnsi="Times New Roman"/>
          <w:sz w:val="20"/>
          <w:szCs w:val="20"/>
        </w:rPr>
        <w:t>A</w:t>
      </w:r>
      <w:r w:rsidRPr="00ED00CF" w:rsidR="00104E96">
        <w:rPr>
          <w:rFonts w:ascii="Times New Roman" w:hAnsi="Times New Roman"/>
          <w:sz w:val="20"/>
          <w:szCs w:val="20"/>
        </w:rPr>
        <w:t>uthorization Tracking System.</w:t>
      </w:r>
      <w:r w:rsidRPr="00ED00CF" w:rsidR="00E954E6">
        <w:rPr>
          <w:rFonts w:ascii="Times New Roman" w:hAnsi="Times New Roman"/>
          <w:sz w:val="20"/>
          <w:szCs w:val="20"/>
        </w:rPr>
        <w:t xml:space="preserve"> </w:t>
      </w:r>
    </w:p>
    <w:p w:rsidR="005176CD" w:rsidRPr="00ED00CF" w14:paraId="48C2F2C7" w14:textId="77777777">
      <w:pPr>
        <w:tabs>
          <w:tab w:val="left" w:pos="-1440"/>
          <w:tab w:val="left" w:pos="-720"/>
          <w:tab w:val="left" w:pos="0"/>
          <w:tab w:val="left" w:pos="548"/>
          <w:tab w:val="left" w:pos="1028"/>
          <w:tab w:val="left" w:pos="1549"/>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p>
    <w:p w:rsidR="006F6AA1" w:rsidRPr="00ED00CF" w:rsidP="00DC28EB" w14:paraId="79E8A185" w14:textId="3CCECA7A">
      <w:pPr>
        <w:pStyle w:val="Heading2"/>
        <w:rPr>
          <w:sz w:val="20"/>
          <w:szCs w:val="20"/>
        </w:rPr>
      </w:pPr>
      <w:r w:rsidRPr="00ED00CF">
        <w:rPr>
          <w:sz w:val="20"/>
          <w:szCs w:val="20"/>
        </w:rPr>
        <w:t>11.</w:t>
      </w:r>
      <w:r w:rsidRPr="00ED00CF">
        <w:rPr>
          <w:sz w:val="20"/>
          <w:szCs w:val="20"/>
        </w:rPr>
        <w:tab/>
        <w:t>Provide additional justification for any questions of a sensitive nature, such as sexual behavior and attitudes, religious beliefs, and other matters that are commonly considered private.</w:t>
      </w:r>
      <w:r w:rsidRPr="00ED00CF" w:rsidR="00E954E6">
        <w:rPr>
          <w:sz w:val="20"/>
          <w:szCs w:val="20"/>
        </w:rPr>
        <w:t xml:space="preserve"> </w:t>
      </w:r>
      <w:r w:rsidRPr="00ED00CF">
        <w:rPr>
          <w:sz w:val="20"/>
          <w:szCs w:val="20"/>
        </w:rPr>
        <w:t xml:space="preserve">This justification should include the reasons why the agency considers the questions necessary, the specific uses to be made of the information, the explanation to be given to </w:t>
      </w:r>
      <w:r w:rsidRPr="00ED00CF">
        <w:rPr>
          <w:sz w:val="20"/>
          <w:szCs w:val="20"/>
        </w:rPr>
        <w:t>persons</w:t>
      </w:r>
      <w:r w:rsidRPr="00ED00CF">
        <w:rPr>
          <w:sz w:val="20"/>
          <w:szCs w:val="20"/>
        </w:rPr>
        <w:t xml:space="preserve"> from whom the information is requested, and any steps to be taken to obtain their consent.</w:t>
      </w:r>
    </w:p>
    <w:p w:rsidR="004D2969" w:rsidRPr="00ED00CF" w14:paraId="6C89545D" w14:textId="77777777">
      <w:pPr>
        <w:tabs>
          <w:tab w:val="left" w:pos="-1440"/>
          <w:tab w:val="left" w:pos="-720"/>
          <w:tab w:val="left" w:pos="0"/>
          <w:tab w:val="left" w:pos="548"/>
          <w:tab w:val="left" w:pos="1028"/>
          <w:tab w:val="left" w:pos="1549"/>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p>
    <w:p w:rsidR="005176CD" w:rsidRPr="00ED00CF" w14:paraId="6B766719" w14:textId="43E37AC1">
      <w:pPr>
        <w:tabs>
          <w:tab w:val="left" w:pos="-1440"/>
          <w:tab w:val="left" w:pos="-720"/>
          <w:tab w:val="left" w:pos="0"/>
          <w:tab w:val="left" w:pos="548"/>
          <w:tab w:val="left" w:pos="1028"/>
          <w:tab w:val="left" w:pos="1549"/>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r w:rsidRPr="00ED00CF">
        <w:rPr>
          <w:rFonts w:ascii="Times New Roman" w:hAnsi="Times New Roman"/>
          <w:sz w:val="20"/>
          <w:szCs w:val="20"/>
        </w:rPr>
        <w:t>The BLM does</w:t>
      </w:r>
      <w:r w:rsidRPr="00ED00CF" w:rsidR="00D95CEB">
        <w:rPr>
          <w:rFonts w:ascii="Times New Roman" w:hAnsi="Times New Roman"/>
          <w:sz w:val="20"/>
          <w:szCs w:val="20"/>
        </w:rPr>
        <w:t xml:space="preserve"> not </w:t>
      </w:r>
      <w:r w:rsidRPr="00ED00CF" w:rsidR="00793E8E">
        <w:rPr>
          <w:rFonts w:ascii="Times New Roman" w:hAnsi="Times New Roman"/>
          <w:sz w:val="20"/>
          <w:szCs w:val="20"/>
        </w:rPr>
        <w:t>ask</w:t>
      </w:r>
      <w:r w:rsidRPr="00ED00CF" w:rsidR="00D95CEB">
        <w:rPr>
          <w:rFonts w:ascii="Times New Roman" w:hAnsi="Times New Roman"/>
          <w:sz w:val="20"/>
          <w:szCs w:val="20"/>
        </w:rPr>
        <w:t xml:space="preserve"> r</w:t>
      </w:r>
      <w:r w:rsidRPr="00ED00CF">
        <w:rPr>
          <w:rFonts w:ascii="Times New Roman" w:hAnsi="Times New Roman"/>
          <w:sz w:val="20"/>
          <w:szCs w:val="20"/>
        </w:rPr>
        <w:t>espondents questions of a sensitive nature.</w:t>
      </w:r>
    </w:p>
    <w:p w:rsidR="005176CD" w:rsidRPr="00ED00CF" w14:paraId="385E18E7" w14:textId="77777777">
      <w:pPr>
        <w:tabs>
          <w:tab w:val="left" w:pos="-1440"/>
          <w:tab w:val="left" w:pos="-720"/>
          <w:tab w:val="left" w:pos="0"/>
          <w:tab w:val="left" w:pos="548"/>
          <w:tab w:val="left" w:pos="1028"/>
          <w:tab w:val="left" w:pos="1549"/>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p>
    <w:p w:rsidR="007E520D" w:rsidRPr="00ED00CF" w:rsidP="00DC28EB" w14:paraId="0CEE2246" w14:textId="284C5A38">
      <w:pPr>
        <w:pStyle w:val="Heading2"/>
        <w:rPr>
          <w:sz w:val="20"/>
          <w:szCs w:val="20"/>
        </w:rPr>
      </w:pPr>
      <w:r w:rsidRPr="00ED00CF">
        <w:rPr>
          <w:sz w:val="20"/>
          <w:szCs w:val="20"/>
        </w:rPr>
        <w:t>12.</w:t>
      </w:r>
      <w:r w:rsidRPr="00ED00CF">
        <w:rPr>
          <w:sz w:val="20"/>
          <w:szCs w:val="20"/>
        </w:rPr>
        <w:tab/>
        <w:t>Provide estimates of the hour burden of the collection of information.</w:t>
      </w:r>
      <w:r w:rsidRPr="00ED00CF" w:rsidR="00E954E6">
        <w:rPr>
          <w:sz w:val="20"/>
          <w:szCs w:val="20"/>
        </w:rPr>
        <w:t xml:space="preserve"> </w:t>
      </w:r>
      <w:r w:rsidRPr="00ED00CF">
        <w:rPr>
          <w:sz w:val="20"/>
          <w:szCs w:val="20"/>
        </w:rPr>
        <w:t>The statement should:</w:t>
      </w:r>
    </w:p>
    <w:p w:rsidR="007E520D" w:rsidRPr="00ED00CF" w:rsidP="00DC28EB" w14:paraId="26A58E6E" w14:textId="3E5D48F8">
      <w:pPr>
        <w:pStyle w:val="Heading2"/>
        <w:tabs>
          <w:tab w:val="clear" w:pos="0"/>
        </w:tabs>
        <w:ind w:left="720" w:hanging="720"/>
        <w:rPr>
          <w:sz w:val="20"/>
          <w:szCs w:val="20"/>
        </w:rPr>
      </w:pPr>
      <w:r w:rsidRPr="00ED00CF">
        <w:rPr>
          <w:sz w:val="20"/>
          <w:szCs w:val="20"/>
        </w:rPr>
        <w:tab/>
        <w:t>*</w:t>
      </w:r>
      <w:r w:rsidRPr="00ED00CF">
        <w:rPr>
          <w:sz w:val="20"/>
          <w:szCs w:val="20"/>
        </w:rPr>
        <w:tab/>
        <w:t>Indicate the number of respondents, frequency of response, annual hour burden, and an explanation of how the burden was estimated.</w:t>
      </w:r>
      <w:r w:rsidRPr="00ED00CF" w:rsidR="00E954E6">
        <w:rPr>
          <w:sz w:val="20"/>
          <w:szCs w:val="20"/>
        </w:rPr>
        <w:t xml:space="preserve"> </w:t>
      </w:r>
      <w:r w:rsidRPr="00ED00CF">
        <w:rPr>
          <w:sz w:val="20"/>
          <w:szCs w:val="20"/>
        </w:rPr>
        <w:t>Unless directed to do so, agencies should not conduct special surveys to obtain information on which to base hour burden estimates.</w:t>
      </w:r>
      <w:r w:rsidRPr="00ED00CF" w:rsidR="00E954E6">
        <w:rPr>
          <w:sz w:val="20"/>
          <w:szCs w:val="20"/>
        </w:rPr>
        <w:t xml:space="preserve"> </w:t>
      </w:r>
      <w:r w:rsidRPr="00ED00CF">
        <w:rPr>
          <w:sz w:val="20"/>
          <w:szCs w:val="20"/>
        </w:rPr>
        <w:t>Consultation with a sample (fewer than 10) of potential respondents is desirable.</w:t>
      </w:r>
      <w:r w:rsidRPr="00ED00CF" w:rsidR="00E954E6">
        <w:rPr>
          <w:sz w:val="20"/>
          <w:szCs w:val="20"/>
        </w:rPr>
        <w:t xml:space="preserve"> </w:t>
      </w:r>
      <w:r w:rsidRPr="00ED00CF">
        <w:rPr>
          <w:sz w:val="20"/>
          <w:szCs w:val="20"/>
        </w:rPr>
        <w:t xml:space="preserve">If the hour burden on respondents is expected to vary widely because of differences in activity, size, or complexity, show the range of estimated </w:t>
      </w:r>
      <w:r w:rsidRPr="00ED00CF">
        <w:rPr>
          <w:sz w:val="20"/>
          <w:szCs w:val="20"/>
        </w:rPr>
        <w:t>hour burden, and explain the reasons for the variance.</w:t>
      </w:r>
      <w:r w:rsidRPr="00ED00CF" w:rsidR="00E954E6">
        <w:rPr>
          <w:sz w:val="20"/>
          <w:szCs w:val="20"/>
        </w:rPr>
        <w:t xml:space="preserve"> </w:t>
      </w:r>
      <w:r w:rsidRPr="00ED00CF">
        <w:rPr>
          <w:sz w:val="20"/>
          <w:szCs w:val="20"/>
        </w:rPr>
        <w:t>Generally, estimates should not include burden hours for customary and usual business practices.</w:t>
      </w:r>
    </w:p>
    <w:p w:rsidR="007E520D" w:rsidRPr="00ED00CF" w:rsidP="00DC28EB" w14:paraId="3855D1E0" w14:textId="77777777">
      <w:pPr>
        <w:pStyle w:val="Heading2"/>
        <w:tabs>
          <w:tab w:val="clear" w:pos="0"/>
        </w:tabs>
        <w:ind w:left="720" w:hanging="720"/>
        <w:rPr>
          <w:sz w:val="20"/>
          <w:szCs w:val="20"/>
        </w:rPr>
      </w:pPr>
      <w:r w:rsidRPr="00ED00CF">
        <w:rPr>
          <w:sz w:val="20"/>
          <w:szCs w:val="20"/>
        </w:rPr>
        <w:tab/>
        <w:t>*</w:t>
      </w:r>
      <w:r w:rsidRPr="00ED00CF">
        <w:rPr>
          <w:sz w:val="20"/>
          <w:szCs w:val="20"/>
        </w:rPr>
        <w:tab/>
        <w:t>If this request for approval covers more than one form, provide separate hour burden estimates for each form and aggregate the hour burdens.</w:t>
      </w:r>
    </w:p>
    <w:p w:rsidR="007E520D" w:rsidRPr="00ED00CF" w:rsidP="00DC28EB" w14:paraId="4F6155E4" w14:textId="234607BC">
      <w:pPr>
        <w:pStyle w:val="Heading2"/>
        <w:tabs>
          <w:tab w:val="clear" w:pos="0"/>
        </w:tabs>
        <w:ind w:left="720" w:hanging="720"/>
        <w:rPr>
          <w:sz w:val="20"/>
          <w:szCs w:val="20"/>
        </w:rPr>
      </w:pPr>
      <w:r w:rsidRPr="00ED00CF">
        <w:rPr>
          <w:sz w:val="20"/>
          <w:szCs w:val="20"/>
        </w:rPr>
        <w:tab/>
        <w:t>*</w:t>
      </w:r>
      <w:r w:rsidRPr="00ED00CF">
        <w:rPr>
          <w:sz w:val="20"/>
          <w:szCs w:val="20"/>
        </w:rPr>
        <w:tab/>
        <w:t xml:space="preserve">Provide estimates of annualized </w:t>
      </w:r>
      <w:r w:rsidRPr="00ED00CF">
        <w:rPr>
          <w:sz w:val="20"/>
          <w:szCs w:val="20"/>
        </w:rPr>
        <w:t>cost</w:t>
      </w:r>
      <w:r w:rsidRPr="00ED00CF">
        <w:rPr>
          <w:sz w:val="20"/>
          <w:szCs w:val="20"/>
        </w:rPr>
        <w:t xml:space="preserve"> to respondents for the hour burdens for collections of information, identifying and using appropriate wage rate categories.</w:t>
      </w:r>
      <w:r w:rsidRPr="00ED00CF" w:rsidR="00E954E6">
        <w:rPr>
          <w:sz w:val="20"/>
          <w:szCs w:val="20"/>
        </w:rPr>
        <w:t xml:space="preserve"> </w:t>
      </w:r>
      <w:r w:rsidRPr="00ED00CF">
        <w:rPr>
          <w:sz w:val="20"/>
          <w:szCs w:val="20"/>
        </w:rPr>
        <w:t>The cost of contracting out or paying outside parties for information collection activities should not be included here.</w:t>
      </w:r>
    </w:p>
    <w:p w:rsidR="00164182" w:rsidRPr="00ED00CF" w:rsidP="00561660" w14:paraId="5316366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0"/>
          <w:szCs w:val="20"/>
        </w:rPr>
      </w:pPr>
    </w:p>
    <w:p w:rsidR="00D758ED" w:rsidRPr="00ED00CF" w:rsidP="00561660" w14:paraId="1631602A" w14:textId="4BC4962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0"/>
          <w:szCs w:val="20"/>
        </w:rPr>
      </w:pPr>
      <w:r w:rsidRPr="00ED00CF">
        <w:rPr>
          <w:rFonts w:ascii="Times New Roman" w:hAnsi="Times New Roman"/>
          <w:sz w:val="20"/>
          <w:szCs w:val="20"/>
        </w:rPr>
        <w:t xml:space="preserve">Table 12-1, below, shows </w:t>
      </w:r>
      <w:r w:rsidRPr="00ED00CF" w:rsidR="00E42525">
        <w:rPr>
          <w:rFonts w:ascii="Times New Roman" w:hAnsi="Times New Roman"/>
          <w:sz w:val="20"/>
          <w:szCs w:val="20"/>
        </w:rPr>
        <w:t xml:space="preserve">the BLM’s </w:t>
      </w:r>
      <w:r w:rsidRPr="00ED00CF">
        <w:rPr>
          <w:rFonts w:ascii="Times New Roman" w:hAnsi="Times New Roman"/>
          <w:sz w:val="20"/>
          <w:szCs w:val="20"/>
        </w:rPr>
        <w:t>estimate of the hourly cost burdens for respondents.</w:t>
      </w:r>
      <w:r w:rsidRPr="00ED00CF" w:rsidR="00E954E6">
        <w:rPr>
          <w:rFonts w:ascii="Times New Roman" w:hAnsi="Times New Roman"/>
          <w:sz w:val="20"/>
          <w:szCs w:val="20"/>
        </w:rPr>
        <w:t xml:space="preserve"> </w:t>
      </w:r>
      <w:r w:rsidRPr="00ED00CF">
        <w:rPr>
          <w:rFonts w:ascii="Times New Roman" w:hAnsi="Times New Roman"/>
          <w:sz w:val="20"/>
          <w:szCs w:val="20"/>
        </w:rPr>
        <w:t>The mean hourly wages for Table 12-1 were determined using national Bureau of Labor Statistics data at:</w:t>
      </w:r>
      <w:r w:rsidRPr="00ED00CF" w:rsidR="00E954E6">
        <w:rPr>
          <w:rFonts w:ascii="Times New Roman" w:hAnsi="Times New Roman"/>
          <w:sz w:val="20"/>
          <w:szCs w:val="20"/>
        </w:rPr>
        <w:t xml:space="preserve"> </w:t>
      </w:r>
      <w:hyperlink r:id="rId8" w:history="1">
        <w:r w:rsidRPr="00ED00CF" w:rsidR="00F32490">
          <w:rPr>
            <w:rStyle w:val="Hyperlink"/>
            <w:rFonts w:ascii="Times New Roman" w:hAnsi="Times New Roman"/>
            <w:sz w:val="20"/>
            <w:szCs w:val="20"/>
          </w:rPr>
          <w:t>http://www.bls.gov/oes/current/oes_nat.htm</w:t>
        </w:r>
      </w:hyperlink>
      <w:r w:rsidRPr="00ED00CF" w:rsidR="00F32490">
        <w:rPr>
          <w:rFonts w:ascii="Times New Roman" w:hAnsi="Times New Roman"/>
          <w:sz w:val="20"/>
          <w:szCs w:val="20"/>
        </w:rPr>
        <w:t>.</w:t>
      </w:r>
      <w:r w:rsidRPr="00ED00CF" w:rsidR="00E954E6">
        <w:rPr>
          <w:rFonts w:ascii="Times New Roman" w:hAnsi="Times New Roman"/>
          <w:sz w:val="20"/>
          <w:szCs w:val="20"/>
        </w:rPr>
        <w:t xml:space="preserve"> </w:t>
      </w:r>
      <w:r w:rsidRPr="00ED00CF" w:rsidR="00F32490">
        <w:rPr>
          <w:rFonts w:ascii="Times New Roman" w:hAnsi="Times New Roman"/>
          <w:sz w:val="20"/>
          <w:szCs w:val="20"/>
        </w:rPr>
        <w:t xml:space="preserve">The benefits multiplier of 1.4 is supported by information at </w:t>
      </w:r>
      <w:hyperlink r:id="rId9" w:history="1">
        <w:r w:rsidRPr="00ED00CF" w:rsidR="00F32490">
          <w:rPr>
            <w:rStyle w:val="Hyperlink"/>
            <w:rFonts w:ascii="Times New Roman" w:hAnsi="Times New Roman"/>
            <w:sz w:val="20"/>
            <w:szCs w:val="20"/>
          </w:rPr>
          <w:t>http://www.bls.gov/news.release/ecec.nr0.htm</w:t>
        </w:r>
      </w:hyperlink>
      <w:r w:rsidRPr="00ED00CF" w:rsidR="00F32490">
        <w:rPr>
          <w:rFonts w:ascii="Times New Roman" w:hAnsi="Times New Roman"/>
          <w:sz w:val="20"/>
          <w:szCs w:val="20"/>
        </w:rPr>
        <w:t>.</w:t>
      </w:r>
    </w:p>
    <w:p w:rsidR="003B29D6" w:rsidRPr="00ED00CF" w:rsidP="00F32490" w14:paraId="7F42E9D2" w14:textId="77777777">
      <w:pPr>
        <w:tabs>
          <w:tab w:val="left" w:pos="3258"/>
        </w:tabs>
        <w:rPr>
          <w:rFonts w:ascii="Times New Roman" w:hAnsi="Times New Roman"/>
          <w:sz w:val="20"/>
          <w:szCs w:val="20"/>
        </w:rPr>
      </w:pPr>
      <w:r w:rsidRPr="00ED00CF">
        <w:rPr>
          <w:rFonts w:ascii="Times New Roman" w:hAnsi="Times New Roman"/>
          <w:sz w:val="20"/>
          <w:szCs w:val="20"/>
        </w:rPr>
        <w:t xml:space="preserve"> </w:t>
      </w:r>
    </w:p>
    <w:p w:rsidR="00D758ED" w:rsidRPr="00ED00CF" w:rsidP="00866D11" w14:paraId="451110D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0"/>
          <w:szCs w:val="20"/>
        </w:rPr>
      </w:pPr>
      <w:r w:rsidRPr="00ED00CF">
        <w:rPr>
          <w:rFonts w:ascii="Times New Roman" w:hAnsi="Times New Roman"/>
          <w:b/>
          <w:sz w:val="20"/>
          <w:szCs w:val="20"/>
        </w:rPr>
        <w:t>Table 12-1</w:t>
      </w:r>
      <w:r w:rsidRPr="00ED00CF" w:rsidR="00866D11">
        <w:rPr>
          <w:rFonts w:ascii="Times New Roman" w:hAnsi="Times New Roman"/>
          <w:b/>
          <w:sz w:val="20"/>
          <w:szCs w:val="20"/>
        </w:rPr>
        <w:t xml:space="preserve">: </w:t>
      </w:r>
      <w:r w:rsidRPr="00ED00CF">
        <w:rPr>
          <w:rFonts w:ascii="Times New Roman" w:hAnsi="Times New Roman"/>
          <w:b/>
          <w:sz w:val="20"/>
          <w:szCs w:val="20"/>
        </w:rPr>
        <w:t>Hourly Cost Calculation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56"/>
        <w:gridCol w:w="1249"/>
        <w:gridCol w:w="1006"/>
        <w:gridCol w:w="1339"/>
      </w:tblGrid>
      <w:tr w14:paraId="5D04F542" w14:textId="77777777" w:rsidTr="009F6DAF">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3078" w:type="pct"/>
            <w:shd w:val="clear" w:color="auto" w:fill="BFBFBF"/>
          </w:tcPr>
          <w:p w:rsidR="00866D11" w:rsidRPr="00866D11" w:rsidP="00B87C95" w14:paraId="3ABF7274" w14:textId="77777777">
            <w:pPr>
              <w:jc w:val="center"/>
              <w:rPr>
                <w:rFonts w:ascii="Times New Roman" w:hAnsi="Times New Roman"/>
                <w:b/>
                <w:sz w:val="18"/>
                <w:szCs w:val="18"/>
              </w:rPr>
            </w:pPr>
            <w:r w:rsidRPr="00866D11">
              <w:rPr>
                <w:rFonts w:ascii="Times New Roman" w:hAnsi="Times New Roman"/>
                <w:b/>
                <w:sz w:val="18"/>
                <w:szCs w:val="18"/>
              </w:rPr>
              <w:t>Occupational Category</w:t>
            </w:r>
          </w:p>
        </w:tc>
        <w:tc>
          <w:tcPr>
            <w:tcW w:w="668" w:type="pct"/>
            <w:shd w:val="clear" w:color="auto" w:fill="BFBFBF"/>
          </w:tcPr>
          <w:p w:rsidR="00866D11" w:rsidRPr="00866D11" w:rsidP="00B87C95" w14:paraId="5D969305" w14:textId="77777777">
            <w:pPr>
              <w:jc w:val="center"/>
              <w:rPr>
                <w:rFonts w:ascii="Times New Roman" w:hAnsi="Times New Roman"/>
                <w:b/>
                <w:sz w:val="18"/>
                <w:szCs w:val="18"/>
              </w:rPr>
            </w:pPr>
            <w:r w:rsidRPr="00866D11">
              <w:rPr>
                <w:rFonts w:ascii="Times New Roman" w:hAnsi="Times New Roman"/>
                <w:b/>
                <w:sz w:val="18"/>
                <w:szCs w:val="18"/>
              </w:rPr>
              <w:t>Mean Hourly Wage</w:t>
            </w:r>
          </w:p>
        </w:tc>
        <w:tc>
          <w:tcPr>
            <w:tcW w:w="538" w:type="pct"/>
            <w:shd w:val="clear" w:color="auto" w:fill="BFBFBF"/>
          </w:tcPr>
          <w:p w:rsidR="00866D11" w:rsidRPr="00866D11" w:rsidP="00B87C95" w14:paraId="74932092" w14:textId="77777777">
            <w:pPr>
              <w:keepNext/>
              <w:keepLines/>
              <w:jc w:val="center"/>
              <w:rPr>
                <w:rFonts w:ascii="Times New Roman" w:hAnsi="Times New Roman"/>
                <w:b/>
                <w:bCs/>
                <w:sz w:val="18"/>
                <w:szCs w:val="18"/>
              </w:rPr>
            </w:pPr>
            <w:r w:rsidRPr="00866D11">
              <w:rPr>
                <w:rFonts w:ascii="Times New Roman" w:hAnsi="Times New Roman"/>
                <w:b/>
                <w:bCs/>
                <w:sz w:val="18"/>
                <w:szCs w:val="18"/>
              </w:rPr>
              <w:t>Benefits Multiplier</w:t>
            </w:r>
          </w:p>
        </w:tc>
        <w:tc>
          <w:tcPr>
            <w:tcW w:w="717" w:type="pct"/>
            <w:shd w:val="clear" w:color="auto" w:fill="BFBFBF"/>
          </w:tcPr>
          <w:p w:rsidR="00866D11" w:rsidRPr="00866D11" w:rsidP="00B87C95" w14:paraId="4B55879C" w14:textId="77777777">
            <w:pPr>
              <w:keepNext/>
              <w:keepLines/>
              <w:jc w:val="center"/>
              <w:rPr>
                <w:rFonts w:ascii="Times New Roman" w:hAnsi="Times New Roman"/>
                <w:b/>
                <w:sz w:val="18"/>
                <w:szCs w:val="18"/>
              </w:rPr>
            </w:pPr>
            <w:r w:rsidRPr="00866D11">
              <w:rPr>
                <w:rFonts w:ascii="Times New Roman" w:hAnsi="Times New Roman"/>
                <w:b/>
                <w:sz w:val="18"/>
                <w:szCs w:val="18"/>
              </w:rPr>
              <w:t>Total Mean Hourly Wage</w:t>
            </w:r>
          </w:p>
          <w:p w:rsidR="00866D11" w:rsidRPr="00866D11" w:rsidP="00B87C95" w14:paraId="2B404E34" w14:textId="77777777">
            <w:pPr>
              <w:jc w:val="center"/>
              <w:rPr>
                <w:rFonts w:ascii="Times New Roman" w:hAnsi="Times New Roman"/>
                <w:b/>
                <w:sz w:val="18"/>
                <w:szCs w:val="18"/>
                <w:u w:val="single"/>
              </w:rPr>
            </w:pPr>
          </w:p>
        </w:tc>
      </w:tr>
      <w:tr w14:paraId="640A53F4" w14:textId="77777777" w:rsidTr="009F6DAF">
        <w:tblPrEx>
          <w:tblW w:w="5000" w:type="pct"/>
          <w:tblLook w:val="04A0"/>
        </w:tblPrEx>
        <w:tc>
          <w:tcPr>
            <w:tcW w:w="3078" w:type="pct"/>
            <w:vAlign w:val="center"/>
          </w:tcPr>
          <w:p w:rsidR="00866D11" w:rsidRPr="00866D11" w:rsidP="00866D11" w14:paraId="2241D30C" w14:textId="0F684019">
            <w:pPr>
              <w:rPr>
                <w:rFonts w:ascii="Times New Roman" w:hAnsi="Times New Roman"/>
                <w:sz w:val="18"/>
                <w:szCs w:val="18"/>
              </w:rPr>
            </w:pPr>
            <w:r w:rsidRPr="00866D11">
              <w:rPr>
                <w:rFonts w:ascii="Times New Roman" w:hAnsi="Times New Roman"/>
                <w:sz w:val="18"/>
                <w:szCs w:val="18"/>
              </w:rPr>
              <w:t>Mining and Geological Engineers, Including Mining Safety Engineers</w:t>
            </w:r>
            <w:r w:rsidR="00E42525">
              <w:rPr>
                <w:rFonts w:ascii="Times New Roman" w:hAnsi="Times New Roman"/>
                <w:sz w:val="18"/>
                <w:szCs w:val="18"/>
              </w:rPr>
              <w:t>—</w:t>
            </w:r>
            <w:r w:rsidRPr="00866D11">
              <w:rPr>
                <w:rFonts w:ascii="Times New Roman" w:hAnsi="Times New Roman"/>
                <w:sz w:val="18"/>
                <w:szCs w:val="18"/>
              </w:rPr>
              <w:t>17-2151</w:t>
            </w:r>
          </w:p>
        </w:tc>
        <w:tc>
          <w:tcPr>
            <w:tcW w:w="668" w:type="pct"/>
            <w:vAlign w:val="center"/>
          </w:tcPr>
          <w:p w:rsidR="00866D11" w:rsidRPr="00866D11" w:rsidP="00B87C95" w14:paraId="524A46AE" w14:textId="2F3F428C">
            <w:pPr>
              <w:jc w:val="center"/>
              <w:rPr>
                <w:rFonts w:ascii="Times New Roman" w:hAnsi="Times New Roman"/>
                <w:sz w:val="18"/>
                <w:szCs w:val="18"/>
              </w:rPr>
            </w:pPr>
            <w:r w:rsidRPr="00866D11">
              <w:rPr>
                <w:rFonts w:ascii="Times New Roman" w:hAnsi="Times New Roman"/>
                <w:sz w:val="18"/>
                <w:szCs w:val="18"/>
              </w:rPr>
              <w:t xml:space="preserve"> $</w:t>
            </w:r>
            <w:r w:rsidR="00006264">
              <w:rPr>
                <w:rFonts w:ascii="Times New Roman" w:hAnsi="Times New Roman"/>
                <w:sz w:val="18"/>
                <w:szCs w:val="18"/>
              </w:rPr>
              <w:t>50.70</w:t>
            </w:r>
          </w:p>
        </w:tc>
        <w:tc>
          <w:tcPr>
            <w:tcW w:w="538" w:type="pct"/>
            <w:vAlign w:val="center"/>
          </w:tcPr>
          <w:p w:rsidR="00866D11" w:rsidRPr="00866D11" w:rsidP="00B87C95" w14:paraId="06865A74" w14:textId="77777777">
            <w:pPr>
              <w:keepNext/>
              <w:keepLines/>
              <w:jc w:val="center"/>
              <w:rPr>
                <w:rFonts w:ascii="Times New Roman" w:hAnsi="Times New Roman"/>
                <w:sz w:val="18"/>
                <w:szCs w:val="18"/>
              </w:rPr>
            </w:pPr>
            <w:r w:rsidRPr="00866D11">
              <w:rPr>
                <w:rFonts w:ascii="Times New Roman" w:hAnsi="Times New Roman"/>
                <w:sz w:val="18"/>
                <w:szCs w:val="18"/>
              </w:rPr>
              <w:t>1.4</w:t>
            </w:r>
          </w:p>
        </w:tc>
        <w:tc>
          <w:tcPr>
            <w:tcW w:w="717" w:type="pct"/>
            <w:vAlign w:val="center"/>
          </w:tcPr>
          <w:p w:rsidR="00866D11" w:rsidRPr="00866D11" w:rsidP="00B87C95" w14:paraId="6B48D46D" w14:textId="4AAE36D4">
            <w:pPr>
              <w:keepNext/>
              <w:keepLines/>
              <w:jc w:val="center"/>
              <w:rPr>
                <w:rFonts w:ascii="Times New Roman" w:hAnsi="Times New Roman"/>
                <w:sz w:val="18"/>
                <w:szCs w:val="18"/>
              </w:rPr>
            </w:pPr>
            <w:r w:rsidRPr="00866D11">
              <w:rPr>
                <w:rFonts w:ascii="Times New Roman" w:hAnsi="Times New Roman"/>
                <w:sz w:val="18"/>
                <w:szCs w:val="18"/>
              </w:rPr>
              <w:t>$</w:t>
            </w:r>
            <w:r w:rsidR="00006264">
              <w:rPr>
                <w:rFonts w:ascii="Times New Roman" w:hAnsi="Times New Roman"/>
                <w:sz w:val="18"/>
                <w:szCs w:val="18"/>
              </w:rPr>
              <w:t>70.98</w:t>
            </w:r>
          </w:p>
        </w:tc>
      </w:tr>
    </w:tbl>
    <w:p w:rsidR="001E0468" w:rsidRPr="00B7531F" w:rsidP="00F36D45" w14:paraId="7B43A94E"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925E5E" w:rsidRPr="00925E5E" w:rsidP="00925E5E" w14:paraId="0EEA17D6" w14:textId="3977C8AB">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r w:rsidRPr="00925E5E">
        <w:rPr>
          <w:rFonts w:ascii="Times New Roman" w:hAnsi="Times New Roman"/>
          <w:sz w:val="20"/>
          <w:szCs w:val="20"/>
        </w:rPr>
        <w:t>The estimated annual reporting burdens for this collectio</w:t>
      </w:r>
      <w:r w:rsidRPr="00925E5E" w:rsidR="006E304E">
        <w:rPr>
          <w:rFonts w:ascii="Times New Roman" w:hAnsi="Times New Roman"/>
          <w:sz w:val="20"/>
          <w:szCs w:val="20"/>
        </w:rPr>
        <w:t>n are shown below in Table 12-2.</w:t>
      </w:r>
      <w:r w:rsidRPr="00925E5E" w:rsidR="00E954E6">
        <w:rPr>
          <w:rFonts w:ascii="Times New Roman" w:hAnsi="Times New Roman"/>
          <w:sz w:val="20"/>
          <w:szCs w:val="20"/>
        </w:rPr>
        <w:t xml:space="preserve"> </w:t>
      </w:r>
      <w:r w:rsidRPr="00925E5E" w:rsidR="006E304E">
        <w:rPr>
          <w:rFonts w:ascii="Times New Roman" w:hAnsi="Times New Roman"/>
          <w:sz w:val="20"/>
          <w:szCs w:val="20"/>
        </w:rPr>
        <w:t>The estimated hourly wage is shown at Table 12-1, above.</w:t>
      </w:r>
      <w:r w:rsidRPr="00925E5E" w:rsidR="001F7284">
        <w:rPr>
          <w:rFonts w:ascii="Times New Roman" w:hAnsi="Times New Roman"/>
          <w:sz w:val="20"/>
          <w:szCs w:val="20"/>
        </w:rPr>
        <w:t xml:space="preserve"> The burden numbers are based on the BLM’s years of experience with managing oil and gas leasing programs and the economic analysis performed by the BLM for the proposed rule.</w:t>
      </w:r>
      <w:r w:rsidRPr="00925E5E" w:rsidR="00A1593B">
        <w:rPr>
          <w:rFonts w:ascii="Times New Roman" w:hAnsi="Times New Roman"/>
          <w:sz w:val="20"/>
          <w:szCs w:val="20"/>
        </w:rPr>
        <w:t xml:space="preserve"> </w:t>
      </w:r>
      <w:r w:rsidRPr="00925E5E">
        <w:rPr>
          <w:rFonts w:ascii="Times New Roman" w:hAnsi="Times New Roman"/>
          <w:sz w:val="20"/>
          <w:szCs w:val="20"/>
        </w:rPr>
        <w:t xml:space="preserve">All responses occur “on occasion” and are necessary to obtain or retain a benefit (i.e., a </w:t>
      </w:r>
      <w:r w:rsidRPr="00925E5E">
        <w:rPr>
          <w:rFonts w:ascii="Times New Roman" w:hAnsi="Times New Roman"/>
          <w:sz w:val="20"/>
          <w:szCs w:val="20"/>
        </w:rPr>
        <w:t>Federal</w:t>
      </w:r>
      <w:r w:rsidRPr="00925E5E">
        <w:rPr>
          <w:rFonts w:ascii="Times New Roman" w:hAnsi="Times New Roman"/>
          <w:sz w:val="20"/>
          <w:szCs w:val="20"/>
        </w:rPr>
        <w:t xml:space="preserve"> oil and gas lease). Hour and cost burdens to respondents include time </w:t>
      </w:r>
      <w:r w:rsidRPr="00925E5E">
        <w:rPr>
          <w:rFonts w:ascii="Times New Roman" w:hAnsi="Times New Roman"/>
          <w:sz w:val="20"/>
          <w:szCs w:val="20"/>
        </w:rPr>
        <w:t>spent for</w:t>
      </w:r>
      <w:r w:rsidRPr="00925E5E">
        <w:rPr>
          <w:rFonts w:ascii="Times New Roman" w:hAnsi="Times New Roman"/>
          <w:sz w:val="20"/>
          <w:szCs w:val="20"/>
        </w:rPr>
        <w:t xml:space="preserve"> researching, preparing, and submitting information.</w:t>
      </w:r>
    </w:p>
    <w:p w:rsidR="73A9246C" w:rsidP="73A9246C" w14:paraId="790F030E" w14:textId="3B96CCE0">
      <w:pPr>
        <w:pStyle w:val="FootnoteText"/>
        <w:spacing w:after="0" w:line="240" w:lineRule="auto"/>
        <w:rPr>
          <w:rFonts w:ascii="Times New Roman" w:hAnsi="Times New Roman"/>
          <w:b/>
          <w:bCs/>
        </w:rPr>
      </w:pPr>
    </w:p>
    <w:p w:rsidR="00D758ED" w:rsidRPr="00ED00CF" w:rsidP="00866D11" w14:paraId="5466B451" w14:textId="77777777">
      <w:pPr>
        <w:pStyle w:val="FootnoteText"/>
        <w:spacing w:after="0" w:line="240" w:lineRule="auto"/>
        <w:rPr>
          <w:rFonts w:ascii="Times New Roman" w:hAnsi="Times New Roman"/>
          <w:b/>
        </w:rPr>
      </w:pPr>
      <w:r w:rsidRPr="00ED00CF">
        <w:rPr>
          <w:rFonts w:ascii="Times New Roman" w:hAnsi="Times New Roman"/>
          <w:b/>
        </w:rPr>
        <w:t>Table 12-2</w:t>
      </w:r>
      <w:r w:rsidRPr="00ED00CF" w:rsidR="00866D11">
        <w:rPr>
          <w:rFonts w:ascii="Times New Roman" w:hAnsi="Times New Roman"/>
          <w:b/>
        </w:rPr>
        <w:t xml:space="preserve">: </w:t>
      </w:r>
      <w:r w:rsidRPr="00ED00CF">
        <w:rPr>
          <w:rFonts w:ascii="Times New Roman" w:hAnsi="Times New Roman"/>
          <w:b/>
        </w:rPr>
        <w:t xml:space="preserve">Estimates of Hour and </w:t>
      </w:r>
      <w:r w:rsidRPr="00ED00CF" w:rsidR="005B4AD9">
        <w:rPr>
          <w:rFonts w:ascii="Times New Roman" w:hAnsi="Times New Roman"/>
          <w:b/>
        </w:rPr>
        <w:t xml:space="preserve">Hour-Related </w:t>
      </w:r>
      <w:r w:rsidRPr="00ED00CF">
        <w:rPr>
          <w:rFonts w:ascii="Times New Roman" w:hAnsi="Times New Roman"/>
          <w:b/>
        </w:rPr>
        <w:t>Cost Burdens</w:t>
      </w:r>
    </w:p>
    <w:tbl>
      <w:tblPr>
        <w:tblW w:w="9352" w:type="dxa"/>
        <w:tblLayout w:type="fixed"/>
        <w:tblCellMar>
          <w:left w:w="120" w:type="dxa"/>
          <w:right w:w="120" w:type="dxa"/>
        </w:tblCellMar>
        <w:tblLook w:val="0000"/>
      </w:tblPr>
      <w:tblGrid>
        <w:gridCol w:w="3322"/>
        <w:gridCol w:w="1080"/>
        <w:gridCol w:w="1260"/>
        <w:gridCol w:w="1170"/>
        <w:gridCol w:w="1170"/>
        <w:gridCol w:w="1350"/>
      </w:tblGrid>
      <w:tr w14:paraId="1724B1FD" w14:textId="77777777" w:rsidTr="00EE56AB">
        <w:tblPrEx>
          <w:tblW w:w="9352" w:type="dxa"/>
          <w:tblLayout w:type="fixed"/>
          <w:tblCellMar>
            <w:left w:w="120" w:type="dxa"/>
            <w:right w:w="120" w:type="dxa"/>
          </w:tblCellMar>
          <w:tblLook w:val="0000"/>
        </w:tblPrEx>
        <w:trPr>
          <w:cantSplit/>
          <w:tblHeader/>
        </w:trPr>
        <w:tc>
          <w:tcPr>
            <w:tcW w:w="332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tcPr>
          <w:p w:rsidR="00EE56AB" w:rsidRPr="00866D11" w:rsidP="00A81977" w14:paraId="03206C3F" w14:textId="7AFF5E1B">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imes New Roman" w:hAnsi="Times New Roman"/>
                <w:sz w:val="18"/>
                <w:szCs w:val="18"/>
              </w:rPr>
            </w:pPr>
            <w:r w:rsidRPr="00866D11">
              <w:rPr>
                <w:rFonts w:ascii="Times New Roman" w:hAnsi="Times New Roman"/>
                <w:b/>
                <w:bCs/>
                <w:sz w:val="18"/>
                <w:szCs w:val="18"/>
              </w:rPr>
              <w:t xml:space="preserve">Information Collection </w:t>
            </w:r>
          </w:p>
        </w:tc>
        <w:tc>
          <w:tcPr>
            <w:tcW w:w="10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tcPr>
          <w:p w:rsidR="00EE56AB" w:rsidRPr="00866D11" w:rsidP="00A81977" w14:paraId="78E109B0"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imes New Roman" w:hAnsi="Times New Roman"/>
                <w:b/>
                <w:bCs/>
                <w:sz w:val="18"/>
                <w:szCs w:val="18"/>
              </w:rPr>
            </w:pPr>
            <w:r w:rsidRPr="00866D11">
              <w:rPr>
                <w:rFonts w:ascii="Times New Roman" w:hAnsi="Times New Roman"/>
                <w:b/>
                <w:bCs/>
                <w:sz w:val="18"/>
                <w:szCs w:val="18"/>
              </w:rPr>
              <w:t>Number of Annual Responses</w:t>
            </w: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tcPr>
          <w:p w:rsidR="00EE56AB" w:rsidRPr="00866D11" w:rsidP="00A81977" w14:paraId="6C3DA2F7"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imes New Roman" w:hAnsi="Times New Roman"/>
                <w:sz w:val="18"/>
                <w:szCs w:val="18"/>
              </w:rPr>
            </w:pPr>
            <w:r w:rsidRPr="00866D11">
              <w:rPr>
                <w:rFonts w:ascii="Times New Roman" w:hAnsi="Times New Roman"/>
                <w:b/>
                <w:bCs/>
                <w:sz w:val="18"/>
                <w:szCs w:val="18"/>
              </w:rPr>
              <w:t>Hours Per Response</w:t>
            </w:r>
          </w:p>
        </w:tc>
        <w:tc>
          <w:tcPr>
            <w:tcW w:w="11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tcPr>
          <w:p w:rsidR="00EE56AB" w:rsidRPr="00866D11" w:rsidP="00A81977" w14:paraId="13A1CBA7"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imes New Roman" w:hAnsi="Times New Roman"/>
                <w:b/>
                <w:sz w:val="18"/>
                <w:szCs w:val="18"/>
              </w:rPr>
            </w:pPr>
            <w:r>
              <w:rPr>
                <w:rFonts w:ascii="Times New Roman" w:hAnsi="Times New Roman"/>
                <w:b/>
                <w:sz w:val="18"/>
                <w:szCs w:val="18"/>
              </w:rPr>
              <w:t>Annual Burden</w:t>
            </w:r>
            <w:r w:rsidRPr="00866D11">
              <w:rPr>
                <w:rFonts w:ascii="Times New Roman" w:hAnsi="Times New Roman"/>
                <w:b/>
                <w:sz w:val="18"/>
                <w:szCs w:val="18"/>
              </w:rPr>
              <w:t xml:space="preserve"> Hours</w:t>
            </w:r>
          </w:p>
          <w:p w:rsidR="00EE56AB" w:rsidRPr="00866D11" w:rsidP="00A81977" w14:paraId="410E8B20"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imes New Roman" w:hAnsi="Times New Roman"/>
                <w:b/>
                <w:bCs/>
                <w:sz w:val="18"/>
                <w:szCs w:val="18"/>
              </w:rPr>
            </w:pPr>
          </w:p>
        </w:tc>
        <w:tc>
          <w:tcPr>
            <w:tcW w:w="11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tcPr>
          <w:p w:rsidR="00EE56AB" w:rsidRPr="00866D11" w:rsidP="00A81977" w14:paraId="1753E716" w14:textId="104337F9">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imes New Roman" w:hAnsi="Times New Roman"/>
                <w:b/>
                <w:sz w:val="18"/>
                <w:szCs w:val="18"/>
              </w:rPr>
            </w:pPr>
            <w:r w:rsidRPr="00D637B7">
              <w:rPr>
                <w:rFonts w:ascii="Times New Roman" w:hAnsi="Times New Roman"/>
                <w:b/>
                <w:sz w:val="18"/>
                <w:szCs w:val="18"/>
              </w:rPr>
              <w:t>Mean Hourly Wage</w:t>
            </w:r>
          </w:p>
        </w:tc>
        <w:tc>
          <w:tcPr>
            <w:tcW w:w="13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tcPr>
          <w:p w:rsidR="00EE56AB" w:rsidRPr="00866D11" w:rsidP="00A81977" w14:paraId="65FC3313" w14:textId="453F1FEE">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imes New Roman" w:hAnsi="Times New Roman"/>
                <w:b/>
                <w:sz w:val="18"/>
                <w:szCs w:val="18"/>
              </w:rPr>
            </w:pPr>
            <w:r>
              <w:rPr>
                <w:rFonts w:ascii="Times New Roman" w:hAnsi="Times New Roman"/>
                <w:b/>
                <w:sz w:val="18"/>
                <w:szCs w:val="18"/>
              </w:rPr>
              <w:t>Hourly Cost Burden</w:t>
            </w:r>
          </w:p>
          <w:p w:rsidR="00EE56AB" w:rsidRPr="00866D11" w:rsidP="004947D3" w14:paraId="174041B0" w14:textId="36217205">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imes New Roman" w:hAnsi="Times New Roman"/>
                <w:b/>
                <w:sz w:val="18"/>
                <w:szCs w:val="18"/>
              </w:rPr>
            </w:pPr>
          </w:p>
        </w:tc>
      </w:tr>
      <w:tr w14:paraId="2D7BB928" w14:textId="77777777" w:rsidTr="00EE56AB">
        <w:tblPrEx>
          <w:tblW w:w="9352" w:type="dxa"/>
          <w:tblLayout w:type="fixed"/>
          <w:tblCellMar>
            <w:left w:w="120" w:type="dxa"/>
            <w:right w:w="120" w:type="dxa"/>
          </w:tblCellMar>
          <w:tblLook w:val="0000"/>
        </w:tblPrEx>
        <w:trPr>
          <w:cantSplit/>
        </w:trPr>
        <w:tc>
          <w:tcPr>
            <w:tcW w:w="332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EE56AB" w:rsidRPr="00106468" w:rsidP="003001E8" w14:paraId="00B0F4D4"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00106468">
              <w:rPr>
                <w:rFonts w:ascii="Times New Roman" w:hAnsi="Times New Roman"/>
                <w:sz w:val="18"/>
                <w:szCs w:val="18"/>
              </w:rPr>
              <w:t>Joinder evidence statement</w:t>
            </w:r>
          </w:p>
          <w:p w:rsidR="00EE56AB" w:rsidRPr="00106468" w:rsidP="003001E8" w14:paraId="1FAD227D" w14:textId="11B7054C">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00106468">
              <w:rPr>
                <w:rFonts w:ascii="Times New Roman" w:hAnsi="Times New Roman"/>
                <w:sz w:val="18"/>
                <w:szCs w:val="18"/>
              </w:rPr>
              <w:t>43 CFR 3101.30</w:t>
            </w:r>
          </w:p>
        </w:tc>
        <w:tc>
          <w:tcPr>
            <w:tcW w:w="108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EE56AB" w:rsidRPr="00626323" w:rsidP="003001E8" w14:paraId="203D8678" w14:textId="2D13027C">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bCs/>
                <w:sz w:val="18"/>
                <w:szCs w:val="18"/>
              </w:rPr>
            </w:pPr>
            <w:r w:rsidRPr="00626323">
              <w:rPr>
                <w:rFonts w:ascii="Times New Roman" w:hAnsi="Times New Roman"/>
                <w:sz w:val="18"/>
                <w:szCs w:val="18"/>
              </w:rPr>
              <w:t>40</w:t>
            </w: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EE56AB" w:rsidRPr="00626323" w:rsidP="003001E8" w14:paraId="735C7F3C"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bCs/>
                <w:sz w:val="18"/>
                <w:szCs w:val="18"/>
              </w:rPr>
            </w:pPr>
            <w:r w:rsidRPr="00626323">
              <w:rPr>
                <w:rFonts w:ascii="Times New Roman" w:hAnsi="Times New Roman"/>
                <w:bCs/>
                <w:sz w:val="18"/>
                <w:szCs w:val="18"/>
              </w:rPr>
              <w:t>1</w:t>
            </w:r>
          </w:p>
        </w:tc>
        <w:tc>
          <w:tcPr>
            <w:tcW w:w="117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EE56AB" w:rsidRPr="00626323" w:rsidP="003001E8" w14:paraId="3E8A123D" w14:textId="4B3E2AEE">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sz w:val="18"/>
                <w:szCs w:val="18"/>
              </w:rPr>
            </w:pPr>
            <w:r w:rsidRPr="00626323">
              <w:rPr>
                <w:rFonts w:ascii="Times New Roman" w:hAnsi="Times New Roman"/>
                <w:sz w:val="18"/>
                <w:szCs w:val="18"/>
              </w:rPr>
              <w:t>40</w:t>
            </w:r>
          </w:p>
        </w:tc>
        <w:tc>
          <w:tcPr>
            <w:tcW w:w="117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EE56AB" w:rsidRPr="00626323" w:rsidP="003001E8" w14:paraId="2834D47F" w14:textId="12DBB8E9">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sz w:val="18"/>
                <w:szCs w:val="18"/>
              </w:rPr>
            </w:pPr>
            <w:r w:rsidRPr="00A2121F">
              <w:rPr>
                <w:rFonts w:ascii="Times New Roman" w:hAnsi="Times New Roman"/>
                <w:sz w:val="18"/>
                <w:szCs w:val="18"/>
              </w:rPr>
              <w:t>$70.98</w:t>
            </w:r>
          </w:p>
        </w:tc>
        <w:tc>
          <w:tcPr>
            <w:tcW w:w="135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EE56AB" w:rsidRPr="00626323" w:rsidP="003001E8" w14:paraId="51EA884C" w14:textId="59EC8ED9">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sz w:val="18"/>
                <w:szCs w:val="18"/>
              </w:rPr>
            </w:pPr>
            <w:r>
              <w:rPr>
                <w:color w:val="000000"/>
                <w:sz w:val="18"/>
                <w:szCs w:val="18"/>
              </w:rPr>
              <w:t xml:space="preserve">$2,839.20 </w:t>
            </w:r>
          </w:p>
        </w:tc>
      </w:tr>
      <w:tr w14:paraId="2F622267" w14:textId="77777777" w:rsidTr="00EE56AB">
        <w:tblPrEx>
          <w:tblW w:w="9352" w:type="dxa"/>
          <w:tblLayout w:type="fixed"/>
          <w:tblCellMar>
            <w:left w:w="120" w:type="dxa"/>
            <w:right w:w="120" w:type="dxa"/>
          </w:tblCellMar>
          <w:tblLook w:val="0000"/>
        </w:tblPrEx>
        <w:trPr>
          <w:cantSplit/>
        </w:trPr>
        <w:tc>
          <w:tcPr>
            <w:tcW w:w="332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EE56AB" w:rsidRPr="00106468" w:rsidP="003001E8" w14:paraId="6CBDA1F1" w14:textId="02811ABF">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00354DAB">
              <w:rPr>
                <w:rFonts w:ascii="Times New Roman" w:hAnsi="Times New Roman"/>
                <w:sz w:val="18"/>
                <w:szCs w:val="18"/>
              </w:rPr>
              <w:t xml:space="preserve">Excess Acreage - Proof of Acreage reduction 43 CFR 3102.54 </w:t>
            </w:r>
          </w:p>
        </w:tc>
        <w:tc>
          <w:tcPr>
            <w:tcW w:w="108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EE56AB" w:rsidRPr="00626323" w:rsidP="003001E8" w14:paraId="754BD028" w14:textId="5840137D">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sz w:val="18"/>
                <w:szCs w:val="18"/>
              </w:rPr>
            </w:pPr>
            <w:r>
              <w:rPr>
                <w:rFonts w:ascii="Times New Roman" w:hAnsi="Times New Roman"/>
                <w:sz w:val="18"/>
                <w:szCs w:val="18"/>
              </w:rPr>
              <w:t>1</w:t>
            </w: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EE56AB" w:rsidRPr="00626323" w:rsidP="003001E8" w14:paraId="787D8A16" w14:textId="772FD3CC">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bCs/>
                <w:sz w:val="18"/>
                <w:szCs w:val="18"/>
              </w:rPr>
            </w:pPr>
            <w:r>
              <w:rPr>
                <w:rFonts w:ascii="Times New Roman" w:hAnsi="Times New Roman"/>
                <w:bCs/>
                <w:sz w:val="18"/>
                <w:szCs w:val="18"/>
              </w:rPr>
              <w:t>1</w:t>
            </w:r>
          </w:p>
        </w:tc>
        <w:tc>
          <w:tcPr>
            <w:tcW w:w="117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EE56AB" w:rsidRPr="00626323" w:rsidP="003001E8" w14:paraId="03275C11" w14:textId="7E3F5FAA">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sz w:val="18"/>
                <w:szCs w:val="18"/>
              </w:rPr>
            </w:pPr>
            <w:r>
              <w:rPr>
                <w:rFonts w:ascii="Times New Roman" w:hAnsi="Times New Roman"/>
                <w:sz w:val="18"/>
                <w:szCs w:val="18"/>
              </w:rPr>
              <w:t>1</w:t>
            </w:r>
          </w:p>
        </w:tc>
        <w:tc>
          <w:tcPr>
            <w:tcW w:w="117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EE56AB" w:rsidRPr="00A2121F" w:rsidP="003001E8" w14:paraId="1803A536" w14:textId="6FA50114">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sz w:val="18"/>
                <w:szCs w:val="18"/>
              </w:rPr>
            </w:pPr>
            <w:r>
              <w:rPr>
                <w:rFonts w:ascii="Times New Roman" w:hAnsi="Times New Roman"/>
                <w:sz w:val="18"/>
                <w:szCs w:val="18"/>
              </w:rPr>
              <w:t>70.98</w:t>
            </w:r>
          </w:p>
        </w:tc>
        <w:tc>
          <w:tcPr>
            <w:tcW w:w="1350" w:type="dxa"/>
            <w:tcBorders>
              <w:top w:val="nil"/>
              <w:left w:val="single" w:sz="8" w:space="0" w:color="000000" w:themeColor="text1"/>
              <w:bottom w:val="single" w:sz="8" w:space="0" w:color="000000" w:themeColor="text1"/>
              <w:right w:val="single" w:sz="8" w:space="0" w:color="000000" w:themeColor="text1"/>
            </w:tcBorders>
            <w:vAlign w:val="center"/>
          </w:tcPr>
          <w:p w:rsidR="00EE56AB" w:rsidRPr="00626323" w:rsidP="003001E8" w14:paraId="5EE5C276" w14:textId="58558606">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sz w:val="18"/>
                <w:szCs w:val="18"/>
              </w:rPr>
            </w:pPr>
            <w:r>
              <w:rPr>
                <w:color w:val="000000"/>
                <w:sz w:val="18"/>
                <w:szCs w:val="18"/>
              </w:rPr>
              <w:t xml:space="preserve">$70.98 </w:t>
            </w:r>
          </w:p>
        </w:tc>
      </w:tr>
      <w:tr w14:paraId="0CE79E4E" w14:textId="77777777" w:rsidTr="00EE56AB">
        <w:tblPrEx>
          <w:tblW w:w="9352" w:type="dxa"/>
          <w:tblLayout w:type="fixed"/>
          <w:tblCellMar>
            <w:left w:w="120" w:type="dxa"/>
            <w:right w:w="120" w:type="dxa"/>
          </w:tblCellMar>
          <w:tblLook w:val="0000"/>
        </w:tblPrEx>
        <w:trPr>
          <w:cantSplit/>
        </w:trPr>
        <w:tc>
          <w:tcPr>
            <w:tcW w:w="332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EE56AB" w:rsidRPr="008D3250" w:rsidP="00D010F3" w14:paraId="2BD4C3EE" w14:textId="75965975">
            <w:pPr>
              <w:pStyle w:val="Heading3"/>
              <w:rPr>
                <w:b w:val="0"/>
                <w:bCs w:val="0"/>
                <w:sz w:val="18"/>
                <w:szCs w:val="18"/>
              </w:rPr>
            </w:pPr>
            <w:r w:rsidRPr="008D3250">
              <w:rPr>
                <w:b w:val="0"/>
                <w:bCs w:val="0"/>
                <w:sz w:val="18"/>
                <w:szCs w:val="18"/>
              </w:rPr>
              <w:t xml:space="preserve">Excess Acreage - Petition </w:t>
            </w:r>
            <w:r w:rsidRPr="008D3250">
              <w:rPr>
                <w:b w:val="0"/>
                <w:bCs w:val="0"/>
                <w:sz w:val="18"/>
                <w:szCs w:val="18"/>
              </w:rPr>
              <w:t>for</w:t>
            </w:r>
            <w:r w:rsidR="00D010F3">
              <w:rPr>
                <w:b w:val="0"/>
                <w:bCs w:val="0"/>
                <w:sz w:val="18"/>
                <w:szCs w:val="18"/>
              </w:rPr>
              <w:t xml:space="preserve">  </w:t>
            </w:r>
            <w:r w:rsidRPr="008D3250">
              <w:rPr>
                <w:b w:val="0"/>
                <w:bCs w:val="0"/>
                <w:sz w:val="18"/>
                <w:szCs w:val="18"/>
              </w:rPr>
              <w:t>Additional</w:t>
            </w:r>
          </w:p>
          <w:p w:rsidR="00EE56AB" w:rsidRPr="008D3250" w:rsidP="00D010F3" w14:paraId="2B9E9EEE" w14:textId="772C8844">
            <w:pPr>
              <w:pStyle w:val="Heading3"/>
              <w:rPr>
                <w:b w:val="0"/>
                <w:bCs w:val="0"/>
                <w:sz w:val="18"/>
                <w:szCs w:val="18"/>
              </w:rPr>
            </w:pPr>
            <w:r w:rsidRPr="008D3250">
              <w:rPr>
                <w:b w:val="0"/>
                <w:bCs w:val="0"/>
                <w:sz w:val="18"/>
                <w:szCs w:val="18"/>
              </w:rPr>
              <w:t>Time to</w:t>
            </w:r>
            <w:r w:rsidR="00D010F3">
              <w:rPr>
                <w:b w:val="0"/>
                <w:bCs w:val="0"/>
                <w:sz w:val="18"/>
                <w:szCs w:val="18"/>
              </w:rPr>
              <w:t xml:space="preserve"> </w:t>
            </w:r>
            <w:r w:rsidRPr="008D3250">
              <w:rPr>
                <w:b w:val="0"/>
                <w:bCs w:val="0"/>
                <w:sz w:val="18"/>
                <w:szCs w:val="18"/>
              </w:rPr>
              <w:t>Divest Excess</w:t>
            </w:r>
            <w:r w:rsidR="00D010F3">
              <w:rPr>
                <w:b w:val="0"/>
                <w:bCs w:val="0"/>
                <w:sz w:val="18"/>
                <w:szCs w:val="18"/>
              </w:rPr>
              <w:t xml:space="preserve"> </w:t>
            </w:r>
            <w:r w:rsidRPr="008D3250">
              <w:rPr>
                <w:b w:val="0"/>
                <w:bCs w:val="0"/>
                <w:sz w:val="18"/>
                <w:szCs w:val="18"/>
              </w:rPr>
              <w:t>Acreage 43</w:t>
            </w:r>
          </w:p>
          <w:p w:rsidR="00EE56AB" w:rsidRPr="002A3204" w:rsidP="00D010F3" w14:paraId="059C5E88" w14:textId="115E3D15">
            <w:pPr>
              <w:pStyle w:val="Heading3"/>
              <w:rPr>
                <w:b w:val="0"/>
                <w:bCs w:val="0"/>
                <w:sz w:val="18"/>
                <w:szCs w:val="18"/>
              </w:rPr>
            </w:pPr>
            <w:r w:rsidRPr="008D3250">
              <w:rPr>
                <w:b w:val="0"/>
                <w:bCs w:val="0"/>
                <w:sz w:val="18"/>
                <w:szCs w:val="18"/>
              </w:rPr>
              <w:t>CFR</w:t>
            </w:r>
            <w:r w:rsidR="00D010F3">
              <w:rPr>
                <w:b w:val="0"/>
                <w:bCs w:val="0"/>
                <w:sz w:val="18"/>
                <w:szCs w:val="18"/>
              </w:rPr>
              <w:t xml:space="preserve"> </w:t>
            </w:r>
            <w:r w:rsidRPr="008D3250">
              <w:rPr>
                <w:b w:val="0"/>
                <w:bCs w:val="0"/>
                <w:sz w:val="18"/>
                <w:szCs w:val="18"/>
              </w:rPr>
              <w:t xml:space="preserve">3102.54 </w:t>
            </w:r>
          </w:p>
        </w:tc>
        <w:tc>
          <w:tcPr>
            <w:tcW w:w="108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EE56AB" w:rsidRPr="00626323" w:rsidP="003001E8" w14:paraId="70A8B16E" w14:textId="74F468D1">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sz w:val="18"/>
                <w:szCs w:val="18"/>
              </w:rPr>
            </w:pPr>
            <w:r>
              <w:rPr>
                <w:rFonts w:ascii="Times New Roman" w:hAnsi="Times New Roman"/>
                <w:sz w:val="18"/>
                <w:szCs w:val="18"/>
              </w:rPr>
              <w:t>1</w:t>
            </w: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EE56AB" w:rsidRPr="00626323" w:rsidP="003001E8" w14:paraId="12ABAECB" w14:textId="4C47264A">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bCs/>
                <w:sz w:val="18"/>
                <w:szCs w:val="18"/>
              </w:rPr>
            </w:pPr>
            <w:r>
              <w:rPr>
                <w:rFonts w:ascii="Times New Roman" w:hAnsi="Times New Roman"/>
                <w:bCs/>
                <w:sz w:val="18"/>
                <w:szCs w:val="18"/>
              </w:rPr>
              <w:t>1</w:t>
            </w:r>
          </w:p>
        </w:tc>
        <w:tc>
          <w:tcPr>
            <w:tcW w:w="117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EE56AB" w:rsidRPr="00626323" w:rsidP="003001E8" w14:paraId="5F5D4F87" w14:textId="09EA5D1C">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sz w:val="18"/>
                <w:szCs w:val="18"/>
              </w:rPr>
            </w:pPr>
            <w:r>
              <w:rPr>
                <w:rFonts w:ascii="Times New Roman" w:hAnsi="Times New Roman"/>
                <w:sz w:val="18"/>
                <w:szCs w:val="18"/>
              </w:rPr>
              <w:t>1</w:t>
            </w:r>
          </w:p>
        </w:tc>
        <w:tc>
          <w:tcPr>
            <w:tcW w:w="117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EE56AB" w:rsidRPr="00A2121F" w:rsidP="003001E8" w14:paraId="19C0C736" w14:textId="51BE2339">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sz w:val="18"/>
                <w:szCs w:val="18"/>
              </w:rPr>
            </w:pPr>
            <w:r w:rsidRPr="006C341B">
              <w:rPr>
                <w:rFonts w:ascii="Times New Roman" w:hAnsi="Times New Roman"/>
                <w:sz w:val="18"/>
                <w:szCs w:val="18"/>
              </w:rPr>
              <w:t>$70.98</w:t>
            </w:r>
          </w:p>
        </w:tc>
        <w:tc>
          <w:tcPr>
            <w:tcW w:w="1350" w:type="dxa"/>
            <w:tcBorders>
              <w:top w:val="nil"/>
              <w:left w:val="single" w:sz="8" w:space="0" w:color="000000" w:themeColor="text1"/>
              <w:bottom w:val="single" w:sz="8" w:space="0" w:color="000000" w:themeColor="text1"/>
              <w:right w:val="single" w:sz="8" w:space="0" w:color="000000" w:themeColor="text1"/>
            </w:tcBorders>
            <w:vAlign w:val="center"/>
          </w:tcPr>
          <w:p w:rsidR="00EE56AB" w:rsidRPr="00626323" w:rsidP="003001E8" w14:paraId="13A71BF1" w14:textId="72E2A483">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sz w:val="18"/>
                <w:szCs w:val="18"/>
              </w:rPr>
            </w:pPr>
            <w:r>
              <w:rPr>
                <w:color w:val="000000"/>
                <w:sz w:val="18"/>
                <w:szCs w:val="18"/>
              </w:rPr>
              <w:t xml:space="preserve">$70.98 </w:t>
            </w:r>
          </w:p>
        </w:tc>
      </w:tr>
      <w:tr w14:paraId="67116EDE" w14:textId="77777777" w:rsidTr="00EE56AB">
        <w:tblPrEx>
          <w:tblW w:w="9352" w:type="dxa"/>
          <w:tblLayout w:type="fixed"/>
          <w:tblCellMar>
            <w:left w:w="120" w:type="dxa"/>
            <w:right w:w="120" w:type="dxa"/>
          </w:tblCellMar>
          <w:tblLook w:val="0000"/>
        </w:tblPrEx>
        <w:trPr>
          <w:cantSplit/>
        </w:trPr>
        <w:tc>
          <w:tcPr>
            <w:tcW w:w="332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EE56AB" w:rsidRPr="00106468" w:rsidP="003001E8" w14:paraId="7E7AFC6F"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00106468">
              <w:rPr>
                <w:rFonts w:ascii="Times New Roman" w:hAnsi="Times New Roman"/>
                <w:sz w:val="18"/>
                <w:szCs w:val="18"/>
              </w:rPr>
              <w:t>Waiver, suspension, or reduction of rental or royalty</w:t>
            </w:r>
          </w:p>
          <w:p w:rsidR="00EE56AB" w:rsidRPr="00106468" w:rsidP="003001E8" w14:paraId="4F332469" w14:textId="6665E0A1">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00CE239E">
              <w:rPr>
                <w:sz w:val="18"/>
                <w:szCs w:val="18"/>
              </w:rPr>
              <w:t>3103.41 and 3103.42</w:t>
            </w:r>
          </w:p>
        </w:tc>
        <w:tc>
          <w:tcPr>
            <w:tcW w:w="108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EE56AB" w:rsidRPr="00626323" w:rsidP="003001E8" w14:paraId="4E8D5103" w14:textId="7F7FFF18">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bCs/>
                <w:sz w:val="18"/>
                <w:szCs w:val="18"/>
              </w:rPr>
            </w:pPr>
            <w:r w:rsidRPr="00626323">
              <w:rPr>
                <w:rFonts w:ascii="Times New Roman" w:hAnsi="Times New Roman"/>
                <w:sz w:val="18"/>
                <w:szCs w:val="18"/>
              </w:rPr>
              <w:t>820</w:t>
            </w: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EE56AB" w:rsidRPr="00626323" w:rsidP="003001E8" w14:paraId="1E69C8D8"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bCs/>
                <w:sz w:val="18"/>
                <w:szCs w:val="18"/>
              </w:rPr>
            </w:pPr>
            <w:r w:rsidRPr="00626323">
              <w:rPr>
                <w:rFonts w:ascii="Times New Roman" w:hAnsi="Times New Roman"/>
                <w:bCs/>
                <w:sz w:val="18"/>
                <w:szCs w:val="18"/>
              </w:rPr>
              <w:t>2</w:t>
            </w:r>
          </w:p>
        </w:tc>
        <w:tc>
          <w:tcPr>
            <w:tcW w:w="117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EE56AB" w:rsidRPr="00626323" w:rsidP="003001E8" w14:paraId="5B4AC2DC" w14:textId="5747B53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sz w:val="18"/>
                <w:szCs w:val="18"/>
              </w:rPr>
            </w:pPr>
            <w:r w:rsidRPr="00626323">
              <w:rPr>
                <w:rFonts w:ascii="Times New Roman" w:hAnsi="Times New Roman"/>
                <w:sz w:val="18"/>
                <w:szCs w:val="18"/>
              </w:rPr>
              <w:t>1,640</w:t>
            </w:r>
          </w:p>
        </w:tc>
        <w:tc>
          <w:tcPr>
            <w:tcW w:w="117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EE56AB" w:rsidRPr="00626323" w:rsidP="003001E8" w14:paraId="08EE7E22" w14:textId="5DA58CF8">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sz w:val="18"/>
                <w:szCs w:val="18"/>
              </w:rPr>
            </w:pPr>
            <w:r w:rsidRPr="00A2121F">
              <w:rPr>
                <w:rFonts w:ascii="Times New Roman" w:hAnsi="Times New Roman"/>
                <w:sz w:val="18"/>
                <w:szCs w:val="18"/>
              </w:rPr>
              <w:t>$70.98</w:t>
            </w:r>
          </w:p>
        </w:tc>
        <w:tc>
          <w:tcPr>
            <w:tcW w:w="1350" w:type="dxa"/>
            <w:tcBorders>
              <w:top w:val="nil"/>
              <w:left w:val="single" w:sz="8" w:space="0" w:color="000000" w:themeColor="text1"/>
              <w:bottom w:val="single" w:sz="8" w:space="0" w:color="000000" w:themeColor="text1"/>
              <w:right w:val="single" w:sz="8" w:space="0" w:color="000000" w:themeColor="text1"/>
            </w:tcBorders>
            <w:vAlign w:val="center"/>
          </w:tcPr>
          <w:p w:rsidR="00EE56AB" w:rsidRPr="00626323" w:rsidP="003001E8" w14:paraId="5E225B32" w14:textId="2CA94A65">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sz w:val="18"/>
                <w:szCs w:val="18"/>
              </w:rPr>
            </w:pPr>
            <w:r>
              <w:rPr>
                <w:color w:val="000000"/>
                <w:sz w:val="18"/>
                <w:szCs w:val="18"/>
              </w:rPr>
              <w:t xml:space="preserve">$116,407.20 </w:t>
            </w:r>
          </w:p>
        </w:tc>
      </w:tr>
      <w:tr w14:paraId="76046648" w14:textId="77777777" w:rsidTr="00EE56AB">
        <w:tblPrEx>
          <w:tblW w:w="9352" w:type="dxa"/>
          <w:tblLayout w:type="fixed"/>
          <w:tblCellMar>
            <w:left w:w="120" w:type="dxa"/>
            <w:right w:w="120" w:type="dxa"/>
          </w:tblCellMar>
          <w:tblLook w:val="0000"/>
        </w:tblPrEx>
        <w:trPr>
          <w:cantSplit/>
        </w:trPr>
        <w:tc>
          <w:tcPr>
            <w:tcW w:w="332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EE56AB" w:rsidRPr="00106468" w:rsidP="279F62BA" w14:paraId="22D73575" w14:textId="6A7E4EEC">
            <w:pPr>
              <w:widowControl/>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279F62BA">
              <w:rPr>
                <w:rFonts w:ascii="Times New Roman" w:hAnsi="Times New Roman"/>
                <w:sz w:val="18"/>
                <w:szCs w:val="18"/>
              </w:rPr>
              <w:t>Communitization</w:t>
            </w:r>
            <w:r w:rsidRPr="279F62BA">
              <w:rPr>
                <w:rFonts w:ascii="Times New Roman" w:hAnsi="Times New Roman"/>
                <w:sz w:val="18"/>
                <w:szCs w:val="18"/>
              </w:rPr>
              <w:t xml:space="preserve"> agreements</w:t>
            </w:r>
          </w:p>
          <w:p w:rsidR="00EE56AB" w:rsidRPr="00106468" w:rsidP="003001E8" w14:paraId="352A982E" w14:textId="6D676EDB">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00106468">
              <w:rPr>
                <w:rFonts w:ascii="Times New Roman" w:hAnsi="Times New Roman"/>
                <w:sz w:val="18"/>
                <w:szCs w:val="18"/>
              </w:rPr>
              <w:t>43 CFR 3105.2</w:t>
            </w:r>
            <w:r>
              <w:rPr>
                <w:rFonts w:ascii="Times New Roman" w:hAnsi="Times New Roman"/>
                <w:sz w:val="18"/>
                <w:szCs w:val="18"/>
              </w:rPr>
              <w:t>1</w:t>
            </w:r>
          </w:p>
        </w:tc>
        <w:tc>
          <w:tcPr>
            <w:tcW w:w="108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EE56AB" w:rsidRPr="00626323" w:rsidP="003001E8" w14:paraId="05BC7E1C" w14:textId="05473942">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bCs/>
                <w:sz w:val="18"/>
                <w:szCs w:val="18"/>
              </w:rPr>
            </w:pPr>
            <w:r w:rsidRPr="00626323">
              <w:rPr>
                <w:rFonts w:ascii="Times New Roman" w:hAnsi="Times New Roman"/>
                <w:sz w:val="18"/>
                <w:szCs w:val="18"/>
              </w:rPr>
              <w:t>281</w:t>
            </w: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EE56AB" w:rsidRPr="00626323" w:rsidP="003001E8" w14:paraId="2B3EB7A3"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bCs/>
                <w:sz w:val="18"/>
                <w:szCs w:val="18"/>
              </w:rPr>
            </w:pPr>
            <w:r w:rsidRPr="00626323">
              <w:rPr>
                <w:rFonts w:ascii="Times New Roman" w:hAnsi="Times New Roman"/>
                <w:bCs/>
                <w:sz w:val="18"/>
                <w:szCs w:val="18"/>
              </w:rPr>
              <w:t>2</w:t>
            </w:r>
          </w:p>
        </w:tc>
        <w:tc>
          <w:tcPr>
            <w:tcW w:w="117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EE56AB" w:rsidRPr="00626323" w:rsidP="003001E8" w14:paraId="2017BC49" w14:textId="5CD2C791">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sz w:val="18"/>
                <w:szCs w:val="18"/>
              </w:rPr>
            </w:pPr>
            <w:r w:rsidRPr="00626323">
              <w:rPr>
                <w:rFonts w:ascii="Times New Roman" w:hAnsi="Times New Roman"/>
                <w:sz w:val="18"/>
                <w:szCs w:val="18"/>
              </w:rPr>
              <w:t>562</w:t>
            </w:r>
          </w:p>
        </w:tc>
        <w:tc>
          <w:tcPr>
            <w:tcW w:w="117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EE56AB" w:rsidRPr="00626323" w:rsidP="003001E8" w14:paraId="753CC0E3" w14:textId="20B690DD">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sz w:val="18"/>
                <w:szCs w:val="18"/>
              </w:rPr>
            </w:pPr>
            <w:r w:rsidRPr="00A2121F">
              <w:rPr>
                <w:rFonts w:ascii="Times New Roman" w:hAnsi="Times New Roman"/>
                <w:sz w:val="18"/>
                <w:szCs w:val="18"/>
              </w:rPr>
              <w:t>$70.98</w:t>
            </w:r>
          </w:p>
        </w:tc>
        <w:tc>
          <w:tcPr>
            <w:tcW w:w="1350" w:type="dxa"/>
            <w:tcBorders>
              <w:top w:val="nil"/>
              <w:left w:val="single" w:sz="8" w:space="0" w:color="000000" w:themeColor="text1"/>
              <w:bottom w:val="single" w:sz="8" w:space="0" w:color="000000" w:themeColor="text1"/>
              <w:right w:val="single" w:sz="8" w:space="0" w:color="000000" w:themeColor="text1"/>
            </w:tcBorders>
            <w:vAlign w:val="center"/>
          </w:tcPr>
          <w:p w:rsidR="00EE56AB" w:rsidRPr="00626323" w:rsidP="003001E8" w14:paraId="499F0EB7" w14:textId="5456338A">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sz w:val="18"/>
                <w:szCs w:val="18"/>
              </w:rPr>
            </w:pPr>
            <w:r>
              <w:rPr>
                <w:color w:val="000000"/>
                <w:sz w:val="18"/>
                <w:szCs w:val="18"/>
              </w:rPr>
              <w:t xml:space="preserve">$39,890.76 </w:t>
            </w:r>
          </w:p>
        </w:tc>
      </w:tr>
      <w:tr w14:paraId="6856A9C7" w14:textId="77777777" w:rsidTr="00EE56AB">
        <w:tblPrEx>
          <w:tblW w:w="9352" w:type="dxa"/>
          <w:tblLayout w:type="fixed"/>
          <w:tblCellMar>
            <w:left w:w="120" w:type="dxa"/>
            <w:right w:w="120" w:type="dxa"/>
          </w:tblCellMar>
          <w:tblLook w:val="0000"/>
        </w:tblPrEx>
        <w:trPr>
          <w:cantSplit/>
        </w:trPr>
        <w:tc>
          <w:tcPr>
            <w:tcW w:w="332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EE56AB" w:rsidRPr="00106468" w:rsidP="003001E8" w14:paraId="21D4D643" w14:textId="19B3D2DF">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00106468">
              <w:rPr>
                <w:rFonts w:ascii="Times New Roman" w:hAnsi="Times New Roman"/>
                <w:sz w:val="18"/>
                <w:szCs w:val="18"/>
              </w:rPr>
              <w:t>Operating, drilling, or development contracts 43 CFR 3105.3</w:t>
            </w:r>
            <w:r>
              <w:rPr>
                <w:rFonts w:ascii="Times New Roman" w:hAnsi="Times New Roman"/>
                <w:sz w:val="18"/>
                <w:szCs w:val="18"/>
              </w:rPr>
              <w:t>1</w:t>
            </w:r>
          </w:p>
        </w:tc>
        <w:tc>
          <w:tcPr>
            <w:tcW w:w="108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EE56AB" w:rsidRPr="00626323" w:rsidP="003001E8" w14:paraId="7E1EF9C2"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bCs/>
                <w:sz w:val="18"/>
                <w:szCs w:val="18"/>
              </w:rPr>
            </w:pPr>
            <w:r w:rsidRPr="00626323">
              <w:rPr>
                <w:rFonts w:ascii="Times New Roman" w:hAnsi="Times New Roman"/>
                <w:sz w:val="18"/>
                <w:szCs w:val="18"/>
              </w:rPr>
              <w:t>1</w:t>
            </w: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EE56AB" w:rsidRPr="00626323" w:rsidP="003001E8" w14:paraId="0560776C"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bCs/>
                <w:sz w:val="18"/>
                <w:szCs w:val="18"/>
              </w:rPr>
            </w:pPr>
            <w:r w:rsidRPr="00626323">
              <w:rPr>
                <w:rFonts w:ascii="Times New Roman" w:hAnsi="Times New Roman"/>
                <w:bCs/>
                <w:sz w:val="18"/>
                <w:szCs w:val="18"/>
              </w:rPr>
              <w:t>1</w:t>
            </w:r>
          </w:p>
        </w:tc>
        <w:tc>
          <w:tcPr>
            <w:tcW w:w="117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EE56AB" w:rsidRPr="00626323" w:rsidP="003001E8" w14:paraId="60D22C18"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sz w:val="18"/>
                <w:szCs w:val="18"/>
              </w:rPr>
            </w:pPr>
            <w:r w:rsidRPr="00626323">
              <w:rPr>
                <w:rFonts w:ascii="Times New Roman" w:hAnsi="Times New Roman"/>
                <w:sz w:val="18"/>
                <w:szCs w:val="18"/>
              </w:rPr>
              <w:t>1</w:t>
            </w:r>
          </w:p>
        </w:tc>
        <w:tc>
          <w:tcPr>
            <w:tcW w:w="117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EE56AB" w:rsidRPr="00626323" w:rsidP="003001E8" w14:paraId="026FBA43" w14:textId="3105D5CC">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sz w:val="18"/>
                <w:szCs w:val="18"/>
              </w:rPr>
            </w:pPr>
            <w:r w:rsidRPr="00A2121F">
              <w:rPr>
                <w:rFonts w:ascii="Times New Roman" w:hAnsi="Times New Roman"/>
                <w:sz w:val="18"/>
                <w:szCs w:val="18"/>
              </w:rPr>
              <w:t>$70.98</w:t>
            </w:r>
          </w:p>
        </w:tc>
        <w:tc>
          <w:tcPr>
            <w:tcW w:w="1350" w:type="dxa"/>
            <w:tcBorders>
              <w:top w:val="nil"/>
              <w:left w:val="single" w:sz="8" w:space="0" w:color="000000" w:themeColor="text1"/>
              <w:bottom w:val="single" w:sz="8" w:space="0" w:color="000000" w:themeColor="text1"/>
              <w:right w:val="single" w:sz="8" w:space="0" w:color="000000" w:themeColor="text1"/>
            </w:tcBorders>
            <w:vAlign w:val="center"/>
          </w:tcPr>
          <w:p w:rsidR="00EE56AB" w:rsidRPr="00626323" w:rsidP="003001E8" w14:paraId="79F287F5" w14:textId="2E6657FE">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sz w:val="18"/>
                <w:szCs w:val="18"/>
              </w:rPr>
            </w:pPr>
            <w:r>
              <w:rPr>
                <w:color w:val="000000"/>
                <w:sz w:val="18"/>
                <w:szCs w:val="18"/>
              </w:rPr>
              <w:t xml:space="preserve">$70.98 </w:t>
            </w:r>
          </w:p>
        </w:tc>
      </w:tr>
      <w:tr w14:paraId="555F254D" w14:textId="77777777" w:rsidTr="00EE56AB">
        <w:tblPrEx>
          <w:tblW w:w="9352" w:type="dxa"/>
          <w:tblLayout w:type="fixed"/>
          <w:tblCellMar>
            <w:left w:w="120" w:type="dxa"/>
            <w:right w:w="120" w:type="dxa"/>
          </w:tblCellMar>
          <w:tblLook w:val="0000"/>
        </w:tblPrEx>
        <w:trPr>
          <w:cantSplit/>
        </w:trPr>
        <w:tc>
          <w:tcPr>
            <w:tcW w:w="332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EE56AB" w:rsidRPr="00106468" w:rsidP="003001E8" w14:paraId="04E6DC58"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00106468">
              <w:rPr>
                <w:rFonts w:ascii="Times New Roman" w:hAnsi="Times New Roman"/>
                <w:sz w:val="18"/>
                <w:szCs w:val="18"/>
              </w:rPr>
              <w:t>Subsurface storage application</w:t>
            </w:r>
          </w:p>
          <w:p w:rsidR="00EE56AB" w:rsidRPr="00106468" w:rsidP="003001E8" w14:paraId="279FDE82" w14:textId="73B35C61">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00106468">
              <w:rPr>
                <w:rFonts w:ascii="Times New Roman" w:hAnsi="Times New Roman"/>
                <w:sz w:val="18"/>
                <w:szCs w:val="18"/>
              </w:rPr>
              <w:t>43 CFR 3105.4</w:t>
            </w:r>
            <w:r>
              <w:rPr>
                <w:rFonts w:ascii="Times New Roman" w:hAnsi="Times New Roman"/>
                <w:sz w:val="18"/>
                <w:szCs w:val="18"/>
              </w:rPr>
              <w:t>1</w:t>
            </w:r>
          </w:p>
        </w:tc>
        <w:tc>
          <w:tcPr>
            <w:tcW w:w="108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EE56AB" w:rsidRPr="00626323" w:rsidP="003001E8" w14:paraId="603E5195"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bCs/>
                <w:sz w:val="18"/>
                <w:szCs w:val="18"/>
              </w:rPr>
            </w:pPr>
            <w:r w:rsidRPr="00626323">
              <w:rPr>
                <w:rFonts w:ascii="Times New Roman" w:hAnsi="Times New Roman"/>
                <w:sz w:val="18"/>
                <w:szCs w:val="18"/>
              </w:rPr>
              <w:t>1</w:t>
            </w: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EE56AB" w:rsidRPr="00626323" w:rsidP="003001E8" w14:paraId="51CCA1EF"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bCs/>
                <w:sz w:val="18"/>
                <w:szCs w:val="18"/>
              </w:rPr>
            </w:pPr>
            <w:r w:rsidRPr="00626323">
              <w:rPr>
                <w:rFonts w:ascii="Times New Roman" w:hAnsi="Times New Roman"/>
                <w:bCs/>
                <w:sz w:val="18"/>
                <w:szCs w:val="18"/>
              </w:rPr>
              <w:t>1</w:t>
            </w:r>
          </w:p>
        </w:tc>
        <w:tc>
          <w:tcPr>
            <w:tcW w:w="117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EE56AB" w:rsidRPr="00626323" w:rsidP="003001E8" w14:paraId="326D41BD"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sz w:val="18"/>
                <w:szCs w:val="18"/>
              </w:rPr>
            </w:pPr>
            <w:r w:rsidRPr="00626323">
              <w:rPr>
                <w:rFonts w:ascii="Times New Roman" w:hAnsi="Times New Roman"/>
                <w:sz w:val="18"/>
                <w:szCs w:val="18"/>
              </w:rPr>
              <w:t>1</w:t>
            </w:r>
          </w:p>
        </w:tc>
        <w:tc>
          <w:tcPr>
            <w:tcW w:w="117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EE56AB" w:rsidRPr="00626323" w:rsidP="003001E8" w14:paraId="2DB92060" w14:textId="1E7E2831">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sz w:val="18"/>
                <w:szCs w:val="18"/>
              </w:rPr>
            </w:pPr>
            <w:r w:rsidRPr="00A2121F">
              <w:rPr>
                <w:rFonts w:ascii="Times New Roman" w:hAnsi="Times New Roman"/>
                <w:sz w:val="18"/>
                <w:szCs w:val="18"/>
              </w:rPr>
              <w:t>$70.98</w:t>
            </w:r>
          </w:p>
        </w:tc>
        <w:tc>
          <w:tcPr>
            <w:tcW w:w="1350" w:type="dxa"/>
            <w:tcBorders>
              <w:top w:val="nil"/>
              <w:left w:val="single" w:sz="8" w:space="0" w:color="000000" w:themeColor="text1"/>
              <w:bottom w:val="single" w:sz="8" w:space="0" w:color="000000" w:themeColor="text1"/>
              <w:right w:val="single" w:sz="8" w:space="0" w:color="000000" w:themeColor="text1"/>
            </w:tcBorders>
            <w:vAlign w:val="center"/>
          </w:tcPr>
          <w:p w:rsidR="00EE56AB" w:rsidRPr="00626323" w:rsidP="003001E8" w14:paraId="247FC96D" w14:textId="6FD3475C">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sz w:val="18"/>
                <w:szCs w:val="18"/>
              </w:rPr>
            </w:pPr>
            <w:r>
              <w:rPr>
                <w:color w:val="000000"/>
                <w:sz w:val="18"/>
                <w:szCs w:val="18"/>
              </w:rPr>
              <w:t xml:space="preserve">$70.98 </w:t>
            </w:r>
          </w:p>
        </w:tc>
      </w:tr>
      <w:tr w14:paraId="2EEA9D25" w14:textId="77777777" w:rsidTr="00EE56AB">
        <w:tblPrEx>
          <w:tblW w:w="9352" w:type="dxa"/>
          <w:tblLayout w:type="fixed"/>
          <w:tblCellMar>
            <w:left w:w="120" w:type="dxa"/>
            <w:right w:w="120" w:type="dxa"/>
          </w:tblCellMar>
          <w:tblLook w:val="0000"/>
        </w:tblPrEx>
        <w:trPr>
          <w:cantSplit/>
        </w:trPr>
        <w:tc>
          <w:tcPr>
            <w:tcW w:w="332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EE56AB" w:rsidRPr="00106468" w:rsidP="003001E8" w14:paraId="3E26D87C"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00106468">
              <w:rPr>
                <w:rFonts w:ascii="Times New Roman" w:hAnsi="Times New Roman"/>
                <w:sz w:val="18"/>
                <w:szCs w:val="18"/>
              </w:rPr>
              <w:t>Consolidation of leases</w:t>
            </w:r>
          </w:p>
          <w:p w:rsidR="00EE56AB" w:rsidRPr="00106468" w:rsidP="003001E8" w14:paraId="734BDAE5" w14:textId="01FDE90E">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00106468">
              <w:rPr>
                <w:rFonts w:ascii="Times New Roman" w:hAnsi="Times New Roman"/>
                <w:sz w:val="18"/>
                <w:szCs w:val="18"/>
              </w:rPr>
              <w:t>43 CFR 3105.50</w:t>
            </w:r>
          </w:p>
        </w:tc>
        <w:tc>
          <w:tcPr>
            <w:tcW w:w="108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EE56AB" w:rsidRPr="00626323" w:rsidP="003001E8" w14:paraId="4476B555" w14:textId="446525AC">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bCs/>
                <w:sz w:val="18"/>
                <w:szCs w:val="18"/>
              </w:rPr>
            </w:pPr>
            <w:r w:rsidRPr="00626323">
              <w:rPr>
                <w:rFonts w:ascii="Times New Roman" w:hAnsi="Times New Roman"/>
                <w:sz w:val="18"/>
                <w:szCs w:val="18"/>
              </w:rPr>
              <w:t>50</w:t>
            </w: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EE56AB" w:rsidRPr="00626323" w:rsidP="003001E8" w14:paraId="19175BC4"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bCs/>
                <w:sz w:val="18"/>
                <w:szCs w:val="18"/>
              </w:rPr>
            </w:pPr>
            <w:r w:rsidRPr="00626323">
              <w:rPr>
                <w:rFonts w:ascii="Times New Roman" w:hAnsi="Times New Roman"/>
                <w:bCs/>
                <w:sz w:val="18"/>
                <w:szCs w:val="18"/>
              </w:rPr>
              <w:t>1</w:t>
            </w:r>
          </w:p>
        </w:tc>
        <w:tc>
          <w:tcPr>
            <w:tcW w:w="117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EE56AB" w:rsidRPr="00626323" w:rsidP="003001E8" w14:paraId="30283889" w14:textId="4B9F0A70">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sz w:val="18"/>
                <w:szCs w:val="18"/>
              </w:rPr>
            </w:pPr>
            <w:r w:rsidRPr="00626323">
              <w:rPr>
                <w:rFonts w:ascii="Times New Roman" w:hAnsi="Times New Roman"/>
                <w:sz w:val="18"/>
                <w:szCs w:val="18"/>
              </w:rPr>
              <w:t>50</w:t>
            </w:r>
          </w:p>
        </w:tc>
        <w:tc>
          <w:tcPr>
            <w:tcW w:w="117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EE56AB" w:rsidRPr="00626323" w:rsidP="003001E8" w14:paraId="390F660D" w14:textId="57EA38B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sz w:val="18"/>
                <w:szCs w:val="18"/>
              </w:rPr>
            </w:pPr>
            <w:r w:rsidRPr="00A2121F">
              <w:rPr>
                <w:rFonts w:ascii="Times New Roman" w:hAnsi="Times New Roman"/>
                <w:sz w:val="18"/>
                <w:szCs w:val="18"/>
              </w:rPr>
              <w:t>$70.98</w:t>
            </w:r>
          </w:p>
        </w:tc>
        <w:tc>
          <w:tcPr>
            <w:tcW w:w="1350" w:type="dxa"/>
            <w:tcBorders>
              <w:top w:val="nil"/>
              <w:left w:val="single" w:sz="8" w:space="0" w:color="000000" w:themeColor="text1"/>
              <w:bottom w:val="single" w:sz="8" w:space="0" w:color="000000" w:themeColor="text1"/>
              <w:right w:val="single" w:sz="8" w:space="0" w:color="000000" w:themeColor="text1"/>
            </w:tcBorders>
            <w:vAlign w:val="center"/>
          </w:tcPr>
          <w:p w:rsidR="00EE56AB" w:rsidRPr="00626323" w:rsidP="003001E8" w14:paraId="120D9A71" w14:textId="376E8ED2">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sz w:val="18"/>
                <w:szCs w:val="18"/>
              </w:rPr>
            </w:pPr>
            <w:r>
              <w:rPr>
                <w:color w:val="000000"/>
                <w:sz w:val="18"/>
                <w:szCs w:val="18"/>
              </w:rPr>
              <w:t xml:space="preserve">$3,549.00 </w:t>
            </w:r>
          </w:p>
        </w:tc>
      </w:tr>
      <w:tr w14:paraId="34A59645" w14:textId="77777777" w:rsidTr="00EE56AB">
        <w:tblPrEx>
          <w:tblW w:w="9352" w:type="dxa"/>
          <w:tblLayout w:type="fixed"/>
          <w:tblCellMar>
            <w:left w:w="120" w:type="dxa"/>
            <w:right w:w="120" w:type="dxa"/>
          </w:tblCellMar>
          <w:tblLook w:val="0000"/>
        </w:tblPrEx>
        <w:trPr>
          <w:cantSplit/>
        </w:trPr>
        <w:tc>
          <w:tcPr>
            <w:tcW w:w="332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EE56AB" w:rsidRPr="00106468" w:rsidP="003001E8" w14:paraId="63B8EB4A"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00106468">
              <w:rPr>
                <w:rFonts w:ascii="Times New Roman" w:hAnsi="Times New Roman"/>
                <w:sz w:val="18"/>
                <w:szCs w:val="18"/>
              </w:rPr>
              <w:t>Assignment of Record Title Interest / Oil and Gas Leases</w:t>
            </w:r>
          </w:p>
          <w:p w:rsidR="00EE56AB" w:rsidRPr="00106468" w:rsidP="003001E8" w14:paraId="48275976" w14:textId="04F6F1A9">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00106468">
              <w:rPr>
                <w:rFonts w:ascii="Times New Roman" w:hAnsi="Times New Roman"/>
                <w:sz w:val="18"/>
                <w:szCs w:val="18"/>
              </w:rPr>
              <w:t>43 CFR 3106.41, 3106.42, and 3106.43</w:t>
            </w:r>
          </w:p>
          <w:p w:rsidR="00EE56AB" w:rsidRPr="00106468" w:rsidP="003001E8" w14:paraId="2B3EC08B" w14:textId="289FED11">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00106468">
              <w:rPr>
                <w:rFonts w:ascii="Times New Roman" w:hAnsi="Times New Roman"/>
                <w:sz w:val="18"/>
                <w:szCs w:val="18"/>
              </w:rPr>
              <w:t>Form</w:t>
            </w:r>
            <w:r w:rsidRPr="00106468">
              <w:rPr>
                <w:rFonts w:ascii="Times New Roman" w:hAnsi="Times New Roman"/>
                <w:sz w:val="18"/>
                <w:szCs w:val="18"/>
              </w:rPr>
              <w:t xml:space="preserve"> 3000-3</w:t>
            </w:r>
          </w:p>
        </w:tc>
        <w:tc>
          <w:tcPr>
            <w:tcW w:w="108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EE56AB" w:rsidRPr="00626323" w:rsidP="003001E8" w14:paraId="3E6EF5C7" w14:textId="1E958581">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sz w:val="18"/>
                <w:szCs w:val="18"/>
              </w:rPr>
            </w:pPr>
            <w:r w:rsidRPr="00626323">
              <w:rPr>
                <w:rFonts w:ascii="Times New Roman" w:hAnsi="Times New Roman"/>
                <w:bCs/>
                <w:sz w:val="18"/>
                <w:szCs w:val="18"/>
              </w:rPr>
              <w:t>3,852</w:t>
            </w: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EE56AB" w:rsidRPr="00626323" w:rsidP="003001E8" w14:paraId="41D7A93C" w14:textId="25C85ACE">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bCs/>
                <w:sz w:val="18"/>
                <w:szCs w:val="18"/>
              </w:rPr>
            </w:pPr>
            <w:r w:rsidRPr="00626323">
              <w:rPr>
                <w:rFonts w:ascii="Times New Roman" w:hAnsi="Times New Roman"/>
                <w:bCs/>
                <w:sz w:val="18"/>
                <w:szCs w:val="18"/>
              </w:rPr>
              <w:t>.5</w:t>
            </w:r>
          </w:p>
        </w:tc>
        <w:tc>
          <w:tcPr>
            <w:tcW w:w="117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EE56AB" w:rsidRPr="00626323" w:rsidP="003001E8" w14:paraId="098449C1" w14:textId="0E6C94BD">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sz w:val="18"/>
                <w:szCs w:val="18"/>
              </w:rPr>
            </w:pPr>
            <w:r w:rsidRPr="00626323">
              <w:rPr>
                <w:rFonts w:ascii="Times New Roman" w:hAnsi="Times New Roman"/>
                <w:sz w:val="18"/>
                <w:szCs w:val="18"/>
              </w:rPr>
              <w:t>1,926</w:t>
            </w:r>
          </w:p>
        </w:tc>
        <w:tc>
          <w:tcPr>
            <w:tcW w:w="117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EE56AB" w:rsidRPr="00626323" w:rsidP="003001E8" w14:paraId="330E1441" w14:textId="2CA1A9DE">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sz w:val="18"/>
                <w:szCs w:val="18"/>
              </w:rPr>
            </w:pPr>
            <w:r w:rsidRPr="00A2121F">
              <w:rPr>
                <w:rFonts w:ascii="Times New Roman" w:hAnsi="Times New Roman"/>
                <w:sz w:val="18"/>
                <w:szCs w:val="18"/>
              </w:rPr>
              <w:t>$70.98</w:t>
            </w:r>
          </w:p>
        </w:tc>
        <w:tc>
          <w:tcPr>
            <w:tcW w:w="1350" w:type="dxa"/>
            <w:tcBorders>
              <w:top w:val="nil"/>
              <w:left w:val="single" w:sz="8" w:space="0" w:color="000000" w:themeColor="text1"/>
              <w:bottom w:val="single" w:sz="8" w:space="0" w:color="000000" w:themeColor="text1"/>
              <w:right w:val="single" w:sz="8" w:space="0" w:color="000000" w:themeColor="text1"/>
            </w:tcBorders>
            <w:vAlign w:val="center"/>
          </w:tcPr>
          <w:p w:rsidR="00EE56AB" w:rsidRPr="00626323" w:rsidP="003001E8" w14:paraId="3E2BE2B9" w14:textId="7E66D391">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sz w:val="18"/>
                <w:szCs w:val="18"/>
              </w:rPr>
            </w:pPr>
            <w:r>
              <w:rPr>
                <w:color w:val="000000"/>
                <w:sz w:val="18"/>
                <w:szCs w:val="18"/>
              </w:rPr>
              <w:t xml:space="preserve">$136,707.48 </w:t>
            </w:r>
          </w:p>
        </w:tc>
      </w:tr>
      <w:tr w14:paraId="20A88EC0" w14:textId="77777777" w:rsidTr="00EE56AB">
        <w:tblPrEx>
          <w:tblW w:w="9352" w:type="dxa"/>
          <w:tblLayout w:type="fixed"/>
          <w:tblCellMar>
            <w:left w:w="120" w:type="dxa"/>
            <w:right w:w="120" w:type="dxa"/>
          </w:tblCellMar>
          <w:tblLook w:val="0000"/>
        </w:tblPrEx>
        <w:trPr>
          <w:cantSplit/>
        </w:trPr>
        <w:tc>
          <w:tcPr>
            <w:tcW w:w="332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EE56AB" w:rsidRPr="00106468" w:rsidP="003001E8" w14:paraId="52473D9E"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00106468">
              <w:rPr>
                <w:rFonts w:ascii="Times New Roman" w:hAnsi="Times New Roman"/>
                <w:sz w:val="18"/>
                <w:szCs w:val="18"/>
              </w:rPr>
              <w:t>Transfer of Operating Rights / Oil and Gas Leases</w:t>
            </w:r>
          </w:p>
          <w:p w:rsidR="00EE56AB" w:rsidRPr="00106468" w:rsidP="003001E8" w14:paraId="1213BABB" w14:textId="5CC68EEC">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00106468">
              <w:rPr>
                <w:rFonts w:ascii="Times New Roman" w:hAnsi="Times New Roman"/>
                <w:sz w:val="18"/>
                <w:szCs w:val="18"/>
              </w:rPr>
              <w:t>43 CFR 3106.41, 3106.42, and 3106.43</w:t>
            </w:r>
          </w:p>
          <w:p w:rsidR="00EE56AB" w:rsidRPr="00106468" w:rsidP="003001E8" w14:paraId="63EBF0B8" w14:textId="19EF53BB">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00106468">
              <w:rPr>
                <w:rFonts w:ascii="Times New Roman" w:hAnsi="Times New Roman"/>
                <w:sz w:val="18"/>
                <w:szCs w:val="18"/>
              </w:rPr>
              <w:t>Form 3000-</w:t>
            </w:r>
            <w:r w:rsidRPr="00106468">
              <w:rPr>
                <w:rFonts w:ascii="Times New Roman" w:hAnsi="Times New Roman"/>
                <w:sz w:val="18"/>
                <w:szCs w:val="18"/>
              </w:rPr>
              <w:t>3a</w:t>
            </w:r>
          </w:p>
        </w:tc>
        <w:tc>
          <w:tcPr>
            <w:tcW w:w="108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EE56AB" w:rsidRPr="00626323" w:rsidP="003001E8" w14:paraId="1144A390" w14:textId="397423DE">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sz w:val="18"/>
                <w:szCs w:val="18"/>
              </w:rPr>
            </w:pPr>
            <w:r w:rsidRPr="00626323">
              <w:rPr>
                <w:rFonts w:ascii="Times New Roman" w:hAnsi="Times New Roman"/>
                <w:sz w:val="18"/>
                <w:szCs w:val="18"/>
              </w:rPr>
              <w:t>4,944</w:t>
            </w: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EE56AB" w:rsidRPr="00626323" w:rsidP="003001E8" w14:paraId="11439798" w14:textId="6AAD6698">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bCs/>
                <w:sz w:val="18"/>
                <w:szCs w:val="18"/>
              </w:rPr>
            </w:pPr>
            <w:r w:rsidRPr="00626323">
              <w:rPr>
                <w:rFonts w:ascii="Times New Roman" w:hAnsi="Times New Roman"/>
                <w:bCs/>
                <w:sz w:val="18"/>
                <w:szCs w:val="18"/>
              </w:rPr>
              <w:t>.5</w:t>
            </w:r>
          </w:p>
        </w:tc>
        <w:tc>
          <w:tcPr>
            <w:tcW w:w="117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EE56AB" w:rsidRPr="00626323" w:rsidP="003001E8" w14:paraId="691B523F" w14:textId="02882102">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sz w:val="18"/>
                <w:szCs w:val="18"/>
              </w:rPr>
            </w:pPr>
            <w:r w:rsidRPr="00626323">
              <w:rPr>
                <w:rFonts w:ascii="Times New Roman" w:hAnsi="Times New Roman"/>
                <w:sz w:val="18"/>
                <w:szCs w:val="18"/>
              </w:rPr>
              <w:t>2,472</w:t>
            </w:r>
          </w:p>
        </w:tc>
        <w:tc>
          <w:tcPr>
            <w:tcW w:w="117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EE56AB" w:rsidRPr="00626323" w:rsidP="003001E8" w14:paraId="582F2549" w14:textId="4EDC0605">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sz w:val="18"/>
                <w:szCs w:val="18"/>
              </w:rPr>
            </w:pPr>
            <w:r w:rsidRPr="00A2121F">
              <w:rPr>
                <w:rFonts w:ascii="Times New Roman" w:hAnsi="Times New Roman"/>
                <w:sz w:val="18"/>
                <w:szCs w:val="18"/>
              </w:rPr>
              <w:t>$70.98</w:t>
            </w:r>
          </w:p>
        </w:tc>
        <w:tc>
          <w:tcPr>
            <w:tcW w:w="1350" w:type="dxa"/>
            <w:tcBorders>
              <w:top w:val="nil"/>
              <w:left w:val="single" w:sz="8" w:space="0" w:color="000000" w:themeColor="text1"/>
              <w:bottom w:val="single" w:sz="8" w:space="0" w:color="000000" w:themeColor="text1"/>
              <w:right w:val="single" w:sz="8" w:space="0" w:color="000000" w:themeColor="text1"/>
            </w:tcBorders>
            <w:vAlign w:val="center"/>
          </w:tcPr>
          <w:p w:rsidR="00EE56AB" w:rsidRPr="00626323" w:rsidP="003001E8" w14:paraId="23B638AA" w14:textId="2BFC9F40">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sz w:val="18"/>
                <w:szCs w:val="18"/>
              </w:rPr>
            </w:pPr>
            <w:r>
              <w:rPr>
                <w:color w:val="000000"/>
                <w:sz w:val="18"/>
                <w:szCs w:val="18"/>
              </w:rPr>
              <w:t xml:space="preserve">$175,462.56 </w:t>
            </w:r>
          </w:p>
        </w:tc>
      </w:tr>
      <w:tr w14:paraId="50A2DD44" w14:textId="77777777" w:rsidTr="00EE56AB">
        <w:tblPrEx>
          <w:tblW w:w="9352" w:type="dxa"/>
          <w:tblLayout w:type="fixed"/>
          <w:tblCellMar>
            <w:left w:w="120" w:type="dxa"/>
            <w:right w:w="120" w:type="dxa"/>
          </w:tblCellMar>
          <w:tblLook w:val="0000"/>
        </w:tblPrEx>
        <w:trPr>
          <w:cantSplit/>
        </w:trPr>
        <w:tc>
          <w:tcPr>
            <w:tcW w:w="332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EE56AB" w:rsidRPr="00106468" w:rsidP="003001E8" w14:paraId="799B61D7"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00106468">
              <w:rPr>
                <w:rFonts w:ascii="Times New Roman" w:hAnsi="Times New Roman"/>
                <w:sz w:val="18"/>
                <w:szCs w:val="18"/>
              </w:rPr>
              <w:t>Heirs and devisees</w:t>
            </w:r>
          </w:p>
          <w:p w:rsidR="00EE56AB" w:rsidRPr="00106468" w:rsidP="003001E8" w14:paraId="5905674C" w14:textId="72C397B1">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00106468">
              <w:rPr>
                <w:rFonts w:ascii="Times New Roman" w:hAnsi="Times New Roman"/>
                <w:sz w:val="18"/>
                <w:szCs w:val="18"/>
              </w:rPr>
              <w:t>43 CFR 3106.81</w:t>
            </w:r>
          </w:p>
        </w:tc>
        <w:tc>
          <w:tcPr>
            <w:tcW w:w="108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EE56AB" w:rsidRPr="00626323" w:rsidP="003001E8" w14:paraId="524CA83A" w14:textId="3C8470F0">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bCs/>
                <w:sz w:val="18"/>
                <w:szCs w:val="18"/>
              </w:rPr>
            </w:pPr>
            <w:r w:rsidRPr="00626323">
              <w:rPr>
                <w:rFonts w:ascii="Times New Roman" w:hAnsi="Times New Roman"/>
                <w:sz w:val="18"/>
                <w:szCs w:val="18"/>
              </w:rPr>
              <w:t>46</w:t>
            </w: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EE56AB" w:rsidRPr="00626323" w:rsidP="003001E8" w14:paraId="61DE8B31"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bCs/>
                <w:sz w:val="18"/>
                <w:szCs w:val="18"/>
              </w:rPr>
            </w:pPr>
            <w:r w:rsidRPr="00626323">
              <w:rPr>
                <w:rFonts w:ascii="Times New Roman" w:hAnsi="Times New Roman"/>
                <w:bCs/>
                <w:sz w:val="18"/>
                <w:szCs w:val="18"/>
              </w:rPr>
              <w:t>1</w:t>
            </w:r>
          </w:p>
        </w:tc>
        <w:tc>
          <w:tcPr>
            <w:tcW w:w="117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EE56AB" w:rsidRPr="00626323" w:rsidP="003001E8" w14:paraId="318EB3A3" w14:textId="6052E629">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sz w:val="18"/>
                <w:szCs w:val="18"/>
              </w:rPr>
            </w:pPr>
            <w:r w:rsidRPr="00626323">
              <w:rPr>
                <w:rFonts w:ascii="Times New Roman" w:hAnsi="Times New Roman"/>
                <w:sz w:val="18"/>
                <w:szCs w:val="18"/>
              </w:rPr>
              <w:t>46</w:t>
            </w:r>
          </w:p>
        </w:tc>
        <w:tc>
          <w:tcPr>
            <w:tcW w:w="117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EE56AB" w:rsidRPr="00626323" w:rsidP="003001E8" w14:paraId="0AF1A411" w14:textId="4C6DC200">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sz w:val="18"/>
                <w:szCs w:val="18"/>
              </w:rPr>
            </w:pPr>
            <w:r w:rsidRPr="00A2121F">
              <w:rPr>
                <w:rFonts w:ascii="Times New Roman" w:hAnsi="Times New Roman"/>
                <w:sz w:val="18"/>
                <w:szCs w:val="18"/>
              </w:rPr>
              <w:t>$70.98</w:t>
            </w:r>
          </w:p>
        </w:tc>
        <w:tc>
          <w:tcPr>
            <w:tcW w:w="1350" w:type="dxa"/>
            <w:tcBorders>
              <w:top w:val="nil"/>
              <w:left w:val="single" w:sz="8" w:space="0" w:color="000000" w:themeColor="text1"/>
              <w:bottom w:val="single" w:sz="8" w:space="0" w:color="000000" w:themeColor="text1"/>
              <w:right w:val="single" w:sz="8" w:space="0" w:color="000000" w:themeColor="text1"/>
            </w:tcBorders>
            <w:vAlign w:val="center"/>
          </w:tcPr>
          <w:p w:rsidR="00EE56AB" w:rsidRPr="00626323" w:rsidP="003001E8" w14:paraId="4A8E5014" w14:textId="13B22A8D">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sz w:val="18"/>
                <w:szCs w:val="18"/>
              </w:rPr>
            </w:pPr>
            <w:r>
              <w:rPr>
                <w:color w:val="000000"/>
                <w:sz w:val="18"/>
                <w:szCs w:val="18"/>
              </w:rPr>
              <w:t xml:space="preserve">$3,265.08 </w:t>
            </w:r>
          </w:p>
        </w:tc>
      </w:tr>
      <w:tr w14:paraId="01D2FBC0" w14:textId="77777777" w:rsidTr="00EE56AB">
        <w:tblPrEx>
          <w:tblW w:w="9352" w:type="dxa"/>
          <w:tblLayout w:type="fixed"/>
          <w:tblCellMar>
            <w:left w:w="120" w:type="dxa"/>
            <w:right w:w="120" w:type="dxa"/>
          </w:tblCellMar>
          <w:tblLook w:val="0000"/>
        </w:tblPrEx>
        <w:trPr>
          <w:cantSplit/>
        </w:trPr>
        <w:tc>
          <w:tcPr>
            <w:tcW w:w="332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EE56AB" w:rsidRPr="00106468" w:rsidP="003001E8" w14:paraId="130F56EB"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00106468">
              <w:rPr>
                <w:rFonts w:ascii="Times New Roman" w:hAnsi="Times New Roman"/>
                <w:sz w:val="18"/>
                <w:szCs w:val="18"/>
              </w:rPr>
              <w:t>Change of name</w:t>
            </w:r>
          </w:p>
          <w:p w:rsidR="00EE56AB" w:rsidRPr="00106468" w:rsidP="003001E8" w14:paraId="4E862759" w14:textId="549F6386">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00106468">
              <w:rPr>
                <w:rFonts w:ascii="Times New Roman" w:hAnsi="Times New Roman"/>
                <w:sz w:val="18"/>
                <w:szCs w:val="18"/>
              </w:rPr>
              <w:t>43 CFR 3106.82</w:t>
            </w:r>
          </w:p>
        </w:tc>
        <w:tc>
          <w:tcPr>
            <w:tcW w:w="108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EE56AB" w:rsidRPr="00626323" w:rsidP="003001E8" w14:paraId="439A4BC8" w14:textId="03540B2A">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bCs/>
                <w:sz w:val="18"/>
                <w:szCs w:val="18"/>
              </w:rPr>
            </w:pPr>
            <w:r w:rsidRPr="00626323">
              <w:rPr>
                <w:rFonts w:ascii="Times New Roman" w:hAnsi="Times New Roman"/>
                <w:sz w:val="18"/>
                <w:szCs w:val="18"/>
              </w:rPr>
              <w:t>2,432</w:t>
            </w: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EE56AB" w:rsidRPr="00626323" w:rsidP="003001E8" w14:paraId="115A237B"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bCs/>
                <w:sz w:val="18"/>
                <w:szCs w:val="18"/>
              </w:rPr>
            </w:pPr>
            <w:r w:rsidRPr="00626323">
              <w:rPr>
                <w:rFonts w:ascii="Times New Roman" w:hAnsi="Times New Roman"/>
                <w:bCs/>
                <w:sz w:val="18"/>
                <w:szCs w:val="18"/>
              </w:rPr>
              <w:t>1</w:t>
            </w:r>
          </w:p>
        </w:tc>
        <w:tc>
          <w:tcPr>
            <w:tcW w:w="117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EE56AB" w:rsidRPr="00626323" w:rsidP="003001E8" w14:paraId="4A0FE7C5" w14:textId="66CB1EFC">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sz w:val="18"/>
                <w:szCs w:val="18"/>
              </w:rPr>
            </w:pPr>
            <w:r w:rsidRPr="00626323">
              <w:rPr>
                <w:rFonts w:ascii="Times New Roman" w:hAnsi="Times New Roman"/>
                <w:sz w:val="18"/>
                <w:szCs w:val="18"/>
              </w:rPr>
              <w:t>2,432</w:t>
            </w:r>
          </w:p>
        </w:tc>
        <w:tc>
          <w:tcPr>
            <w:tcW w:w="117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EE56AB" w:rsidRPr="00626323" w:rsidP="003001E8" w14:paraId="1920B3D6" w14:textId="1F839022">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sz w:val="18"/>
                <w:szCs w:val="18"/>
              </w:rPr>
            </w:pPr>
            <w:r w:rsidRPr="00A2121F">
              <w:rPr>
                <w:rFonts w:ascii="Times New Roman" w:hAnsi="Times New Roman"/>
                <w:sz w:val="18"/>
                <w:szCs w:val="18"/>
              </w:rPr>
              <w:t>$70.98</w:t>
            </w:r>
          </w:p>
        </w:tc>
        <w:tc>
          <w:tcPr>
            <w:tcW w:w="1350" w:type="dxa"/>
            <w:tcBorders>
              <w:top w:val="nil"/>
              <w:left w:val="single" w:sz="8" w:space="0" w:color="000000" w:themeColor="text1"/>
              <w:bottom w:val="single" w:sz="8" w:space="0" w:color="000000" w:themeColor="text1"/>
              <w:right w:val="single" w:sz="8" w:space="0" w:color="000000" w:themeColor="text1"/>
            </w:tcBorders>
            <w:vAlign w:val="center"/>
          </w:tcPr>
          <w:p w:rsidR="00EE56AB" w:rsidRPr="00626323" w:rsidP="003001E8" w14:paraId="5F3B5259" w14:textId="7BE0F900">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sz w:val="18"/>
                <w:szCs w:val="18"/>
              </w:rPr>
            </w:pPr>
            <w:r>
              <w:rPr>
                <w:color w:val="000000"/>
                <w:sz w:val="18"/>
                <w:szCs w:val="18"/>
              </w:rPr>
              <w:t xml:space="preserve">$172,623.36 </w:t>
            </w:r>
          </w:p>
        </w:tc>
      </w:tr>
      <w:tr w14:paraId="0E7AD191" w14:textId="77777777" w:rsidTr="00EE56AB">
        <w:tblPrEx>
          <w:tblW w:w="9352" w:type="dxa"/>
          <w:tblLayout w:type="fixed"/>
          <w:tblCellMar>
            <w:left w:w="120" w:type="dxa"/>
            <w:right w:w="120" w:type="dxa"/>
          </w:tblCellMar>
          <w:tblLook w:val="0000"/>
        </w:tblPrEx>
        <w:trPr>
          <w:cantSplit/>
        </w:trPr>
        <w:tc>
          <w:tcPr>
            <w:tcW w:w="332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EE56AB" w:rsidRPr="00106468" w:rsidP="73A9246C" w14:paraId="15C82521" w14:textId="2C918146">
            <w:pPr>
              <w:widowControl/>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279F62BA">
              <w:rPr>
                <w:rFonts w:ascii="Times New Roman" w:hAnsi="Times New Roman"/>
                <w:sz w:val="18"/>
                <w:szCs w:val="18"/>
              </w:rPr>
              <w:t>Corporate merger &amp; Dissolution of corporations, partnerships and trust 43 CFR 3106.83</w:t>
            </w:r>
          </w:p>
        </w:tc>
        <w:tc>
          <w:tcPr>
            <w:tcW w:w="108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EE56AB" w:rsidRPr="00626323" w:rsidP="003001E8" w14:paraId="62225935" w14:textId="5777E0F3">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bCs/>
                <w:sz w:val="18"/>
                <w:szCs w:val="18"/>
              </w:rPr>
            </w:pPr>
            <w:r w:rsidRPr="00626323">
              <w:rPr>
                <w:rFonts w:ascii="Times New Roman" w:hAnsi="Times New Roman"/>
                <w:sz w:val="18"/>
                <w:szCs w:val="18"/>
              </w:rPr>
              <w:t>561</w:t>
            </w: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EE56AB" w:rsidRPr="00626323" w:rsidP="003001E8" w14:paraId="5AC52809"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bCs/>
                <w:sz w:val="18"/>
                <w:szCs w:val="18"/>
              </w:rPr>
            </w:pPr>
            <w:r w:rsidRPr="00626323">
              <w:rPr>
                <w:rFonts w:ascii="Times New Roman" w:hAnsi="Times New Roman"/>
                <w:bCs/>
                <w:sz w:val="18"/>
                <w:szCs w:val="18"/>
              </w:rPr>
              <w:t>1</w:t>
            </w:r>
          </w:p>
        </w:tc>
        <w:tc>
          <w:tcPr>
            <w:tcW w:w="117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EE56AB" w:rsidRPr="00626323" w:rsidP="003001E8" w14:paraId="589DBCAE" w14:textId="4B3D1D46">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sz w:val="18"/>
                <w:szCs w:val="18"/>
              </w:rPr>
            </w:pPr>
            <w:r w:rsidRPr="00626323">
              <w:rPr>
                <w:rFonts w:ascii="Times New Roman" w:hAnsi="Times New Roman"/>
                <w:sz w:val="18"/>
                <w:szCs w:val="18"/>
              </w:rPr>
              <w:t>561</w:t>
            </w:r>
          </w:p>
        </w:tc>
        <w:tc>
          <w:tcPr>
            <w:tcW w:w="117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EE56AB" w:rsidRPr="00626323" w:rsidP="003001E8" w14:paraId="39A8F248" w14:textId="66F967D0">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sz w:val="18"/>
                <w:szCs w:val="18"/>
              </w:rPr>
            </w:pPr>
            <w:r w:rsidRPr="00A2121F">
              <w:rPr>
                <w:rFonts w:ascii="Times New Roman" w:hAnsi="Times New Roman"/>
                <w:sz w:val="18"/>
                <w:szCs w:val="18"/>
              </w:rPr>
              <w:t>$70.98</w:t>
            </w:r>
          </w:p>
        </w:tc>
        <w:tc>
          <w:tcPr>
            <w:tcW w:w="1350" w:type="dxa"/>
            <w:tcBorders>
              <w:top w:val="nil"/>
              <w:left w:val="single" w:sz="8" w:space="0" w:color="000000" w:themeColor="text1"/>
              <w:bottom w:val="single" w:sz="8" w:space="0" w:color="000000" w:themeColor="text1"/>
              <w:right w:val="single" w:sz="8" w:space="0" w:color="000000" w:themeColor="text1"/>
            </w:tcBorders>
            <w:vAlign w:val="center"/>
          </w:tcPr>
          <w:p w:rsidR="00EE56AB" w:rsidRPr="00626323" w:rsidP="003001E8" w14:paraId="365C5021" w14:textId="3673E7E0">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sz w:val="18"/>
                <w:szCs w:val="18"/>
              </w:rPr>
            </w:pPr>
            <w:r>
              <w:rPr>
                <w:color w:val="000000"/>
                <w:sz w:val="18"/>
                <w:szCs w:val="18"/>
              </w:rPr>
              <w:t xml:space="preserve">$39,819.78 </w:t>
            </w:r>
          </w:p>
        </w:tc>
      </w:tr>
      <w:tr w14:paraId="04D029C5" w14:textId="77777777" w:rsidTr="00EE56AB">
        <w:tblPrEx>
          <w:tblW w:w="9352" w:type="dxa"/>
          <w:tblLayout w:type="fixed"/>
          <w:tblCellMar>
            <w:left w:w="120" w:type="dxa"/>
            <w:right w:w="120" w:type="dxa"/>
          </w:tblCellMar>
          <w:tblLook w:val="0000"/>
        </w:tblPrEx>
        <w:trPr>
          <w:cantSplit/>
        </w:trPr>
        <w:tc>
          <w:tcPr>
            <w:tcW w:w="332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EE56AB" w:rsidRPr="00106468" w:rsidP="003001E8" w14:paraId="067C64BE"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00106468">
              <w:rPr>
                <w:rFonts w:ascii="Times New Roman" w:hAnsi="Times New Roman"/>
                <w:sz w:val="18"/>
                <w:szCs w:val="18"/>
              </w:rPr>
              <w:t>Sheriff’s Sale/Deed</w:t>
            </w:r>
          </w:p>
          <w:p w:rsidR="00EE56AB" w:rsidRPr="00106468" w:rsidP="003001E8" w14:paraId="3F7A4A41" w14:textId="57A642F2">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00106468">
              <w:rPr>
                <w:rFonts w:ascii="Times New Roman" w:hAnsi="Times New Roman"/>
                <w:sz w:val="18"/>
                <w:szCs w:val="18"/>
              </w:rPr>
              <w:t>43 CFR 3106.84</w:t>
            </w:r>
          </w:p>
        </w:tc>
        <w:tc>
          <w:tcPr>
            <w:tcW w:w="108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EE56AB" w:rsidRPr="00626323" w:rsidP="003001E8" w14:paraId="4760DE6B" w14:textId="548C04D1">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sz w:val="18"/>
                <w:szCs w:val="18"/>
              </w:rPr>
            </w:pPr>
            <w:r w:rsidRPr="00626323">
              <w:rPr>
                <w:rFonts w:ascii="Times New Roman" w:hAnsi="Times New Roman"/>
                <w:sz w:val="18"/>
                <w:szCs w:val="18"/>
              </w:rPr>
              <w:t>1</w:t>
            </w: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EE56AB" w:rsidRPr="00626323" w:rsidP="003001E8" w14:paraId="6A4190BA" w14:textId="1C67B3D8">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bCs/>
                <w:sz w:val="18"/>
                <w:szCs w:val="18"/>
              </w:rPr>
            </w:pPr>
            <w:r w:rsidRPr="00626323">
              <w:rPr>
                <w:rFonts w:ascii="Times New Roman" w:hAnsi="Times New Roman"/>
                <w:bCs/>
                <w:sz w:val="18"/>
                <w:szCs w:val="18"/>
              </w:rPr>
              <w:t>1</w:t>
            </w:r>
          </w:p>
        </w:tc>
        <w:tc>
          <w:tcPr>
            <w:tcW w:w="117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EE56AB" w:rsidRPr="00626323" w:rsidP="003001E8" w14:paraId="705A11F3" w14:textId="7B207770">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sz w:val="18"/>
                <w:szCs w:val="18"/>
              </w:rPr>
            </w:pPr>
            <w:r w:rsidRPr="00626323">
              <w:rPr>
                <w:rFonts w:ascii="Times New Roman" w:hAnsi="Times New Roman"/>
                <w:sz w:val="18"/>
                <w:szCs w:val="18"/>
              </w:rPr>
              <w:t>1</w:t>
            </w:r>
          </w:p>
        </w:tc>
        <w:tc>
          <w:tcPr>
            <w:tcW w:w="117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EE56AB" w:rsidRPr="00626323" w:rsidP="003001E8" w14:paraId="4A6F8413" w14:textId="57B4C594">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sz w:val="18"/>
                <w:szCs w:val="18"/>
              </w:rPr>
            </w:pPr>
            <w:r w:rsidRPr="00A2121F">
              <w:rPr>
                <w:rFonts w:ascii="Times New Roman" w:hAnsi="Times New Roman"/>
                <w:sz w:val="18"/>
                <w:szCs w:val="18"/>
              </w:rPr>
              <w:t>$70.98</w:t>
            </w:r>
          </w:p>
        </w:tc>
        <w:tc>
          <w:tcPr>
            <w:tcW w:w="1350" w:type="dxa"/>
            <w:tcBorders>
              <w:top w:val="nil"/>
              <w:left w:val="single" w:sz="8" w:space="0" w:color="000000" w:themeColor="text1"/>
              <w:bottom w:val="single" w:sz="8" w:space="0" w:color="000000" w:themeColor="text1"/>
              <w:right w:val="single" w:sz="8" w:space="0" w:color="000000" w:themeColor="text1"/>
            </w:tcBorders>
            <w:vAlign w:val="center"/>
          </w:tcPr>
          <w:p w:rsidR="00EE56AB" w:rsidRPr="00626323" w:rsidP="003001E8" w14:paraId="332A9CDA" w14:textId="3FCD49C0">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sz w:val="18"/>
                <w:szCs w:val="18"/>
              </w:rPr>
            </w:pPr>
            <w:r>
              <w:rPr>
                <w:color w:val="000000"/>
                <w:sz w:val="18"/>
                <w:szCs w:val="18"/>
              </w:rPr>
              <w:t xml:space="preserve">$70.98 </w:t>
            </w:r>
          </w:p>
        </w:tc>
      </w:tr>
      <w:tr w14:paraId="1D932F2C" w14:textId="77777777" w:rsidTr="00EE56AB">
        <w:tblPrEx>
          <w:tblW w:w="9352" w:type="dxa"/>
          <w:tblLayout w:type="fixed"/>
          <w:tblCellMar>
            <w:left w:w="120" w:type="dxa"/>
            <w:right w:w="120" w:type="dxa"/>
          </w:tblCellMar>
          <w:tblLook w:val="0000"/>
        </w:tblPrEx>
        <w:trPr>
          <w:cantSplit/>
        </w:trPr>
        <w:tc>
          <w:tcPr>
            <w:tcW w:w="332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EE56AB" w:rsidRPr="00106468" w:rsidP="003001E8" w14:paraId="1A7C4C2C"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00106468">
              <w:rPr>
                <w:rFonts w:ascii="Times New Roman" w:hAnsi="Times New Roman"/>
                <w:sz w:val="18"/>
                <w:szCs w:val="18"/>
              </w:rPr>
              <w:t>Relinquishment</w:t>
            </w:r>
          </w:p>
          <w:p w:rsidR="00EE56AB" w:rsidRPr="00106468" w:rsidP="003001E8" w14:paraId="2D82F7F2" w14:textId="4759023D">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00106468">
              <w:rPr>
                <w:rFonts w:ascii="Times New Roman" w:hAnsi="Times New Roman"/>
                <w:sz w:val="18"/>
                <w:szCs w:val="18"/>
              </w:rPr>
              <w:t>43 CFR 3108.10</w:t>
            </w:r>
          </w:p>
        </w:tc>
        <w:tc>
          <w:tcPr>
            <w:tcW w:w="108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EE56AB" w:rsidRPr="00626323" w:rsidP="003001E8" w14:paraId="2266DD84" w14:textId="3D230353">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bCs/>
                <w:sz w:val="18"/>
                <w:szCs w:val="18"/>
              </w:rPr>
            </w:pPr>
            <w:r w:rsidRPr="00626323">
              <w:rPr>
                <w:rFonts w:ascii="Times New Roman" w:hAnsi="Times New Roman"/>
                <w:sz w:val="18"/>
                <w:szCs w:val="18"/>
              </w:rPr>
              <w:t>300</w:t>
            </w: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EE56AB" w:rsidRPr="00626323" w:rsidP="003001E8" w14:paraId="5F4CD536"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bCs/>
                <w:sz w:val="18"/>
                <w:szCs w:val="18"/>
              </w:rPr>
            </w:pPr>
            <w:r w:rsidRPr="00626323">
              <w:rPr>
                <w:rFonts w:ascii="Times New Roman" w:hAnsi="Times New Roman"/>
                <w:bCs/>
                <w:sz w:val="18"/>
                <w:szCs w:val="18"/>
              </w:rPr>
              <w:t>1</w:t>
            </w:r>
          </w:p>
        </w:tc>
        <w:tc>
          <w:tcPr>
            <w:tcW w:w="117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EE56AB" w:rsidRPr="00626323" w:rsidP="003001E8" w14:paraId="219C64AA" w14:textId="05ED926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sz w:val="18"/>
                <w:szCs w:val="18"/>
              </w:rPr>
            </w:pPr>
            <w:r w:rsidRPr="00626323">
              <w:rPr>
                <w:rFonts w:ascii="Times New Roman" w:hAnsi="Times New Roman"/>
                <w:sz w:val="18"/>
                <w:szCs w:val="18"/>
              </w:rPr>
              <w:t>300</w:t>
            </w:r>
          </w:p>
        </w:tc>
        <w:tc>
          <w:tcPr>
            <w:tcW w:w="117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EE56AB" w:rsidRPr="00626323" w:rsidP="003001E8" w14:paraId="749D74C6" w14:textId="79BCC7A8">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sz w:val="18"/>
                <w:szCs w:val="18"/>
              </w:rPr>
            </w:pPr>
            <w:r w:rsidRPr="00A2121F">
              <w:rPr>
                <w:rFonts w:ascii="Times New Roman" w:hAnsi="Times New Roman"/>
                <w:sz w:val="18"/>
                <w:szCs w:val="18"/>
              </w:rPr>
              <w:t>$70.98</w:t>
            </w:r>
          </w:p>
        </w:tc>
        <w:tc>
          <w:tcPr>
            <w:tcW w:w="1350" w:type="dxa"/>
            <w:tcBorders>
              <w:top w:val="nil"/>
              <w:left w:val="single" w:sz="8" w:space="0" w:color="000000" w:themeColor="text1"/>
              <w:bottom w:val="single" w:sz="8" w:space="0" w:color="000000" w:themeColor="text1"/>
              <w:right w:val="single" w:sz="8" w:space="0" w:color="000000" w:themeColor="text1"/>
            </w:tcBorders>
            <w:vAlign w:val="center"/>
          </w:tcPr>
          <w:p w:rsidR="00EE56AB" w:rsidRPr="00626323" w:rsidP="003001E8" w14:paraId="07CEA4C1" w14:textId="2E38401A">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sz w:val="18"/>
                <w:szCs w:val="18"/>
              </w:rPr>
            </w:pPr>
            <w:r>
              <w:rPr>
                <w:color w:val="000000"/>
                <w:sz w:val="18"/>
                <w:szCs w:val="18"/>
              </w:rPr>
              <w:t xml:space="preserve">$21,294.00 </w:t>
            </w:r>
          </w:p>
        </w:tc>
      </w:tr>
      <w:tr w14:paraId="49B7ED3A" w14:textId="77777777" w:rsidTr="00EE56AB">
        <w:tblPrEx>
          <w:tblW w:w="9352" w:type="dxa"/>
          <w:tblLayout w:type="fixed"/>
          <w:tblCellMar>
            <w:left w:w="120" w:type="dxa"/>
            <w:right w:w="120" w:type="dxa"/>
          </w:tblCellMar>
          <w:tblLook w:val="0000"/>
        </w:tblPrEx>
        <w:trPr>
          <w:cantSplit/>
        </w:trPr>
        <w:tc>
          <w:tcPr>
            <w:tcW w:w="332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EE56AB" w:rsidRPr="00106468" w:rsidP="003001E8" w14:paraId="32856129"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00106468">
              <w:rPr>
                <w:rFonts w:ascii="Times New Roman" w:hAnsi="Times New Roman"/>
                <w:sz w:val="18"/>
                <w:szCs w:val="18"/>
              </w:rPr>
              <w:t>Class I reinstatement petition</w:t>
            </w:r>
          </w:p>
          <w:p w:rsidR="00EE56AB" w:rsidRPr="00106468" w:rsidP="003001E8" w14:paraId="41ED21E2" w14:textId="1A0AAA9E">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00106468">
              <w:rPr>
                <w:rFonts w:ascii="Times New Roman" w:hAnsi="Times New Roman"/>
                <w:sz w:val="18"/>
                <w:szCs w:val="18"/>
              </w:rPr>
              <w:t>43 CFR 3108.22</w:t>
            </w:r>
          </w:p>
        </w:tc>
        <w:tc>
          <w:tcPr>
            <w:tcW w:w="108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EE56AB" w:rsidRPr="00626323" w:rsidP="003001E8" w14:paraId="10963052" w14:textId="638962B2">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bCs/>
                <w:sz w:val="18"/>
                <w:szCs w:val="18"/>
              </w:rPr>
            </w:pPr>
            <w:r w:rsidRPr="00626323">
              <w:rPr>
                <w:rFonts w:ascii="Times New Roman" w:hAnsi="Times New Roman"/>
                <w:sz w:val="18"/>
                <w:szCs w:val="18"/>
              </w:rPr>
              <w:t>45</w:t>
            </w: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EE56AB" w:rsidRPr="00626323" w:rsidP="003001E8" w14:paraId="6CC878E0"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bCs/>
                <w:sz w:val="18"/>
                <w:szCs w:val="18"/>
              </w:rPr>
            </w:pPr>
            <w:r w:rsidRPr="00626323">
              <w:rPr>
                <w:rFonts w:ascii="Times New Roman" w:hAnsi="Times New Roman"/>
                <w:bCs/>
                <w:sz w:val="18"/>
                <w:szCs w:val="18"/>
              </w:rPr>
              <w:t>3</w:t>
            </w:r>
          </w:p>
        </w:tc>
        <w:tc>
          <w:tcPr>
            <w:tcW w:w="117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EE56AB" w:rsidRPr="00626323" w:rsidP="003001E8" w14:paraId="61D22754" w14:textId="48040380">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sz w:val="18"/>
                <w:szCs w:val="18"/>
              </w:rPr>
            </w:pPr>
            <w:r w:rsidRPr="00626323">
              <w:rPr>
                <w:rFonts w:ascii="Times New Roman" w:hAnsi="Times New Roman"/>
                <w:sz w:val="18"/>
                <w:szCs w:val="18"/>
              </w:rPr>
              <w:t>135</w:t>
            </w:r>
          </w:p>
        </w:tc>
        <w:tc>
          <w:tcPr>
            <w:tcW w:w="117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EE56AB" w:rsidRPr="00626323" w:rsidP="003001E8" w14:paraId="2D443F98" w14:textId="0CAEEB09">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sz w:val="18"/>
                <w:szCs w:val="18"/>
              </w:rPr>
            </w:pPr>
            <w:r w:rsidRPr="00A2121F">
              <w:rPr>
                <w:rFonts w:ascii="Times New Roman" w:hAnsi="Times New Roman"/>
                <w:sz w:val="18"/>
                <w:szCs w:val="18"/>
              </w:rPr>
              <w:t>$70.98</w:t>
            </w:r>
          </w:p>
        </w:tc>
        <w:tc>
          <w:tcPr>
            <w:tcW w:w="1350" w:type="dxa"/>
            <w:tcBorders>
              <w:top w:val="nil"/>
              <w:left w:val="single" w:sz="8" w:space="0" w:color="000000" w:themeColor="text1"/>
              <w:bottom w:val="single" w:sz="8" w:space="0" w:color="000000" w:themeColor="text1"/>
              <w:right w:val="single" w:sz="8" w:space="0" w:color="000000" w:themeColor="text1"/>
            </w:tcBorders>
            <w:vAlign w:val="center"/>
          </w:tcPr>
          <w:p w:rsidR="00EE56AB" w:rsidRPr="00626323" w:rsidP="003001E8" w14:paraId="563BA864" w14:textId="17285EDC">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sz w:val="18"/>
                <w:szCs w:val="18"/>
              </w:rPr>
            </w:pPr>
            <w:r>
              <w:rPr>
                <w:color w:val="000000"/>
                <w:sz w:val="18"/>
                <w:szCs w:val="18"/>
              </w:rPr>
              <w:t xml:space="preserve">$9,582.30 </w:t>
            </w:r>
          </w:p>
        </w:tc>
      </w:tr>
      <w:tr w14:paraId="3F7BE33B" w14:textId="77777777" w:rsidTr="00EE56AB">
        <w:tblPrEx>
          <w:tblW w:w="9352" w:type="dxa"/>
          <w:tblLayout w:type="fixed"/>
          <w:tblCellMar>
            <w:left w:w="120" w:type="dxa"/>
            <w:right w:w="120" w:type="dxa"/>
          </w:tblCellMar>
          <w:tblLook w:val="0000"/>
        </w:tblPrEx>
        <w:trPr>
          <w:cantSplit/>
        </w:trPr>
        <w:tc>
          <w:tcPr>
            <w:tcW w:w="332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EE56AB" w:rsidRPr="00106468" w:rsidP="003001E8" w14:paraId="3014AF4D"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00106468">
              <w:rPr>
                <w:rFonts w:ascii="Times New Roman" w:hAnsi="Times New Roman"/>
                <w:sz w:val="18"/>
                <w:szCs w:val="18"/>
              </w:rPr>
              <w:t>Class II reinstatement petition</w:t>
            </w:r>
          </w:p>
          <w:p w:rsidR="00EE56AB" w:rsidRPr="00106468" w:rsidP="003001E8" w14:paraId="2495DFA9" w14:textId="26403AA1">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00106468">
              <w:rPr>
                <w:rFonts w:ascii="Times New Roman" w:hAnsi="Times New Roman"/>
                <w:sz w:val="18"/>
                <w:szCs w:val="18"/>
              </w:rPr>
              <w:t>43 CFR 3108.23</w:t>
            </w:r>
          </w:p>
        </w:tc>
        <w:tc>
          <w:tcPr>
            <w:tcW w:w="108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EE56AB" w:rsidRPr="00626323" w:rsidP="003001E8" w14:paraId="6840BF01" w14:textId="575B6DD4">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bCs/>
                <w:sz w:val="18"/>
                <w:szCs w:val="18"/>
              </w:rPr>
            </w:pPr>
            <w:r w:rsidRPr="00626323">
              <w:rPr>
                <w:rFonts w:ascii="Times New Roman" w:hAnsi="Times New Roman"/>
                <w:sz w:val="18"/>
                <w:szCs w:val="18"/>
              </w:rPr>
              <w:t>34</w:t>
            </w: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EE56AB" w:rsidRPr="00626323" w:rsidP="003001E8" w14:paraId="16EC897E"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bCs/>
                <w:sz w:val="18"/>
                <w:szCs w:val="18"/>
              </w:rPr>
            </w:pPr>
            <w:r w:rsidRPr="00626323">
              <w:rPr>
                <w:rFonts w:ascii="Times New Roman" w:hAnsi="Times New Roman"/>
                <w:bCs/>
                <w:sz w:val="18"/>
                <w:szCs w:val="18"/>
              </w:rPr>
              <w:t>3</w:t>
            </w:r>
          </w:p>
        </w:tc>
        <w:tc>
          <w:tcPr>
            <w:tcW w:w="117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EE56AB" w:rsidRPr="00626323" w:rsidP="003001E8" w14:paraId="0B63717B" w14:textId="126FB051">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sz w:val="18"/>
                <w:szCs w:val="18"/>
              </w:rPr>
            </w:pPr>
            <w:r w:rsidRPr="00626323">
              <w:rPr>
                <w:rFonts w:ascii="Times New Roman" w:hAnsi="Times New Roman"/>
                <w:sz w:val="18"/>
                <w:szCs w:val="18"/>
              </w:rPr>
              <w:t>102</w:t>
            </w:r>
          </w:p>
        </w:tc>
        <w:tc>
          <w:tcPr>
            <w:tcW w:w="117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EE56AB" w:rsidRPr="00626323" w:rsidP="003001E8" w14:paraId="393A6D1C" w14:textId="75EC4D02">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sz w:val="18"/>
                <w:szCs w:val="18"/>
              </w:rPr>
            </w:pPr>
            <w:r w:rsidRPr="00A2121F">
              <w:rPr>
                <w:rFonts w:ascii="Times New Roman" w:hAnsi="Times New Roman"/>
                <w:sz w:val="18"/>
                <w:szCs w:val="18"/>
              </w:rPr>
              <w:t>$70.98</w:t>
            </w:r>
          </w:p>
        </w:tc>
        <w:tc>
          <w:tcPr>
            <w:tcW w:w="1350" w:type="dxa"/>
            <w:tcBorders>
              <w:top w:val="nil"/>
              <w:left w:val="single" w:sz="8" w:space="0" w:color="000000" w:themeColor="text1"/>
              <w:bottom w:val="single" w:sz="8" w:space="0" w:color="000000" w:themeColor="text1"/>
              <w:right w:val="single" w:sz="8" w:space="0" w:color="000000" w:themeColor="text1"/>
            </w:tcBorders>
            <w:vAlign w:val="center"/>
          </w:tcPr>
          <w:p w:rsidR="00EE56AB" w:rsidRPr="00626323" w:rsidP="003001E8" w14:paraId="010532D6" w14:textId="1134EA0E">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sz w:val="18"/>
                <w:szCs w:val="18"/>
              </w:rPr>
            </w:pPr>
            <w:r>
              <w:rPr>
                <w:color w:val="000000"/>
                <w:sz w:val="18"/>
                <w:szCs w:val="18"/>
              </w:rPr>
              <w:t xml:space="preserve">$7,239.96 </w:t>
            </w:r>
          </w:p>
        </w:tc>
      </w:tr>
      <w:tr w14:paraId="03F32CA4" w14:textId="77777777" w:rsidTr="00EE56AB">
        <w:tblPrEx>
          <w:tblW w:w="9352" w:type="dxa"/>
          <w:tblLayout w:type="fixed"/>
          <w:tblCellMar>
            <w:left w:w="120" w:type="dxa"/>
            <w:right w:w="120" w:type="dxa"/>
          </w:tblCellMar>
          <w:tblLook w:val="0000"/>
        </w:tblPrEx>
        <w:trPr>
          <w:cantSplit/>
        </w:trPr>
        <w:tc>
          <w:tcPr>
            <w:tcW w:w="332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EE56AB" w:rsidRPr="00106468" w:rsidP="003001E8" w14:paraId="2EAABF30" w14:textId="7E2FA4D9">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00106468">
              <w:rPr>
                <w:rFonts w:ascii="Times New Roman" w:hAnsi="Times New Roman"/>
                <w:sz w:val="18"/>
                <w:szCs w:val="18"/>
              </w:rPr>
              <w:t>Application for lease under ROW</w:t>
            </w:r>
          </w:p>
          <w:p w:rsidR="00EE56AB" w:rsidRPr="00106468" w:rsidP="003001E8" w14:paraId="67756CDA" w14:textId="7AF05D5C">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00106468">
              <w:rPr>
                <w:rFonts w:ascii="Times New Roman" w:hAnsi="Times New Roman"/>
                <w:sz w:val="18"/>
                <w:szCs w:val="18"/>
              </w:rPr>
              <w:t>43 CFR 3109.12</w:t>
            </w:r>
          </w:p>
        </w:tc>
        <w:tc>
          <w:tcPr>
            <w:tcW w:w="108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EE56AB" w:rsidRPr="00626323" w:rsidP="003001E8" w14:paraId="137AE723" w14:textId="26288988">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bCs/>
                <w:sz w:val="18"/>
                <w:szCs w:val="18"/>
              </w:rPr>
            </w:pPr>
            <w:r w:rsidRPr="00626323">
              <w:rPr>
                <w:rFonts w:ascii="Times New Roman" w:hAnsi="Times New Roman"/>
                <w:sz w:val="18"/>
                <w:szCs w:val="18"/>
              </w:rPr>
              <w:t>2</w:t>
            </w: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EE56AB" w:rsidRPr="00626323" w:rsidP="003001E8" w14:paraId="6D01EBA6"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bCs/>
                <w:sz w:val="18"/>
                <w:szCs w:val="18"/>
              </w:rPr>
            </w:pPr>
            <w:r w:rsidRPr="00626323">
              <w:rPr>
                <w:rFonts w:ascii="Times New Roman" w:hAnsi="Times New Roman"/>
                <w:bCs/>
                <w:sz w:val="18"/>
                <w:szCs w:val="18"/>
              </w:rPr>
              <w:t>8</w:t>
            </w:r>
          </w:p>
        </w:tc>
        <w:tc>
          <w:tcPr>
            <w:tcW w:w="117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EE56AB" w:rsidRPr="00626323" w:rsidP="003001E8" w14:paraId="7DBA3982" w14:textId="694F967A">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sz w:val="18"/>
                <w:szCs w:val="18"/>
              </w:rPr>
            </w:pPr>
            <w:r w:rsidRPr="00626323">
              <w:rPr>
                <w:rFonts w:ascii="Times New Roman" w:hAnsi="Times New Roman"/>
                <w:sz w:val="18"/>
                <w:szCs w:val="18"/>
              </w:rPr>
              <w:t>16</w:t>
            </w:r>
          </w:p>
        </w:tc>
        <w:tc>
          <w:tcPr>
            <w:tcW w:w="117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EE56AB" w:rsidRPr="00626323" w:rsidP="003001E8" w14:paraId="4B515093" w14:textId="65F9754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sz w:val="18"/>
                <w:szCs w:val="18"/>
              </w:rPr>
            </w:pPr>
            <w:r w:rsidRPr="00A2121F">
              <w:rPr>
                <w:rFonts w:ascii="Times New Roman" w:hAnsi="Times New Roman"/>
                <w:sz w:val="18"/>
                <w:szCs w:val="18"/>
              </w:rPr>
              <w:t>$70.98</w:t>
            </w:r>
          </w:p>
        </w:tc>
        <w:tc>
          <w:tcPr>
            <w:tcW w:w="1350" w:type="dxa"/>
            <w:tcBorders>
              <w:top w:val="nil"/>
              <w:left w:val="single" w:sz="8" w:space="0" w:color="000000" w:themeColor="text1"/>
              <w:bottom w:val="single" w:sz="8" w:space="0" w:color="000000" w:themeColor="text1"/>
              <w:right w:val="single" w:sz="8" w:space="0" w:color="000000" w:themeColor="text1"/>
            </w:tcBorders>
            <w:vAlign w:val="center"/>
          </w:tcPr>
          <w:p w:rsidR="00EE56AB" w:rsidRPr="00626323" w:rsidP="003001E8" w14:paraId="6C3D3A51" w14:textId="0EEA5AB5">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sz w:val="18"/>
                <w:szCs w:val="18"/>
              </w:rPr>
            </w:pPr>
            <w:r>
              <w:rPr>
                <w:color w:val="000000"/>
                <w:sz w:val="18"/>
                <w:szCs w:val="18"/>
              </w:rPr>
              <w:t xml:space="preserve">$1,135.68 </w:t>
            </w:r>
          </w:p>
        </w:tc>
      </w:tr>
      <w:tr w14:paraId="2FBDBFCA" w14:textId="77777777" w:rsidTr="00EE56AB">
        <w:tblPrEx>
          <w:tblW w:w="9352" w:type="dxa"/>
          <w:tblLayout w:type="fixed"/>
          <w:tblCellMar>
            <w:left w:w="120" w:type="dxa"/>
            <w:right w:w="120" w:type="dxa"/>
          </w:tblCellMar>
          <w:tblLook w:val="0000"/>
        </w:tblPrEx>
        <w:trPr>
          <w:cantSplit/>
        </w:trPr>
        <w:tc>
          <w:tcPr>
            <w:tcW w:w="332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EE56AB" w:rsidRPr="00106468" w:rsidP="003001E8" w14:paraId="04C2F0C5" w14:textId="49FAA61C">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00106468">
              <w:rPr>
                <w:rFonts w:ascii="Times New Roman" w:hAnsi="Times New Roman"/>
                <w:sz w:val="18"/>
                <w:szCs w:val="18"/>
              </w:rPr>
              <w:t xml:space="preserve">Protests </w:t>
            </w:r>
          </w:p>
          <w:p w:rsidR="00EE56AB" w:rsidRPr="00106468" w:rsidP="003001E8" w14:paraId="459B5E8D" w14:textId="6BD49C9A">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00106468">
              <w:rPr>
                <w:rFonts w:ascii="Times New Roman" w:hAnsi="Times New Roman"/>
                <w:sz w:val="18"/>
                <w:szCs w:val="18"/>
              </w:rPr>
              <w:t>43 CFR 3120.</w:t>
            </w:r>
            <w:r>
              <w:rPr>
                <w:rFonts w:ascii="Times New Roman" w:hAnsi="Times New Roman"/>
                <w:sz w:val="18"/>
                <w:szCs w:val="18"/>
              </w:rPr>
              <w:t>43</w:t>
            </w:r>
          </w:p>
        </w:tc>
        <w:tc>
          <w:tcPr>
            <w:tcW w:w="108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EE56AB" w:rsidRPr="00626323" w:rsidP="5A64A34E" w14:paraId="669C0480" w14:textId="194F9705">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59" w:lineRule="auto"/>
              <w:jc w:val="right"/>
              <w:rPr>
                <w:rFonts w:ascii="Times New Roman" w:hAnsi="Times New Roman"/>
                <w:bCs/>
                <w:sz w:val="18"/>
                <w:szCs w:val="18"/>
              </w:rPr>
            </w:pPr>
            <w:r w:rsidRPr="5A64A34E">
              <w:rPr>
                <w:rFonts w:ascii="Times New Roman" w:hAnsi="Times New Roman"/>
                <w:sz w:val="18"/>
                <w:szCs w:val="18"/>
              </w:rPr>
              <w:t>39</w:t>
            </w: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EE56AB" w:rsidRPr="00626323" w:rsidP="003001E8" w14:paraId="0A6595E5"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bCs/>
                <w:sz w:val="18"/>
                <w:szCs w:val="18"/>
              </w:rPr>
            </w:pPr>
            <w:r w:rsidRPr="00626323">
              <w:rPr>
                <w:rFonts w:ascii="Times New Roman" w:hAnsi="Times New Roman"/>
                <w:bCs/>
                <w:sz w:val="18"/>
                <w:szCs w:val="18"/>
              </w:rPr>
              <w:t>8</w:t>
            </w:r>
          </w:p>
        </w:tc>
        <w:tc>
          <w:tcPr>
            <w:tcW w:w="117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EE56AB" w:rsidRPr="00626323" w:rsidP="5A64A34E" w14:paraId="763426A3" w14:textId="2F2939C5">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59" w:lineRule="auto"/>
              <w:jc w:val="right"/>
              <w:rPr>
                <w:rFonts w:ascii="Times New Roman" w:hAnsi="Times New Roman"/>
                <w:sz w:val="18"/>
                <w:szCs w:val="18"/>
              </w:rPr>
            </w:pPr>
            <w:r w:rsidRPr="5A64A34E">
              <w:rPr>
                <w:rFonts w:ascii="Times New Roman" w:hAnsi="Times New Roman"/>
                <w:sz w:val="18"/>
                <w:szCs w:val="18"/>
              </w:rPr>
              <w:t>312</w:t>
            </w:r>
          </w:p>
        </w:tc>
        <w:tc>
          <w:tcPr>
            <w:tcW w:w="117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EE56AB" w:rsidRPr="00626323" w:rsidP="003001E8" w14:paraId="402C4B01" w14:textId="7AD1CC79">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sz w:val="18"/>
                <w:szCs w:val="18"/>
              </w:rPr>
            </w:pPr>
            <w:r w:rsidRPr="00A2121F">
              <w:rPr>
                <w:rFonts w:ascii="Times New Roman" w:hAnsi="Times New Roman"/>
                <w:sz w:val="18"/>
                <w:szCs w:val="18"/>
              </w:rPr>
              <w:t>$70.98</w:t>
            </w:r>
          </w:p>
        </w:tc>
        <w:tc>
          <w:tcPr>
            <w:tcW w:w="1350" w:type="dxa"/>
            <w:tcBorders>
              <w:top w:val="nil"/>
              <w:left w:val="single" w:sz="8" w:space="0" w:color="000000" w:themeColor="text1"/>
              <w:bottom w:val="single" w:sz="8" w:space="0" w:color="000000" w:themeColor="text1"/>
              <w:right w:val="single" w:sz="8" w:space="0" w:color="000000" w:themeColor="text1"/>
            </w:tcBorders>
            <w:vAlign w:val="center"/>
          </w:tcPr>
          <w:p w:rsidR="00EE56AB" w:rsidRPr="00626323" w:rsidP="5A64A34E" w14:paraId="49BB411D" w14:textId="4075852E">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sz w:val="18"/>
                <w:szCs w:val="18"/>
              </w:rPr>
            </w:pPr>
            <w:r w:rsidRPr="5A64A34E">
              <w:rPr>
                <w:color w:val="000000" w:themeColor="text1"/>
                <w:sz w:val="18"/>
                <w:szCs w:val="18"/>
              </w:rPr>
              <w:t xml:space="preserve">$22,145.76 </w:t>
            </w:r>
          </w:p>
        </w:tc>
      </w:tr>
      <w:tr w14:paraId="451F8DA0" w14:textId="77777777" w:rsidTr="00EE56AB">
        <w:tblPrEx>
          <w:tblW w:w="9352" w:type="dxa"/>
          <w:tblLayout w:type="fixed"/>
          <w:tblCellMar>
            <w:left w:w="120" w:type="dxa"/>
            <w:right w:w="120" w:type="dxa"/>
          </w:tblCellMar>
          <w:tblLook w:val="0000"/>
        </w:tblPrEx>
        <w:trPr>
          <w:cantSplit/>
        </w:trPr>
        <w:tc>
          <w:tcPr>
            <w:tcW w:w="332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EE56AB" w:rsidRPr="00106468" w:rsidP="003001E8" w14:paraId="38E2A824" w14:textId="552DE88A">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00106468">
              <w:rPr>
                <w:rFonts w:ascii="Times New Roman" w:hAnsi="Times New Roman"/>
                <w:sz w:val="18"/>
                <w:szCs w:val="18"/>
              </w:rPr>
              <w:t>Expressions of Interest</w:t>
            </w:r>
            <w:r>
              <w:rPr>
                <w:rFonts w:ascii="Times New Roman" w:hAnsi="Times New Roman"/>
                <w:sz w:val="18"/>
                <w:szCs w:val="18"/>
              </w:rPr>
              <w:t xml:space="preserve"> Process</w:t>
            </w:r>
          </w:p>
          <w:p w:rsidR="00EE56AB" w:rsidRPr="00106468" w:rsidP="003001E8" w14:paraId="4D39138D" w14:textId="42EBE123">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00106468">
              <w:rPr>
                <w:rFonts w:ascii="Times New Roman" w:hAnsi="Times New Roman"/>
                <w:sz w:val="18"/>
                <w:szCs w:val="18"/>
              </w:rPr>
              <w:t>43 CFR 3120.4</w:t>
            </w:r>
            <w:r>
              <w:rPr>
                <w:rFonts w:ascii="Times New Roman" w:hAnsi="Times New Roman"/>
                <w:sz w:val="18"/>
                <w:szCs w:val="18"/>
              </w:rPr>
              <w:t>1</w:t>
            </w:r>
            <w:r w:rsidRPr="00106468">
              <w:rPr>
                <w:rFonts w:ascii="Times New Roman" w:hAnsi="Times New Roman"/>
                <w:sz w:val="18"/>
                <w:szCs w:val="18"/>
              </w:rPr>
              <w:t xml:space="preserve"> and 3120.11(e)</w:t>
            </w:r>
          </w:p>
        </w:tc>
        <w:tc>
          <w:tcPr>
            <w:tcW w:w="108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EE56AB" w:rsidRPr="00626323" w:rsidP="003001E8" w14:paraId="326956C8" w14:textId="149852C4">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sz w:val="18"/>
                <w:szCs w:val="18"/>
              </w:rPr>
            </w:pPr>
            <w:r w:rsidRPr="00626323">
              <w:rPr>
                <w:rFonts w:ascii="Times New Roman" w:hAnsi="Times New Roman"/>
                <w:sz w:val="18"/>
                <w:szCs w:val="18"/>
              </w:rPr>
              <w:t>395</w:t>
            </w: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EE56AB" w:rsidRPr="00626323" w:rsidP="003001E8" w14:paraId="0E330735" w14:textId="391F0182">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bCs/>
                <w:sz w:val="18"/>
                <w:szCs w:val="18"/>
              </w:rPr>
            </w:pPr>
            <w:r w:rsidRPr="00626323">
              <w:rPr>
                <w:rFonts w:ascii="Times New Roman" w:hAnsi="Times New Roman"/>
                <w:bCs/>
                <w:sz w:val="18"/>
                <w:szCs w:val="18"/>
              </w:rPr>
              <w:t>8</w:t>
            </w:r>
          </w:p>
        </w:tc>
        <w:tc>
          <w:tcPr>
            <w:tcW w:w="117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EE56AB" w:rsidRPr="00626323" w:rsidP="003001E8" w14:paraId="56A839D8" w14:textId="7A247D4B">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sz w:val="18"/>
                <w:szCs w:val="18"/>
              </w:rPr>
            </w:pPr>
            <w:r w:rsidRPr="00626323">
              <w:rPr>
                <w:rFonts w:ascii="Times New Roman" w:hAnsi="Times New Roman"/>
                <w:sz w:val="18"/>
                <w:szCs w:val="18"/>
              </w:rPr>
              <w:t>3,160</w:t>
            </w:r>
          </w:p>
        </w:tc>
        <w:tc>
          <w:tcPr>
            <w:tcW w:w="117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EE56AB" w:rsidRPr="00626323" w:rsidP="003001E8" w14:paraId="0EBFF926" w14:textId="1768033D">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sz w:val="18"/>
                <w:szCs w:val="18"/>
              </w:rPr>
            </w:pPr>
            <w:r w:rsidRPr="00A2121F">
              <w:rPr>
                <w:rFonts w:ascii="Times New Roman" w:hAnsi="Times New Roman"/>
                <w:sz w:val="18"/>
                <w:szCs w:val="18"/>
              </w:rPr>
              <w:t>$70.98</w:t>
            </w:r>
          </w:p>
        </w:tc>
        <w:tc>
          <w:tcPr>
            <w:tcW w:w="1350" w:type="dxa"/>
            <w:tcBorders>
              <w:top w:val="nil"/>
              <w:left w:val="single" w:sz="8" w:space="0" w:color="000000" w:themeColor="text1"/>
              <w:bottom w:val="single" w:sz="8" w:space="0" w:color="000000" w:themeColor="text1"/>
              <w:right w:val="single" w:sz="8" w:space="0" w:color="000000" w:themeColor="text1"/>
            </w:tcBorders>
            <w:vAlign w:val="center"/>
          </w:tcPr>
          <w:p w:rsidR="00EE56AB" w:rsidRPr="00626323" w:rsidP="003001E8" w14:paraId="75C5ECEF" w14:textId="588F285B">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sz w:val="18"/>
                <w:szCs w:val="18"/>
              </w:rPr>
            </w:pPr>
            <w:r>
              <w:rPr>
                <w:color w:val="000000"/>
                <w:sz w:val="18"/>
                <w:szCs w:val="18"/>
              </w:rPr>
              <w:t xml:space="preserve">$224,296.80 </w:t>
            </w:r>
          </w:p>
        </w:tc>
      </w:tr>
      <w:tr w14:paraId="4DBDDD8E" w14:textId="77777777" w:rsidTr="00EE56AB">
        <w:tblPrEx>
          <w:tblW w:w="9352" w:type="dxa"/>
          <w:tblLayout w:type="fixed"/>
          <w:tblCellMar>
            <w:left w:w="120" w:type="dxa"/>
            <w:right w:w="120" w:type="dxa"/>
          </w:tblCellMar>
          <w:tblLook w:val="0000"/>
        </w:tblPrEx>
        <w:trPr>
          <w:cantSplit/>
        </w:trPr>
        <w:tc>
          <w:tcPr>
            <w:tcW w:w="332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EE56AB" w:rsidRPr="00106468" w:rsidP="003001E8" w14:paraId="1D738273"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00106468">
              <w:rPr>
                <w:rFonts w:ascii="Times New Roman" w:hAnsi="Times New Roman"/>
                <w:sz w:val="18"/>
                <w:szCs w:val="18"/>
              </w:rPr>
              <w:t>Preliminary drainage protection report</w:t>
            </w:r>
          </w:p>
          <w:p w:rsidR="00EE56AB" w:rsidRPr="00106468" w:rsidP="003001E8" w14:paraId="736035FD"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00106468">
              <w:rPr>
                <w:rFonts w:ascii="Times New Roman" w:hAnsi="Times New Roman"/>
                <w:sz w:val="18"/>
                <w:szCs w:val="18"/>
              </w:rPr>
              <w:t>43 CFR 3162.2-9</w:t>
            </w:r>
          </w:p>
        </w:tc>
        <w:tc>
          <w:tcPr>
            <w:tcW w:w="108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EE56AB" w:rsidRPr="00626323" w:rsidP="003001E8" w14:paraId="74891456"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bCs/>
                <w:sz w:val="18"/>
                <w:szCs w:val="18"/>
              </w:rPr>
            </w:pPr>
            <w:r w:rsidRPr="00626323">
              <w:rPr>
                <w:rFonts w:ascii="Times New Roman" w:hAnsi="Times New Roman"/>
                <w:sz w:val="18"/>
                <w:szCs w:val="18"/>
              </w:rPr>
              <w:t>1,000</w:t>
            </w: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EE56AB" w:rsidRPr="00626323" w:rsidP="003001E8" w14:paraId="49DE287E"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bCs/>
                <w:sz w:val="18"/>
                <w:szCs w:val="18"/>
              </w:rPr>
            </w:pPr>
            <w:r w:rsidRPr="00626323">
              <w:rPr>
                <w:rFonts w:ascii="Times New Roman" w:hAnsi="Times New Roman"/>
                <w:bCs/>
                <w:sz w:val="18"/>
                <w:szCs w:val="18"/>
              </w:rPr>
              <w:t>2</w:t>
            </w:r>
          </w:p>
        </w:tc>
        <w:tc>
          <w:tcPr>
            <w:tcW w:w="117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EE56AB" w:rsidRPr="00626323" w:rsidP="003001E8" w14:paraId="6AC45059"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sz w:val="18"/>
                <w:szCs w:val="18"/>
              </w:rPr>
            </w:pPr>
            <w:r w:rsidRPr="00626323">
              <w:rPr>
                <w:rFonts w:ascii="Times New Roman" w:hAnsi="Times New Roman"/>
                <w:sz w:val="18"/>
                <w:szCs w:val="18"/>
              </w:rPr>
              <w:t>2,000</w:t>
            </w:r>
          </w:p>
        </w:tc>
        <w:tc>
          <w:tcPr>
            <w:tcW w:w="117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EE56AB" w:rsidRPr="00626323" w:rsidP="003001E8" w14:paraId="41F157E9" w14:textId="187DCDC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sz w:val="18"/>
                <w:szCs w:val="18"/>
              </w:rPr>
            </w:pPr>
            <w:r w:rsidRPr="00A2121F">
              <w:rPr>
                <w:rFonts w:ascii="Times New Roman" w:hAnsi="Times New Roman"/>
                <w:sz w:val="18"/>
                <w:szCs w:val="18"/>
              </w:rPr>
              <w:t>$70.98</w:t>
            </w:r>
          </w:p>
        </w:tc>
        <w:tc>
          <w:tcPr>
            <w:tcW w:w="1350" w:type="dxa"/>
            <w:tcBorders>
              <w:top w:val="nil"/>
              <w:left w:val="single" w:sz="8" w:space="0" w:color="000000" w:themeColor="text1"/>
              <w:bottom w:val="single" w:sz="8" w:space="0" w:color="000000" w:themeColor="text1"/>
              <w:right w:val="single" w:sz="8" w:space="0" w:color="000000" w:themeColor="text1"/>
            </w:tcBorders>
            <w:vAlign w:val="center"/>
          </w:tcPr>
          <w:p w:rsidR="00EE56AB" w:rsidRPr="00626323" w:rsidP="003001E8" w14:paraId="084B59BA" w14:textId="39B0391A">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sz w:val="18"/>
                <w:szCs w:val="18"/>
              </w:rPr>
            </w:pPr>
            <w:r>
              <w:rPr>
                <w:color w:val="000000"/>
                <w:sz w:val="18"/>
                <w:szCs w:val="18"/>
              </w:rPr>
              <w:t xml:space="preserve">$141,960.00 </w:t>
            </w:r>
          </w:p>
        </w:tc>
      </w:tr>
      <w:tr w14:paraId="653659DE" w14:textId="77777777" w:rsidTr="00EE56AB">
        <w:tblPrEx>
          <w:tblW w:w="9352" w:type="dxa"/>
          <w:tblLayout w:type="fixed"/>
          <w:tblCellMar>
            <w:left w:w="120" w:type="dxa"/>
            <w:right w:w="120" w:type="dxa"/>
          </w:tblCellMar>
          <w:tblLook w:val="0000"/>
        </w:tblPrEx>
        <w:trPr>
          <w:cantSplit/>
        </w:trPr>
        <w:tc>
          <w:tcPr>
            <w:tcW w:w="332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EE56AB" w:rsidRPr="00106468" w:rsidP="003001E8" w14:paraId="07E97824"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00106468">
              <w:rPr>
                <w:rFonts w:ascii="Times New Roman" w:hAnsi="Times New Roman"/>
                <w:sz w:val="18"/>
                <w:szCs w:val="18"/>
              </w:rPr>
              <w:t>Detailed drainage protection report</w:t>
            </w:r>
          </w:p>
          <w:p w:rsidR="00EE56AB" w:rsidRPr="00106468" w:rsidP="003001E8" w14:paraId="22B2B19B"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00106468">
              <w:rPr>
                <w:rFonts w:ascii="Times New Roman" w:hAnsi="Times New Roman"/>
                <w:sz w:val="18"/>
                <w:szCs w:val="18"/>
              </w:rPr>
              <w:t>43 CFR 3162.2-9</w:t>
            </w:r>
          </w:p>
        </w:tc>
        <w:tc>
          <w:tcPr>
            <w:tcW w:w="108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EE56AB" w:rsidRPr="00626323" w:rsidP="003001E8" w14:paraId="78D00136"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bCs/>
                <w:sz w:val="18"/>
                <w:szCs w:val="18"/>
              </w:rPr>
            </w:pPr>
            <w:r w:rsidRPr="00626323">
              <w:rPr>
                <w:rFonts w:ascii="Times New Roman" w:hAnsi="Times New Roman"/>
                <w:sz w:val="18"/>
                <w:szCs w:val="18"/>
              </w:rPr>
              <w:t>100</w:t>
            </w: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EE56AB" w:rsidRPr="00626323" w:rsidP="003001E8" w14:paraId="5ECB5BCB"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bCs/>
                <w:sz w:val="18"/>
                <w:szCs w:val="18"/>
              </w:rPr>
            </w:pPr>
            <w:r w:rsidRPr="00626323">
              <w:rPr>
                <w:rFonts w:ascii="Times New Roman" w:hAnsi="Times New Roman"/>
                <w:bCs/>
                <w:sz w:val="18"/>
                <w:szCs w:val="18"/>
              </w:rPr>
              <w:t>24</w:t>
            </w:r>
          </w:p>
        </w:tc>
        <w:tc>
          <w:tcPr>
            <w:tcW w:w="117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EE56AB" w:rsidRPr="00626323" w:rsidP="003001E8" w14:paraId="3A8D593B"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sz w:val="18"/>
                <w:szCs w:val="18"/>
              </w:rPr>
            </w:pPr>
            <w:r w:rsidRPr="00626323">
              <w:rPr>
                <w:rFonts w:ascii="Times New Roman" w:hAnsi="Times New Roman"/>
                <w:sz w:val="18"/>
                <w:szCs w:val="18"/>
              </w:rPr>
              <w:t>2,400</w:t>
            </w:r>
          </w:p>
        </w:tc>
        <w:tc>
          <w:tcPr>
            <w:tcW w:w="117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EE56AB" w:rsidRPr="00626323" w:rsidP="003001E8" w14:paraId="5990626C" w14:textId="57EF77E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sz w:val="18"/>
                <w:szCs w:val="18"/>
              </w:rPr>
            </w:pPr>
            <w:r w:rsidRPr="00A2121F">
              <w:rPr>
                <w:rFonts w:ascii="Times New Roman" w:hAnsi="Times New Roman"/>
                <w:sz w:val="18"/>
                <w:szCs w:val="18"/>
              </w:rPr>
              <w:t>$70.98</w:t>
            </w:r>
          </w:p>
        </w:tc>
        <w:tc>
          <w:tcPr>
            <w:tcW w:w="1350" w:type="dxa"/>
            <w:tcBorders>
              <w:top w:val="nil"/>
              <w:left w:val="single" w:sz="8" w:space="0" w:color="000000" w:themeColor="text1"/>
              <w:bottom w:val="single" w:sz="8" w:space="0" w:color="000000" w:themeColor="text1"/>
              <w:right w:val="single" w:sz="8" w:space="0" w:color="000000" w:themeColor="text1"/>
            </w:tcBorders>
            <w:vAlign w:val="center"/>
          </w:tcPr>
          <w:p w:rsidR="00EE56AB" w:rsidRPr="00626323" w:rsidP="003001E8" w14:paraId="5BA50825" w14:textId="58DC277C">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sz w:val="18"/>
                <w:szCs w:val="18"/>
              </w:rPr>
            </w:pPr>
            <w:r>
              <w:rPr>
                <w:color w:val="000000"/>
                <w:sz w:val="18"/>
                <w:szCs w:val="18"/>
              </w:rPr>
              <w:t xml:space="preserve">$170,352.00 </w:t>
            </w:r>
          </w:p>
        </w:tc>
      </w:tr>
      <w:tr w14:paraId="4A2C8EE1" w14:textId="77777777" w:rsidTr="00EE56AB">
        <w:tblPrEx>
          <w:tblW w:w="9352" w:type="dxa"/>
          <w:tblLayout w:type="fixed"/>
          <w:tblCellMar>
            <w:left w:w="120" w:type="dxa"/>
            <w:right w:w="120" w:type="dxa"/>
          </w:tblCellMar>
          <w:tblLook w:val="0000"/>
        </w:tblPrEx>
        <w:trPr>
          <w:cantSplit/>
          <w:trHeight w:val="795"/>
        </w:trPr>
        <w:tc>
          <w:tcPr>
            <w:tcW w:w="332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EE56AB" w:rsidRPr="00626323" w:rsidP="279F62BA" w14:paraId="71227F19" w14:textId="77777777">
            <w:pPr>
              <w:widowControl/>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279F62BA">
              <w:rPr>
                <w:rFonts w:ascii="Times New Roman" w:hAnsi="Times New Roman"/>
                <w:sz w:val="18"/>
                <w:szCs w:val="18"/>
              </w:rPr>
              <w:t>Additional drainage protection report</w:t>
            </w:r>
          </w:p>
          <w:p w:rsidR="00EE56AB" w:rsidRPr="00626323" w:rsidP="003001E8" w14:paraId="5372E009"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00626323">
              <w:rPr>
                <w:rFonts w:ascii="Times New Roman" w:hAnsi="Times New Roman"/>
                <w:sz w:val="18"/>
                <w:szCs w:val="18"/>
              </w:rPr>
              <w:t>43 CFR 3162.2-9</w:t>
            </w:r>
          </w:p>
        </w:tc>
        <w:tc>
          <w:tcPr>
            <w:tcW w:w="108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EE56AB" w:rsidRPr="00626323" w:rsidP="003001E8" w14:paraId="31B4B2D6"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bCs/>
                <w:sz w:val="18"/>
                <w:szCs w:val="18"/>
              </w:rPr>
            </w:pPr>
            <w:r w:rsidRPr="00626323">
              <w:rPr>
                <w:rFonts w:ascii="Times New Roman" w:hAnsi="Times New Roman"/>
                <w:sz w:val="18"/>
                <w:szCs w:val="18"/>
              </w:rPr>
              <w:t>10</w:t>
            </w: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EE56AB" w:rsidRPr="00626323" w:rsidP="003001E8" w14:paraId="7C3D7E6D"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bCs/>
                <w:sz w:val="18"/>
                <w:szCs w:val="18"/>
              </w:rPr>
            </w:pPr>
            <w:r w:rsidRPr="00626323">
              <w:rPr>
                <w:rFonts w:ascii="Times New Roman" w:hAnsi="Times New Roman"/>
                <w:bCs/>
                <w:sz w:val="18"/>
                <w:szCs w:val="18"/>
              </w:rPr>
              <w:t>20</w:t>
            </w:r>
          </w:p>
        </w:tc>
        <w:tc>
          <w:tcPr>
            <w:tcW w:w="117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EE56AB" w:rsidRPr="00626323" w:rsidP="003001E8" w14:paraId="5E281A43"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sz w:val="18"/>
                <w:szCs w:val="18"/>
              </w:rPr>
            </w:pPr>
            <w:r w:rsidRPr="00626323">
              <w:rPr>
                <w:rFonts w:ascii="Times New Roman" w:hAnsi="Times New Roman"/>
                <w:sz w:val="18"/>
                <w:szCs w:val="18"/>
              </w:rPr>
              <w:t>200</w:t>
            </w:r>
          </w:p>
        </w:tc>
        <w:tc>
          <w:tcPr>
            <w:tcW w:w="117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EE56AB" w:rsidRPr="00626323" w:rsidP="003001E8" w14:paraId="50DB95EA" w14:textId="574AF5C3">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sz w:val="18"/>
                <w:szCs w:val="18"/>
              </w:rPr>
            </w:pPr>
            <w:r w:rsidRPr="00A2121F">
              <w:rPr>
                <w:rFonts w:ascii="Times New Roman" w:hAnsi="Times New Roman"/>
                <w:sz w:val="18"/>
                <w:szCs w:val="18"/>
              </w:rPr>
              <w:t>$70.98</w:t>
            </w:r>
          </w:p>
        </w:tc>
        <w:tc>
          <w:tcPr>
            <w:tcW w:w="1350" w:type="dxa"/>
            <w:tcBorders>
              <w:top w:val="nil"/>
              <w:left w:val="single" w:sz="8" w:space="0" w:color="000000" w:themeColor="text1"/>
              <w:bottom w:val="single" w:sz="8" w:space="0" w:color="000000" w:themeColor="text1"/>
              <w:right w:val="single" w:sz="8" w:space="0" w:color="000000" w:themeColor="text1"/>
            </w:tcBorders>
            <w:vAlign w:val="center"/>
          </w:tcPr>
          <w:p w:rsidR="00EE56AB" w:rsidRPr="00626323" w:rsidP="003001E8" w14:paraId="43846BE8" w14:textId="06EF6701">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sz w:val="18"/>
                <w:szCs w:val="18"/>
              </w:rPr>
            </w:pPr>
            <w:r>
              <w:rPr>
                <w:color w:val="000000"/>
                <w:sz w:val="18"/>
                <w:szCs w:val="18"/>
              </w:rPr>
              <w:t xml:space="preserve">$14,196.00 </w:t>
            </w:r>
          </w:p>
        </w:tc>
      </w:tr>
      <w:tr w14:paraId="7300325F" w14:textId="77777777" w:rsidTr="00EE56AB">
        <w:tblPrEx>
          <w:tblW w:w="9352" w:type="dxa"/>
          <w:tblLayout w:type="fixed"/>
          <w:tblCellMar>
            <w:left w:w="120" w:type="dxa"/>
            <w:right w:w="120" w:type="dxa"/>
          </w:tblCellMar>
          <w:tblLook w:val="0000"/>
        </w:tblPrEx>
        <w:trPr>
          <w:cantSplit/>
        </w:trPr>
        <w:tc>
          <w:tcPr>
            <w:tcW w:w="332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EE56AB" w:rsidRPr="00866D11" w:rsidP="003001E8" w14:paraId="2A722149"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b/>
                <w:sz w:val="18"/>
                <w:szCs w:val="18"/>
              </w:rPr>
            </w:pPr>
            <w:r w:rsidRPr="00866D11">
              <w:rPr>
                <w:rFonts w:ascii="Times New Roman" w:hAnsi="Times New Roman"/>
                <w:b/>
                <w:sz w:val="18"/>
                <w:szCs w:val="18"/>
              </w:rPr>
              <w:t>Totals:</w:t>
            </w:r>
          </w:p>
        </w:tc>
        <w:tc>
          <w:tcPr>
            <w:tcW w:w="10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EE56AB" w:rsidRPr="00866D11" w:rsidP="071F182D" w14:paraId="53455088" w14:textId="13B51396">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59" w:lineRule="auto"/>
              <w:jc w:val="right"/>
              <w:rPr>
                <w:rFonts w:ascii="Times New Roman" w:hAnsi="Times New Roman"/>
                <w:sz w:val="18"/>
                <w:szCs w:val="18"/>
              </w:rPr>
            </w:pPr>
            <w:r w:rsidRPr="071F182D">
              <w:rPr>
                <w:rFonts w:ascii="Times New Roman" w:hAnsi="Times New Roman"/>
                <w:b/>
                <w:bCs/>
                <w:sz w:val="18"/>
                <w:szCs w:val="18"/>
              </w:rPr>
              <w:t>14,956</w:t>
            </w: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EE56AB" w:rsidRPr="00866D11" w:rsidP="003001E8" w14:paraId="252F5F67"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imes New Roman" w:hAnsi="Times New Roman"/>
                <w:b/>
                <w:sz w:val="18"/>
                <w:szCs w:val="18"/>
              </w:rPr>
            </w:pPr>
            <w:r w:rsidRPr="00866D11">
              <w:rPr>
                <w:rFonts w:ascii="Times New Roman" w:hAnsi="Times New Roman"/>
                <w:b/>
                <w:sz w:val="18"/>
                <w:szCs w:val="18"/>
              </w:rPr>
              <w:t>—</w:t>
            </w:r>
          </w:p>
        </w:tc>
        <w:tc>
          <w:tcPr>
            <w:tcW w:w="117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EE56AB" w:rsidRPr="00866D11" w:rsidP="5A64A34E" w14:paraId="256BBEC6" w14:textId="1F2FCBC6">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59" w:lineRule="auto"/>
              <w:jc w:val="right"/>
              <w:rPr>
                <w:rFonts w:ascii="Times New Roman" w:hAnsi="Times New Roman"/>
                <w:sz w:val="18"/>
                <w:szCs w:val="18"/>
              </w:rPr>
            </w:pPr>
            <w:r w:rsidRPr="5A64A34E">
              <w:rPr>
                <w:rFonts w:ascii="Times New Roman" w:hAnsi="Times New Roman"/>
                <w:b/>
                <w:bCs/>
                <w:sz w:val="18"/>
                <w:szCs w:val="18"/>
              </w:rPr>
              <w:t>18,359</w:t>
            </w:r>
          </w:p>
        </w:tc>
        <w:tc>
          <w:tcPr>
            <w:tcW w:w="117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EE56AB" w:rsidRPr="00866D11" w:rsidP="003001E8" w14:paraId="03FCE68C" w14:textId="75EA3C8A">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imes New Roman" w:hAnsi="Times New Roman"/>
                <w:b/>
                <w:sz w:val="18"/>
                <w:szCs w:val="18"/>
              </w:rPr>
            </w:pPr>
            <w:r w:rsidRPr="00866D11">
              <w:rPr>
                <w:rFonts w:ascii="Times New Roman" w:hAnsi="Times New Roman"/>
                <w:b/>
                <w:sz w:val="18"/>
                <w:szCs w:val="18"/>
              </w:rPr>
              <w:t>—</w:t>
            </w:r>
          </w:p>
        </w:tc>
        <w:tc>
          <w:tcPr>
            <w:tcW w:w="1350" w:type="dxa"/>
            <w:tcBorders>
              <w:top w:val="nil"/>
              <w:left w:val="single" w:sz="8" w:space="0" w:color="000000" w:themeColor="text1"/>
              <w:bottom w:val="single" w:sz="8" w:space="0" w:color="000000" w:themeColor="text1"/>
              <w:right w:val="single" w:sz="8" w:space="0" w:color="000000" w:themeColor="text1"/>
            </w:tcBorders>
            <w:vAlign w:val="center"/>
          </w:tcPr>
          <w:p w:rsidR="00EE56AB" w:rsidRPr="00866D11" w:rsidP="5A64A34E" w14:paraId="318268EE" w14:textId="64A4BC5B">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b/>
                <w:sz w:val="18"/>
                <w:szCs w:val="18"/>
              </w:rPr>
            </w:pPr>
            <w:r w:rsidRPr="5A64A34E">
              <w:rPr>
                <w:b/>
                <w:bCs/>
                <w:color w:val="000000" w:themeColor="text1"/>
                <w:sz w:val="18"/>
                <w:szCs w:val="18"/>
              </w:rPr>
              <w:t>$1,303,122</w:t>
            </w:r>
          </w:p>
        </w:tc>
      </w:tr>
    </w:tbl>
    <w:p w:rsidR="00F36D45" w:rsidRPr="00ED00CF" w:rsidP="00F36D45" w14:paraId="5B1D7AF2"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sectPr>
          <w:headerReference w:type="default" r:id="rId10"/>
          <w:footerReference w:type="default" r:id="rId11"/>
          <w:type w:val="continuous"/>
          <w:pgSz w:w="12240" w:h="15840"/>
          <w:pgMar w:top="1440" w:right="1440" w:bottom="1440" w:left="1440" w:header="1440" w:footer="1440" w:gutter="0"/>
          <w:cols w:space="720"/>
          <w:noEndnote/>
        </w:sectPr>
      </w:pPr>
    </w:p>
    <w:p w:rsidR="00D178F8" w:rsidRPr="00ED00CF" w:rsidP="00D178F8" w14:paraId="15027EE4" w14:textId="77777777">
      <w:pPr>
        <w:tabs>
          <w:tab w:val="left" w:pos="-1080"/>
          <w:tab w:val="left" w:pos="-720"/>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p>
    <w:p w:rsidR="003A5532" w:rsidRPr="00ED00CF" w:rsidP="002B1071" w14:paraId="1BCAB6AA" w14:textId="7417D21A">
      <w:pPr>
        <w:pStyle w:val="Heading2"/>
        <w:rPr>
          <w:sz w:val="20"/>
          <w:szCs w:val="20"/>
        </w:rPr>
      </w:pPr>
      <w:r w:rsidRPr="00ED00CF">
        <w:rPr>
          <w:sz w:val="20"/>
          <w:szCs w:val="20"/>
        </w:rPr>
        <w:t>13.</w:t>
      </w:r>
      <w:r w:rsidRPr="00ED00CF">
        <w:rPr>
          <w:sz w:val="20"/>
          <w:szCs w:val="20"/>
        </w:rPr>
        <w:tab/>
        <w:t>Provide an estimate of the total annual non-hour cost burden to respondents or recordkeepers resulting from the collection of information.</w:t>
      </w:r>
      <w:r w:rsidRPr="00ED00CF" w:rsidR="00E954E6">
        <w:rPr>
          <w:sz w:val="20"/>
          <w:szCs w:val="20"/>
        </w:rPr>
        <w:t xml:space="preserve"> </w:t>
      </w:r>
      <w:r w:rsidRPr="00ED00CF">
        <w:rPr>
          <w:sz w:val="20"/>
          <w:szCs w:val="20"/>
        </w:rPr>
        <w:t>(Do not include the cost of any hour burden already reflected in item 12.)</w:t>
      </w:r>
    </w:p>
    <w:p w:rsidR="003A5532" w:rsidRPr="00ED00CF" w:rsidP="002B1071" w14:paraId="4ACE5653" w14:textId="5725CA95">
      <w:pPr>
        <w:pStyle w:val="Heading2"/>
        <w:tabs>
          <w:tab w:val="clear" w:pos="0"/>
        </w:tabs>
        <w:ind w:left="720" w:hanging="720"/>
        <w:rPr>
          <w:sz w:val="20"/>
          <w:szCs w:val="20"/>
        </w:rPr>
      </w:pPr>
      <w:r w:rsidRPr="00ED00CF">
        <w:rPr>
          <w:sz w:val="20"/>
          <w:szCs w:val="20"/>
        </w:rPr>
        <w:tab/>
        <w:t>*</w:t>
      </w:r>
      <w:r w:rsidRPr="00ED00CF">
        <w:rPr>
          <w:sz w:val="20"/>
          <w:szCs w:val="20"/>
        </w:rPr>
        <w:tab/>
        <w:t xml:space="preserve">The cost estimate should be split into two components: (a) </w:t>
      </w:r>
      <w:r w:rsidRPr="00ED00CF">
        <w:rPr>
          <w:sz w:val="20"/>
          <w:szCs w:val="20"/>
        </w:rPr>
        <w:t>a total</w:t>
      </w:r>
      <w:r w:rsidRPr="00ED00CF">
        <w:rPr>
          <w:sz w:val="20"/>
          <w:szCs w:val="20"/>
        </w:rPr>
        <w:t xml:space="preserve"> capital and start-up cost component (annualized over its expected useful life) and (b) </w:t>
      </w:r>
      <w:r w:rsidRPr="00ED00CF">
        <w:rPr>
          <w:sz w:val="20"/>
          <w:szCs w:val="20"/>
        </w:rPr>
        <w:t>a total</w:t>
      </w:r>
      <w:r w:rsidRPr="00ED00CF">
        <w:rPr>
          <w:sz w:val="20"/>
          <w:szCs w:val="20"/>
        </w:rPr>
        <w:t xml:space="preserve"> operation and maintenance and purchase of services component.</w:t>
      </w:r>
      <w:r w:rsidRPr="00ED00CF" w:rsidR="00E954E6">
        <w:rPr>
          <w:sz w:val="20"/>
          <w:szCs w:val="20"/>
        </w:rPr>
        <w:t xml:space="preserve"> </w:t>
      </w:r>
      <w:r w:rsidRPr="00ED00CF">
        <w:rPr>
          <w:sz w:val="20"/>
          <w:szCs w:val="20"/>
        </w:rPr>
        <w:t xml:space="preserve">The estimates should </w:t>
      </w:r>
      <w:r w:rsidRPr="00ED00CF">
        <w:rPr>
          <w:sz w:val="20"/>
          <w:szCs w:val="20"/>
        </w:rPr>
        <w:t>take into account</w:t>
      </w:r>
      <w:r w:rsidRPr="00ED00CF">
        <w:rPr>
          <w:sz w:val="20"/>
          <w:szCs w:val="20"/>
        </w:rPr>
        <w:t xml:space="preserve"> costs associated with generating, maintaining, and disclosing or providing the information (including filing fees paid for form processing).</w:t>
      </w:r>
      <w:r w:rsidRPr="00ED00CF" w:rsidR="00E954E6">
        <w:rPr>
          <w:sz w:val="20"/>
          <w:szCs w:val="20"/>
        </w:rPr>
        <w:t xml:space="preserve"> </w:t>
      </w:r>
      <w:r w:rsidRPr="00ED00CF">
        <w:rPr>
          <w:sz w:val="20"/>
          <w:szCs w:val="20"/>
        </w:rPr>
        <w:t xml:space="preserve">Include descriptions of methods used to estimate major cost factors including system and technology acquisition, expected useful life of capital equipment, the discount rate(s), and the </w:t>
      </w:r>
      <w:r w:rsidRPr="00ED00CF">
        <w:rPr>
          <w:sz w:val="20"/>
          <w:szCs w:val="20"/>
        </w:rPr>
        <w:t>time period</w:t>
      </w:r>
      <w:r w:rsidRPr="00ED00CF">
        <w:rPr>
          <w:sz w:val="20"/>
          <w:szCs w:val="20"/>
        </w:rPr>
        <w:t xml:space="preserve"> over which costs will be incurred.</w:t>
      </w:r>
      <w:r w:rsidRPr="00ED00CF" w:rsidR="00E954E6">
        <w:rPr>
          <w:sz w:val="20"/>
          <w:szCs w:val="20"/>
        </w:rPr>
        <w:t xml:space="preserve"> </w:t>
      </w:r>
      <w:r w:rsidRPr="00ED00CF">
        <w:rPr>
          <w:sz w:val="20"/>
          <w:szCs w:val="20"/>
        </w:rPr>
        <w:t>Capital and start-up costs include, among other items, preparations for collecting information such as purchasing computers and software; monitoring, sampling, drilling and testing equipment; and record storage facilities.</w:t>
      </w:r>
    </w:p>
    <w:p w:rsidR="003A5532" w:rsidRPr="00ED00CF" w:rsidP="002B1071" w14:paraId="68D27B54" w14:textId="31A54205">
      <w:pPr>
        <w:pStyle w:val="Heading2"/>
        <w:tabs>
          <w:tab w:val="clear" w:pos="0"/>
        </w:tabs>
        <w:ind w:left="720" w:hanging="720"/>
        <w:rPr>
          <w:sz w:val="20"/>
          <w:szCs w:val="20"/>
        </w:rPr>
      </w:pPr>
      <w:r w:rsidRPr="00ED00CF">
        <w:rPr>
          <w:sz w:val="20"/>
          <w:szCs w:val="20"/>
        </w:rPr>
        <w:tab/>
        <w:t>*</w:t>
      </w:r>
      <w:r w:rsidRPr="00ED00CF">
        <w:rPr>
          <w:sz w:val="20"/>
          <w:szCs w:val="20"/>
        </w:rPr>
        <w:tab/>
        <w:t>If cost estimates are expected to vary widely, agencies should present ranges of cost burdens and explain the reasons for the variance.</w:t>
      </w:r>
      <w:r w:rsidRPr="00ED00CF" w:rsidR="00E954E6">
        <w:rPr>
          <w:sz w:val="20"/>
          <w:szCs w:val="20"/>
        </w:rPr>
        <w:t xml:space="preserve"> </w:t>
      </w:r>
      <w:r w:rsidRPr="00ED00CF">
        <w:rPr>
          <w:sz w:val="20"/>
          <w:szCs w:val="20"/>
        </w:rPr>
        <w:t>The cost of purchasing or contracting out information collection services should be a part of this cost burden estimate.</w:t>
      </w:r>
      <w:r w:rsidRPr="00ED00CF" w:rsidR="00E954E6">
        <w:rPr>
          <w:sz w:val="20"/>
          <w:szCs w:val="20"/>
        </w:rPr>
        <w:t xml:space="preserve"> </w:t>
      </w:r>
      <w:r w:rsidRPr="00ED00CF">
        <w:rPr>
          <w:sz w:val="20"/>
          <w:szCs w:val="20"/>
        </w:rPr>
        <w:t xml:space="preserve">In developing cost burden estimates, agencies may consult with a sample of respondents (fewer than 10), utilize the 60-day pre-OMB submission </w:t>
      </w:r>
      <w:r w:rsidRPr="00ED00CF">
        <w:rPr>
          <w:sz w:val="20"/>
          <w:szCs w:val="20"/>
        </w:rPr>
        <w:t>public comment process and use existing economic or regulatory impact analysis associated with the rulemaking containing the information collection, as appropriate.</w:t>
      </w:r>
    </w:p>
    <w:p w:rsidR="003A5532" w:rsidRPr="00ED00CF" w:rsidP="002B1071" w14:paraId="6DD222CD" w14:textId="77777777">
      <w:pPr>
        <w:pStyle w:val="Heading2"/>
        <w:tabs>
          <w:tab w:val="clear" w:pos="0"/>
        </w:tabs>
        <w:ind w:left="720" w:hanging="720"/>
        <w:rPr>
          <w:sz w:val="20"/>
          <w:szCs w:val="20"/>
        </w:rPr>
      </w:pPr>
      <w:r w:rsidRPr="00ED00CF">
        <w:rPr>
          <w:sz w:val="20"/>
          <w:szCs w:val="20"/>
        </w:rPr>
        <w:tab/>
        <w:t>*</w:t>
      </w:r>
      <w:r w:rsidRPr="00ED00CF">
        <w:rPr>
          <w:sz w:val="20"/>
          <w:szCs w:val="20"/>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561660" w:rsidRPr="00ED00CF" w:rsidP="00CA5511" w14:paraId="577E59B4"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p>
    <w:p w:rsidR="005176CD" w:rsidRPr="00ED00CF" w:rsidP="00CA5511" w14:paraId="254437F7" w14:textId="2F221606">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r w:rsidRPr="00ED00CF">
        <w:rPr>
          <w:rFonts w:ascii="Times New Roman" w:hAnsi="Times New Roman"/>
          <w:sz w:val="20"/>
          <w:szCs w:val="20"/>
        </w:rPr>
        <w:t>There are no capital or startup costs involved because the information requested is either available in the BLM public reading rooms or maintained by the lessees, applicants, and operators for their own use (for example, maps, reports, and lease files).</w:t>
      </w:r>
      <w:r w:rsidRPr="00ED00CF" w:rsidR="00E954E6">
        <w:rPr>
          <w:rFonts w:ascii="Times New Roman" w:hAnsi="Times New Roman"/>
          <w:sz w:val="20"/>
          <w:szCs w:val="20"/>
        </w:rPr>
        <w:t xml:space="preserve"> </w:t>
      </w:r>
      <w:r w:rsidRPr="00ED00CF">
        <w:rPr>
          <w:rFonts w:ascii="Times New Roman" w:hAnsi="Times New Roman"/>
          <w:sz w:val="20"/>
          <w:szCs w:val="20"/>
        </w:rPr>
        <w:t xml:space="preserve">Respondents are businesses </w:t>
      </w:r>
      <w:r w:rsidRPr="00ED00CF" w:rsidR="00E42525">
        <w:rPr>
          <w:rFonts w:ascii="Times New Roman" w:hAnsi="Times New Roman"/>
          <w:sz w:val="20"/>
          <w:szCs w:val="20"/>
        </w:rPr>
        <w:t xml:space="preserve">that </w:t>
      </w:r>
      <w:r w:rsidRPr="00ED00CF">
        <w:rPr>
          <w:rFonts w:ascii="Times New Roman" w:hAnsi="Times New Roman"/>
          <w:sz w:val="20"/>
          <w:szCs w:val="20"/>
        </w:rPr>
        <w:t>are familiar with oil and gas regulatory requirements.</w:t>
      </w:r>
      <w:r w:rsidR="0011658B">
        <w:rPr>
          <w:rFonts w:ascii="Times New Roman" w:hAnsi="Times New Roman"/>
          <w:sz w:val="20"/>
          <w:szCs w:val="20"/>
        </w:rPr>
        <w:t xml:space="preserve"> </w:t>
      </w:r>
      <w:r w:rsidR="0044660F">
        <w:rPr>
          <w:rFonts w:ascii="Times New Roman" w:hAnsi="Times New Roman"/>
          <w:sz w:val="20"/>
          <w:szCs w:val="20"/>
        </w:rPr>
        <w:t xml:space="preserve">The costs are established fees that are associated with </w:t>
      </w:r>
      <w:r w:rsidR="0011658B">
        <w:rPr>
          <w:rFonts w:ascii="Times New Roman" w:hAnsi="Times New Roman"/>
          <w:sz w:val="20"/>
          <w:szCs w:val="20"/>
        </w:rPr>
        <w:t xml:space="preserve">this collection. These costs are </w:t>
      </w:r>
      <w:r w:rsidR="00E6328B">
        <w:rPr>
          <w:rFonts w:ascii="Times New Roman" w:hAnsi="Times New Roman"/>
          <w:sz w:val="20"/>
          <w:szCs w:val="20"/>
        </w:rPr>
        <w:t>provided below in Table 13.</w:t>
      </w:r>
    </w:p>
    <w:p w:rsidR="00DD5E3E" w:rsidRPr="00ED00CF" w:rsidP="00CA5511" w14:paraId="4523D5F2"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p>
    <w:p w:rsidR="00DC1D37" w:rsidRPr="00ED00CF" w:rsidP="73A9246C" w14:paraId="0AD38F3E" w14:textId="3540D635">
      <w:pPr>
        <w:tabs>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0"/>
          <w:szCs w:val="20"/>
        </w:rPr>
      </w:pPr>
      <w:r w:rsidRPr="00ED00CF">
        <w:rPr>
          <w:rFonts w:ascii="Times New Roman" w:hAnsi="Times New Roman"/>
          <w:sz w:val="20"/>
          <w:szCs w:val="20"/>
        </w:rPr>
        <w:t>Various fees are ass</w:t>
      </w:r>
      <w:r w:rsidRPr="00ED00CF" w:rsidR="001D3277">
        <w:rPr>
          <w:rFonts w:ascii="Times New Roman" w:hAnsi="Times New Roman"/>
          <w:sz w:val="20"/>
          <w:szCs w:val="20"/>
        </w:rPr>
        <w:t>ociated with this collection.</w:t>
      </w:r>
      <w:r w:rsidRPr="00ED00CF" w:rsidR="00E954E6">
        <w:rPr>
          <w:rFonts w:ascii="Times New Roman" w:hAnsi="Times New Roman"/>
          <w:sz w:val="20"/>
          <w:szCs w:val="20"/>
        </w:rPr>
        <w:t xml:space="preserve"> </w:t>
      </w:r>
      <w:r w:rsidRPr="00ED00CF" w:rsidR="001D3277">
        <w:rPr>
          <w:rFonts w:ascii="Times New Roman" w:hAnsi="Times New Roman"/>
          <w:sz w:val="20"/>
          <w:szCs w:val="20"/>
        </w:rPr>
        <w:t xml:space="preserve">Except for </w:t>
      </w:r>
      <w:r w:rsidR="00FF4A89">
        <w:rPr>
          <w:rFonts w:ascii="Times New Roman" w:hAnsi="Times New Roman"/>
          <w:sz w:val="20"/>
          <w:szCs w:val="20"/>
        </w:rPr>
        <w:t xml:space="preserve">Expressions of Interest and </w:t>
      </w:r>
      <w:r w:rsidRPr="00ED00CF" w:rsidR="001D3277">
        <w:rPr>
          <w:rFonts w:ascii="Times New Roman" w:hAnsi="Times New Roman"/>
          <w:sz w:val="20"/>
          <w:szCs w:val="20"/>
        </w:rPr>
        <w:t xml:space="preserve">Class II petitions for reinstatement, </w:t>
      </w:r>
      <w:bookmarkStart w:id="1" w:name="_Hlk115950040"/>
      <w:r w:rsidRPr="00ED00CF" w:rsidR="001D3277">
        <w:rPr>
          <w:rFonts w:ascii="Times New Roman" w:hAnsi="Times New Roman"/>
          <w:sz w:val="20"/>
          <w:szCs w:val="20"/>
        </w:rPr>
        <w:t>t</w:t>
      </w:r>
      <w:r w:rsidRPr="00ED00CF">
        <w:rPr>
          <w:rFonts w:ascii="Times New Roman" w:hAnsi="Times New Roman"/>
          <w:sz w:val="20"/>
          <w:szCs w:val="20"/>
        </w:rPr>
        <w:t>he fees are listed at 43 CFR 3000.12</w:t>
      </w:r>
      <w:r w:rsidRPr="00ED00CF" w:rsidR="00BA253D">
        <w:rPr>
          <w:rFonts w:ascii="Times New Roman" w:hAnsi="Times New Roman"/>
          <w:sz w:val="20"/>
          <w:szCs w:val="20"/>
        </w:rPr>
        <w:t>0</w:t>
      </w:r>
      <w:r w:rsidRPr="00ED00CF">
        <w:rPr>
          <w:rFonts w:ascii="Times New Roman" w:hAnsi="Times New Roman"/>
          <w:sz w:val="20"/>
          <w:szCs w:val="20"/>
        </w:rPr>
        <w:t xml:space="preserve"> and </w:t>
      </w:r>
      <w:r w:rsidRPr="00ED00CF" w:rsidR="00BA253D">
        <w:rPr>
          <w:rFonts w:ascii="Times New Roman" w:hAnsi="Times New Roman"/>
          <w:sz w:val="20"/>
          <w:szCs w:val="20"/>
        </w:rPr>
        <w:t>are</w:t>
      </w:r>
      <w:r w:rsidRPr="00ED00CF" w:rsidR="00530D04">
        <w:rPr>
          <w:rFonts w:ascii="Times New Roman" w:hAnsi="Times New Roman"/>
          <w:sz w:val="20"/>
          <w:szCs w:val="20"/>
        </w:rPr>
        <w:t xml:space="preserve"> </w:t>
      </w:r>
      <w:r w:rsidRPr="00ED00CF">
        <w:rPr>
          <w:rFonts w:ascii="Times New Roman" w:hAnsi="Times New Roman"/>
          <w:sz w:val="20"/>
          <w:szCs w:val="20"/>
        </w:rPr>
        <w:t xml:space="preserve">updated </w:t>
      </w:r>
      <w:r w:rsidRPr="00ED00CF" w:rsidR="00530D04">
        <w:rPr>
          <w:rFonts w:ascii="Times New Roman" w:hAnsi="Times New Roman"/>
          <w:sz w:val="20"/>
          <w:szCs w:val="20"/>
        </w:rPr>
        <w:t>annually</w:t>
      </w:r>
      <w:r w:rsidRPr="00ED00CF" w:rsidR="00E42525">
        <w:rPr>
          <w:rFonts w:ascii="Times New Roman" w:hAnsi="Times New Roman"/>
          <w:sz w:val="20"/>
          <w:szCs w:val="20"/>
        </w:rPr>
        <w:t>,</w:t>
      </w:r>
      <w:r w:rsidRPr="00ED00CF" w:rsidR="00530D04">
        <w:rPr>
          <w:rFonts w:ascii="Times New Roman" w:hAnsi="Times New Roman"/>
          <w:sz w:val="20"/>
          <w:szCs w:val="20"/>
        </w:rPr>
        <w:t xml:space="preserve"> </w:t>
      </w:r>
      <w:r w:rsidRPr="00ED00CF" w:rsidR="00014282">
        <w:rPr>
          <w:rFonts w:ascii="Times New Roman" w:hAnsi="Times New Roman"/>
          <w:sz w:val="20"/>
          <w:szCs w:val="20"/>
        </w:rPr>
        <w:t>in accordance with a method explained at 70 FR 58853 (October 7, 2005).</w:t>
      </w:r>
      <w:r w:rsidRPr="00ED00CF" w:rsidR="00E954E6">
        <w:rPr>
          <w:rFonts w:ascii="Times New Roman" w:hAnsi="Times New Roman"/>
          <w:sz w:val="20"/>
          <w:szCs w:val="20"/>
        </w:rPr>
        <w:t xml:space="preserve"> </w:t>
      </w:r>
      <w:r w:rsidRPr="00ED00CF" w:rsidR="00014282">
        <w:rPr>
          <w:rFonts w:ascii="Times New Roman" w:hAnsi="Times New Roman"/>
          <w:sz w:val="20"/>
          <w:szCs w:val="20"/>
        </w:rPr>
        <w:t xml:space="preserve">The most recent update is at </w:t>
      </w:r>
      <w:r w:rsidRPr="00ED00CF" w:rsidR="00006264">
        <w:rPr>
          <w:rFonts w:ascii="Times New Roman" w:hAnsi="Times New Roman"/>
          <w:sz w:val="20"/>
          <w:szCs w:val="20"/>
        </w:rPr>
        <w:t>8</w:t>
      </w:r>
      <w:r w:rsidR="00006264">
        <w:rPr>
          <w:rFonts w:ascii="Times New Roman" w:hAnsi="Times New Roman"/>
          <w:sz w:val="20"/>
          <w:szCs w:val="20"/>
        </w:rPr>
        <w:t>9</w:t>
      </w:r>
      <w:r w:rsidR="00160972">
        <w:rPr>
          <w:rFonts w:ascii="Times New Roman" w:hAnsi="Times New Roman"/>
          <w:sz w:val="20"/>
          <w:szCs w:val="20"/>
        </w:rPr>
        <w:t xml:space="preserve"> </w:t>
      </w:r>
      <w:r w:rsidRPr="00ED00CF" w:rsidR="00BA253D">
        <w:rPr>
          <w:rFonts w:ascii="Times New Roman" w:hAnsi="Times New Roman"/>
          <w:sz w:val="20"/>
          <w:szCs w:val="20"/>
        </w:rPr>
        <w:t>FR</w:t>
      </w:r>
      <w:r w:rsidR="00160972">
        <w:rPr>
          <w:rFonts w:ascii="Times New Roman" w:hAnsi="Times New Roman"/>
          <w:sz w:val="20"/>
          <w:szCs w:val="20"/>
        </w:rPr>
        <w:t xml:space="preserve"> </w:t>
      </w:r>
      <w:r w:rsidRPr="00160972" w:rsidR="00006264">
        <w:rPr>
          <w:sz w:val="20"/>
          <w:szCs w:val="20"/>
        </w:rPr>
        <w:t>77170</w:t>
      </w:r>
      <w:r w:rsidRPr="00ED00CF" w:rsidR="00BA253D">
        <w:rPr>
          <w:rFonts w:ascii="Times New Roman" w:hAnsi="Times New Roman"/>
          <w:sz w:val="20"/>
          <w:szCs w:val="20"/>
        </w:rPr>
        <w:t xml:space="preserve"> (September 2</w:t>
      </w:r>
      <w:r w:rsidR="00006264">
        <w:rPr>
          <w:rFonts w:ascii="Times New Roman" w:hAnsi="Times New Roman"/>
          <w:sz w:val="20"/>
          <w:szCs w:val="20"/>
        </w:rPr>
        <w:t>0</w:t>
      </w:r>
      <w:r w:rsidRPr="00ED00CF" w:rsidR="00BA253D">
        <w:rPr>
          <w:rFonts w:ascii="Times New Roman" w:hAnsi="Times New Roman"/>
          <w:sz w:val="20"/>
          <w:szCs w:val="20"/>
        </w:rPr>
        <w:t xml:space="preserve">, </w:t>
      </w:r>
      <w:r w:rsidRPr="00ED00CF" w:rsidR="00006264">
        <w:rPr>
          <w:rFonts w:ascii="Times New Roman" w:hAnsi="Times New Roman"/>
          <w:sz w:val="20"/>
          <w:szCs w:val="20"/>
        </w:rPr>
        <w:t>202</w:t>
      </w:r>
      <w:r w:rsidR="00006264">
        <w:rPr>
          <w:rFonts w:ascii="Times New Roman" w:hAnsi="Times New Roman"/>
          <w:sz w:val="20"/>
          <w:szCs w:val="20"/>
        </w:rPr>
        <w:t>4</w:t>
      </w:r>
      <w:r w:rsidRPr="00ED00CF" w:rsidR="00BA253D">
        <w:rPr>
          <w:rFonts w:ascii="Times New Roman" w:hAnsi="Times New Roman"/>
          <w:sz w:val="20"/>
          <w:szCs w:val="20"/>
        </w:rPr>
        <w:t>)</w:t>
      </w:r>
      <w:bookmarkEnd w:id="1"/>
      <w:r w:rsidRPr="00ED00CF" w:rsidR="00530D04">
        <w:rPr>
          <w:rFonts w:ascii="Times New Roman" w:hAnsi="Times New Roman"/>
          <w:sz w:val="20"/>
          <w:szCs w:val="20"/>
        </w:rPr>
        <w:t>.</w:t>
      </w:r>
    </w:p>
    <w:p w:rsidR="00014282" w:rsidRPr="00ED00CF" w:rsidP="00DD5E3E" w14:paraId="712AE755"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p>
    <w:p w:rsidR="00DE1579" w:rsidRPr="00ED00CF" w:rsidP="00DD5E3E" w14:paraId="15F98F5C" w14:textId="72DBAE52">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r w:rsidRPr="00ED00CF">
        <w:rPr>
          <w:rFonts w:ascii="Times New Roman" w:hAnsi="Times New Roman"/>
          <w:sz w:val="20"/>
          <w:szCs w:val="20"/>
        </w:rPr>
        <w:t>Class II petitions for reinstatement are subject to an administrative fee of $500 per response.</w:t>
      </w:r>
      <w:r w:rsidRPr="00ED00CF" w:rsidR="00E954E6">
        <w:rPr>
          <w:rFonts w:ascii="Times New Roman" w:hAnsi="Times New Roman"/>
          <w:sz w:val="20"/>
          <w:szCs w:val="20"/>
        </w:rPr>
        <w:t xml:space="preserve"> </w:t>
      </w:r>
      <w:r w:rsidRPr="00ED00CF">
        <w:rPr>
          <w:rFonts w:ascii="Times New Roman" w:hAnsi="Times New Roman"/>
          <w:sz w:val="20"/>
          <w:szCs w:val="20"/>
        </w:rPr>
        <w:t>This fee is in accordance with 43 CFR 3108.2</w:t>
      </w:r>
      <w:r w:rsidRPr="00ED00CF" w:rsidR="00BA253D">
        <w:rPr>
          <w:rFonts w:ascii="Times New Roman" w:hAnsi="Times New Roman"/>
          <w:sz w:val="20"/>
          <w:szCs w:val="20"/>
        </w:rPr>
        <w:t>3</w:t>
      </w:r>
      <w:r w:rsidRPr="00ED00CF">
        <w:rPr>
          <w:rFonts w:ascii="Times New Roman" w:hAnsi="Times New Roman"/>
          <w:sz w:val="20"/>
          <w:szCs w:val="20"/>
        </w:rPr>
        <w:t>(b)(</w:t>
      </w:r>
      <w:r w:rsidRPr="00ED00CF" w:rsidR="00BA253D">
        <w:rPr>
          <w:rFonts w:ascii="Times New Roman" w:hAnsi="Times New Roman"/>
          <w:sz w:val="20"/>
          <w:szCs w:val="20"/>
        </w:rPr>
        <w:t>2</w:t>
      </w:r>
      <w:r w:rsidRPr="00ED00CF">
        <w:rPr>
          <w:rFonts w:ascii="Times New Roman" w:hAnsi="Times New Roman"/>
          <w:sz w:val="20"/>
          <w:szCs w:val="20"/>
        </w:rPr>
        <w:t>)(v</w:t>
      </w:r>
      <w:r w:rsidRPr="00ED00CF" w:rsidR="00B70AB5">
        <w:rPr>
          <w:rFonts w:ascii="Times New Roman" w:hAnsi="Times New Roman"/>
          <w:sz w:val="20"/>
          <w:szCs w:val="20"/>
        </w:rPr>
        <w:t>i</w:t>
      </w:r>
      <w:r w:rsidRPr="00ED00CF">
        <w:rPr>
          <w:rFonts w:ascii="Times New Roman" w:hAnsi="Times New Roman"/>
          <w:sz w:val="20"/>
          <w:szCs w:val="20"/>
        </w:rPr>
        <w:t>)</w:t>
      </w:r>
      <w:r w:rsidRPr="00ED00CF" w:rsidR="005C0A0B">
        <w:rPr>
          <w:rFonts w:ascii="Times New Roman" w:hAnsi="Times New Roman"/>
          <w:sz w:val="20"/>
          <w:szCs w:val="20"/>
        </w:rPr>
        <w:t>.</w:t>
      </w:r>
    </w:p>
    <w:p w:rsidR="00DE1579" w:rsidRPr="00ED00CF" w:rsidP="00DD5E3E" w14:paraId="21FD6A0E"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p>
    <w:p w:rsidR="006F1E44" w:rsidRPr="00ED00CF" w:rsidP="73A9246C" w14:paraId="11DA6651" w14:textId="1238DF19">
      <w:pPr>
        <w:widowControl/>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r w:rsidRPr="00ED00CF">
        <w:rPr>
          <w:rFonts w:ascii="Times New Roman" w:hAnsi="Times New Roman"/>
          <w:sz w:val="20"/>
          <w:szCs w:val="20"/>
        </w:rPr>
        <w:t xml:space="preserve">In addition, </w:t>
      </w:r>
      <w:r w:rsidRPr="00ED00CF" w:rsidR="005139F3">
        <w:rPr>
          <w:rFonts w:ascii="Times New Roman" w:hAnsi="Times New Roman"/>
          <w:sz w:val="20"/>
          <w:szCs w:val="20"/>
        </w:rPr>
        <w:t>petitioners for Class</w:t>
      </w:r>
      <w:r w:rsidRPr="00ED00CF" w:rsidR="00DE1579">
        <w:rPr>
          <w:rFonts w:ascii="Times New Roman" w:hAnsi="Times New Roman"/>
          <w:sz w:val="20"/>
          <w:szCs w:val="20"/>
        </w:rPr>
        <w:t xml:space="preserve"> II </w:t>
      </w:r>
      <w:r w:rsidRPr="00ED00CF" w:rsidR="002E4D12">
        <w:rPr>
          <w:rFonts w:ascii="Times New Roman" w:hAnsi="Times New Roman"/>
          <w:sz w:val="20"/>
          <w:szCs w:val="20"/>
        </w:rPr>
        <w:t xml:space="preserve">reinstatements </w:t>
      </w:r>
      <w:r w:rsidRPr="00ED00CF" w:rsidR="00F711CC">
        <w:rPr>
          <w:rFonts w:ascii="Times New Roman" w:hAnsi="Times New Roman"/>
          <w:sz w:val="20"/>
          <w:szCs w:val="20"/>
        </w:rPr>
        <w:t xml:space="preserve">are </w:t>
      </w:r>
      <w:r w:rsidRPr="00ED00CF" w:rsidR="006870EF">
        <w:rPr>
          <w:rFonts w:ascii="Times New Roman" w:hAnsi="Times New Roman"/>
          <w:sz w:val="20"/>
          <w:szCs w:val="20"/>
        </w:rPr>
        <w:t xml:space="preserve">required to </w:t>
      </w:r>
      <w:r w:rsidRPr="00ED00CF" w:rsidR="00F711CC">
        <w:rPr>
          <w:rFonts w:ascii="Times New Roman" w:hAnsi="Times New Roman"/>
          <w:sz w:val="20"/>
          <w:szCs w:val="20"/>
        </w:rPr>
        <w:t>re</w:t>
      </w:r>
      <w:r w:rsidRPr="00ED00CF" w:rsidR="005139F3">
        <w:rPr>
          <w:rFonts w:ascii="Times New Roman" w:hAnsi="Times New Roman"/>
          <w:sz w:val="20"/>
          <w:szCs w:val="20"/>
        </w:rPr>
        <w:t xml:space="preserve">imburse the BLM for the cost of publishing </w:t>
      </w:r>
      <w:r w:rsidRPr="00ED00CF">
        <w:rPr>
          <w:rFonts w:ascii="Times New Roman" w:hAnsi="Times New Roman"/>
          <w:sz w:val="20"/>
          <w:szCs w:val="20"/>
        </w:rPr>
        <w:t xml:space="preserve">a notice of reinstatement in the </w:t>
      </w:r>
      <w:r w:rsidRPr="73A9246C">
        <w:rPr>
          <w:rFonts w:ascii="Times New Roman" w:hAnsi="Times New Roman"/>
          <w:i/>
          <w:sz w:val="20"/>
          <w:szCs w:val="20"/>
        </w:rPr>
        <w:t>Federal Register</w:t>
      </w:r>
      <w:r w:rsidRPr="00ED00CF" w:rsidR="00E42525">
        <w:rPr>
          <w:rFonts w:ascii="Times New Roman" w:hAnsi="Times New Roman"/>
          <w:sz w:val="20"/>
          <w:szCs w:val="20"/>
        </w:rPr>
        <w:t>,</w:t>
      </w:r>
      <w:r w:rsidRPr="00ED00CF">
        <w:rPr>
          <w:rFonts w:ascii="Times New Roman" w:hAnsi="Times New Roman"/>
          <w:sz w:val="20"/>
          <w:szCs w:val="20"/>
        </w:rPr>
        <w:t xml:space="preserve"> </w:t>
      </w:r>
      <w:r w:rsidRPr="00ED00CF" w:rsidR="00F711CC">
        <w:rPr>
          <w:rFonts w:ascii="Times New Roman" w:hAnsi="Times New Roman"/>
          <w:sz w:val="20"/>
          <w:szCs w:val="20"/>
        </w:rPr>
        <w:t xml:space="preserve">43 CFR </w:t>
      </w:r>
      <w:r w:rsidRPr="00ED00CF" w:rsidR="00F711CC">
        <w:rPr>
          <w:rFonts w:ascii="Times New Roman" w:hAnsi="Times New Roman"/>
          <w:sz w:val="20"/>
          <w:szCs w:val="20"/>
        </w:rPr>
        <w:t>3108.2</w:t>
      </w:r>
      <w:r w:rsidR="00125943">
        <w:rPr>
          <w:rFonts w:ascii="Times New Roman" w:hAnsi="Times New Roman"/>
          <w:sz w:val="20"/>
          <w:szCs w:val="20"/>
        </w:rPr>
        <w:t>3</w:t>
      </w:r>
      <w:r w:rsidRPr="00ED00CF" w:rsidR="00F711CC">
        <w:rPr>
          <w:rFonts w:ascii="Times New Roman" w:hAnsi="Times New Roman"/>
          <w:sz w:val="20"/>
          <w:szCs w:val="20"/>
        </w:rPr>
        <w:t>(b)</w:t>
      </w:r>
      <w:r w:rsidRPr="00ED00CF" w:rsidR="00BA253D">
        <w:rPr>
          <w:rFonts w:ascii="Times New Roman" w:hAnsi="Times New Roman"/>
          <w:sz w:val="20"/>
          <w:szCs w:val="20"/>
        </w:rPr>
        <w:t>(2)</w:t>
      </w:r>
      <w:r w:rsidRPr="00ED00CF" w:rsidR="00F711CC">
        <w:rPr>
          <w:rFonts w:ascii="Times New Roman" w:hAnsi="Times New Roman"/>
          <w:sz w:val="20"/>
          <w:szCs w:val="20"/>
        </w:rPr>
        <w:t>(v)</w:t>
      </w:r>
      <w:r w:rsidRPr="00ED00CF" w:rsidR="00884A8C">
        <w:rPr>
          <w:rFonts w:ascii="Times New Roman" w:hAnsi="Times New Roman"/>
          <w:sz w:val="20"/>
          <w:szCs w:val="20"/>
        </w:rPr>
        <w:t>.</w:t>
      </w:r>
      <w:r w:rsidRPr="00ED00CF" w:rsidR="00E954E6">
        <w:rPr>
          <w:rFonts w:ascii="Times New Roman" w:hAnsi="Times New Roman"/>
          <w:sz w:val="20"/>
          <w:szCs w:val="20"/>
        </w:rPr>
        <w:t xml:space="preserve"> </w:t>
      </w:r>
      <w:r w:rsidRPr="00ED00CF" w:rsidR="00884A8C">
        <w:rPr>
          <w:rFonts w:ascii="Times New Roman" w:hAnsi="Times New Roman"/>
          <w:sz w:val="20"/>
          <w:szCs w:val="20"/>
        </w:rPr>
        <w:t xml:space="preserve">At present, </w:t>
      </w:r>
      <w:r w:rsidRPr="00ED00CF" w:rsidR="008C0C8B">
        <w:rPr>
          <w:rFonts w:ascii="Times New Roman" w:hAnsi="Times New Roman"/>
          <w:sz w:val="20"/>
          <w:szCs w:val="20"/>
        </w:rPr>
        <w:t xml:space="preserve">the Office of the Federal Register charges </w:t>
      </w:r>
      <w:r w:rsidRPr="00ED00CF">
        <w:rPr>
          <w:rFonts w:ascii="Times New Roman" w:hAnsi="Times New Roman"/>
          <w:sz w:val="20"/>
          <w:szCs w:val="20"/>
        </w:rPr>
        <w:t>$</w:t>
      </w:r>
      <w:r w:rsidRPr="73A9246C" w:rsidR="009052BC">
        <w:rPr>
          <w:rFonts w:ascii="Times New Roman" w:hAnsi="Times New Roman"/>
          <w:sz w:val="20"/>
          <w:szCs w:val="20"/>
        </w:rPr>
        <w:t>15</w:t>
      </w:r>
      <w:r w:rsidRPr="73A9246C" w:rsidR="1A8C7E08">
        <w:rPr>
          <w:rFonts w:ascii="Times New Roman" w:hAnsi="Times New Roman"/>
          <w:sz w:val="20"/>
          <w:szCs w:val="20"/>
        </w:rPr>
        <w:t>9</w:t>
      </w:r>
      <w:r w:rsidRPr="00ED00CF">
        <w:rPr>
          <w:rFonts w:ascii="Times New Roman" w:hAnsi="Times New Roman"/>
          <w:sz w:val="20"/>
          <w:szCs w:val="20"/>
        </w:rPr>
        <w:t xml:space="preserve"> per column, which is the length of almost all reinstatement notices.</w:t>
      </w:r>
      <w:r w:rsidRPr="00ED00CF" w:rsidR="00E954E6">
        <w:rPr>
          <w:rFonts w:ascii="Times New Roman" w:hAnsi="Times New Roman"/>
          <w:sz w:val="20"/>
          <w:szCs w:val="20"/>
        </w:rPr>
        <w:t xml:space="preserve"> </w:t>
      </w:r>
      <w:r w:rsidRPr="00ED00CF" w:rsidR="002C3279">
        <w:rPr>
          <w:rFonts w:ascii="Times New Roman" w:hAnsi="Times New Roman"/>
          <w:sz w:val="20"/>
          <w:szCs w:val="20"/>
        </w:rPr>
        <w:t xml:space="preserve">The annual </w:t>
      </w:r>
      <w:r w:rsidRPr="00ED00CF">
        <w:rPr>
          <w:rFonts w:ascii="Times New Roman" w:hAnsi="Times New Roman"/>
          <w:sz w:val="20"/>
          <w:szCs w:val="20"/>
        </w:rPr>
        <w:t xml:space="preserve">publication cost burdens are </w:t>
      </w:r>
      <w:r w:rsidRPr="00ED00CF" w:rsidR="00784CE5">
        <w:rPr>
          <w:rFonts w:ascii="Times New Roman" w:hAnsi="Times New Roman"/>
          <w:sz w:val="20"/>
          <w:szCs w:val="20"/>
        </w:rPr>
        <w:t xml:space="preserve">shown </w:t>
      </w:r>
      <w:r w:rsidRPr="00ED00CF">
        <w:rPr>
          <w:rFonts w:ascii="Times New Roman" w:hAnsi="Times New Roman"/>
          <w:sz w:val="20"/>
          <w:szCs w:val="20"/>
        </w:rPr>
        <w:t xml:space="preserve">in Table </w:t>
      </w:r>
      <w:r w:rsidRPr="73A9246C">
        <w:rPr>
          <w:rFonts w:ascii="Times New Roman" w:hAnsi="Times New Roman"/>
          <w:sz w:val="20"/>
          <w:szCs w:val="20"/>
        </w:rPr>
        <w:t>13</w:t>
      </w:r>
      <w:r w:rsidRPr="00ED00CF">
        <w:rPr>
          <w:rFonts w:ascii="Times New Roman" w:hAnsi="Times New Roman"/>
          <w:sz w:val="20"/>
          <w:szCs w:val="20"/>
        </w:rPr>
        <w:t>-</w:t>
      </w:r>
      <w:r w:rsidRPr="00ED00CF" w:rsidR="00E33E83">
        <w:rPr>
          <w:rFonts w:ascii="Times New Roman" w:hAnsi="Times New Roman"/>
          <w:sz w:val="20"/>
          <w:szCs w:val="20"/>
        </w:rPr>
        <w:t>2</w:t>
      </w:r>
      <w:r w:rsidRPr="00ED00CF">
        <w:rPr>
          <w:rFonts w:ascii="Times New Roman" w:hAnsi="Times New Roman"/>
          <w:sz w:val="20"/>
          <w:szCs w:val="20"/>
        </w:rPr>
        <w:t>.</w:t>
      </w:r>
      <w:r w:rsidR="001F7284">
        <w:rPr>
          <w:rFonts w:ascii="Times New Roman" w:hAnsi="Times New Roman"/>
          <w:sz w:val="20"/>
          <w:szCs w:val="20"/>
        </w:rPr>
        <w:t xml:space="preserve"> </w:t>
      </w:r>
    </w:p>
    <w:p w:rsidR="00DB09DA" w:rsidP="73A9246C" w14:paraId="3041005A" w14:textId="339056B8">
      <w:pPr>
        <w:widowControl/>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p>
    <w:p w:rsidR="00F8505A" w:rsidRPr="00ED00CF" w:rsidP="00B31E62" w14:paraId="530094B1" w14:textId="2C5411F0">
      <w:pPr>
        <w:rPr>
          <w:rFonts w:ascii="Times New Roman" w:hAnsi="Times New Roman"/>
          <w:sz w:val="20"/>
          <w:szCs w:val="20"/>
        </w:rPr>
      </w:pPr>
      <w:r w:rsidRPr="00ED00CF">
        <w:rPr>
          <w:rFonts w:ascii="Times New Roman" w:hAnsi="Times New Roman"/>
          <w:b/>
          <w:sz w:val="20"/>
          <w:szCs w:val="20"/>
        </w:rPr>
        <w:t>Table 13</w:t>
      </w:r>
      <w:r w:rsidRPr="00ED00CF" w:rsidR="00B31E62">
        <w:rPr>
          <w:rFonts w:ascii="Times New Roman" w:hAnsi="Times New Roman"/>
          <w:b/>
          <w:sz w:val="20"/>
          <w:szCs w:val="20"/>
        </w:rPr>
        <w:t xml:space="preserve">: </w:t>
      </w:r>
      <w:r w:rsidRPr="00ED00CF">
        <w:rPr>
          <w:rFonts w:ascii="Times New Roman" w:hAnsi="Times New Roman"/>
          <w:b/>
          <w:sz w:val="20"/>
          <w:szCs w:val="20"/>
        </w:rPr>
        <w:t>Estimated Annual Non-Hour Cost</w:t>
      </w:r>
      <w:r w:rsidRPr="00ED00CF" w:rsidR="003932B6">
        <w:rPr>
          <w:rFonts w:ascii="Times New Roman" w:hAnsi="Times New Roman"/>
          <w:b/>
          <w:sz w:val="20"/>
          <w:szCs w:val="20"/>
        </w:rPr>
        <w:t>s:</w:t>
      </w:r>
      <w:r w:rsidRPr="00ED00CF" w:rsidR="00E954E6">
        <w:rPr>
          <w:rFonts w:ascii="Times New Roman" w:hAnsi="Times New Roman"/>
          <w:b/>
          <w:sz w:val="20"/>
          <w:szCs w:val="20"/>
        </w:rPr>
        <w:t xml:space="preserve"> </w:t>
      </w:r>
      <w:r w:rsidRPr="00ED00CF" w:rsidR="006F1E44">
        <w:rPr>
          <w:rFonts w:ascii="Times New Roman" w:hAnsi="Times New Roman"/>
          <w:b/>
          <w:sz w:val="20"/>
          <w:szCs w:val="20"/>
        </w:rPr>
        <w:t>Fixed Processing Fees</w:t>
      </w:r>
    </w:p>
    <w:tbl>
      <w:tblPr>
        <w:tblStyle w:val="GridTableLight"/>
        <w:tblW w:w="9350" w:type="dxa"/>
        <w:tblCellMar>
          <w:left w:w="115" w:type="dxa"/>
          <w:right w:w="115" w:type="dxa"/>
        </w:tblCellMar>
        <w:tblLook w:val="04A0"/>
      </w:tblPr>
      <w:tblGrid>
        <w:gridCol w:w="5295"/>
        <w:gridCol w:w="1245"/>
        <w:gridCol w:w="1380"/>
        <w:gridCol w:w="1430"/>
      </w:tblGrid>
      <w:tr w14:paraId="0F6C0D8A" w14:textId="77777777" w:rsidTr="5A64A34E">
        <w:tblPrEx>
          <w:tblW w:w="9350" w:type="dxa"/>
          <w:tblCellMar>
            <w:left w:w="115" w:type="dxa"/>
            <w:right w:w="115" w:type="dxa"/>
          </w:tblCellMar>
          <w:tblLook w:val="04A0"/>
        </w:tblPrEx>
        <w:trPr>
          <w:cantSplit/>
          <w:trHeight w:val="300"/>
          <w:tblHeader/>
        </w:trPr>
        <w:tc>
          <w:tcPr>
            <w:tcW w:w="5295" w:type="dxa"/>
            <w:shd w:val="clear" w:color="auto" w:fill="D9D9D9" w:themeFill="background1" w:themeFillShade="D9"/>
          </w:tcPr>
          <w:p w:rsidR="00B31E62" w:rsidRPr="00B31E62" w:rsidP="00B12144" w14:paraId="5855293A" w14:textId="77777777">
            <w:pPr>
              <w:tabs>
                <w:tab w:val="left" w:pos="360"/>
                <w:tab w:val="left" w:pos="720"/>
                <w:tab w:val="left" w:pos="1080"/>
              </w:tabs>
              <w:jc w:val="center"/>
              <w:rPr>
                <w:rFonts w:ascii="Times New Roman" w:hAnsi="Times New Roman"/>
                <w:b/>
                <w:sz w:val="18"/>
                <w:szCs w:val="18"/>
              </w:rPr>
            </w:pPr>
          </w:p>
          <w:p w:rsidR="006F1E44" w:rsidRPr="00B31E62" w:rsidP="00B12144" w14:paraId="561B887C" w14:textId="6CC1F9D1">
            <w:pPr>
              <w:tabs>
                <w:tab w:val="left" w:pos="360"/>
                <w:tab w:val="left" w:pos="720"/>
                <w:tab w:val="left" w:pos="1080"/>
              </w:tabs>
              <w:jc w:val="center"/>
              <w:rPr>
                <w:rFonts w:ascii="Times New Roman" w:hAnsi="Times New Roman"/>
                <w:b/>
                <w:sz w:val="18"/>
                <w:szCs w:val="18"/>
              </w:rPr>
            </w:pPr>
            <w:r w:rsidRPr="00B31E62">
              <w:rPr>
                <w:rFonts w:ascii="Times New Roman" w:hAnsi="Times New Roman"/>
                <w:b/>
                <w:sz w:val="18"/>
                <w:szCs w:val="18"/>
              </w:rPr>
              <w:t xml:space="preserve">Information </w:t>
            </w:r>
            <w:r w:rsidRPr="00B31E62" w:rsidR="00C0231D">
              <w:rPr>
                <w:rFonts w:ascii="Times New Roman" w:hAnsi="Times New Roman"/>
                <w:b/>
                <w:sz w:val="18"/>
                <w:szCs w:val="18"/>
              </w:rPr>
              <w:t xml:space="preserve">Collection </w:t>
            </w:r>
          </w:p>
        </w:tc>
        <w:tc>
          <w:tcPr>
            <w:tcW w:w="1245" w:type="dxa"/>
            <w:shd w:val="clear" w:color="auto" w:fill="D9D9D9" w:themeFill="background1" w:themeFillShade="D9"/>
          </w:tcPr>
          <w:p w:rsidR="00B31E62" w:rsidRPr="00B31E62" w:rsidP="00B12144" w14:paraId="794FE4E5" w14:textId="77777777">
            <w:pPr>
              <w:tabs>
                <w:tab w:val="left" w:pos="360"/>
                <w:tab w:val="left" w:pos="720"/>
                <w:tab w:val="left" w:pos="1080"/>
              </w:tabs>
              <w:jc w:val="center"/>
              <w:rPr>
                <w:rFonts w:ascii="Times New Roman" w:hAnsi="Times New Roman"/>
                <w:b/>
                <w:sz w:val="18"/>
                <w:szCs w:val="18"/>
              </w:rPr>
            </w:pPr>
          </w:p>
          <w:p w:rsidR="006F1E44" w:rsidRPr="00B31E62" w:rsidP="00B12144" w14:paraId="090D1BF5" w14:textId="77777777">
            <w:pPr>
              <w:tabs>
                <w:tab w:val="left" w:pos="360"/>
                <w:tab w:val="left" w:pos="720"/>
                <w:tab w:val="left" w:pos="1080"/>
              </w:tabs>
              <w:jc w:val="center"/>
              <w:rPr>
                <w:rFonts w:ascii="Times New Roman" w:hAnsi="Times New Roman"/>
                <w:b/>
                <w:sz w:val="18"/>
                <w:szCs w:val="18"/>
              </w:rPr>
            </w:pPr>
            <w:r w:rsidRPr="00B31E62">
              <w:rPr>
                <w:rFonts w:ascii="Times New Roman" w:hAnsi="Times New Roman"/>
                <w:b/>
                <w:sz w:val="18"/>
                <w:szCs w:val="18"/>
              </w:rPr>
              <w:t>Number of Responses</w:t>
            </w:r>
          </w:p>
        </w:tc>
        <w:tc>
          <w:tcPr>
            <w:tcW w:w="1380" w:type="dxa"/>
            <w:shd w:val="clear" w:color="auto" w:fill="D9D9D9" w:themeFill="background1" w:themeFillShade="D9"/>
          </w:tcPr>
          <w:p w:rsidR="00B31E62" w:rsidRPr="00B31E62" w:rsidP="00B12144" w14:paraId="56F635BB" w14:textId="77777777">
            <w:pPr>
              <w:tabs>
                <w:tab w:val="left" w:pos="360"/>
                <w:tab w:val="left" w:pos="720"/>
                <w:tab w:val="left" w:pos="1080"/>
              </w:tabs>
              <w:jc w:val="center"/>
              <w:rPr>
                <w:rFonts w:ascii="Times New Roman" w:hAnsi="Times New Roman"/>
                <w:b/>
                <w:sz w:val="18"/>
                <w:szCs w:val="18"/>
              </w:rPr>
            </w:pPr>
          </w:p>
          <w:p w:rsidR="006F1E44" w:rsidRPr="00B31E62" w:rsidP="00B12144" w14:paraId="3E783BD2" w14:textId="77777777">
            <w:pPr>
              <w:tabs>
                <w:tab w:val="left" w:pos="360"/>
                <w:tab w:val="left" w:pos="720"/>
                <w:tab w:val="left" w:pos="1080"/>
              </w:tabs>
              <w:jc w:val="center"/>
              <w:rPr>
                <w:rFonts w:ascii="Times New Roman" w:hAnsi="Times New Roman"/>
                <w:b/>
                <w:sz w:val="18"/>
                <w:szCs w:val="18"/>
              </w:rPr>
            </w:pPr>
            <w:r w:rsidRPr="00B31E62">
              <w:rPr>
                <w:rFonts w:ascii="Times New Roman" w:hAnsi="Times New Roman"/>
                <w:b/>
                <w:sz w:val="18"/>
                <w:szCs w:val="18"/>
              </w:rPr>
              <w:t>Fixed</w:t>
            </w:r>
          </w:p>
          <w:p w:rsidR="006F1E44" w:rsidRPr="00B31E62" w:rsidP="00B12144" w14:paraId="259BCEEB" w14:textId="77777777">
            <w:pPr>
              <w:tabs>
                <w:tab w:val="left" w:pos="360"/>
                <w:tab w:val="left" w:pos="720"/>
                <w:tab w:val="left" w:pos="1080"/>
              </w:tabs>
              <w:jc w:val="center"/>
              <w:rPr>
                <w:rFonts w:ascii="Times New Roman" w:hAnsi="Times New Roman"/>
                <w:b/>
                <w:sz w:val="18"/>
                <w:szCs w:val="18"/>
              </w:rPr>
            </w:pPr>
            <w:r w:rsidRPr="00B31E62">
              <w:rPr>
                <w:rFonts w:ascii="Times New Roman" w:hAnsi="Times New Roman"/>
                <w:b/>
                <w:sz w:val="18"/>
                <w:szCs w:val="18"/>
              </w:rPr>
              <w:t>Processing Fee</w:t>
            </w:r>
            <w:r w:rsidRPr="00B31E62" w:rsidR="00203B1F">
              <w:rPr>
                <w:rFonts w:ascii="Times New Roman" w:hAnsi="Times New Roman"/>
                <w:b/>
                <w:sz w:val="18"/>
                <w:szCs w:val="18"/>
              </w:rPr>
              <w:t xml:space="preserve"> per Response</w:t>
            </w:r>
          </w:p>
        </w:tc>
        <w:tc>
          <w:tcPr>
            <w:tcW w:w="1430" w:type="dxa"/>
            <w:shd w:val="clear" w:color="auto" w:fill="D9D9D9" w:themeFill="background1" w:themeFillShade="D9"/>
          </w:tcPr>
          <w:p w:rsidR="00B31E62" w:rsidRPr="00B31E62" w:rsidP="00B12144" w14:paraId="655DC8DD" w14:textId="77777777">
            <w:pPr>
              <w:jc w:val="center"/>
              <w:rPr>
                <w:rFonts w:ascii="Times New Roman" w:hAnsi="Times New Roman"/>
                <w:b/>
                <w:sz w:val="18"/>
                <w:szCs w:val="18"/>
              </w:rPr>
            </w:pPr>
          </w:p>
          <w:p w:rsidR="006F1E44" w:rsidRPr="00B31E62" w:rsidP="00B12144" w14:paraId="59EFA8AA" w14:textId="77777777">
            <w:pPr>
              <w:jc w:val="center"/>
              <w:rPr>
                <w:rFonts w:ascii="Times New Roman" w:hAnsi="Times New Roman"/>
                <w:b/>
                <w:sz w:val="18"/>
                <w:szCs w:val="18"/>
              </w:rPr>
            </w:pPr>
            <w:r w:rsidRPr="00B31E62">
              <w:rPr>
                <w:rFonts w:ascii="Times New Roman" w:hAnsi="Times New Roman"/>
                <w:b/>
                <w:sz w:val="18"/>
                <w:szCs w:val="18"/>
              </w:rPr>
              <w:t>Annual Cost Burden of Fixed Processing Fees</w:t>
            </w:r>
          </w:p>
          <w:p w:rsidR="006F1E44" w:rsidRPr="00B31E62" w:rsidP="00B12144" w14:paraId="5A266E8D" w14:textId="77777777">
            <w:pPr>
              <w:jc w:val="center"/>
              <w:rPr>
                <w:rFonts w:ascii="Times New Roman" w:hAnsi="Times New Roman"/>
                <w:b/>
                <w:sz w:val="18"/>
                <w:szCs w:val="18"/>
              </w:rPr>
            </w:pPr>
          </w:p>
        </w:tc>
      </w:tr>
      <w:tr w14:paraId="69CB8757" w14:textId="77777777" w:rsidTr="5A64A34E">
        <w:tblPrEx>
          <w:tblW w:w="9350" w:type="dxa"/>
          <w:tblCellMar>
            <w:left w:w="115" w:type="dxa"/>
            <w:right w:w="115" w:type="dxa"/>
          </w:tblCellMar>
          <w:tblLook w:val="04A0"/>
        </w:tblPrEx>
        <w:trPr>
          <w:cantSplit/>
          <w:trHeight w:val="300"/>
        </w:trPr>
        <w:tc>
          <w:tcPr>
            <w:tcW w:w="5295" w:type="dxa"/>
            <w:vAlign w:val="center"/>
          </w:tcPr>
          <w:p w:rsidR="00697E5E" w:rsidRPr="003D3419" w:rsidP="00697E5E" w14:paraId="52ECE949"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003D3419">
              <w:rPr>
                <w:rFonts w:ascii="Times New Roman" w:hAnsi="Times New Roman"/>
                <w:sz w:val="18"/>
                <w:szCs w:val="18"/>
              </w:rPr>
              <w:t>Assignment of Record Title Interest / Oil and Gas Leases</w:t>
            </w:r>
          </w:p>
          <w:p w:rsidR="00697E5E" w:rsidRPr="003D3419" w:rsidP="00697E5E" w14:paraId="65BE7AAC" w14:textId="56272AC1">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003D3419">
              <w:rPr>
                <w:rFonts w:ascii="Times New Roman" w:hAnsi="Times New Roman"/>
                <w:sz w:val="18"/>
                <w:szCs w:val="18"/>
              </w:rPr>
              <w:t>43 CFR 3106.41 and 3106.42</w:t>
            </w:r>
          </w:p>
          <w:p w:rsidR="00697E5E" w:rsidRPr="003D3419" w:rsidP="00697E5E" w14:paraId="396B5896" w14:textId="5774FA90">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003D3419">
              <w:rPr>
                <w:rFonts w:ascii="Times New Roman" w:hAnsi="Times New Roman"/>
                <w:sz w:val="18"/>
                <w:szCs w:val="18"/>
              </w:rPr>
              <w:t>Form</w:t>
            </w:r>
            <w:r w:rsidRPr="003D3419">
              <w:rPr>
                <w:rFonts w:ascii="Times New Roman" w:hAnsi="Times New Roman"/>
                <w:sz w:val="18"/>
                <w:szCs w:val="18"/>
              </w:rPr>
              <w:t xml:space="preserve"> 3000-3</w:t>
            </w:r>
          </w:p>
        </w:tc>
        <w:tc>
          <w:tcPr>
            <w:tcW w:w="1245" w:type="dxa"/>
            <w:vAlign w:val="center"/>
          </w:tcPr>
          <w:p w:rsidR="00697E5E" w:rsidRPr="003D3419" w:rsidP="00697E5E" w14:paraId="66324E94" w14:textId="16BBC094">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sz w:val="18"/>
                <w:szCs w:val="18"/>
              </w:rPr>
            </w:pPr>
            <w:r w:rsidRPr="003D3419">
              <w:rPr>
                <w:rFonts w:ascii="Times New Roman" w:hAnsi="Times New Roman"/>
                <w:sz w:val="18"/>
                <w:szCs w:val="18"/>
              </w:rPr>
              <w:t>3,852</w:t>
            </w:r>
          </w:p>
        </w:tc>
        <w:tc>
          <w:tcPr>
            <w:tcW w:w="1380" w:type="dxa"/>
            <w:vAlign w:val="center"/>
          </w:tcPr>
          <w:p w:rsidR="00697E5E" w:rsidRPr="003D3419" w:rsidP="00697E5E" w14:paraId="32FD66AC" w14:textId="64830062">
            <w:pPr>
              <w:jc w:val="right"/>
              <w:rPr>
                <w:rFonts w:ascii="Times New Roman" w:hAnsi="Times New Roman"/>
                <w:sz w:val="18"/>
                <w:szCs w:val="18"/>
              </w:rPr>
            </w:pPr>
            <w:r w:rsidRPr="003D3419">
              <w:rPr>
                <w:rFonts w:ascii="Times New Roman" w:hAnsi="Times New Roman"/>
                <w:sz w:val="18"/>
                <w:szCs w:val="18"/>
              </w:rPr>
              <w:t>$105</w:t>
            </w:r>
          </w:p>
        </w:tc>
        <w:tc>
          <w:tcPr>
            <w:tcW w:w="1430" w:type="dxa"/>
            <w:vAlign w:val="center"/>
          </w:tcPr>
          <w:p w:rsidR="00697E5E" w:rsidRPr="004A1256" w:rsidP="00697E5E" w14:paraId="3E58A555" w14:textId="35BDC3E0">
            <w:pPr>
              <w:jc w:val="right"/>
              <w:rPr>
                <w:rFonts w:ascii="Times New Roman" w:hAnsi="Times New Roman"/>
                <w:sz w:val="18"/>
                <w:szCs w:val="18"/>
              </w:rPr>
            </w:pPr>
            <w:r w:rsidRPr="004A1256">
              <w:rPr>
                <w:color w:val="000000" w:themeColor="text1"/>
                <w:sz w:val="18"/>
                <w:szCs w:val="18"/>
              </w:rPr>
              <w:t xml:space="preserve">$404,460 </w:t>
            </w:r>
          </w:p>
        </w:tc>
      </w:tr>
      <w:tr w14:paraId="0AD84595" w14:textId="77777777" w:rsidTr="5A64A34E">
        <w:tblPrEx>
          <w:tblW w:w="9350" w:type="dxa"/>
          <w:tblCellMar>
            <w:left w:w="115" w:type="dxa"/>
            <w:right w:w="115" w:type="dxa"/>
          </w:tblCellMar>
          <w:tblLook w:val="04A0"/>
        </w:tblPrEx>
        <w:trPr>
          <w:cantSplit/>
          <w:trHeight w:val="300"/>
        </w:trPr>
        <w:tc>
          <w:tcPr>
            <w:tcW w:w="5295" w:type="dxa"/>
            <w:vAlign w:val="center"/>
          </w:tcPr>
          <w:p w:rsidR="00697E5E" w:rsidRPr="003D3419" w:rsidP="00697E5E" w14:paraId="24BC9704"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003D3419">
              <w:rPr>
                <w:rFonts w:ascii="Times New Roman" w:hAnsi="Times New Roman"/>
                <w:sz w:val="18"/>
                <w:szCs w:val="18"/>
              </w:rPr>
              <w:t>Transfer of Operating Rights / Oil and Gas Leases</w:t>
            </w:r>
          </w:p>
          <w:p w:rsidR="00697E5E" w:rsidRPr="003D3419" w:rsidP="00697E5E" w14:paraId="71FA4586" w14:textId="1132CF41">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003D3419">
              <w:rPr>
                <w:rFonts w:ascii="Times New Roman" w:hAnsi="Times New Roman"/>
                <w:sz w:val="18"/>
                <w:szCs w:val="18"/>
              </w:rPr>
              <w:t>43 CFR 3106.41 and 3106.42</w:t>
            </w:r>
          </w:p>
          <w:p w:rsidR="00697E5E" w:rsidRPr="003D3419" w:rsidP="00697E5E" w14:paraId="2CC9DBED" w14:textId="294A140D">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003D3419">
              <w:rPr>
                <w:rFonts w:ascii="Times New Roman" w:hAnsi="Times New Roman"/>
                <w:sz w:val="18"/>
                <w:szCs w:val="18"/>
              </w:rPr>
              <w:t>Form 3000-</w:t>
            </w:r>
            <w:r w:rsidRPr="003D3419">
              <w:rPr>
                <w:rFonts w:ascii="Times New Roman" w:hAnsi="Times New Roman"/>
                <w:sz w:val="18"/>
                <w:szCs w:val="18"/>
              </w:rPr>
              <w:t>3a</w:t>
            </w:r>
          </w:p>
        </w:tc>
        <w:tc>
          <w:tcPr>
            <w:tcW w:w="1245" w:type="dxa"/>
            <w:vAlign w:val="center"/>
          </w:tcPr>
          <w:p w:rsidR="00697E5E" w:rsidRPr="003D3419" w:rsidP="00697E5E" w14:paraId="5706E48B" w14:textId="515ECDD2">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sz w:val="18"/>
                <w:szCs w:val="18"/>
              </w:rPr>
            </w:pPr>
            <w:r w:rsidRPr="003D3419">
              <w:rPr>
                <w:rFonts w:ascii="Times New Roman" w:hAnsi="Times New Roman"/>
                <w:sz w:val="18"/>
                <w:szCs w:val="18"/>
              </w:rPr>
              <w:t>4,944</w:t>
            </w:r>
          </w:p>
        </w:tc>
        <w:tc>
          <w:tcPr>
            <w:tcW w:w="1380" w:type="dxa"/>
            <w:vAlign w:val="center"/>
          </w:tcPr>
          <w:p w:rsidR="00697E5E" w:rsidRPr="003D3419" w:rsidP="00697E5E" w14:paraId="3E7A9358" w14:textId="2E99EB57">
            <w:pPr>
              <w:jc w:val="right"/>
              <w:rPr>
                <w:rFonts w:ascii="Times New Roman" w:hAnsi="Times New Roman"/>
                <w:sz w:val="18"/>
                <w:szCs w:val="18"/>
              </w:rPr>
            </w:pPr>
            <w:r w:rsidRPr="003D3419">
              <w:rPr>
                <w:rFonts w:ascii="Times New Roman" w:hAnsi="Times New Roman"/>
                <w:sz w:val="18"/>
                <w:szCs w:val="18"/>
              </w:rPr>
              <w:t>$105</w:t>
            </w:r>
          </w:p>
        </w:tc>
        <w:tc>
          <w:tcPr>
            <w:tcW w:w="1430" w:type="dxa"/>
            <w:vAlign w:val="center"/>
          </w:tcPr>
          <w:p w:rsidR="00697E5E" w:rsidRPr="004A1256" w:rsidP="00697E5E" w14:paraId="7F73718E" w14:textId="23DDAB47">
            <w:pPr>
              <w:jc w:val="right"/>
              <w:rPr>
                <w:rFonts w:ascii="Times New Roman" w:hAnsi="Times New Roman"/>
                <w:sz w:val="18"/>
                <w:szCs w:val="18"/>
              </w:rPr>
            </w:pPr>
            <w:r w:rsidRPr="004A1256">
              <w:rPr>
                <w:color w:val="000000" w:themeColor="text1"/>
                <w:sz w:val="18"/>
                <w:szCs w:val="18"/>
              </w:rPr>
              <w:t xml:space="preserve">$519,120 </w:t>
            </w:r>
          </w:p>
        </w:tc>
      </w:tr>
      <w:tr w14:paraId="1AA2F113" w14:textId="77777777" w:rsidTr="5A64A34E">
        <w:tblPrEx>
          <w:tblW w:w="9350" w:type="dxa"/>
          <w:tblCellMar>
            <w:left w:w="115" w:type="dxa"/>
            <w:right w:w="115" w:type="dxa"/>
          </w:tblCellMar>
          <w:tblLook w:val="04A0"/>
        </w:tblPrEx>
        <w:trPr>
          <w:cantSplit/>
          <w:trHeight w:val="300"/>
        </w:trPr>
        <w:tc>
          <w:tcPr>
            <w:tcW w:w="5295" w:type="dxa"/>
            <w:vAlign w:val="center"/>
          </w:tcPr>
          <w:p w:rsidR="007564F2" w:rsidRPr="004D7211" w:rsidP="00697E5E" w14:paraId="4FBBB05F" w14:textId="41F39E6F">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00BA66B2">
              <w:rPr>
                <w:rFonts w:ascii="Times New Roman" w:hAnsi="Times New Roman"/>
                <w:sz w:val="18"/>
                <w:szCs w:val="18"/>
              </w:rPr>
              <w:t>Subsurface storage application 43 CFR 3105.41</w:t>
            </w:r>
          </w:p>
        </w:tc>
        <w:tc>
          <w:tcPr>
            <w:tcW w:w="1245" w:type="dxa"/>
            <w:vAlign w:val="center"/>
          </w:tcPr>
          <w:p w:rsidR="007564F2" w:rsidP="00697E5E" w14:paraId="6E69FC9C" w14:textId="3A11DD4B">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sz w:val="18"/>
                <w:szCs w:val="18"/>
              </w:rPr>
            </w:pPr>
            <w:r>
              <w:rPr>
                <w:rFonts w:ascii="Times New Roman" w:hAnsi="Times New Roman"/>
                <w:sz w:val="18"/>
                <w:szCs w:val="18"/>
              </w:rPr>
              <w:t>1</w:t>
            </w:r>
          </w:p>
        </w:tc>
        <w:tc>
          <w:tcPr>
            <w:tcW w:w="1380" w:type="dxa"/>
            <w:vAlign w:val="center"/>
          </w:tcPr>
          <w:p w:rsidR="007564F2" w:rsidP="00697E5E" w14:paraId="730CCD2D" w14:textId="16E7340D">
            <w:pPr>
              <w:jc w:val="right"/>
              <w:rPr>
                <w:rFonts w:ascii="Times New Roman" w:hAnsi="Times New Roman"/>
                <w:sz w:val="18"/>
                <w:szCs w:val="18"/>
              </w:rPr>
            </w:pPr>
            <w:r>
              <w:rPr>
                <w:rFonts w:ascii="Times New Roman" w:hAnsi="Times New Roman"/>
                <w:sz w:val="18"/>
                <w:szCs w:val="18"/>
              </w:rPr>
              <w:t>$1,200</w:t>
            </w:r>
          </w:p>
        </w:tc>
        <w:tc>
          <w:tcPr>
            <w:tcW w:w="1430" w:type="dxa"/>
            <w:vAlign w:val="center"/>
          </w:tcPr>
          <w:p w:rsidR="007564F2" w:rsidRPr="004A1256" w:rsidP="00697E5E" w14:paraId="4D2835C0" w14:textId="42BBA534">
            <w:pPr>
              <w:jc w:val="right"/>
              <w:rPr>
                <w:color w:val="000000" w:themeColor="text1"/>
                <w:sz w:val="18"/>
                <w:szCs w:val="18"/>
              </w:rPr>
            </w:pPr>
            <w:r w:rsidRPr="004A1256">
              <w:rPr>
                <w:color w:val="000000" w:themeColor="text1"/>
                <w:sz w:val="18"/>
                <w:szCs w:val="18"/>
              </w:rPr>
              <w:t>$1,200</w:t>
            </w:r>
          </w:p>
        </w:tc>
      </w:tr>
      <w:tr w14:paraId="1BB71F65" w14:textId="77777777" w:rsidTr="5A64A34E">
        <w:tblPrEx>
          <w:tblW w:w="9350" w:type="dxa"/>
          <w:tblCellMar>
            <w:left w:w="115" w:type="dxa"/>
            <w:right w:w="115" w:type="dxa"/>
          </w:tblCellMar>
          <w:tblLook w:val="04A0"/>
        </w:tblPrEx>
        <w:trPr>
          <w:cantSplit/>
          <w:trHeight w:val="300"/>
        </w:trPr>
        <w:tc>
          <w:tcPr>
            <w:tcW w:w="5295" w:type="dxa"/>
            <w:vAlign w:val="center"/>
          </w:tcPr>
          <w:p w:rsidR="001D1F18" w:rsidRPr="003D3419" w:rsidP="00697E5E" w14:paraId="181D661D" w14:textId="3F2746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004D7211">
              <w:rPr>
                <w:rFonts w:ascii="Times New Roman" w:hAnsi="Times New Roman"/>
                <w:sz w:val="18"/>
                <w:szCs w:val="18"/>
              </w:rPr>
              <w:t>Consolidation of leases 43 CFR 3105.50</w:t>
            </w:r>
          </w:p>
        </w:tc>
        <w:tc>
          <w:tcPr>
            <w:tcW w:w="1245" w:type="dxa"/>
            <w:vAlign w:val="center"/>
          </w:tcPr>
          <w:p w:rsidR="001D1F18" w:rsidRPr="003D3419" w:rsidP="00697E5E" w14:paraId="3AE31D9C" w14:textId="519C0E3F">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sz w:val="18"/>
                <w:szCs w:val="18"/>
              </w:rPr>
            </w:pPr>
            <w:r>
              <w:rPr>
                <w:rFonts w:ascii="Times New Roman" w:hAnsi="Times New Roman"/>
                <w:sz w:val="18"/>
                <w:szCs w:val="18"/>
              </w:rPr>
              <w:t>50</w:t>
            </w:r>
          </w:p>
        </w:tc>
        <w:tc>
          <w:tcPr>
            <w:tcW w:w="1380" w:type="dxa"/>
            <w:vAlign w:val="center"/>
          </w:tcPr>
          <w:p w:rsidR="001D1F18" w:rsidRPr="003D3419" w:rsidP="00697E5E" w14:paraId="35F3B08E" w14:textId="68A2C19A">
            <w:pPr>
              <w:jc w:val="right"/>
              <w:rPr>
                <w:rFonts w:ascii="Times New Roman" w:hAnsi="Times New Roman"/>
                <w:sz w:val="18"/>
                <w:szCs w:val="18"/>
              </w:rPr>
            </w:pPr>
            <w:r>
              <w:rPr>
                <w:rFonts w:ascii="Times New Roman" w:hAnsi="Times New Roman"/>
                <w:sz w:val="18"/>
                <w:szCs w:val="18"/>
              </w:rPr>
              <w:t>$525</w:t>
            </w:r>
          </w:p>
        </w:tc>
        <w:tc>
          <w:tcPr>
            <w:tcW w:w="1430" w:type="dxa"/>
            <w:vAlign w:val="center"/>
          </w:tcPr>
          <w:p w:rsidR="001D1F18" w:rsidRPr="004A1256" w:rsidP="00697E5E" w14:paraId="60C90AFB" w14:textId="6BB41B3D">
            <w:pPr>
              <w:jc w:val="right"/>
              <w:rPr>
                <w:color w:val="000000" w:themeColor="text1"/>
                <w:sz w:val="18"/>
                <w:szCs w:val="18"/>
              </w:rPr>
            </w:pPr>
            <w:r w:rsidRPr="004A1256">
              <w:rPr>
                <w:color w:val="000000" w:themeColor="text1"/>
                <w:sz w:val="18"/>
                <w:szCs w:val="18"/>
              </w:rPr>
              <w:t>$</w:t>
            </w:r>
            <w:r w:rsidRPr="004A1256" w:rsidR="00AE4AAB">
              <w:rPr>
                <w:color w:val="000000" w:themeColor="text1"/>
                <w:sz w:val="18"/>
                <w:szCs w:val="18"/>
              </w:rPr>
              <w:t>26,250</w:t>
            </w:r>
          </w:p>
        </w:tc>
      </w:tr>
      <w:tr w14:paraId="6E7352DC" w14:textId="77777777" w:rsidTr="5A64A34E">
        <w:tblPrEx>
          <w:tblW w:w="9350" w:type="dxa"/>
          <w:tblCellMar>
            <w:left w:w="115" w:type="dxa"/>
            <w:right w:w="115" w:type="dxa"/>
          </w:tblCellMar>
          <w:tblLook w:val="04A0"/>
        </w:tblPrEx>
        <w:trPr>
          <w:cantSplit/>
          <w:trHeight w:val="300"/>
        </w:trPr>
        <w:tc>
          <w:tcPr>
            <w:tcW w:w="5295" w:type="dxa"/>
            <w:vAlign w:val="center"/>
          </w:tcPr>
          <w:p w:rsidR="00697E5E" w:rsidRPr="003D3419" w:rsidP="00697E5E" w14:paraId="2117A548"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003D3419">
              <w:rPr>
                <w:rFonts w:ascii="Times New Roman" w:hAnsi="Times New Roman"/>
                <w:sz w:val="18"/>
                <w:szCs w:val="18"/>
              </w:rPr>
              <w:t>Heirs and devisees</w:t>
            </w:r>
          </w:p>
          <w:p w:rsidR="00697E5E" w:rsidRPr="003D3419" w:rsidP="00697E5E" w14:paraId="232C83FD" w14:textId="0145C3A9">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003D3419">
              <w:rPr>
                <w:rFonts w:ascii="Times New Roman" w:hAnsi="Times New Roman"/>
                <w:sz w:val="18"/>
                <w:szCs w:val="18"/>
              </w:rPr>
              <w:t>43 CFR 3106.81</w:t>
            </w:r>
          </w:p>
        </w:tc>
        <w:tc>
          <w:tcPr>
            <w:tcW w:w="1245" w:type="dxa"/>
            <w:vAlign w:val="center"/>
          </w:tcPr>
          <w:p w:rsidR="00697E5E" w:rsidRPr="003D3419" w:rsidP="00697E5E" w14:paraId="7DD049A9"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sz w:val="18"/>
                <w:szCs w:val="18"/>
              </w:rPr>
            </w:pPr>
            <w:r w:rsidRPr="003D3419">
              <w:rPr>
                <w:rFonts w:ascii="Times New Roman" w:hAnsi="Times New Roman"/>
                <w:sz w:val="18"/>
                <w:szCs w:val="18"/>
              </w:rPr>
              <w:t>46</w:t>
            </w:r>
          </w:p>
        </w:tc>
        <w:tc>
          <w:tcPr>
            <w:tcW w:w="1380" w:type="dxa"/>
            <w:vAlign w:val="center"/>
          </w:tcPr>
          <w:p w:rsidR="00697E5E" w:rsidRPr="003D3419" w:rsidP="00697E5E" w14:paraId="3AA6E6E9" w14:textId="5D894A4F">
            <w:pPr>
              <w:jc w:val="right"/>
              <w:rPr>
                <w:rFonts w:ascii="Times New Roman" w:hAnsi="Times New Roman"/>
                <w:sz w:val="18"/>
                <w:szCs w:val="18"/>
              </w:rPr>
            </w:pPr>
            <w:r w:rsidRPr="003D3419">
              <w:rPr>
                <w:rFonts w:ascii="Times New Roman" w:hAnsi="Times New Roman"/>
                <w:sz w:val="18"/>
                <w:szCs w:val="18"/>
              </w:rPr>
              <w:t>$250</w:t>
            </w:r>
          </w:p>
        </w:tc>
        <w:tc>
          <w:tcPr>
            <w:tcW w:w="1430" w:type="dxa"/>
            <w:vAlign w:val="center"/>
          </w:tcPr>
          <w:p w:rsidR="00697E5E" w:rsidRPr="004A1256" w:rsidP="00697E5E" w14:paraId="2FF53EB4" w14:textId="540D09F4">
            <w:pPr>
              <w:jc w:val="right"/>
              <w:rPr>
                <w:rFonts w:ascii="Times New Roman" w:hAnsi="Times New Roman"/>
                <w:sz w:val="18"/>
                <w:szCs w:val="18"/>
              </w:rPr>
            </w:pPr>
            <w:r w:rsidRPr="004A1256">
              <w:rPr>
                <w:color w:val="000000" w:themeColor="text1"/>
                <w:sz w:val="18"/>
                <w:szCs w:val="18"/>
              </w:rPr>
              <w:t xml:space="preserve">$11,500 </w:t>
            </w:r>
          </w:p>
        </w:tc>
      </w:tr>
      <w:tr w14:paraId="35FAB940" w14:textId="77777777" w:rsidTr="5A64A34E">
        <w:tblPrEx>
          <w:tblW w:w="9350" w:type="dxa"/>
          <w:tblCellMar>
            <w:left w:w="115" w:type="dxa"/>
            <w:right w:w="115" w:type="dxa"/>
          </w:tblCellMar>
          <w:tblLook w:val="04A0"/>
        </w:tblPrEx>
        <w:trPr>
          <w:cantSplit/>
          <w:trHeight w:val="300"/>
        </w:trPr>
        <w:tc>
          <w:tcPr>
            <w:tcW w:w="5295" w:type="dxa"/>
            <w:vAlign w:val="center"/>
          </w:tcPr>
          <w:p w:rsidR="00697E5E" w:rsidRPr="003D3419" w:rsidP="00697E5E" w14:paraId="593EA919"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003D3419">
              <w:rPr>
                <w:rFonts w:ascii="Times New Roman" w:hAnsi="Times New Roman"/>
                <w:sz w:val="18"/>
                <w:szCs w:val="18"/>
              </w:rPr>
              <w:t>Change of name</w:t>
            </w:r>
          </w:p>
          <w:p w:rsidR="00697E5E" w:rsidRPr="003D3419" w:rsidP="00697E5E" w14:paraId="53EA0291" w14:textId="1F982A74">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003D3419">
              <w:rPr>
                <w:rFonts w:ascii="Times New Roman" w:hAnsi="Times New Roman"/>
                <w:sz w:val="18"/>
                <w:szCs w:val="18"/>
              </w:rPr>
              <w:t>43 CFR 3106.82</w:t>
            </w:r>
          </w:p>
        </w:tc>
        <w:tc>
          <w:tcPr>
            <w:tcW w:w="1245" w:type="dxa"/>
            <w:vAlign w:val="center"/>
          </w:tcPr>
          <w:p w:rsidR="00697E5E" w:rsidRPr="003D3419" w:rsidP="00697E5E" w14:paraId="53715063"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sz w:val="18"/>
                <w:szCs w:val="18"/>
              </w:rPr>
            </w:pPr>
            <w:r w:rsidRPr="003D3419">
              <w:rPr>
                <w:rFonts w:ascii="Times New Roman" w:hAnsi="Times New Roman"/>
                <w:sz w:val="18"/>
                <w:szCs w:val="18"/>
              </w:rPr>
              <w:t>2,432</w:t>
            </w:r>
          </w:p>
        </w:tc>
        <w:tc>
          <w:tcPr>
            <w:tcW w:w="1380" w:type="dxa"/>
            <w:vAlign w:val="center"/>
          </w:tcPr>
          <w:p w:rsidR="00697E5E" w:rsidRPr="003D3419" w:rsidP="00697E5E" w14:paraId="3D25CC64" w14:textId="7857AC68">
            <w:pPr>
              <w:jc w:val="right"/>
              <w:rPr>
                <w:rFonts w:ascii="Times New Roman" w:hAnsi="Times New Roman"/>
                <w:sz w:val="18"/>
                <w:szCs w:val="18"/>
              </w:rPr>
            </w:pPr>
            <w:r w:rsidRPr="003D3419">
              <w:rPr>
                <w:rFonts w:ascii="Times New Roman" w:hAnsi="Times New Roman"/>
                <w:sz w:val="18"/>
                <w:szCs w:val="18"/>
              </w:rPr>
              <w:t>$250</w:t>
            </w:r>
          </w:p>
        </w:tc>
        <w:tc>
          <w:tcPr>
            <w:tcW w:w="1430" w:type="dxa"/>
            <w:vAlign w:val="center"/>
          </w:tcPr>
          <w:p w:rsidR="00697E5E" w:rsidRPr="004A1256" w:rsidP="00697E5E" w14:paraId="6E1EFDC7" w14:textId="298FB240">
            <w:pPr>
              <w:jc w:val="right"/>
              <w:rPr>
                <w:rFonts w:ascii="Times New Roman" w:hAnsi="Times New Roman"/>
                <w:sz w:val="18"/>
                <w:szCs w:val="18"/>
              </w:rPr>
            </w:pPr>
            <w:r w:rsidRPr="004A1256">
              <w:rPr>
                <w:color w:val="000000" w:themeColor="text1"/>
                <w:sz w:val="18"/>
                <w:szCs w:val="18"/>
              </w:rPr>
              <w:t xml:space="preserve">$608,000 </w:t>
            </w:r>
          </w:p>
        </w:tc>
      </w:tr>
      <w:tr w14:paraId="229945EC" w14:textId="77777777" w:rsidTr="5A64A34E">
        <w:tblPrEx>
          <w:tblW w:w="9350" w:type="dxa"/>
          <w:tblCellMar>
            <w:left w:w="115" w:type="dxa"/>
            <w:right w:w="115" w:type="dxa"/>
          </w:tblCellMar>
          <w:tblLook w:val="04A0"/>
        </w:tblPrEx>
        <w:trPr>
          <w:cantSplit/>
          <w:trHeight w:val="300"/>
        </w:trPr>
        <w:tc>
          <w:tcPr>
            <w:tcW w:w="5295" w:type="dxa"/>
            <w:vAlign w:val="center"/>
          </w:tcPr>
          <w:p w:rsidR="00697E5E" w:rsidRPr="003D3419" w:rsidP="73A9246C" w14:paraId="631DF60D" w14:textId="5D5EA1E4">
            <w:pPr>
              <w:widowControl/>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003D3419">
              <w:rPr>
                <w:rFonts w:ascii="Times New Roman" w:hAnsi="Times New Roman"/>
                <w:sz w:val="18"/>
                <w:szCs w:val="18"/>
              </w:rPr>
              <w:t>Corporate merger</w:t>
            </w:r>
            <w:r w:rsidRPr="73A9246C">
              <w:rPr>
                <w:rFonts w:ascii="Times New Roman" w:hAnsi="Times New Roman"/>
                <w:sz w:val="18"/>
                <w:szCs w:val="18"/>
              </w:rPr>
              <w:t xml:space="preserve"> &amp; </w:t>
            </w:r>
            <w:r w:rsidRPr="73A9246C" w:rsidR="7EF56132">
              <w:rPr>
                <w:rFonts w:ascii="Times New Roman" w:hAnsi="Times New Roman"/>
                <w:sz w:val="18"/>
                <w:szCs w:val="18"/>
              </w:rPr>
              <w:t>d</w:t>
            </w:r>
            <w:r w:rsidRPr="73A9246C">
              <w:rPr>
                <w:rFonts w:ascii="Times New Roman" w:hAnsi="Times New Roman"/>
                <w:sz w:val="18"/>
                <w:szCs w:val="18"/>
              </w:rPr>
              <w:t>issolution</w:t>
            </w:r>
            <w:r w:rsidRPr="003D3419">
              <w:rPr>
                <w:rFonts w:ascii="Times New Roman" w:hAnsi="Times New Roman"/>
                <w:sz w:val="18"/>
                <w:szCs w:val="18"/>
              </w:rPr>
              <w:t xml:space="preserve"> of corporations, partnerships and trust</w:t>
            </w:r>
          </w:p>
          <w:p w:rsidR="00697E5E" w:rsidRPr="003D3419" w:rsidP="00697E5E" w14:paraId="46A1FDBD" w14:textId="07B71B7B">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003D3419">
              <w:rPr>
                <w:rFonts w:ascii="Times New Roman" w:hAnsi="Times New Roman"/>
                <w:sz w:val="18"/>
                <w:szCs w:val="18"/>
              </w:rPr>
              <w:t>43 CFR 3106.83</w:t>
            </w:r>
          </w:p>
        </w:tc>
        <w:tc>
          <w:tcPr>
            <w:tcW w:w="1245" w:type="dxa"/>
            <w:vAlign w:val="center"/>
          </w:tcPr>
          <w:p w:rsidR="00697E5E" w:rsidRPr="003D3419" w:rsidP="00697E5E" w14:paraId="4F9020E3"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sz w:val="18"/>
                <w:szCs w:val="18"/>
              </w:rPr>
            </w:pPr>
            <w:r w:rsidRPr="003D3419">
              <w:rPr>
                <w:rFonts w:ascii="Times New Roman" w:hAnsi="Times New Roman"/>
                <w:sz w:val="18"/>
                <w:szCs w:val="18"/>
              </w:rPr>
              <w:t>561</w:t>
            </w:r>
          </w:p>
        </w:tc>
        <w:tc>
          <w:tcPr>
            <w:tcW w:w="1380" w:type="dxa"/>
            <w:vAlign w:val="center"/>
          </w:tcPr>
          <w:p w:rsidR="00697E5E" w:rsidRPr="003D3419" w:rsidP="00697E5E" w14:paraId="674A8D83" w14:textId="06572104">
            <w:pPr>
              <w:jc w:val="right"/>
              <w:rPr>
                <w:rFonts w:ascii="Times New Roman" w:hAnsi="Times New Roman"/>
                <w:sz w:val="18"/>
                <w:szCs w:val="18"/>
              </w:rPr>
            </w:pPr>
            <w:r w:rsidRPr="003D3419">
              <w:rPr>
                <w:rFonts w:ascii="Times New Roman" w:hAnsi="Times New Roman"/>
                <w:sz w:val="18"/>
                <w:szCs w:val="18"/>
              </w:rPr>
              <w:t>$250</w:t>
            </w:r>
          </w:p>
        </w:tc>
        <w:tc>
          <w:tcPr>
            <w:tcW w:w="1430" w:type="dxa"/>
            <w:vAlign w:val="center"/>
          </w:tcPr>
          <w:p w:rsidR="00697E5E" w:rsidRPr="004A1256" w:rsidP="00697E5E" w14:paraId="3223CDC1" w14:textId="4A48F4E9">
            <w:pPr>
              <w:jc w:val="right"/>
              <w:rPr>
                <w:rFonts w:ascii="Times New Roman" w:hAnsi="Times New Roman"/>
                <w:sz w:val="18"/>
                <w:szCs w:val="18"/>
              </w:rPr>
            </w:pPr>
            <w:r w:rsidRPr="004A1256">
              <w:rPr>
                <w:color w:val="000000" w:themeColor="text1"/>
                <w:sz w:val="18"/>
                <w:szCs w:val="18"/>
              </w:rPr>
              <w:t xml:space="preserve">$140,250 </w:t>
            </w:r>
          </w:p>
        </w:tc>
      </w:tr>
      <w:tr w14:paraId="03378FE4" w14:textId="77777777" w:rsidTr="5A64A34E">
        <w:tblPrEx>
          <w:tblW w:w="9350" w:type="dxa"/>
          <w:tblCellMar>
            <w:left w:w="115" w:type="dxa"/>
            <w:right w:w="115" w:type="dxa"/>
          </w:tblCellMar>
          <w:tblLook w:val="04A0"/>
        </w:tblPrEx>
        <w:trPr>
          <w:cantSplit/>
          <w:trHeight w:val="300"/>
        </w:trPr>
        <w:tc>
          <w:tcPr>
            <w:tcW w:w="5295" w:type="dxa"/>
            <w:vAlign w:val="center"/>
          </w:tcPr>
          <w:p w:rsidR="00697E5E" w:rsidRPr="003D3419" w:rsidP="00697E5E" w14:paraId="0C396A39"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003D3419">
              <w:rPr>
                <w:rFonts w:ascii="Times New Roman" w:hAnsi="Times New Roman"/>
                <w:sz w:val="18"/>
                <w:szCs w:val="18"/>
              </w:rPr>
              <w:t>Sheriff’s Sale/Deed</w:t>
            </w:r>
          </w:p>
          <w:p w:rsidR="00697E5E" w:rsidRPr="003D3419" w:rsidP="00697E5E" w14:paraId="433B73F4" w14:textId="11ACC415">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003D3419">
              <w:rPr>
                <w:rFonts w:ascii="Times New Roman" w:hAnsi="Times New Roman"/>
                <w:sz w:val="18"/>
                <w:szCs w:val="18"/>
              </w:rPr>
              <w:t>43 CFR 3106.84</w:t>
            </w:r>
          </w:p>
        </w:tc>
        <w:tc>
          <w:tcPr>
            <w:tcW w:w="1245" w:type="dxa"/>
            <w:vAlign w:val="center"/>
          </w:tcPr>
          <w:p w:rsidR="00697E5E" w:rsidRPr="003D3419" w:rsidP="00697E5E" w14:paraId="5ADC3932" w14:textId="0EDDAEB5">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sz w:val="18"/>
                <w:szCs w:val="18"/>
              </w:rPr>
            </w:pPr>
            <w:r w:rsidRPr="003D3419">
              <w:rPr>
                <w:rFonts w:ascii="Times New Roman" w:hAnsi="Times New Roman"/>
                <w:sz w:val="18"/>
                <w:szCs w:val="18"/>
              </w:rPr>
              <w:t>1</w:t>
            </w:r>
          </w:p>
        </w:tc>
        <w:tc>
          <w:tcPr>
            <w:tcW w:w="1380" w:type="dxa"/>
            <w:vAlign w:val="center"/>
          </w:tcPr>
          <w:p w:rsidR="00697E5E" w:rsidRPr="003D3419" w:rsidP="00697E5E" w14:paraId="4D8B2009" w14:textId="1B9D4BD4">
            <w:pPr>
              <w:jc w:val="right"/>
              <w:rPr>
                <w:rFonts w:ascii="Times New Roman" w:hAnsi="Times New Roman"/>
                <w:sz w:val="18"/>
                <w:szCs w:val="18"/>
              </w:rPr>
            </w:pPr>
            <w:r w:rsidRPr="003D3419">
              <w:rPr>
                <w:rFonts w:ascii="Times New Roman" w:hAnsi="Times New Roman"/>
                <w:sz w:val="18"/>
                <w:szCs w:val="18"/>
              </w:rPr>
              <w:t>$250</w:t>
            </w:r>
          </w:p>
        </w:tc>
        <w:tc>
          <w:tcPr>
            <w:tcW w:w="1430" w:type="dxa"/>
            <w:vAlign w:val="center"/>
          </w:tcPr>
          <w:p w:rsidR="00697E5E" w:rsidRPr="004A1256" w:rsidP="00697E5E" w14:paraId="6D58D02F" w14:textId="4EC0A5ED">
            <w:pPr>
              <w:jc w:val="right"/>
              <w:rPr>
                <w:rFonts w:ascii="Times New Roman" w:hAnsi="Times New Roman"/>
                <w:sz w:val="18"/>
                <w:szCs w:val="18"/>
              </w:rPr>
            </w:pPr>
            <w:r w:rsidRPr="004A1256">
              <w:rPr>
                <w:color w:val="000000" w:themeColor="text1"/>
                <w:sz w:val="18"/>
                <w:szCs w:val="18"/>
              </w:rPr>
              <w:t xml:space="preserve">$250 </w:t>
            </w:r>
          </w:p>
        </w:tc>
      </w:tr>
      <w:tr w14:paraId="4A53AD40" w14:textId="77777777" w:rsidTr="5A64A34E">
        <w:tblPrEx>
          <w:tblW w:w="9350" w:type="dxa"/>
          <w:tblCellMar>
            <w:left w:w="115" w:type="dxa"/>
            <w:right w:w="115" w:type="dxa"/>
          </w:tblCellMar>
          <w:tblLook w:val="04A0"/>
        </w:tblPrEx>
        <w:trPr>
          <w:cantSplit/>
          <w:trHeight w:val="300"/>
        </w:trPr>
        <w:tc>
          <w:tcPr>
            <w:tcW w:w="5295" w:type="dxa"/>
            <w:vAlign w:val="center"/>
          </w:tcPr>
          <w:p w:rsidR="00697E5E" w:rsidRPr="003D3419" w:rsidP="00697E5E" w14:paraId="22158FD2" w14:textId="2874C25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003D3419">
              <w:rPr>
                <w:rFonts w:ascii="Times New Roman" w:hAnsi="Times New Roman"/>
                <w:sz w:val="18"/>
                <w:szCs w:val="18"/>
              </w:rPr>
              <w:t xml:space="preserve">Class I reinstatement petition </w:t>
            </w:r>
          </w:p>
          <w:p w:rsidR="00697E5E" w:rsidRPr="003D3419" w:rsidP="00697E5E" w14:paraId="303B39B3" w14:textId="225058F3">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003D3419">
              <w:rPr>
                <w:rFonts w:ascii="Times New Roman" w:hAnsi="Times New Roman"/>
                <w:sz w:val="18"/>
                <w:szCs w:val="18"/>
              </w:rPr>
              <w:t xml:space="preserve">43 CFR 3108.22 </w:t>
            </w:r>
          </w:p>
        </w:tc>
        <w:tc>
          <w:tcPr>
            <w:tcW w:w="1245" w:type="dxa"/>
            <w:vAlign w:val="center"/>
          </w:tcPr>
          <w:p w:rsidR="00697E5E" w:rsidRPr="003D3419" w:rsidP="00697E5E" w14:paraId="6B214A60"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sz w:val="18"/>
                <w:szCs w:val="18"/>
              </w:rPr>
            </w:pPr>
            <w:r w:rsidRPr="003D3419">
              <w:rPr>
                <w:rFonts w:ascii="Times New Roman" w:hAnsi="Times New Roman"/>
                <w:sz w:val="18"/>
                <w:szCs w:val="18"/>
              </w:rPr>
              <w:t>45</w:t>
            </w:r>
          </w:p>
        </w:tc>
        <w:tc>
          <w:tcPr>
            <w:tcW w:w="1380" w:type="dxa"/>
            <w:vAlign w:val="center"/>
          </w:tcPr>
          <w:p w:rsidR="00697E5E" w:rsidRPr="003D3419" w:rsidP="00697E5E" w14:paraId="772F2BDC" w14:textId="1D687BC4">
            <w:pPr>
              <w:jc w:val="right"/>
              <w:rPr>
                <w:rFonts w:ascii="Times New Roman" w:hAnsi="Times New Roman"/>
                <w:sz w:val="18"/>
                <w:szCs w:val="18"/>
              </w:rPr>
            </w:pPr>
            <w:r w:rsidRPr="003D3419">
              <w:rPr>
                <w:rFonts w:ascii="Times New Roman" w:hAnsi="Times New Roman"/>
                <w:sz w:val="18"/>
                <w:szCs w:val="18"/>
              </w:rPr>
              <w:t>$1,260</w:t>
            </w:r>
          </w:p>
        </w:tc>
        <w:tc>
          <w:tcPr>
            <w:tcW w:w="1430" w:type="dxa"/>
            <w:vAlign w:val="center"/>
          </w:tcPr>
          <w:p w:rsidR="00697E5E" w:rsidRPr="004A1256" w:rsidP="00697E5E" w14:paraId="67B29D91" w14:textId="51D7338D">
            <w:pPr>
              <w:jc w:val="right"/>
              <w:rPr>
                <w:rFonts w:ascii="Times New Roman" w:hAnsi="Times New Roman"/>
                <w:sz w:val="18"/>
                <w:szCs w:val="18"/>
              </w:rPr>
            </w:pPr>
            <w:r w:rsidRPr="004A1256">
              <w:rPr>
                <w:color w:val="000000" w:themeColor="text1"/>
                <w:sz w:val="18"/>
                <w:szCs w:val="18"/>
              </w:rPr>
              <w:t xml:space="preserve">$56,700 </w:t>
            </w:r>
          </w:p>
        </w:tc>
      </w:tr>
      <w:tr w14:paraId="371F1E5B" w14:textId="77777777" w:rsidTr="5A64A34E">
        <w:tblPrEx>
          <w:tblW w:w="9350" w:type="dxa"/>
          <w:tblCellMar>
            <w:left w:w="115" w:type="dxa"/>
            <w:right w:w="115" w:type="dxa"/>
          </w:tblCellMar>
          <w:tblLook w:val="04A0"/>
        </w:tblPrEx>
        <w:trPr>
          <w:cantSplit/>
          <w:trHeight w:val="300"/>
        </w:trPr>
        <w:tc>
          <w:tcPr>
            <w:tcW w:w="5295" w:type="dxa"/>
            <w:vAlign w:val="center"/>
          </w:tcPr>
          <w:p w:rsidR="00697E5E" w:rsidRPr="003D3419" w:rsidP="00697E5E" w14:paraId="0744169C" w14:textId="2AC3C0EC">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003D3419">
              <w:rPr>
                <w:rFonts w:ascii="Times New Roman" w:hAnsi="Times New Roman"/>
                <w:sz w:val="18"/>
                <w:szCs w:val="18"/>
              </w:rPr>
              <w:t>Class II reinstatement petition - 43 CFR 3108.23 (34 x $500 = $17,000) and Class II reinstatement petition</w:t>
            </w:r>
          </w:p>
          <w:p w:rsidR="00697E5E" w:rsidRPr="003D3419" w:rsidP="73A9246C" w14:paraId="7C048A8D" w14:textId="73937A9C">
            <w:pPr>
              <w:widowControl/>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003D3419">
              <w:rPr>
                <w:rFonts w:ascii="Times New Roman" w:hAnsi="Times New Roman"/>
                <w:sz w:val="18"/>
                <w:szCs w:val="18"/>
              </w:rPr>
              <w:t>43 CFR 3108.23</w:t>
            </w:r>
            <w:r w:rsidR="008916F0">
              <w:rPr>
                <w:rFonts w:ascii="Times New Roman" w:hAnsi="Times New Roman"/>
                <w:sz w:val="18"/>
                <w:szCs w:val="18"/>
              </w:rPr>
              <w:t xml:space="preserve"> </w:t>
            </w:r>
            <w:r w:rsidRPr="003D3419">
              <w:rPr>
                <w:rFonts w:ascii="Times New Roman" w:hAnsi="Times New Roman"/>
                <w:sz w:val="18"/>
                <w:szCs w:val="18"/>
              </w:rPr>
              <w:t xml:space="preserve">(34 x </w:t>
            </w:r>
            <w:r w:rsidRPr="73A9246C">
              <w:rPr>
                <w:rFonts w:ascii="Times New Roman" w:hAnsi="Times New Roman"/>
                <w:sz w:val="18"/>
                <w:szCs w:val="18"/>
              </w:rPr>
              <w:t>15</w:t>
            </w:r>
            <w:r w:rsidRPr="73A9246C" w:rsidR="363ECBEC">
              <w:rPr>
                <w:rFonts w:ascii="Times New Roman" w:hAnsi="Times New Roman"/>
                <w:sz w:val="18"/>
                <w:szCs w:val="18"/>
              </w:rPr>
              <w:t>9</w:t>
            </w:r>
            <w:r w:rsidRPr="003D3419">
              <w:rPr>
                <w:rFonts w:ascii="Times New Roman" w:hAnsi="Times New Roman"/>
                <w:sz w:val="18"/>
                <w:szCs w:val="18"/>
              </w:rPr>
              <w:t xml:space="preserve"> = $5,</w:t>
            </w:r>
            <w:r w:rsidRPr="73A9246C" w:rsidR="62FEE86D">
              <w:rPr>
                <w:rFonts w:ascii="Times New Roman" w:hAnsi="Times New Roman"/>
                <w:sz w:val="18"/>
                <w:szCs w:val="18"/>
              </w:rPr>
              <w:t>406</w:t>
            </w:r>
            <w:r w:rsidRPr="003D3419">
              <w:rPr>
                <w:rFonts w:ascii="Times New Roman" w:hAnsi="Times New Roman"/>
                <w:sz w:val="18"/>
                <w:szCs w:val="18"/>
              </w:rPr>
              <w:t>)</w:t>
            </w:r>
          </w:p>
        </w:tc>
        <w:tc>
          <w:tcPr>
            <w:tcW w:w="1245" w:type="dxa"/>
            <w:vAlign w:val="center"/>
          </w:tcPr>
          <w:p w:rsidR="00697E5E" w:rsidRPr="003D3419" w:rsidP="00697E5E" w14:paraId="554439C2"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sz w:val="18"/>
                <w:szCs w:val="18"/>
              </w:rPr>
            </w:pPr>
            <w:r w:rsidRPr="003D3419">
              <w:rPr>
                <w:rFonts w:ascii="Times New Roman" w:hAnsi="Times New Roman"/>
                <w:sz w:val="18"/>
                <w:szCs w:val="18"/>
              </w:rPr>
              <w:t>34</w:t>
            </w:r>
          </w:p>
        </w:tc>
        <w:tc>
          <w:tcPr>
            <w:tcW w:w="1380" w:type="dxa"/>
            <w:vAlign w:val="center"/>
          </w:tcPr>
          <w:p w:rsidR="00697E5E" w:rsidRPr="003D3419" w:rsidP="00697E5E" w14:paraId="3568AF1A" w14:textId="23794F52">
            <w:pPr>
              <w:jc w:val="right"/>
              <w:rPr>
                <w:rFonts w:ascii="Times New Roman" w:hAnsi="Times New Roman"/>
                <w:sz w:val="18"/>
                <w:szCs w:val="18"/>
              </w:rPr>
            </w:pPr>
            <w:r w:rsidRPr="003D3419">
              <w:rPr>
                <w:rFonts w:ascii="Times New Roman" w:hAnsi="Times New Roman"/>
                <w:sz w:val="18"/>
                <w:szCs w:val="18"/>
              </w:rPr>
              <w:t>$</w:t>
            </w:r>
            <w:r w:rsidR="00C44458">
              <w:rPr>
                <w:rFonts w:ascii="Times New Roman" w:hAnsi="Times New Roman"/>
                <w:sz w:val="18"/>
                <w:szCs w:val="18"/>
              </w:rPr>
              <w:t>651</w:t>
            </w:r>
          </w:p>
        </w:tc>
        <w:tc>
          <w:tcPr>
            <w:tcW w:w="1430" w:type="dxa"/>
            <w:vAlign w:val="center"/>
          </w:tcPr>
          <w:p w:rsidR="00697E5E" w:rsidRPr="004A1256" w:rsidP="00697E5E" w14:paraId="0C125A4E" w14:textId="314EF7EC">
            <w:pPr>
              <w:jc w:val="right"/>
              <w:rPr>
                <w:rFonts w:ascii="Times New Roman" w:hAnsi="Times New Roman"/>
                <w:sz w:val="18"/>
                <w:szCs w:val="18"/>
              </w:rPr>
            </w:pPr>
            <w:r w:rsidRPr="004A1256">
              <w:rPr>
                <w:color w:val="000000" w:themeColor="text1"/>
                <w:sz w:val="18"/>
                <w:szCs w:val="18"/>
              </w:rPr>
              <w:t>$</w:t>
            </w:r>
            <w:r w:rsidRPr="004A1256" w:rsidR="00492A79">
              <w:rPr>
                <w:color w:val="000000" w:themeColor="text1"/>
                <w:sz w:val="18"/>
                <w:szCs w:val="18"/>
              </w:rPr>
              <w:t>22,</w:t>
            </w:r>
            <w:r w:rsidRPr="004A1256" w:rsidR="03040B6D">
              <w:rPr>
                <w:color w:val="000000" w:themeColor="text1"/>
                <w:sz w:val="18"/>
                <w:szCs w:val="18"/>
              </w:rPr>
              <w:t>134</w:t>
            </w:r>
            <w:r w:rsidRPr="004A1256">
              <w:rPr>
                <w:color w:val="000000" w:themeColor="text1"/>
                <w:sz w:val="18"/>
                <w:szCs w:val="18"/>
              </w:rPr>
              <w:t xml:space="preserve"> </w:t>
            </w:r>
          </w:p>
        </w:tc>
      </w:tr>
      <w:tr w14:paraId="470C2AD0" w14:textId="77777777" w:rsidTr="5A64A34E">
        <w:tblPrEx>
          <w:tblW w:w="9350" w:type="dxa"/>
          <w:tblCellMar>
            <w:left w:w="115" w:type="dxa"/>
            <w:right w:w="115" w:type="dxa"/>
          </w:tblCellMar>
          <w:tblLook w:val="04A0"/>
        </w:tblPrEx>
        <w:trPr>
          <w:cantSplit/>
          <w:trHeight w:val="300"/>
        </w:trPr>
        <w:tc>
          <w:tcPr>
            <w:tcW w:w="5295" w:type="dxa"/>
            <w:vAlign w:val="center"/>
          </w:tcPr>
          <w:p w:rsidR="00697E5E" w:rsidRPr="003D3419" w:rsidP="00697E5E" w14:paraId="5AA42522" w14:textId="615A3C79">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003D3419">
              <w:rPr>
                <w:rFonts w:ascii="Times New Roman" w:hAnsi="Times New Roman"/>
                <w:sz w:val="18"/>
                <w:szCs w:val="18"/>
              </w:rPr>
              <w:t>Application for lease under ROW</w:t>
            </w:r>
          </w:p>
          <w:p w:rsidR="00697E5E" w:rsidRPr="003D3419" w:rsidP="00697E5E" w14:paraId="66317F70" w14:textId="6545BB1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003D3419">
              <w:rPr>
                <w:rFonts w:ascii="Times New Roman" w:hAnsi="Times New Roman"/>
                <w:sz w:val="18"/>
                <w:szCs w:val="18"/>
              </w:rPr>
              <w:t>43 CFR 3109.1</w:t>
            </w:r>
            <w:r w:rsidR="00907DC3">
              <w:rPr>
                <w:rFonts w:ascii="Times New Roman" w:hAnsi="Times New Roman"/>
                <w:sz w:val="18"/>
                <w:szCs w:val="18"/>
              </w:rPr>
              <w:t>2</w:t>
            </w:r>
          </w:p>
        </w:tc>
        <w:tc>
          <w:tcPr>
            <w:tcW w:w="1245" w:type="dxa"/>
            <w:vAlign w:val="center"/>
          </w:tcPr>
          <w:p w:rsidR="00697E5E" w:rsidRPr="003D3419" w:rsidP="00697E5E" w14:paraId="13F2CFB8"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sz w:val="18"/>
                <w:szCs w:val="18"/>
              </w:rPr>
            </w:pPr>
            <w:r w:rsidRPr="003D3419">
              <w:rPr>
                <w:rFonts w:ascii="Times New Roman" w:hAnsi="Times New Roman"/>
                <w:sz w:val="18"/>
                <w:szCs w:val="18"/>
              </w:rPr>
              <w:t>2</w:t>
            </w:r>
          </w:p>
        </w:tc>
        <w:tc>
          <w:tcPr>
            <w:tcW w:w="1380" w:type="dxa"/>
            <w:vAlign w:val="center"/>
          </w:tcPr>
          <w:p w:rsidR="00697E5E" w:rsidRPr="003D3419" w:rsidP="00697E5E" w14:paraId="65178C20" w14:textId="3F2AD76C">
            <w:pPr>
              <w:jc w:val="right"/>
              <w:rPr>
                <w:rFonts w:ascii="Times New Roman" w:hAnsi="Times New Roman"/>
                <w:sz w:val="18"/>
                <w:szCs w:val="18"/>
              </w:rPr>
            </w:pPr>
            <w:r w:rsidRPr="003D3419">
              <w:rPr>
                <w:rFonts w:ascii="Times New Roman" w:hAnsi="Times New Roman"/>
                <w:sz w:val="18"/>
                <w:szCs w:val="18"/>
              </w:rPr>
              <w:t>$660</w:t>
            </w:r>
          </w:p>
        </w:tc>
        <w:tc>
          <w:tcPr>
            <w:tcW w:w="1430" w:type="dxa"/>
            <w:vAlign w:val="center"/>
          </w:tcPr>
          <w:p w:rsidR="00697E5E" w:rsidRPr="004A1256" w:rsidP="00697E5E" w14:paraId="53679000" w14:textId="0735782A">
            <w:pPr>
              <w:jc w:val="right"/>
              <w:rPr>
                <w:rFonts w:ascii="Times New Roman" w:hAnsi="Times New Roman"/>
                <w:sz w:val="18"/>
                <w:szCs w:val="18"/>
              </w:rPr>
            </w:pPr>
            <w:r w:rsidRPr="004A1256">
              <w:rPr>
                <w:color w:val="000000" w:themeColor="text1"/>
                <w:sz w:val="18"/>
                <w:szCs w:val="18"/>
              </w:rPr>
              <w:t xml:space="preserve">$1,320 </w:t>
            </w:r>
          </w:p>
        </w:tc>
      </w:tr>
      <w:tr w14:paraId="20044947" w14:textId="77777777" w:rsidTr="5A64A34E">
        <w:tblPrEx>
          <w:tblW w:w="9350" w:type="dxa"/>
          <w:tblCellMar>
            <w:left w:w="115" w:type="dxa"/>
            <w:right w:w="115" w:type="dxa"/>
          </w:tblCellMar>
          <w:tblLook w:val="04A0"/>
        </w:tblPrEx>
        <w:trPr>
          <w:cantSplit/>
          <w:trHeight w:val="300"/>
        </w:trPr>
        <w:tc>
          <w:tcPr>
            <w:tcW w:w="5295" w:type="dxa"/>
            <w:vAlign w:val="center"/>
          </w:tcPr>
          <w:p w:rsidR="00697E5E" w:rsidRPr="003D3419" w:rsidP="00697E5E" w14:paraId="3F9870C4" w14:textId="456898F0">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p>
        </w:tc>
        <w:tc>
          <w:tcPr>
            <w:tcW w:w="1245" w:type="dxa"/>
            <w:vAlign w:val="center"/>
          </w:tcPr>
          <w:p w:rsidR="00697E5E" w:rsidRPr="003D3419" w:rsidP="00697E5E" w14:paraId="562ADA6E" w14:textId="58C003A1">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sz w:val="18"/>
                <w:szCs w:val="18"/>
              </w:rPr>
            </w:pPr>
          </w:p>
        </w:tc>
        <w:tc>
          <w:tcPr>
            <w:tcW w:w="1380" w:type="dxa"/>
            <w:vAlign w:val="center"/>
          </w:tcPr>
          <w:p w:rsidR="00697E5E" w:rsidRPr="003D3419" w:rsidP="00697E5E" w14:paraId="450A95E3" w14:textId="26B1063E">
            <w:pPr>
              <w:jc w:val="right"/>
              <w:rPr>
                <w:rFonts w:ascii="Times New Roman" w:hAnsi="Times New Roman"/>
                <w:sz w:val="18"/>
                <w:szCs w:val="18"/>
              </w:rPr>
            </w:pPr>
          </w:p>
        </w:tc>
        <w:tc>
          <w:tcPr>
            <w:tcW w:w="1430" w:type="dxa"/>
            <w:vAlign w:val="center"/>
          </w:tcPr>
          <w:p w:rsidR="00697E5E" w:rsidRPr="004A1256" w:rsidP="00697E5E" w14:paraId="4224FCD5" w14:textId="1AC4A34D">
            <w:pPr>
              <w:jc w:val="right"/>
              <w:rPr>
                <w:rFonts w:ascii="Times New Roman" w:hAnsi="Times New Roman"/>
                <w:sz w:val="18"/>
                <w:szCs w:val="18"/>
              </w:rPr>
            </w:pPr>
          </w:p>
        </w:tc>
      </w:tr>
      <w:tr w14:paraId="081F43AC" w14:textId="77777777" w:rsidTr="5A64A34E">
        <w:tblPrEx>
          <w:tblW w:w="9350" w:type="dxa"/>
          <w:tblCellMar>
            <w:left w:w="115" w:type="dxa"/>
            <w:right w:w="115" w:type="dxa"/>
          </w:tblCellMar>
          <w:tblLook w:val="04A0"/>
        </w:tblPrEx>
        <w:trPr>
          <w:cantSplit/>
          <w:trHeight w:val="300"/>
        </w:trPr>
        <w:tc>
          <w:tcPr>
            <w:tcW w:w="5295" w:type="dxa"/>
            <w:vAlign w:val="center"/>
          </w:tcPr>
          <w:p w:rsidR="00B91A58" w:rsidRPr="00602A19" w:rsidP="5A64A34E" w14:paraId="20B370EC" w14:textId="5A65C7C1">
            <w:pPr>
              <w:widowControl/>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5A64A34E">
              <w:rPr>
                <w:rFonts w:ascii="Times New Roman" w:hAnsi="Times New Roman"/>
                <w:sz w:val="18"/>
                <w:szCs w:val="18"/>
              </w:rPr>
              <w:t>Protests</w:t>
            </w:r>
            <w:r w:rsidRPr="5A64A34E" w:rsidR="329BBE17">
              <w:rPr>
                <w:rFonts w:ascii="Times New Roman" w:hAnsi="Times New Roman"/>
                <w:sz w:val="18"/>
                <w:szCs w:val="18"/>
              </w:rPr>
              <w:t xml:space="preserve"> (Proposed $1 per page beyond 50 pages)</w:t>
            </w:r>
          </w:p>
          <w:p w:rsidR="009407C1" w:rsidRPr="00602A19" w:rsidP="5A64A34E" w14:paraId="6EFD7695" w14:textId="7A87A3EA">
            <w:pPr>
              <w:widowControl/>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5A64A34E">
              <w:rPr>
                <w:rFonts w:ascii="Times New Roman" w:hAnsi="Times New Roman"/>
                <w:sz w:val="18"/>
                <w:szCs w:val="18"/>
              </w:rPr>
              <w:t xml:space="preserve">43 CFR </w:t>
            </w:r>
            <w:r w:rsidRPr="00602A19" w:rsidR="007C21A0">
              <w:rPr>
                <w:rFonts w:ascii="Times New Roman" w:hAnsi="Times New Roman"/>
                <w:sz w:val="18"/>
                <w:szCs w:val="18"/>
              </w:rPr>
              <w:t>3120.43</w:t>
            </w:r>
          </w:p>
        </w:tc>
        <w:tc>
          <w:tcPr>
            <w:tcW w:w="1245" w:type="dxa"/>
            <w:vAlign w:val="center"/>
          </w:tcPr>
          <w:p w:rsidR="009407C1" w:rsidRPr="003D3419" w:rsidP="73A9246C" w14:paraId="0CBB223A" w14:textId="655F47A6">
            <w:pPr>
              <w:widowControl/>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sz w:val="18"/>
                <w:szCs w:val="18"/>
              </w:rPr>
            </w:pPr>
            <w:r w:rsidRPr="58A9F6DC">
              <w:rPr>
                <w:rFonts w:ascii="Times New Roman" w:hAnsi="Times New Roman"/>
                <w:sz w:val="18"/>
                <w:szCs w:val="18"/>
              </w:rPr>
              <w:t>14*</w:t>
            </w:r>
          </w:p>
        </w:tc>
        <w:tc>
          <w:tcPr>
            <w:tcW w:w="1380" w:type="dxa"/>
            <w:vAlign w:val="center"/>
          </w:tcPr>
          <w:p w:rsidR="005079DC" w:rsidP="00697E5E" w14:paraId="62EB8A9C" w14:textId="1FAB5732">
            <w:pPr>
              <w:jc w:val="right"/>
              <w:rPr>
                <w:rFonts w:ascii="Times New Roman" w:hAnsi="Times New Roman"/>
                <w:sz w:val="18"/>
                <w:szCs w:val="18"/>
              </w:rPr>
            </w:pPr>
            <w:r>
              <w:rPr>
                <w:rFonts w:ascii="Times New Roman" w:hAnsi="Times New Roman"/>
                <w:sz w:val="18"/>
                <w:szCs w:val="18"/>
              </w:rPr>
              <w:t>$1 per page</w:t>
            </w:r>
            <w:r>
              <w:rPr>
                <w:rFonts w:ascii="Times New Roman" w:hAnsi="Times New Roman"/>
                <w:sz w:val="18"/>
                <w:szCs w:val="18"/>
              </w:rPr>
              <w:t xml:space="preserve">, </w:t>
            </w:r>
          </w:p>
          <w:p w:rsidR="009407C1" w:rsidRPr="003D3419" w:rsidP="00697E5E" w14:paraId="021CB45C" w14:textId="393F0923">
            <w:pPr>
              <w:jc w:val="right"/>
              <w:rPr>
                <w:rFonts w:ascii="Times New Roman" w:hAnsi="Times New Roman"/>
                <w:sz w:val="18"/>
                <w:szCs w:val="18"/>
              </w:rPr>
            </w:pPr>
            <w:r>
              <w:rPr>
                <w:rFonts w:ascii="Times New Roman" w:hAnsi="Times New Roman"/>
                <w:sz w:val="18"/>
                <w:szCs w:val="18"/>
              </w:rPr>
              <w:t>after 50 pages</w:t>
            </w:r>
            <w:r w:rsidRPr="58A9F6DC" w:rsidR="7216AC90">
              <w:rPr>
                <w:rFonts w:ascii="Times New Roman" w:hAnsi="Times New Roman"/>
                <w:sz w:val="18"/>
                <w:szCs w:val="18"/>
              </w:rPr>
              <w:t xml:space="preserve"> (average fee = $186)</w:t>
            </w:r>
          </w:p>
        </w:tc>
        <w:tc>
          <w:tcPr>
            <w:tcW w:w="1430" w:type="dxa"/>
            <w:vAlign w:val="center"/>
          </w:tcPr>
          <w:p w:rsidR="009407C1" w:rsidRPr="004A1256" w:rsidP="00697E5E" w14:paraId="223FE41F" w14:textId="134C8B71">
            <w:pPr>
              <w:jc w:val="right"/>
              <w:rPr>
                <w:color w:val="000000"/>
                <w:sz w:val="18"/>
                <w:szCs w:val="18"/>
              </w:rPr>
            </w:pPr>
            <w:r w:rsidRPr="004A1256">
              <w:rPr>
                <w:color w:val="000000" w:themeColor="text1"/>
                <w:sz w:val="18"/>
                <w:szCs w:val="18"/>
              </w:rPr>
              <w:t>$</w:t>
            </w:r>
            <w:r w:rsidRPr="004A1256" w:rsidR="120C2FD2">
              <w:rPr>
                <w:color w:val="000000" w:themeColor="text1"/>
                <w:sz w:val="18"/>
                <w:szCs w:val="18"/>
              </w:rPr>
              <w:t>2,604</w:t>
            </w:r>
          </w:p>
        </w:tc>
      </w:tr>
      <w:tr w14:paraId="0278F920" w14:textId="77777777" w:rsidTr="5A64A34E">
        <w:tblPrEx>
          <w:tblW w:w="9350" w:type="dxa"/>
          <w:tblCellMar>
            <w:left w:w="115" w:type="dxa"/>
            <w:right w:w="115" w:type="dxa"/>
          </w:tblCellMar>
          <w:tblLook w:val="04A0"/>
        </w:tblPrEx>
        <w:trPr>
          <w:cantSplit/>
          <w:trHeight w:val="80"/>
        </w:trPr>
        <w:tc>
          <w:tcPr>
            <w:tcW w:w="7920" w:type="dxa"/>
            <w:gridSpan w:val="3"/>
            <w:vAlign w:val="center"/>
          </w:tcPr>
          <w:p w:rsidR="00D87D65" w:rsidRPr="00B31E62" w:rsidP="006A7661" w14:paraId="74F668AA" w14:textId="770242BF">
            <w:pPr>
              <w:jc w:val="right"/>
              <w:rPr>
                <w:rFonts w:ascii="Times New Roman" w:hAnsi="Times New Roman"/>
                <w:b/>
                <w:sz w:val="18"/>
                <w:szCs w:val="18"/>
              </w:rPr>
            </w:pPr>
            <w:r w:rsidRPr="00B31E62">
              <w:rPr>
                <w:rFonts w:ascii="Times New Roman" w:hAnsi="Times New Roman"/>
                <w:b/>
                <w:sz w:val="18"/>
                <w:szCs w:val="18"/>
              </w:rPr>
              <w:t>Total</w:t>
            </w:r>
            <w:r>
              <w:rPr>
                <w:rFonts w:ascii="Times New Roman" w:hAnsi="Times New Roman"/>
                <w:b/>
                <w:sz w:val="18"/>
                <w:szCs w:val="18"/>
              </w:rPr>
              <w:t xml:space="preserve"> Non-hour Cost Burden</w:t>
            </w:r>
            <w:r w:rsidRPr="00B31E62">
              <w:rPr>
                <w:rFonts w:ascii="Times New Roman" w:hAnsi="Times New Roman"/>
                <w:b/>
                <w:sz w:val="18"/>
                <w:szCs w:val="18"/>
              </w:rPr>
              <w:t>:</w:t>
            </w:r>
          </w:p>
        </w:tc>
        <w:tc>
          <w:tcPr>
            <w:tcW w:w="1430" w:type="dxa"/>
            <w:vAlign w:val="center"/>
          </w:tcPr>
          <w:p w:rsidR="00D87D65" w:rsidRPr="00B31E62" w:rsidP="006A7661" w14:paraId="2C1A27E3" w14:textId="6C090895">
            <w:pPr>
              <w:jc w:val="right"/>
              <w:rPr>
                <w:rFonts w:ascii="Times New Roman" w:hAnsi="Times New Roman"/>
                <w:b/>
                <w:sz w:val="18"/>
                <w:szCs w:val="18"/>
              </w:rPr>
            </w:pPr>
            <w:r w:rsidRPr="5A64A34E">
              <w:rPr>
                <w:rFonts w:ascii="Times New Roman" w:hAnsi="Times New Roman"/>
                <w:b/>
                <w:bCs/>
                <w:sz w:val="18"/>
                <w:szCs w:val="18"/>
              </w:rPr>
              <w:t>$</w:t>
            </w:r>
            <w:r w:rsidR="002C3B8E">
              <w:rPr>
                <w:rFonts w:ascii="Times New Roman" w:hAnsi="Times New Roman"/>
                <w:b/>
                <w:bCs/>
                <w:sz w:val="18"/>
                <w:szCs w:val="18"/>
              </w:rPr>
              <w:t>1,793,</w:t>
            </w:r>
            <w:r w:rsidR="00301D54">
              <w:rPr>
                <w:rFonts w:ascii="Times New Roman" w:hAnsi="Times New Roman"/>
                <w:b/>
                <w:bCs/>
                <w:sz w:val="18"/>
                <w:szCs w:val="18"/>
              </w:rPr>
              <w:t>788</w:t>
            </w:r>
          </w:p>
        </w:tc>
      </w:tr>
    </w:tbl>
    <w:p w:rsidR="00AB1756" w:rsidRPr="007F0F19" w:rsidP="58A9F6DC" w14:paraId="4E408765" w14:textId="7978C9D3">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16"/>
          <w:szCs w:val="16"/>
        </w:rPr>
      </w:pPr>
      <w:r w:rsidRPr="58A9F6DC">
        <w:rPr>
          <w:rFonts w:ascii="Times New Roman" w:hAnsi="Times New Roman"/>
        </w:rPr>
        <w:t>*</w:t>
      </w:r>
      <w:r w:rsidRPr="007F0F19">
        <w:rPr>
          <w:rFonts w:ascii="Times New Roman" w:hAnsi="Times New Roman"/>
          <w:sz w:val="16"/>
          <w:szCs w:val="16"/>
        </w:rPr>
        <w:t xml:space="preserve"> In 2024, the BLM only received 14 protests containing over 50 pages</w:t>
      </w:r>
      <w:r w:rsidRPr="58A9F6DC" w:rsidR="1FBC937A">
        <w:rPr>
          <w:rFonts w:ascii="Times New Roman" w:hAnsi="Times New Roman"/>
          <w:sz w:val="16"/>
          <w:szCs w:val="16"/>
        </w:rPr>
        <w:t xml:space="preserve">. </w:t>
      </w:r>
      <w:r w:rsidRPr="58A9F6DC" w:rsidR="05E20428">
        <w:rPr>
          <w:rFonts w:ascii="Times New Roman" w:hAnsi="Times New Roman"/>
          <w:sz w:val="16"/>
          <w:szCs w:val="16"/>
        </w:rPr>
        <w:t>Based on current records, i</w:t>
      </w:r>
      <w:r w:rsidRPr="58A9F6DC" w:rsidR="1FBC937A">
        <w:rPr>
          <w:rFonts w:ascii="Times New Roman" w:hAnsi="Times New Roman"/>
          <w:sz w:val="16"/>
          <w:szCs w:val="16"/>
        </w:rPr>
        <w:t xml:space="preserve">f </w:t>
      </w:r>
      <w:r w:rsidRPr="58A9F6DC" w:rsidR="1FBC937A">
        <w:rPr>
          <w:rFonts w:ascii="Times New Roman" w:hAnsi="Times New Roman"/>
          <w:sz w:val="16"/>
          <w:szCs w:val="16"/>
        </w:rPr>
        <w:t>the BLM</w:t>
      </w:r>
      <w:r w:rsidRPr="58A9F6DC" w:rsidR="1FBC937A">
        <w:rPr>
          <w:rFonts w:ascii="Times New Roman" w:hAnsi="Times New Roman"/>
          <w:sz w:val="16"/>
          <w:szCs w:val="16"/>
        </w:rPr>
        <w:t xml:space="preserve"> currently implemented this fee, the average surplus pages filing fee would be $186. </w:t>
      </w:r>
      <w:r w:rsidRPr="007F0F19" w:rsidR="7F7F452E">
        <w:rPr>
          <w:rFonts w:ascii="Times New Roman" w:hAnsi="Times New Roman"/>
          <w:sz w:val="16"/>
          <w:szCs w:val="16"/>
        </w:rPr>
        <w:t xml:space="preserve">With the proposed fee for </w:t>
      </w:r>
      <w:r w:rsidRPr="007F0F19" w:rsidR="7F7F452E">
        <w:rPr>
          <w:rFonts w:ascii="Times New Roman" w:hAnsi="Times New Roman"/>
          <w:sz w:val="16"/>
          <w:szCs w:val="16"/>
        </w:rPr>
        <w:t>protest</w:t>
      </w:r>
      <w:r w:rsidRPr="007F0F19" w:rsidR="7F7F452E">
        <w:rPr>
          <w:rFonts w:ascii="Times New Roman" w:hAnsi="Times New Roman"/>
          <w:sz w:val="16"/>
          <w:szCs w:val="16"/>
        </w:rPr>
        <w:t xml:space="preserve"> that exceed 50 pages, it is expected that </w:t>
      </w:r>
      <w:r w:rsidRPr="007F0F19" w:rsidR="7F7F452E">
        <w:rPr>
          <w:rFonts w:ascii="Times New Roman" w:hAnsi="Times New Roman"/>
          <w:sz w:val="16"/>
          <w:szCs w:val="16"/>
        </w:rPr>
        <w:t>event</w:t>
      </w:r>
      <w:r w:rsidRPr="007F0F19" w:rsidR="7F7F452E">
        <w:rPr>
          <w:rFonts w:ascii="Times New Roman" w:hAnsi="Times New Roman"/>
          <w:sz w:val="16"/>
          <w:szCs w:val="16"/>
        </w:rPr>
        <w:t xml:space="preserve"> fewer </w:t>
      </w:r>
      <w:r w:rsidRPr="007F0F19" w:rsidR="7F7F452E">
        <w:rPr>
          <w:rFonts w:ascii="Times New Roman" w:hAnsi="Times New Roman"/>
          <w:sz w:val="16"/>
          <w:szCs w:val="16"/>
        </w:rPr>
        <w:t>protest</w:t>
      </w:r>
      <w:r w:rsidRPr="007F0F19" w:rsidR="7F7F452E">
        <w:rPr>
          <w:rFonts w:ascii="Times New Roman" w:hAnsi="Times New Roman"/>
          <w:sz w:val="16"/>
          <w:szCs w:val="16"/>
        </w:rPr>
        <w:t xml:space="preserve"> will exceed 50 pages. </w:t>
      </w:r>
      <w:r w:rsidRPr="007F0F19" w:rsidR="0921E333">
        <w:rPr>
          <w:rFonts w:ascii="Times New Roman" w:hAnsi="Times New Roman"/>
          <w:sz w:val="16"/>
          <w:szCs w:val="16"/>
        </w:rPr>
        <w:t xml:space="preserve">For this cost estimate, </w:t>
      </w:r>
      <w:r w:rsidR="00602A19">
        <w:rPr>
          <w:rFonts w:ascii="Times New Roman" w:hAnsi="Times New Roman"/>
          <w:sz w:val="16"/>
          <w:szCs w:val="16"/>
        </w:rPr>
        <w:t xml:space="preserve">the </w:t>
      </w:r>
      <w:r w:rsidRPr="007F0F19" w:rsidR="0921E333">
        <w:rPr>
          <w:rFonts w:ascii="Times New Roman" w:hAnsi="Times New Roman"/>
          <w:sz w:val="16"/>
          <w:szCs w:val="16"/>
        </w:rPr>
        <w:t xml:space="preserve">BLM uses the known quantity of 14 </w:t>
      </w:r>
      <w:r w:rsidRPr="007F0F19" w:rsidR="0921E333">
        <w:rPr>
          <w:rFonts w:ascii="Times New Roman" w:hAnsi="Times New Roman"/>
          <w:sz w:val="16"/>
          <w:szCs w:val="16"/>
        </w:rPr>
        <w:t>protest</w:t>
      </w:r>
      <w:r w:rsidRPr="007F0F19" w:rsidR="0921E333">
        <w:rPr>
          <w:rFonts w:ascii="Times New Roman" w:hAnsi="Times New Roman"/>
          <w:sz w:val="16"/>
          <w:szCs w:val="16"/>
        </w:rPr>
        <w:t xml:space="preserve"> that exceed 50 pages</w:t>
      </w:r>
      <w:r w:rsidRPr="58A9F6DC" w:rsidR="0D3DE40F">
        <w:rPr>
          <w:rFonts w:ascii="Times New Roman" w:hAnsi="Times New Roman"/>
          <w:sz w:val="16"/>
          <w:szCs w:val="16"/>
        </w:rPr>
        <w:t xml:space="preserve"> with an </w:t>
      </w:r>
      <w:r w:rsidRPr="58A9F6DC" w:rsidR="1B21AE49">
        <w:rPr>
          <w:rFonts w:ascii="Times New Roman" w:hAnsi="Times New Roman"/>
          <w:sz w:val="16"/>
          <w:szCs w:val="16"/>
        </w:rPr>
        <w:t>estimated</w:t>
      </w:r>
      <w:r w:rsidRPr="58A9F6DC" w:rsidR="0D3DE40F">
        <w:rPr>
          <w:rFonts w:ascii="Times New Roman" w:hAnsi="Times New Roman"/>
          <w:sz w:val="16"/>
          <w:szCs w:val="16"/>
        </w:rPr>
        <w:t xml:space="preserve"> maximum of 892 pages</w:t>
      </w:r>
      <w:r w:rsidRPr="007F0F19" w:rsidR="0921E333">
        <w:rPr>
          <w:rFonts w:ascii="Times New Roman" w:hAnsi="Times New Roman"/>
          <w:sz w:val="16"/>
          <w:szCs w:val="16"/>
        </w:rPr>
        <w:t xml:space="preserve">. </w:t>
      </w:r>
      <w:r w:rsidRPr="58A9F6DC" w:rsidR="4BA00F60">
        <w:rPr>
          <w:rFonts w:ascii="Times New Roman" w:hAnsi="Times New Roman"/>
          <w:sz w:val="16"/>
          <w:szCs w:val="16"/>
        </w:rPr>
        <w:t xml:space="preserve">There would be no fee for protests that do not exceed 50 pages. </w:t>
      </w:r>
    </w:p>
    <w:p w:rsidR="58A9F6DC" w:rsidP="58A9F6DC" w14:paraId="69BEC433" w14:textId="61F76878">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rsidR="008A532C" w:rsidRPr="00ED00CF" w:rsidP="00CC365F" w14:paraId="1C9716E5" w14:textId="50019C8D">
      <w:pPr>
        <w:pStyle w:val="Heading2"/>
        <w:rPr>
          <w:sz w:val="20"/>
          <w:szCs w:val="20"/>
        </w:rPr>
      </w:pPr>
      <w:r w:rsidRPr="00ED00CF">
        <w:rPr>
          <w:sz w:val="20"/>
          <w:szCs w:val="20"/>
        </w:rPr>
        <w:t>14.</w:t>
      </w:r>
      <w:r w:rsidRPr="00ED00CF">
        <w:rPr>
          <w:sz w:val="20"/>
          <w:szCs w:val="20"/>
        </w:rPr>
        <w:tab/>
        <w:t>Provide estimates of annualized cost to the Federal government.</w:t>
      </w:r>
      <w:r w:rsidRPr="00ED00CF" w:rsidR="00E954E6">
        <w:rPr>
          <w:sz w:val="20"/>
          <w:szCs w:val="20"/>
        </w:rPr>
        <w:t xml:space="preserve"> </w:t>
      </w:r>
      <w:r w:rsidRPr="00ED00CF">
        <w:rPr>
          <w:sz w:val="20"/>
          <w:szCs w:val="20"/>
        </w:rPr>
        <w:t xml:space="preserve">Also, provide a description of the method used to estimate cost, which should include quantification of hours, operational expenses (such as equipment, overhead, printing, and support staff), and any other </w:t>
      </w:r>
      <w:r w:rsidRPr="00ED00CF">
        <w:rPr>
          <w:sz w:val="20"/>
          <w:szCs w:val="20"/>
        </w:rPr>
        <w:t>expense</w:t>
      </w:r>
      <w:r w:rsidRPr="00ED00CF">
        <w:rPr>
          <w:sz w:val="20"/>
          <w:szCs w:val="20"/>
        </w:rPr>
        <w:t xml:space="preserve"> that would not have been incurred without t</w:t>
      </w:r>
      <w:r w:rsidRPr="00ED00CF" w:rsidR="00310FB4">
        <w:rPr>
          <w:sz w:val="20"/>
          <w:szCs w:val="20"/>
        </w:rPr>
        <w:t>his collection of information.</w:t>
      </w:r>
    </w:p>
    <w:p w:rsidR="002053E0" w:rsidRPr="00ED00CF" w:rsidP="001C00D8" w14:paraId="1C36DAF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0"/>
          <w:szCs w:val="20"/>
        </w:rPr>
      </w:pPr>
    </w:p>
    <w:p w:rsidR="006E304E" w:rsidRPr="00ED00CF" w:rsidP="006E304E" w14:paraId="7F7B631C" w14:textId="1DAD57B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FF"/>
          <w:sz w:val="20"/>
          <w:szCs w:val="20"/>
          <w:u w:val="single"/>
        </w:rPr>
      </w:pPr>
      <w:r w:rsidRPr="00ED00CF">
        <w:rPr>
          <w:rFonts w:ascii="Times New Roman" w:hAnsi="Times New Roman"/>
          <w:sz w:val="20"/>
          <w:szCs w:val="20"/>
        </w:rPr>
        <w:t xml:space="preserve">The hourly cost to the Federal Government is based </w:t>
      </w:r>
      <w:r w:rsidRPr="00ED00CF" w:rsidR="002416D9">
        <w:rPr>
          <w:rFonts w:ascii="Times New Roman" w:hAnsi="Times New Roman"/>
          <w:sz w:val="20"/>
          <w:szCs w:val="20"/>
        </w:rPr>
        <w:t>on data</w:t>
      </w:r>
      <w:r w:rsidRPr="00ED00CF">
        <w:rPr>
          <w:rFonts w:ascii="Times New Roman" w:hAnsi="Times New Roman"/>
          <w:sz w:val="20"/>
          <w:szCs w:val="20"/>
        </w:rPr>
        <w:t xml:space="preserve"> at</w:t>
      </w:r>
      <w:r w:rsidRPr="00ED00CF" w:rsidR="000A4ADC">
        <w:rPr>
          <w:rFonts w:ascii="Times New Roman" w:hAnsi="Times New Roman"/>
          <w:sz w:val="20"/>
          <w:szCs w:val="20"/>
        </w:rPr>
        <w:t xml:space="preserve"> </w:t>
      </w:r>
      <w:hyperlink r:id="rId12" w:history="1">
        <w:r w:rsidRPr="00DD571C" w:rsidR="00131AB8">
          <w:rPr>
            <w:rStyle w:val="Hyperlink"/>
            <w:rFonts w:ascii="Times New Roman" w:hAnsi="Times New Roman"/>
            <w:sz w:val="20"/>
            <w:szCs w:val="20"/>
          </w:rPr>
          <w:t>http://www.opm.gov/policy-data-oversight/pay-leave/salaries-wages/2025/general-schedule/</w:t>
        </w:r>
      </w:hyperlink>
      <w:r w:rsidRPr="00ED00CF" w:rsidR="001C00D8">
        <w:rPr>
          <w:rStyle w:val="Hyperlink"/>
          <w:rFonts w:ascii="Times New Roman" w:hAnsi="Times New Roman"/>
          <w:sz w:val="20"/>
          <w:szCs w:val="20"/>
        </w:rPr>
        <w:t>.</w:t>
      </w:r>
      <w:r w:rsidRPr="00ED00CF" w:rsidR="000A4ADC">
        <w:rPr>
          <w:rFonts w:ascii="Times New Roman" w:hAnsi="Times New Roman"/>
          <w:sz w:val="20"/>
          <w:szCs w:val="20"/>
        </w:rPr>
        <w:t xml:space="preserve">The </w:t>
      </w:r>
      <w:r w:rsidRPr="00ED00CF">
        <w:rPr>
          <w:rFonts w:ascii="Times New Roman" w:hAnsi="Times New Roman"/>
          <w:sz w:val="20"/>
          <w:szCs w:val="20"/>
        </w:rPr>
        <w:t>benefits multiplier of 1.</w:t>
      </w:r>
      <w:r w:rsidRPr="00ED00CF" w:rsidR="000A4ADC">
        <w:rPr>
          <w:rFonts w:ascii="Times New Roman" w:hAnsi="Times New Roman"/>
          <w:sz w:val="20"/>
          <w:szCs w:val="20"/>
        </w:rPr>
        <w:t>6</w:t>
      </w:r>
      <w:r w:rsidRPr="00ED00CF">
        <w:rPr>
          <w:rFonts w:ascii="Times New Roman" w:hAnsi="Times New Roman"/>
          <w:sz w:val="20"/>
          <w:szCs w:val="20"/>
        </w:rPr>
        <w:t xml:space="preserve"> is implied by information at </w:t>
      </w:r>
      <w:hyperlink r:id="rId9" w:history="1">
        <w:r w:rsidRPr="00ED00CF" w:rsidR="000A4ADC">
          <w:rPr>
            <w:rStyle w:val="Hyperlink"/>
            <w:rFonts w:ascii="Times New Roman" w:hAnsi="Times New Roman"/>
            <w:sz w:val="20"/>
            <w:szCs w:val="20"/>
          </w:rPr>
          <w:t>http://www.bls.gov/news.release/ecec.nr0.htm</w:t>
        </w:r>
      </w:hyperlink>
      <w:r w:rsidRPr="00ED00CF">
        <w:rPr>
          <w:rFonts w:ascii="Times New Roman" w:hAnsi="Times New Roman"/>
          <w:sz w:val="20"/>
          <w:szCs w:val="20"/>
        </w:rPr>
        <w:t>.</w:t>
      </w:r>
    </w:p>
    <w:p w:rsidR="00F84635" w:rsidP="00781AFD" w14:paraId="29CDBF59" w14:textId="3D698E0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sz w:val="20"/>
          <w:szCs w:val="20"/>
        </w:rPr>
      </w:pPr>
    </w:p>
    <w:p w:rsidR="006E304E" w:rsidRPr="00ED00CF" w:rsidP="00781AFD" w14:paraId="0278CB69" w14:textId="4881776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0"/>
          <w:szCs w:val="20"/>
        </w:rPr>
      </w:pPr>
      <w:r w:rsidRPr="00ED00CF">
        <w:rPr>
          <w:rFonts w:ascii="Times New Roman" w:hAnsi="Times New Roman"/>
          <w:b/>
          <w:sz w:val="20"/>
          <w:szCs w:val="20"/>
        </w:rPr>
        <w:t>Table 14 -1</w:t>
      </w:r>
      <w:r w:rsidRPr="00ED00CF" w:rsidR="00781AFD">
        <w:rPr>
          <w:rFonts w:ascii="Times New Roman" w:hAnsi="Times New Roman"/>
          <w:b/>
          <w:sz w:val="20"/>
          <w:szCs w:val="20"/>
        </w:rPr>
        <w:t xml:space="preserve">: </w:t>
      </w:r>
      <w:r w:rsidRPr="00ED00CF">
        <w:rPr>
          <w:rFonts w:ascii="Times New Roman" w:hAnsi="Times New Roman"/>
          <w:b/>
          <w:sz w:val="20"/>
          <w:szCs w:val="20"/>
        </w:rPr>
        <w:t>Hourly Cost Calculation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70"/>
        <w:gridCol w:w="6"/>
        <w:gridCol w:w="1632"/>
        <w:gridCol w:w="1145"/>
        <w:gridCol w:w="1496"/>
        <w:gridCol w:w="1476"/>
        <w:gridCol w:w="1383"/>
        <w:gridCol w:w="1042"/>
      </w:tblGrid>
      <w:tr w14:paraId="0E02D678" w14:textId="77777777" w:rsidTr="73A9246C">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blHeader/>
        </w:trPr>
        <w:tc>
          <w:tcPr>
            <w:tcW w:w="1185" w:type="dxa"/>
            <w:gridSpan w:val="2"/>
            <w:shd w:val="clear" w:color="auto" w:fill="BFBFBF" w:themeFill="background1" w:themeFillShade="BF"/>
            <w:vAlign w:val="center"/>
          </w:tcPr>
          <w:p w:rsidR="00DA0E10" w:rsidRPr="00781AFD" w:rsidP="00881A60" w14:paraId="6F203536"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18"/>
                <w:szCs w:val="18"/>
              </w:rPr>
            </w:pPr>
            <w:r w:rsidRPr="00781AFD">
              <w:rPr>
                <w:rFonts w:ascii="Times New Roman" w:hAnsi="Times New Roman"/>
                <w:b/>
                <w:sz w:val="18"/>
                <w:szCs w:val="18"/>
              </w:rPr>
              <w:t>Position</w:t>
            </w:r>
          </w:p>
        </w:tc>
        <w:tc>
          <w:tcPr>
            <w:tcW w:w="1710" w:type="dxa"/>
            <w:shd w:val="clear" w:color="auto" w:fill="BFBFBF" w:themeFill="background1" w:themeFillShade="BF"/>
            <w:vAlign w:val="center"/>
          </w:tcPr>
          <w:p w:rsidR="00DA0E10" w:rsidRPr="00781AFD" w:rsidP="00881A60" w14:paraId="41A6500E"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18"/>
                <w:szCs w:val="18"/>
              </w:rPr>
            </w:pPr>
            <w:r w:rsidRPr="00781AFD">
              <w:rPr>
                <w:rFonts w:ascii="Times New Roman" w:hAnsi="Times New Roman"/>
                <w:b/>
                <w:sz w:val="18"/>
                <w:szCs w:val="18"/>
              </w:rPr>
              <w:t>Pay Grade</w:t>
            </w:r>
          </w:p>
        </w:tc>
        <w:tc>
          <w:tcPr>
            <w:tcW w:w="1170" w:type="dxa"/>
            <w:shd w:val="clear" w:color="auto" w:fill="BFBFBF" w:themeFill="background1" w:themeFillShade="BF"/>
            <w:vAlign w:val="center"/>
          </w:tcPr>
          <w:p w:rsidR="00DA0E10" w:rsidRPr="00781AFD" w:rsidP="00881A60" w14:paraId="245A082C"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18"/>
                <w:szCs w:val="18"/>
              </w:rPr>
            </w:pPr>
            <w:r w:rsidRPr="00781AFD">
              <w:rPr>
                <w:rFonts w:ascii="Times New Roman" w:hAnsi="Times New Roman"/>
                <w:b/>
                <w:sz w:val="18"/>
                <w:szCs w:val="18"/>
              </w:rPr>
              <w:t>Hourly Pay Rate ($/hour)</w:t>
            </w:r>
          </w:p>
        </w:tc>
        <w:tc>
          <w:tcPr>
            <w:tcW w:w="1530" w:type="dxa"/>
            <w:shd w:val="clear" w:color="auto" w:fill="BFBFBF" w:themeFill="background1" w:themeFillShade="BF"/>
            <w:vAlign w:val="center"/>
          </w:tcPr>
          <w:p w:rsidR="00DA0E10" w:rsidRPr="00781AFD" w:rsidP="00881A60" w14:paraId="013DD8AE" w14:textId="6C060604">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18"/>
                <w:szCs w:val="18"/>
              </w:rPr>
            </w:pPr>
            <w:r w:rsidRPr="006F72DE">
              <w:rPr>
                <w:rFonts w:ascii="Times New Roman" w:hAnsi="Times New Roman"/>
                <w:b/>
                <w:bCs/>
                <w:sz w:val="20"/>
                <w:szCs w:val="20"/>
              </w:rPr>
              <w:t>Benefits Multiplier</w:t>
            </w:r>
          </w:p>
        </w:tc>
        <w:tc>
          <w:tcPr>
            <w:tcW w:w="1530" w:type="dxa"/>
            <w:shd w:val="clear" w:color="auto" w:fill="BFBFBF" w:themeFill="background1" w:themeFillShade="BF"/>
            <w:vAlign w:val="center"/>
          </w:tcPr>
          <w:p w:rsidR="00DA0E10" w:rsidRPr="00781AFD" w:rsidP="00881A60" w14:paraId="2CF846B8" w14:textId="66C7275C">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18"/>
                <w:szCs w:val="18"/>
              </w:rPr>
            </w:pPr>
            <w:r w:rsidRPr="00781AFD">
              <w:rPr>
                <w:rFonts w:ascii="Times New Roman" w:hAnsi="Times New Roman"/>
                <w:b/>
                <w:sz w:val="18"/>
                <w:szCs w:val="18"/>
              </w:rPr>
              <w:t>Hourly Rate with Benefits</w:t>
            </w:r>
          </w:p>
          <w:p w:rsidR="00DA0E10" w:rsidRPr="00781AFD" w:rsidP="000A4ADC" w14:paraId="4A6D606C" w14:textId="06C4EBF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18"/>
                <w:szCs w:val="18"/>
              </w:rPr>
            </w:pPr>
          </w:p>
        </w:tc>
        <w:tc>
          <w:tcPr>
            <w:tcW w:w="1402" w:type="dxa"/>
            <w:shd w:val="clear" w:color="auto" w:fill="BFBFBF" w:themeFill="background1" w:themeFillShade="BF"/>
            <w:vAlign w:val="center"/>
          </w:tcPr>
          <w:p w:rsidR="00DA0E10" w:rsidRPr="00781AFD" w:rsidP="00881A60" w14:paraId="6118F104"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18"/>
                <w:szCs w:val="18"/>
              </w:rPr>
            </w:pPr>
            <w:r w:rsidRPr="00781AFD">
              <w:rPr>
                <w:rFonts w:ascii="Times New Roman" w:hAnsi="Times New Roman"/>
                <w:b/>
                <w:sz w:val="18"/>
                <w:szCs w:val="18"/>
              </w:rPr>
              <w:t>Percent of the Information Collection Completed by Each Occupation</w:t>
            </w:r>
          </w:p>
        </w:tc>
        <w:tc>
          <w:tcPr>
            <w:tcW w:w="1049" w:type="dxa"/>
            <w:shd w:val="clear" w:color="auto" w:fill="BFBFBF" w:themeFill="background1" w:themeFillShade="BF"/>
            <w:vAlign w:val="center"/>
          </w:tcPr>
          <w:p w:rsidR="00DA0E10" w:rsidRPr="00781AFD" w:rsidP="00881A60" w14:paraId="14E301DE"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18"/>
                <w:szCs w:val="18"/>
              </w:rPr>
            </w:pPr>
            <w:r w:rsidRPr="00781AFD">
              <w:rPr>
                <w:rFonts w:ascii="Times New Roman" w:hAnsi="Times New Roman"/>
                <w:b/>
                <w:sz w:val="18"/>
                <w:szCs w:val="18"/>
              </w:rPr>
              <w:t>Weighted Avg. ($/hour)</w:t>
            </w:r>
          </w:p>
          <w:p w:rsidR="00DA0E10" w:rsidRPr="00781AFD" w:rsidP="00881A60" w14:paraId="63CB6C33"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18"/>
                <w:szCs w:val="18"/>
              </w:rPr>
            </w:pPr>
          </w:p>
        </w:tc>
      </w:tr>
      <w:tr w14:paraId="67C3E7BA" w14:textId="77777777" w:rsidTr="00E07381">
        <w:tblPrEx>
          <w:tblW w:w="0" w:type="auto"/>
          <w:tblLook w:val="04A0"/>
        </w:tblPrEx>
        <w:trPr>
          <w:cantSplit/>
        </w:trPr>
        <w:tc>
          <w:tcPr>
            <w:tcW w:w="1185" w:type="dxa"/>
            <w:gridSpan w:val="2"/>
            <w:vAlign w:val="center"/>
          </w:tcPr>
          <w:p w:rsidR="00DA0E10" w:rsidRPr="00781AFD" w:rsidP="73A9246C" w14:paraId="44D763AD" w14:textId="6D0DD43D">
            <w:pPr>
              <w:tabs>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18"/>
                <w:szCs w:val="18"/>
              </w:rPr>
            </w:pPr>
            <w:r w:rsidRPr="73A9246C">
              <w:rPr>
                <w:rFonts w:ascii="Times New Roman" w:hAnsi="Times New Roman"/>
                <w:sz w:val="18"/>
                <w:szCs w:val="18"/>
              </w:rPr>
              <w:t>Technical Specialist</w:t>
            </w:r>
            <w:r w:rsidRPr="73A9246C" w:rsidR="00C0231D">
              <w:rPr>
                <w:rFonts w:ascii="Times New Roman" w:hAnsi="Times New Roman"/>
                <w:sz w:val="18"/>
                <w:szCs w:val="18"/>
              </w:rPr>
              <w:t xml:space="preserve"> </w:t>
            </w:r>
          </w:p>
        </w:tc>
        <w:tc>
          <w:tcPr>
            <w:tcW w:w="1710" w:type="dxa"/>
            <w:vAlign w:val="center"/>
          </w:tcPr>
          <w:p w:rsidR="00DA0E10" w:rsidRPr="00781AFD" w:rsidP="73A9246C" w14:paraId="1617CB7A" w14:textId="40200E29">
            <w:pPr>
              <w:tabs>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18"/>
                <w:szCs w:val="18"/>
              </w:rPr>
            </w:pPr>
            <w:r w:rsidRPr="00781AFD">
              <w:rPr>
                <w:rFonts w:ascii="Times New Roman" w:hAnsi="Times New Roman"/>
                <w:sz w:val="18"/>
                <w:szCs w:val="18"/>
              </w:rPr>
              <w:t>GS-</w:t>
            </w:r>
            <w:r w:rsidRPr="73A9246C">
              <w:rPr>
                <w:rFonts w:ascii="Times New Roman" w:hAnsi="Times New Roman"/>
                <w:sz w:val="18"/>
                <w:szCs w:val="18"/>
              </w:rPr>
              <w:t>1</w:t>
            </w:r>
            <w:r w:rsidRPr="73A9246C" w:rsidR="28AAD732">
              <w:rPr>
                <w:rFonts w:ascii="Times New Roman" w:hAnsi="Times New Roman"/>
                <w:sz w:val="18"/>
                <w:szCs w:val="18"/>
              </w:rPr>
              <w:t>2</w:t>
            </w:r>
            <w:r w:rsidRPr="00781AFD">
              <w:rPr>
                <w:rFonts w:ascii="Times New Roman" w:hAnsi="Times New Roman"/>
                <w:sz w:val="18"/>
                <w:szCs w:val="18"/>
              </w:rPr>
              <w:t xml:space="preserve">, Step </w:t>
            </w:r>
            <w:r w:rsidRPr="73A9246C" w:rsidR="28AAD732">
              <w:rPr>
                <w:rFonts w:ascii="Times New Roman" w:hAnsi="Times New Roman"/>
                <w:sz w:val="18"/>
                <w:szCs w:val="18"/>
              </w:rPr>
              <w:t>5</w:t>
            </w:r>
          </w:p>
        </w:tc>
        <w:tc>
          <w:tcPr>
            <w:tcW w:w="1170" w:type="dxa"/>
            <w:vAlign w:val="center"/>
          </w:tcPr>
          <w:p w:rsidR="00DA0E10" w:rsidRPr="00781AFD" w:rsidP="73A9246C" w14:paraId="29E5C2D1" w14:textId="752B03E0">
            <w:pPr>
              <w:tabs>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sidRPr="00781AFD">
              <w:rPr>
                <w:rFonts w:ascii="Times New Roman" w:hAnsi="Times New Roman"/>
                <w:sz w:val="18"/>
                <w:szCs w:val="18"/>
              </w:rPr>
              <w:t>$</w:t>
            </w:r>
            <w:r w:rsidR="00D0715C">
              <w:rPr>
                <w:rFonts w:ascii="Times New Roman" w:hAnsi="Times New Roman"/>
                <w:sz w:val="18"/>
                <w:szCs w:val="18"/>
              </w:rPr>
              <w:t>41.</w:t>
            </w:r>
            <w:r w:rsidRPr="73A9246C" w:rsidR="214A9DEF">
              <w:rPr>
                <w:rFonts w:ascii="Times New Roman" w:hAnsi="Times New Roman"/>
                <w:sz w:val="18"/>
                <w:szCs w:val="18"/>
              </w:rPr>
              <w:t>11</w:t>
            </w:r>
          </w:p>
        </w:tc>
        <w:tc>
          <w:tcPr>
            <w:tcW w:w="1530" w:type="dxa"/>
            <w:vAlign w:val="center"/>
          </w:tcPr>
          <w:p w:rsidR="00DA0E10" w:rsidRPr="00781AFD" w:rsidP="00E07381" w14:paraId="4EB364E6" w14:textId="318B6E2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Pr>
                <w:rFonts w:ascii="Times New Roman" w:hAnsi="Times New Roman"/>
                <w:sz w:val="18"/>
                <w:szCs w:val="18"/>
              </w:rPr>
              <w:t>1.6</w:t>
            </w:r>
          </w:p>
        </w:tc>
        <w:tc>
          <w:tcPr>
            <w:tcW w:w="1530" w:type="dxa"/>
            <w:vAlign w:val="center"/>
          </w:tcPr>
          <w:p w:rsidR="00DA0E10" w:rsidRPr="00781AFD" w:rsidP="73A9246C" w14:paraId="6E6F87F1" w14:textId="16BCA46D">
            <w:pPr>
              <w:tabs>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sidRPr="00781AFD">
              <w:rPr>
                <w:rFonts w:ascii="Times New Roman" w:hAnsi="Times New Roman"/>
                <w:sz w:val="18"/>
                <w:szCs w:val="18"/>
              </w:rPr>
              <w:t>$</w:t>
            </w:r>
            <w:r w:rsidR="003E0173">
              <w:rPr>
                <w:rFonts w:ascii="Times New Roman" w:hAnsi="Times New Roman"/>
                <w:sz w:val="18"/>
                <w:szCs w:val="18"/>
              </w:rPr>
              <w:t>65.</w:t>
            </w:r>
            <w:r w:rsidRPr="73A9246C" w:rsidR="3B7152FE">
              <w:rPr>
                <w:rFonts w:ascii="Times New Roman" w:hAnsi="Times New Roman"/>
                <w:sz w:val="18"/>
                <w:szCs w:val="18"/>
              </w:rPr>
              <w:t>78</w:t>
            </w:r>
          </w:p>
        </w:tc>
        <w:tc>
          <w:tcPr>
            <w:tcW w:w="1402" w:type="dxa"/>
            <w:vAlign w:val="center"/>
          </w:tcPr>
          <w:p w:rsidR="00DA0E10" w:rsidRPr="00781AFD" w:rsidP="73A9246C" w14:paraId="47BF1559" w14:textId="3B256D23">
            <w:pPr>
              <w:tabs>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sidRPr="73A9246C">
              <w:rPr>
                <w:rFonts w:ascii="Times New Roman" w:hAnsi="Times New Roman"/>
                <w:sz w:val="18"/>
                <w:szCs w:val="18"/>
              </w:rPr>
              <w:t>33</w:t>
            </w:r>
            <w:r w:rsidRPr="73A9246C" w:rsidR="00C0231D">
              <w:rPr>
                <w:rFonts w:ascii="Times New Roman" w:hAnsi="Times New Roman"/>
                <w:sz w:val="18"/>
                <w:szCs w:val="18"/>
              </w:rPr>
              <w:t>%</w:t>
            </w:r>
          </w:p>
        </w:tc>
        <w:tc>
          <w:tcPr>
            <w:tcW w:w="1049" w:type="dxa"/>
            <w:vAlign w:val="center"/>
          </w:tcPr>
          <w:p w:rsidR="00DA0E10" w:rsidRPr="00781AFD" w:rsidP="73A9246C" w14:paraId="08A2C749" w14:textId="0D9FA298">
            <w:pPr>
              <w:tabs>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sidRPr="00781AFD">
              <w:rPr>
                <w:rFonts w:ascii="Times New Roman" w:hAnsi="Times New Roman"/>
                <w:sz w:val="18"/>
                <w:szCs w:val="18"/>
              </w:rPr>
              <w:t>$</w:t>
            </w:r>
            <w:r w:rsidR="006D17D8">
              <w:rPr>
                <w:rFonts w:ascii="Times New Roman" w:hAnsi="Times New Roman"/>
                <w:sz w:val="18"/>
                <w:szCs w:val="18"/>
              </w:rPr>
              <w:t>21.</w:t>
            </w:r>
            <w:r w:rsidRPr="73A9246C" w:rsidR="2D127BEF">
              <w:rPr>
                <w:rFonts w:ascii="Times New Roman" w:hAnsi="Times New Roman"/>
                <w:sz w:val="18"/>
                <w:szCs w:val="18"/>
              </w:rPr>
              <w:t>71</w:t>
            </w:r>
          </w:p>
        </w:tc>
      </w:tr>
      <w:tr w14:paraId="04931971" w14:textId="77777777" w:rsidTr="73A9246C">
        <w:tblPrEx>
          <w:tblW w:w="0" w:type="auto"/>
          <w:tblLook w:val="04A0"/>
        </w:tblPrEx>
        <w:trPr>
          <w:cantSplit/>
          <w:trHeight w:val="300"/>
        </w:trPr>
        <w:tc>
          <w:tcPr>
            <w:tcW w:w="1185" w:type="dxa"/>
            <w:gridSpan w:val="2"/>
            <w:vAlign w:val="center"/>
          </w:tcPr>
          <w:p w:rsidR="005D25FC" w:rsidRPr="00781AFD" w:rsidP="73A9246C" w14:paraId="6A3B20C2" w14:textId="7A50684A">
            <w:pPr>
              <w:tabs>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18"/>
                <w:szCs w:val="18"/>
              </w:rPr>
            </w:pPr>
            <w:r>
              <w:rPr>
                <w:rFonts w:ascii="Times New Roman" w:hAnsi="Times New Roman"/>
                <w:sz w:val="18"/>
                <w:szCs w:val="18"/>
              </w:rPr>
              <w:t>Resource Specialist</w:t>
            </w:r>
          </w:p>
        </w:tc>
        <w:tc>
          <w:tcPr>
            <w:tcW w:w="1710" w:type="dxa"/>
            <w:vAlign w:val="center"/>
          </w:tcPr>
          <w:p w:rsidR="005D25FC" w:rsidRPr="00781AFD" w:rsidP="73A9246C" w14:paraId="7964A257" w14:textId="056A23BD">
            <w:pPr>
              <w:tabs>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18"/>
                <w:szCs w:val="18"/>
              </w:rPr>
            </w:pPr>
            <w:r>
              <w:rPr>
                <w:rFonts w:ascii="Times New Roman" w:hAnsi="Times New Roman"/>
                <w:sz w:val="18"/>
                <w:szCs w:val="18"/>
              </w:rPr>
              <w:t>GS-11, Step 5</w:t>
            </w:r>
          </w:p>
        </w:tc>
        <w:tc>
          <w:tcPr>
            <w:tcW w:w="1170" w:type="dxa"/>
            <w:vAlign w:val="center"/>
          </w:tcPr>
          <w:p w:rsidR="005D25FC" w:rsidRPr="00781AFD" w:rsidP="73A9246C" w14:paraId="24B4EB14" w14:textId="57F89FEA">
            <w:pPr>
              <w:tabs>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Pr>
                <w:rFonts w:ascii="Times New Roman" w:hAnsi="Times New Roman"/>
                <w:sz w:val="18"/>
                <w:szCs w:val="18"/>
              </w:rPr>
              <w:t>$34.30</w:t>
            </w:r>
          </w:p>
        </w:tc>
        <w:tc>
          <w:tcPr>
            <w:tcW w:w="1530" w:type="dxa"/>
            <w:vAlign w:val="center"/>
          </w:tcPr>
          <w:p w:rsidR="005D25FC" w:rsidP="73A9246C" w14:paraId="4BAB2153" w14:textId="701F023A">
            <w:pPr>
              <w:tabs>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Pr>
                <w:rFonts w:ascii="Times New Roman" w:hAnsi="Times New Roman"/>
                <w:sz w:val="18"/>
                <w:szCs w:val="18"/>
              </w:rPr>
              <w:t>1.6</w:t>
            </w:r>
          </w:p>
        </w:tc>
        <w:tc>
          <w:tcPr>
            <w:tcW w:w="1530" w:type="dxa"/>
            <w:vAlign w:val="center"/>
          </w:tcPr>
          <w:p w:rsidR="005D25FC" w:rsidRPr="00781AFD" w:rsidP="73A9246C" w14:paraId="7F2A5CCB" w14:textId="73CEF3FF">
            <w:pPr>
              <w:tabs>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Pr>
                <w:rFonts w:ascii="Times New Roman" w:hAnsi="Times New Roman"/>
                <w:sz w:val="18"/>
                <w:szCs w:val="18"/>
              </w:rPr>
              <w:t>$54.88</w:t>
            </w:r>
          </w:p>
        </w:tc>
        <w:tc>
          <w:tcPr>
            <w:tcW w:w="1402" w:type="dxa"/>
            <w:vAlign w:val="center"/>
          </w:tcPr>
          <w:p w:rsidR="005D25FC" w:rsidRPr="00781AFD" w:rsidP="73A9246C" w14:paraId="1736CA50" w14:textId="3DB53D32">
            <w:pPr>
              <w:tabs>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Pr>
                <w:rFonts w:ascii="Times New Roman" w:hAnsi="Times New Roman"/>
                <w:sz w:val="18"/>
                <w:szCs w:val="18"/>
              </w:rPr>
              <w:t>33%</w:t>
            </w:r>
          </w:p>
        </w:tc>
        <w:tc>
          <w:tcPr>
            <w:tcW w:w="1049" w:type="dxa"/>
            <w:vAlign w:val="center"/>
          </w:tcPr>
          <w:p w:rsidR="005D25FC" w:rsidRPr="00781AFD" w:rsidP="73A9246C" w14:paraId="2BFC2E90" w14:textId="7A8761B0">
            <w:pPr>
              <w:tabs>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Pr>
                <w:rFonts w:ascii="Times New Roman" w:hAnsi="Times New Roman"/>
                <w:sz w:val="18"/>
                <w:szCs w:val="18"/>
              </w:rPr>
              <w:t>$18.11</w:t>
            </w:r>
          </w:p>
        </w:tc>
      </w:tr>
      <w:tr w14:paraId="3CA503BA" w14:textId="77777777" w:rsidTr="00E07381">
        <w:tblPrEx>
          <w:tblW w:w="0" w:type="auto"/>
          <w:tblLook w:val="04A0"/>
        </w:tblPrEx>
        <w:trPr>
          <w:cantSplit/>
        </w:trPr>
        <w:tc>
          <w:tcPr>
            <w:tcW w:w="1185" w:type="dxa"/>
            <w:gridSpan w:val="2"/>
            <w:vAlign w:val="center"/>
          </w:tcPr>
          <w:p w:rsidR="00DA0E10" w:rsidRPr="00781AFD" w:rsidP="00BA4F54" w14:paraId="619DAADA"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18"/>
                <w:szCs w:val="18"/>
              </w:rPr>
            </w:pPr>
            <w:r w:rsidRPr="00781AFD">
              <w:rPr>
                <w:rFonts w:ascii="Times New Roman" w:hAnsi="Times New Roman"/>
                <w:sz w:val="18"/>
                <w:szCs w:val="18"/>
              </w:rPr>
              <w:t>Land Law Examiner and/or Legal Instruments Examiner</w:t>
            </w:r>
          </w:p>
        </w:tc>
        <w:tc>
          <w:tcPr>
            <w:tcW w:w="1710" w:type="dxa"/>
            <w:vAlign w:val="center"/>
          </w:tcPr>
          <w:p w:rsidR="00DA0E10" w:rsidRPr="00781AFD" w:rsidP="73A9246C" w14:paraId="78B056B1" w14:textId="3F6B8FD7">
            <w:pPr>
              <w:tabs>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18"/>
                <w:szCs w:val="18"/>
              </w:rPr>
            </w:pPr>
            <w:r w:rsidRPr="00781AFD">
              <w:rPr>
                <w:rFonts w:ascii="Times New Roman" w:hAnsi="Times New Roman"/>
                <w:sz w:val="18"/>
                <w:szCs w:val="18"/>
              </w:rPr>
              <w:t xml:space="preserve">GS-9, Step </w:t>
            </w:r>
            <w:r w:rsidRPr="73A9246C" w:rsidR="28AAD732">
              <w:rPr>
                <w:rFonts w:ascii="Times New Roman" w:hAnsi="Times New Roman"/>
                <w:sz w:val="18"/>
                <w:szCs w:val="18"/>
              </w:rPr>
              <w:t>5</w:t>
            </w:r>
          </w:p>
        </w:tc>
        <w:tc>
          <w:tcPr>
            <w:tcW w:w="1170" w:type="dxa"/>
            <w:vAlign w:val="center"/>
          </w:tcPr>
          <w:p w:rsidR="00DA0E10" w:rsidRPr="00781AFD" w:rsidP="73A9246C" w14:paraId="1FFABAEA" w14:textId="5E7E9812">
            <w:pPr>
              <w:tabs>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sidRPr="00781AFD">
              <w:rPr>
                <w:rFonts w:ascii="Times New Roman" w:hAnsi="Times New Roman"/>
                <w:sz w:val="18"/>
                <w:szCs w:val="18"/>
              </w:rPr>
              <w:t>$</w:t>
            </w:r>
            <w:r w:rsidR="00490B9A">
              <w:rPr>
                <w:rFonts w:ascii="Times New Roman" w:hAnsi="Times New Roman"/>
                <w:sz w:val="18"/>
                <w:szCs w:val="18"/>
              </w:rPr>
              <w:t>28.</w:t>
            </w:r>
            <w:r w:rsidRPr="73A9246C" w:rsidR="49D8F36E">
              <w:rPr>
                <w:rFonts w:ascii="Times New Roman" w:hAnsi="Times New Roman"/>
                <w:sz w:val="18"/>
                <w:szCs w:val="18"/>
              </w:rPr>
              <w:t>35</w:t>
            </w:r>
          </w:p>
        </w:tc>
        <w:tc>
          <w:tcPr>
            <w:tcW w:w="1530" w:type="dxa"/>
            <w:vAlign w:val="center"/>
          </w:tcPr>
          <w:p w:rsidR="00DA0E10" w:rsidRPr="00781AFD" w:rsidP="00E07381" w14:paraId="2DCBC725" w14:textId="7A1C95C5">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Pr>
                <w:rFonts w:ascii="Times New Roman" w:hAnsi="Times New Roman"/>
                <w:sz w:val="18"/>
                <w:szCs w:val="18"/>
              </w:rPr>
              <w:t>1.6</w:t>
            </w:r>
          </w:p>
        </w:tc>
        <w:tc>
          <w:tcPr>
            <w:tcW w:w="1530" w:type="dxa"/>
            <w:vAlign w:val="center"/>
          </w:tcPr>
          <w:p w:rsidR="00DA0E10" w:rsidRPr="00781AFD" w:rsidP="73A9246C" w14:paraId="70E16B29" w14:textId="160918D1">
            <w:pPr>
              <w:tabs>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sidRPr="00781AFD">
              <w:rPr>
                <w:rFonts w:ascii="Times New Roman" w:hAnsi="Times New Roman"/>
                <w:sz w:val="18"/>
                <w:szCs w:val="18"/>
              </w:rPr>
              <w:t>$</w:t>
            </w:r>
            <w:r w:rsidR="00321400">
              <w:rPr>
                <w:rFonts w:ascii="Times New Roman" w:hAnsi="Times New Roman"/>
                <w:sz w:val="18"/>
                <w:szCs w:val="18"/>
              </w:rPr>
              <w:t>45.</w:t>
            </w:r>
            <w:r w:rsidRPr="73A9246C" w:rsidR="643A06DA">
              <w:rPr>
                <w:rFonts w:ascii="Times New Roman" w:hAnsi="Times New Roman"/>
                <w:sz w:val="18"/>
                <w:szCs w:val="18"/>
              </w:rPr>
              <w:t>36</w:t>
            </w:r>
          </w:p>
        </w:tc>
        <w:tc>
          <w:tcPr>
            <w:tcW w:w="1402" w:type="dxa"/>
            <w:vAlign w:val="center"/>
          </w:tcPr>
          <w:p w:rsidR="00DA0E10" w:rsidRPr="00781AFD" w:rsidP="73A9246C" w14:paraId="12D90107" w14:textId="7620ECFD">
            <w:pPr>
              <w:tabs>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sidRPr="73A9246C">
              <w:rPr>
                <w:rFonts w:ascii="Times New Roman" w:hAnsi="Times New Roman"/>
                <w:sz w:val="18"/>
                <w:szCs w:val="18"/>
              </w:rPr>
              <w:t>34</w:t>
            </w:r>
            <w:r w:rsidRPr="73A9246C" w:rsidR="00C0231D">
              <w:rPr>
                <w:rFonts w:ascii="Times New Roman" w:hAnsi="Times New Roman"/>
                <w:sz w:val="18"/>
                <w:szCs w:val="18"/>
              </w:rPr>
              <w:t>%</w:t>
            </w:r>
          </w:p>
        </w:tc>
        <w:tc>
          <w:tcPr>
            <w:tcW w:w="1049" w:type="dxa"/>
            <w:vAlign w:val="center"/>
          </w:tcPr>
          <w:p w:rsidR="00DA0E10" w:rsidRPr="00781AFD" w:rsidP="73A9246C" w14:paraId="2A092A35" w14:textId="35C6B665">
            <w:pPr>
              <w:tabs>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sidRPr="00781AFD">
              <w:rPr>
                <w:rFonts w:ascii="Times New Roman" w:hAnsi="Times New Roman"/>
                <w:sz w:val="18"/>
                <w:szCs w:val="18"/>
              </w:rPr>
              <w:t>$</w:t>
            </w:r>
            <w:r w:rsidR="00A9789E">
              <w:rPr>
                <w:rFonts w:ascii="Times New Roman" w:hAnsi="Times New Roman"/>
                <w:sz w:val="18"/>
                <w:szCs w:val="18"/>
              </w:rPr>
              <w:t>15.</w:t>
            </w:r>
            <w:r w:rsidRPr="73A9246C" w:rsidR="6306B6CE">
              <w:rPr>
                <w:rFonts w:ascii="Times New Roman" w:hAnsi="Times New Roman"/>
                <w:sz w:val="18"/>
                <w:szCs w:val="18"/>
              </w:rPr>
              <w:t>42</w:t>
            </w:r>
          </w:p>
        </w:tc>
      </w:tr>
      <w:tr w14:paraId="329CD863" w14:textId="77777777" w:rsidTr="00DA0E10">
        <w:tblPrEx>
          <w:tblW w:w="0" w:type="auto"/>
          <w:tblLook w:val="04A0"/>
        </w:tblPrEx>
        <w:tc>
          <w:tcPr>
            <w:tcW w:w="1179" w:type="dxa"/>
          </w:tcPr>
          <w:p w:rsidR="00DA0E10" w:rsidRPr="00781AFD" w:rsidP="00781AFD" w14:paraId="7BBA3F1B"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b/>
                <w:sz w:val="18"/>
                <w:szCs w:val="18"/>
              </w:rPr>
            </w:pPr>
          </w:p>
        </w:tc>
        <w:tc>
          <w:tcPr>
            <w:tcW w:w="8397" w:type="dxa"/>
            <w:gridSpan w:val="7"/>
            <w:vAlign w:val="center"/>
          </w:tcPr>
          <w:p w:rsidR="00DA0E10" w:rsidRPr="00781AFD" w:rsidP="73A9246C" w14:paraId="218CD38F" w14:textId="22DC85F5">
            <w:pPr>
              <w:tabs>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b/>
                <w:sz w:val="18"/>
                <w:szCs w:val="18"/>
              </w:rPr>
            </w:pPr>
            <w:r w:rsidRPr="00781AFD">
              <w:rPr>
                <w:rFonts w:ascii="Times New Roman" w:hAnsi="Times New Roman"/>
                <w:b/>
                <w:sz w:val="18"/>
                <w:szCs w:val="18"/>
              </w:rPr>
              <w:t>Total Weighted Average: $</w:t>
            </w:r>
            <w:r w:rsidR="008B333F">
              <w:rPr>
                <w:rFonts w:ascii="Times New Roman" w:hAnsi="Times New Roman"/>
                <w:b/>
                <w:sz w:val="18"/>
                <w:szCs w:val="18"/>
              </w:rPr>
              <w:t>55.</w:t>
            </w:r>
            <w:r w:rsidRPr="73A9246C" w:rsidR="1556910E">
              <w:rPr>
                <w:rFonts w:ascii="Times New Roman" w:hAnsi="Times New Roman"/>
                <w:b/>
                <w:bCs/>
                <w:sz w:val="18"/>
                <w:szCs w:val="18"/>
              </w:rPr>
              <w:t>24</w:t>
            </w:r>
          </w:p>
        </w:tc>
      </w:tr>
    </w:tbl>
    <w:p w:rsidR="006E304E" w:rsidRPr="00B7531F" w:rsidP="001602CA" w14:paraId="462613B9" w14:textId="77777777">
      <w:pPr>
        <w:tabs>
          <w:tab w:val="left" w:pos="-1440"/>
          <w:tab w:val="left" w:pos="-720"/>
          <w:tab w:val="left" w:pos="0"/>
          <w:tab w:val="left" w:pos="548"/>
          <w:tab w:val="left" w:pos="1028"/>
          <w:tab w:val="left" w:pos="1549"/>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1D7D7E" w:rsidRPr="00ED00CF" w:rsidP="006E304E" w14:paraId="3DCF7E2B" w14:textId="7858F94A">
      <w:pPr>
        <w:pStyle w:val="FootnoteText"/>
        <w:spacing w:after="0" w:line="240" w:lineRule="auto"/>
        <w:rPr>
          <w:rFonts w:ascii="Times New Roman" w:hAnsi="Times New Roman"/>
        </w:rPr>
      </w:pPr>
      <w:r w:rsidRPr="00ED00CF">
        <w:rPr>
          <w:rFonts w:ascii="Times New Roman" w:hAnsi="Times New Roman"/>
        </w:rPr>
        <w:t xml:space="preserve">The </w:t>
      </w:r>
      <w:r w:rsidRPr="00ED00CF" w:rsidR="00A664A7">
        <w:rPr>
          <w:rFonts w:ascii="Times New Roman" w:hAnsi="Times New Roman"/>
        </w:rPr>
        <w:t xml:space="preserve">table </w:t>
      </w:r>
      <w:r w:rsidRPr="00ED00CF">
        <w:rPr>
          <w:rFonts w:ascii="Times New Roman" w:hAnsi="Times New Roman"/>
        </w:rPr>
        <w:t>below shows the estimated annual Federal costs for each aspect of the collection.</w:t>
      </w:r>
      <w:r w:rsidRPr="00ED00CF" w:rsidR="00E954E6">
        <w:rPr>
          <w:rFonts w:ascii="Times New Roman" w:hAnsi="Times New Roman"/>
        </w:rPr>
        <w:t xml:space="preserve"> </w:t>
      </w:r>
      <w:r w:rsidRPr="00ED00CF">
        <w:rPr>
          <w:rFonts w:ascii="Times New Roman" w:hAnsi="Times New Roman"/>
        </w:rPr>
        <w:t xml:space="preserve">The </w:t>
      </w:r>
      <w:r w:rsidRPr="00ED00CF">
        <w:rPr>
          <w:rFonts w:ascii="Times New Roman" w:hAnsi="Times New Roman"/>
        </w:rPr>
        <w:t>weighted</w:t>
      </w:r>
      <w:r w:rsidRPr="00ED00CF">
        <w:rPr>
          <w:rFonts w:ascii="Times New Roman" w:hAnsi="Times New Roman"/>
        </w:rPr>
        <w:t xml:space="preserve"> average hourly wage is shown </w:t>
      </w:r>
      <w:r w:rsidRPr="00ED00CF" w:rsidR="00A664A7">
        <w:rPr>
          <w:rFonts w:ascii="Times New Roman" w:hAnsi="Times New Roman"/>
        </w:rPr>
        <w:t xml:space="preserve">in </w:t>
      </w:r>
      <w:r w:rsidRPr="00ED00CF">
        <w:rPr>
          <w:rFonts w:ascii="Times New Roman" w:hAnsi="Times New Roman"/>
        </w:rPr>
        <w:t>Table 14-1, above.</w:t>
      </w:r>
      <w:r w:rsidR="001F7284">
        <w:rPr>
          <w:rFonts w:ascii="Times New Roman" w:hAnsi="Times New Roman"/>
        </w:rPr>
        <w:t xml:space="preserve"> The Federal cost for these information collections </w:t>
      </w:r>
      <w:r w:rsidRPr="73A9246C" w:rsidR="51B8FCD4">
        <w:rPr>
          <w:rFonts w:ascii="Times New Roman" w:hAnsi="Times New Roman"/>
        </w:rPr>
        <w:t>is</w:t>
      </w:r>
      <w:r w:rsidR="001F7284">
        <w:rPr>
          <w:rFonts w:ascii="Times New Roman" w:hAnsi="Times New Roman"/>
        </w:rPr>
        <w:t xml:space="preserve"> based on actual BLM staff </w:t>
      </w:r>
      <w:r w:rsidR="00923FF3">
        <w:rPr>
          <w:rFonts w:ascii="Times New Roman" w:hAnsi="Times New Roman"/>
        </w:rPr>
        <w:t>that</w:t>
      </w:r>
      <w:r w:rsidR="001F7284">
        <w:rPr>
          <w:rFonts w:ascii="Times New Roman" w:hAnsi="Times New Roman"/>
        </w:rPr>
        <w:t xml:space="preserve"> process these information collections. </w:t>
      </w:r>
    </w:p>
    <w:p w:rsidR="0096464D" w:rsidP="00FC013F" w14:paraId="6D6E9583" w14:textId="77777777">
      <w:pPr>
        <w:pStyle w:val="FootnoteText"/>
        <w:spacing w:after="0" w:line="240" w:lineRule="auto"/>
        <w:rPr>
          <w:rFonts w:ascii="Times New Roman" w:hAnsi="Times New Roman"/>
          <w:b/>
        </w:rPr>
      </w:pPr>
    </w:p>
    <w:p w:rsidR="00065748" w:rsidP="00FC013F" w14:paraId="0D030758" w14:textId="77777777">
      <w:pPr>
        <w:pStyle w:val="FootnoteText"/>
        <w:spacing w:after="0" w:line="240" w:lineRule="auto"/>
        <w:rPr>
          <w:rFonts w:ascii="Times New Roman" w:hAnsi="Times New Roman"/>
          <w:b/>
        </w:rPr>
      </w:pPr>
    </w:p>
    <w:p w:rsidR="00065748" w:rsidP="00FC013F" w14:paraId="79A5C75B" w14:textId="77777777">
      <w:pPr>
        <w:pStyle w:val="FootnoteText"/>
        <w:spacing w:after="0" w:line="240" w:lineRule="auto"/>
        <w:rPr>
          <w:rFonts w:ascii="Times New Roman" w:hAnsi="Times New Roman"/>
          <w:b/>
        </w:rPr>
      </w:pPr>
    </w:p>
    <w:p w:rsidR="00065748" w:rsidP="00FC013F" w14:paraId="47B415F7" w14:textId="77777777">
      <w:pPr>
        <w:pStyle w:val="FootnoteText"/>
        <w:spacing w:after="0" w:line="240" w:lineRule="auto"/>
        <w:rPr>
          <w:rFonts w:ascii="Times New Roman" w:hAnsi="Times New Roman"/>
          <w:b/>
        </w:rPr>
      </w:pPr>
    </w:p>
    <w:p w:rsidR="00065748" w:rsidP="00FC013F" w14:paraId="50353EB7" w14:textId="77777777">
      <w:pPr>
        <w:pStyle w:val="FootnoteText"/>
        <w:spacing w:after="0" w:line="240" w:lineRule="auto"/>
        <w:rPr>
          <w:rFonts w:ascii="Times New Roman" w:hAnsi="Times New Roman"/>
          <w:b/>
        </w:rPr>
      </w:pPr>
    </w:p>
    <w:p w:rsidR="006E304E" w:rsidRPr="00B7531F" w:rsidP="00FC013F" w14:paraId="06EAFC49" w14:textId="62BB8DA1">
      <w:pPr>
        <w:pStyle w:val="FootnoteText"/>
        <w:spacing w:after="0" w:line="240" w:lineRule="auto"/>
        <w:rPr>
          <w:rFonts w:ascii="Times New Roman" w:hAnsi="Times New Roman"/>
          <w:b/>
          <w:sz w:val="24"/>
          <w:szCs w:val="24"/>
        </w:rPr>
      </w:pPr>
      <w:r w:rsidRPr="00ED00CF">
        <w:rPr>
          <w:rFonts w:ascii="Times New Roman" w:hAnsi="Times New Roman"/>
          <w:b/>
        </w:rPr>
        <w:t>Table 14-2</w:t>
      </w:r>
      <w:r w:rsidRPr="00ED00CF" w:rsidR="00FC013F">
        <w:rPr>
          <w:rFonts w:ascii="Times New Roman" w:hAnsi="Times New Roman"/>
          <w:b/>
        </w:rPr>
        <w:t xml:space="preserve">: </w:t>
      </w:r>
      <w:r w:rsidRPr="00ED00CF">
        <w:rPr>
          <w:rFonts w:ascii="Times New Roman" w:hAnsi="Times New Roman"/>
          <w:b/>
        </w:rPr>
        <w:t>Estimated Annual Cost to the Government</w:t>
      </w:r>
    </w:p>
    <w:tbl>
      <w:tblPr>
        <w:tblW w:w="945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tblPr>
      <w:tblGrid>
        <w:gridCol w:w="3780"/>
        <w:gridCol w:w="1350"/>
        <w:gridCol w:w="990"/>
        <w:gridCol w:w="990"/>
        <w:gridCol w:w="990"/>
        <w:gridCol w:w="1350"/>
      </w:tblGrid>
      <w:tr w14:paraId="219471A8" w14:textId="77777777" w:rsidTr="73A9246C">
        <w:tblPrEx>
          <w:tblW w:w="945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tblPrEx>
        <w:trPr>
          <w:cantSplit/>
          <w:trHeight w:val="755"/>
          <w:tblHeader/>
        </w:trPr>
        <w:tc>
          <w:tcPr>
            <w:tcW w:w="3780" w:type="dxa"/>
            <w:shd w:val="clear" w:color="auto" w:fill="BFBFBF" w:themeFill="background1" w:themeFillShade="BF"/>
            <w:vAlign w:val="center"/>
          </w:tcPr>
          <w:p w:rsidR="00C33E38" w:rsidRPr="00A1073C" w:rsidP="002C55DA" w14:paraId="7FDD38FC" w14:textId="361F2B7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18"/>
                <w:szCs w:val="18"/>
              </w:rPr>
            </w:pPr>
            <w:r w:rsidRPr="00E424B1">
              <w:rPr>
                <w:rFonts w:ascii="Times New Roman" w:hAnsi="Times New Roman"/>
                <w:b/>
                <w:sz w:val="18"/>
                <w:szCs w:val="18"/>
              </w:rPr>
              <w:t xml:space="preserve">Information </w:t>
            </w:r>
            <w:r w:rsidRPr="00A1073C" w:rsidR="00C0231D">
              <w:rPr>
                <w:rFonts w:ascii="Times New Roman" w:hAnsi="Times New Roman"/>
                <w:b/>
                <w:sz w:val="18"/>
                <w:szCs w:val="18"/>
              </w:rPr>
              <w:t>Collection</w:t>
            </w:r>
          </w:p>
        </w:tc>
        <w:tc>
          <w:tcPr>
            <w:tcW w:w="1350" w:type="dxa"/>
            <w:shd w:val="clear" w:color="auto" w:fill="BFBFBF" w:themeFill="background1" w:themeFillShade="BF"/>
            <w:vAlign w:val="center"/>
          </w:tcPr>
          <w:p w:rsidR="00C33E38" w:rsidRPr="00A1073C" w:rsidP="002C55DA" w14:paraId="64E00BC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18"/>
                <w:szCs w:val="18"/>
              </w:rPr>
            </w:pPr>
            <w:r w:rsidRPr="00A1073C">
              <w:rPr>
                <w:rFonts w:ascii="Times New Roman" w:hAnsi="Times New Roman"/>
                <w:b/>
                <w:sz w:val="18"/>
                <w:szCs w:val="18"/>
              </w:rPr>
              <w:t>Number of Responses</w:t>
            </w:r>
          </w:p>
        </w:tc>
        <w:tc>
          <w:tcPr>
            <w:tcW w:w="990" w:type="dxa"/>
            <w:shd w:val="clear" w:color="auto" w:fill="BFBFBF" w:themeFill="background1" w:themeFillShade="BF"/>
            <w:vAlign w:val="center"/>
          </w:tcPr>
          <w:p w:rsidR="00C33E38" w:rsidRPr="00A1073C" w:rsidP="002C55DA" w14:paraId="0231221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18"/>
                <w:szCs w:val="18"/>
              </w:rPr>
            </w:pPr>
            <w:r w:rsidRPr="00A1073C">
              <w:rPr>
                <w:rFonts w:ascii="Times New Roman" w:hAnsi="Times New Roman"/>
                <w:b/>
                <w:sz w:val="18"/>
                <w:szCs w:val="18"/>
              </w:rPr>
              <w:t>Hours Per Response</w:t>
            </w:r>
          </w:p>
        </w:tc>
        <w:tc>
          <w:tcPr>
            <w:tcW w:w="990" w:type="dxa"/>
            <w:shd w:val="clear" w:color="auto" w:fill="BFBFBF" w:themeFill="background1" w:themeFillShade="BF"/>
            <w:vAlign w:val="center"/>
          </w:tcPr>
          <w:p w:rsidR="00C33E38" w:rsidRPr="00A1073C" w:rsidP="002C55DA" w14:paraId="31F6BBA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18"/>
                <w:szCs w:val="18"/>
              </w:rPr>
            </w:pPr>
            <w:r w:rsidRPr="00A1073C">
              <w:rPr>
                <w:rFonts w:ascii="Times New Roman" w:hAnsi="Times New Roman"/>
                <w:b/>
                <w:sz w:val="18"/>
                <w:szCs w:val="18"/>
              </w:rPr>
              <w:t>Total Staff Hours</w:t>
            </w:r>
          </w:p>
          <w:p w:rsidR="00C33E38" w:rsidRPr="00A1073C" w:rsidP="002C55DA" w14:paraId="6189DEF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18"/>
                <w:szCs w:val="18"/>
              </w:rPr>
            </w:pPr>
          </w:p>
        </w:tc>
        <w:tc>
          <w:tcPr>
            <w:tcW w:w="990" w:type="dxa"/>
            <w:shd w:val="clear" w:color="auto" w:fill="BFBFBF" w:themeFill="background1" w:themeFillShade="BF"/>
          </w:tcPr>
          <w:p w:rsidR="00C33E38" w:rsidRPr="00A1073C" w:rsidP="002C55DA" w14:paraId="5830A52E" w14:textId="0A32F60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18"/>
                <w:szCs w:val="18"/>
              </w:rPr>
            </w:pPr>
            <w:r>
              <w:rPr>
                <w:rFonts w:ascii="Times New Roman" w:hAnsi="Times New Roman"/>
                <w:b/>
                <w:sz w:val="18"/>
                <w:szCs w:val="18"/>
              </w:rPr>
              <w:t>H</w:t>
            </w:r>
            <w:r>
              <w:rPr>
                <w:b/>
                <w:sz w:val="18"/>
                <w:szCs w:val="18"/>
              </w:rPr>
              <w:t xml:space="preserve">ourly Rate </w:t>
            </w:r>
          </w:p>
        </w:tc>
        <w:tc>
          <w:tcPr>
            <w:tcW w:w="1350" w:type="dxa"/>
            <w:shd w:val="clear" w:color="auto" w:fill="BFBFBF" w:themeFill="background1" w:themeFillShade="BF"/>
            <w:vAlign w:val="center"/>
          </w:tcPr>
          <w:p w:rsidR="00C33E38" w:rsidRPr="00A1073C" w:rsidP="002C55DA" w14:paraId="013ABC44" w14:textId="0A30606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18"/>
                <w:szCs w:val="18"/>
              </w:rPr>
            </w:pPr>
            <w:r>
              <w:rPr>
                <w:rFonts w:ascii="Times New Roman" w:hAnsi="Times New Roman"/>
                <w:b/>
                <w:sz w:val="18"/>
                <w:szCs w:val="18"/>
              </w:rPr>
              <w:t>Ho</w:t>
            </w:r>
            <w:r>
              <w:rPr>
                <w:b/>
                <w:sz w:val="18"/>
                <w:szCs w:val="18"/>
              </w:rPr>
              <w:t>urly Cost</w:t>
            </w:r>
          </w:p>
          <w:p w:rsidR="00C33E38" w:rsidRPr="00A1073C" w:rsidP="0086652F" w14:paraId="5F858D8E" w14:textId="5961387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18"/>
                <w:szCs w:val="18"/>
              </w:rPr>
            </w:pPr>
          </w:p>
        </w:tc>
      </w:tr>
      <w:tr w14:paraId="15B334C9" w14:textId="77777777" w:rsidTr="004B1219">
        <w:tblPrEx>
          <w:tblW w:w="9450" w:type="dxa"/>
          <w:tblInd w:w="-5" w:type="dxa"/>
          <w:tblLayout w:type="fixed"/>
          <w:tblLook w:val="04A0"/>
        </w:tblPrEx>
        <w:trPr>
          <w:cantSplit/>
          <w:trHeight w:val="300"/>
        </w:trPr>
        <w:tc>
          <w:tcPr>
            <w:tcW w:w="3780" w:type="dxa"/>
            <w:vAlign w:val="center"/>
          </w:tcPr>
          <w:p w:rsidR="00A71B6A" w:rsidRPr="00A1073C" w:rsidP="73A9246C" w14:paraId="0D5D28DA" w14:textId="77777777">
            <w:pPr>
              <w:widowControl/>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00A1073C">
              <w:rPr>
                <w:rFonts w:ascii="Times New Roman" w:hAnsi="Times New Roman"/>
                <w:sz w:val="18"/>
                <w:szCs w:val="18"/>
              </w:rPr>
              <w:t>Joinder evidence statement</w:t>
            </w:r>
          </w:p>
          <w:p w:rsidR="00A71B6A" w:rsidRPr="00A1073C" w:rsidP="73A9246C" w14:paraId="49F4F31C" w14:textId="26C929D2">
            <w:pPr>
              <w:widowControl/>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00A1073C">
              <w:rPr>
                <w:rFonts w:ascii="Times New Roman" w:hAnsi="Times New Roman"/>
                <w:sz w:val="18"/>
                <w:szCs w:val="18"/>
              </w:rPr>
              <w:t>43 CFR 3101.3</w:t>
            </w:r>
            <w:r>
              <w:rPr>
                <w:rFonts w:ascii="Times New Roman" w:hAnsi="Times New Roman"/>
                <w:sz w:val="18"/>
                <w:szCs w:val="18"/>
              </w:rPr>
              <w:t>1</w:t>
            </w:r>
          </w:p>
        </w:tc>
        <w:tc>
          <w:tcPr>
            <w:tcW w:w="1350" w:type="dxa"/>
            <w:vAlign w:val="center"/>
          </w:tcPr>
          <w:p w:rsidR="00A71B6A" w:rsidRPr="00A1073C" w:rsidP="73A9246C" w14:paraId="551F50B0" w14:textId="77777777">
            <w:pPr>
              <w:widowControl/>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sz w:val="18"/>
                <w:szCs w:val="18"/>
              </w:rPr>
            </w:pPr>
            <w:r>
              <w:rPr>
                <w:rFonts w:ascii="Times New Roman" w:hAnsi="Times New Roman"/>
                <w:sz w:val="18"/>
                <w:szCs w:val="18"/>
              </w:rPr>
              <w:t>4</w:t>
            </w:r>
            <w:r w:rsidRPr="00A1073C">
              <w:rPr>
                <w:rFonts w:ascii="Times New Roman" w:hAnsi="Times New Roman"/>
                <w:sz w:val="18"/>
                <w:szCs w:val="18"/>
              </w:rPr>
              <w:t>0</w:t>
            </w:r>
          </w:p>
        </w:tc>
        <w:tc>
          <w:tcPr>
            <w:tcW w:w="990" w:type="dxa"/>
            <w:vAlign w:val="center"/>
          </w:tcPr>
          <w:p w:rsidR="00A71B6A" w:rsidRPr="00A1073C" w:rsidP="73A9246C" w14:paraId="2D674FC6" w14:textId="77777777">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sidRPr="00A1073C">
              <w:rPr>
                <w:rFonts w:ascii="Times New Roman" w:hAnsi="Times New Roman"/>
                <w:sz w:val="18"/>
                <w:szCs w:val="18"/>
              </w:rPr>
              <w:t>1</w:t>
            </w:r>
          </w:p>
        </w:tc>
        <w:tc>
          <w:tcPr>
            <w:tcW w:w="990" w:type="dxa"/>
            <w:vAlign w:val="center"/>
          </w:tcPr>
          <w:p w:rsidR="00A71B6A" w:rsidRPr="00A1073C" w:rsidP="73A9246C" w14:paraId="6F6C1E9E" w14:textId="77777777">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Pr>
                <w:rFonts w:ascii="Times New Roman" w:hAnsi="Times New Roman"/>
                <w:sz w:val="18"/>
                <w:szCs w:val="18"/>
              </w:rPr>
              <w:t>4</w:t>
            </w:r>
            <w:r w:rsidRPr="00A1073C">
              <w:rPr>
                <w:rFonts w:ascii="Times New Roman" w:hAnsi="Times New Roman"/>
                <w:sz w:val="18"/>
                <w:szCs w:val="18"/>
              </w:rPr>
              <w:t>0</w:t>
            </w:r>
          </w:p>
        </w:tc>
        <w:tc>
          <w:tcPr>
            <w:tcW w:w="990" w:type="dxa"/>
            <w:vAlign w:val="center"/>
          </w:tcPr>
          <w:p w:rsidR="00A71B6A" w:rsidRPr="00A1073C" w:rsidP="73A9246C" w14:paraId="057B5574" w14:textId="28D8FF38">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sidRPr="73A9246C">
              <w:rPr>
                <w:rFonts w:ascii="Times New Roman" w:hAnsi="Times New Roman"/>
                <w:sz w:val="18"/>
                <w:szCs w:val="18"/>
              </w:rPr>
              <w:t>$</w:t>
            </w:r>
            <w:r w:rsidRPr="73A9246C" w:rsidR="03EF6963">
              <w:rPr>
                <w:rFonts w:ascii="Times New Roman" w:hAnsi="Times New Roman"/>
                <w:sz w:val="18"/>
                <w:szCs w:val="18"/>
              </w:rPr>
              <w:t>55.24</w:t>
            </w:r>
          </w:p>
        </w:tc>
        <w:tc>
          <w:tcPr>
            <w:tcW w:w="1350" w:type="dxa"/>
            <w:tcBorders>
              <w:top w:val="nil"/>
              <w:left w:val="nil"/>
              <w:bottom w:val="single" w:sz="8" w:space="0" w:color="000000" w:themeColor="text1"/>
              <w:right w:val="single" w:sz="8" w:space="0" w:color="000000" w:themeColor="text1"/>
            </w:tcBorders>
            <w:vAlign w:val="center"/>
          </w:tcPr>
          <w:p w:rsidR="73A9246C" w:rsidRPr="73A9246C" w:rsidP="73A9246C" w14:paraId="691F8C50" w14:textId="13F6C12C">
            <w:pPr>
              <w:jc w:val="right"/>
              <w:rPr>
                <w:rFonts w:ascii="Times New Roman" w:hAnsi="Times New Roman"/>
                <w:color w:val="000000" w:themeColor="text1"/>
                <w:sz w:val="18"/>
                <w:szCs w:val="18"/>
              </w:rPr>
            </w:pPr>
            <w:r w:rsidRPr="73A9246C">
              <w:rPr>
                <w:rFonts w:ascii="Times New Roman" w:hAnsi="Times New Roman"/>
                <w:color w:val="000000" w:themeColor="text1"/>
                <w:sz w:val="18"/>
                <w:szCs w:val="18"/>
              </w:rPr>
              <w:t>$2,210</w:t>
            </w:r>
          </w:p>
        </w:tc>
      </w:tr>
      <w:tr w14:paraId="2F1E55C3" w14:textId="77777777" w:rsidTr="004B1219">
        <w:tblPrEx>
          <w:tblW w:w="9450" w:type="dxa"/>
          <w:tblInd w:w="-5" w:type="dxa"/>
          <w:tblLayout w:type="fixed"/>
          <w:tblLook w:val="04A0"/>
        </w:tblPrEx>
        <w:trPr>
          <w:cantSplit/>
          <w:trHeight w:val="300"/>
        </w:trPr>
        <w:tc>
          <w:tcPr>
            <w:tcW w:w="3780" w:type="dxa"/>
            <w:vAlign w:val="center"/>
          </w:tcPr>
          <w:p w:rsidR="00A71B6A" w:rsidP="73A9246C" w14:paraId="1ECDB7E8" w14:textId="77777777">
            <w:pPr>
              <w:widowControl/>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Pr>
                <w:rFonts w:ascii="Times New Roman" w:hAnsi="Times New Roman"/>
                <w:sz w:val="18"/>
                <w:szCs w:val="18"/>
              </w:rPr>
              <w:t xml:space="preserve">Excess Acreage - Proof of Acreage reduction </w:t>
            </w:r>
          </w:p>
          <w:p w:rsidR="00A71B6A" w:rsidRPr="00A1073C" w:rsidP="73A9246C" w14:paraId="63D0F618" w14:textId="75C84360">
            <w:pPr>
              <w:widowControl/>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Pr>
                <w:rFonts w:ascii="Times New Roman" w:hAnsi="Times New Roman"/>
                <w:sz w:val="18"/>
                <w:szCs w:val="18"/>
              </w:rPr>
              <w:t xml:space="preserve">43 CFR 3102.54 </w:t>
            </w:r>
          </w:p>
        </w:tc>
        <w:tc>
          <w:tcPr>
            <w:tcW w:w="1350" w:type="dxa"/>
            <w:vAlign w:val="center"/>
          </w:tcPr>
          <w:p w:rsidR="00A71B6A" w:rsidP="73A9246C" w14:paraId="627DDAAC" w14:textId="2590331D">
            <w:pPr>
              <w:widowControl/>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sz w:val="18"/>
                <w:szCs w:val="18"/>
              </w:rPr>
            </w:pPr>
            <w:r>
              <w:rPr>
                <w:rFonts w:ascii="Times New Roman" w:hAnsi="Times New Roman"/>
                <w:sz w:val="18"/>
                <w:szCs w:val="18"/>
              </w:rPr>
              <w:t>1</w:t>
            </w:r>
          </w:p>
        </w:tc>
        <w:tc>
          <w:tcPr>
            <w:tcW w:w="990" w:type="dxa"/>
            <w:vAlign w:val="center"/>
          </w:tcPr>
          <w:p w:rsidR="00A71B6A" w:rsidRPr="00A1073C" w:rsidP="73A9246C" w14:paraId="113ADE2A" w14:textId="7587ABAE">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Pr>
                <w:rFonts w:ascii="Times New Roman" w:hAnsi="Times New Roman"/>
                <w:sz w:val="18"/>
                <w:szCs w:val="18"/>
              </w:rPr>
              <w:t>1</w:t>
            </w:r>
          </w:p>
        </w:tc>
        <w:tc>
          <w:tcPr>
            <w:tcW w:w="990" w:type="dxa"/>
            <w:vAlign w:val="center"/>
          </w:tcPr>
          <w:p w:rsidR="00A71B6A" w:rsidP="73A9246C" w14:paraId="1A69B765" w14:textId="2AC0C6CA">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Pr>
                <w:rFonts w:ascii="Times New Roman" w:hAnsi="Times New Roman"/>
                <w:sz w:val="18"/>
                <w:szCs w:val="18"/>
              </w:rPr>
              <w:t>1</w:t>
            </w:r>
          </w:p>
        </w:tc>
        <w:tc>
          <w:tcPr>
            <w:tcW w:w="990" w:type="dxa"/>
            <w:vAlign w:val="center"/>
          </w:tcPr>
          <w:p w:rsidR="00A71B6A" w:rsidRPr="00306CFB" w:rsidP="73A9246C" w14:paraId="64AD51C4" w14:textId="3C6AFEC6">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59" w:lineRule="auto"/>
              <w:jc w:val="right"/>
              <w:rPr>
                <w:rFonts w:ascii="Times New Roman" w:hAnsi="Times New Roman"/>
                <w:sz w:val="18"/>
                <w:szCs w:val="18"/>
              </w:rPr>
            </w:pPr>
            <w:r w:rsidRPr="73A9246C">
              <w:rPr>
                <w:rFonts w:ascii="Times New Roman" w:hAnsi="Times New Roman"/>
                <w:sz w:val="18"/>
                <w:szCs w:val="18"/>
              </w:rPr>
              <w:t>$</w:t>
            </w:r>
            <w:r w:rsidRPr="73A9246C" w:rsidR="2E13806E">
              <w:rPr>
                <w:rFonts w:ascii="Times New Roman" w:hAnsi="Times New Roman"/>
                <w:sz w:val="18"/>
                <w:szCs w:val="18"/>
              </w:rPr>
              <w:t>55.24</w:t>
            </w:r>
          </w:p>
        </w:tc>
        <w:tc>
          <w:tcPr>
            <w:tcW w:w="1350" w:type="dxa"/>
            <w:tcBorders>
              <w:top w:val="nil"/>
              <w:left w:val="nil"/>
              <w:bottom w:val="single" w:sz="8" w:space="0" w:color="000000" w:themeColor="text1"/>
              <w:right w:val="single" w:sz="8" w:space="0" w:color="000000" w:themeColor="text1"/>
            </w:tcBorders>
            <w:vAlign w:val="center"/>
          </w:tcPr>
          <w:p w:rsidR="73A9246C" w:rsidRPr="73A9246C" w:rsidP="73A9246C" w14:paraId="7952825B" w14:textId="10566EDD">
            <w:pPr>
              <w:jc w:val="right"/>
              <w:rPr>
                <w:rFonts w:ascii="Times New Roman" w:hAnsi="Times New Roman"/>
                <w:color w:val="000000" w:themeColor="text1"/>
                <w:sz w:val="18"/>
                <w:szCs w:val="18"/>
              </w:rPr>
            </w:pPr>
            <w:r w:rsidRPr="73A9246C">
              <w:rPr>
                <w:rFonts w:ascii="Times New Roman" w:hAnsi="Times New Roman"/>
                <w:color w:val="000000" w:themeColor="text1"/>
                <w:sz w:val="18"/>
                <w:szCs w:val="18"/>
              </w:rPr>
              <w:t>$55</w:t>
            </w:r>
          </w:p>
        </w:tc>
      </w:tr>
      <w:tr w14:paraId="63B811CB" w14:textId="77777777" w:rsidTr="004B1219">
        <w:tblPrEx>
          <w:tblW w:w="9450" w:type="dxa"/>
          <w:tblInd w:w="-5" w:type="dxa"/>
          <w:tblLayout w:type="fixed"/>
          <w:tblLook w:val="04A0"/>
        </w:tblPrEx>
        <w:trPr>
          <w:cantSplit/>
          <w:trHeight w:val="300"/>
        </w:trPr>
        <w:tc>
          <w:tcPr>
            <w:tcW w:w="3780" w:type="dxa"/>
            <w:vAlign w:val="center"/>
          </w:tcPr>
          <w:p w:rsidR="00A71B6A" w:rsidRPr="004D68D3" w:rsidP="00A71B6A" w14:paraId="18BEC435" w14:textId="6961CDD9">
            <w:pPr>
              <w:pStyle w:val="Heading3"/>
              <w:rPr>
                <w:b w:val="0"/>
                <w:bCs w:val="0"/>
                <w:sz w:val="18"/>
                <w:szCs w:val="18"/>
              </w:rPr>
            </w:pPr>
            <w:r w:rsidRPr="004D68D3">
              <w:rPr>
                <w:b w:val="0"/>
                <w:bCs w:val="0"/>
                <w:sz w:val="18"/>
                <w:szCs w:val="18"/>
              </w:rPr>
              <w:t>Excess Acreage - Petition for</w:t>
            </w:r>
          </w:p>
          <w:p w:rsidR="00A71B6A" w:rsidRPr="004D68D3" w:rsidP="00A71B6A" w14:paraId="6979DE32" w14:textId="77777777">
            <w:pPr>
              <w:pStyle w:val="Heading3"/>
              <w:rPr>
                <w:b w:val="0"/>
                <w:bCs w:val="0"/>
                <w:sz w:val="18"/>
                <w:szCs w:val="18"/>
              </w:rPr>
            </w:pPr>
            <w:r w:rsidRPr="004D68D3">
              <w:rPr>
                <w:b w:val="0"/>
                <w:bCs w:val="0"/>
                <w:sz w:val="18"/>
                <w:szCs w:val="18"/>
              </w:rPr>
              <w:t>Additional</w:t>
            </w:r>
          </w:p>
          <w:p w:rsidR="00A71B6A" w:rsidRPr="004D68D3" w:rsidP="00A71B6A" w14:paraId="034E262B" w14:textId="77777777">
            <w:pPr>
              <w:pStyle w:val="Heading3"/>
              <w:rPr>
                <w:b w:val="0"/>
                <w:bCs w:val="0"/>
                <w:sz w:val="18"/>
                <w:szCs w:val="18"/>
              </w:rPr>
            </w:pPr>
            <w:r w:rsidRPr="004D68D3">
              <w:rPr>
                <w:b w:val="0"/>
                <w:bCs w:val="0"/>
                <w:sz w:val="18"/>
                <w:szCs w:val="18"/>
              </w:rPr>
              <w:t>Time to</w:t>
            </w:r>
          </w:p>
          <w:p w:rsidR="00A71B6A" w:rsidP="00A71B6A" w14:paraId="22B42B7E" w14:textId="77777777">
            <w:pPr>
              <w:pStyle w:val="Heading3"/>
              <w:rPr>
                <w:b w:val="0"/>
                <w:bCs w:val="0"/>
                <w:sz w:val="18"/>
                <w:szCs w:val="18"/>
              </w:rPr>
            </w:pPr>
            <w:r w:rsidRPr="004D68D3">
              <w:rPr>
                <w:b w:val="0"/>
                <w:bCs w:val="0"/>
                <w:sz w:val="18"/>
                <w:szCs w:val="18"/>
              </w:rPr>
              <w:t xml:space="preserve">Divest Excess Acreage </w:t>
            </w:r>
          </w:p>
          <w:p w:rsidR="00A71B6A" w:rsidRPr="009C7AB3" w:rsidP="00A71B6A" w14:paraId="470F1210" w14:textId="7C1A988B">
            <w:pPr>
              <w:pStyle w:val="Heading3"/>
              <w:rPr>
                <w:b w:val="0"/>
                <w:bCs w:val="0"/>
                <w:sz w:val="18"/>
                <w:szCs w:val="18"/>
              </w:rPr>
            </w:pPr>
            <w:r w:rsidRPr="004D68D3">
              <w:rPr>
                <w:b w:val="0"/>
                <w:bCs w:val="0"/>
                <w:sz w:val="18"/>
                <w:szCs w:val="18"/>
              </w:rPr>
              <w:t>43</w:t>
            </w:r>
            <w:r>
              <w:rPr>
                <w:b w:val="0"/>
                <w:bCs w:val="0"/>
                <w:sz w:val="18"/>
                <w:szCs w:val="18"/>
              </w:rPr>
              <w:t xml:space="preserve"> </w:t>
            </w:r>
            <w:r w:rsidRPr="004D68D3">
              <w:rPr>
                <w:b w:val="0"/>
                <w:bCs w:val="0"/>
                <w:sz w:val="18"/>
                <w:szCs w:val="18"/>
              </w:rPr>
              <w:t>CFR</w:t>
            </w:r>
            <w:r>
              <w:rPr>
                <w:b w:val="0"/>
                <w:bCs w:val="0"/>
                <w:sz w:val="18"/>
                <w:szCs w:val="18"/>
              </w:rPr>
              <w:t xml:space="preserve"> </w:t>
            </w:r>
            <w:r w:rsidRPr="004D68D3">
              <w:rPr>
                <w:b w:val="0"/>
                <w:bCs w:val="0"/>
                <w:sz w:val="18"/>
                <w:szCs w:val="18"/>
              </w:rPr>
              <w:t xml:space="preserve">3102.54 </w:t>
            </w:r>
          </w:p>
        </w:tc>
        <w:tc>
          <w:tcPr>
            <w:tcW w:w="1350" w:type="dxa"/>
            <w:vAlign w:val="center"/>
          </w:tcPr>
          <w:p w:rsidR="00A71B6A" w:rsidP="73A9246C" w14:paraId="2834BCB1" w14:textId="022E3C92">
            <w:pPr>
              <w:widowControl/>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sz w:val="18"/>
                <w:szCs w:val="18"/>
              </w:rPr>
            </w:pPr>
            <w:r>
              <w:rPr>
                <w:rFonts w:ascii="Times New Roman" w:hAnsi="Times New Roman"/>
                <w:sz w:val="18"/>
                <w:szCs w:val="18"/>
              </w:rPr>
              <w:t>1</w:t>
            </w:r>
          </w:p>
        </w:tc>
        <w:tc>
          <w:tcPr>
            <w:tcW w:w="990" w:type="dxa"/>
            <w:vAlign w:val="center"/>
          </w:tcPr>
          <w:p w:rsidR="00A71B6A" w:rsidRPr="00A1073C" w:rsidP="73A9246C" w14:paraId="0A3793B7" w14:textId="7D28D08D">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Pr>
                <w:rFonts w:ascii="Times New Roman" w:hAnsi="Times New Roman"/>
                <w:sz w:val="18"/>
                <w:szCs w:val="18"/>
              </w:rPr>
              <w:t>1</w:t>
            </w:r>
          </w:p>
        </w:tc>
        <w:tc>
          <w:tcPr>
            <w:tcW w:w="990" w:type="dxa"/>
            <w:vAlign w:val="center"/>
          </w:tcPr>
          <w:p w:rsidR="00A71B6A" w:rsidP="73A9246C" w14:paraId="112A9CEA" w14:textId="469B8CBD">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Pr>
                <w:rFonts w:ascii="Times New Roman" w:hAnsi="Times New Roman"/>
                <w:sz w:val="18"/>
                <w:szCs w:val="18"/>
              </w:rPr>
              <w:t>1</w:t>
            </w:r>
          </w:p>
        </w:tc>
        <w:tc>
          <w:tcPr>
            <w:tcW w:w="990" w:type="dxa"/>
            <w:vAlign w:val="center"/>
          </w:tcPr>
          <w:p w:rsidR="00A71B6A" w:rsidRPr="00306CFB" w:rsidP="73A9246C" w14:paraId="2AD270C9" w14:textId="1027AB92">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59" w:lineRule="auto"/>
              <w:jc w:val="right"/>
              <w:rPr>
                <w:rFonts w:ascii="Times New Roman" w:hAnsi="Times New Roman"/>
                <w:sz w:val="18"/>
                <w:szCs w:val="18"/>
              </w:rPr>
            </w:pPr>
            <w:r w:rsidRPr="73A9246C">
              <w:rPr>
                <w:rFonts w:ascii="Times New Roman" w:hAnsi="Times New Roman"/>
                <w:sz w:val="18"/>
                <w:szCs w:val="18"/>
              </w:rPr>
              <w:t>$</w:t>
            </w:r>
            <w:r w:rsidRPr="73A9246C" w:rsidR="277CFF9A">
              <w:rPr>
                <w:rFonts w:ascii="Times New Roman" w:hAnsi="Times New Roman"/>
                <w:sz w:val="18"/>
                <w:szCs w:val="18"/>
              </w:rPr>
              <w:t>55.24</w:t>
            </w:r>
          </w:p>
        </w:tc>
        <w:tc>
          <w:tcPr>
            <w:tcW w:w="1350" w:type="dxa"/>
            <w:tcBorders>
              <w:top w:val="nil"/>
              <w:left w:val="nil"/>
              <w:bottom w:val="single" w:sz="8" w:space="0" w:color="000000" w:themeColor="text1"/>
              <w:right w:val="single" w:sz="8" w:space="0" w:color="000000" w:themeColor="text1"/>
            </w:tcBorders>
            <w:vAlign w:val="center"/>
          </w:tcPr>
          <w:p w:rsidR="73A9246C" w:rsidRPr="73A9246C" w:rsidP="73A9246C" w14:paraId="0844EAFF" w14:textId="609FA210">
            <w:pPr>
              <w:jc w:val="right"/>
              <w:rPr>
                <w:rFonts w:ascii="Times New Roman" w:hAnsi="Times New Roman"/>
                <w:color w:val="000000" w:themeColor="text1"/>
                <w:sz w:val="18"/>
                <w:szCs w:val="18"/>
              </w:rPr>
            </w:pPr>
            <w:r w:rsidRPr="73A9246C">
              <w:rPr>
                <w:rFonts w:ascii="Times New Roman" w:hAnsi="Times New Roman"/>
                <w:color w:val="000000" w:themeColor="text1"/>
                <w:sz w:val="18"/>
                <w:szCs w:val="18"/>
              </w:rPr>
              <w:t>$55</w:t>
            </w:r>
          </w:p>
        </w:tc>
      </w:tr>
      <w:tr w14:paraId="27E49048" w14:textId="77777777" w:rsidTr="004B1219">
        <w:tblPrEx>
          <w:tblW w:w="9450" w:type="dxa"/>
          <w:tblInd w:w="-5" w:type="dxa"/>
          <w:tblLayout w:type="fixed"/>
          <w:tblLook w:val="04A0"/>
        </w:tblPrEx>
        <w:trPr>
          <w:cantSplit/>
          <w:trHeight w:val="300"/>
        </w:trPr>
        <w:tc>
          <w:tcPr>
            <w:tcW w:w="3780" w:type="dxa"/>
            <w:vAlign w:val="center"/>
          </w:tcPr>
          <w:p w:rsidR="00A71B6A" w:rsidRPr="00A1073C" w:rsidP="73A9246C" w14:paraId="16FCC88E" w14:textId="77777777">
            <w:pPr>
              <w:widowControl/>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00A1073C">
              <w:rPr>
                <w:rFonts w:ascii="Times New Roman" w:hAnsi="Times New Roman"/>
                <w:sz w:val="18"/>
                <w:szCs w:val="18"/>
              </w:rPr>
              <w:t>Waiver, suspension, or reduction of rental or royalty</w:t>
            </w:r>
          </w:p>
          <w:p w:rsidR="00A71B6A" w:rsidRPr="00A1073C" w:rsidP="73A9246C" w14:paraId="7AA6B8A3" w14:textId="7C76CCC1">
            <w:pPr>
              <w:widowControl/>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00A1073C">
              <w:rPr>
                <w:rFonts w:ascii="Times New Roman" w:hAnsi="Times New Roman"/>
                <w:sz w:val="18"/>
                <w:szCs w:val="18"/>
              </w:rPr>
              <w:t xml:space="preserve">43 CFR </w:t>
            </w:r>
            <w:r w:rsidRPr="73A9246C">
              <w:rPr>
                <w:rFonts w:ascii="Times New Roman" w:hAnsi="Times New Roman"/>
                <w:sz w:val="18"/>
                <w:szCs w:val="18"/>
              </w:rPr>
              <w:t>3103.41 and 3103.42</w:t>
            </w:r>
          </w:p>
        </w:tc>
        <w:tc>
          <w:tcPr>
            <w:tcW w:w="1350" w:type="dxa"/>
            <w:vAlign w:val="center"/>
          </w:tcPr>
          <w:p w:rsidR="00A71B6A" w:rsidRPr="00A1073C" w:rsidP="73A9246C" w14:paraId="6906493C" w14:textId="77777777">
            <w:pPr>
              <w:widowControl/>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sz w:val="18"/>
                <w:szCs w:val="18"/>
              </w:rPr>
            </w:pPr>
            <w:r>
              <w:rPr>
                <w:rFonts w:ascii="Times New Roman" w:hAnsi="Times New Roman"/>
                <w:sz w:val="18"/>
                <w:szCs w:val="18"/>
              </w:rPr>
              <w:t>820</w:t>
            </w:r>
          </w:p>
        </w:tc>
        <w:tc>
          <w:tcPr>
            <w:tcW w:w="990" w:type="dxa"/>
            <w:vAlign w:val="center"/>
          </w:tcPr>
          <w:p w:rsidR="00A71B6A" w:rsidRPr="00A1073C" w:rsidP="73A9246C" w14:paraId="31348519" w14:textId="77777777">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sidRPr="00A1073C">
              <w:rPr>
                <w:rFonts w:ascii="Times New Roman" w:hAnsi="Times New Roman"/>
                <w:sz w:val="18"/>
                <w:szCs w:val="18"/>
              </w:rPr>
              <w:t>4</w:t>
            </w:r>
          </w:p>
        </w:tc>
        <w:tc>
          <w:tcPr>
            <w:tcW w:w="990" w:type="dxa"/>
            <w:vAlign w:val="center"/>
          </w:tcPr>
          <w:p w:rsidR="00A71B6A" w:rsidRPr="00A1073C" w:rsidP="73A9246C" w14:paraId="46E2E50D" w14:textId="77777777">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Pr>
                <w:rFonts w:ascii="Times New Roman" w:hAnsi="Times New Roman"/>
                <w:sz w:val="18"/>
                <w:szCs w:val="18"/>
              </w:rPr>
              <w:t>3,280</w:t>
            </w:r>
          </w:p>
        </w:tc>
        <w:tc>
          <w:tcPr>
            <w:tcW w:w="990" w:type="dxa"/>
            <w:vAlign w:val="center"/>
          </w:tcPr>
          <w:p w:rsidR="00A71B6A" w:rsidRPr="00A1073C" w:rsidP="73A9246C" w14:paraId="7D9AB5A7" w14:textId="28D8FF38">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sidRPr="73A9246C">
              <w:rPr>
                <w:rFonts w:ascii="Times New Roman" w:hAnsi="Times New Roman"/>
                <w:sz w:val="18"/>
                <w:szCs w:val="18"/>
              </w:rPr>
              <w:t>$55.24</w:t>
            </w:r>
          </w:p>
          <w:p w:rsidR="00A71B6A" w:rsidRPr="00A1073C" w:rsidP="73A9246C" w14:paraId="2403C254" w14:textId="5A4AF2F4">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p>
        </w:tc>
        <w:tc>
          <w:tcPr>
            <w:tcW w:w="1350" w:type="dxa"/>
            <w:tcBorders>
              <w:top w:val="nil"/>
              <w:left w:val="nil"/>
              <w:bottom w:val="single" w:sz="8" w:space="0" w:color="000000" w:themeColor="text1"/>
              <w:right w:val="single" w:sz="8" w:space="0" w:color="000000" w:themeColor="text1"/>
            </w:tcBorders>
            <w:vAlign w:val="center"/>
          </w:tcPr>
          <w:p w:rsidR="73A9246C" w:rsidRPr="73A9246C" w:rsidP="73A9246C" w14:paraId="174DD906" w14:textId="29D875E7">
            <w:pPr>
              <w:jc w:val="right"/>
              <w:rPr>
                <w:rFonts w:ascii="Times New Roman" w:hAnsi="Times New Roman"/>
                <w:color w:val="000000" w:themeColor="text1"/>
                <w:sz w:val="18"/>
                <w:szCs w:val="18"/>
              </w:rPr>
            </w:pPr>
            <w:r w:rsidRPr="73A9246C">
              <w:rPr>
                <w:rFonts w:ascii="Times New Roman" w:hAnsi="Times New Roman"/>
                <w:color w:val="000000" w:themeColor="text1"/>
                <w:sz w:val="18"/>
                <w:szCs w:val="18"/>
              </w:rPr>
              <w:t>$181,187</w:t>
            </w:r>
          </w:p>
        </w:tc>
      </w:tr>
      <w:tr w14:paraId="78701235" w14:textId="77777777" w:rsidTr="004B1219">
        <w:tblPrEx>
          <w:tblW w:w="9450" w:type="dxa"/>
          <w:tblInd w:w="-5" w:type="dxa"/>
          <w:tblLayout w:type="fixed"/>
          <w:tblLook w:val="04A0"/>
        </w:tblPrEx>
        <w:trPr>
          <w:cantSplit/>
          <w:trHeight w:val="300"/>
        </w:trPr>
        <w:tc>
          <w:tcPr>
            <w:tcW w:w="3780" w:type="dxa"/>
            <w:vAlign w:val="center"/>
          </w:tcPr>
          <w:p w:rsidR="00A71B6A" w:rsidRPr="00A1073C" w:rsidP="73A9246C" w14:paraId="067FD009" w14:textId="1C823F2E">
            <w:pPr>
              <w:widowControl/>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00A1073C">
              <w:rPr>
                <w:rFonts w:ascii="Times New Roman" w:hAnsi="Times New Roman"/>
                <w:sz w:val="18"/>
                <w:szCs w:val="18"/>
              </w:rPr>
              <w:t>Communitization</w:t>
            </w:r>
            <w:r w:rsidRPr="00A1073C">
              <w:rPr>
                <w:rFonts w:ascii="Times New Roman" w:hAnsi="Times New Roman"/>
                <w:sz w:val="18"/>
                <w:szCs w:val="18"/>
              </w:rPr>
              <w:t xml:space="preserve"> agreement</w:t>
            </w:r>
          </w:p>
          <w:p w:rsidR="00A71B6A" w:rsidRPr="00A1073C" w:rsidP="73A9246C" w14:paraId="705C8D62" w14:textId="7499FE93">
            <w:pPr>
              <w:widowControl/>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00A1073C">
              <w:rPr>
                <w:rFonts w:ascii="Times New Roman" w:hAnsi="Times New Roman"/>
                <w:sz w:val="18"/>
                <w:szCs w:val="18"/>
              </w:rPr>
              <w:t>43 CFR 3105.2</w:t>
            </w:r>
            <w:r>
              <w:rPr>
                <w:rFonts w:ascii="Times New Roman" w:hAnsi="Times New Roman"/>
                <w:sz w:val="18"/>
                <w:szCs w:val="18"/>
              </w:rPr>
              <w:t>1</w:t>
            </w:r>
          </w:p>
        </w:tc>
        <w:tc>
          <w:tcPr>
            <w:tcW w:w="1350" w:type="dxa"/>
            <w:vAlign w:val="center"/>
          </w:tcPr>
          <w:p w:rsidR="00A71B6A" w:rsidRPr="00A1073C" w:rsidP="73A9246C" w14:paraId="29A8D792" w14:textId="77777777">
            <w:pPr>
              <w:widowControl/>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sz w:val="18"/>
                <w:szCs w:val="18"/>
              </w:rPr>
            </w:pPr>
            <w:r>
              <w:rPr>
                <w:rFonts w:ascii="Times New Roman" w:hAnsi="Times New Roman"/>
                <w:sz w:val="18"/>
                <w:szCs w:val="18"/>
              </w:rPr>
              <w:t>281</w:t>
            </w:r>
          </w:p>
        </w:tc>
        <w:tc>
          <w:tcPr>
            <w:tcW w:w="990" w:type="dxa"/>
            <w:vAlign w:val="center"/>
          </w:tcPr>
          <w:p w:rsidR="00A71B6A" w:rsidRPr="00A1073C" w:rsidP="73A9246C" w14:paraId="4D62D654" w14:textId="77777777">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sidRPr="00A1073C">
              <w:rPr>
                <w:rFonts w:ascii="Times New Roman" w:hAnsi="Times New Roman"/>
                <w:sz w:val="18"/>
                <w:szCs w:val="18"/>
              </w:rPr>
              <w:t>4</w:t>
            </w:r>
          </w:p>
        </w:tc>
        <w:tc>
          <w:tcPr>
            <w:tcW w:w="990" w:type="dxa"/>
            <w:vAlign w:val="center"/>
          </w:tcPr>
          <w:p w:rsidR="00A71B6A" w:rsidRPr="00A1073C" w:rsidP="73A9246C" w14:paraId="63C529A2" w14:textId="77777777">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Pr>
                <w:rFonts w:ascii="Times New Roman" w:hAnsi="Times New Roman"/>
                <w:sz w:val="18"/>
                <w:szCs w:val="18"/>
              </w:rPr>
              <w:t>1,124</w:t>
            </w:r>
          </w:p>
        </w:tc>
        <w:tc>
          <w:tcPr>
            <w:tcW w:w="990" w:type="dxa"/>
            <w:vAlign w:val="center"/>
          </w:tcPr>
          <w:p w:rsidR="00A71B6A" w:rsidRPr="00A1073C" w:rsidP="73A9246C" w14:paraId="395A1827" w14:textId="28D8FF38">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sidRPr="73A9246C">
              <w:rPr>
                <w:rFonts w:ascii="Times New Roman" w:hAnsi="Times New Roman"/>
                <w:sz w:val="18"/>
                <w:szCs w:val="18"/>
              </w:rPr>
              <w:t>$55.24</w:t>
            </w:r>
          </w:p>
          <w:p w:rsidR="00A71B6A" w:rsidRPr="00A1073C" w:rsidP="73A9246C" w14:paraId="6A665A5D" w14:textId="54D26F82">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p>
        </w:tc>
        <w:tc>
          <w:tcPr>
            <w:tcW w:w="1350" w:type="dxa"/>
            <w:tcBorders>
              <w:top w:val="nil"/>
              <w:left w:val="nil"/>
              <w:bottom w:val="single" w:sz="8" w:space="0" w:color="000000" w:themeColor="text1"/>
              <w:right w:val="single" w:sz="8" w:space="0" w:color="000000" w:themeColor="text1"/>
            </w:tcBorders>
            <w:vAlign w:val="center"/>
          </w:tcPr>
          <w:p w:rsidR="73A9246C" w:rsidRPr="73A9246C" w:rsidP="73A9246C" w14:paraId="5E163DB1" w14:textId="1F3AF0A4">
            <w:pPr>
              <w:jc w:val="right"/>
              <w:rPr>
                <w:rFonts w:ascii="Times New Roman" w:hAnsi="Times New Roman"/>
                <w:color w:val="000000" w:themeColor="text1"/>
                <w:sz w:val="18"/>
                <w:szCs w:val="18"/>
              </w:rPr>
            </w:pPr>
            <w:r w:rsidRPr="73A9246C">
              <w:rPr>
                <w:rFonts w:ascii="Times New Roman" w:hAnsi="Times New Roman"/>
                <w:color w:val="000000" w:themeColor="text1"/>
                <w:sz w:val="18"/>
                <w:szCs w:val="18"/>
              </w:rPr>
              <w:t>$62,090</w:t>
            </w:r>
          </w:p>
        </w:tc>
      </w:tr>
      <w:tr w14:paraId="7A04C76E" w14:textId="77777777" w:rsidTr="004B1219">
        <w:tblPrEx>
          <w:tblW w:w="9450" w:type="dxa"/>
          <w:tblInd w:w="-5" w:type="dxa"/>
          <w:tblLayout w:type="fixed"/>
          <w:tblLook w:val="04A0"/>
        </w:tblPrEx>
        <w:trPr>
          <w:cantSplit/>
          <w:trHeight w:val="300"/>
        </w:trPr>
        <w:tc>
          <w:tcPr>
            <w:tcW w:w="3780" w:type="dxa"/>
            <w:vAlign w:val="center"/>
          </w:tcPr>
          <w:p w:rsidR="00A71B6A" w:rsidRPr="00A1073C" w:rsidP="73A9246C" w14:paraId="7E777E9A" w14:textId="77777777">
            <w:pPr>
              <w:widowControl/>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00A1073C">
              <w:rPr>
                <w:rFonts w:ascii="Times New Roman" w:hAnsi="Times New Roman"/>
                <w:sz w:val="18"/>
                <w:szCs w:val="18"/>
              </w:rPr>
              <w:t>Operating, drilling, or development contracts</w:t>
            </w:r>
          </w:p>
          <w:p w:rsidR="00A71B6A" w:rsidRPr="00A1073C" w:rsidP="73A9246C" w14:paraId="4940C3D2" w14:textId="52C83C5F">
            <w:pPr>
              <w:widowControl/>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00A1073C">
              <w:rPr>
                <w:rFonts w:ascii="Times New Roman" w:hAnsi="Times New Roman"/>
                <w:sz w:val="18"/>
                <w:szCs w:val="18"/>
              </w:rPr>
              <w:t>43 CFR 3105.3</w:t>
            </w:r>
            <w:r>
              <w:rPr>
                <w:rFonts w:ascii="Times New Roman" w:hAnsi="Times New Roman"/>
                <w:sz w:val="18"/>
                <w:szCs w:val="18"/>
              </w:rPr>
              <w:t>1</w:t>
            </w:r>
          </w:p>
        </w:tc>
        <w:tc>
          <w:tcPr>
            <w:tcW w:w="1350" w:type="dxa"/>
            <w:vAlign w:val="center"/>
          </w:tcPr>
          <w:p w:rsidR="00A71B6A" w:rsidRPr="00A1073C" w:rsidP="73A9246C" w14:paraId="54A51C17" w14:textId="77777777">
            <w:pPr>
              <w:widowControl/>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sz w:val="18"/>
                <w:szCs w:val="18"/>
              </w:rPr>
            </w:pPr>
            <w:r w:rsidRPr="00A1073C">
              <w:rPr>
                <w:rFonts w:ascii="Times New Roman" w:hAnsi="Times New Roman"/>
                <w:sz w:val="18"/>
                <w:szCs w:val="18"/>
              </w:rPr>
              <w:t>1</w:t>
            </w:r>
          </w:p>
        </w:tc>
        <w:tc>
          <w:tcPr>
            <w:tcW w:w="990" w:type="dxa"/>
            <w:vAlign w:val="center"/>
          </w:tcPr>
          <w:p w:rsidR="00A71B6A" w:rsidRPr="00A1073C" w:rsidP="73A9246C" w14:paraId="5D337F29" w14:textId="77777777">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sidRPr="00A1073C">
              <w:rPr>
                <w:rFonts w:ascii="Times New Roman" w:hAnsi="Times New Roman"/>
                <w:sz w:val="18"/>
                <w:szCs w:val="18"/>
              </w:rPr>
              <w:t>1</w:t>
            </w:r>
          </w:p>
        </w:tc>
        <w:tc>
          <w:tcPr>
            <w:tcW w:w="990" w:type="dxa"/>
            <w:vAlign w:val="center"/>
          </w:tcPr>
          <w:p w:rsidR="00A71B6A" w:rsidRPr="00A1073C" w:rsidP="73A9246C" w14:paraId="1BA23BD0" w14:textId="77777777">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sidRPr="00A1073C">
              <w:rPr>
                <w:rFonts w:ascii="Times New Roman" w:hAnsi="Times New Roman"/>
                <w:sz w:val="18"/>
                <w:szCs w:val="18"/>
              </w:rPr>
              <w:t>1</w:t>
            </w:r>
          </w:p>
        </w:tc>
        <w:tc>
          <w:tcPr>
            <w:tcW w:w="990" w:type="dxa"/>
            <w:vAlign w:val="center"/>
          </w:tcPr>
          <w:p w:rsidR="00A71B6A" w:rsidRPr="00A1073C" w:rsidP="73A9246C" w14:paraId="7DD92154" w14:textId="28D8FF38">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sidRPr="73A9246C">
              <w:rPr>
                <w:rFonts w:ascii="Times New Roman" w:hAnsi="Times New Roman"/>
                <w:sz w:val="18"/>
                <w:szCs w:val="18"/>
              </w:rPr>
              <w:t>$55.24</w:t>
            </w:r>
          </w:p>
          <w:p w:rsidR="00A71B6A" w:rsidRPr="00A1073C" w:rsidP="73A9246C" w14:paraId="4E2E9510" w14:textId="78080B9D">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p>
        </w:tc>
        <w:tc>
          <w:tcPr>
            <w:tcW w:w="1350" w:type="dxa"/>
            <w:tcBorders>
              <w:top w:val="nil"/>
              <w:left w:val="nil"/>
              <w:bottom w:val="single" w:sz="8" w:space="0" w:color="000000" w:themeColor="text1"/>
              <w:right w:val="single" w:sz="8" w:space="0" w:color="000000" w:themeColor="text1"/>
            </w:tcBorders>
            <w:vAlign w:val="center"/>
          </w:tcPr>
          <w:p w:rsidR="73A9246C" w:rsidRPr="73A9246C" w:rsidP="73A9246C" w14:paraId="19190114" w14:textId="15707BB5">
            <w:pPr>
              <w:jc w:val="right"/>
              <w:rPr>
                <w:rFonts w:ascii="Times New Roman" w:hAnsi="Times New Roman"/>
                <w:color w:val="000000" w:themeColor="text1"/>
                <w:sz w:val="18"/>
                <w:szCs w:val="18"/>
              </w:rPr>
            </w:pPr>
            <w:r w:rsidRPr="73A9246C">
              <w:rPr>
                <w:rFonts w:ascii="Times New Roman" w:hAnsi="Times New Roman"/>
                <w:color w:val="000000" w:themeColor="text1"/>
                <w:sz w:val="18"/>
                <w:szCs w:val="18"/>
              </w:rPr>
              <w:t>$55</w:t>
            </w:r>
          </w:p>
        </w:tc>
      </w:tr>
      <w:tr w14:paraId="08CD3F11" w14:textId="77777777" w:rsidTr="004B1219">
        <w:tblPrEx>
          <w:tblW w:w="9450" w:type="dxa"/>
          <w:tblInd w:w="-5" w:type="dxa"/>
          <w:tblLayout w:type="fixed"/>
          <w:tblLook w:val="04A0"/>
        </w:tblPrEx>
        <w:trPr>
          <w:cantSplit/>
          <w:trHeight w:val="300"/>
        </w:trPr>
        <w:tc>
          <w:tcPr>
            <w:tcW w:w="3780" w:type="dxa"/>
            <w:vAlign w:val="center"/>
          </w:tcPr>
          <w:p w:rsidR="00A71B6A" w:rsidRPr="00A1073C" w:rsidP="73A9246C" w14:paraId="4D959315" w14:textId="77777777">
            <w:pPr>
              <w:widowControl/>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00A1073C">
              <w:rPr>
                <w:rFonts w:ascii="Times New Roman" w:hAnsi="Times New Roman"/>
                <w:sz w:val="18"/>
                <w:szCs w:val="18"/>
              </w:rPr>
              <w:t>Subsurface storage application</w:t>
            </w:r>
          </w:p>
          <w:p w:rsidR="00A71B6A" w:rsidRPr="00A1073C" w:rsidP="73A9246C" w14:paraId="7E3871EE" w14:textId="66C0E2CC">
            <w:pPr>
              <w:widowControl/>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00A1073C">
              <w:rPr>
                <w:rFonts w:ascii="Times New Roman" w:hAnsi="Times New Roman"/>
                <w:sz w:val="18"/>
                <w:szCs w:val="18"/>
              </w:rPr>
              <w:t>43 CFR 3105.</w:t>
            </w:r>
            <w:r>
              <w:rPr>
                <w:rFonts w:ascii="Times New Roman" w:hAnsi="Times New Roman"/>
                <w:sz w:val="18"/>
                <w:szCs w:val="18"/>
              </w:rPr>
              <w:t>41</w:t>
            </w:r>
          </w:p>
        </w:tc>
        <w:tc>
          <w:tcPr>
            <w:tcW w:w="1350" w:type="dxa"/>
            <w:vAlign w:val="center"/>
          </w:tcPr>
          <w:p w:rsidR="00A71B6A" w:rsidRPr="00A1073C" w:rsidP="73A9246C" w14:paraId="5677A77A" w14:textId="77777777">
            <w:pPr>
              <w:widowControl/>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sz w:val="18"/>
                <w:szCs w:val="18"/>
              </w:rPr>
            </w:pPr>
            <w:r w:rsidRPr="00A1073C">
              <w:rPr>
                <w:rFonts w:ascii="Times New Roman" w:hAnsi="Times New Roman"/>
                <w:sz w:val="18"/>
                <w:szCs w:val="18"/>
              </w:rPr>
              <w:t>1</w:t>
            </w:r>
          </w:p>
        </w:tc>
        <w:tc>
          <w:tcPr>
            <w:tcW w:w="990" w:type="dxa"/>
            <w:vAlign w:val="center"/>
          </w:tcPr>
          <w:p w:rsidR="00A71B6A" w:rsidRPr="00A1073C" w:rsidP="73A9246C" w14:paraId="4760E270" w14:textId="77777777">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sidRPr="00A1073C">
              <w:rPr>
                <w:rFonts w:ascii="Times New Roman" w:hAnsi="Times New Roman"/>
                <w:sz w:val="18"/>
                <w:szCs w:val="18"/>
              </w:rPr>
              <w:t>1</w:t>
            </w:r>
          </w:p>
        </w:tc>
        <w:tc>
          <w:tcPr>
            <w:tcW w:w="990" w:type="dxa"/>
            <w:vAlign w:val="center"/>
          </w:tcPr>
          <w:p w:rsidR="00A71B6A" w:rsidRPr="00A1073C" w:rsidP="73A9246C" w14:paraId="6ADBCAD6" w14:textId="77777777">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sidRPr="00A1073C">
              <w:rPr>
                <w:rFonts w:ascii="Times New Roman" w:hAnsi="Times New Roman"/>
                <w:sz w:val="18"/>
                <w:szCs w:val="18"/>
              </w:rPr>
              <w:t>1</w:t>
            </w:r>
          </w:p>
        </w:tc>
        <w:tc>
          <w:tcPr>
            <w:tcW w:w="990" w:type="dxa"/>
            <w:vAlign w:val="center"/>
          </w:tcPr>
          <w:p w:rsidR="00A71B6A" w:rsidRPr="00A1073C" w:rsidP="73A9246C" w14:paraId="0092DC8D" w14:textId="28D8FF38">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sidRPr="73A9246C">
              <w:rPr>
                <w:rFonts w:ascii="Times New Roman" w:hAnsi="Times New Roman"/>
                <w:sz w:val="18"/>
                <w:szCs w:val="18"/>
              </w:rPr>
              <w:t>$55.24</w:t>
            </w:r>
          </w:p>
          <w:p w:rsidR="00A71B6A" w:rsidRPr="00A1073C" w:rsidP="73A9246C" w14:paraId="200D53CF" w14:textId="6BEE3455">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p>
        </w:tc>
        <w:tc>
          <w:tcPr>
            <w:tcW w:w="1350" w:type="dxa"/>
            <w:tcBorders>
              <w:top w:val="nil"/>
              <w:left w:val="nil"/>
              <w:bottom w:val="single" w:sz="8" w:space="0" w:color="000000" w:themeColor="text1"/>
              <w:right w:val="single" w:sz="8" w:space="0" w:color="000000" w:themeColor="text1"/>
            </w:tcBorders>
            <w:vAlign w:val="center"/>
          </w:tcPr>
          <w:p w:rsidR="73A9246C" w:rsidRPr="73A9246C" w:rsidP="73A9246C" w14:paraId="14A59292" w14:textId="44B96BF8">
            <w:pPr>
              <w:jc w:val="right"/>
              <w:rPr>
                <w:rFonts w:ascii="Times New Roman" w:hAnsi="Times New Roman"/>
                <w:color w:val="000000" w:themeColor="text1"/>
                <w:sz w:val="18"/>
                <w:szCs w:val="18"/>
              </w:rPr>
            </w:pPr>
            <w:r w:rsidRPr="73A9246C">
              <w:rPr>
                <w:rFonts w:ascii="Times New Roman" w:hAnsi="Times New Roman"/>
                <w:color w:val="000000" w:themeColor="text1"/>
                <w:sz w:val="18"/>
                <w:szCs w:val="18"/>
              </w:rPr>
              <w:t>$55</w:t>
            </w:r>
          </w:p>
        </w:tc>
      </w:tr>
      <w:tr w14:paraId="6D73C651" w14:textId="77777777" w:rsidTr="004B1219">
        <w:tblPrEx>
          <w:tblW w:w="9450" w:type="dxa"/>
          <w:tblInd w:w="-5" w:type="dxa"/>
          <w:tblLayout w:type="fixed"/>
          <w:tblLook w:val="04A0"/>
        </w:tblPrEx>
        <w:trPr>
          <w:cantSplit/>
          <w:trHeight w:val="300"/>
        </w:trPr>
        <w:tc>
          <w:tcPr>
            <w:tcW w:w="3780" w:type="dxa"/>
            <w:vAlign w:val="center"/>
          </w:tcPr>
          <w:p w:rsidR="00A71B6A" w:rsidRPr="00A1073C" w:rsidP="73A9246C" w14:paraId="44F918D6" w14:textId="77777777">
            <w:pPr>
              <w:widowControl/>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00A1073C">
              <w:rPr>
                <w:rFonts w:ascii="Times New Roman" w:hAnsi="Times New Roman"/>
                <w:sz w:val="18"/>
                <w:szCs w:val="18"/>
              </w:rPr>
              <w:t>Consolidation of leases</w:t>
            </w:r>
          </w:p>
          <w:p w:rsidR="00A71B6A" w:rsidRPr="00A1073C" w:rsidP="73A9246C" w14:paraId="233AA349" w14:textId="096CCFAA">
            <w:pPr>
              <w:widowControl/>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00A1073C">
              <w:rPr>
                <w:rFonts w:ascii="Times New Roman" w:hAnsi="Times New Roman"/>
                <w:sz w:val="18"/>
                <w:szCs w:val="18"/>
              </w:rPr>
              <w:t>43 CFR 3105.</w:t>
            </w:r>
            <w:r>
              <w:rPr>
                <w:rFonts w:ascii="Times New Roman" w:hAnsi="Times New Roman"/>
                <w:sz w:val="18"/>
                <w:szCs w:val="18"/>
              </w:rPr>
              <w:t>50</w:t>
            </w:r>
          </w:p>
        </w:tc>
        <w:tc>
          <w:tcPr>
            <w:tcW w:w="1350" w:type="dxa"/>
            <w:vAlign w:val="center"/>
          </w:tcPr>
          <w:p w:rsidR="00A71B6A" w:rsidRPr="00A1073C" w:rsidP="73A9246C" w14:paraId="1B96DD52" w14:textId="77777777">
            <w:pPr>
              <w:widowControl/>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sz w:val="18"/>
                <w:szCs w:val="18"/>
              </w:rPr>
            </w:pPr>
            <w:r>
              <w:rPr>
                <w:rFonts w:ascii="Times New Roman" w:hAnsi="Times New Roman"/>
                <w:sz w:val="18"/>
                <w:szCs w:val="18"/>
              </w:rPr>
              <w:t>50</w:t>
            </w:r>
          </w:p>
        </w:tc>
        <w:tc>
          <w:tcPr>
            <w:tcW w:w="990" w:type="dxa"/>
            <w:vAlign w:val="center"/>
          </w:tcPr>
          <w:p w:rsidR="00A71B6A" w:rsidRPr="00A1073C" w:rsidP="73A9246C" w14:paraId="05B5564E" w14:textId="77777777">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sidRPr="00A1073C">
              <w:rPr>
                <w:rFonts w:ascii="Times New Roman" w:hAnsi="Times New Roman"/>
                <w:sz w:val="18"/>
                <w:szCs w:val="18"/>
              </w:rPr>
              <w:t>3</w:t>
            </w:r>
          </w:p>
        </w:tc>
        <w:tc>
          <w:tcPr>
            <w:tcW w:w="990" w:type="dxa"/>
            <w:vAlign w:val="center"/>
          </w:tcPr>
          <w:p w:rsidR="00A71B6A" w:rsidRPr="00A1073C" w:rsidP="73A9246C" w14:paraId="18BC94B4" w14:textId="77777777">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Pr>
                <w:rFonts w:ascii="Times New Roman" w:hAnsi="Times New Roman"/>
                <w:sz w:val="18"/>
                <w:szCs w:val="18"/>
              </w:rPr>
              <w:t>150</w:t>
            </w:r>
          </w:p>
        </w:tc>
        <w:tc>
          <w:tcPr>
            <w:tcW w:w="990" w:type="dxa"/>
            <w:vAlign w:val="center"/>
          </w:tcPr>
          <w:p w:rsidR="00A71B6A" w:rsidRPr="00A1073C" w:rsidP="73A9246C" w14:paraId="191D0466" w14:textId="28D8FF38">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sidRPr="73A9246C">
              <w:rPr>
                <w:rFonts w:ascii="Times New Roman" w:hAnsi="Times New Roman"/>
                <w:sz w:val="18"/>
                <w:szCs w:val="18"/>
              </w:rPr>
              <w:t>$55.24</w:t>
            </w:r>
          </w:p>
          <w:p w:rsidR="00A71B6A" w:rsidRPr="00A1073C" w:rsidP="73A9246C" w14:paraId="322F1099" w14:textId="5DC78709">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p>
        </w:tc>
        <w:tc>
          <w:tcPr>
            <w:tcW w:w="1350" w:type="dxa"/>
            <w:tcBorders>
              <w:top w:val="nil"/>
              <w:left w:val="nil"/>
              <w:bottom w:val="single" w:sz="8" w:space="0" w:color="000000" w:themeColor="text1"/>
              <w:right w:val="single" w:sz="8" w:space="0" w:color="000000" w:themeColor="text1"/>
            </w:tcBorders>
            <w:vAlign w:val="center"/>
          </w:tcPr>
          <w:p w:rsidR="73A9246C" w:rsidRPr="73A9246C" w:rsidP="73A9246C" w14:paraId="3ECF6E8A" w14:textId="2CAEB324">
            <w:pPr>
              <w:jc w:val="right"/>
              <w:rPr>
                <w:rFonts w:ascii="Times New Roman" w:hAnsi="Times New Roman"/>
                <w:color w:val="000000" w:themeColor="text1"/>
                <w:sz w:val="18"/>
                <w:szCs w:val="18"/>
              </w:rPr>
            </w:pPr>
            <w:r w:rsidRPr="73A9246C">
              <w:rPr>
                <w:rFonts w:ascii="Times New Roman" w:hAnsi="Times New Roman"/>
                <w:color w:val="000000" w:themeColor="text1"/>
                <w:sz w:val="18"/>
                <w:szCs w:val="18"/>
              </w:rPr>
              <w:t>$8,286</w:t>
            </w:r>
          </w:p>
        </w:tc>
      </w:tr>
      <w:tr w14:paraId="5B8789E4" w14:textId="77777777" w:rsidTr="004B1219">
        <w:tblPrEx>
          <w:tblW w:w="9450" w:type="dxa"/>
          <w:tblInd w:w="-5" w:type="dxa"/>
          <w:tblLayout w:type="fixed"/>
          <w:tblLook w:val="04A0"/>
        </w:tblPrEx>
        <w:trPr>
          <w:cantSplit/>
          <w:trHeight w:val="300"/>
        </w:trPr>
        <w:tc>
          <w:tcPr>
            <w:tcW w:w="3780" w:type="dxa"/>
            <w:vAlign w:val="center"/>
          </w:tcPr>
          <w:p w:rsidR="00A71B6A" w:rsidRPr="008571AD" w:rsidP="73A9246C" w14:paraId="3A41B0B3" w14:textId="77777777">
            <w:pPr>
              <w:widowControl/>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008571AD">
              <w:rPr>
                <w:rFonts w:ascii="Times New Roman" w:hAnsi="Times New Roman"/>
                <w:sz w:val="18"/>
                <w:szCs w:val="18"/>
              </w:rPr>
              <w:t>Assignment of Record Title Interest / Oil and Gas Leases</w:t>
            </w:r>
          </w:p>
          <w:p w:rsidR="00A71B6A" w:rsidRPr="008571AD" w:rsidP="73A9246C" w14:paraId="0524A3C4" w14:textId="15B6606C">
            <w:pPr>
              <w:widowControl/>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008571AD">
              <w:rPr>
                <w:rFonts w:ascii="Times New Roman" w:hAnsi="Times New Roman"/>
                <w:sz w:val="18"/>
                <w:szCs w:val="18"/>
              </w:rPr>
              <w:t>43 CFR 3106.4</w:t>
            </w:r>
            <w:r>
              <w:rPr>
                <w:rFonts w:ascii="Times New Roman" w:hAnsi="Times New Roman"/>
                <w:sz w:val="18"/>
                <w:szCs w:val="18"/>
              </w:rPr>
              <w:t>1,</w:t>
            </w:r>
            <w:r w:rsidRPr="00C44AFB">
              <w:rPr>
                <w:rFonts w:ascii="Times New Roman" w:hAnsi="Times New Roman"/>
                <w:sz w:val="18"/>
                <w:szCs w:val="18"/>
              </w:rPr>
              <w:t xml:space="preserve"> 3106.4</w:t>
            </w:r>
            <w:r>
              <w:rPr>
                <w:rFonts w:ascii="Times New Roman" w:hAnsi="Times New Roman"/>
                <w:sz w:val="18"/>
                <w:szCs w:val="18"/>
              </w:rPr>
              <w:t>2 and 3106.43</w:t>
            </w:r>
          </w:p>
          <w:p w:rsidR="00A71B6A" w:rsidRPr="00A1073C" w:rsidP="73A9246C" w14:paraId="37994600" w14:textId="69AB366C">
            <w:pPr>
              <w:widowControl/>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008571AD">
              <w:rPr>
                <w:rFonts w:ascii="Times New Roman" w:hAnsi="Times New Roman"/>
                <w:sz w:val="18"/>
                <w:szCs w:val="18"/>
              </w:rPr>
              <w:t>Form</w:t>
            </w:r>
            <w:r w:rsidRPr="008571AD">
              <w:rPr>
                <w:rFonts w:ascii="Times New Roman" w:hAnsi="Times New Roman"/>
                <w:sz w:val="18"/>
                <w:szCs w:val="18"/>
              </w:rPr>
              <w:t xml:space="preserve"> 3000-3</w:t>
            </w:r>
          </w:p>
        </w:tc>
        <w:tc>
          <w:tcPr>
            <w:tcW w:w="1350" w:type="dxa"/>
            <w:vAlign w:val="center"/>
          </w:tcPr>
          <w:p w:rsidR="00A71B6A" w:rsidP="73A9246C" w14:paraId="0E1F3A35" w14:textId="1F2D08BD">
            <w:pPr>
              <w:widowControl/>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sz w:val="18"/>
                <w:szCs w:val="18"/>
              </w:rPr>
            </w:pPr>
            <w:r>
              <w:rPr>
                <w:rFonts w:ascii="Times New Roman" w:hAnsi="Times New Roman"/>
                <w:sz w:val="18"/>
                <w:szCs w:val="18"/>
              </w:rPr>
              <w:t>3,852</w:t>
            </w:r>
          </w:p>
        </w:tc>
        <w:tc>
          <w:tcPr>
            <w:tcW w:w="990" w:type="dxa"/>
            <w:vAlign w:val="center"/>
          </w:tcPr>
          <w:p w:rsidR="00A71B6A" w:rsidRPr="00A1073C" w:rsidP="73A9246C" w14:paraId="5F08AC50" w14:textId="783FD92F">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Pr>
                <w:rFonts w:ascii="Times New Roman" w:hAnsi="Times New Roman"/>
                <w:sz w:val="18"/>
                <w:szCs w:val="18"/>
              </w:rPr>
              <w:t>.5</w:t>
            </w:r>
          </w:p>
        </w:tc>
        <w:tc>
          <w:tcPr>
            <w:tcW w:w="990" w:type="dxa"/>
            <w:vAlign w:val="center"/>
          </w:tcPr>
          <w:p w:rsidR="00A71B6A" w:rsidP="73A9246C" w14:paraId="6AC76794" w14:textId="02AB542B">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Pr>
                <w:rFonts w:ascii="Times New Roman" w:hAnsi="Times New Roman"/>
                <w:sz w:val="18"/>
                <w:szCs w:val="18"/>
              </w:rPr>
              <w:t>1,926</w:t>
            </w:r>
          </w:p>
        </w:tc>
        <w:tc>
          <w:tcPr>
            <w:tcW w:w="990" w:type="dxa"/>
            <w:vAlign w:val="center"/>
          </w:tcPr>
          <w:p w:rsidR="00A71B6A" w:rsidRPr="001B6ED0" w:rsidP="73A9246C" w14:paraId="0B690AEC" w14:textId="4184EE8C">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sidRPr="73A9246C">
              <w:rPr>
                <w:rFonts w:ascii="Times New Roman" w:hAnsi="Times New Roman"/>
                <w:sz w:val="18"/>
                <w:szCs w:val="18"/>
              </w:rPr>
              <w:t>$55.24</w:t>
            </w:r>
          </w:p>
          <w:p w:rsidR="00A71B6A" w:rsidRPr="001B6ED0" w:rsidP="73A9246C" w14:paraId="7EDD95E4" w14:textId="11D2FB20">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p>
        </w:tc>
        <w:tc>
          <w:tcPr>
            <w:tcW w:w="1350" w:type="dxa"/>
            <w:tcBorders>
              <w:top w:val="nil"/>
              <w:left w:val="nil"/>
              <w:bottom w:val="single" w:sz="8" w:space="0" w:color="000000" w:themeColor="text1"/>
              <w:right w:val="single" w:sz="8" w:space="0" w:color="000000" w:themeColor="text1"/>
            </w:tcBorders>
            <w:vAlign w:val="center"/>
          </w:tcPr>
          <w:p w:rsidR="73A9246C" w:rsidRPr="73A9246C" w:rsidP="73A9246C" w14:paraId="278B4E81" w14:textId="3717A9BA">
            <w:pPr>
              <w:jc w:val="right"/>
              <w:rPr>
                <w:rFonts w:ascii="Times New Roman" w:hAnsi="Times New Roman"/>
                <w:color w:val="000000" w:themeColor="text1"/>
                <w:sz w:val="18"/>
                <w:szCs w:val="18"/>
              </w:rPr>
            </w:pPr>
            <w:r w:rsidRPr="73A9246C">
              <w:rPr>
                <w:rFonts w:ascii="Times New Roman" w:hAnsi="Times New Roman"/>
                <w:color w:val="000000" w:themeColor="text1"/>
                <w:sz w:val="18"/>
                <w:szCs w:val="18"/>
              </w:rPr>
              <w:t>$106,392</w:t>
            </w:r>
          </w:p>
        </w:tc>
      </w:tr>
      <w:tr w14:paraId="1456B5C3" w14:textId="77777777" w:rsidTr="004B1219">
        <w:tblPrEx>
          <w:tblW w:w="9450" w:type="dxa"/>
          <w:tblInd w:w="-5" w:type="dxa"/>
          <w:tblLayout w:type="fixed"/>
          <w:tblLook w:val="04A0"/>
        </w:tblPrEx>
        <w:trPr>
          <w:cantSplit/>
          <w:trHeight w:val="300"/>
        </w:trPr>
        <w:tc>
          <w:tcPr>
            <w:tcW w:w="3780" w:type="dxa"/>
            <w:vAlign w:val="center"/>
          </w:tcPr>
          <w:p w:rsidR="00A71B6A" w:rsidRPr="00C44AFB" w:rsidP="73A9246C" w14:paraId="6CD88E97" w14:textId="77777777">
            <w:pPr>
              <w:widowControl/>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00C44AFB">
              <w:rPr>
                <w:rFonts w:ascii="Times New Roman" w:hAnsi="Times New Roman"/>
                <w:sz w:val="18"/>
                <w:szCs w:val="18"/>
              </w:rPr>
              <w:t>Transfer of Operating Rights / Oil and Gas Leases</w:t>
            </w:r>
          </w:p>
          <w:p w:rsidR="00A71B6A" w:rsidRPr="00C44AFB" w:rsidP="73A9246C" w14:paraId="4AE317E3" w14:textId="0F495189">
            <w:pPr>
              <w:widowControl/>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00C44AFB">
              <w:rPr>
                <w:rFonts w:ascii="Times New Roman" w:hAnsi="Times New Roman"/>
                <w:sz w:val="18"/>
                <w:szCs w:val="18"/>
              </w:rPr>
              <w:t>43 CFR 3106.4</w:t>
            </w:r>
            <w:r>
              <w:rPr>
                <w:rFonts w:ascii="Times New Roman" w:hAnsi="Times New Roman"/>
                <w:sz w:val="18"/>
                <w:szCs w:val="18"/>
              </w:rPr>
              <w:t>1, 3106.4-2, and 3106.43</w:t>
            </w:r>
          </w:p>
          <w:p w:rsidR="00A71B6A" w:rsidRPr="00A1073C" w:rsidP="73A9246C" w14:paraId="3EFC7D9F" w14:textId="05184200">
            <w:pPr>
              <w:widowControl/>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00C44AFB">
              <w:rPr>
                <w:rFonts w:ascii="Times New Roman" w:hAnsi="Times New Roman"/>
                <w:sz w:val="18"/>
                <w:szCs w:val="18"/>
              </w:rPr>
              <w:t>Form 3000-</w:t>
            </w:r>
            <w:r w:rsidRPr="00C44AFB">
              <w:rPr>
                <w:rFonts w:ascii="Times New Roman" w:hAnsi="Times New Roman"/>
                <w:sz w:val="18"/>
                <w:szCs w:val="18"/>
              </w:rPr>
              <w:t>3a</w:t>
            </w:r>
          </w:p>
        </w:tc>
        <w:tc>
          <w:tcPr>
            <w:tcW w:w="1350" w:type="dxa"/>
            <w:vAlign w:val="center"/>
          </w:tcPr>
          <w:p w:rsidR="00A71B6A" w:rsidP="73A9246C" w14:paraId="776C0597" w14:textId="3FC97AF1">
            <w:pPr>
              <w:widowControl/>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sz w:val="18"/>
                <w:szCs w:val="18"/>
              </w:rPr>
            </w:pPr>
            <w:r>
              <w:rPr>
                <w:rFonts w:ascii="Times New Roman" w:hAnsi="Times New Roman"/>
                <w:sz w:val="18"/>
                <w:szCs w:val="18"/>
              </w:rPr>
              <w:t>4,944</w:t>
            </w:r>
          </w:p>
        </w:tc>
        <w:tc>
          <w:tcPr>
            <w:tcW w:w="990" w:type="dxa"/>
            <w:vAlign w:val="center"/>
          </w:tcPr>
          <w:p w:rsidR="00A71B6A" w:rsidRPr="00A1073C" w:rsidP="73A9246C" w14:paraId="061F60FA" w14:textId="190D279E">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Pr>
                <w:rFonts w:ascii="Times New Roman" w:hAnsi="Times New Roman"/>
                <w:sz w:val="18"/>
                <w:szCs w:val="18"/>
              </w:rPr>
              <w:t>.5</w:t>
            </w:r>
          </w:p>
        </w:tc>
        <w:tc>
          <w:tcPr>
            <w:tcW w:w="990" w:type="dxa"/>
            <w:vAlign w:val="center"/>
          </w:tcPr>
          <w:p w:rsidR="00A71B6A" w:rsidP="73A9246C" w14:paraId="7CD818AE" w14:textId="6AD381C4">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Pr>
                <w:rFonts w:ascii="Times New Roman" w:hAnsi="Times New Roman"/>
                <w:sz w:val="18"/>
                <w:szCs w:val="18"/>
              </w:rPr>
              <w:t>2,472</w:t>
            </w:r>
          </w:p>
        </w:tc>
        <w:tc>
          <w:tcPr>
            <w:tcW w:w="990" w:type="dxa"/>
            <w:vAlign w:val="center"/>
          </w:tcPr>
          <w:p w:rsidR="00A71B6A" w:rsidRPr="001B6ED0" w:rsidP="73A9246C" w14:paraId="3A3ADDAF" w14:textId="28D8FF38">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sidRPr="73A9246C">
              <w:rPr>
                <w:rFonts w:ascii="Times New Roman" w:hAnsi="Times New Roman"/>
                <w:sz w:val="18"/>
                <w:szCs w:val="18"/>
              </w:rPr>
              <w:t>$55.24</w:t>
            </w:r>
          </w:p>
          <w:p w:rsidR="00A71B6A" w:rsidRPr="001B6ED0" w:rsidP="73A9246C" w14:paraId="0937BE74" w14:textId="7C994E58">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p>
        </w:tc>
        <w:tc>
          <w:tcPr>
            <w:tcW w:w="1350" w:type="dxa"/>
            <w:tcBorders>
              <w:top w:val="nil"/>
              <w:left w:val="nil"/>
              <w:bottom w:val="single" w:sz="8" w:space="0" w:color="000000" w:themeColor="text1"/>
              <w:right w:val="single" w:sz="8" w:space="0" w:color="000000" w:themeColor="text1"/>
            </w:tcBorders>
            <w:vAlign w:val="center"/>
          </w:tcPr>
          <w:p w:rsidR="73A9246C" w:rsidRPr="73A9246C" w:rsidP="73A9246C" w14:paraId="6246B157" w14:textId="66936027">
            <w:pPr>
              <w:jc w:val="right"/>
              <w:rPr>
                <w:rFonts w:ascii="Times New Roman" w:hAnsi="Times New Roman"/>
                <w:color w:val="000000" w:themeColor="text1"/>
                <w:sz w:val="18"/>
                <w:szCs w:val="18"/>
              </w:rPr>
            </w:pPr>
            <w:r w:rsidRPr="73A9246C">
              <w:rPr>
                <w:rFonts w:ascii="Times New Roman" w:hAnsi="Times New Roman"/>
                <w:color w:val="000000" w:themeColor="text1"/>
                <w:sz w:val="18"/>
                <w:szCs w:val="18"/>
              </w:rPr>
              <w:t>$136,553</w:t>
            </w:r>
          </w:p>
        </w:tc>
      </w:tr>
      <w:tr w14:paraId="276812B2" w14:textId="77777777" w:rsidTr="004B1219">
        <w:tblPrEx>
          <w:tblW w:w="9450" w:type="dxa"/>
          <w:tblInd w:w="-5" w:type="dxa"/>
          <w:tblLayout w:type="fixed"/>
          <w:tblLook w:val="04A0"/>
        </w:tblPrEx>
        <w:trPr>
          <w:cantSplit/>
          <w:trHeight w:val="300"/>
        </w:trPr>
        <w:tc>
          <w:tcPr>
            <w:tcW w:w="3780" w:type="dxa"/>
            <w:vAlign w:val="center"/>
          </w:tcPr>
          <w:p w:rsidR="00A71B6A" w:rsidRPr="00A1073C" w:rsidP="73A9246C" w14:paraId="0D8C112F" w14:textId="77777777">
            <w:pPr>
              <w:widowControl/>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00A1073C">
              <w:rPr>
                <w:rFonts w:ascii="Times New Roman" w:hAnsi="Times New Roman"/>
                <w:sz w:val="18"/>
                <w:szCs w:val="18"/>
              </w:rPr>
              <w:t>Heirs and devisees</w:t>
            </w:r>
          </w:p>
          <w:p w:rsidR="00A71B6A" w:rsidRPr="00A1073C" w:rsidP="73A9246C" w14:paraId="517BE003" w14:textId="4164591E">
            <w:pPr>
              <w:widowControl/>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00A1073C">
              <w:rPr>
                <w:rFonts w:ascii="Times New Roman" w:hAnsi="Times New Roman"/>
                <w:sz w:val="18"/>
                <w:szCs w:val="18"/>
              </w:rPr>
              <w:t>43 CFR 3106.8</w:t>
            </w:r>
            <w:r>
              <w:rPr>
                <w:rFonts w:ascii="Times New Roman" w:hAnsi="Times New Roman"/>
                <w:sz w:val="18"/>
                <w:szCs w:val="18"/>
              </w:rPr>
              <w:t>1</w:t>
            </w:r>
          </w:p>
        </w:tc>
        <w:tc>
          <w:tcPr>
            <w:tcW w:w="1350" w:type="dxa"/>
            <w:vAlign w:val="center"/>
          </w:tcPr>
          <w:p w:rsidR="00A71B6A" w:rsidRPr="00A1073C" w:rsidP="73A9246C" w14:paraId="184DA5D0" w14:textId="77777777">
            <w:pPr>
              <w:widowControl/>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sz w:val="18"/>
                <w:szCs w:val="18"/>
              </w:rPr>
            </w:pPr>
            <w:r>
              <w:rPr>
                <w:rFonts w:ascii="Times New Roman" w:hAnsi="Times New Roman"/>
                <w:sz w:val="18"/>
                <w:szCs w:val="18"/>
              </w:rPr>
              <w:t>46</w:t>
            </w:r>
          </w:p>
        </w:tc>
        <w:tc>
          <w:tcPr>
            <w:tcW w:w="990" w:type="dxa"/>
            <w:vAlign w:val="center"/>
          </w:tcPr>
          <w:p w:rsidR="00A71B6A" w:rsidRPr="00A1073C" w:rsidP="73A9246C" w14:paraId="75DEE46A" w14:textId="77777777">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sidRPr="00A1073C">
              <w:rPr>
                <w:rFonts w:ascii="Times New Roman" w:hAnsi="Times New Roman"/>
                <w:sz w:val="18"/>
                <w:szCs w:val="18"/>
              </w:rPr>
              <w:t>1</w:t>
            </w:r>
          </w:p>
        </w:tc>
        <w:tc>
          <w:tcPr>
            <w:tcW w:w="990" w:type="dxa"/>
            <w:vAlign w:val="center"/>
          </w:tcPr>
          <w:p w:rsidR="00A71B6A" w:rsidRPr="00A1073C" w:rsidP="73A9246C" w14:paraId="02EDBE22" w14:textId="77777777">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Pr>
                <w:rFonts w:ascii="Times New Roman" w:hAnsi="Times New Roman"/>
                <w:sz w:val="18"/>
                <w:szCs w:val="18"/>
              </w:rPr>
              <w:t>46</w:t>
            </w:r>
          </w:p>
        </w:tc>
        <w:tc>
          <w:tcPr>
            <w:tcW w:w="990" w:type="dxa"/>
            <w:vAlign w:val="center"/>
          </w:tcPr>
          <w:p w:rsidR="00A71B6A" w:rsidRPr="00A1073C" w:rsidP="73A9246C" w14:paraId="42956201" w14:textId="28D8FF38">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sidRPr="73A9246C">
              <w:rPr>
                <w:rFonts w:ascii="Times New Roman" w:hAnsi="Times New Roman"/>
                <w:sz w:val="18"/>
                <w:szCs w:val="18"/>
              </w:rPr>
              <w:t>$55.24</w:t>
            </w:r>
          </w:p>
          <w:p w:rsidR="00A71B6A" w:rsidRPr="00A1073C" w:rsidP="73A9246C" w14:paraId="25ABE8FD" w14:textId="5D1A444F">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p>
        </w:tc>
        <w:tc>
          <w:tcPr>
            <w:tcW w:w="1350" w:type="dxa"/>
            <w:tcBorders>
              <w:top w:val="nil"/>
              <w:left w:val="nil"/>
              <w:bottom w:val="single" w:sz="8" w:space="0" w:color="000000" w:themeColor="text1"/>
              <w:right w:val="single" w:sz="8" w:space="0" w:color="000000" w:themeColor="text1"/>
            </w:tcBorders>
            <w:vAlign w:val="center"/>
          </w:tcPr>
          <w:p w:rsidR="73A9246C" w:rsidRPr="73A9246C" w:rsidP="73A9246C" w14:paraId="75FF13C1" w14:textId="439E19EF">
            <w:pPr>
              <w:jc w:val="right"/>
              <w:rPr>
                <w:rFonts w:ascii="Times New Roman" w:hAnsi="Times New Roman"/>
                <w:color w:val="000000" w:themeColor="text1"/>
                <w:sz w:val="18"/>
                <w:szCs w:val="18"/>
              </w:rPr>
            </w:pPr>
            <w:r w:rsidRPr="73A9246C">
              <w:rPr>
                <w:rFonts w:ascii="Times New Roman" w:hAnsi="Times New Roman"/>
                <w:color w:val="000000" w:themeColor="text1"/>
                <w:sz w:val="18"/>
                <w:szCs w:val="18"/>
              </w:rPr>
              <w:t>$2,541</w:t>
            </w:r>
          </w:p>
        </w:tc>
      </w:tr>
      <w:tr w14:paraId="4CAFA9C7" w14:textId="77777777" w:rsidTr="004B1219">
        <w:tblPrEx>
          <w:tblW w:w="9450" w:type="dxa"/>
          <w:tblInd w:w="-5" w:type="dxa"/>
          <w:tblLayout w:type="fixed"/>
          <w:tblLook w:val="04A0"/>
        </w:tblPrEx>
        <w:trPr>
          <w:cantSplit/>
          <w:trHeight w:val="300"/>
        </w:trPr>
        <w:tc>
          <w:tcPr>
            <w:tcW w:w="3780" w:type="dxa"/>
            <w:vAlign w:val="center"/>
          </w:tcPr>
          <w:p w:rsidR="00A71B6A" w:rsidRPr="00A1073C" w:rsidP="73A9246C" w14:paraId="5EA1EC16" w14:textId="77777777">
            <w:pPr>
              <w:widowControl/>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00A1073C">
              <w:rPr>
                <w:rFonts w:ascii="Times New Roman" w:hAnsi="Times New Roman"/>
                <w:sz w:val="18"/>
                <w:szCs w:val="18"/>
              </w:rPr>
              <w:t>Change of name</w:t>
            </w:r>
          </w:p>
          <w:p w:rsidR="00A71B6A" w:rsidRPr="00A1073C" w:rsidP="73A9246C" w14:paraId="04EAF564" w14:textId="41BBBDEC">
            <w:pPr>
              <w:widowControl/>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00A1073C">
              <w:rPr>
                <w:rFonts w:ascii="Times New Roman" w:hAnsi="Times New Roman"/>
                <w:sz w:val="18"/>
                <w:szCs w:val="18"/>
              </w:rPr>
              <w:t>43 CFR 3106.8</w:t>
            </w:r>
            <w:r>
              <w:rPr>
                <w:rFonts w:ascii="Times New Roman" w:hAnsi="Times New Roman"/>
                <w:sz w:val="18"/>
                <w:szCs w:val="18"/>
              </w:rPr>
              <w:t>2</w:t>
            </w:r>
          </w:p>
        </w:tc>
        <w:tc>
          <w:tcPr>
            <w:tcW w:w="1350" w:type="dxa"/>
            <w:vAlign w:val="center"/>
          </w:tcPr>
          <w:p w:rsidR="00A71B6A" w:rsidRPr="00A1073C" w:rsidP="73A9246C" w14:paraId="44D4B84C" w14:textId="77777777">
            <w:pPr>
              <w:widowControl/>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sz w:val="18"/>
                <w:szCs w:val="18"/>
              </w:rPr>
            </w:pPr>
            <w:r>
              <w:rPr>
                <w:rFonts w:ascii="Times New Roman" w:hAnsi="Times New Roman"/>
                <w:sz w:val="18"/>
                <w:szCs w:val="18"/>
              </w:rPr>
              <w:t>2,432</w:t>
            </w:r>
          </w:p>
        </w:tc>
        <w:tc>
          <w:tcPr>
            <w:tcW w:w="990" w:type="dxa"/>
            <w:vAlign w:val="center"/>
          </w:tcPr>
          <w:p w:rsidR="00A71B6A" w:rsidRPr="00A1073C" w:rsidP="73A9246C" w14:paraId="2FAF1394" w14:textId="77777777">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sidRPr="00A1073C">
              <w:rPr>
                <w:rFonts w:ascii="Times New Roman" w:hAnsi="Times New Roman"/>
                <w:sz w:val="18"/>
                <w:szCs w:val="18"/>
              </w:rPr>
              <w:t>1</w:t>
            </w:r>
          </w:p>
        </w:tc>
        <w:tc>
          <w:tcPr>
            <w:tcW w:w="990" w:type="dxa"/>
            <w:vAlign w:val="center"/>
          </w:tcPr>
          <w:p w:rsidR="00A71B6A" w:rsidRPr="00A1073C" w:rsidP="73A9246C" w14:paraId="6A8ED1AE" w14:textId="77777777">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Pr>
                <w:rFonts w:ascii="Times New Roman" w:hAnsi="Times New Roman"/>
                <w:sz w:val="18"/>
                <w:szCs w:val="18"/>
              </w:rPr>
              <w:t>2,432</w:t>
            </w:r>
          </w:p>
        </w:tc>
        <w:tc>
          <w:tcPr>
            <w:tcW w:w="990" w:type="dxa"/>
            <w:vAlign w:val="center"/>
          </w:tcPr>
          <w:p w:rsidR="00A71B6A" w:rsidRPr="00A1073C" w:rsidP="73A9246C" w14:paraId="74406946" w14:textId="28D8FF38">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sidRPr="73A9246C">
              <w:rPr>
                <w:rFonts w:ascii="Times New Roman" w:hAnsi="Times New Roman"/>
                <w:sz w:val="18"/>
                <w:szCs w:val="18"/>
              </w:rPr>
              <w:t>$55.24</w:t>
            </w:r>
          </w:p>
          <w:p w:rsidR="00A71B6A" w:rsidRPr="00A1073C" w:rsidP="73A9246C" w14:paraId="2AA53577" w14:textId="500880B1">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p>
        </w:tc>
        <w:tc>
          <w:tcPr>
            <w:tcW w:w="1350" w:type="dxa"/>
            <w:tcBorders>
              <w:top w:val="nil"/>
              <w:left w:val="nil"/>
              <w:bottom w:val="single" w:sz="8" w:space="0" w:color="000000" w:themeColor="text1"/>
              <w:right w:val="single" w:sz="8" w:space="0" w:color="000000" w:themeColor="text1"/>
            </w:tcBorders>
            <w:vAlign w:val="center"/>
          </w:tcPr>
          <w:p w:rsidR="73A9246C" w:rsidRPr="73A9246C" w:rsidP="73A9246C" w14:paraId="5C46CB40" w14:textId="183C02B4">
            <w:pPr>
              <w:jc w:val="right"/>
              <w:rPr>
                <w:rFonts w:ascii="Times New Roman" w:hAnsi="Times New Roman"/>
                <w:color w:val="000000" w:themeColor="text1"/>
                <w:sz w:val="18"/>
                <w:szCs w:val="18"/>
              </w:rPr>
            </w:pPr>
            <w:r w:rsidRPr="73A9246C">
              <w:rPr>
                <w:rFonts w:ascii="Times New Roman" w:hAnsi="Times New Roman"/>
                <w:color w:val="000000" w:themeColor="text1"/>
                <w:sz w:val="18"/>
                <w:szCs w:val="18"/>
              </w:rPr>
              <w:t>$134,344</w:t>
            </w:r>
          </w:p>
        </w:tc>
      </w:tr>
      <w:tr w14:paraId="3A138EDA" w14:textId="77777777" w:rsidTr="004B1219">
        <w:tblPrEx>
          <w:tblW w:w="9450" w:type="dxa"/>
          <w:tblInd w:w="-5" w:type="dxa"/>
          <w:tblLayout w:type="fixed"/>
          <w:tblLook w:val="04A0"/>
        </w:tblPrEx>
        <w:trPr>
          <w:cantSplit/>
          <w:trHeight w:val="300"/>
        </w:trPr>
        <w:tc>
          <w:tcPr>
            <w:tcW w:w="3780" w:type="dxa"/>
            <w:vAlign w:val="center"/>
          </w:tcPr>
          <w:p w:rsidR="00A71B6A" w:rsidRPr="00A1073C" w:rsidP="73A9246C" w14:paraId="0A110E5D" w14:textId="3EB28868">
            <w:pPr>
              <w:widowControl/>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00A1073C">
              <w:rPr>
                <w:rFonts w:ascii="Times New Roman" w:hAnsi="Times New Roman"/>
                <w:sz w:val="18"/>
                <w:szCs w:val="18"/>
              </w:rPr>
              <w:t xml:space="preserve">Corporate merger </w:t>
            </w:r>
            <w:r w:rsidRPr="00C94F4A">
              <w:rPr>
                <w:rFonts w:ascii="Times New Roman" w:hAnsi="Times New Roman"/>
                <w:sz w:val="18"/>
                <w:szCs w:val="18"/>
              </w:rPr>
              <w:t xml:space="preserve">&amp; </w:t>
            </w:r>
            <w:r>
              <w:rPr>
                <w:rFonts w:ascii="Times New Roman" w:hAnsi="Times New Roman"/>
                <w:sz w:val="18"/>
                <w:szCs w:val="18"/>
              </w:rPr>
              <w:t>D</w:t>
            </w:r>
            <w:r w:rsidRPr="00C94F4A">
              <w:rPr>
                <w:rFonts w:ascii="Times New Roman" w:hAnsi="Times New Roman"/>
                <w:sz w:val="18"/>
                <w:szCs w:val="18"/>
              </w:rPr>
              <w:t xml:space="preserve">issolution of </w:t>
            </w:r>
            <w:r>
              <w:rPr>
                <w:rFonts w:ascii="Times New Roman" w:hAnsi="Times New Roman"/>
                <w:sz w:val="18"/>
                <w:szCs w:val="18"/>
              </w:rPr>
              <w:t>c</w:t>
            </w:r>
            <w:r w:rsidRPr="00C94F4A">
              <w:rPr>
                <w:rFonts w:ascii="Times New Roman" w:hAnsi="Times New Roman"/>
                <w:sz w:val="18"/>
                <w:szCs w:val="18"/>
              </w:rPr>
              <w:t xml:space="preserve">orporations, </w:t>
            </w:r>
            <w:r>
              <w:rPr>
                <w:rFonts w:ascii="Times New Roman" w:hAnsi="Times New Roman"/>
                <w:sz w:val="18"/>
                <w:szCs w:val="18"/>
              </w:rPr>
              <w:t>p</w:t>
            </w:r>
            <w:r w:rsidRPr="00C94F4A">
              <w:rPr>
                <w:rFonts w:ascii="Times New Roman" w:hAnsi="Times New Roman"/>
                <w:sz w:val="18"/>
                <w:szCs w:val="18"/>
              </w:rPr>
              <w:t xml:space="preserve">artnerships and </w:t>
            </w:r>
            <w:r>
              <w:rPr>
                <w:rFonts w:ascii="Times New Roman" w:hAnsi="Times New Roman"/>
                <w:sz w:val="18"/>
                <w:szCs w:val="18"/>
              </w:rPr>
              <w:t>t</w:t>
            </w:r>
            <w:r w:rsidRPr="00C94F4A">
              <w:rPr>
                <w:rFonts w:ascii="Times New Roman" w:hAnsi="Times New Roman"/>
                <w:sz w:val="18"/>
                <w:szCs w:val="18"/>
              </w:rPr>
              <w:t xml:space="preserve">rust </w:t>
            </w:r>
          </w:p>
          <w:p w:rsidR="00A71B6A" w:rsidRPr="00A1073C" w:rsidP="73A9246C" w14:paraId="4B60BBCF" w14:textId="5A71E165">
            <w:pPr>
              <w:widowControl/>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00A1073C">
              <w:rPr>
                <w:rFonts w:ascii="Times New Roman" w:hAnsi="Times New Roman"/>
                <w:sz w:val="18"/>
                <w:szCs w:val="18"/>
              </w:rPr>
              <w:t>43 CFR 3106.8</w:t>
            </w:r>
            <w:r>
              <w:rPr>
                <w:rFonts w:ascii="Times New Roman" w:hAnsi="Times New Roman"/>
                <w:sz w:val="18"/>
                <w:szCs w:val="18"/>
              </w:rPr>
              <w:t>3</w:t>
            </w:r>
          </w:p>
        </w:tc>
        <w:tc>
          <w:tcPr>
            <w:tcW w:w="1350" w:type="dxa"/>
            <w:vAlign w:val="center"/>
          </w:tcPr>
          <w:p w:rsidR="00A71B6A" w:rsidRPr="00A1073C" w:rsidP="73A9246C" w14:paraId="5911CC9D" w14:textId="77777777">
            <w:pPr>
              <w:widowControl/>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sz w:val="18"/>
                <w:szCs w:val="18"/>
              </w:rPr>
            </w:pPr>
            <w:r>
              <w:rPr>
                <w:rFonts w:ascii="Times New Roman" w:hAnsi="Times New Roman"/>
                <w:sz w:val="18"/>
                <w:szCs w:val="18"/>
              </w:rPr>
              <w:t>561</w:t>
            </w:r>
          </w:p>
        </w:tc>
        <w:tc>
          <w:tcPr>
            <w:tcW w:w="990" w:type="dxa"/>
            <w:vAlign w:val="center"/>
          </w:tcPr>
          <w:p w:rsidR="00A71B6A" w:rsidRPr="00A1073C" w:rsidP="73A9246C" w14:paraId="1AE389C4" w14:textId="77777777">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sidRPr="00A1073C">
              <w:rPr>
                <w:rFonts w:ascii="Times New Roman" w:hAnsi="Times New Roman"/>
                <w:sz w:val="18"/>
                <w:szCs w:val="18"/>
              </w:rPr>
              <w:t>1</w:t>
            </w:r>
          </w:p>
        </w:tc>
        <w:tc>
          <w:tcPr>
            <w:tcW w:w="990" w:type="dxa"/>
            <w:vAlign w:val="center"/>
          </w:tcPr>
          <w:p w:rsidR="00A71B6A" w:rsidRPr="00A1073C" w:rsidP="73A9246C" w14:paraId="2628D8CE" w14:textId="77777777">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Pr>
                <w:rFonts w:ascii="Times New Roman" w:hAnsi="Times New Roman"/>
                <w:sz w:val="18"/>
                <w:szCs w:val="18"/>
              </w:rPr>
              <w:t>561</w:t>
            </w:r>
          </w:p>
        </w:tc>
        <w:tc>
          <w:tcPr>
            <w:tcW w:w="990" w:type="dxa"/>
            <w:vAlign w:val="center"/>
          </w:tcPr>
          <w:p w:rsidR="00A71B6A" w:rsidRPr="00A1073C" w:rsidP="73A9246C" w14:paraId="407363FB" w14:textId="28D8FF38">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sidRPr="73A9246C">
              <w:rPr>
                <w:rFonts w:ascii="Times New Roman" w:hAnsi="Times New Roman"/>
                <w:sz w:val="18"/>
                <w:szCs w:val="18"/>
              </w:rPr>
              <w:t>$55.24</w:t>
            </w:r>
          </w:p>
          <w:p w:rsidR="00A71B6A" w:rsidRPr="00A1073C" w:rsidP="73A9246C" w14:paraId="70C73CC3" w14:textId="4ADACAE3">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p>
        </w:tc>
        <w:tc>
          <w:tcPr>
            <w:tcW w:w="1350" w:type="dxa"/>
            <w:tcBorders>
              <w:top w:val="nil"/>
              <w:left w:val="nil"/>
              <w:bottom w:val="single" w:sz="8" w:space="0" w:color="000000" w:themeColor="text1"/>
              <w:right w:val="single" w:sz="8" w:space="0" w:color="000000" w:themeColor="text1"/>
            </w:tcBorders>
            <w:vAlign w:val="center"/>
          </w:tcPr>
          <w:p w:rsidR="73A9246C" w:rsidRPr="73A9246C" w:rsidP="73A9246C" w14:paraId="4919F480" w14:textId="2D4F2BEE">
            <w:pPr>
              <w:jc w:val="right"/>
              <w:rPr>
                <w:rFonts w:ascii="Times New Roman" w:hAnsi="Times New Roman"/>
                <w:color w:val="000000" w:themeColor="text1"/>
                <w:sz w:val="18"/>
                <w:szCs w:val="18"/>
              </w:rPr>
            </w:pPr>
            <w:r w:rsidRPr="73A9246C">
              <w:rPr>
                <w:rFonts w:ascii="Times New Roman" w:hAnsi="Times New Roman"/>
                <w:color w:val="000000" w:themeColor="text1"/>
                <w:sz w:val="18"/>
                <w:szCs w:val="18"/>
              </w:rPr>
              <w:t>$30,990</w:t>
            </w:r>
          </w:p>
        </w:tc>
      </w:tr>
      <w:tr w14:paraId="4E025451" w14:textId="77777777" w:rsidTr="004B1219">
        <w:tblPrEx>
          <w:tblW w:w="9450" w:type="dxa"/>
          <w:tblInd w:w="-5" w:type="dxa"/>
          <w:tblLayout w:type="fixed"/>
          <w:tblLook w:val="04A0"/>
        </w:tblPrEx>
        <w:trPr>
          <w:cantSplit/>
          <w:trHeight w:val="300"/>
        </w:trPr>
        <w:tc>
          <w:tcPr>
            <w:tcW w:w="3780" w:type="dxa"/>
            <w:vAlign w:val="center"/>
          </w:tcPr>
          <w:p w:rsidR="00A71B6A" w:rsidP="73A9246C" w14:paraId="70C14915" w14:textId="77777777">
            <w:pPr>
              <w:widowControl/>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Pr>
                <w:rFonts w:ascii="Times New Roman" w:hAnsi="Times New Roman"/>
                <w:sz w:val="18"/>
                <w:szCs w:val="18"/>
              </w:rPr>
              <w:t>Sheriff’s Sale/Deed</w:t>
            </w:r>
          </w:p>
          <w:p w:rsidR="00A71B6A" w:rsidRPr="00A1073C" w:rsidP="73A9246C" w14:paraId="28922EE8" w14:textId="421DAAAE">
            <w:pPr>
              <w:widowControl/>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Pr>
                <w:rFonts w:ascii="Times New Roman" w:hAnsi="Times New Roman"/>
                <w:sz w:val="18"/>
                <w:szCs w:val="18"/>
              </w:rPr>
              <w:t>43 CFR 3106.84</w:t>
            </w:r>
          </w:p>
        </w:tc>
        <w:tc>
          <w:tcPr>
            <w:tcW w:w="1350" w:type="dxa"/>
            <w:vAlign w:val="center"/>
          </w:tcPr>
          <w:p w:rsidR="00A71B6A" w:rsidRPr="00A1073C" w:rsidP="73A9246C" w14:paraId="0B1E4450" w14:textId="6D29F1C7">
            <w:pPr>
              <w:widowControl/>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sz w:val="18"/>
                <w:szCs w:val="18"/>
              </w:rPr>
            </w:pPr>
            <w:r>
              <w:rPr>
                <w:rFonts w:ascii="Times New Roman" w:hAnsi="Times New Roman"/>
                <w:sz w:val="18"/>
                <w:szCs w:val="18"/>
              </w:rPr>
              <w:t>1</w:t>
            </w:r>
          </w:p>
        </w:tc>
        <w:tc>
          <w:tcPr>
            <w:tcW w:w="990" w:type="dxa"/>
            <w:vAlign w:val="center"/>
          </w:tcPr>
          <w:p w:rsidR="00A71B6A" w:rsidRPr="00A1073C" w:rsidP="73A9246C" w14:paraId="232F7639" w14:textId="3BA400E9">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Pr>
                <w:rFonts w:ascii="Times New Roman" w:hAnsi="Times New Roman"/>
                <w:sz w:val="18"/>
                <w:szCs w:val="18"/>
              </w:rPr>
              <w:t>1</w:t>
            </w:r>
          </w:p>
        </w:tc>
        <w:tc>
          <w:tcPr>
            <w:tcW w:w="990" w:type="dxa"/>
            <w:vAlign w:val="center"/>
          </w:tcPr>
          <w:p w:rsidR="00A71B6A" w:rsidRPr="00A1073C" w:rsidP="73A9246C" w14:paraId="6ED73548" w14:textId="495A04B1">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Pr>
                <w:rFonts w:ascii="Times New Roman" w:hAnsi="Times New Roman"/>
                <w:sz w:val="18"/>
                <w:szCs w:val="18"/>
              </w:rPr>
              <w:t>1</w:t>
            </w:r>
          </w:p>
        </w:tc>
        <w:tc>
          <w:tcPr>
            <w:tcW w:w="990" w:type="dxa"/>
            <w:vAlign w:val="center"/>
          </w:tcPr>
          <w:p w:rsidR="00A71B6A" w:rsidRPr="001B6ED0" w:rsidP="73A9246C" w14:paraId="05276BAA" w14:textId="28D8FF38">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sidRPr="73A9246C">
              <w:rPr>
                <w:rFonts w:ascii="Times New Roman" w:hAnsi="Times New Roman"/>
                <w:sz w:val="18"/>
                <w:szCs w:val="18"/>
              </w:rPr>
              <w:t>$55.24</w:t>
            </w:r>
          </w:p>
          <w:p w:rsidR="00A71B6A" w:rsidRPr="001B6ED0" w:rsidP="73A9246C" w14:paraId="5123FD6C" w14:textId="15CDE31F">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p>
        </w:tc>
        <w:tc>
          <w:tcPr>
            <w:tcW w:w="1350" w:type="dxa"/>
            <w:tcBorders>
              <w:top w:val="nil"/>
              <w:left w:val="nil"/>
              <w:bottom w:val="single" w:sz="8" w:space="0" w:color="000000" w:themeColor="text1"/>
              <w:right w:val="single" w:sz="8" w:space="0" w:color="000000" w:themeColor="text1"/>
            </w:tcBorders>
            <w:vAlign w:val="center"/>
          </w:tcPr>
          <w:p w:rsidR="73A9246C" w:rsidRPr="73A9246C" w:rsidP="73A9246C" w14:paraId="2D3A976E" w14:textId="4C01874C">
            <w:pPr>
              <w:jc w:val="right"/>
              <w:rPr>
                <w:rFonts w:ascii="Times New Roman" w:hAnsi="Times New Roman"/>
                <w:color w:val="000000" w:themeColor="text1"/>
                <w:sz w:val="18"/>
                <w:szCs w:val="18"/>
              </w:rPr>
            </w:pPr>
            <w:r w:rsidRPr="73A9246C">
              <w:rPr>
                <w:rFonts w:ascii="Times New Roman" w:hAnsi="Times New Roman"/>
                <w:color w:val="000000" w:themeColor="text1"/>
                <w:sz w:val="18"/>
                <w:szCs w:val="18"/>
              </w:rPr>
              <w:t>$55</w:t>
            </w:r>
          </w:p>
        </w:tc>
      </w:tr>
      <w:tr w14:paraId="0DC7A2F8" w14:textId="77777777" w:rsidTr="004B1219">
        <w:tblPrEx>
          <w:tblW w:w="9450" w:type="dxa"/>
          <w:tblInd w:w="-5" w:type="dxa"/>
          <w:tblLayout w:type="fixed"/>
          <w:tblLook w:val="04A0"/>
        </w:tblPrEx>
        <w:trPr>
          <w:cantSplit/>
          <w:trHeight w:val="300"/>
        </w:trPr>
        <w:tc>
          <w:tcPr>
            <w:tcW w:w="3780" w:type="dxa"/>
            <w:vAlign w:val="center"/>
          </w:tcPr>
          <w:p w:rsidR="00A71B6A" w:rsidRPr="00A1073C" w:rsidP="73A9246C" w14:paraId="07295E7C" w14:textId="77777777">
            <w:pPr>
              <w:widowControl/>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00A1073C">
              <w:rPr>
                <w:rFonts w:ascii="Times New Roman" w:hAnsi="Times New Roman"/>
                <w:sz w:val="18"/>
                <w:szCs w:val="18"/>
              </w:rPr>
              <w:t>Relinquishment</w:t>
            </w:r>
          </w:p>
          <w:p w:rsidR="00A71B6A" w:rsidRPr="00A1073C" w:rsidP="73A9246C" w14:paraId="591A7B69" w14:textId="43A38541">
            <w:pPr>
              <w:widowControl/>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00A1073C">
              <w:rPr>
                <w:rFonts w:ascii="Times New Roman" w:hAnsi="Times New Roman"/>
                <w:sz w:val="18"/>
                <w:szCs w:val="18"/>
              </w:rPr>
              <w:t>43 CFR 3108.1</w:t>
            </w:r>
            <w:r>
              <w:rPr>
                <w:rFonts w:ascii="Times New Roman" w:hAnsi="Times New Roman"/>
                <w:sz w:val="18"/>
                <w:szCs w:val="18"/>
              </w:rPr>
              <w:t>0</w:t>
            </w:r>
          </w:p>
        </w:tc>
        <w:tc>
          <w:tcPr>
            <w:tcW w:w="1350" w:type="dxa"/>
            <w:vAlign w:val="center"/>
          </w:tcPr>
          <w:p w:rsidR="00A71B6A" w:rsidRPr="00A1073C" w:rsidP="73A9246C" w14:paraId="67FD461B" w14:textId="77777777">
            <w:pPr>
              <w:widowControl/>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sz w:val="18"/>
                <w:szCs w:val="18"/>
              </w:rPr>
            </w:pPr>
            <w:r>
              <w:rPr>
                <w:rFonts w:ascii="Times New Roman" w:hAnsi="Times New Roman"/>
                <w:sz w:val="18"/>
                <w:szCs w:val="18"/>
              </w:rPr>
              <w:t>300</w:t>
            </w:r>
          </w:p>
        </w:tc>
        <w:tc>
          <w:tcPr>
            <w:tcW w:w="990" w:type="dxa"/>
            <w:vAlign w:val="center"/>
          </w:tcPr>
          <w:p w:rsidR="00A71B6A" w:rsidRPr="00A1073C" w:rsidP="73A9246C" w14:paraId="7A776747" w14:textId="77777777">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sidRPr="00A1073C">
              <w:rPr>
                <w:rFonts w:ascii="Times New Roman" w:hAnsi="Times New Roman"/>
                <w:sz w:val="18"/>
                <w:szCs w:val="18"/>
              </w:rPr>
              <w:t>1</w:t>
            </w:r>
          </w:p>
        </w:tc>
        <w:tc>
          <w:tcPr>
            <w:tcW w:w="990" w:type="dxa"/>
            <w:vAlign w:val="center"/>
          </w:tcPr>
          <w:p w:rsidR="00A71B6A" w:rsidRPr="00A1073C" w:rsidP="73A9246C" w14:paraId="51C1F718" w14:textId="77777777">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Pr>
                <w:rFonts w:ascii="Times New Roman" w:hAnsi="Times New Roman"/>
                <w:sz w:val="18"/>
                <w:szCs w:val="18"/>
              </w:rPr>
              <w:t>300</w:t>
            </w:r>
          </w:p>
        </w:tc>
        <w:tc>
          <w:tcPr>
            <w:tcW w:w="990" w:type="dxa"/>
            <w:vAlign w:val="center"/>
          </w:tcPr>
          <w:p w:rsidR="00A71B6A" w:rsidRPr="00A1073C" w:rsidP="73A9246C" w14:paraId="12B6274D" w14:textId="28D8FF38">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sidRPr="73A9246C">
              <w:rPr>
                <w:rFonts w:ascii="Times New Roman" w:hAnsi="Times New Roman"/>
                <w:sz w:val="18"/>
                <w:szCs w:val="18"/>
              </w:rPr>
              <w:t>$55.24</w:t>
            </w:r>
          </w:p>
          <w:p w:rsidR="00A71B6A" w:rsidRPr="00A1073C" w:rsidP="73A9246C" w14:paraId="035DE0ED" w14:textId="6C60A4A4">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p>
        </w:tc>
        <w:tc>
          <w:tcPr>
            <w:tcW w:w="1350" w:type="dxa"/>
            <w:tcBorders>
              <w:top w:val="nil"/>
              <w:left w:val="nil"/>
              <w:bottom w:val="single" w:sz="8" w:space="0" w:color="000000" w:themeColor="text1"/>
              <w:right w:val="single" w:sz="8" w:space="0" w:color="000000" w:themeColor="text1"/>
            </w:tcBorders>
            <w:vAlign w:val="center"/>
          </w:tcPr>
          <w:p w:rsidR="73A9246C" w:rsidRPr="73A9246C" w:rsidP="73A9246C" w14:paraId="264F7412" w14:textId="59361D80">
            <w:pPr>
              <w:jc w:val="right"/>
              <w:rPr>
                <w:rFonts w:ascii="Times New Roman" w:hAnsi="Times New Roman"/>
                <w:color w:val="000000" w:themeColor="text1"/>
                <w:sz w:val="18"/>
                <w:szCs w:val="18"/>
              </w:rPr>
            </w:pPr>
            <w:r w:rsidRPr="73A9246C">
              <w:rPr>
                <w:rFonts w:ascii="Times New Roman" w:hAnsi="Times New Roman"/>
                <w:color w:val="000000" w:themeColor="text1"/>
                <w:sz w:val="18"/>
                <w:szCs w:val="18"/>
              </w:rPr>
              <w:t>$16,572</w:t>
            </w:r>
          </w:p>
        </w:tc>
      </w:tr>
      <w:tr w14:paraId="526A537A" w14:textId="77777777" w:rsidTr="004B1219">
        <w:tblPrEx>
          <w:tblW w:w="9450" w:type="dxa"/>
          <w:tblInd w:w="-5" w:type="dxa"/>
          <w:tblLayout w:type="fixed"/>
          <w:tblLook w:val="04A0"/>
        </w:tblPrEx>
        <w:trPr>
          <w:cantSplit/>
          <w:trHeight w:val="300"/>
        </w:trPr>
        <w:tc>
          <w:tcPr>
            <w:tcW w:w="3780" w:type="dxa"/>
            <w:vAlign w:val="center"/>
          </w:tcPr>
          <w:p w:rsidR="00A71B6A" w:rsidRPr="00A1073C" w:rsidP="73A9246C" w14:paraId="3EC3CDE6" w14:textId="77777777">
            <w:pPr>
              <w:widowControl/>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00A1073C">
              <w:rPr>
                <w:rFonts w:ascii="Times New Roman" w:hAnsi="Times New Roman"/>
                <w:sz w:val="18"/>
                <w:szCs w:val="18"/>
              </w:rPr>
              <w:t>Class I reinstatement petition</w:t>
            </w:r>
          </w:p>
          <w:p w:rsidR="00A71B6A" w:rsidRPr="00A1073C" w:rsidP="73A9246C" w14:paraId="78BEC72B" w14:textId="79DA13DD">
            <w:pPr>
              <w:widowControl/>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00A1073C">
              <w:rPr>
                <w:rFonts w:ascii="Times New Roman" w:hAnsi="Times New Roman"/>
                <w:sz w:val="18"/>
                <w:szCs w:val="18"/>
              </w:rPr>
              <w:t>43 CFR 3108.2</w:t>
            </w:r>
            <w:r>
              <w:rPr>
                <w:rFonts w:ascii="Times New Roman" w:hAnsi="Times New Roman"/>
                <w:sz w:val="18"/>
                <w:szCs w:val="18"/>
              </w:rPr>
              <w:t>2</w:t>
            </w:r>
          </w:p>
        </w:tc>
        <w:tc>
          <w:tcPr>
            <w:tcW w:w="1350" w:type="dxa"/>
            <w:vAlign w:val="center"/>
          </w:tcPr>
          <w:p w:rsidR="00A71B6A" w:rsidRPr="00A1073C" w:rsidP="73A9246C" w14:paraId="49EBBBED" w14:textId="77777777">
            <w:pPr>
              <w:widowControl/>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sz w:val="18"/>
                <w:szCs w:val="18"/>
              </w:rPr>
            </w:pPr>
            <w:r>
              <w:rPr>
                <w:rFonts w:ascii="Times New Roman" w:hAnsi="Times New Roman"/>
                <w:sz w:val="18"/>
                <w:szCs w:val="18"/>
              </w:rPr>
              <w:t>45</w:t>
            </w:r>
          </w:p>
        </w:tc>
        <w:tc>
          <w:tcPr>
            <w:tcW w:w="990" w:type="dxa"/>
            <w:vAlign w:val="center"/>
          </w:tcPr>
          <w:p w:rsidR="00A71B6A" w:rsidRPr="00A1073C" w:rsidP="73A9246C" w14:paraId="73953DF3" w14:textId="77777777">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sidRPr="00A1073C">
              <w:rPr>
                <w:rFonts w:ascii="Times New Roman" w:hAnsi="Times New Roman"/>
                <w:sz w:val="18"/>
                <w:szCs w:val="18"/>
              </w:rPr>
              <w:t>40</w:t>
            </w:r>
          </w:p>
        </w:tc>
        <w:tc>
          <w:tcPr>
            <w:tcW w:w="990" w:type="dxa"/>
            <w:vAlign w:val="center"/>
          </w:tcPr>
          <w:p w:rsidR="00A71B6A" w:rsidRPr="00A1073C" w:rsidP="73A9246C" w14:paraId="3F767EBA" w14:textId="77777777">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Pr>
                <w:rFonts w:ascii="Times New Roman" w:hAnsi="Times New Roman"/>
                <w:sz w:val="18"/>
                <w:szCs w:val="18"/>
              </w:rPr>
              <w:t>1,800</w:t>
            </w:r>
          </w:p>
        </w:tc>
        <w:tc>
          <w:tcPr>
            <w:tcW w:w="990" w:type="dxa"/>
            <w:vAlign w:val="center"/>
          </w:tcPr>
          <w:p w:rsidR="00A71B6A" w:rsidRPr="00A1073C" w:rsidP="73A9246C" w14:paraId="5D752351" w14:textId="28D8FF38">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sidRPr="73A9246C">
              <w:rPr>
                <w:rFonts w:ascii="Times New Roman" w:hAnsi="Times New Roman"/>
                <w:sz w:val="18"/>
                <w:szCs w:val="18"/>
              </w:rPr>
              <w:t>$55.24</w:t>
            </w:r>
          </w:p>
          <w:p w:rsidR="00A71B6A" w:rsidRPr="00A1073C" w:rsidP="73A9246C" w14:paraId="117E3611" w14:textId="1BDD4FB4">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p>
        </w:tc>
        <w:tc>
          <w:tcPr>
            <w:tcW w:w="1350" w:type="dxa"/>
            <w:tcBorders>
              <w:top w:val="nil"/>
              <w:left w:val="nil"/>
              <w:bottom w:val="single" w:sz="8" w:space="0" w:color="000000" w:themeColor="text1"/>
              <w:right w:val="single" w:sz="8" w:space="0" w:color="000000" w:themeColor="text1"/>
            </w:tcBorders>
            <w:vAlign w:val="center"/>
          </w:tcPr>
          <w:p w:rsidR="73A9246C" w:rsidRPr="73A9246C" w:rsidP="73A9246C" w14:paraId="6F142FEB" w14:textId="19A9194E">
            <w:pPr>
              <w:jc w:val="right"/>
              <w:rPr>
                <w:rFonts w:ascii="Times New Roman" w:hAnsi="Times New Roman"/>
                <w:color w:val="000000" w:themeColor="text1"/>
                <w:sz w:val="18"/>
                <w:szCs w:val="18"/>
              </w:rPr>
            </w:pPr>
            <w:r w:rsidRPr="73A9246C">
              <w:rPr>
                <w:rFonts w:ascii="Times New Roman" w:hAnsi="Times New Roman"/>
                <w:color w:val="000000" w:themeColor="text1"/>
                <w:sz w:val="18"/>
                <w:szCs w:val="18"/>
              </w:rPr>
              <w:t>$99,432</w:t>
            </w:r>
          </w:p>
        </w:tc>
      </w:tr>
      <w:tr w14:paraId="4C03EBA4" w14:textId="77777777" w:rsidTr="004B1219">
        <w:tblPrEx>
          <w:tblW w:w="9450" w:type="dxa"/>
          <w:tblInd w:w="-5" w:type="dxa"/>
          <w:tblLayout w:type="fixed"/>
          <w:tblLook w:val="04A0"/>
        </w:tblPrEx>
        <w:trPr>
          <w:cantSplit/>
          <w:trHeight w:val="300"/>
        </w:trPr>
        <w:tc>
          <w:tcPr>
            <w:tcW w:w="3780" w:type="dxa"/>
            <w:vAlign w:val="center"/>
          </w:tcPr>
          <w:p w:rsidR="00A71B6A" w:rsidRPr="00A1073C" w:rsidP="73A9246C" w14:paraId="5411409E" w14:textId="77777777">
            <w:pPr>
              <w:widowControl/>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00A1073C">
              <w:rPr>
                <w:rFonts w:ascii="Times New Roman" w:hAnsi="Times New Roman"/>
                <w:sz w:val="18"/>
                <w:szCs w:val="18"/>
              </w:rPr>
              <w:t>Class II reinstatement petition</w:t>
            </w:r>
          </w:p>
          <w:p w:rsidR="00A71B6A" w:rsidRPr="00A1073C" w:rsidP="73A9246C" w14:paraId="34E8CA4F" w14:textId="3E390DF4">
            <w:pPr>
              <w:widowControl/>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00A1073C">
              <w:rPr>
                <w:rFonts w:ascii="Times New Roman" w:hAnsi="Times New Roman"/>
                <w:sz w:val="18"/>
                <w:szCs w:val="18"/>
              </w:rPr>
              <w:t>43 CFR 3108.2</w:t>
            </w:r>
            <w:r>
              <w:rPr>
                <w:rFonts w:ascii="Times New Roman" w:hAnsi="Times New Roman"/>
                <w:sz w:val="18"/>
                <w:szCs w:val="18"/>
              </w:rPr>
              <w:t>3</w:t>
            </w:r>
          </w:p>
        </w:tc>
        <w:tc>
          <w:tcPr>
            <w:tcW w:w="1350" w:type="dxa"/>
            <w:vAlign w:val="center"/>
          </w:tcPr>
          <w:p w:rsidR="00A71B6A" w:rsidRPr="00A1073C" w:rsidP="73A9246C" w14:paraId="61A61B87" w14:textId="77777777">
            <w:pPr>
              <w:widowControl/>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sz w:val="18"/>
                <w:szCs w:val="18"/>
              </w:rPr>
            </w:pPr>
            <w:r>
              <w:rPr>
                <w:rFonts w:ascii="Times New Roman" w:hAnsi="Times New Roman"/>
                <w:sz w:val="18"/>
                <w:szCs w:val="18"/>
              </w:rPr>
              <w:t>34</w:t>
            </w:r>
          </w:p>
        </w:tc>
        <w:tc>
          <w:tcPr>
            <w:tcW w:w="990" w:type="dxa"/>
            <w:vAlign w:val="center"/>
          </w:tcPr>
          <w:p w:rsidR="00A71B6A" w:rsidRPr="00A1073C" w:rsidP="73A9246C" w14:paraId="3C7AFA49" w14:textId="77777777">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sidRPr="00A1073C">
              <w:rPr>
                <w:rFonts w:ascii="Times New Roman" w:hAnsi="Times New Roman"/>
                <w:sz w:val="18"/>
                <w:szCs w:val="18"/>
              </w:rPr>
              <w:t>40</w:t>
            </w:r>
          </w:p>
        </w:tc>
        <w:tc>
          <w:tcPr>
            <w:tcW w:w="990" w:type="dxa"/>
            <w:vAlign w:val="center"/>
          </w:tcPr>
          <w:p w:rsidR="00A71B6A" w:rsidRPr="00A1073C" w:rsidP="73A9246C" w14:paraId="54E0A01B" w14:textId="77777777">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Pr>
                <w:rFonts w:ascii="Times New Roman" w:hAnsi="Times New Roman"/>
                <w:sz w:val="18"/>
                <w:szCs w:val="18"/>
              </w:rPr>
              <w:t>1,260</w:t>
            </w:r>
          </w:p>
        </w:tc>
        <w:tc>
          <w:tcPr>
            <w:tcW w:w="990" w:type="dxa"/>
            <w:vAlign w:val="center"/>
          </w:tcPr>
          <w:p w:rsidR="00A71B6A" w:rsidRPr="00A1073C" w:rsidP="73A9246C" w14:paraId="118EA2F2" w14:textId="28D8FF38">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sidRPr="73A9246C">
              <w:rPr>
                <w:rFonts w:ascii="Times New Roman" w:hAnsi="Times New Roman"/>
                <w:sz w:val="18"/>
                <w:szCs w:val="18"/>
              </w:rPr>
              <w:t>$55.24</w:t>
            </w:r>
          </w:p>
          <w:p w:rsidR="00A71B6A" w:rsidRPr="00A1073C" w:rsidP="73A9246C" w14:paraId="5537379F" w14:textId="0EC5DE60">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p>
        </w:tc>
        <w:tc>
          <w:tcPr>
            <w:tcW w:w="1350" w:type="dxa"/>
            <w:tcBorders>
              <w:top w:val="nil"/>
              <w:left w:val="nil"/>
              <w:bottom w:val="single" w:sz="8" w:space="0" w:color="000000" w:themeColor="text1"/>
              <w:right w:val="single" w:sz="8" w:space="0" w:color="000000" w:themeColor="text1"/>
            </w:tcBorders>
            <w:vAlign w:val="center"/>
          </w:tcPr>
          <w:p w:rsidR="73A9246C" w:rsidRPr="73A9246C" w:rsidP="73A9246C" w14:paraId="3F4AC8EB" w14:textId="466B976A">
            <w:pPr>
              <w:jc w:val="right"/>
              <w:rPr>
                <w:rFonts w:ascii="Times New Roman" w:hAnsi="Times New Roman"/>
                <w:color w:val="000000" w:themeColor="text1"/>
                <w:sz w:val="18"/>
                <w:szCs w:val="18"/>
              </w:rPr>
            </w:pPr>
            <w:r w:rsidRPr="73A9246C">
              <w:rPr>
                <w:rFonts w:ascii="Times New Roman" w:hAnsi="Times New Roman"/>
                <w:color w:val="000000" w:themeColor="text1"/>
                <w:sz w:val="18"/>
                <w:szCs w:val="18"/>
              </w:rPr>
              <w:t>$69,602</w:t>
            </w:r>
          </w:p>
        </w:tc>
      </w:tr>
      <w:tr w14:paraId="64D9CA23" w14:textId="77777777" w:rsidTr="004B1219">
        <w:tblPrEx>
          <w:tblW w:w="9450" w:type="dxa"/>
          <w:tblInd w:w="-5" w:type="dxa"/>
          <w:tblLayout w:type="fixed"/>
          <w:tblLook w:val="04A0"/>
        </w:tblPrEx>
        <w:trPr>
          <w:cantSplit/>
          <w:trHeight w:val="300"/>
        </w:trPr>
        <w:tc>
          <w:tcPr>
            <w:tcW w:w="3780" w:type="dxa"/>
            <w:vAlign w:val="center"/>
          </w:tcPr>
          <w:p w:rsidR="00A71B6A" w:rsidRPr="00A1073C" w:rsidP="73A9246C" w14:paraId="23D622E1" w14:textId="20ECFFC4">
            <w:pPr>
              <w:widowControl/>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00A1073C">
              <w:rPr>
                <w:rFonts w:ascii="Times New Roman" w:hAnsi="Times New Roman"/>
                <w:sz w:val="18"/>
                <w:szCs w:val="18"/>
              </w:rPr>
              <w:t xml:space="preserve">Application for lease under </w:t>
            </w:r>
            <w:r>
              <w:rPr>
                <w:rFonts w:ascii="Times New Roman" w:hAnsi="Times New Roman"/>
                <w:sz w:val="18"/>
                <w:szCs w:val="18"/>
              </w:rPr>
              <w:t>ROW</w:t>
            </w:r>
          </w:p>
          <w:p w:rsidR="00A71B6A" w:rsidRPr="00A1073C" w:rsidP="73A9246C" w14:paraId="6904E295" w14:textId="232F32E2">
            <w:pPr>
              <w:widowControl/>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00A1073C">
              <w:rPr>
                <w:rFonts w:ascii="Times New Roman" w:hAnsi="Times New Roman"/>
                <w:sz w:val="18"/>
                <w:szCs w:val="18"/>
              </w:rPr>
              <w:t>43 CFR 3109.</w:t>
            </w:r>
            <w:r>
              <w:rPr>
                <w:rFonts w:ascii="Times New Roman" w:hAnsi="Times New Roman"/>
                <w:sz w:val="18"/>
                <w:szCs w:val="18"/>
              </w:rPr>
              <w:t>12</w:t>
            </w:r>
          </w:p>
        </w:tc>
        <w:tc>
          <w:tcPr>
            <w:tcW w:w="1350" w:type="dxa"/>
            <w:vAlign w:val="center"/>
          </w:tcPr>
          <w:p w:rsidR="00A71B6A" w:rsidRPr="00A1073C" w:rsidP="73A9246C" w14:paraId="7B756DF4" w14:textId="77777777">
            <w:pPr>
              <w:widowControl/>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sz w:val="18"/>
                <w:szCs w:val="18"/>
              </w:rPr>
            </w:pPr>
            <w:r>
              <w:rPr>
                <w:rFonts w:ascii="Times New Roman" w:hAnsi="Times New Roman"/>
                <w:sz w:val="18"/>
                <w:szCs w:val="18"/>
              </w:rPr>
              <w:t>2</w:t>
            </w:r>
          </w:p>
        </w:tc>
        <w:tc>
          <w:tcPr>
            <w:tcW w:w="990" w:type="dxa"/>
            <w:vAlign w:val="center"/>
          </w:tcPr>
          <w:p w:rsidR="00A71B6A" w:rsidRPr="00A1073C" w:rsidP="73A9246C" w14:paraId="63082532" w14:textId="77777777">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sidRPr="00A1073C">
              <w:rPr>
                <w:rFonts w:ascii="Times New Roman" w:hAnsi="Times New Roman"/>
                <w:sz w:val="18"/>
                <w:szCs w:val="18"/>
              </w:rPr>
              <w:t>40</w:t>
            </w:r>
          </w:p>
        </w:tc>
        <w:tc>
          <w:tcPr>
            <w:tcW w:w="990" w:type="dxa"/>
            <w:vAlign w:val="center"/>
          </w:tcPr>
          <w:p w:rsidR="00A71B6A" w:rsidRPr="00A1073C" w:rsidP="73A9246C" w14:paraId="4A87DD3C" w14:textId="77777777">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Pr>
                <w:rFonts w:ascii="Times New Roman" w:hAnsi="Times New Roman"/>
                <w:sz w:val="18"/>
                <w:szCs w:val="18"/>
              </w:rPr>
              <w:t>80</w:t>
            </w:r>
          </w:p>
        </w:tc>
        <w:tc>
          <w:tcPr>
            <w:tcW w:w="990" w:type="dxa"/>
            <w:vAlign w:val="center"/>
          </w:tcPr>
          <w:p w:rsidR="00A71B6A" w:rsidRPr="00A1073C" w:rsidP="73A9246C" w14:paraId="75145E3D" w14:textId="28D8FF38">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sidRPr="73A9246C">
              <w:rPr>
                <w:rFonts w:ascii="Times New Roman" w:hAnsi="Times New Roman"/>
                <w:sz w:val="18"/>
                <w:szCs w:val="18"/>
              </w:rPr>
              <w:t>$55.24</w:t>
            </w:r>
          </w:p>
          <w:p w:rsidR="00A71B6A" w:rsidRPr="00A1073C" w:rsidP="73A9246C" w14:paraId="77D0900A" w14:textId="72831288">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p>
        </w:tc>
        <w:tc>
          <w:tcPr>
            <w:tcW w:w="1350" w:type="dxa"/>
            <w:tcBorders>
              <w:top w:val="nil"/>
              <w:left w:val="nil"/>
              <w:bottom w:val="single" w:sz="8" w:space="0" w:color="000000" w:themeColor="text1"/>
              <w:right w:val="single" w:sz="8" w:space="0" w:color="000000" w:themeColor="text1"/>
            </w:tcBorders>
            <w:vAlign w:val="center"/>
          </w:tcPr>
          <w:p w:rsidR="73A9246C" w:rsidRPr="73A9246C" w:rsidP="73A9246C" w14:paraId="505289AE" w14:textId="28EEFA37">
            <w:pPr>
              <w:jc w:val="right"/>
              <w:rPr>
                <w:rFonts w:ascii="Times New Roman" w:hAnsi="Times New Roman"/>
                <w:color w:val="000000" w:themeColor="text1"/>
                <w:sz w:val="18"/>
                <w:szCs w:val="18"/>
              </w:rPr>
            </w:pPr>
            <w:r w:rsidRPr="73A9246C">
              <w:rPr>
                <w:rFonts w:ascii="Times New Roman" w:hAnsi="Times New Roman"/>
                <w:color w:val="000000" w:themeColor="text1"/>
                <w:sz w:val="18"/>
                <w:szCs w:val="18"/>
              </w:rPr>
              <w:t>$4,419</w:t>
            </w:r>
          </w:p>
        </w:tc>
      </w:tr>
      <w:tr w14:paraId="4F21132B" w14:textId="77777777" w:rsidTr="004B1219">
        <w:tblPrEx>
          <w:tblW w:w="9450" w:type="dxa"/>
          <w:tblInd w:w="-5" w:type="dxa"/>
          <w:tblLayout w:type="fixed"/>
          <w:tblLook w:val="04A0"/>
        </w:tblPrEx>
        <w:trPr>
          <w:cantSplit/>
          <w:trHeight w:val="300"/>
        </w:trPr>
        <w:tc>
          <w:tcPr>
            <w:tcW w:w="3780" w:type="dxa"/>
            <w:vAlign w:val="center"/>
          </w:tcPr>
          <w:p w:rsidR="00A71B6A" w:rsidRPr="00A1073C" w:rsidP="73A9246C" w14:paraId="76D72728" w14:textId="206580F0">
            <w:pPr>
              <w:widowControl/>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00A1073C">
              <w:rPr>
                <w:rFonts w:ascii="Times New Roman" w:hAnsi="Times New Roman"/>
                <w:sz w:val="18"/>
                <w:szCs w:val="18"/>
              </w:rPr>
              <w:t>Protests 43 CFR 3120.</w:t>
            </w:r>
            <w:r>
              <w:rPr>
                <w:rFonts w:ascii="Times New Roman" w:hAnsi="Times New Roman"/>
                <w:sz w:val="18"/>
                <w:szCs w:val="18"/>
              </w:rPr>
              <w:t>43</w:t>
            </w:r>
          </w:p>
        </w:tc>
        <w:tc>
          <w:tcPr>
            <w:tcW w:w="1350" w:type="dxa"/>
            <w:vAlign w:val="center"/>
          </w:tcPr>
          <w:p w:rsidR="00A71B6A" w:rsidRPr="00A1073C" w:rsidP="73A9246C" w14:paraId="3706114F" w14:textId="77777777">
            <w:pPr>
              <w:widowControl/>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sz w:val="18"/>
                <w:szCs w:val="18"/>
              </w:rPr>
            </w:pPr>
            <w:r>
              <w:rPr>
                <w:rFonts w:ascii="Times New Roman" w:hAnsi="Times New Roman"/>
                <w:sz w:val="18"/>
                <w:szCs w:val="18"/>
              </w:rPr>
              <w:t>1,420</w:t>
            </w:r>
          </w:p>
        </w:tc>
        <w:tc>
          <w:tcPr>
            <w:tcW w:w="990" w:type="dxa"/>
            <w:vAlign w:val="center"/>
          </w:tcPr>
          <w:p w:rsidR="00A71B6A" w:rsidRPr="00A1073C" w:rsidP="73A9246C" w14:paraId="7ED2CD33" w14:textId="77777777">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sidRPr="00A1073C">
              <w:rPr>
                <w:rFonts w:ascii="Times New Roman" w:hAnsi="Times New Roman"/>
                <w:sz w:val="18"/>
                <w:szCs w:val="18"/>
              </w:rPr>
              <w:t>40</w:t>
            </w:r>
          </w:p>
        </w:tc>
        <w:tc>
          <w:tcPr>
            <w:tcW w:w="990" w:type="dxa"/>
            <w:vAlign w:val="center"/>
          </w:tcPr>
          <w:p w:rsidR="00A71B6A" w:rsidRPr="00A1073C" w:rsidP="73A9246C" w14:paraId="781724FF" w14:textId="77777777">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Pr>
                <w:rFonts w:ascii="Times New Roman" w:hAnsi="Times New Roman"/>
                <w:sz w:val="18"/>
                <w:szCs w:val="18"/>
              </w:rPr>
              <w:t>56,800</w:t>
            </w:r>
          </w:p>
        </w:tc>
        <w:tc>
          <w:tcPr>
            <w:tcW w:w="990" w:type="dxa"/>
            <w:vAlign w:val="center"/>
          </w:tcPr>
          <w:p w:rsidR="00A71B6A" w:rsidRPr="00A1073C" w:rsidP="73A9246C" w14:paraId="78E970F5" w14:textId="28D8FF38">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sidRPr="73A9246C">
              <w:rPr>
                <w:rFonts w:ascii="Times New Roman" w:hAnsi="Times New Roman"/>
                <w:sz w:val="18"/>
                <w:szCs w:val="18"/>
              </w:rPr>
              <w:t>$55.24</w:t>
            </w:r>
          </w:p>
          <w:p w:rsidR="00A71B6A" w:rsidRPr="00A1073C" w:rsidP="73A9246C" w14:paraId="5543297E" w14:textId="0F2FE947">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p>
        </w:tc>
        <w:tc>
          <w:tcPr>
            <w:tcW w:w="1350" w:type="dxa"/>
            <w:tcBorders>
              <w:top w:val="nil"/>
              <w:left w:val="nil"/>
              <w:bottom w:val="single" w:sz="8" w:space="0" w:color="000000" w:themeColor="text1"/>
              <w:right w:val="single" w:sz="8" w:space="0" w:color="000000" w:themeColor="text1"/>
            </w:tcBorders>
            <w:vAlign w:val="center"/>
          </w:tcPr>
          <w:p w:rsidR="73A9246C" w:rsidRPr="73A9246C" w:rsidP="73A9246C" w14:paraId="3A256FB0" w14:textId="03BD617D">
            <w:pPr>
              <w:jc w:val="right"/>
              <w:rPr>
                <w:rFonts w:ascii="Times New Roman" w:hAnsi="Times New Roman"/>
                <w:color w:val="000000" w:themeColor="text1"/>
                <w:sz w:val="18"/>
                <w:szCs w:val="18"/>
              </w:rPr>
            </w:pPr>
            <w:r w:rsidRPr="73A9246C">
              <w:rPr>
                <w:rFonts w:ascii="Times New Roman" w:hAnsi="Times New Roman"/>
                <w:color w:val="000000" w:themeColor="text1"/>
                <w:sz w:val="18"/>
                <w:szCs w:val="18"/>
              </w:rPr>
              <w:t>$3,137,632</w:t>
            </w:r>
          </w:p>
        </w:tc>
      </w:tr>
      <w:tr w14:paraId="78A8EE4A" w14:textId="77777777" w:rsidTr="004B1219">
        <w:tblPrEx>
          <w:tblW w:w="9450" w:type="dxa"/>
          <w:tblInd w:w="-5" w:type="dxa"/>
          <w:tblLayout w:type="fixed"/>
          <w:tblLook w:val="04A0"/>
        </w:tblPrEx>
        <w:trPr>
          <w:cantSplit/>
          <w:trHeight w:val="300"/>
        </w:trPr>
        <w:tc>
          <w:tcPr>
            <w:tcW w:w="3780" w:type="dxa"/>
            <w:vAlign w:val="center"/>
          </w:tcPr>
          <w:p w:rsidR="00A71B6A" w:rsidRPr="00BD5566" w:rsidP="73A9246C" w14:paraId="2E451E18" w14:textId="208C6496">
            <w:pPr>
              <w:widowControl/>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00BD5566">
              <w:rPr>
                <w:rFonts w:ascii="Times New Roman" w:hAnsi="Times New Roman"/>
                <w:sz w:val="18"/>
                <w:szCs w:val="18"/>
              </w:rPr>
              <w:t>Expressions of Interest</w:t>
            </w:r>
            <w:r>
              <w:rPr>
                <w:rFonts w:ascii="Times New Roman" w:hAnsi="Times New Roman"/>
                <w:sz w:val="18"/>
                <w:szCs w:val="18"/>
              </w:rPr>
              <w:t xml:space="preserve"> process</w:t>
            </w:r>
          </w:p>
          <w:p w:rsidR="00A71B6A" w:rsidRPr="00BD5566" w:rsidP="73A9246C" w14:paraId="22893D3D" w14:textId="2EE45C64">
            <w:pPr>
              <w:widowControl/>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00BD5566">
              <w:rPr>
                <w:rFonts w:ascii="Times New Roman" w:hAnsi="Times New Roman"/>
                <w:sz w:val="18"/>
                <w:szCs w:val="18"/>
              </w:rPr>
              <w:t>43 CFR 3120.4</w:t>
            </w:r>
            <w:r>
              <w:rPr>
                <w:rFonts w:ascii="Times New Roman" w:hAnsi="Times New Roman"/>
                <w:sz w:val="18"/>
                <w:szCs w:val="18"/>
              </w:rPr>
              <w:t>1</w:t>
            </w:r>
          </w:p>
        </w:tc>
        <w:tc>
          <w:tcPr>
            <w:tcW w:w="1350" w:type="dxa"/>
            <w:vAlign w:val="center"/>
          </w:tcPr>
          <w:p w:rsidR="00A71B6A" w:rsidRPr="00BD5566" w:rsidP="73A9246C" w14:paraId="05FF0523" w14:textId="71B18661">
            <w:pPr>
              <w:widowControl/>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sz w:val="18"/>
                <w:szCs w:val="18"/>
              </w:rPr>
            </w:pPr>
            <w:r w:rsidRPr="00BD5566">
              <w:rPr>
                <w:rFonts w:ascii="Times New Roman" w:hAnsi="Times New Roman"/>
                <w:sz w:val="18"/>
                <w:szCs w:val="18"/>
              </w:rPr>
              <w:t>395</w:t>
            </w:r>
          </w:p>
        </w:tc>
        <w:tc>
          <w:tcPr>
            <w:tcW w:w="990" w:type="dxa"/>
            <w:vAlign w:val="center"/>
          </w:tcPr>
          <w:p w:rsidR="00A71B6A" w:rsidRPr="00BD5566" w:rsidP="73A9246C" w14:paraId="2374B721" w14:textId="4349CA24">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sidRPr="00BD5566">
              <w:rPr>
                <w:rFonts w:ascii="Times New Roman" w:hAnsi="Times New Roman"/>
                <w:sz w:val="18"/>
                <w:szCs w:val="18"/>
              </w:rPr>
              <w:t>8</w:t>
            </w:r>
          </w:p>
        </w:tc>
        <w:tc>
          <w:tcPr>
            <w:tcW w:w="990" w:type="dxa"/>
            <w:vAlign w:val="center"/>
          </w:tcPr>
          <w:p w:rsidR="00A71B6A" w:rsidRPr="00BD5566" w:rsidP="73A9246C" w14:paraId="4FA2354B" w14:textId="21F399E2">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sidRPr="00BD5566">
              <w:rPr>
                <w:rFonts w:ascii="Times New Roman" w:hAnsi="Times New Roman"/>
                <w:sz w:val="18"/>
                <w:szCs w:val="18"/>
              </w:rPr>
              <w:t>3,160</w:t>
            </w:r>
          </w:p>
        </w:tc>
        <w:tc>
          <w:tcPr>
            <w:tcW w:w="990" w:type="dxa"/>
            <w:vAlign w:val="center"/>
          </w:tcPr>
          <w:p w:rsidR="00A71B6A" w:rsidRPr="00BD5566" w:rsidP="73A9246C" w14:paraId="4E676AC9" w14:textId="28D8FF38">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sidRPr="73A9246C">
              <w:rPr>
                <w:rFonts w:ascii="Times New Roman" w:hAnsi="Times New Roman"/>
                <w:sz w:val="18"/>
                <w:szCs w:val="18"/>
              </w:rPr>
              <w:t>$55.24</w:t>
            </w:r>
          </w:p>
          <w:p w:rsidR="00A71B6A" w:rsidRPr="00BD5566" w:rsidP="73A9246C" w14:paraId="1CE362F4" w14:textId="3F16158E">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p>
        </w:tc>
        <w:tc>
          <w:tcPr>
            <w:tcW w:w="1350" w:type="dxa"/>
            <w:tcBorders>
              <w:top w:val="nil"/>
              <w:left w:val="nil"/>
              <w:bottom w:val="single" w:sz="8" w:space="0" w:color="000000" w:themeColor="text1"/>
              <w:right w:val="single" w:sz="8" w:space="0" w:color="000000" w:themeColor="text1"/>
            </w:tcBorders>
            <w:vAlign w:val="center"/>
          </w:tcPr>
          <w:p w:rsidR="73A9246C" w:rsidRPr="73A9246C" w:rsidP="73A9246C" w14:paraId="19ED68A4" w14:textId="3D879B99">
            <w:pPr>
              <w:jc w:val="right"/>
              <w:rPr>
                <w:rFonts w:ascii="Times New Roman" w:hAnsi="Times New Roman"/>
                <w:color w:val="000000" w:themeColor="text1"/>
                <w:sz w:val="18"/>
                <w:szCs w:val="18"/>
              </w:rPr>
            </w:pPr>
            <w:r w:rsidRPr="73A9246C">
              <w:rPr>
                <w:rFonts w:ascii="Times New Roman" w:hAnsi="Times New Roman"/>
                <w:color w:val="000000" w:themeColor="text1"/>
                <w:sz w:val="18"/>
                <w:szCs w:val="18"/>
              </w:rPr>
              <w:t>$174,558</w:t>
            </w:r>
          </w:p>
        </w:tc>
      </w:tr>
      <w:tr w14:paraId="22B00806" w14:textId="77777777" w:rsidTr="004B1219">
        <w:tblPrEx>
          <w:tblW w:w="9450" w:type="dxa"/>
          <w:tblInd w:w="-5" w:type="dxa"/>
          <w:tblLayout w:type="fixed"/>
          <w:tblLook w:val="04A0"/>
        </w:tblPrEx>
        <w:trPr>
          <w:cantSplit/>
          <w:trHeight w:val="300"/>
        </w:trPr>
        <w:tc>
          <w:tcPr>
            <w:tcW w:w="3780" w:type="dxa"/>
            <w:vAlign w:val="center"/>
          </w:tcPr>
          <w:p w:rsidR="00A71B6A" w:rsidRPr="00A1073C" w:rsidP="73A9246C" w14:paraId="42E92BCB" w14:textId="77777777">
            <w:pPr>
              <w:widowControl/>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00A1073C">
              <w:rPr>
                <w:rFonts w:ascii="Times New Roman" w:hAnsi="Times New Roman"/>
                <w:sz w:val="18"/>
                <w:szCs w:val="18"/>
              </w:rPr>
              <w:t>Preliminary drainage protection report</w:t>
            </w:r>
          </w:p>
          <w:p w:rsidR="00A71B6A" w:rsidRPr="00A1073C" w:rsidP="73A9246C" w14:paraId="0641D60E" w14:textId="77777777">
            <w:pPr>
              <w:widowControl/>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00A1073C">
              <w:rPr>
                <w:rFonts w:ascii="Times New Roman" w:hAnsi="Times New Roman"/>
                <w:sz w:val="18"/>
                <w:szCs w:val="18"/>
              </w:rPr>
              <w:t>43 CFR 3162.2-9</w:t>
            </w:r>
          </w:p>
        </w:tc>
        <w:tc>
          <w:tcPr>
            <w:tcW w:w="1350" w:type="dxa"/>
            <w:vAlign w:val="center"/>
          </w:tcPr>
          <w:p w:rsidR="00A71B6A" w:rsidRPr="00A1073C" w:rsidP="73A9246C" w14:paraId="26BD7941" w14:textId="77777777">
            <w:pPr>
              <w:widowControl/>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sz w:val="18"/>
                <w:szCs w:val="18"/>
              </w:rPr>
            </w:pPr>
            <w:r w:rsidRPr="00A1073C">
              <w:rPr>
                <w:rFonts w:ascii="Times New Roman" w:hAnsi="Times New Roman"/>
                <w:sz w:val="18"/>
                <w:szCs w:val="18"/>
              </w:rPr>
              <w:t>1,000</w:t>
            </w:r>
          </w:p>
        </w:tc>
        <w:tc>
          <w:tcPr>
            <w:tcW w:w="990" w:type="dxa"/>
            <w:vAlign w:val="center"/>
          </w:tcPr>
          <w:p w:rsidR="00A71B6A" w:rsidRPr="00A1073C" w:rsidP="73A9246C" w14:paraId="4DE185DC" w14:textId="77777777">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sidRPr="00A1073C">
              <w:rPr>
                <w:rFonts w:ascii="Times New Roman" w:hAnsi="Times New Roman"/>
                <w:sz w:val="18"/>
                <w:szCs w:val="18"/>
              </w:rPr>
              <w:t>2</w:t>
            </w:r>
          </w:p>
        </w:tc>
        <w:tc>
          <w:tcPr>
            <w:tcW w:w="990" w:type="dxa"/>
            <w:vAlign w:val="center"/>
          </w:tcPr>
          <w:p w:rsidR="00A71B6A" w:rsidRPr="00A1073C" w:rsidP="73A9246C" w14:paraId="5FD91B31" w14:textId="77777777">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sidRPr="00A1073C">
              <w:rPr>
                <w:rFonts w:ascii="Times New Roman" w:hAnsi="Times New Roman"/>
                <w:sz w:val="18"/>
                <w:szCs w:val="18"/>
              </w:rPr>
              <w:t>2,000</w:t>
            </w:r>
          </w:p>
        </w:tc>
        <w:tc>
          <w:tcPr>
            <w:tcW w:w="990" w:type="dxa"/>
            <w:vAlign w:val="center"/>
          </w:tcPr>
          <w:p w:rsidR="00A71B6A" w:rsidRPr="00A1073C" w:rsidP="73A9246C" w14:paraId="388E6D14" w14:textId="28D8FF38">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sidRPr="73A9246C">
              <w:rPr>
                <w:rFonts w:ascii="Times New Roman" w:hAnsi="Times New Roman"/>
                <w:sz w:val="18"/>
                <w:szCs w:val="18"/>
              </w:rPr>
              <w:t>$55.24</w:t>
            </w:r>
          </w:p>
          <w:p w:rsidR="00A71B6A" w:rsidRPr="00A1073C" w:rsidP="73A9246C" w14:paraId="17FAD892" w14:textId="14E2E896">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p>
        </w:tc>
        <w:tc>
          <w:tcPr>
            <w:tcW w:w="1350" w:type="dxa"/>
            <w:tcBorders>
              <w:top w:val="nil"/>
              <w:left w:val="nil"/>
              <w:bottom w:val="single" w:sz="8" w:space="0" w:color="000000" w:themeColor="text1"/>
              <w:right w:val="single" w:sz="8" w:space="0" w:color="000000" w:themeColor="text1"/>
            </w:tcBorders>
            <w:vAlign w:val="center"/>
          </w:tcPr>
          <w:p w:rsidR="73A9246C" w:rsidRPr="73A9246C" w:rsidP="73A9246C" w14:paraId="79D03075" w14:textId="6D014344">
            <w:pPr>
              <w:jc w:val="right"/>
              <w:rPr>
                <w:rFonts w:ascii="Times New Roman" w:hAnsi="Times New Roman"/>
                <w:color w:val="000000" w:themeColor="text1"/>
                <w:sz w:val="18"/>
                <w:szCs w:val="18"/>
              </w:rPr>
            </w:pPr>
            <w:r w:rsidRPr="73A9246C">
              <w:rPr>
                <w:rFonts w:ascii="Times New Roman" w:hAnsi="Times New Roman"/>
                <w:color w:val="000000" w:themeColor="text1"/>
                <w:sz w:val="18"/>
                <w:szCs w:val="18"/>
              </w:rPr>
              <w:t>$110,480</w:t>
            </w:r>
          </w:p>
        </w:tc>
      </w:tr>
      <w:tr w14:paraId="3DB169E0" w14:textId="77777777" w:rsidTr="004B1219">
        <w:tblPrEx>
          <w:tblW w:w="9450" w:type="dxa"/>
          <w:tblInd w:w="-5" w:type="dxa"/>
          <w:tblLayout w:type="fixed"/>
          <w:tblLook w:val="04A0"/>
        </w:tblPrEx>
        <w:trPr>
          <w:cantSplit/>
          <w:trHeight w:val="300"/>
        </w:trPr>
        <w:tc>
          <w:tcPr>
            <w:tcW w:w="3780" w:type="dxa"/>
            <w:vAlign w:val="center"/>
          </w:tcPr>
          <w:p w:rsidR="00A71B6A" w:rsidRPr="00A1073C" w:rsidP="73A9246C" w14:paraId="56309CEE" w14:textId="77777777">
            <w:pPr>
              <w:widowControl/>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00A1073C">
              <w:rPr>
                <w:rFonts w:ascii="Times New Roman" w:hAnsi="Times New Roman"/>
                <w:sz w:val="18"/>
                <w:szCs w:val="18"/>
              </w:rPr>
              <w:t>Detailed drainage protection report</w:t>
            </w:r>
          </w:p>
          <w:p w:rsidR="00A71B6A" w:rsidRPr="00A1073C" w:rsidP="73A9246C" w14:paraId="22012CA1" w14:textId="77777777">
            <w:pPr>
              <w:widowControl/>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00A1073C">
              <w:rPr>
                <w:rFonts w:ascii="Times New Roman" w:hAnsi="Times New Roman"/>
                <w:sz w:val="18"/>
                <w:szCs w:val="18"/>
              </w:rPr>
              <w:t>43 CFR 3162.2-9</w:t>
            </w:r>
          </w:p>
        </w:tc>
        <w:tc>
          <w:tcPr>
            <w:tcW w:w="1350" w:type="dxa"/>
            <w:vAlign w:val="center"/>
          </w:tcPr>
          <w:p w:rsidR="00A71B6A" w:rsidRPr="00A1073C" w:rsidP="73A9246C" w14:paraId="2219F1FC" w14:textId="77777777">
            <w:pPr>
              <w:widowControl/>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sz w:val="18"/>
                <w:szCs w:val="18"/>
              </w:rPr>
            </w:pPr>
            <w:r w:rsidRPr="00A1073C">
              <w:rPr>
                <w:rFonts w:ascii="Times New Roman" w:hAnsi="Times New Roman"/>
                <w:sz w:val="18"/>
                <w:szCs w:val="18"/>
              </w:rPr>
              <w:t>100</w:t>
            </w:r>
          </w:p>
        </w:tc>
        <w:tc>
          <w:tcPr>
            <w:tcW w:w="990" w:type="dxa"/>
            <w:vAlign w:val="center"/>
          </w:tcPr>
          <w:p w:rsidR="00A71B6A" w:rsidRPr="00A1073C" w:rsidP="73A9246C" w14:paraId="58650DB0" w14:textId="77777777">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sidRPr="00A1073C">
              <w:rPr>
                <w:rFonts w:ascii="Times New Roman" w:hAnsi="Times New Roman"/>
                <w:sz w:val="18"/>
                <w:szCs w:val="18"/>
              </w:rPr>
              <w:t>8</w:t>
            </w:r>
          </w:p>
        </w:tc>
        <w:tc>
          <w:tcPr>
            <w:tcW w:w="990" w:type="dxa"/>
            <w:vAlign w:val="center"/>
          </w:tcPr>
          <w:p w:rsidR="00A71B6A" w:rsidRPr="00A1073C" w:rsidP="73A9246C" w14:paraId="37CAFB2B" w14:textId="77777777">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sidRPr="00A1073C">
              <w:rPr>
                <w:rFonts w:ascii="Times New Roman" w:hAnsi="Times New Roman"/>
                <w:sz w:val="18"/>
                <w:szCs w:val="18"/>
              </w:rPr>
              <w:t>800</w:t>
            </w:r>
          </w:p>
        </w:tc>
        <w:tc>
          <w:tcPr>
            <w:tcW w:w="990" w:type="dxa"/>
            <w:vAlign w:val="center"/>
          </w:tcPr>
          <w:p w:rsidR="00A71B6A" w:rsidRPr="00A1073C" w:rsidP="73A9246C" w14:paraId="76BF7E29" w14:textId="28D8FF38">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sidRPr="73A9246C">
              <w:rPr>
                <w:rFonts w:ascii="Times New Roman" w:hAnsi="Times New Roman"/>
                <w:sz w:val="18"/>
                <w:szCs w:val="18"/>
              </w:rPr>
              <w:t>$55.24</w:t>
            </w:r>
          </w:p>
          <w:p w:rsidR="00A71B6A" w:rsidRPr="00A1073C" w:rsidP="73A9246C" w14:paraId="27AB554C" w14:textId="5B7DEED9">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p>
        </w:tc>
        <w:tc>
          <w:tcPr>
            <w:tcW w:w="1350" w:type="dxa"/>
            <w:tcBorders>
              <w:top w:val="nil"/>
              <w:left w:val="nil"/>
              <w:bottom w:val="single" w:sz="8" w:space="0" w:color="000000" w:themeColor="text1"/>
              <w:right w:val="single" w:sz="8" w:space="0" w:color="000000" w:themeColor="text1"/>
            </w:tcBorders>
            <w:vAlign w:val="center"/>
          </w:tcPr>
          <w:p w:rsidR="73A9246C" w:rsidRPr="73A9246C" w:rsidP="73A9246C" w14:paraId="668029DF" w14:textId="759C1458">
            <w:pPr>
              <w:jc w:val="right"/>
              <w:rPr>
                <w:rFonts w:ascii="Times New Roman" w:hAnsi="Times New Roman"/>
                <w:color w:val="000000" w:themeColor="text1"/>
                <w:sz w:val="18"/>
                <w:szCs w:val="18"/>
              </w:rPr>
            </w:pPr>
            <w:r w:rsidRPr="73A9246C">
              <w:rPr>
                <w:rFonts w:ascii="Times New Roman" w:hAnsi="Times New Roman"/>
                <w:color w:val="000000" w:themeColor="text1"/>
                <w:sz w:val="18"/>
                <w:szCs w:val="18"/>
              </w:rPr>
              <w:t>$44,192</w:t>
            </w:r>
          </w:p>
        </w:tc>
      </w:tr>
      <w:tr w14:paraId="347459A6" w14:textId="77777777" w:rsidTr="004B1219">
        <w:tblPrEx>
          <w:tblW w:w="9450" w:type="dxa"/>
          <w:tblInd w:w="-5" w:type="dxa"/>
          <w:tblLayout w:type="fixed"/>
          <w:tblLook w:val="04A0"/>
        </w:tblPrEx>
        <w:trPr>
          <w:cantSplit/>
          <w:trHeight w:val="300"/>
        </w:trPr>
        <w:tc>
          <w:tcPr>
            <w:tcW w:w="3780" w:type="dxa"/>
            <w:vAlign w:val="center"/>
          </w:tcPr>
          <w:p w:rsidR="00A71B6A" w:rsidRPr="00A1073C" w:rsidP="73A9246C" w14:paraId="5A378832" w14:textId="77777777">
            <w:pPr>
              <w:widowControl/>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00A1073C">
              <w:rPr>
                <w:rFonts w:ascii="Times New Roman" w:hAnsi="Times New Roman"/>
                <w:sz w:val="18"/>
                <w:szCs w:val="18"/>
              </w:rPr>
              <w:t>Additional drainage protection report</w:t>
            </w:r>
          </w:p>
          <w:p w:rsidR="00A71B6A" w:rsidRPr="00A1073C" w:rsidP="73A9246C" w14:paraId="1F70D8F5" w14:textId="77777777">
            <w:pPr>
              <w:widowControl/>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00A1073C">
              <w:rPr>
                <w:rFonts w:ascii="Times New Roman" w:hAnsi="Times New Roman"/>
                <w:sz w:val="18"/>
                <w:szCs w:val="18"/>
              </w:rPr>
              <w:t>43 CFR 3162.2-9</w:t>
            </w:r>
          </w:p>
        </w:tc>
        <w:tc>
          <w:tcPr>
            <w:tcW w:w="1350" w:type="dxa"/>
            <w:vAlign w:val="center"/>
          </w:tcPr>
          <w:p w:rsidR="00A71B6A" w:rsidRPr="00A1073C" w:rsidP="73A9246C" w14:paraId="473FECF8" w14:textId="77777777">
            <w:pPr>
              <w:widowControl/>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sz w:val="18"/>
                <w:szCs w:val="18"/>
              </w:rPr>
            </w:pPr>
            <w:r w:rsidRPr="00A1073C">
              <w:rPr>
                <w:rFonts w:ascii="Times New Roman" w:hAnsi="Times New Roman"/>
                <w:sz w:val="18"/>
                <w:szCs w:val="18"/>
              </w:rPr>
              <w:t>10</w:t>
            </w:r>
          </w:p>
        </w:tc>
        <w:tc>
          <w:tcPr>
            <w:tcW w:w="990" w:type="dxa"/>
            <w:vAlign w:val="center"/>
          </w:tcPr>
          <w:p w:rsidR="00A71B6A" w:rsidRPr="00A1073C" w:rsidP="73A9246C" w14:paraId="7A72C83F" w14:textId="77777777">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sidRPr="00A1073C">
              <w:rPr>
                <w:rFonts w:ascii="Times New Roman" w:hAnsi="Times New Roman"/>
                <w:sz w:val="18"/>
                <w:szCs w:val="18"/>
              </w:rPr>
              <w:t>8</w:t>
            </w:r>
          </w:p>
        </w:tc>
        <w:tc>
          <w:tcPr>
            <w:tcW w:w="990" w:type="dxa"/>
            <w:vAlign w:val="center"/>
          </w:tcPr>
          <w:p w:rsidR="00A71B6A" w:rsidRPr="00A1073C" w:rsidP="73A9246C" w14:paraId="20791725" w14:textId="77777777">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sidRPr="00A1073C">
              <w:rPr>
                <w:rFonts w:ascii="Times New Roman" w:hAnsi="Times New Roman"/>
                <w:sz w:val="18"/>
                <w:szCs w:val="18"/>
              </w:rPr>
              <w:t>80</w:t>
            </w:r>
          </w:p>
        </w:tc>
        <w:tc>
          <w:tcPr>
            <w:tcW w:w="990" w:type="dxa"/>
            <w:vAlign w:val="center"/>
          </w:tcPr>
          <w:p w:rsidR="00A71B6A" w:rsidRPr="00A1073C" w:rsidP="73A9246C" w14:paraId="6B869C3F" w14:textId="6FF03010">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sidRPr="73A9246C">
              <w:rPr>
                <w:rFonts w:ascii="Times New Roman" w:hAnsi="Times New Roman"/>
                <w:sz w:val="18"/>
                <w:szCs w:val="18"/>
              </w:rPr>
              <w:t>$55.24</w:t>
            </w:r>
          </w:p>
          <w:p w:rsidR="00A71B6A" w:rsidRPr="00A1073C" w:rsidP="73A9246C" w14:paraId="45513D06" w14:textId="35524465">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p>
        </w:tc>
        <w:tc>
          <w:tcPr>
            <w:tcW w:w="1350" w:type="dxa"/>
            <w:tcBorders>
              <w:top w:val="nil"/>
              <w:left w:val="nil"/>
              <w:bottom w:val="single" w:sz="8" w:space="0" w:color="000000" w:themeColor="text1"/>
              <w:right w:val="single" w:sz="8" w:space="0" w:color="000000" w:themeColor="text1"/>
            </w:tcBorders>
            <w:vAlign w:val="center"/>
          </w:tcPr>
          <w:p w:rsidR="73A9246C" w:rsidRPr="73A9246C" w:rsidP="73A9246C" w14:paraId="1DE4458C" w14:textId="343BAE07">
            <w:pPr>
              <w:jc w:val="right"/>
              <w:rPr>
                <w:rFonts w:ascii="Times New Roman" w:hAnsi="Times New Roman"/>
                <w:color w:val="000000" w:themeColor="text1"/>
                <w:sz w:val="18"/>
                <w:szCs w:val="18"/>
              </w:rPr>
            </w:pPr>
            <w:r w:rsidRPr="73A9246C">
              <w:rPr>
                <w:rFonts w:ascii="Times New Roman" w:hAnsi="Times New Roman"/>
                <w:color w:val="000000" w:themeColor="text1"/>
                <w:sz w:val="18"/>
                <w:szCs w:val="18"/>
              </w:rPr>
              <w:t>$4,419</w:t>
            </w:r>
          </w:p>
        </w:tc>
      </w:tr>
      <w:tr w14:paraId="619CAA37" w14:textId="77777777" w:rsidTr="73A9246C">
        <w:tblPrEx>
          <w:tblW w:w="9450" w:type="dxa"/>
          <w:tblInd w:w="-5" w:type="dxa"/>
          <w:tblLayout w:type="fixed"/>
          <w:tblLook w:val="04A0"/>
        </w:tblPrEx>
        <w:trPr>
          <w:cantSplit/>
        </w:trPr>
        <w:tc>
          <w:tcPr>
            <w:tcW w:w="8100" w:type="dxa"/>
            <w:gridSpan w:val="5"/>
            <w:vAlign w:val="center"/>
          </w:tcPr>
          <w:p w:rsidR="00A71B6A" w:rsidRPr="00A1073C" w:rsidP="73A9246C" w14:paraId="1CA9F9A9" w14:textId="10B7528D">
            <w:pPr>
              <w:widowControl/>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b/>
                <w:sz w:val="18"/>
                <w:szCs w:val="18"/>
              </w:rPr>
            </w:pPr>
            <w:r w:rsidRPr="00A1073C">
              <w:rPr>
                <w:rFonts w:ascii="Times New Roman" w:hAnsi="Times New Roman"/>
                <w:b/>
                <w:sz w:val="18"/>
                <w:szCs w:val="18"/>
              </w:rPr>
              <w:t>Total</w:t>
            </w:r>
            <w:r>
              <w:rPr>
                <w:rFonts w:ascii="Times New Roman" w:hAnsi="Times New Roman"/>
                <w:b/>
                <w:sz w:val="18"/>
                <w:szCs w:val="18"/>
              </w:rPr>
              <w:t xml:space="preserve"> Federal Government Cost:</w:t>
            </w:r>
          </w:p>
        </w:tc>
        <w:tc>
          <w:tcPr>
            <w:tcW w:w="1350" w:type="dxa"/>
            <w:vAlign w:val="center"/>
          </w:tcPr>
          <w:p w:rsidR="73A9246C" w:rsidRPr="73A9246C" w:rsidP="73A9246C" w14:paraId="5FD600BD" w14:textId="74D8244C">
            <w:pPr>
              <w:jc w:val="right"/>
              <w:rPr>
                <w:rFonts w:ascii="Times New Roman" w:hAnsi="Times New Roman"/>
                <w:b/>
                <w:bCs/>
                <w:color w:val="000000" w:themeColor="text1"/>
                <w:sz w:val="18"/>
                <w:szCs w:val="18"/>
              </w:rPr>
            </w:pPr>
            <w:r w:rsidRPr="73A9246C">
              <w:rPr>
                <w:rFonts w:ascii="Times New Roman" w:hAnsi="Times New Roman"/>
                <w:b/>
                <w:bCs/>
                <w:color w:val="000000" w:themeColor="text1"/>
                <w:sz w:val="18"/>
                <w:szCs w:val="18"/>
              </w:rPr>
              <w:t>$4,326,176</w:t>
            </w:r>
          </w:p>
        </w:tc>
      </w:tr>
    </w:tbl>
    <w:p w:rsidR="005176CD" w:rsidRPr="00B7531F" w:rsidP="5A64A34E" w14:paraId="37D152CE" w14:textId="32CE130B">
      <w:pPr>
        <w:tabs>
          <w:tab w:val="left" w:pos="548"/>
          <w:tab w:val="left" w:pos="1028"/>
          <w:tab w:val="left" w:pos="1549"/>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sectPr>
          <w:type w:val="continuous"/>
          <w:pgSz w:w="12240" w:h="15840"/>
          <w:pgMar w:top="1440" w:right="1440" w:bottom="1440" w:left="1440" w:header="1440" w:footer="1440" w:gutter="0"/>
          <w:cols w:space="720"/>
          <w:noEndnote/>
        </w:sectPr>
      </w:pPr>
    </w:p>
    <w:p w:rsidR="00FC0238" w:rsidRPr="00ED00CF" w:rsidP="00BD5566" w14:paraId="74627E7A" w14:textId="77777777">
      <w:pPr>
        <w:pStyle w:val="Heading2"/>
        <w:rPr>
          <w:sz w:val="20"/>
          <w:szCs w:val="20"/>
        </w:rPr>
      </w:pPr>
      <w:r w:rsidRPr="00ED00CF">
        <w:rPr>
          <w:sz w:val="20"/>
          <w:szCs w:val="20"/>
        </w:rPr>
        <w:t>15.</w:t>
      </w:r>
      <w:r w:rsidRPr="00ED00CF">
        <w:rPr>
          <w:sz w:val="20"/>
          <w:szCs w:val="20"/>
        </w:rPr>
        <w:tab/>
        <w:t xml:space="preserve">Explain the reasons for any program changes or adjustments in </w:t>
      </w:r>
      <w:r w:rsidRPr="00ED00CF">
        <w:rPr>
          <w:sz w:val="20"/>
          <w:szCs w:val="20"/>
        </w:rPr>
        <w:t>hour</w:t>
      </w:r>
      <w:r w:rsidRPr="00ED00CF">
        <w:rPr>
          <w:sz w:val="20"/>
          <w:szCs w:val="20"/>
        </w:rPr>
        <w:t xml:space="preserve"> or cost burden.</w:t>
      </w:r>
    </w:p>
    <w:p w:rsidR="00BE291A" w:rsidRPr="00ED00CF" w:rsidP="002D78D9" w14:paraId="019AFFC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0"/>
          <w:szCs w:val="20"/>
        </w:rPr>
      </w:pPr>
    </w:p>
    <w:p w:rsidR="0067566B" w:rsidRPr="00ED00CF" w:rsidP="00E24852" w14:paraId="2A1C255E" w14:textId="2B15DE40">
      <w:pPr>
        <w:tabs>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59" w:lineRule="auto"/>
        <w:rPr>
          <w:rFonts w:ascii="Times New Roman" w:hAnsi="Times New Roman"/>
          <w:sz w:val="20"/>
          <w:szCs w:val="20"/>
        </w:rPr>
      </w:pPr>
      <w:r w:rsidRPr="071F182D">
        <w:rPr>
          <w:rFonts w:ascii="Times New Roman" w:hAnsi="Times New Roman"/>
          <w:sz w:val="20"/>
          <w:szCs w:val="20"/>
        </w:rPr>
        <w:t xml:space="preserve">Currently, there are </w:t>
      </w:r>
      <w:r w:rsidRPr="071F182D" w:rsidR="6CC5B931">
        <w:rPr>
          <w:rFonts w:ascii="Times New Roman" w:hAnsi="Times New Roman"/>
          <w:sz w:val="20"/>
          <w:szCs w:val="20"/>
        </w:rPr>
        <w:t>16,340</w:t>
      </w:r>
      <w:r w:rsidRPr="071F182D" w:rsidR="663AC062">
        <w:rPr>
          <w:rFonts w:ascii="Times New Roman" w:hAnsi="Times New Roman"/>
          <w:sz w:val="20"/>
          <w:szCs w:val="20"/>
        </w:rPr>
        <w:t xml:space="preserve"> annual responses, </w:t>
      </w:r>
      <w:r w:rsidRPr="071F182D" w:rsidR="264CA17E">
        <w:rPr>
          <w:rFonts w:ascii="Times New Roman" w:hAnsi="Times New Roman"/>
          <w:sz w:val="20"/>
          <w:szCs w:val="20"/>
        </w:rPr>
        <w:t>29,410</w:t>
      </w:r>
      <w:r w:rsidRPr="071F182D" w:rsidR="70D64C21">
        <w:rPr>
          <w:rFonts w:ascii="Times New Roman" w:hAnsi="Times New Roman"/>
          <w:sz w:val="20"/>
          <w:szCs w:val="20"/>
        </w:rPr>
        <w:t xml:space="preserve"> annual burden hours, and $</w:t>
      </w:r>
      <w:r w:rsidRPr="071F182D" w:rsidR="201969FB">
        <w:rPr>
          <w:rFonts w:ascii="Times New Roman" w:hAnsi="Times New Roman"/>
          <w:sz w:val="20"/>
          <w:szCs w:val="20"/>
        </w:rPr>
        <w:t xml:space="preserve">3,766,184 </w:t>
      </w:r>
      <w:r w:rsidRPr="071F182D" w:rsidR="70D64C21">
        <w:rPr>
          <w:rFonts w:ascii="Times New Roman" w:hAnsi="Times New Roman"/>
          <w:sz w:val="20"/>
          <w:szCs w:val="20"/>
        </w:rPr>
        <w:t xml:space="preserve">annual non-hour cost burdens </w:t>
      </w:r>
      <w:r w:rsidRPr="071F182D" w:rsidR="6557FA6C">
        <w:rPr>
          <w:rFonts w:ascii="Times New Roman" w:hAnsi="Times New Roman"/>
          <w:sz w:val="20"/>
          <w:szCs w:val="20"/>
        </w:rPr>
        <w:t xml:space="preserve">inventoried under OMB Control Number 1004-0185. </w:t>
      </w:r>
      <w:r w:rsidRPr="071F182D" w:rsidR="288B6305">
        <w:rPr>
          <w:rFonts w:ascii="Times New Roman" w:hAnsi="Times New Roman"/>
          <w:sz w:val="20"/>
          <w:szCs w:val="20"/>
        </w:rPr>
        <w:t>The BLM projects that t</w:t>
      </w:r>
      <w:r w:rsidRPr="071F182D" w:rsidR="33C17BC6">
        <w:rPr>
          <w:rFonts w:ascii="Times New Roman" w:hAnsi="Times New Roman"/>
          <w:sz w:val="20"/>
          <w:szCs w:val="20"/>
        </w:rPr>
        <w:t xml:space="preserve">he new estimated burdens under this </w:t>
      </w:r>
      <w:r w:rsidRPr="071F182D" w:rsidR="288B6305">
        <w:rPr>
          <w:rFonts w:ascii="Times New Roman" w:hAnsi="Times New Roman"/>
          <w:sz w:val="20"/>
          <w:szCs w:val="20"/>
        </w:rPr>
        <w:t xml:space="preserve">OMB control number </w:t>
      </w:r>
      <w:r w:rsidRPr="071F182D" w:rsidR="153FDA37">
        <w:rPr>
          <w:rFonts w:ascii="Times New Roman" w:hAnsi="Times New Roman"/>
          <w:sz w:val="20"/>
          <w:szCs w:val="20"/>
        </w:rPr>
        <w:t xml:space="preserve">would be </w:t>
      </w:r>
      <w:r w:rsidRPr="071F182D" w:rsidR="417273C8">
        <w:rPr>
          <w:rFonts w:ascii="Times New Roman" w:hAnsi="Times New Roman"/>
          <w:sz w:val="20"/>
          <w:szCs w:val="20"/>
        </w:rPr>
        <w:t>14,9</w:t>
      </w:r>
      <w:r w:rsidRPr="071F182D" w:rsidR="475450EA">
        <w:rPr>
          <w:rFonts w:ascii="Times New Roman" w:hAnsi="Times New Roman"/>
          <w:sz w:val="20"/>
          <w:szCs w:val="20"/>
        </w:rPr>
        <w:t>5</w:t>
      </w:r>
      <w:r w:rsidRPr="071F182D" w:rsidR="417273C8">
        <w:rPr>
          <w:rFonts w:ascii="Times New Roman" w:hAnsi="Times New Roman"/>
          <w:sz w:val="20"/>
          <w:szCs w:val="20"/>
        </w:rPr>
        <w:t>6</w:t>
      </w:r>
      <w:r w:rsidRPr="071F182D" w:rsidR="153FDA37">
        <w:rPr>
          <w:rFonts w:ascii="Times New Roman" w:hAnsi="Times New Roman"/>
          <w:sz w:val="20"/>
          <w:szCs w:val="20"/>
        </w:rPr>
        <w:t xml:space="preserve"> annu</w:t>
      </w:r>
      <w:r w:rsidRPr="071F182D" w:rsidR="4FEF8DA1">
        <w:rPr>
          <w:rFonts w:ascii="Times New Roman" w:hAnsi="Times New Roman"/>
          <w:sz w:val="20"/>
          <w:szCs w:val="20"/>
        </w:rPr>
        <w:t>al</w:t>
      </w:r>
      <w:r w:rsidRPr="071F182D" w:rsidR="153FDA37">
        <w:rPr>
          <w:rFonts w:ascii="Times New Roman" w:hAnsi="Times New Roman"/>
          <w:sz w:val="20"/>
          <w:szCs w:val="20"/>
        </w:rPr>
        <w:t xml:space="preserve"> responses, </w:t>
      </w:r>
      <w:r w:rsidRPr="071F182D" w:rsidR="32424EF4">
        <w:rPr>
          <w:rFonts w:ascii="Times New Roman" w:hAnsi="Times New Roman"/>
          <w:sz w:val="20"/>
          <w:szCs w:val="20"/>
        </w:rPr>
        <w:t>18,359</w:t>
      </w:r>
      <w:r w:rsidRPr="071F182D" w:rsidR="22E863B7">
        <w:rPr>
          <w:rFonts w:ascii="Times New Roman" w:hAnsi="Times New Roman"/>
          <w:sz w:val="20"/>
          <w:szCs w:val="20"/>
        </w:rPr>
        <w:t xml:space="preserve"> </w:t>
      </w:r>
      <w:r w:rsidRPr="071F182D" w:rsidR="5A1F69E9">
        <w:rPr>
          <w:rFonts w:ascii="Times New Roman" w:hAnsi="Times New Roman"/>
          <w:sz w:val="20"/>
          <w:szCs w:val="20"/>
        </w:rPr>
        <w:t>annual</w:t>
      </w:r>
      <w:r w:rsidRPr="071F182D" w:rsidR="22E863B7">
        <w:rPr>
          <w:rFonts w:ascii="Times New Roman" w:hAnsi="Times New Roman"/>
          <w:sz w:val="20"/>
          <w:szCs w:val="20"/>
        </w:rPr>
        <w:t xml:space="preserve"> burden hours and $</w:t>
      </w:r>
      <w:r w:rsidR="00065748">
        <w:rPr>
          <w:rFonts w:ascii="Times New Roman" w:hAnsi="Times New Roman"/>
          <w:sz w:val="20"/>
          <w:szCs w:val="20"/>
        </w:rPr>
        <w:t>1,793,788</w:t>
      </w:r>
      <w:r w:rsidRPr="071F182D" w:rsidR="22E863B7">
        <w:rPr>
          <w:rFonts w:ascii="Times New Roman" w:hAnsi="Times New Roman"/>
          <w:sz w:val="20"/>
          <w:szCs w:val="20"/>
        </w:rPr>
        <w:t xml:space="preserve"> annual non-hour cost burdens. </w:t>
      </w:r>
      <w:r w:rsidRPr="071F182D" w:rsidR="6FBF989F">
        <w:rPr>
          <w:rFonts w:ascii="Times New Roman" w:hAnsi="Times New Roman"/>
          <w:sz w:val="20"/>
          <w:szCs w:val="20"/>
        </w:rPr>
        <w:t>The</w:t>
      </w:r>
      <w:r w:rsidRPr="071F182D" w:rsidR="56D92032">
        <w:rPr>
          <w:rFonts w:ascii="Times New Roman" w:hAnsi="Times New Roman"/>
          <w:sz w:val="20"/>
          <w:szCs w:val="20"/>
        </w:rPr>
        <w:t xml:space="preserve"> revisions </w:t>
      </w:r>
      <w:r w:rsidRPr="071F182D" w:rsidR="13C4BE8E">
        <w:rPr>
          <w:rFonts w:ascii="Times New Roman" w:hAnsi="Times New Roman"/>
          <w:sz w:val="20"/>
          <w:szCs w:val="20"/>
        </w:rPr>
        <w:t xml:space="preserve">and adjustments </w:t>
      </w:r>
      <w:r w:rsidRPr="071F182D" w:rsidR="56D92032">
        <w:rPr>
          <w:rFonts w:ascii="Times New Roman" w:hAnsi="Times New Roman"/>
          <w:sz w:val="20"/>
          <w:szCs w:val="20"/>
        </w:rPr>
        <w:t xml:space="preserve">to the </w:t>
      </w:r>
      <w:r w:rsidRPr="071F182D" w:rsidR="19C1D1B4">
        <w:rPr>
          <w:rFonts w:ascii="Times New Roman" w:hAnsi="Times New Roman"/>
          <w:sz w:val="20"/>
          <w:szCs w:val="20"/>
        </w:rPr>
        <w:t>information</w:t>
      </w:r>
      <w:r w:rsidRPr="071F182D" w:rsidR="56D92032">
        <w:rPr>
          <w:rFonts w:ascii="Times New Roman" w:hAnsi="Times New Roman"/>
          <w:sz w:val="20"/>
          <w:szCs w:val="20"/>
        </w:rPr>
        <w:t xml:space="preserve"> collection requirements, along with the resulting </w:t>
      </w:r>
      <w:r w:rsidRPr="071F182D" w:rsidR="19C1D1B4">
        <w:rPr>
          <w:rFonts w:ascii="Times New Roman" w:hAnsi="Times New Roman"/>
          <w:sz w:val="20"/>
          <w:szCs w:val="20"/>
        </w:rPr>
        <w:t>impacts to the information collection burdens, are discussed below.</w:t>
      </w:r>
      <w:r w:rsidRPr="071F182D" w:rsidR="0BF91502">
        <w:rPr>
          <w:rFonts w:ascii="Times New Roman" w:hAnsi="Times New Roman"/>
          <w:sz w:val="20"/>
          <w:szCs w:val="20"/>
        </w:rPr>
        <w:t xml:space="preserve"> These changes would be considered </w:t>
      </w:r>
      <w:r w:rsidRPr="071F182D" w:rsidR="2792444A">
        <w:rPr>
          <w:rFonts w:ascii="Times New Roman" w:hAnsi="Times New Roman"/>
          <w:sz w:val="20"/>
          <w:szCs w:val="20"/>
        </w:rPr>
        <w:t>a</w:t>
      </w:r>
      <w:r w:rsidRPr="071F182D" w:rsidR="0BF91502">
        <w:rPr>
          <w:rFonts w:ascii="Times New Roman" w:hAnsi="Times New Roman"/>
          <w:sz w:val="20"/>
          <w:szCs w:val="20"/>
        </w:rPr>
        <w:t xml:space="preserve"> program change as they would result from this rule</w:t>
      </w:r>
      <w:r w:rsidRPr="071F182D" w:rsidR="1BAA57CE">
        <w:rPr>
          <w:rFonts w:ascii="Times New Roman" w:hAnsi="Times New Roman"/>
          <w:sz w:val="20"/>
          <w:szCs w:val="20"/>
        </w:rPr>
        <w:t xml:space="preserve">making action. </w:t>
      </w:r>
    </w:p>
    <w:p w:rsidR="004F781D" w:rsidRPr="00ED00CF" w:rsidP="00680426" w14:paraId="42E2E8D3" w14:textId="43E55B73">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0"/>
          <w:szCs w:val="20"/>
        </w:rPr>
      </w:pPr>
    </w:p>
    <w:p w:rsidR="00705117" w:rsidRPr="00CB1760" w:rsidP="00FE028B" w14:paraId="50F22FDB" w14:textId="7BD5BA87">
      <w:pPr>
        <w:pStyle w:val="Heading3"/>
        <w:rPr>
          <w:sz w:val="20"/>
          <w:szCs w:val="20"/>
        </w:rPr>
      </w:pPr>
      <w:r w:rsidRPr="00CB1760">
        <w:rPr>
          <w:sz w:val="20"/>
          <w:szCs w:val="20"/>
        </w:rPr>
        <w:t>Removed</w:t>
      </w:r>
      <w:r w:rsidRPr="00CB1760" w:rsidR="00C0231D">
        <w:rPr>
          <w:sz w:val="20"/>
          <w:szCs w:val="20"/>
        </w:rPr>
        <w:t xml:space="preserve"> Information Collection Requirements.</w:t>
      </w:r>
    </w:p>
    <w:p w:rsidR="00E51C3F" w:rsidP="00680426" w14:paraId="68BE73C1"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0"/>
          <w:szCs w:val="20"/>
        </w:rPr>
      </w:pPr>
    </w:p>
    <w:p w:rsidR="003A2462" w:rsidRPr="00ED00CF" w:rsidP="00680426" w14:paraId="05504F0D" w14:textId="10AE3FCE">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0"/>
          <w:szCs w:val="20"/>
        </w:rPr>
      </w:pPr>
      <w:r w:rsidRPr="00834161">
        <w:rPr>
          <w:rFonts w:ascii="Times New Roman" w:hAnsi="Times New Roman"/>
          <w:sz w:val="20"/>
          <w:szCs w:val="20"/>
        </w:rPr>
        <w:t xml:space="preserve">The proposed rule would remove </w:t>
      </w:r>
      <w:r>
        <w:rPr>
          <w:rFonts w:ascii="Times New Roman" w:hAnsi="Times New Roman"/>
          <w:sz w:val="20"/>
          <w:szCs w:val="20"/>
        </w:rPr>
        <w:t>the below</w:t>
      </w:r>
      <w:r w:rsidRPr="00834161">
        <w:rPr>
          <w:rFonts w:ascii="Times New Roman" w:hAnsi="Times New Roman"/>
          <w:sz w:val="20"/>
          <w:szCs w:val="20"/>
        </w:rPr>
        <w:t xml:space="preserve"> section</w:t>
      </w:r>
      <w:r>
        <w:rPr>
          <w:rFonts w:ascii="Times New Roman" w:hAnsi="Times New Roman"/>
          <w:sz w:val="20"/>
          <w:szCs w:val="20"/>
        </w:rPr>
        <w:t>s</w:t>
      </w:r>
      <w:r w:rsidRPr="00834161">
        <w:rPr>
          <w:rFonts w:ascii="Times New Roman" w:hAnsi="Times New Roman"/>
          <w:sz w:val="20"/>
          <w:szCs w:val="20"/>
        </w:rPr>
        <w:t xml:space="preserve"> as </w:t>
      </w:r>
      <w:r>
        <w:rPr>
          <w:rFonts w:ascii="Times New Roman" w:hAnsi="Times New Roman"/>
          <w:sz w:val="20"/>
          <w:szCs w:val="20"/>
        </w:rPr>
        <w:t>they are</w:t>
      </w:r>
      <w:r w:rsidRPr="00834161">
        <w:rPr>
          <w:rFonts w:ascii="Times New Roman" w:hAnsi="Times New Roman"/>
          <w:sz w:val="20"/>
          <w:szCs w:val="20"/>
        </w:rPr>
        <w:t xml:space="preserve"> not used by industry or </w:t>
      </w:r>
      <w:r w:rsidRPr="00834161">
        <w:rPr>
          <w:rFonts w:ascii="Times New Roman" w:hAnsi="Times New Roman"/>
          <w:sz w:val="20"/>
          <w:szCs w:val="20"/>
        </w:rPr>
        <w:t>the BLM</w:t>
      </w:r>
      <w:r w:rsidRPr="00834161">
        <w:rPr>
          <w:rFonts w:ascii="Times New Roman" w:hAnsi="Times New Roman"/>
          <w:sz w:val="20"/>
          <w:szCs w:val="20"/>
        </w:rPr>
        <w:t>.</w:t>
      </w:r>
    </w:p>
    <w:p w:rsidR="00E9325A" w:rsidP="00680426" w14:paraId="6277F7B1"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0"/>
          <w:szCs w:val="20"/>
          <w:u w:val="single"/>
        </w:rPr>
      </w:pPr>
    </w:p>
    <w:p w:rsidR="00F65E84" w:rsidRPr="00CB1760" w:rsidP="00680426" w14:paraId="35D6F9B5" w14:textId="58E84A51">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0"/>
          <w:szCs w:val="20"/>
          <w:u w:val="single"/>
        </w:rPr>
      </w:pPr>
      <w:r w:rsidRPr="00834161">
        <w:rPr>
          <w:rFonts w:ascii="Times New Roman" w:hAnsi="Times New Roman"/>
          <w:sz w:val="20"/>
          <w:szCs w:val="20"/>
          <w:u w:val="single"/>
        </w:rPr>
        <w:t xml:space="preserve">Notice of </w:t>
      </w:r>
      <w:r w:rsidRPr="00834161" w:rsidR="00FF5EE7">
        <w:rPr>
          <w:rFonts w:ascii="Times New Roman" w:hAnsi="Times New Roman"/>
          <w:sz w:val="20"/>
          <w:szCs w:val="20"/>
          <w:u w:val="single"/>
        </w:rPr>
        <w:t>Option Statement</w:t>
      </w:r>
      <w:r w:rsidRPr="00834161" w:rsidR="00D25FA0">
        <w:rPr>
          <w:rFonts w:ascii="Times New Roman" w:hAnsi="Times New Roman"/>
          <w:sz w:val="20"/>
          <w:szCs w:val="20"/>
          <w:u w:val="single"/>
        </w:rPr>
        <w:t xml:space="preserve"> </w:t>
      </w:r>
      <w:r w:rsidRPr="00834161" w:rsidR="003F2114">
        <w:rPr>
          <w:rFonts w:ascii="Times New Roman" w:hAnsi="Times New Roman"/>
          <w:sz w:val="20"/>
          <w:szCs w:val="20"/>
          <w:u w:val="single"/>
        </w:rPr>
        <w:t>43 CFR 3100.31(b)</w:t>
      </w:r>
    </w:p>
    <w:p w:rsidR="00814BBD" w:rsidP="00680426" w14:paraId="055C6A4F"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0"/>
          <w:szCs w:val="20"/>
        </w:rPr>
      </w:pPr>
    </w:p>
    <w:p w:rsidR="00FF5EE7" w:rsidP="00680426" w14:paraId="55E4F6D2" w14:textId="6DF0BD51">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0"/>
          <w:szCs w:val="20"/>
        </w:rPr>
      </w:pPr>
      <w:r>
        <w:rPr>
          <w:rFonts w:ascii="Times New Roman" w:hAnsi="Times New Roman"/>
          <w:sz w:val="20"/>
          <w:szCs w:val="20"/>
        </w:rPr>
        <w:t xml:space="preserve">The removal of this information collection requirement </w:t>
      </w:r>
      <w:r w:rsidR="00093B0A">
        <w:rPr>
          <w:rFonts w:ascii="Times New Roman" w:hAnsi="Times New Roman"/>
          <w:sz w:val="20"/>
          <w:szCs w:val="20"/>
        </w:rPr>
        <w:t xml:space="preserve">would result in the reduction of 1 </w:t>
      </w:r>
      <w:r w:rsidR="00BA4B7D">
        <w:rPr>
          <w:rFonts w:ascii="Times New Roman" w:hAnsi="Times New Roman"/>
          <w:sz w:val="20"/>
          <w:szCs w:val="20"/>
        </w:rPr>
        <w:t>annual</w:t>
      </w:r>
      <w:r w:rsidR="00093B0A">
        <w:rPr>
          <w:rFonts w:ascii="Times New Roman" w:hAnsi="Times New Roman"/>
          <w:sz w:val="20"/>
          <w:szCs w:val="20"/>
        </w:rPr>
        <w:t xml:space="preserve"> response, 1 annual burden hour, and </w:t>
      </w:r>
      <w:r w:rsidR="00BA4B7D">
        <w:rPr>
          <w:rFonts w:ascii="Times New Roman" w:hAnsi="Times New Roman"/>
          <w:sz w:val="20"/>
          <w:szCs w:val="20"/>
        </w:rPr>
        <w:t>$1,200 annual non-hour cost burdens.</w:t>
      </w:r>
    </w:p>
    <w:p w:rsidR="00BA4B7D" w:rsidP="00680426" w14:paraId="3C9A4206"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0"/>
          <w:szCs w:val="20"/>
        </w:rPr>
      </w:pPr>
    </w:p>
    <w:p w:rsidR="00D028A7" w:rsidRPr="00CB1760" w:rsidP="00680426" w14:paraId="57168D0A" w14:textId="53EFA145">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0"/>
          <w:szCs w:val="20"/>
          <w:u w:val="single"/>
        </w:rPr>
      </w:pPr>
      <w:r w:rsidRPr="00834161">
        <w:rPr>
          <w:rFonts w:ascii="Times New Roman" w:hAnsi="Times New Roman"/>
          <w:sz w:val="20"/>
          <w:szCs w:val="20"/>
          <w:u w:val="single"/>
        </w:rPr>
        <w:t>Option Statement</w:t>
      </w:r>
      <w:r w:rsidRPr="00834161" w:rsidR="00D25FA0">
        <w:rPr>
          <w:rFonts w:ascii="Times New Roman" w:hAnsi="Times New Roman"/>
          <w:sz w:val="20"/>
          <w:szCs w:val="20"/>
          <w:u w:val="single"/>
        </w:rPr>
        <w:t xml:space="preserve"> 43 CFR 3100.33</w:t>
      </w:r>
    </w:p>
    <w:p w:rsidR="00BA4B7D" w:rsidP="00680426" w14:paraId="13FF2B91"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0"/>
          <w:szCs w:val="20"/>
        </w:rPr>
      </w:pPr>
    </w:p>
    <w:p w:rsidR="00D67DF7" w:rsidP="73A9246C" w14:paraId="693881BF" w14:textId="3E80C535">
      <w:pPr>
        <w:tabs>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0"/>
          <w:szCs w:val="20"/>
        </w:rPr>
      </w:pPr>
      <w:r>
        <w:rPr>
          <w:rFonts w:ascii="Times New Roman" w:hAnsi="Times New Roman"/>
          <w:sz w:val="20"/>
          <w:szCs w:val="20"/>
        </w:rPr>
        <w:t xml:space="preserve">The removal of this information collection requirement would result in the reduction of </w:t>
      </w:r>
      <w:r w:rsidR="0038129E">
        <w:rPr>
          <w:rFonts w:ascii="Times New Roman" w:hAnsi="Times New Roman"/>
          <w:sz w:val="20"/>
          <w:szCs w:val="20"/>
        </w:rPr>
        <w:t xml:space="preserve">2 </w:t>
      </w:r>
      <w:r>
        <w:rPr>
          <w:rFonts w:ascii="Times New Roman" w:hAnsi="Times New Roman"/>
          <w:sz w:val="20"/>
          <w:szCs w:val="20"/>
        </w:rPr>
        <w:t xml:space="preserve">annual </w:t>
      </w:r>
      <w:r>
        <w:rPr>
          <w:rFonts w:ascii="Times New Roman" w:hAnsi="Times New Roman"/>
          <w:sz w:val="20"/>
          <w:szCs w:val="20"/>
        </w:rPr>
        <w:t>response</w:t>
      </w:r>
      <w:r>
        <w:rPr>
          <w:rFonts w:ascii="Times New Roman" w:hAnsi="Times New Roman"/>
          <w:sz w:val="20"/>
          <w:szCs w:val="20"/>
        </w:rPr>
        <w:t xml:space="preserve">, </w:t>
      </w:r>
      <w:r w:rsidR="009B7997">
        <w:rPr>
          <w:rFonts w:ascii="Times New Roman" w:hAnsi="Times New Roman"/>
          <w:sz w:val="20"/>
          <w:szCs w:val="20"/>
        </w:rPr>
        <w:t>2</w:t>
      </w:r>
      <w:r>
        <w:rPr>
          <w:rFonts w:ascii="Times New Roman" w:hAnsi="Times New Roman"/>
          <w:sz w:val="20"/>
          <w:szCs w:val="20"/>
        </w:rPr>
        <w:t xml:space="preserve"> annual burden hour</w:t>
      </w:r>
      <w:r w:rsidR="00BD07BC">
        <w:rPr>
          <w:rFonts w:ascii="Times New Roman" w:hAnsi="Times New Roman"/>
          <w:sz w:val="20"/>
          <w:szCs w:val="20"/>
        </w:rPr>
        <w:t>s</w:t>
      </w:r>
      <w:r>
        <w:rPr>
          <w:rFonts w:ascii="Times New Roman" w:hAnsi="Times New Roman"/>
          <w:sz w:val="20"/>
          <w:szCs w:val="20"/>
        </w:rPr>
        <w:t>, and $26,250 annual non-hour cost burdens.</w:t>
      </w:r>
    </w:p>
    <w:p w:rsidR="00D67DF7" w:rsidP="73A9246C" w14:paraId="6C08FC80" w14:textId="77777777">
      <w:pPr>
        <w:tabs>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0"/>
          <w:szCs w:val="20"/>
        </w:rPr>
      </w:pPr>
    </w:p>
    <w:p w:rsidR="00413527" w:rsidRPr="00852A67" w:rsidP="73A9246C" w14:paraId="28166C06" w14:textId="3B392667">
      <w:pPr>
        <w:tabs>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0"/>
          <w:szCs w:val="20"/>
        </w:rPr>
      </w:pPr>
      <w:r w:rsidRPr="00E07E94">
        <w:rPr>
          <w:rFonts w:ascii="Times New Roman" w:hAnsi="Times New Roman"/>
          <w:sz w:val="20"/>
          <w:szCs w:val="20"/>
        </w:rPr>
        <w:t>An option agreement</w:t>
      </w:r>
      <w:r w:rsidR="00E07E94">
        <w:rPr>
          <w:rFonts w:ascii="Times New Roman" w:hAnsi="Times New Roman"/>
          <w:sz w:val="20"/>
          <w:szCs w:val="20"/>
        </w:rPr>
        <w:t>,</w:t>
      </w:r>
      <w:r w:rsidRPr="00E07E94">
        <w:rPr>
          <w:rFonts w:ascii="Times New Roman" w:hAnsi="Times New Roman"/>
          <w:sz w:val="20"/>
          <w:szCs w:val="20"/>
        </w:rPr>
        <w:t xml:space="preserve"> </w:t>
      </w:r>
      <w:r w:rsidR="00E07E94">
        <w:rPr>
          <w:rFonts w:ascii="Times New Roman" w:hAnsi="Times New Roman"/>
          <w:sz w:val="20"/>
          <w:szCs w:val="20"/>
        </w:rPr>
        <w:t xml:space="preserve">or statement, </w:t>
      </w:r>
      <w:r w:rsidRPr="00E07E94">
        <w:rPr>
          <w:rFonts w:ascii="Times New Roman" w:hAnsi="Times New Roman"/>
          <w:sz w:val="20"/>
          <w:szCs w:val="20"/>
        </w:rPr>
        <w:t xml:space="preserve">generally contains an exclusive right to explore and evaluate the lands during the option period. Parties use the agreement in real estate </w:t>
      </w:r>
      <w:r w:rsidRPr="00E07E94">
        <w:rPr>
          <w:rFonts w:ascii="Times New Roman" w:hAnsi="Times New Roman"/>
          <w:sz w:val="20"/>
          <w:szCs w:val="20"/>
        </w:rPr>
        <w:t>investing</w:t>
      </w:r>
      <w:r w:rsidRPr="00E07E94">
        <w:rPr>
          <w:rFonts w:ascii="Times New Roman" w:hAnsi="Times New Roman"/>
          <w:sz w:val="20"/>
          <w:szCs w:val="20"/>
        </w:rPr>
        <w:t xml:space="preserve"> which grants one party the right, but not the obligation, to purchase an asset from or sell an asset to the other party. An option agreement outlines the agreed upon price and a future date for the transaction. The option period is a set period stated in the agreement during which a party may cancel the agreement without obligation to purchase the lease. </w:t>
      </w:r>
      <w:r w:rsidRPr="007A1208" w:rsidR="00852A67">
        <w:rPr>
          <w:rFonts w:ascii="Times New Roman" w:hAnsi="Times New Roman"/>
          <w:sz w:val="20"/>
          <w:szCs w:val="20"/>
        </w:rPr>
        <w:t xml:space="preserve">The BLM proposes </w:t>
      </w:r>
      <w:r w:rsidRPr="007A1208" w:rsidR="00852A67">
        <w:rPr>
          <w:rFonts w:ascii="Times New Roman" w:hAnsi="Times New Roman"/>
          <w:sz w:val="20"/>
          <w:szCs w:val="20"/>
        </w:rPr>
        <w:t>to rescind</w:t>
      </w:r>
      <w:r w:rsidRPr="007A1208" w:rsidR="00852A67">
        <w:rPr>
          <w:rFonts w:ascii="Times New Roman" w:hAnsi="Times New Roman"/>
          <w:sz w:val="20"/>
          <w:szCs w:val="20"/>
        </w:rPr>
        <w:t xml:space="preserve"> the </w:t>
      </w:r>
      <w:r w:rsidR="00852A67">
        <w:rPr>
          <w:rFonts w:ascii="Times New Roman" w:hAnsi="Times New Roman"/>
          <w:sz w:val="20"/>
          <w:szCs w:val="20"/>
        </w:rPr>
        <w:t xml:space="preserve">regulatory </w:t>
      </w:r>
      <w:r w:rsidRPr="007A1208" w:rsidR="00852A67">
        <w:rPr>
          <w:rFonts w:ascii="Times New Roman" w:hAnsi="Times New Roman"/>
          <w:sz w:val="20"/>
          <w:szCs w:val="20"/>
        </w:rPr>
        <w:t xml:space="preserve">sections covering options because industry has never filed options with the BLM. While the BLM has </w:t>
      </w:r>
      <w:r w:rsidRPr="007A1208" w:rsidR="00852A67">
        <w:rPr>
          <w:rFonts w:ascii="Times New Roman" w:hAnsi="Times New Roman"/>
          <w:sz w:val="20"/>
          <w:szCs w:val="20"/>
        </w:rPr>
        <w:t>not previously</w:t>
      </w:r>
      <w:r w:rsidRPr="007A1208" w:rsidR="00852A67">
        <w:rPr>
          <w:rFonts w:ascii="Times New Roman" w:hAnsi="Times New Roman"/>
          <w:sz w:val="20"/>
          <w:szCs w:val="20"/>
        </w:rPr>
        <w:t xml:space="preserve"> received option statements from industry, the BLM cannot prohibit options and would continue to accept option statements </w:t>
      </w:r>
      <w:r w:rsidR="006632D6">
        <w:rPr>
          <w:rFonts w:ascii="Times New Roman" w:hAnsi="Times New Roman"/>
          <w:sz w:val="20"/>
          <w:szCs w:val="20"/>
        </w:rPr>
        <w:t>for</w:t>
      </w:r>
      <w:r w:rsidRPr="007A1208" w:rsidR="00852A67">
        <w:rPr>
          <w:rFonts w:ascii="Times New Roman" w:hAnsi="Times New Roman"/>
          <w:sz w:val="20"/>
          <w:szCs w:val="20"/>
        </w:rPr>
        <w:t xml:space="preserve"> the lease file </w:t>
      </w:r>
      <w:r w:rsidR="006632D6">
        <w:rPr>
          <w:rFonts w:ascii="Times New Roman" w:hAnsi="Times New Roman"/>
          <w:sz w:val="20"/>
          <w:szCs w:val="20"/>
        </w:rPr>
        <w:t>which is a public record</w:t>
      </w:r>
      <w:r w:rsidRPr="007A1208" w:rsidR="00852A67">
        <w:rPr>
          <w:rFonts w:ascii="Times New Roman" w:hAnsi="Times New Roman"/>
          <w:sz w:val="20"/>
          <w:szCs w:val="20"/>
        </w:rPr>
        <w:t>.</w:t>
      </w:r>
    </w:p>
    <w:p w:rsidR="00413527" w:rsidP="73A9246C" w14:paraId="5AB41142" w14:textId="77777777">
      <w:pPr>
        <w:tabs>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0"/>
          <w:szCs w:val="20"/>
        </w:rPr>
      </w:pPr>
    </w:p>
    <w:p w:rsidR="00A6073F" w:rsidRPr="00A6073F" w:rsidP="00E94864" w14:paraId="5F3A7F01" w14:textId="08F3C5E6">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bCs/>
          <w:sz w:val="20"/>
          <w:szCs w:val="20"/>
        </w:rPr>
      </w:pPr>
      <w:r w:rsidRPr="00A6073F">
        <w:rPr>
          <w:rFonts w:ascii="Times New Roman" w:hAnsi="Times New Roman"/>
          <w:b/>
          <w:bCs/>
          <w:sz w:val="20"/>
          <w:szCs w:val="20"/>
        </w:rPr>
        <w:t>Revised Information Collection Requirement</w:t>
      </w:r>
    </w:p>
    <w:p w:rsidR="00A6073F" w:rsidP="00E94864" w14:paraId="7D9160DE"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0"/>
          <w:szCs w:val="20"/>
        </w:rPr>
      </w:pPr>
    </w:p>
    <w:p w:rsidR="00A6073F" w:rsidP="73A9246C" w14:paraId="12B6702F" w14:textId="26999371">
      <w:pPr>
        <w:tabs>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0"/>
          <w:szCs w:val="20"/>
        </w:rPr>
      </w:pPr>
      <w:r>
        <w:rPr>
          <w:rFonts w:ascii="Times New Roman" w:hAnsi="Times New Roman"/>
          <w:sz w:val="20"/>
          <w:szCs w:val="20"/>
        </w:rPr>
        <w:t xml:space="preserve">Proposed revisions to 43 CFR </w:t>
      </w:r>
      <w:r w:rsidR="005F78F3">
        <w:rPr>
          <w:rFonts w:ascii="Times New Roman" w:hAnsi="Times New Roman"/>
          <w:sz w:val="20"/>
          <w:szCs w:val="20"/>
        </w:rPr>
        <w:t xml:space="preserve">3000.120 and </w:t>
      </w:r>
      <w:r w:rsidR="00F6140B">
        <w:rPr>
          <w:rFonts w:ascii="Times New Roman" w:hAnsi="Times New Roman"/>
          <w:sz w:val="20"/>
          <w:szCs w:val="20"/>
        </w:rPr>
        <w:t xml:space="preserve">proposed </w:t>
      </w:r>
      <w:r w:rsidR="005F78F3">
        <w:rPr>
          <w:rFonts w:ascii="Times New Roman" w:hAnsi="Times New Roman"/>
          <w:sz w:val="20"/>
          <w:szCs w:val="20"/>
        </w:rPr>
        <w:t xml:space="preserve">3120.43 would introduce a </w:t>
      </w:r>
      <w:r w:rsidRPr="58A9F6DC" w:rsidR="005F78F3">
        <w:rPr>
          <w:rFonts w:ascii="Times New Roman" w:hAnsi="Times New Roman"/>
          <w:sz w:val="20"/>
          <w:szCs w:val="20"/>
        </w:rPr>
        <w:t>$</w:t>
      </w:r>
      <w:r w:rsidRPr="58A9F6DC" w:rsidR="006038C8">
        <w:rPr>
          <w:rFonts w:ascii="Times New Roman" w:hAnsi="Times New Roman"/>
          <w:sz w:val="20"/>
          <w:szCs w:val="20"/>
        </w:rPr>
        <w:t>1</w:t>
      </w:r>
      <w:r w:rsidR="005F78F3">
        <w:rPr>
          <w:rFonts w:ascii="Times New Roman" w:hAnsi="Times New Roman"/>
          <w:sz w:val="20"/>
          <w:szCs w:val="20"/>
        </w:rPr>
        <w:t xml:space="preserve"> per page fee for protest filings that exceed 50 pages in length</w:t>
      </w:r>
      <w:r w:rsidR="006038C8">
        <w:rPr>
          <w:rFonts w:ascii="Times New Roman" w:hAnsi="Times New Roman"/>
          <w:sz w:val="20"/>
          <w:szCs w:val="20"/>
        </w:rPr>
        <w:t>, including exhibits</w:t>
      </w:r>
      <w:r w:rsidRPr="58A9F6DC" w:rsidR="6572CF87">
        <w:rPr>
          <w:rFonts w:ascii="Times New Roman" w:hAnsi="Times New Roman"/>
          <w:sz w:val="20"/>
          <w:szCs w:val="20"/>
        </w:rPr>
        <w:t xml:space="preserve"> (</w:t>
      </w:r>
      <w:r w:rsidR="00A2576D">
        <w:rPr>
          <w:rFonts w:ascii="Times New Roman" w:hAnsi="Times New Roman"/>
          <w:sz w:val="20"/>
          <w:szCs w:val="20"/>
        </w:rPr>
        <w:t>s</w:t>
      </w:r>
      <w:r w:rsidRPr="58A9F6DC" w:rsidR="6572CF87">
        <w:rPr>
          <w:rFonts w:ascii="Times New Roman" w:hAnsi="Times New Roman"/>
          <w:sz w:val="20"/>
          <w:szCs w:val="20"/>
        </w:rPr>
        <w:t>ee Item 13, above)</w:t>
      </w:r>
      <w:r w:rsidRPr="58A9F6DC" w:rsidR="005F78F3">
        <w:rPr>
          <w:rFonts w:ascii="Times New Roman" w:hAnsi="Times New Roman"/>
          <w:sz w:val="20"/>
          <w:szCs w:val="20"/>
        </w:rPr>
        <w:t>.</w:t>
      </w:r>
      <w:r w:rsidR="005F78F3">
        <w:rPr>
          <w:rFonts w:ascii="Times New Roman" w:hAnsi="Times New Roman"/>
          <w:sz w:val="20"/>
          <w:szCs w:val="20"/>
        </w:rPr>
        <w:t xml:space="preserve"> </w:t>
      </w:r>
      <w:r w:rsidR="00C821F9">
        <w:rPr>
          <w:rFonts w:ascii="Times New Roman" w:hAnsi="Times New Roman"/>
          <w:sz w:val="20"/>
          <w:szCs w:val="20"/>
        </w:rPr>
        <w:t xml:space="preserve">This fee is proposed to discourage overly lengthy and </w:t>
      </w:r>
      <w:r w:rsidR="00E44F63">
        <w:rPr>
          <w:rFonts w:ascii="Times New Roman" w:hAnsi="Times New Roman"/>
          <w:sz w:val="20"/>
          <w:szCs w:val="20"/>
        </w:rPr>
        <w:t xml:space="preserve">administratively </w:t>
      </w:r>
      <w:r w:rsidR="00C821F9">
        <w:rPr>
          <w:rFonts w:ascii="Times New Roman" w:hAnsi="Times New Roman"/>
          <w:sz w:val="20"/>
          <w:szCs w:val="20"/>
        </w:rPr>
        <w:t xml:space="preserve">burdensome </w:t>
      </w:r>
      <w:r w:rsidRPr="73A9246C" w:rsidR="00C821F9">
        <w:rPr>
          <w:rFonts w:ascii="Times New Roman" w:hAnsi="Times New Roman"/>
          <w:sz w:val="20"/>
          <w:szCs w:val="20"/>
        </w:rPr>
        <w:t>prote</w:t>
      </w:r>
      <w:r w:rsidRPr="73A9246C" w:rsidR="006038C8">
        <w:rPr>
          <w:rFonts w:ascii="Times New Roman" w:hAnsi="Times New Roman"/>
          <w:sz w:val="20"/>
          <w:szCs w:val="20"/>
        </w:rPr>
        <w:t>s</w:t>
      </w:r>
      <w:r w:rsidRPr="73A9246C" w:rsidR="00C821F9">
        <w:rPr>
          <w:rFonts w:ascii="Times New Roman" w:hAnsi="Times New Roman"/>
          <w:sz w:val="20"/>
          <w:szCs w:val="20"/>
        </w:rPr>
        <w:t>t</w:t>
      </w:r>
      <w:r w:rsidR="00C821F9">
        <w:rPr>
          <w:rFonts w:ascii="Times New Roman" w:hAnsi="Times New Roman"/>
          <w:sz w:val="20"/>
          <w:szCs w:val="20"/>
        </w:rPr>
        <w:t xml:space="preserve"> filings.</w:t>
      </w:r>
      <w:r w:rsidR="00F24811">
        <w:rPr>
          <w:rFonts w:ascii="Times New Roman" w:hAnsi="Times New Roman"/>
          <w:sz w:val="20"/>
          <w:szCs w:val="20"/>
        </w:rPr>
        <w:t xml:space="preserve"> This </w:t>
      </w:r>
      <w:r w:rsidR="00426390">
        <w:rPr>
          <w:rFonts w:ascii="Times New Roman" w:hAnsi="Times New Roman"/>
          <w:sz w:val="20"/>
          <w:szCs w:val="20"/>
        </w:rPr>
        <w:t>proposed</w:t>
      </w:r>
      <w:r w:rsidR="00F24811">
        <w:rPr>
          <w:rFonts w:ascii="Times New Roman" w:hAnsi="Times New Roman"/>
          <w:sz w:val="20"/>
          <w:szCs w:val="20"/>
        </w:rPr>
        <w:t xml:space="preserve"> </w:t>
      </w:r>
      <w:r w:rsidR="00426390">
        <w:rPr>
          <w:rFonts w:ascii="Times New Roman" w:hAnsi="Times New Roman"/>
          <w:sz w:val="20"/>
          <w:szCs w:val="20"/>
        </w:rPr>
        <w:t>revision</w:t>
      </w:r>
      <w:r w:rsidR="00F24811">
        <w:rPr>
          <w:rFonts w:ascii="Times New Roman" w:hAnsi="Times New Roman"/>
          <w:sz w:val="20"/>
          <w:szCs w:val="20"/>
        </w:rPr>
        <w:t xml:space="preserve"> is </w:t>
      </w:r>
      <w:r w:rsidR="00426390">
        <w:rPr>
          <w:rFonts w:ascii="Times New Roman" w:hAnsi="Times New Roman"/>
          <w:sz w:val="20"/>
          <w:szCs w:val="20"/>
        </w:rPr>
        <w:t>estimated</w:t>
      </w:r>
      <w:r w:rsidR="00F24811">
        <w:rPr>
          <w:rFonts w:ascii="Times New Roman" w:hAnsi="Times New Roman"/>
          <w:sz w:val="20"/>
          <w:szCs w:val="20"/>
        </w:rPr>
        <w:t xml:space="preserve"> to result </w:t>
      </w:r>
      <w:r w:rsidR="00426390">
        <w:rPr>
          <w:rFonts w:ascii="Times New Roman" w:hAnsi="Times New Roman"/>
          <w:sz w:val="20"/>
          <w:szCs w:val="20"/>
        </w:rPr>
        <w:t>in a</w:t>
      </w:r>
      <w:r w:rsidR="005079DC">
        <w:rPr>
          <w:rFonts w:ascii="Times New Roman" w:hAnsi="Times New Roman"/>
          <w:sz w:val="20"/>
          <w:szCs w:val="20"/>
        </w:rPr>
        <w:t>n additional</w:t>
      </w:r>
      <w:r w:rsidR="00D75544">
        <w:rPr>
          <w:rFonts w:ascii="Times New Roman" w:hAnsi="Times New Roman"/>
          <w:sz w:val="20"/>
          <w:szCs w:val="20"/>
        </w:rPr>
        <w:t xml:space="preserve"> </w:t>
      </w:r>
      <w:r w:rsidRPr="73A9246C" w:rsidR="00D75544">
        <w:rPr>
          <w:rFonts w:ascii="Times New Roman" w:hAnsi="Times New Roman"/>
          <w:sz w:val="20"/>
          <w:szCs w:val="20"/>
        </w:rPr>
        <w:t>of</w:t>
      </w:r>
      <w:r w:rsidR="00426390">
        <w:rPr>
          <w:rFonts w:ascii="Times New Roman" w:hAnsi="Times New Roman"/>
          <w:sz w:val="20"/>
          <w:szCs w:val="20"/>
        </w:rPr>
        <w:t xml:space="preserve"> </w:t>
      </w:r>
      <w:r w:rsidRPr="5A64A34E" w:rsidR="00426390">
        <w:rPr>
          <w:rFonts w:ascii="Times New Roman" w:hAnsi="Times New Roman"/>
          <w:sz w:val="20"/>
          <w:szCs w:val="20"/>
        </w:rPr>
        <w:t>$</w:t>
      </w:r>
      <w:r w:rsidRPr="5A64A34E" w:rsidR="4BD0BFF5">
        <w:rPr>
          <w:rFonts w:ascii="Times New Roman" w:hAnsi="Times New Roman"/>
          <w:sz w:val="20"/>
          <w:szCs w:val="20"/>
        </w:rPr>
        <w:t>2</w:t>
      </w:r>
      <w:r w:rsidRPr="5A64A34E" w:rsidR="3977B995">
        <w:rPr>
          <w:rFonts w:ascii="Times New Roman" w:hAnsi="Times New Roman"/>
          <w:sz w:val="20"/>
          <w:szCs w:val="20"/>
        </w:rPr>
        <w:t>,604</w:t>
      </w:r>
      <w:r w:rsidR="00426390">
        <w:rPr>
          <w:rFonts w:ascii="Times New Roman" w:hAnsi="Times New Roman"/>
          <w:sz w:val="20"/>
          <w:szCs w:val="20"/>
        </w:rPr>
        <w:t xml:space="preserve"> annual non-hour cost burdens to respondents</w:t>
      </w:r>
      <w:r w:rsidR="001D2B6E">
        <w:rPr>
          <w:rFonts w:ascii="Times New Roman" w:hAnsi="Times New Roman"/>
          <w:sz w:val="20"/>
          <w:szCs w:val="20"/>
        </w:rPr>
        <w:t xml:space="preserve"> after the filing fee is implemented </w:t>
      </w:r>
      <w:r w:rsidR="00C551FC">
        <w:rPr>
          <w:rFonts w:ascii="Times New Roman" w:hAnsi="Times New Roman"/>
          <w:sz w:val="20"/>
          <w:szCs w:val="20"/>
        </w:rPr>
        <w:t>from a final rule</w:t>
      </w:r>
      <w:r w:rsidR="00426390">
        <w:rPr>
          <w:rFonts w:ascii="Times New Roman" w:hAnsi="Times New Roman"/>
          <w:sz w:val="20"/>
          <w:szCs w:val="20"/>
        </w:rPr>
        <w:t xml:space="preserve">. </w:t>
      </w:r>
    </w:p>
    <w:p w:rsidR="00F24811" w:rsidP="00E94864" w14:paraId="43198CF9"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0"/>
          <w:szCs w:val="20"/>
        </w:rPr>
      </w:pPr>
    </w:p>
    <w:p w:rsidR="00016886" w:rsidRPr="002E385D" w:rsidP="73A9246C" w14:paraId="54813BF3" w14:textId="3B02A7C1">
      <w:pPr>
        <w:tabs>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0"/>
          <w:szCs w:val="20"/>
        </w:rPr>
      </w:pPr>
      <w:r w:rsidRPr="002E385D">
        <w:rPr>
          <w:rFonts w:ascii="Times New Roman" w:hAnsi="Times New Roman"/>
          <w:sz w:val="20"/>
          <w:szCs w:val="20"/>
        </w:rPr>
        <w:t xml:space="preserve">The proposed rule would move </w:t>
      </w:r>
      <w:r>
        <w:rPr>
          <w:rFonts w:ascii="Times New Roman" w:hAnsi="Times New Roman"/>
          <w:sz w:val="20"/>
          <w:szCs w:val="20"/>
        </w:rPr>
        <w:t>43 CFR</w:t>
      </w:r>
      <w:r w:rsidRPr="002E385D">
        <w:rPr>
          <w:rFonts w:ascii="Times New Roman" w:hAnsi="Times New Roman"/>
          <w:sz w:val="20"/>
          <w:szCs w:val="20"/>
        </w:rPr>
        <w:t xml:space="preserve"> 3120.13 Protests to </w:t>
      </w:r>
      <w:r>
        <w:rPr>
          <w:rFonts w:ascii="Times New Roman" w:hAnsi="Times New Roman"/>
          <w:sz w:val="20"/>
          <w:szCs w:val="20"/>
        </w:rPr>
        <w:t>43 CFR</w:t>
      </w:r>
      <w:r w:rsidRPr="002E385D">
        <w:rPr>
          <w:rFonts w:ascii="Times New Roman" w:hAnsi="Times New Roman"/>
          <w:sz w:val="20"/>
          <w:szCs w:val="20"/>
        </w:rPr>
        <w:t xml:space="preserve"> 3120.43 under the discussion of the Notice of Competitive Lease Sale to consolidate topics and enhance readability</w:t>
      </w:r>
      <w:r>
        <w:rPr>
          <w:rFonts w:ascii="Times New Roman" w:hAnsi="Times New Roman"/>
          <w:sz w:val="20"/>
          <w:szCs w:val="20"/>
        </w:rPr>
        <w:t xml:space="preserve"> since protests are filed after the </w:t>
      </w:r>
      <w:r w:rsidR="008B0D5F">
        <w:rPr>
          <w:rFonts w:ascii="Times New Roman" w:hAnsi="Times New Roman"/>
          <w:sz w:val="20"/>
          <w:szCs w:val="20"/>
        </w:rPr>
        <w:t xml:space="preserve">BLM </w:t>
      </w:r>
      <w:r w:rsidR="008B0D5F">
        <w:rPr>
          <w:rFonts w:ascii="Times New Roman" w:hAnsi="Times New Roman"/>
          <w:sz w:val="20"/>
          <w:szCs w:val="20"/>
        </w:rPr>
        <w:t>p</w:t>
      </w:r>
      <w:r w:rsidR="00477577">
        <w:rPr>
          <w:rFonts w:ascii="Times New Roman" w:hAnsi="Times New Roman"/>
          <w:sz w:val="20"/>
          <w:szCs w:val="20"/>
        </w:rPr>
        <w:t>ublishes</w:t>
      </w:r>
      <w:r>
        <w:rPr>
          <w:rFonts w:ascii="Times New Roman" w:hAnsi="Times New Roman"/>
          <w:sz w:val="20"/>
          <w:szCs w:val="20"/>
        </w:rPr>
        <w:t xml:space="preserve"> the </w:t>
      </w:r>
      <w:r w:rsidRPr="002E385D">
        <w:rPr>
          <w:rFonts w:ascii="Times New Roman" w:hAnsi="Times New Roman"/>
          <w:sz w:val="20"/>
          <w:szCs w:val="20"/>
        </w:rPr>
        <w:t>Notice of Competitive Lease Sale.</w:t>
      </w:r>
    </w:p>
    <w:p w:rsidR="00016886" w:rsidP="00E94864" w14:paraId="2BB8C85A"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0"/>
          <w:szCs w:val="20"/>
        </w:rPr>
      </w:pPr>
    </w:p>
    <w:p w:rsidR="0086270B" w:rsidRPr="002E385D" w:rsidP="00E94864" w14:paraId="0FD7F293" w14:textId="2EF08C83">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0"/>
          <w:szCs w:val="20"/>
        </w:rPr>
      </w:pPr>
      <w:r>
        <w:rPr>
          <w:rFonts w:ascii="Times New Roman" w:hAnsi="Times New Roman"/>
          <w:sz w:val="20"/>
          <w:szCs w:val="20"/>
        </w:rPr>
        <w:t xml:space="preserve">Expression of Interest $5 Dollar Per Acre Fee -43 CFR </w:t>
      </w:r>
      <w:r w:rsidR="009121A8">
        <w:rPr>
          <w:rFonts w:ascii="Times New Roman" w:hAnsi="Times New Roman"/>
          <w:sz w:val="20"/>
          <w:szCs w:val="20"/>
        </w:rPr>
        <w:t>3120.41</w:t>
      </w:r>
    </w:p>
    <w:p w:rsidR="0086270B" w:rsidRPr="00B77EF4" w:rsidP="00E94864" w14:paraId="5264B7B7"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0"/>
          <w:szCs w:val="20"/>
        </w:rPr>
      </w:pPr>
    </w:p>
    <w:p w:rsidR="00F71EE0" w:rsidP="00E94864" w14:paraId="13D0E2B5" w14:textId="063274A8">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0"/>
          <w:szCs w:val="20"/>
        </w:rPr>
      </w:pPr>
      <w:r>
        <w:rPr>
          <w:rFonts w:ascii="Times New Roman" w:hAnsi="Times New Roman"/>
          <w:sz w:val="20"/>
          <w:szCs w:val="20"/>
        </w:rPr>
        <w:t xml:space="preserve">Section </w:t>
      </w:r>
      <w:r w:rsidRPr="00904542" w:rsidR="00904542">
        <w:rPr>
          <w:rFonts w:ascii="Times New Roman" w:hAnsi="Times New Roman"/>
          <w:sz w:val="20"/>
          <w:szCs w:val="20"/>
        </w:rPr>
        <w:t>50101(d)(3)</w:t>
      </w:r>
      <w:r w:rsidR="00904542">
        <w:rPr>
          <w:rFonts w:ascii="Times New Roman" w:hAnsi="Times New Roman"/>
          <w:sz w:val="20"/>
          <w:szCs w:val="20"/>
        </w:rPr>
        <w:t xml:space="preserve"> t</w:t>
      </w:r>
      <w:r w:rsidRPr="00B77EF4" w:rsidR="009121A8">
        <w:rPr>
          <w:rFonts w:ascii="Times New Roman" w:hAnsi="Times New Roman"/>
          <w:sz w:val="20"/>
          <w:szCs w:val="20"/>
        </w:rPr>
        <w:t xml:space="preserve">he One Big </w:t>
      </w:r>
      <w:r w:rsidRPr="00B77EF4">
        <w:rPr>
          <w:rFonts w:ascii="Times New Roman" w:hAnsi="Times New Roman"/>
          <w:sz w:val="20"/>
          <w:szCs w:val="20"/>
        </w:rPr>
        <w:t>Beautiful</w:t>
      </w:r>
      <w:r w:rsidRPr="00B77EF4" w:rsidR="009121A8">
        <w:rPr>
          <w:rFonts w:ascii="Times New Roman" w:hAnsi="Times New Roman"/>
          <w:sz w:val="20"/>
          <w:szCs w:val="20"/>
        </w:rPr>
        <w:t xml:space="preserve"> Bill Act (</w:t>
      </w:r>
      <w:r w:rsidRPr="00B00DAB" w:rsidR="00B00DAB">
        <w:rPr>
          <w:rFonts w:ascii="Times New Roman" w:hAnsi="Times New Roman"/>
          <w:sz w:val="20"/>
          <w:szCs w:val="20"/>
        </w:rPr>
        <w:t>30 U.S.C. 226</w:t>
      </w:r>
      <w:r w:rsidR="00B00DAB">
        <w:rPr>
          <w:rFonts w:ascii="Times New Roman" w:hAnsi="Times New Roman"/>
          <w:sz w:val="20"/>
          <w:szCs w:val="20"/>
        </w:rPr>
        <w:t xml:space="preserve">) removed the </w:t>
      </w:r>
      <w:r>
        <w:rPr>
          <w:rFonts w:ascii="Times New Roman" w:hAnsi="Times New Roman"/>
          <w:sz w:val="20"/>
          <w:szCs w:val="20"/>
        </w:rPr>
        <w:t xml:space="preserve">Expression of </w:t>
      </w:r>
      <w:r w:rsidR="00B926F1">
        <w:rPr>
          <w:rFonts w:ascii="Times New Roman" w:hAnsi="Times New Roman"/>
          <w:sz w:val="20"/>
          <w:szCs w:val="20"/>
        </w:rPr>
        <w:t>I</w:t>
      </w:r>
      <w:r>
        <w:rPr>
          <w:rFonts w:ascii="Times New Roman" w:hAnsi="Times New Roman"/>
          <w:sz w:val="20"/>
          <w:szCs w:val="20"/>
        </w:rPr>
        <w:t>nterest fee. Th</w:t>
      </w:r>
      <w:r w:rsidR="00B926F1">
        <w:rPr>
          <w:rFonts w:ascii="Times New Roman" w:hAnsi="Times New Roman"/>
          <w:sz w:val="20"/>
          <w:szCs w:val="20"/>
        </w:rPr>
        <w:t>is</w:t>
      </w:r>
      <w:r>
        <w:rPr>
          <w:rFonts w:ascii="Times New Roman" w:hAnsi="Times New Roman"/>
          <w:sz w:val="20"/>
          <w:szCs w:val="20"/>
        </w:rPr>
        <w:t xml:space="preserve"> revision would reduce non-hour cost burden</w:t>
      </w:r>
      <w:r w:rsidR="004D7748">
        <w:rPr>
          <w:rFonts w:ascii="Times New Roman" w:hAnsi="Times New Roman"/>
          <w:sz w:val="20"/>
          <w:szCs w:val="20"/>
        </w:rPr>
        <w:t xml:space="preserve"> by $1,975,000.</w:t>
      </w:r>
    </w:p>
    <w:p w:rsidR="009121A8" w:rsidRPr="00B77EF4" w:rsidP="00E94864" w14:paraId="70CC7C7B" w14:textId="10AE8FD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0"/>
          <w:szCs w:val="20"/>
        </w:rPr>
      </w:pPr>
      <w:r w:rsidRPr="00B77EF4">
        <w:rPr>
          <w:rFonts w:ascii="Times New Roman" w:hAnsi="Times New Roman"/>
          <w:sz w:val="20"/>
          <w:szCs w:val="20"/>
        </w:rPr>
        <w:t xml:space="preserve"> </w:t>
      </w:r>
    </w:p>
    <w:p w:rsidR="005D3680" w:rsidRPr="003A2462" w:rsidP="00E94864" w14:paraId="20462DE3" w14:textId="47924B6F">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bCs/>
          <w:sz w:val="20"/>
          <w:szCs w:val="20"/>
        </w:rPr>
      </w:pPr>
      <w:r w:rsidRPr="003A2462">
        <w:rPr>
          <w:rFonts w:ascii="Times New Roman" w:hAnsi="Times New Roman"/>
          <w:b/>
          <w:bCs/>
          <w:sz w:val="20"/>
          <w:szCs w:val="20"/>
        </w:rPr>
        <w:t>Moved Information Collections Requirement</w:t>
      </w:r>
      <w:r w:rsidR="0097731E">
        <w:rPr>
          <w:rFonts w:ascii="Times New Roman" w:hAnsi="Times New Roman"/>
          <w:b/>
          <w:bCs/>
          <w:sz w:val="20"/>
          <w:szCs w:val="20"/>
        </w:rPr>
        <w:t>s</w:t>
      </w:r>
      <w:r w:rsidRPr="003A2462">
        <w:rPr>
          <w:rFonts w:ascii="Times New Roman" w:hAnsi="Times New Roman"/>
          <w:b/>
          <w:bCs/>
          <w:sz w:val="20"/>
          <w:szCs w:val="20"/>
        </w:rPr>
        <w:t xml:space="preserve"> </w:t>
      </w:r>
    </w:p>
    <w:p w:rsidR="005D3680" w:rsidRPr="00E94864" w:rsidP="00E94864" w14:paraId="6426D27C"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0"/>
          <w:szCs w:val="20"/>
        </w:rPr>
      </w:pPr>
    </w:p>
    <w:p w:rsidR="00E94864" w:rsidRPr="00E625DD" w:rsidP="00E94864" w14:paraId="13B49DAA" w14:textId="038F23B1">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0"/>
          <w:szCs w:val="20"/>
          <w:u w:val="single"/>
        </w:rPr>
      </w:pPr>
      <w:r w:rsidRPr="00CB1760">
        <w:rPr>
          <w:rFonts w:ascii="Times New Roman" w:hAnsi="Times New Roman"/>
          <w:sz w:val="20"/>
          <w:szCs w:val="20"/>
          <w:u w:val="single"/>
        </w:rPr>
        <w:t>Proof of acreage reduction</w:t>
      </w:r>
      <w:r>
        <w:rPr>
          <w:rFonts w:ascii="Times New Roman" w:hAnsi="Times New Roman"/>
          <w:sz w:val="20"/>
          <w:szCs w:val="20"/>
          <w:u w:val="single"/>
        </w:rPr>
        <w:t xml:space="preserve"> </w:t>
      </w:r>
      <w:r w:rsidRPr="00CB1760">
        <w:rPr>
          <w:rFonts w:ascii="Times New Roman" w:hAnsi="Times New Roman"/>
          <w:sz w:val="20"/>
          <w:szCs w:val="20"/>
          <w:u w:val="single"/>
        </w:rPr>
        <w:t>43 CFR 3101.24(a)</w:t>
      </w:r>
      <w:r>
        <w:rPr>
          <w:rFonts w:ascii="Times New Roman" w:hAnsi="Times New Roman"/>
          <w:sz w:val="20"/>
          <w:szCs w:val="20"/>
          <w:u w:val="single"/>
        </w:rPr>
        <w:t xml:space="preserve"> and </w:t>
      </w:r>
      <w:r w:rsidR="00963929">
        <w:rPr>
          <w:rFonts w:ascii="Times New Roman" w:hAnsi="Times New Roman"/>
          <w:sz w:val="20"/>
          <w:szCs w:val="20"/>
          <w:u w:val="single"/>
        </w:rPr>
        <w:t>E</w:t>
      </w:r>
      <w:r w:rsidRPr="00E625DD">
        <w:rPr>
          <w:rFonts w:ascii="Times New Roman" w:hAnsi="Times New Roman"/>
          <w:sz w:val="20"/>
          <w:szCs w:val="20"/>
          <w:u w:val="single"/>
        </w:rPr>
        <w:t xml:space="preserve">xcess acreage petition </w:t>
      </w:r>
      <w:r w:rsidR="00D25FA0">
        <w:rPr>
          <w:rFonts w:ascii="Times New Roman" w:hAnsi="Times New Roman"/>
          <w:sz w:val="20"/>
          <w:szCs w:val="20"/>
          <w:u w:val="single"/>
        </w:rPr>
        <w:t xml:space="preserve">- </w:t>
      </w:r>
      <w:r w:rsidRPr="00E625DD" w:rsidR="00D25FA0">
        <w:rPr>
          <w:rFonts w:ascii="Times New Roman" w:hAnsi="Times New Roman"/>
          <w:sz w:val="20"/>
          <w:szCs w:val="20"/>
          <w:u w:val="single"/>
        </w:rPr>
        <w:t>43 CFR 3101.24(a)</w:t>
      </w:r>
    </w:p>
    <w:p w:rsidR="0097731E" w:rsidP="00E94864" w14:paraId="4EF19F7F"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0"/>
          <w:szCs w:val="20"/>
        </w:rPr>
      </w:pPr>
    </w:p>
    <w:p w:rsidR="00D67DF7" w:rsidP="5A64A34E" w14:paraId="5C1B1D55" w14:textId="26368584">
      <w:pPr>
        <w:tabs>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0"/>
          <w:szCs w:val="20"/>
        </w:rPr>
      </w:pPr>
      <w:r>
        <w:rPr>
          <w:rFonts w:ascii="Times New Roman" w:hAnsi="Times New Roman"/>
          <w:sz w:val="20"/>
          <w:szCs w:val="20"/>
        </w:rPr>
        <w:t>These</w:t>
      </w:r>
      <w:r w:rsidR="005D3680">
        <w:rPr>
          <w:rFonts w:ascii="Times New Roman" w:hAnsi="Times New Roman"/>
          <w:sz w:val="20"/>
          <w:szCs w:val="20"/>
        </w:rPr>
        <w:t xml:space="preserve"> information collection </w:t>
      </w:r>
      <w:r w:rsidR="00DE6974">
        <w:rPr>
          <w:rFonts w:ascii="Times New Roman" w:hAnsi="Times New Roman"/>
          <w:sz w:val="20"/>
          <w:szCs w:val="20"/>
        </w:rPr>
        <w:t>requirement</w:t>
      </w:r>
      <w:r>
        <w:rPr>
          <w:rFonts w:ascii="Times New Roman" w:hAnsi="Times New Roman"/>
          <w:sz w:val="20"/>
          <w:szCs w:val="20"/>
        </w:rPr>
        <w:t>s</w:t>
      </w:r>
      <w:r w:rsidR="00DE6974">
        <w:rPr>
          <w:rFonts w:ascii="Times New Roman" w:hAnsi="Times New Roman"/>
          <w:sz w:val="20"/>
          <w:szCs w:val="20"/>
        </w:rPr>
        <w:t xml:space="preserve"> would be moved from 43 CFR 3101.24(a) to </w:t>
      </w:r>
      <w:r w:rsidR="003A2462">
        <w:rPr>
          <w:rFonts w:ascii="Times New Roman" w:hAnsi="Times New Roman"/>
          <w:sz w:val="20"/>
          <w:szCs w:val="20"/>
        </w:rPr>
        <w:t xml:space="preserve">43 CFR </w:t>
      </w:r>
      <w:r w:rsidR="003A2462">
        <w:rPr>
          <w:rFonts w:ascii="Times New Roman" w:hAnsi="Times New Roman"/>
          <w:sz w:val="20"/>
          <w:szCs w:val="20"/>
        </w:rPr>
        <w:t>3102.54</w:t>
      </w:r>
      <w:r w:rsidR="003A2462">
        <w:rPr>
          <w:rFonts w:ascii="Times New Roman" w:hAnsi="Times New Roman"/>
          <w:sz w:val="20"/>
          <w:szCs w:val="20"/>
        </w:rPr>
        <w:t xml:space="preserve"> and </w:t>
      </w:r>
      <w:r w:rsidR="005C4F2F">
        <w:rPr>
          <w:rFonts w:ascii="Times New Roman" w:hAnsi="Times New Roman"/>
          <w:sz w:val="20"/>
          <w:szCs w:val="20"/>
        </w:rPr>
        <w:t xml:space="preserve">the </w:t>
      </w:r>
      <w:r w:rsidR="00C75BB3">
        <w:rPr>
          <w:rFonts w:ascii="Times New Roman" w:hAnsi="Times New Roman"/>
          <w:sz w:val="20"/>
          <w:szCs w:val="20"/>
        </w:rPr>
        <w:t>information</w:t>
      </w:r>
      <w:r w:rsidR="005C4F2F">
        <w:rPr>
          <w:rFonts w:ascii="Times New Roman" w:hAnsi="Times New Roman"/>
          <w:sz w:val="20"/>
          <w:szCs w:val="20"/>
        </w:rPr>
        <w:t xml:space="preserve"> collection </w:t>
      </w:r>
      <w:r w:rsidR="00C75BB3">
        <w:rPr>
          <w:rFonts w:ascii="Times New Roman" w:hAnsi="Times New Roman"/>
          <w:sz w:val="20"/>
          <w:szCs w:val="20"/>
        </w:rPr>
        <w:t xml:space="preserve">requirements would </w:t>
      </w:r>
      <w:r w:rsidR="003A2462">
        <w:rPr>
          <w:rFonts w:ascii="Times New Roman" w:hAnsi="Times New Roman"/>
          <w:sz w:val="20"/>
          <w:szCs w:val="20"/>
        </w:rPr>
        <w:t xml:space="preserve">remain substantively unchanged from the current requirement. </w:t>
      </w:r>
    </w:p>
    <w:p w:rsidR="5A64A34E" w:rsidP="5A64A34E" w14:paraId="3BB45EB7" w14:textId="736CB520">
      <w:pPr>
        <w:tabs>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bCs/>
          <w:sz w:val="20"/>
          <w:szCs w:val="20"/>
        </w:rPr>
      </w:pPr>
    </w:p>
    <w:p w:rsidR="66373A0A" w:rsidP="5A64A34E" w14:paraId="70650EBD" w14:textId="0E22B35B">
      <w:pPr>
        <w:tabs>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0"/>
          <w:szCs w:val="20"/>
        </w:rPr>
      </w:pPr>
      <w:r w:rsidRPr="5A64A34E">
        <w:rPr>
          <w:rFonts w:ascii="Times New Roman" w:hAnsi="Times New Roman"/>
          <w:b/>
          <w:bCs/>
          <w:sz w:val="20"/>
          <w:szCs w:val="20"/>
        </w:rPr>
        <w:t>Adjustments to Burdens</w:t>
      </w:r>
    </w:p>
    <w:p w:rsidR="00E34A62" w:rsidRPr="00ED00CF" w:rsidP="73A9246C" w14:paraId="2E1C0203" w14:textId="77777777">
      <w:pPr>
        <w:tabs>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0"/>
          <w:szCs w:val="20"/>
        </w:rPr>
      </w:pPr>
    </w:p>
    <w:p w:rsidR="66373A0A" w:rsidP="5A64A34E" w14:paraId="02D1BFB8" w14:textId="530AB470">
      <w:pPr>
        <w:tabs>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0"/>
          <w:szCs w:val="20"/>
          <w:u w:val="single"/>
        </w:rPr>
      </w:pPr>
      <w:r w:rsidRPr="5A64A34E">
        <w:rPr>
          <w:rFonts w:ascii="Times New Roman" w:hAnsi="Times New Roman"/>
          <w:sz w:val="20"/>
          <w:szCs w:val="20"/>
          <w:u w:val="single"/>
        </w:rPr>
        <w:t>Protest</w:t>
      </w:r>
      <w:r w:rsidRPr="5A64A34E" w:rsidR="3D828D0F">
        <w:rPr>
          <w:rFonts w:ascii="Times New Roman" w:hAnsi="Times New Roman"/>
          <w:sz w:val="20"/>
          <w:szCs w:val="20"/>
          <w:u w:val="single"/>
        </w:rPr>
        <w:t xml:space="preserve"> - </w:t>
      </w:r>
      <w:r w:rsidRPr="5A64A34E">
        <w:rPr>
          <w:rFonts w:ascii="Times New Roman" w:hAnsi="Times New Roman"/>
          <w:sz w:val="20"/>
          <w:szCs w:val="20"/>
          <w:u w:val="single"/>
        </w:rPr>
        <w:t>43 CFR 3120.43</w:t>
      </w:r>
    </w:p>
    <w:p w:rsidR="5A64A34E" w:rsidP="5A64A34E" w14:paraId="36E63098" w14:textId="4564FB69">
      <w:pPr>
        <w:tabs>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0"/>
          <w:szCs w:val="20"/>
        </w:rPr>
      </w:pPr>
    </w:p>
    <w:p w:rsidR="065599C0" w:rsidP="5A64A34E" w14:paraId="021685FC" w14:textId="067FD01B">
      <w:pPr>
        <w:tabs>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0"/>
          <w:szCs w:val="20"/>
        </w:rPr>
      </w:pPr>
      <w:r w:rsidRPr="5A64A34E">
        <w:rPr>
          <w:rFonts w:ascii="Times New Roman" w:hAnsi="Times New Roman"/>
          <w:sz w:val="20"/>
          <w:szCs w:val="20"/>
        </w:rPr>
        <w:t>The annual number of responses for Protest</w:t>
      </w:r>
      <w:r w:rsidRPr="5A64A34E" w:rsidR="2F52809A">
        <w:rPr>
          <w:rFonts w:ascii="Times New Roman" w:hAnsi="Times New Roman"/>
          <w:sz w:val="20"/>
          <w:szCs w:val="20"/>
        </w:rPr>
        <w:t>s</w:t>
      </w:r>
      <w:r w:rsidRPr="5A64A34E">
        <w:rPr>
          <w:rFonts w:ascii="Times New Roman" w:hAnsi="Times New Roman"/>
          <w:sz w:val="20"/>
          <w:szCs w:val="20"/>
        </w:rPr>
        <w:t xml:space="preserve"> will be adjusted </w:t>
      </w:r>
      <w:r w:rsidRPr="5A64A34E" w:rsidR="747B0D12">
        <w:rPr>
          <w:rFonts w:ascii="Times New Roman" w:hAnsi="Times New Roman"/>
          <w:sz w:val="20"/>
          <w:szCs w:val="20"/>
        </w:rPr>
        <w:t xml:space="preserve">from 1,400 to 39 </w:t>
      </w:r>
      <w:r w:rsidRPr="5A64A34E" w:rsidR="6C73891B">
        <w:rPr>
          <w:rFonts w:ascii="Times New Roman" w:hAnsi="Times New Roman"/>
          <w:sz w:val="20"/>
          <w:szCs w:val="20"/>
        </w:rPr>
        <w:t>(-1,3</w:t>
      </w:r>
      <w:r w:rsidR="00483107">
        <w:rPr>
          <w:rFonts w:ascii="Times New Roman" w:hAnsi="Times New Roman"/>
          <w:sz w:val="20"/>
          <w:szCs w:val="20"/>
        </w:rPr>
        <w:t>8</w:t>
      </w:r>
      <w:r w:rsidRPr="5A64A34E" w:rsidR="6C73891B">
        <w:rPr>
          <w:rFonts w:ascii="Times New Roman" w:hAnsi="Times New Roman"/>
          <w:sz w:val="20"/>
          <w:szCs w:val="20"/>
        </w:rPr>
        <w:t xml:space="preserve">1) </w:t>
      </w:r>
      <w:r w:rsidRPr="5A64A34E" w:rsidR="747B0D12">
        <w:rPr>
          <w:rFonts w:ascii="Times New Roman" w:hAnsi="Times New Roman"/>
          <w:sz w:val="20"/>
          <w:szCs w:val="20"/>
        </w:rPr>
        <w:t xml:space="preserve">resulting in the annual burden hours </w:t>
      </w:r>
      <w:r w:rsidRPr="5A64A34E" w:rsidR="7996FCED">
        <w:rPr>
          <w:rFonts w:ascii="Times New Roman" w:hAnsi="Times New Roman"/>
          <w:sz w:val="20"/>
          <w:szCs w:val="20"/>
        </w:rPr>
        <w:t>adjusted</w:t>
      </w:r>
      <w:r w:rsidRPr="5A64A34E" w:rsidR="747B0D12">
        <w:rPr>
          <w:rFonts w:ascii="Times New Roman" w:hAnsi="Times New Roman"/>
          <w:sz w:val="20"/>
          <w:szCs w:val="20"/>
        </w:rPr>
        <w:t xml:space="preserve"> from 11,360 to 312 (-11,048)</w:t>
      </w:r>
      <w:r w:rsidRPr="5A64A34E" w:rsidR="2CB3D17F">
        <w:rPr>
          <w:rFonts w:ascii="Times New Roman" w:hAnsi="Times New Roman"/>
          <w:sz w:val="20"/>
          <w:szCs w:val="20"/>
        </w:rPr>
        <w:t>. This adjustment is based on the BLM’s records that indicate th</w:t>
      </w:r>
      <w:r w:rsidRPr="5A64A34E" w:rsidR="2FAF8E2E">
        <w:rPr>
          <w:rFonts w:ascii="Times New Roman" w:hAnsi="Times New Roman"/>
          <w:sz w:val="20"/>
          <w:szCs w:val="20"/>
        </w:rPr>
        <w:t xml:space="preserve">at on average only about 39 protests are received each year. </w:t>
      </w:r>
      <w:r w:rsidRPr="5A64A34E" w:rsidR="7DDFAE11">
        <w:rPr>
          <w:rFonts w:ascii="Times New Roman" w:hAnsi="Times New Roman"/>
          <w:sz w:val="20"/>
          <w:szCs w:val="20"/>
        </w:rPr>
        <w:t xml:space="preserve">This </w:t>
      </w:r>
      <w:r w:rsidRPr="5A64A34E" w:rsidR="28D88C57">
        <w:rPr>
          <w:rFonts w:ascii="Times New Roman" w:hAnsi="Times New Roman"/>
          <w:sz w:val="20"/>
          <w:szCs w:val="20"/>
        </w:rPr>
        <w:t>adjustment</w:t>
      </w:r>
      <w:r w:rsidRPr="5A64A34E" w:rsidR="7DDFAE11">
        <w:rPr>
          <w:rFonts w:ascii="Times New Roman" w:hAnsi="Times New Roman"/>
          <w:sz w:val="20"/>
          <w:szCs w:val="20"/>
        </w:rPr>
        <w:t xml:space="preserve"> would not </w:t>
      </w:r>
      <w:r w:rsidRPr="5A64A34E" w:rsidR="7DDFAE11">
        <w:rPr>
          <w:rFonts w:ascii="Times New Roman" w:hAnsi="Times New Roman"/>
          <w:sz w:val="20"/>
          <w:szCs w:val="20"/>
        </w:rPr>
        <w:t>impact</w:t>
      </w:r>
      <w:r w:rsidRPr="5A64A34E" w:rsidR="7DDFAE11">
        <w:rPr>
          <w:rFonts w:ascii="Times New Roman" w:hAnsi="Times New Roman"/>
          <w:sz w:val="20"/>
          <w:szCs w:val="20"/>
        </w:rPr>
        <w:t xml:space="preserve"> the </w:t>
      </w:r>
      <w:r w:rsidRPr="5A64A34E" w:rsidR="6EB459A2">
        <w:rPr>
          <w:rFonts w:ascii="Times New Roman" w:hAnsi="Times New Roman"/>
          <w:sz w:val="20"/>
          <w:szCs w:val="20"/>
        </w:rPr>
        <w:t>estimated</w:t>
      </w:r>
      <w:r w:rsidRPr="5A64A34E" w:rsidR="7DDFAE11">
        <w:rPr>
          <w:rFonts w:ascii="Times New Roman" w:hAnsi="Times New Roman"/>
          <w:sz w:val="20"/>
          <w:szCs w:val="20"/>
        </w:rPr>
        <w:t xml:space="preserve"> non-hour cost burdens as the cost associated with Protest would be new </w:t>
      </w:r>
      <w:r w:rsidRPr="5A64A34E" w:rsidR="7DDFAE11">
        <w:rPr>
          <w:rFonts w:ascii="Times New Roman" w:hAnsi="Times New Roman"/>
          <w:sz w:val="20"/>
          <w:szCs w:val="20"/>
        </w:rPr>
        <w:t>as a result of</w:t>
      </w:r>
      <w:r w:rsidRPr="5A64A34E" w:rsidR="7DDFAE11">
        <w:rPr>
          <w:rFonts w:ascii="Times New Roman" w:hAnsi="Times New Roman"/>
          <w:sz w:val="20"/>
          <w:szCs w:val="20"/>
        </w:rPr>
        <w:t xml:space="preserve"> the </w:t>
      </w:r>
      <w:r w:rsidRPr="5A64A34E" w:rsidR="296A50BF">
        <w:rPr>
          <w:rFonts w:ascii="Times New Roman" w:hAnsi="Times New Roman"/>
          <w:sz w:val="20"/>
          <w:szCs w:val="20"/>
        </w:rPr>
        <w:t>proposed</w:t>
      </w:r>
      <w:r w:rsidRPr="5A64A34E" w:rsidR="7DDFAE11">
        <w:rPr>
          <w:rFonts w:ascii="Times New Roman" w:hAnsi="Times New Roman"/>
          <w:sz w:val="20"/>
          <w:szCs w:val="20"/>
        </w:rPr>
        <w:t xml:space="preserve"> rule. </w:t>
      </w:r>
    </w:p>
    <w:p w:rsidR="5A64A34E" w:rsidP="5A64A34E" w14:paraId="471F8086" w14:textId="38366A01">
      <w:pPr>
        <w:tabs>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0"/>
          <w:szCs w:val="20"/>
        </w:rPr>
      </w:pPr>
    </w:p>
    <w:p w:rsidR="38B82A54" w:rsidP="73A9246C" w14:paraId="4DBF3B81" w14:textId="5B730DB9">
      <w:pPr>
        <w:tabs>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bCs/>
          <w:sz w:val="20"/>
          <w:szCs w:val="20"/>
        </w:rPr>
      </w:pPr>
      <w:r w:rsidRPr="00841A3F">
        <w:rPr>
          <w:rFonts w:ascii="Times New Roman" w:hAnsi="Times New Roman"/>
          <w:b/>
          <w:bCs/>
          <w:sz w:val="20"/>
          <w:szCs w:val="20"/>
        </w:rPr>
        <w:t>Table 15: S</w:t>
      </w:r>
      <w:r w:rsidRPr="73A9246C">
        <w:rPr>
          <w:rFonts w:ascii="Times New Roman" w:hAnsi="Times New Roman"/>
          <w:b/>
          <w:bCs/>
          <w:sz w:val="20"/>
          <w:szCs w:val="20"/>
        </w:rPr>
        <w:t>ummary of Burden Changes</w:t>
      </w:r>
    </w:p>
    <w:tbl>
      <w:tblPr>
        <w:tblStyle w:val="TableGrid"/>
        <w:tblW w:w="9360" w:type="dxa"/>
        <w:tblLayout w:type="fixed"/>
        <w:tblLook w:val="0680"/>
      </w:tblPr>
      <w:tblGrid>
        <w:gridCol w:w="4965"/>
        <w:gridCol w:w="1560"/>
        <w:gridCol w:w="1350"/>
        <w:gridCol w:w="1485"/>
      </w:tblGrid>
      <w:tr w14:paraId="0B90C471" w14:textId="77777777" w:rsidTr="007C759D">
        <w:tblPrEx>
          <w:tblW w:w="9360" w:type="dxa"/>
          <w:tblLayout w:type="fixed"/>
          <w:tblLook w:val="0680"/>
        </w:tblPrEx>
        <w:trPr>
          <w:trHeight w:val="300"/>
        </w:trPr>
        <w:tc>
          <w:tcPr>
            <w:tcW w:w="4965" w:type="dxa"/>
            <w:shd w:val="clear" w:color="auto" w:fill="D9D9D9" w:themeFill="background1" w:themeFillShade="D9"/>
            <w:vAlign w:val="center"/>
          </w:tcPr>
          <w:p w:rsidR="38B82A54" w:rsidRPr="00841A3F" w:rsidP="73A9246C" w14:paraId="7EEC1523" w14:textId="7246423E">
            <w:pPr>
              <w:jc w:val="center"/>
              <w:rPr>
                <w:rFonts w:ascii="Times New Roman" w:hAnsi="Times New Roman"/>
                <w:b/>
                <w:bCs/>
                <w:sz w:val="18"/>
                <w:szCs w:val="18"/>
              </w:rPr>
            </w:pPr>
            <w:r w:rsidRPr="00841A3F">
              <w:rPr>
                <w:rFonts w:ascii="Times New Roman" w:hAnsi="Times New Roman"/>
                <w:b/>
                <w:bCs/>
                <w:sz w:val="18"/>
                <w:szCs w:val="18"/>
              </w:rPr>
              <w:t>Type of Burden Change</w:t>
            </w:r>
          </w:p>
        </w:tc>
        <w:tc>
          <w:tcPr>
            <w:tcW w:w="1560" w:type="dxa"/>
            <w:shd w:val="clear" w:color="auto" w:fill="D9D9D9" w:themeFill="background1" w:themeFillShade="D9"/>
            <w:vAlign w:val="center"/>
          </w:tcPr>
          <w:p w:rsidR="38B82A54" w:rsidRPr="00841A3F" w:rsidP="73A9246C" w14:paraId="66386BB0" w14:textId="525CC8B0">
            <w:pPr>
              <w:jc w:val="center"/>
              <w:rPr>
                <w:rFonts w:ascii="Times New Roman" w:hAnsi="Times New Roman"/>
                <w:b/>
                <w:bCs/>
                <w:sz w:val="18"/>
                <w:szCs w:val="18"/>
              </w:rPr>
            </w:pPr>
            <w:r w:rsidRPr="00841A3F">
              <w:rPr>
                <w:rFonts w:ascii="Times New Roman" w:hAnsi="Times New Roman"/>
                <w:b/>
                <w:bCs/>
                <w:sz w:val="18"/>
                <w:szCs w:val="18"/>
              </w:rPr>
              <w:t>Annual Responses</w:t>
            </w:r>
          </w:p>
        </w:tc>
        <w:tc>
          <w:tcPr>
            <w:tcW w:w="1350" w:type="dxa"/>
            <w:shd w:val="clear" w:color="auto" w:fill="D9D9D9" w:themeFill="background1" w:themeFillShade="D9"/>
            <w:vAlign w:val="center"/>
          </w:tcPr>
          <w:p w:rsidR="38B82A54" w:rsidRPr="00841A3F" w:rsidP="73A9246C" w14:paraId="5D291756" w14:textId="512C05E9">
            <w:pPr>
              <w:jc w:val="center"/>
              <w:rPr>
                <w:rFonts w:ascii="Times New Roman" w:hAnsi="Times New Roman"/>
                <w:b/>
                <w:bCs/>
                <w:sz w:val="18"/>
                <w:szCs w:val="18"/>
              </w:rPr>
            </w:pPr>
            <w:r w:rsidRPr="00841A3F">
              <w:rPr>
                <w:rFonts w:ascii="Times New Roman" w:hAnsi="Times New Roman"/>
                <w:b/>
                <w:bCs/>
                <w:sz w:val="18"/>
                <w:szCs w:val="18"/>
              </w:rPr>
              <w:t>Annual Burden Hours</w:t>
            </w:r>
          </w:p>
        </w:tc>
        <w:tc>
          <w:tcPr>
            <w:tcW w:w="1485" w:type="dxa"/>
            <w:shd w:val="clear" w:color="auto" w:fill="D9D9D9" w:themeFill="background1" w:themeFillShade="D9"/>
            <w:vAlign w:val="center"/>
          </w:tcPr>
          <w:p w:rsidR="38B82A54" w:rsidRPr="00841A3F" w:rsidP="73A9246C" w14:paraId="28E57017" w14:textId="5367F5C1">
            <w:pPr>
              <w:jc w:val="center"/>
              <w:rPr>
                <w:rFonts w:ascii="Times New Roman" w:hAnsi="Times New Roman"/>
                <w:b/>
                <w:bCs/>
                <w:sz w:val="18"/>
                <w:szCs w:val="18"/>
              </w:rPr>
            </w:pPr>
            <w:r w:rsidRPr="00841A3F">
              <w:rPr>
                <w:rFonts w:ascii="Times New Roman" w:hAnsi="Times New Roman"/>
                <w:b/>
                <w:bCs/>
                <w:sz w:val="18"/>
                <w:szCs w:val="18"/>
              </w:rPr>
              <w:t>Annual Non-hour Cost Burden</w:t>
            </w:r>
          </w:p>
        </w:tc>
      </w:tr>
      <w:tr w14:paraId="4550D03E" w14:textId="77777777" w:rsidTr="007C759D">
        <w:tblPrEx>
          <w:tblW w:w="9360" w:type="dxa"/>
          <w:tblLayout w:type="fixed"/>
          <w:tblLook w:val="0680"/>
        </w:tblPrEx>
        <w:trPr>
          <w:trHeight w:val="300"/>
        </w:trPr>
        <w:tc>
          <w:tcPr>
            <w:tcW w:w="4965" w:type="dxa"/>
          </w:tcPr>
          <w:p w:rsidR="38B82A54" w:rsidRPr="00841A3F" w:rsidP="73A9246C" w14:paraId="68507F3B" w14:textId="491527BB">
            <w:pPr>
              <w:rPr>
                <w:rFonts w:ascii="Times New Roman" w:hAnsi="Times New Roman"/>
                <w:b/>
                <w:bCs/>
                <w:sz w:val="18"/>
                <w:szCs w:val="18"/>
              </w:rPr>
            </w:pPr>
            <w:r w:rsidRPr="00841A3F">
              <w:rPr>
                <w:rFonts w:ascii="Times New Roman" w:hAnsi="Times New Roman"/>
                <w:b/>
                <w:bCs/>
                <w:sz w:val="18"/>
                <w:szCs w:val="18"/>
              </w:rPr>
              <w:t>Current Burdens</w:t>
            </w:r>
          </w:p>
        </w:tc>
        <w:tc>
          <w:tcPr>
            <w:tcW w:w="1560" w:type="dxa"/>
            <w:vAlign w:val="center"/>
          </w:tcPr>
          <w:p w:rsidR="38B82A54" w:rsidRPr="00841A3F" w:rsidP="73A9246C" w14:paraId="3B567BF8" w14:textId="5AD94902">
            <w:pPr>
              <w:jc w:val="right"/>
              <w:rPr>
                <w:rFonts w:ascii="Times New Roman" w:hAnsi="Times New Roman"/>
                <w:b/>
                <w:bCs/>
                <w:sz w:val="18"/>
                <w:szCs w:val="18"/>
              </w:rPr>
            </w:pPr>
            <w:r w:rsidRPr="00841A3F">
              <w:rPr>
                <w:rFonts w:ascii="Times New Roman" w:hAnsi="Times New Roman"/>
                <w:b/>
                <w:bCs/>
                <w:sz w:val="18"/>
                <w:szCs w:val="18"/>
              </w:rPr>
              <w:t>16,340</w:t>
            </w:r>
          </w:p>
        </w:tc>
        <w:tc>
          <w:tcPr>
            <w:tcW w:w="1350" w:type="dxa"/>
            <w:vAlign w:val="center"/>
          </w:tcPr>
          <w:p w:rsidR="38B82A54" w:rsidRPr="00841A3F" w:rsidP="73A9246C" w14:paraId="6DD8847D" w14:textId="53A74C30">
            <w:pPr>
              <w:jc w:val="right"/>
              <w:rPr>
                <w:rFonts w:ascii="Times New Roman" w:hAnsi="Times New Roman"/>
                <w:b/>
                <w:bCs/>
                <w:sz w:val="18"/>
                <w:szCs w:val="18"/>
              </w:rPr>
            </w:pPr>
            <w:r w:rsidRPr="00841A3F">
              <w:rPr>
                <w:rFonts w:ascii="Times New Roman" w:hAnsi="Times New Roman"/>
                <w:b/>
                <w:bCs/>
                <w:sz w:val="18"/>
                <w:szCs w:val="18"/>
              </w:rPr>
              <w:t>29,410</w:t>
            </w:r>
          </w:p>
        </w:tc>
        <w:tc>
          <w:tcPr>
            <w:tcW w:w="1485" w:type="dxa"/>
            <w:vAlign w:val="center"/>
          </w:tcPr>
          <w:p w:rsidR="38B82A54" w:rsidRPr="00841A3F" w:rsidP="73A9246C" w14:paraId="654E2C67" w14:textId="73BAEDC6">
            <w:pPr>
              <w:jc w:val="right"/>
              <w:rPr>
                <w:rFonts w:ascii="Times New Roman" w:hAnsi="Times New Roman"/>
                <w:b/>
                <w:bCs/>
                <w:sz w:val="18"/>
                <w:szCs w:val="18"/>
              </w:rPr>
            </w:pPr>
            <w:r w:rsidRPr="00841A3F">
              <w:rPr>
                <w:rFonts w:ascii="Times New Roman" w:hAnsi="Times New Roman"/>
                <w:b/>
                <w:bCs/>
                <w:sz w:val="18"/>
                <w:szCs w:val="18"/>
              </w:rPr>
              <w:t>$3,766,184</w:t>
            </w:r>
          </w:p>
        </w:tc>
      </w:tr>
      <w:tr w14:paraId="02757E9A" w14:textId="77777777" w:rsidTr="007C759D">
        <w:tblPrEx>
          <w:tblW w:w="9360" w:type="dxa"/>
          <w:tblLayout w:type="fixed"/>
          <w:tblLook w:val="0680"/>
        </w:tblPrEx>
        <w:trPr>
          <w:trHeight w:val="300"/>
        </w:trPr>
        <w:tc>
          <w:tcPr>
            <w:tcW w:w="4965" w:type="dxa"/>
            <w:shd w:val="clear" w:color="auto" w:fill="D9D9D9" w:themeFill="background1" w:themeFillShade="D9"/>
          </w:tcPr>
          <w:p w:rsidR="38B82A54" w:rsidP="73A9246C" w14:paraId="2B60CA48" w14:textId="5B594E08">
            <w:pPr>
              <w:rPr>
                <w:rFonts w:ascii="Times New Roman" w:hAnsi="Times New Roman"/>
                <w:sz w:val="18"/>
                <w:szCs w:val="18"/>
              </w:rPr>
            </w:pPr>
            <w:r w:rsidRPr="5A64A34E">
              <w:rPr>
                <w:rFonts w:ascii="Times New Roman" w:hAnsi="Times New Roman"/>
                <w:sz w:val="18"/>
                <w:szCs w:val="18"/>
              </w:rPr>
              <w:t xml:space="preserve">Proposed </w:t>
            </w:r>
            <w:r w:rsidRPr="00841A3F">
              <w:rPr>
                <w:rFonts w:ascii="Times New Roman" w:hAnsi="Times New Roman"/>
                <w:sz w:val="18"/>
                <w:szCs w:val="18"/>
              </w:rPr>
              <w:t>Removed Information Collection Requirements</w:t>
            </w:r>
          </w:p>
        </w:tc>
        <w:tc>
          <w:tcPr>
            <w:tcW w:w="1560" w:type="dxa"/>
            <w:shd w:val="clear" w:color="auto" w:fill="D9D9D9" w:themeFill="background1" w:themeFillShade="D9"/>
            <w:vAlign w:val="center"/>
          </w:tcPr>
          <w:p w:rsidR="73A9246C" w:rsidRPr="00841A3F" w:rsidP="73A9246C" w14:paraId="111129BF" w14:textId="086A5D69">
            <w:pPr>
              <w:jc w:val="right"/>
              <w:rPr>
                <w:rFonts w:ascii="Times New Roman" w:hAnsi="Times New Roman"/>
                <w:sz w:val="18"/>
                <w:szCs w:val="18"/>
              </w:rPr>
            </w:pPr>
          </w:p>
        </w:tc>
        <w:tc>
          <w:tcPr>
            <w:tcW w:w="1350" w:type="dxa"/>
            <w:shd w:val="clear" w:color="auto" w:fill="D9D9D9" w:themeFill="background1" w:themeFillShade="D9"/>
            <w:vAlign w:val="center"/>
          </w:tcPr>
          <w:p w:rsidR="73A9246C" w:rsidRPr="00841A3F" w:rsidP="73A9246C" w14:paraId="203B6435" w14:textId="086A5D69">
            <w:pPr>
              <w:jc w:val="right"/>
              <w:rPr>
                <w:rFonts w:ascii="Times New Roman" w:hAnsi="Times New Roman"/>
                <w:sz w:val="18"/>
                <w:szCs w:val="18"/>
              </w:rPr>
            </w:pPr>
          </w:p>
        </w:tc>
        <w:tc>
          <w:tcPr>
            <w:tcW w:w="1485" w:type="dxa"/>
            <w:shd w:val="clear" w:color="auto" w:fill="D9D9D9" w:themeFill="background1" w:themeFillShade="D9"/>
            <w:vAlign w:val="center"/>
          </w:tcPr>
          <w:p w:rsidR="73A9246C" w:rsidRPr="00841A3F" w:rsidP="73A9246C" w14:paraId="39592E11" w14:textId="086A5D69">
            <w:pPr>
              <w:jc w:val="right"/>
              <w:rPr>
                <w:rFonts w:ascii="Times New Roman" w:hAnsi="Times New Roman"/>
                <w:sz w:val="18"/>
                <w:szCs w:val="18"/>
              </w:rPr>
            </w:pPr>
          </w:p>
        </w:tc>
      </w:tr>
      <w:tr w14:paraId="2E5EE9D3" w14:textId="77777777" w:rsidTr="007C759D">
        <w:tblPrEx>
          <w:tblW w:w="9360" w:type="dxa"/>
          <w:tblLayout w:type="fixed"/>
          <w:tblLook w:val="0680"/>
        </w:tblPrEx>
        <w:trPr>
          <w:trHeight w:val="300"/>
        </w:trPr>
        <w:tc>
          <w:tcPr>
            <w:tcW w:w="4965" w:type="dxa"/>
          </w:tcPr>
          <w:p w:rsidR="3D90A577" w:rsidRPr="00841A3F" w:rsidP="73A9246C" w14:paraId="2E7D446E" w14:textId="7C2326CE">
            <w:pPr>
              <w:tabs>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18"/>
                <w:szCs w:val="18"/>
              </w:rPr>
            </w:pPr>
            <w:r w:rsidRPr="00841A3F">
              <w:rPr>
                <w:rFonts w:ascii="Times New Roman" w:hAnsi="Times New Roman"/>
                <w:sz w:val="18"/>
                <w:szCs w:val="18"/>
              </w:rPr>
              <w:t xml:space="preserve">     Notice of Option Statement 43 CFR 3100.31(b)</w:t>
            </w:r>
          </w:p>
        </w:tc>
        <w:tc>
          <w:tcPr>
            <w:tcW w:w="1560" w:type="dxa"/>
            <w:vAlign w:val="center"/>
          </w:tcPr>
          <w:p w:rsidR="3D90A577" w:rsidP="73A9246C" w14:paraId="359E4946" w14:textId="399F6EFA">
            <w:pPr>
              <w:jc w:val="right"/>
              <w:rPr>
                <w:rFonts w:ascii="Times New Roman" w:hAnsi="Times New Roman"/>
                <w:sz w:val="18"/>
                <w:szCs w:val="18"/>
              </w:rPr>
            </w:pPr>
            <w:r w:rsidRPr="00841A3F">
              <w:rPr>
                <w:rFonts w:ascii="Times New Roman" w:hAnsi="Times New Roman"/>
                <w:sz w:val="18"/>
                <w:szCs w:val="18"/>
              </w:rPr>
              <w:t>-1</w:t>
            </w:r>
          </w:p>
        </w:tc>
        <w:tc>
          <w:tcPr>
            <w:tcW w:w="1350" w:type="dxa"/>
            <w:vAlign w:val="center"/>
          </w:tcPr>
          <w:p w:rsidR="3D90A577" w:rsidP="73A9246C" w14:paraId="3A4AD643" w14:textId="7DE81E44">
            <w:pPr>
              <w:jc w:val="right"/>
              <w:rPr>
                <w:rFonts w:ascii="Times New Roman" w:hAnsi="Times New Roman"/>
                <w:sz w:val="18"/>
                <w:szCs w:val="18"/>
              </w:rPr>
            </w:pPr>
            <w:r w:rsidRPr="00841A3F">
              <w:rPr>
                <w:rFonts w:ascii="Times New Roman" w:hAnsi="Times New Roman"/>
                <w:sz w:val="18"/>
                <w:szCs w:val="18"/>
              </w:rPr>
              <w:t>-1</w:t>
            </w:r>
          </w:p>
        </w:tc>
        <w:tc>
          <w:tcPr>
            <w:tcW w:w="1485" w:type="dxa"/>
            <w:vAlign w:val="center"/>
          </w:tcPr>
          <w:p w:rsidR="3D90A577" w:rsidP="5A64A34E" w14:paraId="5EC4A4A2" w14:textId="1141625D">
            <w:pPr>
              <w:spacing w:line="259" w:lineRule="auto"/>
              <w:jc w:val="right"/>
              <w:rPr>
                <w:rFonts w:ascii="Times New Roman" w:hAnsi="Times New Roman"/>
                <w:sz w:val="18"/>
                <w:szCs w:val="18"/>
              </w:rPr>
            </w:pPr>
            <w:r w:rsidRPr="071F182D">
              <w:rPr>
                <w:rFonts w:ascii="Times New Roman" w:hAnsi="Times New Roman"/>
                <w:sz w:val="18"/>
                <w:szCs w:val="18"/>
              </w:rPr>
              <w:t>-$</w:t>
            </w:r>
            <w:r w:rsidRPr="071F182D" w:rsidR="45E12E59">
              <w:rPr>
                <w:rFonts w:ascii="Times New Roman" w:hAnsi="Times New Roman"/>
                <w:sz w:val="18"/>
                <w:szCs w:val="18"/>
              </w:rPr>
              <w:t>0</w:t>
            </w:r>
          </w:p>
        </w:tc>
      </w:tr>
      <w:tr w14:paraId="02FAC05E" w14:textId="77777777" w:rsidTr="007C759D">
        <w:tblPrEx>
          <w:tblW w:w="9360" w:type="dxa"/>
          <w:tblLayout w:type="fixed"/>
          <w:tblLook w:val="0680"/>
        </w:tblPrEx>
        <w:trPr>
          <w:trHeight w:val="300"/>
        </w:trPr>
        <w:tc>
          <w:tcPr>
            <w:tcW w:w="4965" w:type="dxa"/>
          </w:tcPr>
          <w:p w:rsidR="3D90A577" w:rsidRPr="00BE63CA" w:rsidP="73A9246C" w14:paraId="201A3289" w14:textId="603B5053">
            <w:pPr>
              <w:rPr>
                <w:rFonts w:ascii="Times New Roman" w:hAnsi="Times New Roman"/>
                <w:sz w:val="18"/>
                <w:szCs w:val="18"/>
              </w:rPr>
            </w:pPr>
            <w:r w:rsidRPr="5A64A34E">
              <w:rPr>
                <w:rFonts w:ascii="Times New Roman" w:hAnsi="Times New Roman"/>
                <w:sz w:val="18"/>
                <w:szCs w:val="18"/>
              </w:rPr>
              <w:t xml:space="preserve">     Option Statement 43 CFR 3100.33</w:t>
            </w:r>
          </w:p>
        </w:tc>
        <w:tc>
          <w:tcPr>
            <w:tcW w:w="1560" w:type="dxa"/>
            <w:vAlign w:val="center"/>
          </w:tcPr>
          <w:p w:rsidR="3D90A577" w:rsidP="73A9246C" w14:paraId="473E3274" w14:textId="1C9832BA">
            <w:pPr>
              <w:jc w:val="right"/>
              <w:rPr>
                <w:rFonts w:ascii="Times New Roman" w:hAnsi="Times New Roman"/>
                <w:sz w:val="18"/>
                <w:szCs w:val="18"/>
              </w:rPr>
            </w:pPr>
            <w:r w:rsidRPr="00841A3F">
              <w:rPr>
                <w:rFonts w:ascii="Times New Roman" w:hAnsi="Times New Roman"/>
                <w:sz w:val="18"/>
                <w:szCs w:val="18"/>
              </w:rPr>
              <w:t>-2</w:t>
            </w:r>
          </w:p>
        </w:tc>
        <w:tc>
          <w:tcPr>
            <w:tcW w:w="1350" w:type="dxa"/>
            <w:vAlign w:val="center"/>
          </w:tcPr>
          <w:p w:rsidR="3D90A577" w:rsidP="73A9246C" w14:paraId="58D36280" w14:textId="0C9A70D8">
            <w:pPr>
              <w:jc w:val="right"/>
              <w:rPr>
                <w:rFonts w:ascii="Times New Roman" w:hAnsi="Times New Roman"/>
                <w:sz w:val="18"/>
                <w:szCs w:val="18"/>
              </w:rPr>
            </w:pPr>
            <w:r w:rsidRPr="00841A3F">
              <w:rPr>
                <w:rFonts w:ascii="Times New Roman" w:hAnsi="Times New Roman"/>
                <w:sz w:val="18"/>
                <w:szCs w:val="18"/>
              </w:rPr>
              <w:t>-2</w:t>
            </w:r>
          </w:p>
        </w:tc>
        <w:tc>
          <w:tcPr>
            <w:tcW w:w="1485" w:type="dxa"/>
            <w:vAlign w:val="center"/>
          </w:tcPr>
          <w:p w:rsidR="3D90A577" w:rsidRPr="00841A3F" w:rsidP="5A64A34E" w14:paraId="447BC2B7" w14:textId="3866A81C">
            <w:pPr>
              <w:spacing w:line="259" w:lineRule="auto"/>
              <w:jc w:val="right"/>
              <w:rPr>
                <w:rFonts w:ascii="Times New Roman" w:hAnsi="Times New Roman"/>
                <w:sz w:val="18"/>
                <w:szCs w:val="18"/>
              </w:rPr>
            </w:pPr>
            <w:r w:rsidRPr="071F182D">
              <w:rPr>
                <w:rFonts w:ascii="Times New Roman" w:hAnsi="Times New Roman"/>
                <w:sz w:val="18"/>
                <w:szCs w:val="18"/>
              </w:rPr>
              <w:t>-$</w:t>
            </w:r>
            <w:r w:rsidRPr="071F182D" w:rsidR="677C4D53">
              <w:rPr>
                <w:rFonts w:ascii="Times New Roman" w:hAnsi="Times New Roman"/>
                <w:sz w:val="18"/>
                <w:szCs w:val="18"/>
              </w:rPr>
              <w:t>0</w:t>
            </w:r>
          </w:p>
        </w:tc>
      </w:tr>
      <w:tr w14:paraId="0ED85545" w14:textId="77777777" w:rsidTr="007C759D">
        <w:tblPrEx>
          <w:tblW w:w="9360" w:type="dxa"/>
          <w:tblLayout w:type="fixed"/>
          <w:tblLook w:val="0680"/>
        </w:tblPrEx>
        <w:trPr>
          <w:trHeight w:val="300"/>
        </w:trPr>
        <w:tc>
          <w:tcPr>
            <w:tcW w:w="4965" w:type="dxa"/>
            <w:shd w:val="clear" w:color="auto" w:fill="D9D9D9" w:themeFill="background1" w:themeFillShade="D9"/>
          </w:tcPr>
          <w:p w:rsidR="3D90A577" w:rsidP="73A9246C" w14:paraId="6EFED9E4" w14:textId="404ABD09">
            <w:pPr>
              <w:rPr>
                <w:rFonts w:ascii="Times New Roman" w:hAnsi="Times New Roman"/>
                <w:sz w:val="18"/>
                <w:szCs w:val="18"/>
              </w:rPr>
            </w:pPr>
            <w:r w:rsidRPr="5A64A34E">
              <w:rPr>
                <w:rFonts w:ascii="Times New Roman" w:hAnsi="Times New Roman"/>
                <w:sz w:val="18"/>
                <w:szCs w:val="18"/>
              </w:rPr>
              <w:t xml:space="preserve">Proposed </w:t>
            </w:r>
            <w:r w:rsidRPr="00841A3F">
              <w:rPr>
                <w:rFonts w:ascii="Times New Roman" w:hAnsi="Times New Roman"/>
                <w:sz w:val="18"/>
                <w:szCs w:val="18"/>
              </w:rPr>
              <w:t>Revised Information Collection Requirement</w:t>
            </w:r>
          </w:p>
        </w:tc>
        <w:tc>
          <w:tcPr>
            <w:tcW w:w="1560" w:type="dxa"/>
            <w:shd w:val="clear" w:color="auto" w:fill="D9D9D9" w:themeFill="background1" w:themeFillShade="D9"/>
            <w:vAlign w:val="center"/>
          </w:tcPr>
          <w:p w:rsidR="3D90A577" w:rsidP="73A9246C" w14:paraId="7FE03DAA" w14:textId="29F08F05">
            <w:pPr>
              <w:jc w:val="right"/>
              <w:rPr>
                <w:rFonts w:ascii="Times New Roman" w:hAnsi="Times New Roman"/>
                <w:sz w:val="18"/>
                <w:szCs w:val="18"/>
              </w:rPr>
            </w:pPr>
          </w:p>
        </w:tc>
        <w:tc>
          <w:tcPr>
            <w:tcW w:w="1350" w:type="dxa"/>
            <w:shd w:val="clear" w:color="auto" w:fill="D9D9D9" w:themeFill="background1" w:themeFillShade="D9"/>
            <w:vAlign w:val="center"/>
          </w:tcPr>
          <w:p w:rsidR="3D90A577" w:rsidP="73A9246C" w14:paraId="1D71F819" w14:textId="770D91F0">
            <w:pPr>
              <w:jc w:val="right"/>
              <w:rPr>
                <w:rFonts w:ascii="Times New Roman" w:hAnsi="Times New Roman"/>
                <w:sz w:val="18"/>
                <w:szCs w:val="18"/>
              </w:rPr>
            </w:pPr>
          </w:p>
        </w:tc>
        <w:tc>
          <w:tcPr>
            <w:tcW w:w="1485" w:type="dxa"/>
            <w:shd w:val="clear" w:color="auto" w:fill="D9D9D9" w:themeFill="background1" w:themeFillShade="D9"/>
            <w:vAlign w:val="center"/>
          </w:tcPr>
          <w:p w:rsidR="73A9246C" w:rsidRPr="00841A3F" w:rsidP="73A9246C" w14:paraId="18AE13F5" w14:textId="086A5D69">
            <w:pPr>
              <w:jc w:val="right"/>
              <w:rPr>
                <w:rFonts w:ascii="Times New Roman" w:hAnsi="Times New Roman"/>
                <w:sz w:val="18"/>
                <w:szCs w:val="18"/>
              </w:rPr>
            </w:pPr>
          </w:p>
        </w:tc>
      </w:tr>
      <w:tr w14:paraId="61B510DB" w14:textId="77777777" w:rsidTr="007C759D">
        <w:tblPrEx>
          <w:tblW w:w="9360" w:type="dxa"/>
          <w:tblLayout w:type="fixed"/>
          <w:tblLook w:val="0680"/>
        </w:tblPrEx>
        <w:trPr>
          <w:trHeight w:val="300"/>
        </w:trPr>
        <w:tc>
          <w:tcPr>
            <w:tcW w:w="4965" w:type="dxa"/>
          </w:tcPr>
          <w:p w:rsidR="3D90A577" w:rsidRPr="00841A3F" w:rsidP="73A9246C" w14:paraId="7006F9EB" w14:textId="3435A501">
            <w:pPr>
              <w:rPr>
                <w:rFonts w:ascii="Times New Roman" w:hAnsi="Times New Roman"/>
                <w:sz w:val="18"/>
                <w:szCs w:val="18"/>
              </w:rPr>
            </w:pPr>
            <w:r w:rsidRPr="279F62BA">
              <w:rPr>
                <w:rFonts w:ascii="Times New Roman" w:hAnsi="Times New Roman"/>
                <w:sz w:val="18"/>
                <w:szCs w:val="18"/>
              </w:rPr>
              <w:t xml:space="preserve">    </w:t>
            </w:r>
            <w:r w:rsidRPr="279F62BA">
              <w:rPr>
                <w:rFonts w:ascii="Times New Roman" w:hAnsi="Times New Roman"/>
                <w:sz w:val="18"/>
                <w:szCs w:val="18"/>
              </w:rPr>
              <w:t xml:space="preserve"> </w:t>
            </w:r>
            <w:r w:rsidRPr="279F62BA" w:rsidR="00B115C7">
              <w:rPr>
                <w:rFonts w:ascii="Times New Roman" w:hAnsi="Times New Roman"/>
                <w:sz w:val="18"/>
                <w:szCs w:val="18"/>
              </w:rPr>
              <w:t xml:space="preserve">Protest </w:t>
            </w:r>
            <w:r w:rsidRPr="279F62BA">
              <w:rPr>
                <w:rFonts w:ascii="Times New Roman" w:hAnsi="Times New Roman"/>
                <w:sz w:val="18"/>
                <w:szCs w:val="18"/>
              </w:rPr>
              <w:t>3120.43 $1 per page exceeding 50 page</w:t>
            </w:r>
            <w:r w:rsidRPr="279F62BA" w:rsidR="09A2FE36">
              <w:rPr>
                <w:rFonts w:ascii="Times New Roman" w:hAnsi="Times New Roman"/>
                <w:sz w:val="18"/>
                <w:szCs w:val="18"/>
              </w:rPr>
              <w:t>s</w:t>
            </w:r>
          </w:p>
        </w:tc>
        <w:tc>
          <w:tcPr>
            <w:tcW w:w="1560" w:type="dxa"/>
            <w:vAlign w:val="center"/>
          </w:tcPr>
          <w:p w:rsidR="3D90A577" w:rsidP="73A9246C" w14:paraId="5A2DA365" w14:textId="3D243819">
            <w:pPr>
              <w:jc w:val="right"/>
              <w:rPr>
                <w:rFonts w:ascii="Times New Roman" w:hAnsi="Times New Roman"/>
                <w:sz w:val="18"/>
                <w:szCs w:val="18"/>
              </w:rPr>
            </w:pPr>
            <w:r w:rsidRPr="00841A3F">
              <w:rPr>
                <w:rFonts w:ascii="Times New Roman" w:hAnsi="Times New Roman"/>
                <w:sz w:val="18"/>
                <w:szCs w:val="18"/>
              </w:rPr>
              <w:t>No change</w:t>
            </w:r>
          </w:p>
        </w:tc>
        <w:tc>
          <w:tcPr>
            <w:tcW w:w="1350" w:type="dxa"/>
            <w:vAlign w:val="center"/>
          </w:tcPr>
          <w:p w:rsidR="73A9246C" w:rsidRPr="00841A3F" w:rsidP="73A9246C" w14:paraId="1B7EAEB6" w14:textId="403C2A46">
            <w:pPr>
              <w:jc w:val="right"/>
              <w:rPr>
                <w:rFonts w:ascii="Times New Roman" w:hAnsi="Times New Roman"/>
                <w:sz w:val="18"/>
                <w:szCs w:val="18"/>
              </w:rPr>
            </w:pPr>
            <w:r w:rsidRPr="5A64A34E">
              <w:rPr>
                <w:rFonts w:ascii="Times New Roman" w:hAnsi="Times New Roman"/>
                <w:sz w:val="18"/>
                <w:szCs w:val="18"/>
              </w:rPr>
              <w:t>No change</w:t>
            </w:r>
          </w:p>
        </w:tc>
        <w:tc>
          <w:tcPr>
            <w:tcW w:w="1485" w:type="dxa"/>
            <w:vAlign w:val="center"/>
          </w:tcPr>
          <w:p w:rsidR="3D90A577" w:rsidP="00265136" w14:paraId="063891A1" w14:textId="3D2B6F5C">
            <w:pPr>
              <w:spacing w:line="259" w:lineRule="auto"/>
              <w:jc w:val="right"/>
              <w:rPr>
                <w:rFonts w:ascii="Times New Roman" w:hAnsi="Times New Roman"/>
                <w:sz w:val="18"/>
                <w:szCs w:val="18"/>
              </w:rPr>
            </w:pPr>
            <w:r w:rsidRPr="5A64A34E">
              <w:rPr>
                <w:rFonts w:ascii="Times New Roman" w:hAnsi="Times New Roman"/>
                <w:sz w:val="18"/>
                <w:szCs w:val="18"/>
              </w:rPr>
              <w:t>+</w:t>
            </w:r>
            <w:r w:rsidRPr="5A64A34E" w:rsidR="78762B65">
              <w:rPr>
                <w:rFonts w:ascii="Times New Roman" w:hAnsi="Times New Roman"/>
                <w:sz w:val="18"/>
                <w:szCs w:val="18"/>
              </w:rPr>
              <w:t>$</w:t>
            </w:r>
            <w:r w:rsidRPr="58A9F6DC" w:rsidR="6E89773C">
              <w:rPr>
                <w:rFonts w:ascii="Times New Roman" w:hAnsi="Times New Roman"/>
                <w:sz w:val="18"/>
                <w:szCs w:val="18"/>
              </w:rPr>
              <w:t>2,604</w:t>
            </w:r>
          </w:p>
        </w:tc>
      </w:tr>
      <w:tr w14:paraId="67AE63F4" w14:textId="77777777" w:rsidTr="007C759D">
        <w:tblPrEx>
          <w:tblW w:w="9360" w:type="dxa"/>
          <w:tblLayout w:type="fixed"/>
          <w:tblLook w:val="0680"/>
        </w:tblPrEx>
        <w:trPr>
          <w:trHeight w:val="300"/>
        </w:trPr>
        <w:tc>
          <w:tcPr>
            <w:tcW w:w="4965" w:type="dxa"/>
          </w:tcPr>
          <w:p w:rsidR="007C759D" w:rsidRPr="279F62BA" w:rsidP="007C759D" w14:paraId="36DD36D8" w14:textId="0E1E4E2D">
            <w:pPr>
              <w:rPr>
                <w:rFonts w:ascii="Times New Roman" w:hAnsi="Times New Roman"/>
                <w:sz w:val="18"/>
                <w:szCs w:val="18"/>
              </w:rPr>
            </w:pPr>
            <w:r>
              <w:rPr>
                <w:rFonts w:ascii="Times New Roman" w:hAnsi="Times New Roman"/>
                <w:sz w:val="18"/>
                <w:szCs w:val="18"/>
              </w:rPr>
              <w:t xml:space="preserve">     Expression of Interest Fee</w:t>
            </w:r>
          </w:p>
        </w:tc>
        <w:tc>
          <w:tcPr>
            <w:tcW w:w="1560" w:type="dxa"/>
            <w:vAlign w:val="center"/>
          </w:tcPr>
          <w:p w:rsidR="007C759D" w:rsidRPr="00841A3F" w:rsidP="007C759D" w14:paraId="5F8DD69B" w14:textId="2330DFAD">
            <w:pPr>
              <w:jc w:val="right"/>
              <w:rPr>
                <w:rFonts w:ascii="Times New Roman" w:hAnsi="Times New Roman"/>
                <w:sz w:val="18"/>
                <w:szCs w:val="18"/>
              </w:rPr>
            </w:pPr>
            <w:r w:rsidRPr="00841A3F">
              <w:rPr>
                <w:rFonts w:ascii="Times New Roman" w:hAnsi="Times New Roman"/>
                <w:sz w:val="18"/>
                <w:szCs w:val="18"/>
              </w:rPr>
              <w:t>No change</w:t>
            </w:r>
          </w:p>
        </w:tc>
        <w:tc>
          <w:tcPr>
            <w:tcW w:w="1350" w:type="dxa"/>
            <w:vAlign w:val="center"/>
          </w:tcPr>
          <w:p w:rsidR="007C759D" w:rsidRPr="5A64A34E" w:rsidP="007C759D" w14:paraId="5F6EE5DA" w14:textId="2501C2F3">
            <w:pPr>
              <w:jc w:val="right"/>
              <w:rPr>
                <w:rFonts w:ascii="Times New Roman" w:hAnsi="Times New Roman"/>
                <w:sz w:val="18"/>
                <w:szCs w:val="18"/>
              </w:rPr>
            </w:pPr>
            <w:r w:rsidRPr="5A64A34E">
              <w:rPr>
                <w:rFonts w:ascii="Times New Roman" w:hAnsi="Times New Roman"/>
                <w:sz w:val="18"/>
                <w:szCs w:val="18"/>
              </w:rPr>
              <w:t>No change</w:t>
            </w:r>
          </w:p>
        </w:tc>
        <w:tc>
          <w:tcPr>
            <w:tcW w:w="1485" w:type="dxa"/>
            <w:vAlign w:val="center"/>
          </w:tcPr>
          <w:p w:rsidR="007C759D" w:rsidRPr="5A64A34E" w:rsidP="007C759D" w14:paraId="3C74CB77" w14:textId="3F712860">
            <w:pPr>
              <w:spacing w:line="259" w:lineRule="auto"/>
              <w:jc w:val="right"/>
              <w:rPr>
                <w:rFonts w:ascii="Times New Roman" w:hAnsi="Times New Roman"/>
                <w:sz w:val="18"/>
                <w:szCs w:val="18"/>
              </w:rPr>
            </w:pPr>
            <w:r>
              <w:rPr>
                <w:rFonts w:ascii="Times New Roman" w:hAnsi="Times New Roman"/>
                <w:sz w:val="18"/>
                <w:szCs w:val="18"/>
              </w:rPr>
              <w:t>-$1,975,000</w:t>
            </w:r>
          </w:p>
        </w:tc>
      </w:tr>
      <w:tr w14:paraId="41FEDEEE" w14:textId="77777777" w:rsidTr="007C759D">
        <w:tblPrEx>
          <w:tblW w:w="9360" w:type="dxa"/>
          <w:tblLayout w:type="fixed"/>
          <w:tblLook w:val="0680"/>
        </w:tblPrEx>
        <w:trPr>
          <w:trHeight w:val="300"/>
        </w:trPr>
        <w:tc>
          <w:tcPr>
            <w:tcW w:w="4965" w:type="dxa"/>
            <w:shd w:val="clear" w:color="auto" w:fill="D9D9D9" w:themeFill="background1" w:themeFillShade="D9"/>
            <w:vAlign w:val="center"/>
          </w:tcPr>
          <w:p w:rsidR="007C759D" w:rsidP="007C759D" w14:paraId="3C02D948" w14:textId="66AF8808">
            <w:pPr>
              <w:rPr>
                <w:rFonts w:ascii="Times New Roman" w:hAnsi="Times New Roman"/>
                <w:b/>
                <w:bCs/>
                <w:sz w:val="20"/>
                <w:szCs w:val="20"/>
              </w:rPr>
            </w:pPr>
            <w:r w:rsidRPr="5A64A34E">
              <w:rPr>
                <w:rFonts w:ascii="Times New Roman" w:hAnsi="Times New Roman"/>
                <w:b/>
                <w:bCs/>
                <w:sz w:val="20"/>
                <w:szCs w:val="20"/>
              </w:rPr>
              <w:t>Net Burden Changes Due to Proposed Rule</w:t>
            </w:r>
          </w:p>
        </w:tc>
        <w:tc>
          <w:tcPr>
            <w:tcW w:w="1560" w:type="dxa"/>
            <w:shd w:val="clear" w:color="auto" w:fill="D9D9D9" w:themeFill="background1" w:themeFillShade="D9"/>
            <w:vAlign w:val="center"/>
          </w:tcPr>
          <w:p w:rsidR="007C759D" w:rsidP="007C759D" w14:paraId="46E1362B" w14:textId="45337E89">
            <w:pPr>
              <w:jc w:val="right"/>
              <w:rPr>
                <w:rFonts w:ascii="Times New Roman" w:hAnsi="Times New Roman"/>
                <w:b/>
                <w:bCs/>
                <w:sz w:val="20"/>
                <w:szCs w:val="20"/>
              </w:rPr>
            </w:pPr>
            <w:r w:rsidRPr="5A64A34E">
              <w:rPr>
                <w:rFonts w:ascii="Times New Roman" w:hAnsi="Times New Roman"/>
                <w:b/>
                <w:bCs/>
                <w:sz w:val="20"/>
                <w:szCs w:val="20"/>
              </w:rPr>
              <w:t>-3</w:t>
            </w:r>
          </w:p>
        </w:tc>
        <w:tc>
          <w:tcPr>
            <w:tcW w:w="1350" w:type="dxa"/>
            <w:shd w:val="clear" w:color="auto" w:fill="D9D9D9" w:themeFill="background1" w:themeFillShade="D9"/>
            <w:vAlign w:val="center"/>
          </w:tcPr>
          <w:p w:rsidR="007C759D" w:rsidP="007C759D" w14:paraId="5B8A3EB7" w14:textId="44DDFFEC">
            <w:pPr>
              <w:jc w:val="right"/>
              <w:rPr>
                <w:rFonts w:ascii="Times New Roman" w:hAnsi="Times New Roman"/>
                <w:b/>
                <w:bCs/>
                <w:sz w:val="20"/>
                <w:szCs w:val="20"/>
              </w:rPr>
            </w:pPr>
            <w:r w:rsidRPr="5A64A34E">
              <w:rPr>
                <w:rFonts w:ascii="Times New Roman" w:hAnsi="Times New Roman"/>
                <w:b/>
                <w:bCs/>
                <w:sz w:val="20"/>
                <w:szCs w:val="20"/>
              </w:rPr>
              <w:t>-3</w:t>
            </w:r>
          </w:p>
        </w:tc>
        <w:tc>
          <w:tcPr>
            <w:tcW w:w="1485" w:type="dxa"/>
            <w:shd w:val="clear" w:color="auto" w:fill="D9D9D9" w:themeFill="background1" w:themeFillShade="D9"/>
            <w:vAlign w:val="center"/>
          </w:tcPr>
          <w:p w:rsidR="007C759D" w:rsidP="007C759D" w14:paraId="07B072F2" w14:textId="2B897221">
            <w:pPr>
              <w:spacing w:line="259" w:lineRule="auto"/>
              <w:jc w:val="right"/>
              <w:rPr>
                <w:rFonts w:ascii="Times New Roman" w:hAnsi="Times New Roman"/>
                <w:sz w:val="20"/>
                <w:szCs w:val="20"/>
              </w:rPr>
            </w:pPr>
            <w:r w:rsidRPr="071F182D">
              <w:rPr>
                <w:rFonts w:ascii="Times New Roman" w:hAnsi="Times New Roman"/>
                <w:b/>
                <w:bCs/>
                <w:sz w:val="20"/>
                <w:szCs w:val="20"/>
              </w:rPr>
              <w:t>+$2,604</w:t>
            </w:r>
          </w:p>
        </w:tc>
      </w:tr>
      <w:tr w14:paraId="77F118A7" w14:textId="77777777" w:rsidTr="007C759D">
        <w:tblPrEx>
          <w:tblW w:w="9360" w:type="dxa"/>
          <w:tblLayout w:type="fixed"/>
          <w:tblLook w:val="0680"/>
        </w:tblPrEx>
        <w:trPr>
          <w:trHeight w:val="300"/>
        </w:trPr>
        <w:tc>
          <w:tcPr>
            <w:tcW w:w="4965" w:type="dxa"/>
            <w:shd w:val="clear" w:color="auto" w:fill="D9D9D9" w:themeFill="background1" w:themeFillShade="D9"/>
            <w:vAlign w:val="center"/>
          </w:tcPr>
          <w:p w:rsidR="007C759D" w:rsidP="007C759D" w14:paraId="0888FFBE" w14:textId="7A37553F">
            <w:pPr>
              <w:rPr>
                <w:rFonts w:ascii="Times New Roman" w:hAnsi="Times New Roman"/>
                <w:sz w:val="20"/>
                <w:szCs w:val="20"/>
              </w:rPr>
            </w:pPr>
            <w:r w:rsidRPr="5A64A34E">
              <w:rPr>
                <w:rFonts w:ascii="Times New Roman" w:hAnsi="Times New Roman"/>
                <w:sz w:val="20"/>
                <w:szCs w:val="20"/>
              </w:rPr>
              <w:t>Adjustments to Burden Estimates</w:t>
            </w:r>
          </w:p>
        </w:tc>
        <w:tc>
          <w:tcPr>
            <w:tcW w:w="1560" w:type="dxa"/>
            <w:shd w:val="clear" w:color="auto" w:fill="D9D9D9" w:themeFill="background1" w:themeFillShade="D9"/>
            <w:vAlign w:val="center"/>
          </w:tcPr>
          <w:p w:rsidR="007C759D" w:rsidP="007C759D" w14:paraId="481CB987" w14:textId="384F7404">
            <w:pPr>
              <w:jc w:val="right"/>
              <w:rPr>
                <w:rFonts w:ascii="Times New Roman" w:hAnsi="Times New Roman"/>
                <w:b/>
                <w:bCs/>
                <w:sz w:val="20"/>
                <w:szCs w:val="20"/>
              </w:rPr>
            </w:pPr>
          </w:p>
        </w:tc>
        <w:tc>
          <w:tcPr>
            <w:tcW w:w="1350" w:type="dxa"/>
            <w:shd w:val="clear" w:color="auto" w:fill="D9D9D9" w:themeFill="background1" w:themeFillShade="D9"/>
            <w:vAlign w:val="center"/>
          </w:tcPr>
          <w:p w:rsidR="007C759D" w:rsidP="007C759D" w14:paraId="175E814F" w14:textId="34F6CC58">
            <w:pPr>
              <w:jc w:val="right"/>
              <w:rPr>
                <w:rFonts w:ascii="Times New Roman" w:hAnsi="Times New Roman"/>
                <w:b/>
                <w:bCs/>
                <w:sz w:val="20"/>
                <w:szCs w:val="20"/>
              </w:rPr>
            </w:pPr>
          </w:p>
        </w:tc>
        <w:tc>
          <w:tcPr>
            <w:tcW w:w="1485" w:type="dxa"/>
            <w:shd w:val="clear" w:color="auto" w:fill="D9D9D9" w:themeFill="background1" w:themeFillShade="D9"/>
            <w:vAlign w:val="center"/>
          </w:tcPr>
          <w:p w:rsidR="007C759D" w:rsidP="007C759D" w14:paraId="380D42D1" w14:textId="5BE9600F">
            <w:pPr>
              <w:jc w:val="right"/>
              <w:rPr>
                <w:rFonts w:ascii="Times New Roman" w:hAnsi="Times New Roman"/>
                <w:b/>
                <w:bCs/>
                <w:sz w:val="20"/>
                <w:szCs w:val="20"/>
              </w:rPr>
            </w:pPr>
          </w:p>
        </w:tc>
      </w:tr>
      <w:tr w14:paraId="4774D28A" w14:textId="77777777" w:rsidTr="007C759D">
        <w:tblPrEx>
          <w:tblW w:w="9360" w:type="dxa"/>
          <w:tblLayout w:type="fixed"/>
          <w:tblLook w:val="0680"/>
        </w:tblPrEx>
        <w:trPr>
          <w:trHeight w:val="300"/>
        </w:trPr>
        <w:tc>
          <w:tcPr>
            <w:tcW w:w="4965" w:type="dxa"/>
            <w:vAlign w:val="center"/>
          </w:tcPr>
          <w:p w:rsidR="007C759D" w:rsidP="007C759D" w14:paraId="55DDB386" w14:textId="72C43F12">
            <w:pPr>
              <w:rPr>
                <w:rFonts w:ascii="Times New Roman" w:hAnsi="Times New Roman"/>
                <w:sz w:val="20"/>
                <w:szCs w:val="20"/>
              </w:rPr>
            </w:pPr>
            <w:r w:rsidRPr="5A64A34E">
              <w:rPr>
                <w:rFonts w:ascii="Times New Roman" w:hAnsi="Times New Roman"/>
                <w:sz w:val="20"/>
                <w:szCs w:val="20"/>
              </w:rPr>
              <w:t xml:space="preserve">     Protests – 43 CFR 3120.43</w:t>
            </w:r>
          </w:p>
        </w:tc>
        <w:tc>
          <w:tcPr>
            <w:tcW w:w="1560" w:type="dxa"/>
            <w:vAlign w:val="center"/>
          </w:tcPr>
          <w:p w:rsidR="007C759D" w:rsidP="007C759D" w14:paraId="3CE0D99F" w14:textId="4FC08EC3">
            <w:pPr>
              <w:jc w:val="right"/>
              <w:rPr>
                <w:rFonts w:ascii="Times New Roman" w:hAnsi="Times New Roman"/>
                <w:sz w:val="20"/>
                <w:szCs w:val="20"/>
              </w:rPr>
            </w:pPr>
            <w:r w:rsidRPr="5A64A34E">
              <w:rPr>
                <w:rFonts w:ascii="Times New Roman" w:hAnsi="Times New Roman"/>
                <w:sz w:val="20"/>
                <w:szCs w:val="20"/>
              </w:rPr>
              <w:t>-1,3</w:t>
            </w:r>
            <w:r>
              <w:rPr>
                <w:rFonts w:ascii="Times New Roman" w:hAnsi="Times New Roman"/>
                <w:sz w:val="20"/>
                <w:szCs w:val="20"/>
              </w:rPr>
              <w:t>8</w:t>
            </w:r>
            <w:r w:rsidRPr="5A64A34E">
              <w:rPr>
                <w:rFonts w:ascii="Times New Roman" w:hAnsi="Times New Roman"/>
                <w:sz w:val="20"/>
                <w:szCs w:val="20"/>
              </w:rPr>
              <w:t>1</w:t>
            </w:r>
          </w:p>
        </w:tc>
        <w:tc>
          <w:tcPr>
            <w:tcW w:w="1350" w:type="dxa"/>
            <w:vAlign w:val="center"/>
          </w:tcPr>
          <w:p w:rsidR="007C759D" w:rsidP="007C759D" w14:paraId="11FAE5C8" w14:textId="0B41A75D">
            <w:pPr>
              <w:jc w:val="right"/>
              <w:rPr>
                <w:rFonts w:ascii="Times New Roman" w:hAnsi="Times New Roman"/>
                <w:sz w:val="20"/>
                <w:szCs w:val="20"/>
              </w:rPr>
            </w:pPr>
            <w:r w:rsidRPr="5A64A34E">
              <w:rPr>
                <w:rFonts w:ascii="Times New Roman" w:hAnsi="Times New Roman"/>
                <w:sz w:val="20"/>
                <w:szCs w:val="20"/>
              </w:rPr>
              <w:t>-11,048</w:t>
            </w:r>
          </w:p>
        </w:tc>
        <w:tc>
          <w:tcPr>
            <w:tcW w:w="1485" w:type="dxa"/>
            <w:vAlign w:val="center"/>
          </w:tcPr>
          <w:p w:rsidR="007C759D" w:rsidP="007C759D" w14:paraId="5B511329" w14:textId="72084A04">
            <w:pPr>
              <w:jc w:val="right"/>
              <w:rPr>
                <w:rFonts w:ascii="Times New Roman" w:hAnsi="Times New Roman"/>
                <w:sz w:val="20"/>
                <w:szCs w:val="20"/>
              </w:rPr>
            </w:pPr>
            <w:r w:rsidRPr="5A64A34E">
              <w:rPr>
                <w:rFonts w:ascii="Times New Roman" w:hAnsi="Times New Roman"/>
                <w:sz w:val="20"/>
                <w:szCs w:val="20"/>
              </w:rPr>
              <w:t>No change</w:t>
            </w:r>
          </w:p>
        </w:tc>
      </w:tr>
      <w:tr w14:paraId="332918F5" w14:textId="77777777" w:rsidTr="007C759D">
        <w:tblPrEx>
          <w:tblW w:w="9360" w:type="dxa"/>
          <w:tblLayout w:type="fixed"/>
          <w:tblLook w:val="0680"/>
        </w:tblPrEx>
        <w:trPr>
          <w:trHeight w:val="300"/>
        </w:trPr>
        <w:tc>
          <w:tcPr>
            <w:tcW w:w="4965" w:type="dxa"/>
            <w:vAlign w:val="center"/>
          </w:tcPr>
          <w:p w:rsidR="007C759D" w:rsidP="007C759D" w14:paraId="418A5935" w14:textId="59712603">
            <w:pPr>
              <w:jc w:val="right"/>
              <w:rPr>
                <w:rFonts w:ascii="Times New Roman" w:hAnsi="Times New Roman"/>
                <w:b/>
                <w:bCs/>
                <w:sz w:val="20"/>
                <w:szCs w:val="20"/>
              </w:rPr>
            </w:pPr>
            <w:r w:rsidRPr="5A64A34E">
              <w:rPr>
                <w:rFonts w:ascii="Times New Roman" w:hAnsi="Times New Roman"/>
                <w:b/>
                <w:bCs/>
                <w:sz w:val="20"/>
                <w:szCs w:val="20"/>
              </w:rPr>
              <w:t>New Burdens:</w:t>
            </w:r>
          </w:p>
        </w:tc>
        <w:tc>
          <w:tcPr>
            <w:tcW w:w="1560" w:type="dxa"/>
            <w:vAlign w:val="center"/>
          </w:tcPr>
          <w:p w:rsidR="007C759D" w:rsidP="007C759D" w14:paraId="5114C85E" w14:textId="5A4C1E85">
            <w:pPr>
              <w:spacing w:line="259" w:lineRule="auto"/>
              <w:jc w:val="right"/>
              <w:rPr>
                <w:rFonts w:ascii="Times New Roman" w:hAnsi="Times New Roman"/>
                <w:b/>
                <w:bCs/>
                <w:sz w:val="20"/>
                <w:szCs w:val="20"/>
              </w:rPr>
            </w:pPr>
            <w:r w:rsidRPr="071F182D">
              <w:rPr>
                <w:rFonts w:ascii="Times New Roman" w:hAnsi="Times New Roman"/>
                <w:b/>
                <w:bCs/>
                <w:sz w:val="20"/>
                <w:szCs w:val="20"/>
              </w:rPr>
              <w:t>14,9</w:t>
            </w:r>
            <w:r>
              <w:rPr>
                <w:rFonts w:ascii="Times New Roman" w:hAnsi="Times New Roman"/>
                <w:b/>
                <w:bCs/>
                <w:sz w:val="20"/>
                <w:szCs w:val="20"/>
              </w:rPr>
              <w:t>56</w:t>
            </w:r>
          </w:p>
        </w:tc>
        <w:tc>
          <w:tcPr>
            <w:tcW w:w="1350" w:type="dxa"/>
            <w:vAlign w:val="center"/>
          </w:tcPr>
          <w:p w:rsidR="007C759D" w:rsidP="007C759D" w14:paraId="41AA2B62" w14:textId="5FBA0064">
            <w:pPr>
              <w:jc w:val="right"/>
              <w:rPr>
                <w:rFonts w:ascii="Times New Roman" w:hAnsi="Times New Roman"/>
                <w:b/>
                <w:bCs/>
                <w:sz w:val="20"/>
                <w:szCs w:val="20"/>
              </w:rPr>
            </w:pPr>
            <w:r w:rsidRPr="5A64A34E">
              <w:rPr>
                <w:rFonts w:ascii="Times New Roman" w:hAnsi="Times New Roman"/>
                <w:b/>
                <w:bCs/>
                <w:sz w:val="20"/>
                <w:szCs w:val="20"/>
              </w:rPr>
              <w:t>18,359</w:t>
            </w:r>
          </w:p>
        </w:tc>
        <w:tc>
          <w:tcPr>
            <w:tcW w:w="1485" w:type="dxa"/>
            <w:vAlign w:val="center"/>
          </w:tcPr>
          <w:p w:rsidR="007C759D" w:rsidP="007C759D" w14:paraId="6FA6A7A8" w14:textId="00FBF78C">
            <w:pPr>
              <w:jc w:val="right"/>
              <w:rPr>
                <w:rFonts w:ascii="Times New Roman" w:hAnsi="Times New Roman"/>
                <w:b/>
                <w:bCs/>
                <w:sz w:val="20"/>
                <w:szCs w:val="20"/>
              </w:rPr>
            </w:pPr>
            <w:r w:rsidRPr="071F182D">
              <w:rPr>
                <w:rFonts w:ascii="Times New Roman" w:hAnsi="Times New Roman"/>
                <w:b/>
                <w:bCs/>
                <w:sz w:val="20"/>
                <w:szCs w:val="20"/>
              </w:rPr>
              <w:t>$</w:t>
            </w:r>
            <w:r>
              <w:rPr>
                <w:rFonts w:ascii="Times New Roman" w:hAnsi="Times New Roman"/>
                <w:b/>
                <w:bCs/>
                <w:sz w:val="20"/>
                <w:szCs w:val="20"/>
              </w:rPr>
              <w:t>1,793,788</w:t>
            </w:r>
          </w:p>
        </w:tc>
      </w:tr>
    </w:tbl>
    <w:p w:rsidR="73A9246C" w:rsidP="5A64A34E" w14:paraId="03374D71" w14:textId="1F012D0E">
      <w:pPr>
        <w:spacing w:line="259" w:lineRule="auto"/>
        <w:rPr>
          <w:rFonts w:ascii="Times New Roman" w:hAnsi="Times New Roman"/>
          <w:sz w:val="20"/>
          <w:szCs w:val="20"/>
        </w:rPr>
      </w:pPr>
    </w:p>
    <w:p w:rsidR="003A37E3" w:rsidRPr="00ED00CF" w:rsidP="00BB488B" w14:paraId="14D25B8F" w14:textId="6333A66C">
      <w:pPr>
        <w:pStyle w:val="Heading2"/>
        <w:rPr>
          <w:sz w:val="20"/>
          <w:szCs w:val="20"/>
        </w:rPr>
      </w:pPr>
      <w:r w:rsidRPr="00ED00CF">
        <w:rPr>
          <w:sz w:val="20"/>
          <w:szCs w:val="20"/>
        </w:rPr>
        <w:t>16.</w:t>
      </w:r>
      <w:r w:rsidRPr="00ED00CF">
        <w:rPr>
          <w:sz w:val="20"/>
          <w:szCs w:val="20"/>
        </w:rPr>
        <w:tab/>
        <w:t>For collections of information whose results will be published, outline plans for tabulation and publication.</w:t>
      </w:r>
      <w:r w:rsidRPr="00ED00CF" w:rsidR="00E954E6">
        <w:rPr>
          <w:sz w:val="20"/>
          <w:szCs w:val="20"/>
        </w:rPr>
        <w:t xml:space="preserve"> </w:t>
      </w:r>
      <w:r w:rsidRPr="00ED00CF">
        <w:rPr>
          <w:sz w:val="20"/>
          <w:szCs w:val="20"/>
        </w:rPr>
        <w:t>Address any complex analytical techniques that will be used.</w:t>
      </w:r>
      <w:r w:rsidRPr="00ED00CF" w:rsidR="00E954E6">
        <w:rPr>
          <w:sz w:val="20"/>
          <w:szCs w:val="20"/>
        </w:rPr>
        <w:t xml:space="preserve"> </w:t>
      </w:r>
      <w:r w:rsidRPr="00ED00CF">
        <w:rPr>
          <w:sz w:val="20"/>
          <w:szCs w:val="20"/>
        </w:rPr>
        <w:t>Provide the time schedule for the entire project, including beginning and ending dates of the collection of information, completion of report, publication dates, and other actions.</w:t>
      </w:r>
    </w:p>
    <w:p w:rsidR="00490755" w:rsidRPr="00ED00CF" w14:paraId="650F34F5" w14:textId="77777777">
      <w:pPr>
        <w:tabs>
          <w:tab w:val="left" w:pos="-1440"/>
          <w:tab w:val="left" w:pos="-720"/>
          <w:tab w:val="left" w:pos="0"/>
          <w:tab w:val="left" w:pos="58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p>
    <w:p w:rsidR="005176CD" w:rsidRPr="00ED00CF" w14:paraId="136F7F73" w14:textId="2831CA58">
      <w:pPr>
        <w:tabs>
          <w:tab w:val="left" w:pos="-1440"/>
          <w:tab w:val="left" w:pos="-720"/>
          <w:tab w:val="left" w:pos="0"/>
          <w:tab w:val="left" w:pos="58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r w:rsidRPr="00ED00CF">
        <w:rPr>
          <w:rFonts w:ascii="Times New Roman" w:hAnsi="Times New Roman"/>
          <w:sz w:val="20"/>
          <w:szCs w:val="20"/>
        </w:rPr>
        <w:t>The BLM</w:t>
      </w:r>
      <w:r w:rsidRPr="00ED00CF" w:rsidR="00F0748A">
        <w:rPr>
          <w:rFonts w:ascii="Times New Roman" w:hAnsi="Times New Roman"/>
          <w:sz w:val="20"/>
          <w:szCs w:val="20"/>
        </w:rPr>
        <w:t xml:space="preserve"> </w:t>
      </w:r>
      <w:r w:rsidRPr="00ED00CF">
        <w:rPr>
          <w:rFonts w:ascii="Times New Roman" w:hAnsi="Times New Roman"/>
          <w:sz w:val="20"/>
          <w:szCs w:val="20"/>
        </w:rPr>
        <w:t>will not publish results of this information collection.</w:t>
      </w:r>
    </w:p>
    <w:p w:rsidR="005176CD" w:rsidRPr="00ED00CF" w14:paraId="377911E1" w14:textId="77777777">
      <w:pPr>
        <w:tabs>
          <w:tab w:val="left" w:pos="-1440"/>
          <w:tab w:val="left" w:pos="-720"/>
          <w:tab w:val="left" w:pos="0"/>
          <w:tab w:val="left" w:pos="58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p>
    <w:p w:rsidR="003A37E3" w:rsidRPr="00ED00CF" w:rsidP="00BB488B" w14:paraId="3AAFB9EF" w14:textId="77777777">
      <w:pPr>
        <w:pStyle w:val="Heading2"/>
        <w:rPr>
          <w:sz w:val="20"/>
          <w:szCs w:val="20"/>
        </w:rPr>
      </w:pPr>
      <w:r w:rsidRPr="00ED00CF">
        <w:rPr>
          <w:sz w:val="20"/>
          <w:szCs w:val="20"/>
        </w:rPr>
        <w:t>17.</w:t>
      </w:r>
      <w:r w:rsidRPr="00ED00CF">
        <w:rPr>
          <w:sz w:val="20"/>
          <w:szCs w:val="20"/>
        </w:rPr>
        <w:tab/>
        <w:t>If seeking approval to not display the expiration date for OMB approval of the information collection, explain the reasons that display would be inappropriate.</w:t>
      </w:r>
    </w:p>
    <w:p w:rsidR="003A3BAD" w:rsidRPr="00ED00CF" w14:paraId="027CCD76" w14:textId="77777777">
      <w:pPr>
        <w:tabs>
          <w:tab w:val="left" w:pos="-1440"/>
          <w:tab w:val="left" w:pos="-720"/>
          <w:tab w:val="left" w:pos="0"/>
          <w:tab w:val="left" w:pos="58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p>
    <w:p w:rsidR="002F1B6C" w:rsidRPr="00ED00CF" w14:paraId="08E2CDDC" w14:textId="77777777">
      <w:pPr>
        <w:tabs>
          <w:tab w:val="left" w:pos="-1440"/>
          <w:tab w:val="left" w:pos="-720"/>
          <w:tab w:val="left" w:pos="0"/>
          <w:tab w:val="left" w:pos="58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r w:rsidRPr="00ED00CF">
        <w:rPr>
          <w:rFonts w:ascii="Times New Roman" w:hAnsi="Times New Roman"/>
          <w:sz w:val="20"/>
          <w:szCs w:val="20"/>
        </w:rPr>
        <w:t>T</w:t>
      </w:r>
      <w:r w:rsidRPr="00ED00CF" w:rsidR="005176CD">
        <w:rPr>
          <w:rFonts w:ascii="Times New Roman" w:hAnsi="Times New Roman"/>
          <w:sz w:val="20"/>
          <w:szCs w:val="20"/>
        </w:rPr>
        <w:t xml:space="preserve">he expiration date </w:t>
      </w:r>
      <w:r w:rsidRPr="00ED00CF">
        <w:rPr>
          <w:rFonts w:ascii="Times New Roman" w:hAnsi="Times New Roman"/>
          <w:sz w:val="20"/>
          <w:szCs w:val="20"/>
        </w:rPr>
        <w:t xml:space="preserve">will </w:t>
      </w:r>
      <w:r w:rsidRPr="00ED00CF" w:rsidR="00EC3B0B">
        <w:rPr>
          <w:rFonts w:ascii="Times New Roman" w:hAnsi="Times New Roman"/>
          <w:sz w:val="20"/>
          <w:szCs w:val="20"/>
        </w:rPr>
        <w:t xml:space="preserve">not </w:t>
      </w:r>
      <w:r w:rsidRPr="00ED00CF">
        <w:rPr>
          <w:rFonts w:ascii="Times New Roman" w:hAnsi="Times New Roman"/>
          <w:sz w:val="20"/>
          <w:szCs w:val="20"/>
        </w:rPr>
        <w:t xml:space="preserve">be displayed </w:t>
      </w:r>
      <w:r w:rsidRPr="00ED00CF" w:rsidR="00EC3B0B">
        <w:rPr>
          <w:rFonts w:ascii="Times New Roman" w:hAnsi="Times New Roman"/>
          <w:sz w:val="20"/>
          <w:szCs w:val="20"/>
        </w:rPr>
        <w:t>because this information collection does not include any forms.</w:t>
      </w:r>
    </w:p>
    <w:p w:rsidR="005176CD" w:rsidRPr="00ED00CF" w14:paraId="000027ED" w14:textId="77777777">
      <w:pPr>
        <w:tabs>
          <w:tab w:val="left" w:pos="-1440"/>
          <w:tab w:val="left" w:pos="-720"/>
          <w:tab w:val="left" w:pos="0"/>
          <w:tab w:val="left" w:pos="58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p>
    <w:p w:rsidR="003A37E3" w:rsidRPr="00ED00CF" w:rsidP="00BB488B" w14:paraId="21085FA5" w14:textId="56FA43D6">
      <w:pPr>
        <w:pStyle w:val="Heading2"/>
        <w:rPr>
          <w:sz w:val="20"/>
          <w:szCs w:val="20"/>
        </w:rPr>
      </w:pPr>
      <w:r w:rsidRPr="00ED00CF">
        <w:rPr>
          <w:sz w:val="20"/>
          <w:szCs w:val="20"/>
        </w:rPr>
        <w:t>18.</w:t>
      </w:r>
      <w:r w:rsidRPr="00ED00CF">
        <w:rPr>
          <w:sz w:val="20"/>
          <w:szCs w:val="20"/>
        </w:rPr>
        <w:tab/>
        <w:t xml:space="preserve">Explain each exception to the topics of the certification statement identified in </w:t>
      </w:r>
      <w:r w:rsidRPr="00ED00CF" w:rsidR="005F5ADB">
        <w:rPr>
          <w:sz w:val="20"/>
          <w:szCs w:val="20"/>
        </w:rPr>
        <w:t>“</w:t>
      </w:r>
      <w:r w:rsidRPr="00ED00CF">
        <w:rPr>
          <w:sz w:val="20"/>
          <w:szCs w:val="20"/>
        </w:rPr>
        <w:t>Certification for Paperwork Reduction Act Submissions.</w:t>
      </w:r>
      <w:r w:rsidRPr="00ED00CF" w:rsidR="005F5ADB">
        <w:rPr>
          <w:sz w:val="20"/>
          <w:szCs w:val="20"/>
        </w:rPr>
        <w:t>”</w:t>
      </w:r>
    </w:p>
    <w:p w:rsidR="006A3F70" w:rsidRPr="00ED00CF" w:rsidP="003A3BAD" w14:paraId="5949FC2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sz w:val="20"/>
          <w:szCs w:val="20"/>
        </w:rPr>
      </w:pPr>
    </w:p>
    <w:p w:rsidR="00B7531F" w:rsidRPr="00ED00CF" w:rsidP="00B7531F" w14:paraId="065A981F"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ED00CF">
        <w:rPr>
          <w:sz w:val="20"/>
          <w:szCs w:val="20"/>
        </w:rPr>
        <w:t>There are no exceptions to the certification requirements of 5 CFR 1320.9.</w:t>
      </w:r>
    </w:p>
    <w:p w:rsidR="00B7531F" w:rsidRPr="00ED00CF" w:rsidP="00B7531F" w14:paraId="5C8A82B9"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360"/>
        <w:rPr>
          <w:sz w:val="20"/>
          <w:szCs w:val="20"/>
        </w:rPr>
      </w:pPr>
    </w:p>
    <w:p w:rsidR="00B7531F" w:rsidRPr="00ED00CF" w:rsidP="00B7531F" w14:paraId="48C5EC84"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360"/>
        <w:rPr>
          <w:sz w:val="20"/>
          <w:szCs w:val="20"/>
        </w:rPr>
      </w:pPr>
    </w:p>
    <w:p w:rsidR="00B7531F" w:rsidRPr="00ED00CF" w:rsidP="00B7531F" w14:paraId="6C0F60B6"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360"/>
        <w:rPr>
          <w:sz w:val="20"/>
          <w:szCs w:val="20"/>
        </w:rPr>
      </w:pPr>
    </w:p>
    <w:p w:rsidR="001431D2" w:rsidP="00B7531F" w14:paraId="49A15D89"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360"/>
        <w:jc w:val="center"/>
        <w:rPr>
          <w:sz w:val="20"/>
          <w:szCs w:val="20"/>
        </w:rPr>
      </w:pPr>
    </w:p>
    <w:p w:rsidR="00B7531F" w:rsidRPr="00ED00CF" w:rsidP="00B7531F" w14:paraId="24FE2160" w14:textId="0F15927C">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360"/>
        <w:jc w:val="center"/>
        <w:rPr>
          <w:sz w:val="20"/>
          <w:szCs w:val="20"/>
        </w:rPr>
      </w:pPr>
      <w:r w:rsidRPr="00ED00CF">
        <w:rPr>
          <w:sz w:val="20"/>
          <w:szCs w:val="20"/>
        </w:rPr>
        <w:t>###</w:t>
      </w:r>
    </w:p>
    <w:p w:rsidR="005176CD" w:rsidRPr="00ED00CF" w:rsidP="00B7531F" w14:paraId="4453321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sz w:val="20"/>
          <w:szCs w:val="20"/>
        </w:rPr>
      </w:pPr>
    </w:p>
    <w:sectPr w:rsidSect="005176CD">
      <w:type w:val="continuous"/>
      <w:pgSz w:w="12240" w:h="15840"/>
      <w:pgMar w:top="1440" w:right="1440" w:bottom="1440" w:left="1440" w:header="1440" w:footer="1440"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708CA" w14:paraId="73568662" w14:textId="77777777">
    <w:pPr>
      <w:pStyle w:val="Foote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1</w:t>
    </w:r>
    <w:r>
      <w:rPr>
        <w:noProof/>
        <w:color w:val="2B579A"/>
        <w:shd w:val="clear" w:color="auto" w:fill="E6E6E6"/>
      </w:rPr>
      <w:fldChar w:fldCharType="end"/>
    </w:r>
  </w:p>
  <w:p w:rsidR="003708CA" w14:paraId="596E4E3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708CA" w:rsidRPr="00382E31" w:rsidP="00382E31" w14:paraId="64256970" w14:textId="2BC758B3">
    <w:pPr>
      <w:pStyle w:val="Header"/>
      <w:jc w:val="right"/>
    </w:pPr>
    <w:r w:rsidRPr="071F182D">
      <w:rPr>
        <w:sz w:val="20"/>
        <w:szCs w:val="20"/>
      </w:rPr>
      <w:t>NPRM</w:t>
    </w:r>
    <w:r w:rsidRPr="071F182D">
      <w:rPr>
        <w:sz w:val="20"/>
        <w:szCs w:val="20"/>
      </w:rPr>
      <w:t xml:space="preserve"> (RIN 1004-</w:t>
    </w:r>
    <w:r w:rsidRPr="071F182D">
      <w:rPr>
        <w:sz w:val="20"/>
        <w:szCs w:val="20"/>
      </w:rPr>
      <w:t>AF05</w:t>
    </w:r>
    <w:r w:rsidRPr="071F182D">
      <w:rPr>
        <w:sz w:val="20"/>
        <w:szCs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0"/>
    <w:name w:val="AutoList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
    <w:nsid w:val="00000002"/>
    <w:multiLevelType w:val="multilevel"/>
    <w:tmpl w:val="00000000"/>
    <w:name w:val="Triangles"/>
    <w:lvl w:ilvl="0">
      <w:start w:val="1"/>
      <w:numFmt w:val="decimal"/>
      <w:lvlText w:val="Ø"/>
      <w:lvlJc w:val="left"/>
    </w:lvl>
    <w:lvl w:ilvl="1">
      <w:start w:val="1"/>
      <w:numFmt w:val="decimal"/>
      <w:lvlText w:val="Ø"/>
      <w:lvlJc w:val="left"/>
    </w:lvl>
    <w:lvl w:ilvl="2">
      <w:start w:val="1"/>
      <w:numFmt w:val="decimal"/>
      <w:lvlText w:val="Ø"/>
      <w:lvlJc w:val="left"/>
    </w:lvl>
    <w:lvl w:ilvl="3">
      <w:start w:val="1"/>
      <w:numFmt w:val="decimal"/>
      <w:lvlText w:val="Ø"/>
      <w:lvlJc w:val="left"/>
    </w:lvl>
    <w:lvl w:ilvl="4">
      <w:start w:val="1"/>
      <w:numFmt w:val="decimal"/>
      <w:lvlText w:val="Ø"/>
      <w:lvlJc w:val="left"/>
    </w:lvl>
    <w:lvl w:ilvl="5">
      <w:start w:val="1"/>
      <w:numFmt w:val="decimal"/>
      <w:lvlText w:val="Ø"/>
      <w:lvlJc w:val="left"/>
    </w:lvl>
    <w:lvl w:ilvl="6">
      <w:start w:val="1"/>
      <w:numFmt w:val="decimal"/>
      <w:lvlText w:val="Ø"/>
      <w:lvlJc w:val="left"/>
    </w:lvl>
    <w:lvl w:ilvl="7">
      <w:start w:val="1"/>
      <w:numFmt w:val="decimal"/>
      <w:lvlText w:val="Ø"/>
      <w:lvlJc w:val="left"/>
    </w:lvl>
    <w:lvl w:ilvl="8">
      <w:start w:val="0"/>
      <w:numFmt w:val="decimal"/>
      <w:lvlJc w:val="left"/>
    </w:lvl>
  </w:abstractNum>
  <w:abstractNum w:abstractNumId="2">
    <w:nsid w:val="00000003"/>
    <w:multiLevelType w:val="multilevel"/>
    <w:tmpl w:val="00000000"/>
    <w:name w:val="Triangles"/>
    <w:lvl w:ilvl="0">
      <w:start w:val="1"/>
      <w:numFmt w:val="decimal"/>
      <w:lvlText w:val="Ø"/>
      <w:lvlJc w:val="left"/>
    </w:lvl>
    <w:lvl w:ilvl="1">
      <w:start w:val="1"/>
      <w:numFmt w:val="decimal"/>
      <w:lvlText w:val="Ø"/>
      <w:lvlJc w:val="left"/>
    </w:lvl>
    <w:lvl w:ilvl="2">
      <w:start w:val="1"/>
      <w:numFmt w:val="decimal"/>
      <w:lvlText w:val="Ø"/>
      <w:lvlJc w:val="left"/>
    </w:lvl>
    <w:lvl w:ilvl="3">
      <w:start w:val="1"/>
      <w:numFmt w:val="decimal"/>
      <w:lvlText w:val="Ø"/>
      <w:lvlJc w:val="left"/>
    </w:lvl>
    <w:lvl w:ilvl="4">
      <w:start w:val="1"/>
      <w:numFmt w:val="decimal"/>
      <w:lvlText w:val="Ø"/>
      <w:lvlJc w:val="left"/>
    </w:lvl>
    <w:lvl w:ilvl="5">
      <w:start w:val="1"/>
      <w:numFmt w:val="decimal"/>
      <w:lvlText w:val="Ø"/>
      <w:lvlJc w:val="left"/>
    </w:lvl>
    <w:lvl w:ilvl="6">
      <w:start w:val="1"/>
      <w:numFmt w:val="decimal"/>
      <w:lvlText w:val="Ø"/>
      <w:lvlJc w:val="left"/>
    </w:lvl>
    <w:lvl w:ilvl="7">
      <w:start w:val="1"/>
      <w:numFmt w:val="decimal"/>
      <w:lvlText w:val="Ø"/>
      <w:lvlJc w:val="left"/>
    </w:lvl>
    <w:lvl w:ilvl="8">
      <w:start w:val="0"/>
      <w:numFmt w:val="decimal"/>
      <w:lvlJc w:val="left"/>
    </w:lvl>
  </w:abstractNum>
  <w:abstractNum w:abstractNumId="3">
    <w:nsid w:val="00000004"/>
    <w:multiLevelType w:val="multilevel"/>
    <w:tmpl w:val="00000000"/>
    <w:name w:val="Triangles"/>
    <w:lvl w:ilvl="0">
      <w:start w:val="1"/>
      <w:numFmt w:val="decimal"/>
      <w:lvlText w:val="Ø"/>
      <w:lvlJc w:val="left"/>
    </w:lvl>
    <w:lvl w:ilvl="1">
      <w:start w:val="1"/>
      <w:numFmt w:val="decimal"/>
      <w:lvlText w:val="Ø"/>
      <w:lvlJc w:val="left"/>
    </w:lvl>
    <w:lvl w:ilvl="2">
      <w:start w:val="1"/>
      <w:numFmt w:val="decimal"/>
      <w:lvlText w:val="Ø"/>
      <w:lvlJc w:val="left"/>
    </w:lvl>
    <w:lvl w:ilvl="3">
      <w:start w:val="1"/>
      <w:numFmt w:val="decimal"/>
      <w:lvlText w:val="Ø"/>
      <w:lvlJc w:val="left"/>
    </w:lvl>
    <w:lvl w:ilvl="4">
      <w:start w:val="1"/>
      <w:numFmt w:val="decimal"/>
      <w:lvlText w:val="Ø"/>
      <w:lvlJc w:val="left"/>
    </w:lvl>
    <w:lvl w:ilvl="5">
      <w:start w:val="1"/>
      <w:numFmt w:val="decimal"/>
      <w:lvlText w:val="Ø"/>
      <w:lvlJc w:val="left"/>
    </w:lvl>
    <w:lvl w:ilvl="6">
      <w:start w:val="1"/>
      <w:numFmt w:val="decimal"/>
      <w:lvlText w:val="Ø"/>
      <w:lvlJc w:val="left"/>
    </w:lvl>
    <w:lvl w:ilvl="7">
      <w:start w:val="1"/>
      <w:numFmt w:val="decimal"/>
      <w:lvlText w:val="Ø"/>
      <w:lvlJc w:val="left"/>
    </w:lvl>
    <w:lvl w:ilvl="8">
      <w:start w:val="0"/>
      <w:numFmt w:val="decimal"/>
      <w:lvlJc w:val="left"/>
    </w:lvl>
  </w:abstractNum>
  <w:abstractNum w:abstractNumId="4">
    <w:nsid w:val="00000005"/>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5">
    <w:nsid w:val="00000006"/>
    <w:multiLevelType w:val="multilevel"/>
    <w:tmpl w:val="00000000"/>
    <w:name w:val="AutoList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6">
    <w:nsid w:val="01F00FB1"/>
    <w:multiLevelType w:val="hybridMultilevel"/>
    <w:tmpl w:val="6BDE82A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06674DAF"/>
    <w:multiLevelType w:val="hybridMultilevel"/>
    <w:tmpl w:val="6980E02C"/>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06F64D40"/>
    <w:multiLevelType w:val="hybridMultilevel"/>
    <w:tmpl w:val="B1885D2A"/>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9">
    <w:nsid w:val="0F9F020C"/>
    <w:multiLevelType w:val="hybridMultilevel"/>
    <w:tmpl w:val="7F86DD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3A317AA"/>
    <w:multiLevelType w:val="hybridMultilevel"/>
    <w:tmpl w:val="2892E0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5201FF9"/>
    <w:multiLevelType w:val="hybridMultilevel"/>
    <w:tmpl w:val="91CA9A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17CE5FDF"/>
    <w:multiLevelType w:val="hybridMultilevel"/>
    <w:tmpl w:val="55CAB9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1FA53581"/>
    <w:multiLevelType w:val="hybridMultilevel"/>
    <w:tmpl w:val="8AB815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C9229DA"/>
    <w:multiLevelType w:val="hybridMultilevel"/>
    <w:tmpl w:val="5C78CCB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37306CD"/>
    <w:multiLevelType w:val="hybridMultilevel"/>
    <w:tmpl w:val="3620BC6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78E050A"/>
    <w:multiLevelType w:val="hybridMultilevel"/>
    <w:tmpl w:val="421A4140"/>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3AB91443"/>
    <w:multiLevelType w:val="hybridMultilevel"/>
    <w:tmpl w:val="12E66720"/>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3C5C6393"/>
    <w:multiLevelType w:val="hybridMultilevel"/>
    <w:tmpl w:val="8258F3A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CED7F06"/>
    <w:multiLevelType w:val="hybridMultilevel"/>
    <w:tmpl w:val="DBF49D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E4E6887"/>
    <w:multiLevelType w:val="hybridMultilevel"/>
    <w:tmpl w:val="0F4AF232"/>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start w:val="1"/>
      <w:numFmt w:val="decimal"/>
      <w:lvlText w:val="%4."/>
      <w:lvlJc w:val="left"/>
      <w:pPr>
        <w:ind w:left="2880" w:hanging="360"/>
      </w:pPr>
      <w:rPr>
        <w:rFonts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423658DB"/>
    <w:multiLevelType w:val="hybridMultilevel"/>
    <w:tmpl w:val="081C78B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42394685"/>
    <w:multiLevelType w:val="hybridMultilevel"/>
    <w:tmpl w:val="33A25B2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44A9530A"/>
    <w:multiLevelType w:val="hybridMultilevel"/>
    <w:tmpl w:val="ECF89648"/>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4864678C"/>
    <w:multiLevelType w:val="hybridMultilevel"/>
    <w:tmpl w:val="6C7432A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49977D0B"/>
    <w:multiLevelType w:val="hybridMultilevel"/>
    <w:tmpl w:val="B20E36A8"/>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26">
    <w:nsid w:val="4AC77C4D"/>
    <w:multiLevelType w:val="hybridMultilevel"/>
    <w:tmpl w:val="E034E1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4DC13A63"/>
    <w:multiLevelType w:val="hybridMultilevel"/>
    <w:tmpl w:val="04323810"/>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4FEE145E"/>
    <w:multiLevelType w:val="hybridMultilevel"/>
    <w:tmpl w:val="047A3B9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52B22F5F"/>
    <w:multiLevelType w:val="hybridMultilevel"/>
    <w:tmpl w:val="0138435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56AA06CA"/>
    <w:multiLevelType w:val="hybridMultilevel"/>
    <w:tmpl w:val="F278955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57563E88"/>
    <w:multiLevelType w:val="hybridMultilevel"/>
    <w:tmpl w:val="3EE8A8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5B3C4934"/>
    <w:multiLevelType w:val="hybridMultilevel"/>
    <w:tmpl w:val="9942EC0A"/>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61C106A7"/>
    <w:multiLevelType w:val="hybridMultilevel"/>
    <w:tmpl w:val="BA444B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633120F5"/>
    <w:multiLevelType w:val="hybridMultilevel"/>
    <w:tmpl w:val="3A4E4000"/>
    <w:lvl w:ilvl="0">
      <w:start w:val="1"/>
      <w:numFmt w:val="decimal"/>
      <w:lvlText w:val="%1."/>
      <w:lvlJc w:val="left"/>
      <w:pPr>
        <w:ind w:left="780" w:hanging="360"/>
      </w:pPr>
    </w:lvl>
    <w:lvl w:ilvl="1" w:tentative="1">
      <w:start w:val="1"/>
      <w:numFmt w:val="lowerLetter"/>
      <w:lvlText w:val="%2."/>
      <w:lvlJc w:val="left"/>
      <w:pPr>
        <w:ind w:left="1500" w:hanging="360"/>
      </w:pPr>
    </w:lvl>
    <w:lvl w:ilvl="2" w:tentative="1">
      <w:start w:val="1"/>
      <w:numFmt w:val="lowerRoman"/>
      <w:lvlText w:val="%3."/>
      <w:lvlJc w:val="right"/>
      <w:pPr>
        <w:ind w:left="2220" w:hanging="180"/>
      </w:pPr>
    </w:lvl>
    <w:lvl w:ilvl="3" w:tentative="1">
      <w:start w:val="1"/>
      <w:numFmt w:val="decimal"/>
      <w:lvlText w:val="%4."/>
      <w:lvlJc w:val="left"/>
      <w:pPr>
        <w:ind w:left="2940" w:hanging="360"/>
      </w:pPr>
    </w:lvl>
    <w:lvl w:ilvl="4" w:tentative="1">
      <w:start w:val="1"/>
      <w:numFmt w:val="lowerLetter"/>
      <w:lvlText w:val="%5."/>
      <w:lvlJc w:val="left"/>
      <w:pPr>
        <w:ind w:left="3660" w:hanging="360"/>
      </w:pPr>
    </w:lvl>
    <w:lvl w:ilvl="5" w:tentative="1">
      <w:start w:val="1"/>
      <w:numFmt w:val="lowerRoman"/>
      <w:lvlText w:val="%6."/>
      <w:lvlJc w:val="right"/>
      <w:pPr>
        <w:ind w:left="4380" w:hanging="180"/>
      </w:pPr>
    </w:lvl>
    <w:lvl w:ilvl="6" w:tentative="1">
      <w:start w:val="1"/>
      <w:numFmt w:val="decimal"/>
      <w:lvlText w:val="%7."/>
      <w:lvlJc w:val="left"/>
      <w:pPr>
        <w:ind w:left="5100" w:hanging="360"/>
      </w:pPr>
    </w:lvl>
    <w:lvl w:ilvl="7" w:tentative="1">
      <w:start w:val="1"/>
      <w:numFmt w:val="lowerLetter"/>
      <w:lvlText w:val="%8."/>
      <w:lvlJc w:val="left"/>
      <w:pPr>
        <w:ind w:left="5820" w:hanging="360"/>
      </w:pPr>
    </w:lvl>
    <w:lvl w:ilvl="8" w:tentative="1">
      <w:start w:val="1"/>
      <w:numFmt w:val="lowerRoman"/>
      <w:lvlText w:val="%9."/>
      <w:lvlJc w:val="right"/>
      <w:pPr>
        <w:ind w:left="6540" w:hanging="180"/>
      </w:pPr>
    </w:lvl>
  </w:abstractNum>
  <w:abstractNum w:abstractNumId="35">
    <w:nsid w:val="67770258"/>
    <w:multiLevelType w:val="hybridMultilevel"/>
    <w:tmpl w:val="1A187E12"/>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36">
    <w:nsid w:val="6B352ED4"/>
    <w:multiLevelType w:val="hybridMultilevel"/>
    <w:tmpl w:val="2364130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6D3150D0"/>
    <w:multiLevelType w:val="hybridMultilevel"/>
    <w:tmpl w:val="B86227F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6FAC7839"/>
    <w:multiLevelType w:val="hybridMultilevel"/>
    <w:tmpl w:val="FC4486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044280D"/>
    <w:multiLevelType w:val="hybridMultilevel"/>
    <w:tmpl w:val="3D425958"/>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72085BA0"/>
    <w:multiLevelType w:val="hybridMultilevel"/>
    <w:tmpl w:val="3C7CB720"/>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72D348B7"/>
    <w:multiLevelType w:val="hybridMultilevel"/>
    <w:tmpl w:val="AC56F0EE"/>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42">
    <w:nsid w:val="74D97551"/>
    <w:multiLevelType w:val="hybridMultilevel"/>
    <w:tmpl w:val="E236B70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757B2F59"/>
    <w:multiLevelType w:val="hybridMultilevel"/>
    <w:tmpl w:val="5F06E37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4">
    <w:nsid w:val="77AD68E9"/>
    <w:multiLevelType w:val="hybridMultilevel"/>
    <w:tmpl w:val="1466FB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78732D34"/>
    <w:multiLevelType w:val="hybridMultilevel"/>
    <w:tmpl w:val="7E08931A"/>
    <w:lvl w:ilvl="0">
      <w:start w:val="1"/>
      <w:numFmt w:val="upperLetter"/>
      <w:pStyle w:val="Heading4"/>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7938209A"/>
    <w:multiLevelType w:val="hybridMultilevel"/>
    <w:tmpl w:val="D4182D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7BD162CE"/>
    <w:multiLevelType w:val="hybridMultilevel"/>
    <w:tmpl w:val="C7EEA9B2"/>
    <w:lvl w:ilvl="0">
      <w:start w:val="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7CCB4821"/>
    <w:multiLevelType w:val="hybridMultilevel"/>
    <w:tmpl w:val="A5788D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9">
    <w:nsid w:val="7FE42F96"/>
    <w:multiLevelType w:val="hybridMultilevel"/>
    <w:tmpl w:val="AB7C3DA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147747112">
    <w:abstractNumId w:val="27"/>
  </w:num>
  <w:num w:numId="2" w16cid:durableId="1805191908">
    <w:abstractNumId w:val="44"/>
  </w:num>
  <w:num w:numId="3" w16cid:durableId="800536887">
    <w:abstractNumId w:val="33"/>
  </w:num>
  <w:num w:numId="4" w16cid:durableId="215507282">
    <w:abstractNumId w:val="42"/>
  </w:num>
  <w:num w:numId="5" w16cid:durableId="1500971014">
    <w:abstractNumId w:val="26"/>
  </w:num>
  <w:num w:numId="6" w16cid:durableId="1961298295">
    <w:abstractNumId w:val="45"/>
  </w:num>
  <w:num w:numId="7" w16cid:durableId="81148237">
    <w:abstractNumId w:val="40"/>
  </w:num>
  <w:num w:numId="8" w16cid:durableId="1057893276">
    <w:abstractNumId w:val="28"/>
  </w:num>
  <w:num w:numId="9" w16cid:durableId="1937058996">
    <w:abstractNumId w:val="25"/>
  </w:num>
  <w:num w:numId="10" w16cid:durableId="874196023">
    <w:abstractNumId w:val="29"/>
  </w:num>
  <w:num w:numId="11" w16cid:durableId="627662425">
    <w:abstractNumId w:val="39"/>
  </w:num>
  <w:num w:numId="12" w16cid:durableId="320934787">
    <w:abstractNumId w:val="37"/>
  </w:num>
  <w:num w:numId="13" w16cid:durableId="1509908275">
    <w:abstractNumId w:val="14"/>
  </w:num>
  <w:num w:numId="14" w16cid:durableId="907038821">
    <w:abstractNumId w:val="11"/>
  </w:num>
  <w:num w:numId="15" w16cid:durableId="1781222885">
    <w:abstractNumId w:val="35"/>
  </w:num>
  <w:num w:numId="16" w16cid:durableId="809396098">
    <w:abstractNumId w:val="41"/>
  </w:num>
  <w:num w:numId="17" w16cid:durableId="1167944310">
    <w:abstractNumId w:val="9"/>
  </w:num>
  <w:num w:numId="18" w16cid:durableId="27292405">
    <w:abstractNumId w:val="20"/>
  </w:num>
  <w:num w:numId="19" w16cid:durableId="1433476893">
    <w:abstractNumId w:val="48"/>
  </w:num>
  <w:num w:numId="20" w16cid:durableId="1777018792">
    <w:abstractNumId w:val="10"/>
  </w:num>
  <w:num w:numId="21" w16cid:durableId="1017270503">
    <w:abstractNumId w:val="16"/>
  </w:num>
  <w:num w:numId="22" w16cid:durableId="717364970">
    <w:abstractNumId w:val="18"/>
  </w:num>
  <w:num w:numId="23" w16cid:durableId="241331438">
    <w:abstractNumId w:val="12"/>
  </w:num>
  <w:num w:numId="24" w16cid:durableId="2097289206">
    <w:abstractNumId w:val="8"/>
  </w:num>
  <w:num w:numId="25" w16cid:durableId="766385029">
    <w:abstractNumId w:val="31"/>
  </w:num>
  <w:num w:numId="26" w16cid:durableId="2069834999">
    <w:abstractNumId w:val="43"/>
  </w:num>
  <w:num w:numId="27" w16cid:durableId="382218600">
    <w:abstractNumId w:val="24"/>
  </w:num>
  <w:num w:numId="28" w16cid:durableId="1291939276">
    <w:abstractNumId w:val="36"/>
  </w:num>
  <w:num w:numId="29" w16cid:durableId="1126510387">
    <w:abstractNumId w:val="23"/>
  </w:num>
  <w:num w:numId="30" w16cid:durableId="737173854">
    <w:abstractNumId w:val="34"/>
  </w:num>
  <w:num w:numId="31" w16cid:durableId="1276214715">
    <w:abstractNumId w:val="17"/>
  </w:num>
  <w:num w:numId="32" w16cid:durableId="913128638">
    <w:abstractNumId w:val="7"/>
  </w:num>
  <w:num w:numId="33" w16cid:durableId="1581989071">
    <w:abstractNumId w:val="15"/>
  </w:num>
  <w:num w:numId="34" w16cid:durableId="378943233">
    <w:abstractNumId w:val="21"/>
  </w:num>
  <w:num w:numId="35" w16cid:durableId="1096755931">
    <w:abstractNumId w:val="19"/>
  </w:num>
  <w:num w:numId="36" w16cid:durableId="388966977">
    <w:abstractNumId w:val="47"/>
  </w:num>
  <w:num w:numId="37" w16cid:durableId="1619795444">
    <w:abstractNumId w:val="13"/>
  </w:num>
  <w:num w:numId="38" w16cid:durableId="356270962">
    <w:abstractNumId w:val="6"/>
  </w:num>
  <w:num w:numId="39" w16cid:durableId="251400811">
    <w:abstractNumId w:val="49"/>
  </w:num>
  <w:num w:numId="40" w16cid:durableId="1878001465">
    <w:abstractNumId w:val="45"/>
    <w:lvlOverride w:ilvl="0">
      <w:startOverride w:val="1"/>
    </w:lvlOverride>
  </w:num>
  <w:num w:numId="41" w16cid:durableId="745303766">
    <w:abstractNumId w:val="45"/>
    <w:lvlOverride w:ilvl="0">
      <w:startOverride w:val="1"/>
    </w:lvlOverride>
  </w:num>
  <w:num w:numId="42" w16cid:durableId="308871214">
    <w:abstractNumId w:val="45"/>
    <w:lvlOverride w:ilvl="0">
      <w:startOverride w:val="1"/>
    </w:lvlOverride>
  </w:num>
  <w:num w:numId="43" w16cid:durableId="312298924">
    <w:abstractNumId w:val="45"/>
    <w:lvlOverride w:ilvl="0">
      <w:startOverride w:val="1"/>
    </w:lvlOverride>
  </w:num>
  <w:num w:numId="44" w16cid:durableId="1859192384">
    <w:abstractNumId w:val="45"/>
    <w:lvlOverride w:ilvl="0">
      <w:startOverride w:val="1"/>
    </w:lvlOverride>
  </w:num>
  <w:num w:numId="45" w16cid:durableId="1074204647">
    <w:abstractNumId w:val="45"/>
    <w:lvlOverride w:ilvl="0">
      <w:startOverride w:val="1"/>
    </w:lvlOverride>
  </w:num>
  <w:num w:numId="46" w16cid:durableId="1457991539">
    <w:abstractNumId w:val="45"/>
    <w:lvlOverride w:ilvl="0">
      <w:startOverride w:val="1"/>
    </w:lvlOverride>
  </w:num>
  <w:num w:numId="47" w16cid:durableId="280453462">
    <w:abstractNumId w:val="45"/>
    <w:lvlOverride w:ilvl="0">
      <w:startOverride w:val="1"/>
    </w:lvlOverride>
  </w:num>
  <w:num w:numId="48" w16cid:durableId="678700394">
    <w:abstractNumId w:val="46"/>
  </w:num>
  <w:num w:numId="49" w16cid:durableId="855464604">
    <w:abstractNumId w:val="30"/>
  </w:num>
  <w:num w:numId="50" w16cid:durableId="183135659">
    <w:abstractNumId w:val="45"/>
    <w:lvlOverride w:ilvl="0">
      <w:startOverride w:val="1"/>
    </w:lvlOverride>
  </w:num>
  <w:num w:numId="51" w16cid:durableId="282078861">
    <w:abstractNumId w:val="45"/>
    <w:lvlOverride w:ilvl="0">
      <w:startOverride w:val="1"/>
    </w:lvlOverride>
  </w:num>
  <w:num w:numId="52" w16cid:durableId="426772191">
    <w:abstractNumId w:val="45"/>
    <w:lvlOverride w:ilvl="0">
      <w:startOverride w:val="1"/>
    </w:lvlOverride>
  </w:num>
  <w:num w:numId="53" w16cid:durableId="1374386433">
    <w:abstractNumId w:val="38"/>
  </w:num>
  <w:num w:numId="54" w16cid:durableId="394398838">
    <w:abstractNumId w:val="32"/>
  </w:num>
  <w:num w:numId="55" w16cid:durableId="1826311104">
    <w:abstractNumId w:val="2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6CD"/>
    <w:rsid w:val="00000838"/>
    <w:rsid w:val="000008B4"/>
    <w:rsid w:val="00001505"/>
    <w:rsid w:val="000016E5"/>
    <w:rsid w:val="000017EE"/>
    <w:rsid w:val="00001B89"/>
    <w:rsid w:val="00001E41"/>
    <w:rsid w:val="00002A5B"/>
    <w:rsid w:val="00002C05"/>
    <w:rsid w:val="00002F95"/>
    <w:rsid w:val="000032BC"/>
    <w:rsid w:val="00006264"/>
    <w:rsid w:val="0000628B"/>
    <w:rsid w:val="0000750F"/>
    <w:rsid w:val="00007548"/>
    <w:rsid w:val="00007619"/>
    <w:rsid w:val="00007A8F"/>
    <w:rsid w:val="00007E1F"/>
    <w:rsid w:val="00010392"/>
    <w:rsid w:val="00010BCD"/>
    <w:rsid w:val="00010F9E"/>
    <w:rsid w:val="00011BDC"/>
    <w:rsid w:val="00011D0C"/>
    <w:rsid w:val="000135BB"/>
    <w:rsid w:val="000139D7"/>
    <w:rsid w:val="00013C66"/>
    <w:rsid w:val="0001418D"/>
    <w:rsid w:val="00014282"/>
    <w:rsid w:val="00014BE7"/>
    <w:rsid w:val="00014C44"/>
    <w:rsid w:val="00015463"/>
    <w:rsid w:val="0001610B"/>
    <w:rsid w:val="00016886"/>
    <w:rsid w:val="00016CDA"/>
    <w:rsid w:val="00017BD4"/>
    <w:rsid w:val="0002018F"/>
    <w:rsid w:val="0002024E"/>
    <w:rsid w:val="00021759"/>
    <w:rsid w:val="0002183B"/>
    <w:rsid w:val="00022B98"/>
    <w:rsid w:val="00023617"/>
    <w:rsid w:val="00023FE4"/>
    <w:rsid w:val="000242F2"/>
    <w:rsid w:val="00024705"/>
    <w:rsid w:val="00024B64"/>
    <w:rsid w:val="0002564F"/>
    <w:rsid w:val="000262DC"/>
    <w:rsid w:val="0002655D"/>
    <w:rsid w:val="00030343"/>
    <w:rsid w:val="0003160A"/>
    <w:rsid w:val="00031612"/>
    <w:rsid w:val="0003382C"/>
    <w:rsid w:val="00033A0E"/>
    <w:rsid w:val="00034151"/>
    <w:rsid w:val="00036422"/>
    <w:rsid w:val="000365E2"/>
    <w:rsid w:val="00036A32"/>
    <w:rsid w:val="00036CBF"/>
    <w:rsid w:val="000371F2"/>
    <w:rsid w:val="00037EEA"/>
    <w:rsid w:val="000407AF"/>
    <w:rsid w:val="00041496"/>
    <w:rsid w:val="000415C0"/>
    <w:rsid w:val="000429E2"/>
    <w:rsid w:val="00043AC4"/>
    <w:rsid w:val="00044DC6"/>
    <w:rsid w:val="00044F31"/>
    <w:rsid w:val="00044FFB"/>
    <w:rsid w:val="000456EB"/>
    <w:rsid w:val="000512C9"/>
    <w:rsid w:val="00051AEE"/>
    <w:rsid w:val="00051C3A"/>
    <w:rsid w:val="00055136"/>
    <w:rsid w:val="00055C3B"/>
    <w:rsid w:val="000560CC"/>
    <w:rsid w:val="000610F1"/>
    <w:rsid w:val="000615A0"/>
    <w:rsid w:val="0006233A"/>
    <w:rsid w:val="000647D6"/>
    <w:rsid w:val="0006506C"/>
    <w:rsid w:val="00065748"/>
    <w:rsid w:val="00065BD8"/>
    <w:rsid w:val="00066B4E"/>
    <w:rsid w:val="00066CDA"/>
    <w:rsid w:val="00067389"/>
    <w:rsid w:val="0006798C"/>
    <w:rsid w:val="00070242"/>
    <w:rsid w:val="0007038E"/>
    <w:rsid w:val="00070FF1"/>
    <w:rsid w:val="00071584"/>
    <w:rsid w:val="000721A1"/>
    <w:rsid w:val="00072C95"/>
    <w:rsid w:val="000731B8"/>
    <w:rsid w:val="000738BE"/>
    <w:rsid w:val="00074473"/>
    <w:rsid w:val="00074AD4"/>
    <w:rsid w:val="00074BC9"/>
    <w:rsid w:val="00074C98"/>
    <w:rsid w:val="000754BE"/>
    <w:rsid w:val="0007595B"/>
    <w:rsid w:val="0007669E"/>
    <w:rsid w:val="00077A69"/>
    <w:rsid w:val="00080EF3"/>
    <w:rsid w:val="00083300"/>
    <w:rsid w:val="00083E03"/>
    <w:rsid w:val="000842B9"/>
    <w:rsid w:val="00085D45"/>
    <w:rsid w:val="000869A9"/>
    <w:rsid w:val="00086EC5"/>
    <w:rsid w:val="000875A1"/>
    <w:rsid w:val="0008785E"/>
    <w:rsid w:val="00087A5C"/>
    <w:rsid w:val="00087FF3"/>
    <w:rsid w:val="00090A84"/>
    <w:rsid w:val="00090C11"/>
    <w:rsid w:val="00090CE7"/>
    <w:rsid w:val="00091538"/>
    <w:rsid w:val="000915CE"/>
    <w:rsid w:val="00092420"/>
    <w:rsid w:val="0009271A"/>
    <w:rsid w:val="0009369E"/>
    <w:rsid w:val="00093B0A"/>
    <w:rsid w:val="000955F6"/>
    <w:rsid w:val="000960CC"/>
    <w:rsid w:val="000A01F6"/>
    <w:rsid w:val="000A04BE"/>
    <w:rsid w:val="000A07CA"/>
    <w:rsid w:val="000A24B9"/>
    <w:rsid w:val="000A34C3"/>
    <w:rsid w:val="000A4ADC"/>
    <w:rsid w:val="000A51E3"/>
    <w:rsid w:val="000A53B8"/>
    <w:rsid w:val="000A575D"/>
    <w:rsid w:val="000A64A2"/>
    <w:rsid w:val="000A7BF0"/>
    <w:rsid w:val="000B030A"/>
    <w:rsid w:val="000B034B"/>
    <w:rsid w:val="000B108B"/>
    <w:rsid w:val="000B187C"/>
    <w:rsid w:val="000B2FA7"/>
    <w:rsid w:val="000B3B4E"/>
    <w:rsid w:val="000B43E7"/>
    <w:rsid w:val="000B4883"/>
    <w:rsid w:val="000B5038"/>
    <w:rsid w:val="000B61F9"/>
    <w:rsid w:val="000C06F7"/>
    <w:rsid w:val="000C0C80"/>
    <w:rsid w:val="000C1BAE"/>
    <w:rsid w:val="000C3892"/>
    <w:rsid w:val="000C58E3"/>
    <w:rsid w:val="000D0DF0"/>
    <w:rsid w:val="000D2B9E"/>
    <w:rsid w:val="000D31D4"/>
    <w:rsid w:val="000D39D6"/>
    <w:rsid w:val="000D40CB"/>
    <w:rsid w:val="000D4B46"/>
    <w:rsid w:val="000D5088"/>
    <w:rsid w:val="000D58EA"/>
    <w:rsid w:val="000D757B"/>
    <w:rsid w:val="000D78D9"/>
    <w:rsid w:val="000E1C86"/>
    <w:rsid w:val="000E22A9"/>
    <w:rsid w:val="000E2FD4"/>
    <w:rsid w:val="000E4196"/>
    <w:rsid w:val="000E566D"/>
    <w:rsid w:val="000E5E30"/>
    <w:rsid w:val="000E6336"/>
    <w:rsid w:val="000E6D59"/>
    <w:rsid w:val="000E78C0"/>
    <w:rsid w:val="000F10D4"/>
    <w:rsid w:val="000F3F1E"/>
    <w:rsid w:val="000F4056"/>
    <w:rsid w:val="000F4F29"/>
    <w:rsid w:val="000F547E"/>
    <w:rsid w:val="000F56A4"/>
    <w:rsid w:val="000F5938"/>
    <w:rsid w:val="000F5C17"/>
    <w:rsid w:val="000F69C8"/>
    <w:rsid w:val="0010158D"/>
    <w:rsid w:val="0010281A"/>
    <w:rsid w:val="00103063"/>
    <w:rsid w:val="00103D26"/>
    <w:rsid w:val="001041CB"/>
    <w:rsid w:val="00104730"/>
    <w:rsid w:val="001047E1"/>
    <w:rsid w:val="00104E96"/>
    <w:rsid w:val="00106468"/>
    <w:rsid w:val="00107B0A"/>
    <w:rsid w:val="00110050"/>
    <w:rsid w:val="00110A15"/>
    <w:rsid w:val="00111725"/>
    <w:rsid w:val="0011179D"/>
    <w:rsid w:val="00114640"/>
    <w:rsid w:val="001158E2"/>
    <w:rsid w:val="00115B0F"/>
    <w:rsid w:val="0011658B"/>
    <w:rsid w:val="00121305"/>
    <w:rsid w:val="00121C16"/>
    <w:rsid w:val="0012240F"/>
    <w:rsid w:val="00122475"/>
    <w:rsid w:val="00122545"/>
    <w:rsid w:val="00123D11"/>
    <w:rsid w:val="00123E96"/>
    <w:rsid w:val="0012446C"/>
    <w:rsid w:val="00124A9F"/>
    <w:rsid w:val="00125425"/>
    <w:rsid w:val="00125943"/>
    <w:rsid w:val="00125C37"/>
    <w:rsid w:val="001263E6"/>
    <w:rsid w:val="00126FD3"/>
    <w:rsid w:val="00127514"/>
    <w:rsid w:val="00127CA4"/>
    <w:rsid w:val="001302E4"/>
    <w:rsid w:val="00130BA0"/>
    <w:rsid w:val="001315BB"/>
    <w:rsid w:val="00131AB8"/>
    <w:rsid w:val="00131FAE"/>
    <w:rsid w:val="00133F48"/>
    <w:rsid w:val="00136161"/>
    <w:rsid w:val="00136BA9"/>
    <w:rsid w:val="0013718B"/>
    <w:rsid w:val="00137A18"/>
    <w:rsid w:val="00142E5D"/>
    <w:rsid w:val="001431D2"/>
    <w:rsid w:val="001433B0"/>
    <w:rsid w:val="00143DCE"/>
    <w:rsid w:val="001446AC"/>
    <w:rsid w:val="00144A44"/>
    <w:rsid w:val="00144B69"/>
    <w:rsid w:val="00145C01"/>
    <w:rsid w:val="0014644D"/>
    <w:rsid w:val="001468CE"/>
    <w:rsid w:val="00146F25"/>
    <w:rsid w:val="00147284"/>
    <w:rsid w:val="00147792"/>
    <w:rsid w:val="00150835"/>
    <w:rsid w:val="001508D2"/>
    <w:rsid w:val="00150B32"/>
    <w:rsid w:val="00150B7D"/>
    <w:rsid w:val="00151806"/>
    <w:rsid w:val="00152C66"/>
    <w:rsid w:val="00155B2F"/>
    <w:rsid w:val="00156208"/>
    <w:rsid w:val="00157213"/>
    <w:rsid w:val="001602CA"/>
    <w:rsid w:val="001603ED"/>
    <w:rsid w:val="00160972"/>
    <w:rsid w:val="00161083"/>
    <w:rsid w:val="00161344"/>
    <w:rsid w:val="00163A1E"/>
    <w:rsid w:val="00163AFC"/>
    <w:rsid w:val="00164182"/>
    <w:rsid w:val="00164592"/>
    <w:rsid w:val="00164F9E"/>
    <w:rsid w:val="00170998"/>
    <w:rsid w:val="00171345"/>
    <w:rsid w:val="001728CE"/>
    <w:rsid w:val="00174D1C"/>
    <w:rsid w:val="00176C63"/>
    <w:rsid w:val="0017703C"/>
    <w:rsid w:val="00177EA5"/>
    <w:rsid w:val="0018148E"/>
    <w:rsid w:val="001817C9"/>
    <w:rsid w:val="00181FB8"/>
    <w:rsid w:val="0018213D"/>
    <w:rsid w:val="00183C91"/>
    <w:rsid w:val="001856ED"/>
    <w:rsid w:val="00186C9A"/>
    <w:rsid w:val="00186E75"/>
    <w:rsid w:val="00186F1A"/>
    <w:rsid w:val="001874B5"/>
    <w:rsid w:val="001875D9"/>
    <w:rsid w:val="0018795B"/>
    <w:rsid w:val="00187A67"/>
    <w:rsid w:val="00190D79"/>
    <w:rsid w:val="001920A3"/>
    <w:rsid w:val="001926CD"/>
    <w:rsid w:val="0019325B"/>
    <w:rsid w:val="001948FF"/>
    <w:rsid w:val="00196B72"/>
    <w:rsid w:val="001975B2"/>
    <w:rsid w:val="001A0418"/>
    <w:rsid w:val="001A186F"/>
    <w:rsid w:val="001A196E"/>
    <w:rsid w:val="001A2F2A"/>
    <w:rsid w:val="001A4E9C"/>
    <w:rsid w:val="001A5785"/>
    <w:rsid w:val="001A67B6"/>
    <w:rsid w:val="001A70DF"/>
    <w:rsid w:val="001B026C"/>
    <w:rsid w:val="001B0B8F"/>
    <w:rsid w:val="001B0FDF"/>
    <w:rsid w:val="001B1317"/>
    <w:rsid w:val="001B1383"/>
    <w:rsid w:val="001B20D6"/>
    <w:rsid w:val="001B45B8"/>
    <w:rsid w:val="001B6058"/>
    <w:rsid w:val="001B6894"/>
    <w:rsid w:val="001B6ED0"/>
    <w:rsid w:val="001B79A0"/>
    <w:rsid w:val="001B7F72"/>
    <w:rsid w:val="001C00D8"/>
    <w:rsid w:val="001C0792"/>
    <w:rsid w:val="001C1051"/>
    <w:rsid w:val="001C1AB2"/>
    <w:rsid w:val="001C1C5C"/>
    <w:rsid w:val="001C370C"/>
    <w:rsid w:val="001C43A0"/>
    <w:rsid w:val="001C4F70"/>
    <w:rsid w:val="001C5144"/>
    <w:rsid w:val="001C5D5D"/>
    <w:rsid w:val="001C6254"/>
    <w:rsid w:val="001C6947"/>
    <w:rsid w:val="001C6A95"/>
    <w:rsid w:val="001C7DAD"/>
    <w:rsid w:val="001D18A2"/>
    <w:rsid w:val="001D19F5"/>
    <w:rsid w:val="001D1D02"/>
    <w:rsid w:val="001D1F18"/>
    <w:rsid w:val="001D2B6E"/>
    <w:rsid w:val="001D3277"/>
    <w:rsid w:val="001D44F2"/>
    <w:rsid w:val="001D45F1"/>
    <w:rsid w:val="001D4E61"/>
    <w:rsid w:val="001D57DB"/>
    <w:rsid w:val="001D5C8A"/>
    <w:rsid w:val="001D628E"/>
    <w:rsid w:val="001D7D7E"/>
    <w:rsid w:val="001D7DBE"/>
    <w:rsid w:val="001E0468"/>
    <w:rsid w:val="001E068D"/>
    <w:rsid w:val="001E1C02"/>
    <w:rsid w:val="001E374D"/>
    <w:rsid w:val="001E4548"/>
    <w:rsid w:val="001E5D17"/>
    <w:rsid w:val="001E60B6"/>
    <w:rsid w:val="001E7A63"/>
    <w:rsid w:val="001F0D3A"/>
    <w:rsid w:val="001F1009"/>
    <w:rsid w:val="001F3144"/>
    <w:rsid w:val="001F387D"/>
    <w:rsid w:val="001F4C91"/>
    <w:rsid w:val="001F4F44"/>
    <w:rsid w:val="001F509A"/>
    <w:rsid w:val="001F7284"/>
    <w:rsid w:val="00200972"/>
    <w:rsid w:val="00201097"/>
    <w:rsid w:val="00203AEE"/>
    <w:rsid w:val="00203B1F"/>
    <w:rsid w:val="00203FF0"/>
    <w:rsid w:val="002053E0"/>
    <w:rsid w:val="002060D6"/>
    <w:rsid w:val="0020635C"/>
    <w:rsid w:val="0020640C"/>
    <w:rsid w:val="00206C36"/>
    <w:rsid w:val="00207586"/>
    <w:rsid w:val="00207673"/>
    <w:rsid w:val="00210FD0"/>
    <w:rsid w:val="002111AE"/>
    <w:rsid w:val="00212A76"/>
    <w:rsid w:val="00214012"/>
    <w:rsid w:val="002144E7"/>
    <w:rsid w:val="00215070"/>
    <w:rsid w:val="00215B62"/>
    <w:rsid w:val="00215F12"/>
    <w:rsid w:val="00216421"/>
    <w:rsid w:val="0021729C"/>
    <w:rsid w:val="002173A0"/>
    <w:rsid w:val="00220967"/>
    <w:rsid w:val="00220B48"/>
    <w:rsid w:val="00220B4F"/>
    <w:rsid w:val="00220F8C"/>
    <w:rsid w:val="002222FC"/>
    <w:rsid w:val="00222FBF"/>
    <w:rsid w:val="0022694A"/>
    <w:rsid w:val="0023021E"/>
    <w:rsid w:val="002306B7"/>
    <w:rsid w:val="00230ED0"/>
    <w:rsid w:val="0023177B"/>
    <w:rsid w:val="00231CC3"/>
    <w:rsid w:val="0023210E"/>
    <w:rsid w:val="002327E9"/>
    <w:rsid w:val="00232861"/>
    <w:rsid w:val="0023302F"/>
    <w:rsid w:val="00233364"/>
    <w:rsid w:val="002337FF"/>
    <w:rsid w:val="00233E08"/>
    <w:rsid w:val="0023403C"/>
    <w:rsid w:val="00234160"/>
    <w:rsid w:val="0023602B"/>
    <w:rsid w:val="00236405"/>
    <w:rsid w:val="00236BC8"/>
    <w:rsid w:val="0023715D"/>
    <w:rsid w:val="002371F3"/>
    <w:rsid w:val="0023734D"/>
    <w:rsid w:val="0024068B"/>
    <w:rsid w:val="002412D9"/>
    <w:rsid w:val="002416D9"/>
    <w:rsid w:val="002419BB"/>
    <w:rsid w:val="00241B7B"/>
    <w:rsid w:val="00242C1F"/>
    <w:rsid w:val="002449AA"/>
    <w:rsid w:val="002453B6"/>
    <w:rsid w:val="002457C0"/>
    <w:rsid w:val="00245F1D"/>
    <w:rsid w:val="00246DE4"/>
    <w:rsid w:val="00247A45"/>
    <w:rsid w:val="00251C03"/>
    <w:rsid w:val="00253655"/>
    <w:rsid w:val="002536CD"/>
    <w:rsid w:val="00253884"/>
    <w:rsid w:val="00254D5E"/>
    <w:rsid w:val="00255707"/>
    <w:rsid w:val="00255913"/>
    <w:rsid w:val="00255E9B"/>
    <w:rsid w:val="00255F40"/>
    <w:rsid w:val="00255F57"/>
    <w:rsid w:val="002578C7"/>
    <w:rsid w:val="0026082A"/>
    <w:rsid w:val="00260D27"/>
    <w:rsid w:val="002620A3"/>
    <w:rsid w:val="00262542"/>
    <w:rsid w:val="002626EE"/>
    <w:rsid w:val="002627AF"/>
    <w:rsid w:val="002644A7"/>
    <w:rsid w:val="0026478D"/>
    <w:rsid w:val="00265136"/>
    <w:rsid w:val="00265167"/>
    <w:rsid w:val="00267230"/>
    <w:rsid w:val="002675E6"/>
    <w:rsid w:val="0027109E"/>
    <w:rsid w:val="00271538"/>
    <w:rsid w:val="00272CD2"/>
    <w:rsid w:val="002741C0"/>
    <w:rsid w:val="002742B3"/>
    <w:rsid w:val="0027645E"/>
    <w:rsid w:val="00276D08"/>
    <w:rsid w:val="00280E5B"/>
    <w:rsid w:val="00281426"/>
    <w:rsid w:val="002827E7"/>
    <w:rsid w:val="00283C79"/>
    <w:rsid w:val="0028439F"/>
    <w:rsid w:val="00285100"/>
    <w:rsid w:val="00285FB9"/>
    <w:rsid w:val="0028665D"/>
    <w:rsid w:val="00287248"/>
    <w:rsid w:val="002877E9"/>
    <w:rsid w:val="00290078"/>
    <w:rsid w:val="00290442"/>
    <w:rsid w:val="0029084F"/>
    <w:rsid w:val="00290F47"/>
    <w:rsid w:val="00293E0E"/>
    <w:rsid w:val="002940EF"/>
    <w:rsid w:val="002950FE"/>
    <w:rsid w:val="00295B44"/>
    <w:rsid w:val="0029758B"/>
    <w:rsid w:val="00297951"/>
    <w:rsid w:val="002A1159"/>
    <w:rsid w:val="002A3204"/>
    <w:rsid w:val="002A35FF"/>
    <w:rsid w:val="002A39FA"/>
    <w:rsid w:val="002A3BD0"/>
    <w:rsid w:val="002A3D0D"/>
    <w:rsid w:val="002A4310"/>
    <w:rsid w:val="002A52F7"/>
    <w:rsid w:val="002A58B8"/>
    <w:rsid w:val="002A725D"/>
    <w:rsid w:val="002B034E"/>
    <w:rsid w:val="002B09EA"/>
    <w:rsid w:val="002B1071"/>
    <w:rsid w:val="002B1B89"/>
    <w:rsid w:val="002B36C0"/>
    <w:rsid w:val="002B3DDA"/>
    <w:rsid w:val="002B5B25"/>
    <w:rsid w:val="002B5FB9"/>
    <w:rsid w:val="002B60F5"/>
    <w:rsid w:val="002B6636"/>
    <w:rsid w:val="002B6E28"/>
    <w:rsid w:val="002B709C"/>
    <w:rsid w:val="002B7AD6"/>
    <w:rsid w:val="002C0266"/>
    <w:rsid w:val="002C15D5"/>
    <w:rsid w:val="002C1CD1"/>
    <w:rsid w:val="002C2585"/>
    <w:rsid w:val="002C26F4"/>
    <w:rsid w:val="002C3279"/>
    <w:rsid w:val="002C3B8E"/>
    <w:rsid w:val="002C42A5"/>
    <w:rsid w:val="002C45ED"/>
    <w:rsid w:val="002C4613"/>
    <w:rsid w:val="002C4B5E"/>
    <w:rsid w:val="002C52A6"/>
    <w:rsid w:val="002C536F"/>
    <w:rsid w:val="002C53D8"/>
    <w:rsid w:val="002C55DA"/>
    <w:rsid w:val="002C6785"/>
    <w:rsid w:val="002C73F5"/>
    <w:rsid w:val="002C764F"/>
    <w:rsid w:val="002D06CD"/>
    <w:rsid w:val="002D103E"/>
    <w:rsid w:val="002D1780"/>
    <w:rsid w:val="002D19CA"/>
    <w:rsid w:val="002D2D27"/>
    <w:rsid w:val="002D2FB2"/>
    <w:rsid w:val="002D384D"/>
    <w:rsid w:val="002D39E3"/>
    <w:rsid w:val="002D469C"/>
    <w:rsid w:val="002D78D9"/>
    <w:rsid w:val="002E0C97"/>
    <w:rsid w:val="002E13FE"/>
    <w:rsid w:val="002E1EF4"/>
    <w:rsid w:val="002E2433"/>
    <w:rsid w:val="002E248B"/>
    <w:rsid w:val="002E250F"/>
    <w:rsid w:val="002E25C9"/>
    <w:rsid w:val="002E27ED"/>
    <w:rsid w:val="002E29D8"/>
    <w:rsid w:val="002E333B"/>
    <w:rsid w:val="002E385D"/>
    <w:rsid w:val="002E392F"/>
    <w:rsid w:val="002E4D12"/>
    <w:rsid w:val="002E4E84"/>
    <w:rsid w:val="002E516F"/>
    <w:rsid w:val="002E556C"/>
    <w:rsid w:val="002E5AEA"/>
    <w:rsid w:val="002E654A"/>
    <w:rsid w:val="002E75BE"/>
    <w:rsid w:val="002E7F4F"/>
    <w:rsid w:val="002F06CA"/>
    <w:rsid w:val="002F1342"/>
    <w:rsid w:val="002F1B6C"/>
    <w:rsid w:val="002F2351"/>
    <w:rsid w:val="002F2E8B"/>
    <w:rsid w:val="002F2E8E"/>
    <w:rsid w:val="002F32EA"/>
    <w:rsid w:val="002F361E"/>
    <w:rsid w:val="002F386C"/>
    <w:rsid w:val="002F3E8E"/>
    <w:rsid w:val="002F45AC"/>
    <w:rsid w:val="002F469E"/>
    <w:rsid w:val="002F5177"/>
    <w:rsid w:val="002F5D98"/>
    <w:rsid w:val="002F6414"/>
    <w:rsid w:val="002F6EF8"/>
    <w:rsid w:val="002F7B3D"/>
    <w:rsid w:val="003001E8"/>
    <w:rsid w:val="0030094C"/>
    <w:rsid w:val="00300D0E"/>
    <w:rsid w:val="00301D54"/>
    <w:rsid w:val="00302169"/>
    <w:rsid w:val="00302777"/>
    <w:rsid w:val="00302AE0"/>
    <w:rsid w:val="00302C15"/>
    <w:rsid w:val="00302C19"/>
    <w:rsid w:val="00302D77"/>
    <w:rsid w:val="00302E85"/>
    <w:rsid w:val="00303693"/>
    <w:rsid w:val="003050B7"/>
    <w:rsid w:val="003053B7"/>
    <w:rsid w:val="00306157"/>
    <w:rsid w:val="00306219"/>
    <w:rsid w:val="00306352"/>
    <w:rsid w:val="00306CFB"/>
    <w:rsid w:val="0030720A"/>
    <w:rsid w:val="00307F54"/>
    <w:rsid w:val="003105B0"/>
    <w:rsid w:val="003105E9"/>
    <w:rsid w:val="00310FB4"/>
    <w:rsid w:val="00311F3E"/>
    <w:rsid w:val="00312204"/>
    <w:rsid w:val="00312902"/>
    <w:rsid w:val="003136B5"/>
    <w:rsid w:val="0031404D"/>
    <w:rsid w:val="00314F11"/>
    <w:rsid w:val="00315947"/>
    <w:rsid w:val="00317D2C"/>
    <w:rsid w:val="00320B80"/>
    <w:rsid w:val="00321400"/>
    <w:rsid w:val="00321A0D"/>
    <w:rsid w:val="0032241A"/>
    <w:rsid w:val="003227FF"/>
    <w:rsid w:val="003245BF"/>
    <w:rsid w:val="00324926"/>
    <w:rsid w:val="00324BBE"/>
    <w:rsid w:val="003271C1"/>
    <w:rsid w:val="00327AD0"/>
    <w:rsid w:val="00327C0B"/>
    <w:rsid w:val="00327E28"/>
    <w:rsid w:val="00330F44"/>
    <w:rsid w:val="003322C5"/>
    <w:rsid w:val="003327D9"/>
    <w:rsid w:val="00332F72"/>
    <w:rsid w:val="00336D43"/>
    <w:rsid w:val="00336EDE"/>
    <w:rsid w:val="003370D8"/>
    <w:rsid w:val="003374A7"/>
    <w:rsid w:val="00337D0A"/>
    <w:rsid w:val="003406D7"/>
    <w:rsid w:val="00340D03"/>
    <w:rsid w:val="0034148F"/>
    <w:rsid w:val="00341E5D"/>
    <w:rsid w:val="0034343E"/>
    <w:rsid w:val="00343D1A"/>
    <w:rsid w:val="00346228"/>
    <w:rsid w:val="003469AD"/>
    <w:rsid w:val="00346E0A"/>
    <w:rsid w:val="00347535"/>
    <w:rsid w:val="00350546"/>
    <w:rsid w:val="003514CE"/>
    <w:rsid w:val="003515E4"/>
    <w:rsid w:val="00351942"/>
    <w:rsid w:val="0035268E"/>
    <w:rsid w:val="00352CE2"/>
    <w:rsid w:val="00352EB0"/>
    <w:rsid w:val="00352F0E"/>
    <w:rsid w:val="003541F8"/>
    <w:rsid w:val="003544C9"/>
    <w:rsid w:val="00354DAB"/>
    <w:rsid w:val="00355CE7"/>
    <w:rsid w:val="00356F67"/>
    <w:rsid w:val="003621D0"/>
    <w:rsid w:val="0036259D"/>
    <w:rsid w:val="00362D06"/>
    <w:rsid w:val="00362FA9"/>
    <w:rsid w:val="00363823"/>
    <w:rsid w:val="00364390"/>
    <w:rsid w:val="003653C9"/>
    <w:rsid w:val="00365452"/>
    <w:rsid w:val="0036546B"/>
    <w:rsid w:val="00365AF2"/>
    <w:rsid w:val="003663D1"/>
    <w:rsid w:val="00370833"/>
    <w:rsid w:val="003708CA"/>
    <w:rsid w:val="00370B79"/>
    <w:rsid w:val="00371381"/>
    <w:rsid w:val="00371678"/>
    <w:rsid w:val="00371B7E"/>
    <w:rsid w:val="00372CFA"/>
    <w:rsid w:val="00372E3B"/>
    <w:rsid w:val="00373177"/>
    <w:rsid w:val="00373594"/>
    <w:rsid w:val="00374777"/>
    <w:rsid w:val="00376613"/>
    <w:rsid w:val="0038014B"/>
    <w:rsid w:val="003802AF"/>
    <w:rsid w:val="003804F3"/>
    <w:rsid w:val="003810AA"/>
    <w:rsid w:val="0038129E"/>
    <w:rsid w:val="00382A9C"/>
    <w:rsid w:val="00382E31"/>
    <w:rsid w:val="00383C46"/>
    <w:rsid w:val="003843F1"/>
    <w:rsid w:val="00384FAB"/>
    <w:rsid w:val="00385180"/>
    <w:rsid w:val="0039090B"/>
    <w:rsid w:val="0039125E"/>
    <w:rsid w:val="00392C20"/>
    <w:rsid w:val="003932B6"/>
    <w:rsid w:val="0039339B"/>
    <w:rsid w:val="003949F0"/>
    <w:rsid w:val="00396063"/>
    <w:rsid w:val="00396A7B"/>
    <w:rsid w:val="00397809"/>
    <w:rsid w:val="00397BFC"/>
    <w:rsid w:val="00397CED"/>
    <w:rsid w:val="003A001C"/>
    <w:rsid w:val="003A1248"/>
    <w:rsid w:val="003A2462"/>
    <w:rsid w:val="003A37E3"/>
    <w:rsid w:val="003A3BAD"/>
    <w:rsid w:val="003A463E"/>
    <w:rsid w:val="003A4A67"/>
    <w:rsid w:val="003A4FAA"/>
    <w:rsid w:val="003A5227"/>
    <w:rsid w:val="003A5532"/>
    <w:rsid w:val="003A5647"/>
    <w:rsid w:val="003B29D6"/>
    <w:rsid w:val="003B4277"/>
    <w:rsid w:val="003B5188"/>
    <w:rsid w:val="003B55E2"/>
    <w:rsid w:val="003B5BD1"/>
    <w:rsid w:val="003B5D5A"/>
    <w:rsid w:val="003B6599"/>
    <w:rsid w:val="003C0819"/>
    <w:rsid w:val="003C0878"/>
    <w:rsid w:val="003C1186"/>
    <w:rsid w:val="003C12F0"/>
    <w:rsid w:val="003C1F19"/>
    <w:rsid w:val="003C24FB"/>
    <w:rsid w:val="003C3342"/>
    <w:rsid w:val="003C344B"/>
    <w:rsid w:val="003C7F09"/>
    <w:rsid w:val="003D3419"/>
    <w:rsid w:val="003D4425"/>
    <w:rsid w:val="003D5024"/>
    <w:rsid w:val="003D5C90"/>
    <w:rsid w:val="003D5EE6"/>
    <w:rsid w:val="003D6A52"/>
    <w:rsid w:val="003D7553"/>
    <w:rsid w:val="003E0173"/>
    <w:rsid w:val="003E0FA1"/>
    <w:rsid w:val="003E1129"/>
    <w:rsid w:val="003E1D69"/>
    <w:rsid w:val="003E3930"/>
    <w:rsid w:val="003E3C47"/>
    <w:rsid w:val="003E3CB3"/>
    <w:rsid w:val="003E4354"/>
    <w:rsid w:val="003E4529"/>
    <w:rsid w:val="003E5E47"/>
    <w:rsid w:val="003E6584"/>
    <w:rsid w:val="003E67E9"/>
    <w:rsid w:val="003E7654"/>
    <w:rsid w:val="003F0AAD"/>
    <w:rsid w:val="003F1A3F"/>
    <w:rsid w:val="003F2114"/>
    <w:rsid w:val="003F3D58"/>
    <w:rsid w:val="003F5B86"/>
    <w:rsid w:val="003F6DE3"/>
    <w:rsid w:val="003F7084"/>
    <w:rsid w:val="003F70B1"/>
    <w:rsid w:val="003F78B2"/>
    <w:rsid w:val="004006E3"/>
    <w:rsid w:val="00400B87"/>
    <w:rsid w:val="00400D4D"/>
    <w:rsid w:val="00400F89"/>
    <w:rsid w:val="00401167"/>
    <w:rsid w:val="00401FC4"/>
    <w:rsid w:val="00404636"/>
    <w:rsid w:val="004055D6"/>
    <w:rsid w:val="00405B5A"/>
    <w:rsid w:val="00406259"/>
    <w:rsid w:val="00406E4E"/>
    <w:rsid w:val="00407CD4"/>
    <w:rsid w:val="00407DAA"/>
    <w:rsid w:val="0041022D"/>
    <w:rsid w:val="00410D83"/>
    <w:rsid w:val="00411A84"/>
    <w:rsid w:val="00411F56"/>
    <w:rsid w:val="00412869"/>
    <w:rsid w:val="00413527"/>
    <w:rsid w:val="0041403C"/>
    <w:rsid w:val="00414324"/>
    <w:rsid w:val="0041482C"/>
    <w:rsid w:val="00414FA7"/>
    <w:rsid w:val="0041593C"/>
    <w:rsid w:val="00415C18"/>
    <w:rsid w:val="00415F25"/>
    <w:rsid w:val="004167DF"/>
    <w:rsid w:val="00417490"/>
    <w:rsid w:val="00417A74"/>
    <w:rsid w:val="00417E75"/>
    <w:rsid w:val="00420A4B"/>
    <w:rsid w:val="00422E15"/>
    <w:rsid w:val="00423C33"/>
    <w:rsid w:val="004245F6"/>
    <w:rsid w:val="004248D6"/>
    <w:rsid w:val="00425464"/>
    <w:rsid w:val="0042565A"/>
    <w:rsid w:val="00425CA6"/>
    <w:rsid w:val="00425FBE"/>
    <w:rsid w:val="00426390"/>
    <w:rsid w:val="00430B90"/>
    <w:rsid w:val="004310C4"/>
    <w:rsid w:val="0043193F"/>
    <w:rsid w:val="00431FE7"/>
    <w:rsid w:val="00432146"/>
    <w:rsid w:val="00432AB9"/>
    <w:rsid w:val="00433321"/>
    <w:rsid w:val="00434304"/>
    <w:rsid w:val="0043495C"/>
    <w:rsid w:val="00435138"/>
    <w:rsid w:val="00435EF2"/>
    <w:rsid w:val="00436881"/>
    <w:rsid w:val="00436D60"/>
    <w:rsid w:val="00436E95"/>
    <w:rsid w:val="00440235"/>
    <w:rsid w:val="004409E0"/>
    <w:rsid w:val="0044362C"/>
    <w:rsid w:val="0044457F"/>
    <w:rsid w:val="00444A93"/>
    <w:rsid w:val="00445385"/>
    <w:rsid w:val="00445688"/>
    <w:rsid w:val="00445DB0"/>
    <w:rsid w:val="0044660F"/>
    <w:rsid w:val="00446D68"/>
    <w:rsid w:val="00446DA5"/>
    <w:rsid w:val="00446E05"/>
    <w:rsid w:val="00447A04"/>
    <w:rsid w:val="00447E0E"/>
    <w:rsid w:val="0045021D"/>
    <w:rsid w:val="004510E1"/>
    <w:rsid w:val="004511DC"/>
    <w:rsid w:val="00453E17"/>
    <w:rsid w:val="004542D7"/>
    <w:rsid w:val="00455A45"/>
    <w:rsid w:val="00455E4E"/>
    <w:rsid w:val="00456950"/>
    <w:rsid w:val="00456B74"/>
    <w:rsid w:val="00457CA6"/>
    <w:rsid w:val="00460DB0"/>
    <w:rsid w:val="00461E9C"/>
    <w:rsid w:val="004622FE"/>
    <w:rsid w:val="00462870"/>
    <w:rsid w:val="004634C9"/>
    <w:rsid w:val="00463E65"/>
    <w:rsid w:val="004649DC"/>
    <w:rsid w:val="0046574B"/>
    <w:rsid w:val="004667E1"/>
    <w:rsid w:val="004675A3"/>
    <w:rsid w:val="0047031C"/>
    <w:rsid w:val="004705AF"/>
    <w:rsid w:val="00470E3C"/>
    <w:rsid w:val="00472257"/>
    <w:rsid w:val="0047241E"/>
    <w:rsid w:val="00472E54"/>
    <w:rsid w:val="00472FC1"/>
    <w:rsid w:val="0047411B"/>
    <w:rsid w:val="0047416C"/>
    <w:rsid w:val="00474FE1"/>
    <w:rsid w:val="0047576C"/>
    <w:rsid w:val="004759DD"/>
    <w:rsid w:val="00475A63"/>
    <w:rsid w:val="00475E63"/>
    <w:rsid w:val="0047616A"/>
    <w:rsid w:val="00476A17"/>
    <w:rsid w:val="00476D2A"/>
    <w:rsid w:val="00477577"/>
    <w:rsid w:val="00477831"/>
    <w:rsid w:val="0048017A"/>
    <w:rsid w:val="00480C48"/>
    <w:rsid w:val="00481D9E"/>
    <w:rsid w:val="004823BD"/>
    <w:rsid w:val="00483066"/>
    <w:rsid w:val="00483107"/>
    <w:rsid w:val="00484DA5"/>
    <w:rsid w:val="004857A5"/>
    <w:rsid w:val="0048715C"/>
    <w:rsid w:val="0048741E"/>
    <w:rsid w:val="00487984"/>
    <w:rsid w:val="00490755"/>
    <w:rsid w:val="00490B9A"/>
    <w:rsid w:val="00491F8B"/>
    <w:rsid w:val="004925C4"/>
    <w:rsid w:val="004929A3"/>
    <w:rsid w:val="00492A79"/>
    <w:rsid w:val="004947D3"/>
    <w:rsid w:val="00495178"/>
    <w:rsid w:val="004951AF"/>
    <w:rsid w:val="00495B87"/>
    <w:rsid w:val="0049611E"/>
    <w:rsid w:val="00497424"/>
    <w:rsid w:val="0049774E"/>
    <w:rsid w:val="004979CE"/>
    <w:rsid w:val="004A0C63"/>
    <w:rsid w:val="004A124F"/>
    <w:rsid w:val="004A1256"/>
    <w:rsid w:val="004A1A6D"/>
    <w:rsid w:val="004A4FE2"/>
    <w:rsid w:val="004A5169"/>
    <w:rsid w:val="004A5DAC"/>
    <w:rsid w:val="004A69E4"/>
    <w:rsid w:val="004B039D"/>
    <w:rsid w:val="004B11C7"/>
    <w:rsid w:val="004B1219"/>
    <w:rsid w:val="004B3522"/>
    <w:rsid w:val="004B3A4A"/>
    <w:rsid w:val="004B4280"/>
    <w:rsid w:val="004B515B"/>
    <w:rsid w:val="004B53B9"/>
    <w:rsid w:val="004B5E26"/>
    <w:rsid w:val="004B6482"/>
    <w:rsid w:val="004B701B"/>
    <w:rsid w:val="004B70CD"/>
    <w:rsid w:val="004B7416"/>
    <w:rsid w:val="004C0461"/>
    <w:rsid w:val="004C2448"/>
    <w:rsid w:val="004C25E5"/>
    <w:rsid w:val="004C3D43"/>
    <w:rsid w:val="004C445E"/>
    <w:rsid w:val="004C46F2"/>
    <w:rsid w:val="004C6579"/>
    <w:rsid w:val="004C6F0D"/>
    <w:rsid w:val="004C7C54"/>
    <w:rsid w:val="004D064E"/>
    <w:rsid w:val="004D0788"/>
    <w:rsid w:val="004D0DE5"/>
    <w:rsid w:val="004D1135"/>
    <w:rsid w:val="004D1540"/>
    <w:rsid w:val="004D2251"/>
    <w:rsid w:val="004D2336"/>
    <w:rsid w:val="004D2603"/>
    <w:rsid w:val="004D2969"/>
    <w:rsid w:val="004D2D98"/>
    <w:rsid w:val="004D2DD2"/>
    <w:rsid w:val="004D51AF"/>
    <w:rsid w:val="004D5C54"/>
    <w:rsid w:val="004D6425"/>
    <w:rsid w:val="004D68A9"/>
    <w:rsid w:val="004D68D3"/>
    <w:rsid w:val="004D7084"/>
    <w:rsid w:val="004D713C"/>
    <w:rsid w:val="004D7211"/>
    <w:rsid w:val="004D7648"/>
    <w:rsid w:val="004D7748"/>
    <w:rsid w:val="004E002D"/>
    <w:rsid w:val="004E18BE"/>
    <w:rsid w:val="004E200E"/>
    <w:rsid w:val="004E325E"/>
    <w:rsid w:val="004E3809"/>
    <w:rsid w:val="004E4EB2"/>
    <w:rsid w:val="004E5406"/>
    <w:rsid w:val="004E6375"/>
    <w:rsid w:val="004E6402"/>
    <w:rsid w:val="004E680B"/>
    <w:rsid w:val="004E7790"/>
    <w:rsid w:val="004F1855"/>
    <w:rsid w:val="004F2949"/>
    <w:rsid w:val="004F2E9B"/>
    <w:rsid w:val="004F5A97"/>
    <w:rsid w:val="004F65E2"/>
    <w:rsid w:val="004F6C8D"/>
    <w:rsid w:val="004F6EB6"/>
    <w:rsid w:val="004F781D"/>
    <w:rsid w:val="0050037E"/>
    <w:rsid w:val="005013E3"/>
    <w:rsid w:val="00501CA4"/>
    <w:rsid w:val="0050324C"/>
    <w:rsid w:val="0050335A"/>
    <w:rsid w:val="00503534"/>
    <w:rsid w:val="0050508D"/>
    <w:rsid w:val="00505B4B"/>
    <w:rsid w:val="00507192"/>
    <w:rsid w:val="005079DC"/>
    <w:rsid w:val="00510F30"/>
    <w:rsid w:val="0051143C"/>
    <w:rsid w:val="00511469"/>
    <w:rsid w:val="00511BED"/>
    <w:rsid w:val="00511E60"/>
    <w:rsid w:val="005133A6"/>
    <w:rsid w:val="005139F3"/>
    <w:rsid w:val="00513BC1"/>
    <w:rsid w:val="0051445E"/>
    <w:rsid w:val="00514A11"/>
    <w:rsid w:val="00515EF9"/>
    <w:rsid w:val="00516425"/>
    <w:rsid w:val="00516A5B"/>
    <w:rsid w:val="00517053"/>
    <w:rsid w:val="00517597"/>
    <w:rsid w:val="005176CD"/>
    <w:rsid w:val="0052002E"/>
    <w:rsid w:val="00520BBA"/>
    <w:rsid w:val="00521818"/>
    <w:rsid w:val="0052318A"/>
    <w:rsid w:val="0052355B"/>
    <w:rsid w:val="00523F17"/>
    <w:rsid w:val="00530D04"/>
    <w:rsid w:val="00530E38"/>
    <w:rsid w:val="0053136A"/>
    <w:rsid w:val="00534800"/>
    <w:rsid w:val="00534C78"/>
    <w:rsid w:val="0053565D"/>
    <w:rsid w:val="005403A6"/>
    <w:rsid w:val="00540DF4"/>
    <w:rsid w:val="005415E2"/>
    <w:rsid w:val="00541C48"/>
    <w:rsid w:val="0054260C"/>
    <w:rsid w:val="005434B8"/>
    <w:rsid w:val="005435D4"/>
    <w:rsid w:val="0054360E"/>
    <w:rsid w:val="0054537F"/>
    <w:rsid w:val="005466F7"/>
    <w:rsid w:val="00546722"/>
    <w:rsid w:val="00547429"/>
    <w:rsid w:val="00550747"/>
    <w:rsid w:val="00550AFA"/>
    <w:rsid w:val="00551E7D"/>
    <w:rsid w:val="00552060"/>
    <w:rsid w:val="0055531C"/>
    <w:rsid w:val="00556F50"/>
    <w:rsid w:val="00557658"/>
    <w:rsid w:val="00557769"/>
    <w:rsid w:val="00557DC7"/>
    <w:rsid w:val="0056002F"/>
    <w:rsid w:val="00560714"/>
    <w:rsid w:val="0056081C"/>
    <w:rsid w:val="00560A28"/>
    <w:rsid w:val="00560A4F"/>
    <w:rsid w:val="00561660"/>
    <w:rsid w:val="00561DFF"/>
    <w:rsid w:val="00562025"/>
    <w:rsid w:val="00562AD1"/>
    <w:rsid w:val="00562FC9"/>
    <w:rsid w:val="0056345E"/>
    <w:rsid w:val="00563BFF"/>
    <w:rsid w:val="00563D6C"/>
    <w:rsid w:val="00563FFB"/>
    <w:rsid w:val="0056491A"/>
    <w:rsid w:val="00564934"/>
    <w:rsid w:val="00566F47"/>
    <w:rsid w:val="0056720E"/>
    <w:rsid w:val="00567C79"/>
    <w:rsid w:val="005701C7"/>
    <w:rsid w:val="005702F4"/>
    <w:rsid w:val="00570AB0"/>
    <w:rsid w:val="00570B09"/>
    <w:rsid w:val="005726D5"/>
    <w:rsid w:val="00573718"/>
    <w:rsid w:val="00574927"/>
    <w:rsid w:val="00574DA0"/>
    <w:rsid w:val="0057533C"/>
    <w:rsid w:val="005760EA"/>
    <w:rsid w:val="00576871"/>
    <w:rsid w:val="00576B22"/>
    <w:rsid w:val="00577449"/>
    <w:rsid w:val="0057771B"/>
    <w:rsid w:val="005806D2"/>
    <w:rsid w:val="0058209B"/>
    <w:rsid w:val="00582118"/>
    <w:rsid w:val="005825D2"/>
    <w:rsid w:val="00582FF3"/>
    <w:rsid w:val="0058362E"/>
    <w:rsid w:val="00583762"/>
    <w:rsid w:val="005837F8"/>
    <w:rsid w:val="00586C27"/>
    <w:rsid w:val="005872A1"/>
    <w:rsid w:val="00587D91"/>
    <w:rsid w:val="00591974"/>
    <w:rsid w:val="00591CAB"/>
    <w:rsid w:val="00593A6E"/>
    <w:rsid w:val="005954D0"/>
    <w:rsid w:val="00595FF1"/>
    <w:rsid w:val="005979F9"/>
    <w:rsid w:val="005A1825"/>
    <w:rsid w:val="005A1EB1"/>
    <w:rsid w:val="005A2768"/>
    <w:rsid w:val="005A5D88"/>
    <w:rsid w:val="005A5E5E"/>
    <w:rsid w:val="005A601C"/>
    <w:rsid w:val="005A64CD"/>
    <w:rsid w:val="005A71F7"/>
    <w:rsid w:val="005B091C"/>
    <w:rsid w:val="005B1254"/>
    <w:rsid w:val="005B12A7"/>
    <w:rsid w:val="005B12A8"/>
    <w:rsid w:val="005B133F"/>
    <w:rsid w:val="005B4042"/>
    <w:rsid w:val="005B42D7"/>
    <w:rsid w:val="005B4AD9"/>
    <w:rsid w:val="005B6C59"/>
    <w:rsid w:val="005B799B"/>
    <w:rsid w:val="005B7A82"/>
    <w:rsid w:val="005B7BE4"/>
    <w:rsid w:val="005C0A0B"/>
    <w:rsid w:val="005C0CEE"/>
    <w:rsid w:val="005C12E3"/>
    <w:rsid w:val="005C1826"/>
    <w:rsid w:val="005C1F35"/>
    <w:rsid w:val="005C1FEB"/>
    <w:rsid w:val="005C4F2F"/>
    <w:rsid w:val="005C5288"/>
    <w:rsid w:val="005C5F08"/>
    <w:rsid w:val="005D0B72"/>
    <w:rsid w:val="005D1105"/>
    <w:rsid w:val="005D1663"/>
    <w:rsid w:val="005D20CA"/>
    <w:rsid w:val="005D2232"/>
    <w:rsid w:val="005D25FC"/>
    <w:rsid w:val="005D2ECD"/>
    <w:rsid w:val="005D3498"/>
    <w:rsid w:val="005D3680"/>
    <w:rsid w:val="005D3FE6"/>
    <w:rsid w:val="005D535F"/>
    <w:rsid w:val="005D5A91"/>
    <w:rsid w:val="005D7666"/>
    <w:rsid w:val="005E0199"/>
    <w:rsid w:val="005E16EB"/>
    <w:rsid w:val="005E2BA7"/>
    <w:rsid w:val="005E5F03"/>
    <w:rsid w:val="005E6985"/>
    <w:rsid w:val="005E7B8B"/>
    <w:rsid w:val="005F03DA"/>
    <w:rsid w:val="005F1596"/>
    <w:rsid w:val="005F1A66"/>
    <w:rsid w:val="005F1E9A"/>
    <w:rsid w:val="005F5A78"/>
    <w:rsid w:val="005F5ADB"/>
    <w:rsid w:val="005F6AA7"/>
    <w:rsid w:val="005F7730"/>
    <w:rsid w:val="005F7812"/>
    <w:rsid w:val="005F78F3"/>
    <w:rsid w:val="006005DC"/>
    <w:rsid w:val="00600CD2"/>
    <w:rsid w:val="006020A4"/>
    <w:rsid w:val="00602A19"/>
    <w:rsid w:val="0060328C"/>
    <w:rsid w:val="006036FA"/>
    <w:rsid w:val="006038C8"/>
    <w:rsid w:val="00603E5A"/>
    <w:rsid w:val="006050CC"/>
    <w:rsid w:val="00605128"/>
    <w:rsid w:val="00605BCF"/>
    <w:rsid w:val="0060621A"/>
    <w:rsid w:val="00606F53"/>
    <w:rsid w:val="00611397"/>
    <w:rsid w:val="00611E0D"/>
    <w:rsid w:val="00612B45"/>
    <w:rsid w:val="006149CE"/>
    <w:rsid w:val="00616475"/>
    <w:rsid w:val="006164DD"/>
    <w:rsid w:val="00616672"/>
    <w:rsid w:val="00616EDF"/>
    <w:rsid w:val="00617A85"/>
    <w:rsid w:val="00617D17"/>
    <w:rsid w:val="00620963"/>
    <w:rsid w:val="00621714"/>
    <w:rsid w:val="006223F3"/>
    <w:rsid w:val="00623233"/>
    <w:rsid w:val="00623ACB"/>
    <w:rsid w:val="00624AC3"/>
    <w:rsid w:val="00625496"/>
    <w:rsid w:val="00626323"/>
    <w:rsid w:val="006304BA"/>
    <w:rsid w:val="00630571"/>
    <w:rsid w:val="0063070A"/>
    <w:rsid w:val="006309EE"/>
    <w:rsid w:val="00631CED"/>
    <w:rsid w:val="00632788"/>
    <w:rsid w:val="006335DA"/>
    <w:rsid w:val="006358C2"/>
    <w:rsid w:val="006361DB"/>
    <w:rsid w:val="00636A0A"/>
    <w:rsid w:val="00636CE6"/>
    <w:rsid w:val="00636D71"/>
    <w:rsid w:val="0063754A"/>
    <w:rsid w:val="00640951"/>
    <w:rsid w:val="00640A32"/>
    <w:rsid w:val="00640AE3"/>
    <w:rsid w:val="006412C9"/>
    <w:rsid w:val="00642229"/>
    <w:rsid w:val="00642472"/>
    <w:rsid w:val="006424D0"/>
    <w:rsid w:val="00642675"/>
    <w:rsid w:val="00642CB0"/>
    <w:rsid w:val="006434BA"/>
    <w:rsid w:val="00643669"/>
    <w:rsid w:val="00644970"/>
    <w:rsid w:val="00645D33"/>
    <w:rsid w:val="00646D5E"/>
    <w:rsid w:val="00646D8F"/>
    <w:rsid w:val="00650130"/>
    <w:rsid w:val="0065023B"/>
    <w:rsid w:val="00651716"/>
    <w:rsid w:val="00651E50"/>
    <w:rsid w:val="00652DFE"/>
    <w:rsid w:val="00653550"/>
    <w:rsid w:val="00653ABF"/>
    <w:rsid w:val="00653D0B"/>
    <w:rsid w:val="006542AC"/>
    <w:rsid w:val="00654921"/>
    <w:rsid w:val="006551BA"/>
    <w:rsid w:val="00655E70"/>
    <w:rsid w:val="006564FD"/>
    <w:rsid w:val="0065723B"/>
    <w:rsid w:val="00657BF8"/>
    <w:rsid w:val="00660905"/>
    <w:rsid w:val="006626C9"/>
    <w:rsid w:val="006632D6"/>
    <w:rsid w:val="00663666"/>
    <w:rsid w:val="00664389"/>
    <w:rsid w:val="006650A1"/>
    <w:rsid w:val="006653F4"/>
    <w:rsid w:val="00666635"/>
    <w:rsid w:val="00671B7B"/>
    <w:rsid w:val="00673792"/>
    <w:rsid w:val="00674236"/>
    <w:rsid w:val="00674873"/>
    <w:rsid w:val="00674C47"/>
    <w:rsid w:val="0067566B"/>
    <w:rsid w:val="006758F1"/>
    <w:rsid w:val="00675EF6"/>
    <w:rsid w:val="0067644C"/>
    <w:rsid w:val="0067648D"/>
    <w:rsid w:val="00676A55"/>
    <w:rsid w:val="00676CD7"/>
    <w:rsid w:val="00677189"/>
    <w:rsid w:val="00677D47"/>
    <w:rsid w:val="00680426"/>
    <w:rsid w:val="00681312"/>
    <w:rsid w:val="00681F4D"/>
    <w:rsid w:val="00682CA1"/>
    <w:rsid w:val="00682DE5"/>
    <w:rsid w:val="006839F1"/>
    <w:rsid w:val="00684275"/>
    <w:rsid w:val="00684863"/>
    <w:rsid w:val="006848D0"/>
    <w:rsid w:val="00684948"/>
    <w:rsid w:val="00684F24"/>
    <w:rsid w:val="006851D1"/>
    <w:rsid w:val="00686B51"/>
    <w:rsid w:val="00686E21"/>
    <w:rsid w:val="006870EF"/>
    <w:rsid w:val="0068727F"/>
    <w:rsid w:val="006902C4"/>
    <w:rsid w:val="00692B75"/>
    <w:rsid w:val="00692C47"/>
    <w:rsid w:val="00693023"/>
    <w:rsid w:val="00693608"/>
    <w:rsid w:val="0069461E"/>
    <w:rsid w:val="00695D8C"/>
    <w:rsid w:val="00695EF9"/>
    <w:rsid w:val="00696D1D"/>
    <w:rsid w:val="00696EB4"/>
    <w:rsid w:val="00697939"/>
    <w:rsid w:val="00697E5E"/>
    <w:rsid w:val="006A0E5A"/>
    <w:rsid w:val="006A1245"/>
    <w:rsid w:val="006A149C"/>
    <w:rsid w:val="006A1749"/>
    <w:rsid w:val="006A2C63"/>
    <w:rsid w:val="006A33BF"/>
    <w:rsid w:val="006A37CE"/>
    <w:rsid w:val="006A3ECD"/>
    <w:rsid w:val="006A3F70"/>
    <w:rsid w:val="006A6DB7"/>
    <w:rsid w:val="006A6FAA"/>
    <w:rsid w:val="006A7661"/>
    <w:rsid w:val="006A7791"/>
    <w:rsid w:val="006B0AA1"/>
    <w:rsid w:val="006B0E49"/>
    <w:rsid w:val="006B227A"/>
    <w:rsid w:val="006B2403"/>
    <w:rsid w:val="006B33D0"/>
    <w:rsid w:val="006B3DDA"/>
    <w:rsid w:val="006B456D"/>
    <w:rsid w:val="006B468B"/>
    <w:rsid w:val="006B6128"/>
    <w:rsid w:val="006B6EE4"/>
    <w:rsid w:val="006B7649"/>
    <w:rsid w:val="006B7A26"/>
    <w:rsid w:val="006C008D"/>
    <w:rsid w:val="006C341B"/>
    <w:rsid w:val="006C3704"/>
    <w:rsid w:val="006C388E"/>
    <w:rsid w:val="006C3F42"/>
    <w:rsid w:val="006C48DF"/>
    <w:rsid w:val="006C55BF"/>
    <w:rsid w:val="006C6053"/>
    <w:rsid w:val="006C7DF0"/>
    <w:rsid w:val="006D02F6"/>
    <w:rsid w:val="006D06F1"/>
    <w:rsid w:val="006D17D8"/>
    <w:rsid w:val="006D18F9"/>
    <w:rsid w:val="006D1F34"/>
    <w:rsid w:val="006D22A3"/>
    <w:rsid w:val="006D2F0D"/>
    <w:rsid w:val="006D2F25"/>
    <w:rsid w:val="006D326E"/>
    <w:rsid w:val="006D359F"/>
    <w:rsid w:val="006D461E"/>
    <w:rsid w:val="006D48F9"/>
    <w:rsid w:val="006D4A91"/>
    <w:rsid w:val="006D4BDD"/>
    <w:rsid w:val="006D4C3A"/>
    <w:rsid w:val="006D628F"/>
    <w:rsid w:val="006D68C0"/>
    <w:rsid w:val="006D6AD2"/>
    <w:rsid w:val="006D76BD"/>
    <w:rsid w:val="006E0555"/>
    <w:rsid w:val="006E1AD5"/>
    <w:rsid w:val="006E274C"/>
    <w:rsid w:val="006E2C7C"/>
    <w:rsid w:val="006E304E"/>
    <w:rsid w:val="006E3222"/>
    <w:rsid w:val="006E3DEE"/>
    <w:rsid w:val="006E4955"/>
    <w:rsid w:val="006E69F3"/>
    <w:rsid w:val="006F00A6"/>
    <w:rsid w:val="006F0427"/>
    <w:rsid w:val="006F1E44"/>
    <w:rsid w:val="006F2136"/>
    <w:rsid w:val="006F4E37"/>
    <w:rsid w:val="006F69F0"/>
    <w:rsid w:val="006F6AA1"/>
    <w:rsid w:val="006F72DE"/>
    <w:rsid w:val="006F76BF"/>
    <w:rsid w:val="006F7B92"/>
    <w:rsid w:val="006F7C96"/>
    <w:rsid w:val="007000E7"/>
    <w:rsid w:val="00700189"/>
    <w:rsid w:val="00701660"/>
    <w:rsid w:val="00701890"/>
    <w:rsid w:val="007018E1"/>
    <w:rsid w:val="00702E61"/>
    <w:rsid w:val="00703E94"/>
    <w:rsid w:val="00704080"/>
    <w:rsid w:val="0070408E"/>
    <w:rsid w:val="00705117"/>
    <w:rsid w:val="00705281"/>
    <w:rsid w:val="00705F2B"/>
    <w:rsid w:val="007062C0"/>
    <w:rsid w:val="00706B31"/>
    <w:rsid w:val="00706C6C"/>
    <w:rsid w:val="00706EA2"/>
    <w:rsid w:val="00707D45"/>
    <w:rsid w:val="00711AF1"/>
    <w:rsid w:val="00712ACD"/>
    <w:rsid w:val="0071377D"/>
    <w:rsid w:val="007140E5"/>
    <w:rsid w:val="00715C1D"/>
    <w:rsid w:val="00715DDF"/>
    <w:rsid w:val="00715E67"/>
    <w:rsid w:val="00715F7E"/>
    <w:rsid w:val="00716515"/>
    <w:rsid w:val="00716CE6"/>
    <w:rsid w:val="0071737D"/>
    <w:rsid w:val="00717A78"/>
    <w:rsid w:val="007206E4"/>
    <w:rsid w:val="00720E78"/>
    <w:rsid w:val="007218F0"/>
    <w:rsid w:val="007219E0"/>
    <w:rsid w:val="0072293D"/>
    <w:rsid w:val="00722DBD"/>
    <w:rsid w:val="00723620"/>
    <w:rsid w:val="007247D3"/>
    <w:rsid w:val="00724B2B"/>
    <w:rsid w:val="00724D93"/>
    <w:rsid w:val="00724E29"/>
    <w:rsid w:val="00726D84"/>
    <w:rsid w:val="0072738E"/>
    <w:rsid w:val="00730637"/>
    <w:rsid w:val="007307DC"/>
    <w:rsid w:val="007322BF"/>
    <w:rsid w:val="00732EC4"/>
    <w:rsid w:val="00733D2A"/>
    <w:rsid w:val="007343AD"/>
    <w:rsid w:val="00734466"/>
    <w:rsid w:val="00734F49"/>
    <w:rsid w:val="00735705"/>
    <w:rsid w:val="00735707"/>
    <w:rsid w:val="00736D49"/>
    <w:rsid w:val="00737431"/>
    <w:rsid w:val="00737DAA"/>
    <w:rsid w:val="007415CF"/>
    <w:rsid w:val="00741740"/>
    <w:rsid w:val="00741902"/>
    <w:rsid w:val="00743CC1"/>
    <w:rsid w:val="007454D6"/>
    <w:rsid w:val="007457F1"/>
    <w:rsid w:val="00745BEE"/>
    <w:rsid w:val="00746E6D"/>
    <w:rsid w:val="007473EC"/>
    <w:rsid w:val="00747461"/>
    <w:rsid w:val="00750E5B"/>
    <w:rsid w:val="007523CC"/>
    <w:rsid w:val="0075344D"/>
    <w:rsid w:val="00753A4C"/>
    <w:rsid w:val="0075511C"/>
    <w:rsid w:val="0075545F"/>
    <w:rsid w:val="007564F2"/>
    <w:rsid w:val="007568E9"/>
    <w:rsid w:val="0075719E"/>
    <w:rsid w:val="00757B86"/>
    <w:rsid w:val="00760696"/>
    <w:rsid w:val="00760A77"/>
    <w:rsid w:val="0076140C"/>
    <w:rsid w:val="007617DF"/>
    <w:rsid w:val="00761F0A"/>
    <w:rsid w:val="00762E58"/>
    <w:rsid w:val="0076510E"/>
    <w:rsid w:val="007652D6"/>
    <w:rsid w:val="007659A5"/>
    <w:rsid w:val="0076604C"/>
    <w:rsid w:val="00767508"/>
    <w:rsid w:val="007677FD"/>
    <w:rsid w:val="00771BF0"/>
    <w:rsid w:val="00772493"/>
    <w:rsid w:val="00772B0D"/>
    <w:rsid w:val="00772E0B"/>
    <w:rsid w:val="0077310A"/>
    <w:rsid w:val="007734AE"/>
    <w:rsid w:val="00773A3C"/>
    <w:rsid w:val="007742CB"/>
    <w:rsid w:val="00775039"/>
    <w:rsid w:val="007750C6"/>
    <w:rsid w:val="00775415"/>
    <w:rsid w:val="007759C0"/>
    <w:rsid w:val="00775ADE"/>
    <w:rsid w:val="0077610D"/>
    <w:rsid w:val="00781AFD"/>
    <w:rsid w:val="0078266E"/>
    <w:rsid w:val="00782794"/>
    <w:rsid w:val="00783BAE"/>
    <w:rsid w:val="00784036"/>
    <w:rsid w:val="0078446A"/>
    <w:rsid w:val="00784CE5"/>
    <w:rsid w:val="00784F60"/>
    <w:rsid w:val="00786202"/>
    <w:rsid w:val="007875F1"/>
    <w:rsid w:val="00787E2E"/>
    <w:rsid w:val="007906F2"/>
    <w:rsid w:val="00791337"/>
    <w:rsid w:val="0079209F"/>
    <w:rsid w:val="007924C2"/>
    <w:rsid w:val="00792E15"/>
    <w:rsid w:val="00793CC4"/>
    <w:rsid w:val="00793E8E"/>
    <w:rsid w:val="00793ED3"/>
    <w:rsid w:val="00794F11"/>
    <w:rsid w:val="0079616F"/>
    <w:rsid w:val="00796969"/>
    <w:rsid w:val="00796C31"/>
    <w:rsid w:val="007A1208"/>
    <w:rsid w:val="007A5022"/>
    <w:rsid w:val="007A5332"/>
    <w:rsid w:val="007A56F7"/>
    <w:rsid w:val="007B28C3"/>
    <w:rsid w:val="007B3304"/>
    <w:rsid w:val="007B3A5F"/>
    <w:rsid w:val="007B4892"/>
    <w:rsid w:val="007B48E8"/>
    <w:rsid w:val="007B55C3"/>
    <w:rsid w:val="007B7FE4"/>
    <w:rsid w:val="007C005C"/>
    <w:rsid w:val="007C21A0"/>
    <w:rsid w:val="007C238C"/>
    <w:rsid w:val="007C2F2C"/>
    <w:rsid w:val="007C3FE3"/>
    <w:rsid w:val="007C550A"/>
    <w:rsid w:val="007C5D3C"/>
    <w:rsid w:val="007C66D0"/>
    <w:rsid w:val="007C749B"/>
    <w:rsid w:val="007C74D7"/>
    <w:rsid w:val="007C759D"/>
    <w:rsid w:val="007D1C2D"/>
    <w:rsid w:val="007D26F4"/>
    <w:rsid w:val="007D3303"/>
    <w:rsid w:val="007D5A85"/>
    <w:rsid w:val="007D5DC7"/>
    <w:rsid w:val="007D6369"/>
    <w:rsid w:val="007D6CDC"/>
    <w:rsid w:val="007D6F70"/>
    <w:rsid w:val="007D76A0"/>
    <w:rsid w:val="007E03F6"/>
    <w:rsid w:val="007E06FE"/>
    <w:rsid w:val="007E0BCE"/>
    <w:rsid w:val="007E0C56"/>
    <w:rsid w:val="007E0D57"/>
    <w:rsid w:val="007E27FF"/>
    <w:rsid w:val="007E38F5"/>
    <w:rsid w:val="007E434A"/>
    <w:rsid w:val="007E4547"/>
    <w:rsid w:val="007E520D"/>
    <w:rsid w:val="007E52C7"/>
    <w:rsid w:val="007E6CD6"/>
    <w:rsid w:val="007E77EC"/>
    <w:rsid w:val="007E7D07"/>
    <w:rsid w:val="007F0212"/>
    <w:rsid w:val="007F03D2"/>
    <w:rsid w:val="007F0D9B"/>
    <w:rsid w:val="007F0F19"/>
    <w:rsid w:val="007F18B8"/>
    <w:rsid w:val="007F1B81"/>
    <w:rsid w:val="007F2439"/>
    <w:rsid w:val="007F2EF9"/>
    <w:rsid w:val="007F3273"/>
    <w:rsid w:val="007F5FE6"/>
    <w:rsid w:val="00801D85"/>
    <w:rsid w:val="008028BA"/>
    <w:rsid w:val="00802A51"/>
    <w:rsid w:val="00802F59"/>
    <w:rsid w:val="00803414"/>
    <w:rsid w:val="00804605"/>
    <w:rsid w:val="00804608"/>
    <w:rsid w:val="00804B11"/>
    <w:rsid w:val="008053A9"/>
    <w:rsid w:val="00805EDC"/>
    <w:rsid w:val="00806169"/>
    <w:rsid w:val="00807483"/>
    <w:rsid w:val="00807EB4"/>
    <w:rsid w:val="00810CB0"/>
    <w:rsid w:val="00811E85"/>
    <w:rsid w:val="00813F36"/>
    <w:rsid w:val="00813F4E"/>
    <w:rsid w:val="00813FC8"/>
    <w:rsid w:val="008146AA"/>
    <w:rsid w:val="008148E4"/>
    <w:rsid w:val="00814BBD"/>
    <w:rsid w:val="00816054"/>
    <w:rsid w:val="00816837"/>
    <w:rsid w:val="00816DED"/>
    <w:rsid w:val="00816E62"/>
    <w:rsid w:val="008174D6"/>
    <w:rsid w:val="0081782B"/>
    <w:rsid w:val="00820461"/>
    <w:rsid w:val="00820795"/>
    <w:rsid w:val="00820DDD"/>
    <w:rsid w:val="00820E57"/>
    <w:rsid w:val="008220D1"/>
    <w:rsid w:val="008231DB"/>
    <w:rsid w:val="0082525E"/>
    <w:rsid w:val="008257F3"/>
    <w:rsid w:val="00826464"/>
    <w:rsid w:val="00826D15"/>
    <w:rsid w:val="0082736C"/>
    <w:rsid w:val="00827988"/>
    <w:rsid w:val="00832808"/>
    <w:rsid w:val="00832B25"/>
    <w:rsid w:val="00832C0F"/>
    <w:rsid w:val="008335A4"/>
    <w:rsid w:val="00833F5D"/>
    <w:rsid w:val="00834161"/>
    <w:rsid w:val="00834A10"/>
    <w:rsid w:val="00835347"/>
    <w:rsid w:val="00836EB6"/>
    <w:rsid w:val="0083797F"/>
    <w:rsid w:val="0084119B"/>
    <w:rsid w:val="00841415"/>
    <w:rsid w:val="00841720"/>
    <w:rsid w:val="00841A3F"/>
    <w:rsid w:val="00841F72"/>
    <w:rsid w:val="008423E5"/>
    <w:rsid w:val="00843955"/>
    <w:rsid w:val="008442C1"/>
    <w:rsid w:val="0084458F"/>
    <w:rsid w:val="00844ACC"/>
    <w:rsid w:val="008465ED"/>
    <w:rsid w:val="0084666F"/>
    <w:rsid w:val="00846FFA"/>
    <w:rsid w:val="00847E83"/>
    <w:rsid w:val="00850161"/>
    <w:rsid w:val="008507B3"/>
    <w:rsid w:val="00852A67"/>
    <w:rsid w:val="008537DC"/>
    <w:rsid w:val="00853ECF"/>
    <w:rsid w:val="0085419D"/>
    <w:rsid w:val="00854D0E"/>
    <w:rsid w:val="008550CA"/>
    <w:rsid w:val="008557E0"/>
    <w:rsid w:val="008566E3"/>
    <w:rsid w:val="00856C46"/>
    <w:rsid w:val="00857155"/>
    <w:rsid w:val="008571AD"/>
    <w:rsid w:val="00857F0E"/>
    <w:rsid w:val="00860078"/>
    <w:rsid w:val="008611A9"/>
    <w:rsid w:val="0086270B"/>
    <w:rsid w:val="0086309E"/>
    <w:rsid w:val="00863A45"/>
    <w:rsid w:val="00863EE7"/>
    <w:rsid w:val="008647DD"/>
    <w:rsid w:val="008657BB"/>
    <w:rsid w:val="0086652F"/>
    <w:rsid w:val="0086697D"/>
    <w:rsid w:val="00866B46"/>
    <w:rsid w:val="00866D11"/>
    <w:rsid w:val="00870C55"/>
    <w:rsid w:val="00870F08"/>
    <w:rsid w:val="008719A7"/>
    <w:rsid w:val="0087226A"/>
    <w:rsid w:val="008724AE"/>
    <w:rsid w:val="00872CFD"/>
    <w:rsid w:val="008735EC"/>
    <w:rsid w:val="008737C5"/>
    <w:rsid w:val="00874F00"/>
    <w:rsid w:val="008756CD"/>
    <w:rsid w:val="008762D1"/>
    <w:rsid w:val="008763B7"/>
    <w:rsid w:val="00876929"/>
    <w:rsid w:val="00876AB6"/>
    <w:rsid w:val="00876EBB"/>
    <w:rsid w:val="00877377"/>
    <w:rsid w:val="00881A60"/>
    <w:rsid w:val="008823F8"/>
    <w:rsid w:val="00884528"/>
    <w:rsid w:val="00884A8C"/>
    <w:rsid w:val="00886113"/>
    <w:rsid w:val="0088664A"/>
    <w:rsid w:val="00890254"/>
    <w:rsid w:val="00890F47"/>
    <w:rsid w:val="008916F0"/>
    <w:rsid w:val="008920CF"/>
    <w:rsid w:val="008926E3"/>
    <w:rsid w:val="00892904"/>
    <w:rsid w:val="008930C2"/>
    <w:rsid w:val="0089470A"/>
    <w:rsid w:val="00894CC7"/>
    <w:rsid w:val="00894FE0"/>
    <w:rsid w:val="008951AA"/>
    <w:rsid w:val="008956D7"/>
    <w:rsid w:val="008957A7"/>
    <w:rsid w:val="00896C01"/>
    <w:rsid w:val="00897945"/>
    <w:rsid w:val="008A0604"/>
    <w:rsid w:val="008A11A7"/>
    <w:rsid w:val="008A1493"/>
    <w:rsid w:val="008A35B1"/>
    <w:rsid w:val="008A3B33"/>
    <w:rsid w:val="008A3C4B"/>
    <w:rsid w:val="008A532C"/>
    <w:rsid w:val="008A678E"/>
    <w:rsid w:val="008A6EA3"/>
    <w:rsid w:val="008A7CB4"/>
    <w:rsid w:val="008A7FDD"/>
    <w:rsid w:val="008B0450"/>
    <w:rsid w:val="008B0C11"/>
    <w:rsid w:val="008B0D5F"/>
    <w:rsid w:val="008B2585"/>
    <w:rsid w:val="008B25F6"/>
    <w:rsid w:val="008B333F"/>
    <w:rsid w:val="008B3C8E"/>
    <w:rsid w:val="008B3FC4"/>
    <w:rsid w:val="008B521B"/>
    <w:rsid w:val="008B54F0"/>
    <w:rsid w:val="008B5683"/>
    <w:rsid w:val="008B59E4"/>
    <w:rsid w:val="008B6064"/>
    <w:rsid w:val="008B6289"/>
    <w:rsid w:val="008B644E"/>
    <w:rsid w:val="008B6681"/>
    <w:rsid w:val="008B7FF9"/>
    <w:rsid w:val="008C0468"/>
    <w:rsid w:val="008C0A0A"/>
    <w:rsid w:val="008C0C8B"/>
    <w:rsid w:val="008C25B8"/>
    <w:rsid w:val="008C484F"/>
    <w:rsid w:val="008D005F"/>
    <w:rsid w:val="008D00B9"/>
    <w:rsid w:val="008D05CD"/>
    <w:rsid w:val="008D1AD0"/>
    <w:rsid w:val="008D244A"/>
    <w:rsid w:val="008D2AF2"/>
    <w:rsid w:val="008D2FB8"/>
    <w:rsid w:val="008D3250"/>
    <w:rsid w:val="008D5960"/>
    <w:rsid w:val="008D59C7"/>
    <w:rsid w:val="008D5E02"/>
    <w:rsid w:val="008D7016"/>
    <w:rsid w:val="008E11BB"/>
    <w:rsid w:val="008E166B"/>
    <w:rsid w:val="008E1A90"/>
    <w:rsid w:val="008E2590"/>
    <w:rsid w:val="008E3DF4"/>
    <w:rsid w:val="008E52CC"/>
    <w:rsid w:val="008E56B0"/>
    <w:rsid w:val="008E6403"/>
    <w:rsid w:val="008E654F"/>
    <w:rsid w:val="008E6A71"/>
    <w:rsid w:val="008E7BD6"/>
    <w:rsid w:val="008F0622"/>
    <w:rsid w:val="008F1232"/>
    <w:rsid w:val="008F12D7"/>
    <w:rsid w:val="008F1B70"/>
    <w:rsid w:val="008F2517"/>
    <w:rsid w:val="008F3562"/>
    <w:rsid w:val="008F46CA"/>
    <w:rsid w:val="008F4B57"/>
    <w:rsid w:val="008F4B94"/>
    <w:rsid w:val="009002A9"/>
    <w:rsid w:val="00900B9D"/>
    <w:rsid w:val="009014F2"/>
    <w:rsid w:val="00902DFA"/>
    <w:rsid w:val="00903700"/>
    <w:rsid w:val="00903A25"/>
    <w:rsid w:val="009043D3"/>
    <w:rsid w:val="00904542"/>
    <w:rsid w:val="00904725"/>
    <w:rsid w:val="009048DC"/>
    <w:rsid w:val="009052BC"/>
    <w:rsid w:val="009058B0"/>
    <w:rsid w:val="00905E76"/>
    <w:rsid w:val="0090711C"/>
    <w:rsid w:val="009078E5"/>
    <w:rsid w:val="00907DC3"/>
    <w:rsid w:val="00907F39"/>
    <w:rsid w:val="009121A8"/>
    <w:rsid w:val="009125C1"/>
    <w:rsid w:val="00912D45"/>
    <w:rsid w:val="0091340F"/>
    <w:rsid w:val="00913887"/>
    <w:rsid w:val="0091492A"/>
    <w:rsid w:val="009149F0"/>
    <w:rsid w:val="009151AC"/>
    <w:rsid w:val="00915699"/>
    <w:rsid w:val="00916010"/>
    <w:rsid w:val="00916766"/>
    <w:rsid w:val="00916D83"/>
    <w:rsid w:val="00917E0C"/>
    <w:rsid w:val="00920E5E"/>
    <w:rsid w:val="009226B6"/>
    <w:rsid w:val="009232A8"/>
    <w:rsid w:val="0092357D"/>
    <w:rsid w:val="00923B9E"/>
    <w:rsid w:val="00923FF3"/>
    <w:rsid w:val="009256C8"/>
    <w:rsid w:val="009258AE"/>
    <w:rsid w:val="00925E5E"/>
    <w:rsid w:val="0092601E"/>
    <w:rsid w:val="00926E75"/>
    <w:rsid w:val="009271B8"/>
    <w:rsid w:val="00930C49"/>
    <w:rsid w:val="00931D15"/>
    <w:rsid w:val="00932383"/>
    <w:rsid w:val="009330A8"/>
    <w:rsid w:val="0093311C"/>
    <w:rsid w:val="0093376F"/>
    <w:rsid w:val="00933D89"/>
    <w:rsid w:val="0093427B"/>
    <w:rsid w:val="00934606"/>
    <w:rsid w:val="00935325"/>
    <w:rsid w:val="0093569A"/>
    <w:rsid w:val="009357F9"/>
    <w:rsid w:val="00935B8A"/>
    <w:rsid w:val="00936498"/>
    <w:rsid w:val="009364A6"/>
    <w:rsid w:val="0093697E"/>
    <w:rsid w:val="009370C1"/>
    <w:rsid w:val="00937B0B"/>
    <w:rsid w:val="009407C1"/>
    <w:rsid w:val="009408C7"/>
    <w:rsid w:val="00940A7D"/>
    <w:rsid w:val="00940B92"/>
    <w:rsid w:val="00942168"/>
    <w:rsid w:val="00943B5F"/>
    <w:rsid w:val="0094548C"/>
    <w:rsid w:val="009454E5"/>
    <w:rsid w:val="00946E2F"/>
    <w:rsid w:val="00947B66"/>
    <w:rsid w:val="00950300"/>
    <w:rsid w:val="00951643"/>
    <w:rsid w:val="0095300D"/>
    <w:rsid w:val="00953123"/>
    <w:rsid w:val="0095367F"/>
    <w:rsid w:val="00953711"/>
    <w:rsid w:val="00953C8F"/>
    <w:rsid w:val="00954335"/>
    <w:rsid w:val="0095445D"/>
    <w:rsid w:val="0095573C"/>
    <w:rsid w:val="00956437"/>
    <w:rsid w:val="00957E10"/>
    <w:rsid w:val="0096010B"/>
    <w:rsid w:val="0096016C"/>
    <w:rsid w:val="00961756"/>
    <w:rsid w:val="00961CD4"/>
    <w:rsid w:val="00962903"/>
    <w:rsid w:val="00963929"/>
    <w:rsid w:val="0096464D"/>
    <w:rsid w:val="00965109"/>
    <w:rsid w:val="00965359"/>
    <w:rsid w:val="00966DB5"/>
    <w:rsid w:val="009670B7"/>
    <w:rsid w:val="00967628"/>
    <w:rsid w:val="00967D9D"/>
    <w:rsid w:val="00970B4E"/>
    <w:rsid w:val="00971430"/>
    <w:rsid w:val="00971501"/>
    <w:rsid w:val="00971CC1"/>
    <w:rsid w:val="009728C3"/>
    <w:rsid w:val="0097309D"/>
    <w:rsid w:val="00974BD8"/>
    <w:rsid w:val="009772AD"/>
    <w:rsid w:val="0097731E"/>
    <w:rsid w:val="00977AA6"/>
    <w:rsid w:val="00980176"/>
    <w:rsid w:val="00980647"/>
    <w:rsid w:val="00980C85"/>
    <w:rsid w:val="00981276"/>
    <w:rsid w:val="00982852"/>
    <w:rsid w:val="00984674"/>
    <w:rsid w:val="00984C6B"/>
    <w:rsid w:val="0098656E"/>
    <w:rsid w:val="00986A68"/>
    <w:rsid w:val="0098733B"/>
    <w:rsid w:val="009879FE"/>
    <w:rsid w:val="00987EF2"/>
    <w:rsid w:val="00990C60"/>
    <w:rsid w:val="00991359"/>
    <w:rsid w:val="00991704"/>
    <w:rsid w:val="0099482B"/>
    <w:rsid w:val="00994C1E"/>
    <w:rsid w:val="00995F0D"/>
    <w:rsid w:val="00996080"/>
    <w:rsid w:val="00996A77"/>
    <w:rsid w:val="00996BF3"/>
    <w:rsid w:val="009A0141"/>
    <w:rsid w:val="009A090A"/>
    <w:rsid w:val="009A261B"/>
    <w:rsid w:val="009A2C33"/>
    <w:rsid w:val="009A3269"/>
    <w:rsid w:val="009A3308"/>
    <w:rsid w:val="009A43F3"/>
    <w:rsid w:val="009A551C"/>
    <w:rsid w:val="009A5C9A"/>
    <w:rsid w:val="009A6B21"/>
    <w:rsid w:val="009A7471"/>
    <w:rsid w:val="009A76D2"/>
    <w:rsid w:val="009A7881"/>
    <w:rsid w:val="009B1BC0"/>
    <w:rsid w:val="009B2226"/>
    <w:rsid w:val="009B280F"/>
    <w:rsid w:val="009B2E4B"/>
    <w:rsid w:val="009B43C5"/>
    <w:rsid w:val="009B4EBC"/>
    <w:rsid w:val="009B5907"/>
    <w:rsid w:val="009B5AFB"/>
    <w:rsid w:val="009B6069"/>
    <w:rsid w:val="009B6999"/>
    <w:rsid w:val="009B6ED2"/>
    <w:rsid w:val="009B7050"/>
    <w:rsid w:val="009B7150"/>
    <w:rsid w:val="009B7932"/>
    <w:rsid w:val="009B7997"/>
    <w:rsid w:val="009B7A0D"/>
    <w:rsid w:val="009C0D84"/>
    <w:rsid w:val="009C0FCF"/>
    <w:rsid w:val="009C1179"/>
    <w:rsid w:val="009C1773"/>
    <w:rsid w:val="009C1E50"/>
    <w:rsid w:val="009C33A3"/>
    <w:rsid w:val="009C3AD8"/>
    <w:rsid w:val="009C51E3"/>
    <w:rsid w:val="009C69C2"/>
    <w:rsid w:val="009C73C0"/>
    <w:rsid w:val="009C76F7"/>
    <w:rsid w:val="009C7AB3"/>
    <w:rsid w:val="009D169C"/>
    <w:rsid w:val="009D19A8"/>
    <w:rsid w:val="009D280E"/>
    <w:rsid w:val="009D2D98"/>
    <w:rsid w:val="009D3C5D"/>
    <w:rsid w:val="009D3F34"/>
    <w:rsid w:val="009D4D9F"/>
    <w:rsid w:val="009D5F07"/>
    <w:rsid w:val="009D6E0D"/>
    <w:rsid w:val="009D72FE"/>
    <w:rsid w:val="009D7B55"/>
    <w:rsid w:val="009E009D"/>
    <w:rsid w:val="009E082E"/>
    <w:rsid w:val="009E1F6A"/>
    <w:rsid w:val="009E2B97"/>
    <w:rsid w:val="009E3480"/>
    <w:rsid w:val="009E3D74"/>
    <w:rsid w:val="009E3E67"/>
    <w:rsid w:val="009E4AA6"/>
    <w:rsid w:val="009E4D9E"/>
    <w:rsid w:val="009E52B8"/>
    <w:rsid w:val="009E7074"/>
    <w:rsid w:val="009F063C"/>
    <w:rsid w:val="009F2362"/>
    <w:rsid w:val="009F2819"/>
    <w:rsid w:val="009F3A5F"/>
    <w:rsid w:val="009F43A0"/>
    <w:rsid w:val="009F4BD5"/>
    <w:rsid w:val="009F54A9"/>
    <w:rsid w:val="009F551B"/>
    <w:rsid w:val="009F57C3"/>
    <w:rsid w:val="009F594E"/>
    <w:rsid w:val="009F5AF1"/>
    <w:rsid w:val="009F6593"/>
    <w:rsid w:val="009F6DAF"/>
    <w:rsid w:val="009F7C6A"/>
    <w:rsid w:val="00A01771"/>
    <w:rsid w:val="00A01D33"/>
    <w:rsid w:val="00A0271E"/>
    <w:rsid w:val="00A032C5"/>
    <w:rsid w:val="00A0360C"/>
    <w:rsid w:val="00A036C7"/>
    <w:rsid w:val="00A03F7F"/>
    <w:rsid w:val="00A0506A"/>
    <w:rsid w:val="00A06057"/>
    <w:rsid w:val="00A06A04"/>
    <w:rsid w:val="00A07FEE"/>
    <w:rsid w:val="00A10253"/>
    <w:rsid w:val="00A1073C"/>
    <w:rsid w:val="00A10EF1"/>
    <w:rsid w:val="00A1176D"/>
    <w:rsid w:val="00A118AA"/>
    <w:rsid w:val="00A119B2"/>
    <w:rsid w:val="00A1339A"/>
    <w:rsid w:val="00A1593B"/>
    <w:rsid w:val="00A168BD"/>
    <w:rsid w:val="00A17E2B"/>
    <w:rsid w:val="00A20597"/>
    <w:rsid w:val="00A20F53"/>
    <w:rsid w:val="00A2121F"/>
    <w:rsid w:val="00A219EC"/>
    <w:rsid w:val="00A23035"/>
    <w:rsid w:val="00A230BD"/>
    <w:rsid w:val="00A23C9E"/>
    <w:rsid w:val="00A2554A"/>
    <w:rsid w:val="00A2576D"/>
    <w:rsid w:val="00A25C73"/>
    <w:rsid w:val="00A26CAD"/>
    <w:rsid w:val="00A26EA3"/>
    <w:rsid w:val="00A2700D"/>
    <w:rsid w:val="00A27207"/>
    <w:rsid w:val="00A27378"/>
    <w:rsid w:val="00A2742C"/>
    <w:rsid w:val="00A27B5B"/>
    <w:rsid w:val="00A30036"/>
    <w:rsid w:val="00A30669"/>
    <w:rsid w:val="00A30ADE"/>
    <w:rsid w:val="00A314EC"/>
    <w:rsid w:val="00A3181F"/>
    <w:rsid w:val="00A31F54"/>
    <w:rsid w:val="00A31F80"/>
    <w:rsid w:val="00A35C4B"/>
    <w:rsid w:val="00A41C88"/>
    <w:rsid w:val="00A428EE"/>
    <w:rsid w:val="00A446C1"/>
    <w:rsid w:val="00A44823"/>
    <w:rsid w:val="00A44FE9"/>
    <w:rsid w:val="00A51072"/>
    <w:rsid w:val="00A516CE"/>
    <w:rsid w:val="00A51BB4"/>
    <w:rsid w:val="00A51F29"/>
    <w:rsid w:val="00A524C9"/>
    <w:rsid w:val="00A525DE"/>
    <w:rsid w:val="00A53FB1"/>
    <w:rsid w:val="00A54595"/>
    <w:rsid w:val="00A54C11"/>
    <w:rsid w:val="00A54E51"/>
    <w:rsid w:val="00A555A8"/>
    <w:rsid w:val="00A55A66"/>
    <w:rsid w:val="00A57434"/>
    <w:rsid w:val="00A574EC"/>
    <w:rsid w:val="00A577FE"/>
    <w:rsid w:val="00A57985"/>
    <w:rsid w:val="00A6036D"/>
    <w:rsid w:val="00A6073F"/>
    <w:rsid w:val="00A60E80"/>
    <w:rsid w:val="00A61E85"/>
    <w:rsid w:val="00A62FA4"/>
    <w:rsid w:val="00A6353A"/>
    <w:rsid w:val="00A63601"/>
    <w:rsid w:val="00A656D4"/>
    <w:rsid w:val="00A65E16"/>
    <w:rsid w:val="00A664A7"/>
    <w:rsid w:val="00A673F2"/>
    <w:rsid w:val="00A71B6A"/>
    <w:rsid w:val="00A72DE4"/>
    <w:rsid w:val="00A73329"/>
    <w:rsid w:val="00A736E4"/>
    <w:rsid w:val="00A744B1"/>
    <w:rsid w:val="00A74D9E"/>
    <w:rsid w:val="00A752AF"/>
    <w:rsid w:val="00A76865"/>
    <w:rsid w:val="00A770EF"/>
    <w:rsid w:val="00A80F24"/>
    <w:rsid w:val="00A81977"/>
    <w:rsid w:val="00A82314"/>
    <w:rsid w:val="00A8313F"/>
    <w:rsid w:val="00A8323A"/>
    <w:rsid w:val="00A83D62"/>
    <w:rsid w:val="00A847A5"/>
    <w:rsid w:val="00A84CAF"/>
    <w:rsid w:val="00A852D1"/>
    <w:rsid w:val="00A86BDA"/>
    <w:rsid w:val="00A87459"/>
    <w:rsid w:val="00A87D8B"/>
    <w:rsid w:val="00A87E5F"/>
    <w:rsid w:val="00A91F97"/>
    <w:rsid w:val="00A9292A"/>
    <w:rsid w:val="00A930F3"/>
    <w:rsid w:val="00A93E25"/>
    <w:rsid w:val="00A94C58"/>
    <w:rsid w:val="00A94DBE"/>
    <w:rsid w:val="00A96366"/>
    <w:rsid w:val="00A96E04"/>
    <w:rsid w:val="00A96E99"/>
    <w:rsid w:val="00A9789E"/>
    <w:rsid w:val="00AA13CF"/>
    <w:rsid w:val="00AA2C94"/>
    <w:rsid w:val="00AA332F"/>
    <w:rsid w:val="00AA48EE"/>
    <w:rsid w:val="00AA5F9D"/>
    <w:rsid w:val="00AA6597"/>
    <w:rsid w:val="00AA6CCA"/>
    <w:rsid w:val="00AB14A3"/>
    <w:rsid w:val="00AB1756"/>
    <w:rsid w:val="00AB2118"/>
    <w:rsid w:val="00AB2391"/>
    <w:rsid w:val="00AB2B95"/>
    <w:rsid w:val="00AB361A"/>
    <w:rsid w:val="00AB42A8"/>
    <w:rsid w:val="00AB4E9A"/>
    <w:rsid w:val="00AB5F97"/>
    <w:rsid w:val="00AC11DD"/>
    <w:rsid w:val="00AC1912"/>
    <w:rsid w:val="00AC29E2"/>
    <w:rsid w:val="00AC393B"/>
    <w:rsid w:val="00AC3B6E"/>
    <w:rsid w:val="00AC40F5"/>
    <w:rsid w:val="00AC49FB"/>
    <w:rsid w:val="00AC4D5B"/>
    <w:rsid w:val="00AC6773"/>
    <w:rsid w:val="00AC6C7D"/>
    <w:rsid w:val="00AC7479"/>
    <w:rsid w:val="00AC7CAE"/>
    <w:rsid w:val="00AC7DC3"/>
    <w:rsid w:val="00AC7E09"/>
    <w:rsid w:val="00AD126E"/>
    <w:rsid w:val="00AD1B5F"/>
    <w:rsid w:val="00AD2576"/>
    <w:rsid w:val="00AD3580"/>
    <w:rsid w:val="00AD388A"/>
    <w:rsid w:val="00AD3E23"/>
    <w:rsid w:val="00AD4E15"/>
    <w:rsid w:val="00AD5361"/>
    <w:rsid w:val="00AD5E6E"/>
    <w:rsid w:val="00AD6D29"/>
    <w:rsid w:val="00AD768D"/>
    <w:rsid w:val="00AE00F7"/>
    <w:rsid w:val="00AE0440"/>
    <w:rsid w:val="00AE057E"/>
    <w:rsid w:val="00AE1520"/>
    <w:rsid w:val="00AE1888"/>
    <w:rsid w:val="00AE225A"/>
    <w:rsid w:val="00AE2A5D"/>
    <w:rsid w:val="00AE2DFE"/>
    <w:rsid w:val="00AE3749"/>
    <w:rsid w:val="00AE3AE4"/>
    <w:rsid w:val="00AE3EC0"/>
    <w:rsid w:val="00AE4356"/>
    <w:rsid w:val="00AE4694"/>
    <w:rsid w:val="00AE4AAB"/>
    <w:rsid w:val="00AE51C3"/>
    <w:rsid w:val="00AE69C9"/>
    <w:rsid w:val="00AE7158"/>
    <w:rsid w:val="00AE7A4F"/>
    <w:rsid w:val="00AE7F88"/>
    <w:rsid w:val="00AF15C6"/>
    <w:rsid w:val="00AF2BD5"/>
    <w:rsid w:val="00AF2E57"/>
    <w:rsid w:val="00AF3E93"/>
    <w:rsid w:val="00AF3FCF"/>
    <w:rsid w:val="00AF4138"/>
    <w:rsid w:val="00AF4294"/>
    <w:rsid w:val="00AF468C"/>
    <w:rsid w:val="00AF514A"/>
    <w:rsid w:val="00AF51BB"/>
    <w:rsid w:val="00B006FC"/>
    <w:rsid w:val="00B00DAB"/>
    <w:rsid w:val="00B00DAD"/>
    <w:rsid w:val="00B013A9"/>
    <w:rsid w:val="00B01423"/>
    <w:rsid w:val="00B01513"/>
    <w:rsid w:val="00B01604"/>
    <w:rsid w:val="00B027FC"/>
    <w:rsid w:val="00B03055"/>
    <w:rsid w:val="00B030F9"/>
    <w:rsid w:val="00B035A3"/>
    <w:rsid w:val="00B03846"/>
    <w:rsid w:val="00B03858"/>
    <w:rsid w:val="00B0467D"/>
    <w:rsid w:val="00B062C8"/>
    <w:rsid w:val="00B06695"/>
    <w:rsid w:val="00B066CD"/>
    <w:rsid w:val="00B0734D"/>
    <w:rsid w:val="00B11339"/>
    <w:rsid w:val="00B115C7"/>
    <w:rsid w:val="00B1191B"/>
    <w:rsid w:val="00B12144"/>
    <w:rsid w:val="00B1343B"/>
    <w:rsid w:val="00B14D37"/>
    <w:rsid w:val="00B15363"/>
    <w:rsid w:val="00B16406"/>
    <w:rsid w:val="00B177AB"/>
    <w:rsid w:val="00B17FDC"/>
    <w:rsid w:val="00B20460"/>
    <w:rsid w:val="00B22223"/>
    <w:rsid w:val="00B2247F"/>
    <w:rsid w:val="00B23818"/>
    <w:rsid w:val="00B23BA1"/>
    <w:rsid w:val="00B24521"/>
    <w:rsid w:val="00B24946"/>
    <w:rsid w:val="00B25F6D"/>
    <w:rsid w:val="00B26A3F"/>
    <w:rsid w:val="00B308A2"/>
    <w:rsid w:val="00B30DCB"/>
    <w:rsid w:val="00B30FA3"/>
    <w:rsid w:val="00B3111B"/>
    <w:rsid w:val="00B31A10"/>
    <w:rsid w:val="00B31E62"/>
    <w:rsid w:val="00B33CD1"/>
    <w:rsid w:val="00B33F1D"/>
    <w:rsid w:val="00B34725"/>
    <w:rsid w:val="00B349A2"/>
    <w:rsid w:val="00B3681A"/>
    <w:rsid w:val="00B36D55"/>
    <w:rsid w:val="00B370F8"/>
    <w:rsid w:val="00B40847"/>
    <w:rsid w:val="00B416C8"/>
    <w:rsid w:val="00B4429D"/>
    <w:rsid w:val="00B45512"/>
    <w:rsid w:val="00B46756"/>
    <w:rsid w:val="00B46887"/>
    <w:rsid w:val="00B472BF"/>
    <w:rsid w:val="00B47726"/>
    <w:rsid w:val="00B47923"/>
    <w:rsid w:val="00B47C58"/>
    <w:rsid w:val="00B51DF8"/>
    <w:rsid w:val="00B520DB"/>
    <w:rsid w:val="00B52B15"/>
    <w:rsid w:val="00B536E0"/>
    <w:rsid w:val="00B53D01"/>
    <w:rsid w:val="00B5514D"/>
    <w:rsid w:val="00B55431"/>
    <w:rsid w:val="00B60351"/>
    <w:rsid w:val="00B60731"/>
    <w:rsid w:val="00B60E12"/>
    <w:rsid w:val="00B61C67"/>
    <w:rsid w:val="00B62A43"/>
    <w:rsid w:val="00B63382"/>
    <w:rsid w:val="00B6390A"/>
    <w:rsid w:val="00B6431F"/>
    <w:rsid w:val="00B64EAE"/>
    <w:rsid w:val="00B65E9E"/>
    <w:rsid w:val="00B65FF5"/>
    <w:rsid w:val="00B66693"/>
    <w:rsid w:val="00B70AB5"/>
    <w:rsid w:val="00B71749"/>
    <w:rsid w:val="00B72628"/>
    <w:rsid w:val="00B72BFC"/>
    <w:rsid w:val="00B73A4F"/>
    <w:rsid w:val="00B74CFE"/>
    <w:rsid w:val="00B7531F"/>
    <w:rsid w:val="00B75981"/>
    <w:rsid w:val="00B76108"/>
    <w:rsid w:val="00B77EF4"/>
    <w:rsid w:val="00B806F5"/>
    <w:rsid w:val="00B81A8B"/>
    <w:rsid w:val="00B81B14"/>
    <w:rsid w:val="00B81E71"/>
    <w:rsid w:val="00B8294C"/>
    <w:rsid w:val="00B83FEB"/>
    <w:rsid w:val="00B841AD"/>
    <w:rsid w:val="00B85FE6"/>
    <w:rsid w:val="00B86105"/>
    <w:rsid w:val="00B8657A"/>
    <w:rsid w:val="00B86F84"/>
    <w:rsid w:val="00B87C95"/>
    <w:rsid w:val="00B908C1"/>
    <w:rsid w:val="00B91A1E"/>
    <w:rsid w:val="00B91A58"/>
    <w:rsid w:val="00B91C13"/>
    <w:rsid w:val="00B9226B"/>
    <w:rsid w:val="00B926F1"/>
    <w:rsid w:val="00B93248"/>
    <w:rsid w:val="00B96366"/>
    <w:rsid w:val="00B96848"/>
    <w:rsid w:val="00BA0F4F"/>
    <w:rsid w:val="00BA1743"/>
    <w:rsid w:val="00BA2409"/>
    <w:rsid w:val="00BA253D"/>
    <w:rsid w:val="00BA2610"/>
    <w:rsid w:val="00BA2A00"/>
    <w:rsid w:val="00BA2F76"/>
    <w:rsid w:val="00BA4B7D"/>
    <w:rsid w:val="00BA4F54"/>
    <w:rsid w:val="00BA62FB"/>
    <w:rsid w:val="00BA66B2"/>
    <w:rsid w:val="00BB0923"/>
    <w:rsid w:val="00BB0D23"/>
    <w:rsid w:val="00BB1886"/>
    <w:rsid w:val="00BB2879"/>
    <w:rsid w:val="00BB2DE0"/>
    <w:rsid w:val="00BB3E75"/>
    <w:rsid w:val="00BB410F"/>
    <w:rsid w:val="00BB488B"/>
    <w:rsid w:val="00BB50B6"/>
    <w:rsid w:val="00BB5592"/>
    <w:rsid w:val="00BB7A68"/>
    <w:rsid w:val="00BC048C"/>
    <w:rsid w:val="00BC09C6"/>
    <w:rsid w:val="00BC0EDB"/>
    <w:rsid w:val="00BC2226"/>
    <w:rsid w:val="00BC3316"/>
    <w:rsid w:val="00BC3562"/>
    <w:rsid w:val="00BC3C38"/>
    <w:rsid w:val="00BC3C79"/>
    <w:rsid w:val="00BC4F23"/>
    <w:rsid w:val="00BC5D19"/>
    <w:rsid w:val="00BC7F24"/>
    <w:rsid w:val="00BD024C"/>
    <w:rsid w:val="00BD07BC"/>
    <w:rsid w:val="00BD0AEA"/>
    <w:rsid w:val="00BD269F"/>
    <w:rsid w:val="00BD2CFD"/>
    <w:rsid w:val="00BD322F"/>
    <w:rsid w:val="00BD488C"/>
    <w:rsid w:val="00BD54AE"/>
    <w:rsid w:val="00BD5566"/>
    <w:rsid w:val="00BD5C22"/>
    <w:rsid w:val="00BD6057"/>
    <w:rsid w:val="00BD721F"/>
    <w:rsid w:val="00BD78CA"/>
    <w:rsid w:val="00BD796D"/>
    <w:rsid w:val="00BE01B0"/>
    <w:rsid w:val="00BE0374"/>
    <w:rsid w:val="00BE2392"/>
    <w:rsid w:val="00BE27A1"/>
    <w:rsid w:val="00BE291A"/>
    <w:rsid w:val="00BE386F"/>
    <w:rsid w:val="00BE410F"/>
    <w:rsid w:val="00BE46B2"/>
    <w:rsid w:val="00BE4725"/>
    <w:rsid w:val="00BE4DA9"/>
    <w:rsid w:val="00BE56EE"/>
    <w:rsid w:val="00BE611B"/>
    <w:rsid w:val="00BE63CA"/>
    <w:rsid w:val="00BE6F09"/>
    <w:rsid w:val="00BE747D"/>
    <w:rsid w:val="00BE74E1"/>
    <w:rsid w:val="00BE7AB3"/>
    <w:rsid w:val="00BF0260"/>
    <w:rsid w:val="00BF1042"/>
    <w:rsid w:val="00BF3C7E"/>
    <w:rsid w:val="00BF3F8C"/>
    <w:rsid w:val="00BF5092"/>
    <w:rsid w:val="00BF511A"/>
    <w:rsid w:val="00BF545C"/>
    <w:rsid w:val="00BF59C8"/>
    <w:rsid w:val="00BF625C"/>
    <w:rsid w:val="00BF64A6"/>
    <w:rsid w:val="00BF722E"/>
    <w:rsid w:val="00BF786D"/>
    <w:rsid w:val="00C000DE"/>
    <w:rsid w:val="00C01159"/>
    <w:rsid w:val="00C01669"/>
    <w:rsid w:val="00C018A5"/>
    <w:rsid w:val="00C0231D"/>
    <w:rsid w:val="00C03297"/>
    <w:rsid w:val="00C04793"/>
    <w:rsid w:val="00C047C9"/>
    <w:rsid w:val="00C04DBE"/>
    <w:rsid w:val="00C04EFA"/>
    <w:rsid w:val="00C0571F"/>
    <w:rsid w:val="00C05ED5"/>
    <w:rsid w:val="00C06FBF"/>
    <w:rsid w:val="00C07232"/>
    <w:rsid w:val="00C07456"/>
    <w:rsid w:val="00C10976"/>
    <w:rsid w:val="00C1124E"/>
    <w:rsid w:val="00C11357"/>
    <w:rsid w:val="00C11C8B"/>
    <w:rsid w:val="00C122C2"/>
    <w:rsid w:val="00C1280A"/>
    <w:rsid w:val="00C128CE"/>
    <w:rsid w:val="00C142E2"/>
    <w:rsid w:val="00C1481F"/>
    <w:rsid w:val="00C15802"/>
    <w:rsid w:val="00C161CA"/>
    <w:rsid w:val="00C16B8B"/>
    <w:rsid w:val="00C16F91"/>
    <w:rsid w:val="00C174BC"/>
    <w:rsid w:val="00C17827"/>
    <w:rsid w:val="00C217AC"/>
    <w:rsid w:val="00C24798"/>
    <w:rsid w:val="00C247BE"/>
    <w:rsid w:val="00C247EA"/>
    <w:rsid w:val="00C24D12"/>
    <w:rsid w:val="00C25CD8"/>
    <w:rsid w:val="00C25FC1"/>
    <w:rsid w:val="00C27139"/>
    <w:rsid w:val="00C27492"/>
    <w:rsid w:val="00C2756D"/>
    <w:rsid w:val="00C3087B"/>
    <w:rsid w:val="00C30DAC"/>
    <w:rsid w:val="00C31DA9"/>
    <w:rsid w:val="00C32723"/>
    <w:rsid w:val="00C33E38"/>
    <w:rsid w:val="00C34175"/>
    <w:rsid w:val="00C36F33"/>
    <w:rsid w:val="00C375E2"/>
    <w:rsid w:val="00C37A3C"/>
    <w:rsid w:val="00C37C22"/>
    <w:rsid w:val="00C37E55"/>
    <w:rsid w:val="00C401A2"/>
    <w:rsid w:val="00C4067C"/>
    <w:rsid w:val="00C43057"/>
    <w:rsid w:val="00C44458"/>
    <w:rsid w:val="00C4450E"/>
    <w:rsid w:val="00C44AFB"/>
    <w:rsid w:val="00C44BEB"/>
    <w:rsid w:val="00C46A2F"/>
    <w:rsid w:val="00C47477"/>
    <w:rsid w:val="00C504DC"/>
    <w:rsid w:val="00C50711"/>
    <w:rsid w:val="00C50B45"/>
    <w:rsid w:val="00C5146C"/>
    <w:rsid w:val="00C514D2"/>
    <w:rsid w:val="00C517D7"/>
    <w:rsid w:val="00C51B92"/>
    <w:rsid w:val="00C549EF"/>
    <w:rsid w:val="00C551FC"/>
    <w:rsid w:val="00C56841"/>
    <w:rsid w:val="00C57034"/>
    <w:rsid w:val="00C602EC"/>
    <w:rsid w:val="00C6073A"/>
    <w:rsid w:val="00C609AF"/>
    <w:rsid w:val="00C61B64"/>
    <w:rsid w:val="00C61CAE"/>
    <w:rsid w:val="00C626BF"/>
    <w:rsid w:val="00C63550"/>
    <w:rsid w:val="00C636F2"/>
    <w:rsid w:val="00C6463A"/>
    <w:rsid w:val="00C64B06"/>
    <w:rsid w:val="00C6524B"/>
    <w:rsid w:val="00C65A73"/>
    <w:rsid w:val="00C66640"/>
    <w:rsid w:val="00C6746D"/>
    <w:rsid w:val="00C67BEB"/>
    <w:rsid w:val="00C70556"/>
    <w:rsid w:val="00C707F5"/>
    <w:rsid w:val="00C70B1D"/>
    <w:rsid w:val="00C71301"/>
    <w:rsid w:val="00C71D59"/>
    <w:rsid w:val="00C73A01"/>
    <w:rsid w:val="00C73B82"/>
    <w:rsid w:val="00C74252"/>
    <w:rsid w:val="00C74760"/>
    <w:rsid w:val="00C7523A"/>
    <w:rsid w:val="00C75BB3"/>
    <w:rsid w:val="00C762AC"/>
    <w:rsid w:val="00C773C4"/>
    <w:rsid w:val="00C80AF5"/>
    <w:rsid w:val="00C821F9"/>
    <w:rsid w:val="00C82726"/>
    <w:rsid w:val="00C82996"/>
    <w:rsid w:val="00C833B8"/>
    <w:rsid w:val="00C83453"/>
    <w:rsid w:val="00C83533"/>
    <w:rsid w:val="00C836A6"/>
    <w:rsid w:val="00C83A53"/>
    <w:rsid w:val="00C84234"/>
    <w:rsid w:val="00C85DC7"/>
    <w:rsid w:val="00C87F6A"/>
    <w:rsid w:val="00C9034E"/>
    <w:rsid w:val="00C907CC"/>
    <w:rsid w:val="00C90BE6"/>
    <w:rsid w:val="00C91E44"/>
    <w:rsid w:val="00C925CD"/>
    <w:rsid w:val="00C93E49"/>
    <w:rsid w:val="00C9459A"/>
    <w:rsid w:val="00C945DD"/>
    <w:rsid w:val="00C945E6"/>
    <w:rsid w:val="00C94B7D"/>
    <w:rsid w:val="00C94F4A"/>
    <w:rsid w:val="00C94FBF"/>
    <w:rsid w:val="00C950F8"/>
    <w:rsid w:val="00C952AC"/>
    <w:rsid w:val="00C9556D"/>
    <w:rsid w:val="00C95D0F"/>
    <w:rsid w:val="00C96028"/>
    <w:rsid w:val="00C9629E"/>
    <w:rsid w:val="00C96648"/>
    <w:rsid w:val="00CA0EFF"/>
    <w:rsid w:val="00CA1A08"/>
    <w:rsid w:val="00CA20EE"/>
    <w:rsid w:val="00CA2E8B"/>
    <w:rsid w:val="00CA3CFB"/>
    <w:rsid w:val="00CA45B7"/>
    <w:rsid w:val="00CA550B"/>
    <w:rsid w:val="00CA5511"/>
    <w:rsid w:val="00CA59D3"/>
    <w:rsid w:val="00CA5DB3"/>
    <w:rsid w:val="00CA6BF4"/>
    <w:rsid w:val="00CA7756"/>
    <w:rsid w:val="00CB01F1"/>
    <w:rsid w:val="00CB02EF"/>
    <w:rsid w:val="00CB0D23"/>
    <w:rsid w:val="00CB1760"/>
    <w:rsid w:val="00CB1DAE"/>
    <w:rsid w:val="00CB21D7"/>
    <w:rsid w:val="00CB2680"/>
    <w:rsid w:val="00CB2BFE"/>
    <w:rsid w:val="00CB2C23"/>
    <w:rsid w:val="00CB3630"/>
    <w:rsid w:val="00CB3A8A"/>
    <w:rsid w:val="00CB452F"/>
    <w:rsid w:val="00CB5479"/>
    <w:rsid w:val="00CB62CA"/>
    <w:rsid w:val="00CB6488"/>
    <w:rsid w:val="00CB66D0"/>
    <w:rsid w:val="00CB69B6"/>
    <w:rsid w:val="00CB6E99"/>
    <w:rsid w:val="00CB7D9D"/>
    <w:rsid w:val="00CC1700"/>
    <w:rsid w:val="00CC1CFF"/>
    <w:rsid w:val="00CC28D1"/>
    <w:rsid w:val="00CC2C32"/>
    <w:rsid w:val="00CC365F"/>
    <w:rsid w:val="00CC4405"/>
    <w:rsid w:val="00CC60FC"/>
    <w:rsid w:val="00CC692F"/>
    <w:rsid w:val="00CC7AB1"/>
    <w:rsid w:val="00CC7F5E"/>
    <w:rsid w:val="00CD04AD"/>
    <w:rsid w:val="00CD0647"/>
    <w:rsid w:val="00CD1BDA"/>
    <w:rsid w:val="00CD217E"/>
    <w:rsid w:val="00CD24AE"/>
    <w:rsid w:val="00CD2B3B"/>
    <w:rsid w:val="00CD348A"/>
    <w:rsid w:val="00CD5110"/>
    <w:rsid w:val="00CD5649"/>
    <w:rsid w:val="00CD5CA2"/>
    <w:rsid w:val="00CE1300"/>
    <w:rsid w:val="00CE239E"/>
    <w:rsid w:val="00CE3194"/>
    <w:rsid w:val="00CE3951"/>
    <w:rsid w:val="00CE4F15"/>
    <w:rsid w:val="00CE52F4"/>
    <w:rsid w:val="00CE5462"/>
    <w:rsid w:val="00CE5AAA"/>
    <w:rsid w:val="00CE60E1"/>
    <w:rsid w:val="00CE70FF"/>
    <w:rsid w:val="00CE7238"/>
    <w:rsid w:val="00CE7344"/>
    <w:rsid w:val="00CF02F2"/>
    <w:rsid w:val="00CF06F2"/>
    <w:rsid w:val="00CF0DD4"/>
    <w:rsid w:val="00CF2BCA"/>
    <w:rsid w:val="00CF43FB"/>
    <w:rsid w:val="00CF4B79"/>
    <w:rsid w:val="00CF5126"/>
    <w:rsid w:val="00CF54BB"/>
    <w:rsid w:val="00CF56A8"/>
    <w:rsid w:val="00CF6C66"/>
    <w:rsid w:val="00CF7634"/>
    <w:rsid w:val="00D0057E"/>
    <w:rsid w:val="00D00F17"/>
    <w:rsid w:val="00D010F3"/>
    <w:rsid w:val="00D02872"/>
    <w:rsid w:val="00D028A7"/>
    <w:rsid w:val="00D02AE6"/>
    <w:rsid w:val="00D04C5B"/>
    <w:rsid w:val="00D04EE9"/>
    <w:rsid w:val="00D0574F"/>
    <w:rsid w:val="00D05A86"/>
    <w:rsid w:val="00D0715C"/>
    <w:rsid w:val="00D07338"/>
    <w:rsid w:val="00D07365"/>
    <w:rsid w:val="00D100C4"/>
    <w:rsid w:val="00D10457"/>
    <w:rsid w:val="00D11DD8"/>
    <w:rsid w:val="00D12EEC"/>
    <w:rsid w:val="00D130B0"/>
    <w:rsid w:val="00D148B3"/>
    <w:rsid w:val="00D14D50"/>
    <w:rsid w:val="00D14DAF"/>
    <w:rsid w:val="00D14DF6"/>
    <w:rsid w:val="00D1574F"/>
    <w:rsid w:val="00D15AB7"/>
    <w:rsid w:val="00D15F3B"/>
    <w:rsid w:val="00D16FC7"/>
    <w:rsid w:val="00D178F8"/>
    <w:rsid w:val="00D17C6E"/>
    <w:rsid w:val="00D17F69"/>
    <w:rsid w:val="00D200F8"/>
    <w:rsid w:val="00D21CB7"/>
    <w:rsid w:val="00D2235A"/>
    <w:rsid w:val="00D226FE"/>
    <w:rsid w:val="00D22A82"/>
    <w:rsid w:val="00D23874"/>
    <w:rsid w:val="00D2476B"/>
    <w:rsid w:val="00D250AD"/>
    <w:rsid w:val="00D25FA0"/>
    <w:rsid w:val="00D2602E"/>
    <w:rsid w:val="00D266DB"/>
    <w:rsid w:val="00D27864"/>
    <w:rsid w:val="00D27B6F"/>
    <w:rsid w:val="00D3057B"/>
    <w:rsid w:val="00D3197B"/>
    <w:rsid w:val="00D32DDD"/>
    <w:rsid w:val="00D331A0"/>
    <w:rsid w:val="00D33DF1"/>
    <w:rsid w:val="00D3459C"/>
    <w:rsid w:val="00D351C3"/>
    <w:rsid w:val="00D3597A"/>
    <w:rsid w:val="00D3640A"/>
    <w:rsid w:val="00D36905"/>
    <w:rsid w:val="00D37655"/>
    <w:rsid w:val="00D4181B"/>
    <w:rsid w:val="00D41AA1"/>
    <w:rsid w:val="00D41D63"/>
    <w:rsid w:val="00D4236C"/>
    <w:rsid w:val="00D42CF1"/>
    <w:rsid w:val="00D43229"/>
    <w:rsid w:val="00D43DC9"/>
    <w:rsid w:val="00D45F2B"/>
    <w:rsid w:val="00D4622E"/>
    <w:rsid w:val="00D50122"/>
    <w:rsid w:val="00D522A5"/>
    <w:rsid w:val="00D52735"/>
    <w:rsid w:val="00D533B8"/>
    <w:rsid w:val="00D53FFB"/>
    <w:rsid w:val="00D56DC0"/>
    <w:rsid w:val="00D571BC"/>
    <w:rsid w:val="00D5778F"/>
    <w:rsid w:val="00D57E72"/>
    <w:rsid w:val="00D60CE1"/>
    <w:rsid w:val="00D62C4F"/>
    <w:rsid w:val="00D637B7"/>
    <w:rsid w:val="00D638A7"/>
    <w:rsid w:val="00D63973"/>
    <w:rsid w:val="00D64E2E"/>
    <w:rsid w:val="00D65709"/>
    <w:rsid w:val="00D67A3E"/>
    <w:rsid w:val="00D67DF7"/>
    <w:rsid w:val="00D710EB"/>
    <w:rsid w:val="00D7216A"/>
    <w:rsid w:val="00D72208"/>
    <w:rsid w:val="00D75318"/>
    <w:rsid w:val="00D75544"/>
    <w:rsid w:val="00D75645"/>
    <w:rsid w:val="00D758ED"/>
    <w:rsid w:val="00D75B39"/>
    <w:rsid w:val="00D76358"/>
    <w:rsid w:val="00D763A7"/>
    <w:rsid w:val="00D765E9"/>
    <w:rsid w:val="00D777B7"/>
    <w:rsid w:val="00D77F2A"/>
    <w:rsid w:val="00D801D3"/>
    <w:rsid w:val="00D80647"/>
    <w:rsid w:val="00D8070E"/>
    <w:rsid w:val="00D8260F"/>
    <w:rsid w:val="00D8273A"/>
    <w:rsid w:val="00D834BE"/>
    <w:rsid w:val="00D84507"/>
    <w:rsid w:val="00D848BF"/>
    <w:rsid w:val="00D8545B"/>
    <w:rsid w:val="00D85CE2"/>
    <w:rsid w:val="00D87D65"/>
    <w:rsid w:val="00D90043"/>
    <w:rsid w:val="00D90C11"/>
    <w:rsid w:val="00D9192D"/>
    <w:rsid w:val="00D91F1A"/>
    <w:rsid w:val="00D91F5D"/>
    <w:rsid w:val="00D943BB"/>
    <w:rsid w:val="00D94434"/>
    <w:rsid w:val="00D95276"/>
    <w:rsid w:val="00D952F6"/>
    <w:rsid w:val="00D95714"/>
    <w:rsid w:val="00D95BCF"/>
    <w:rsid w:val="00D95CEB"/>
    <w:rsid w:val="00D9639B"/>
    <w:rsid w:val="00D966FC"/>
    <w:rsid w:val="00D976E6"/>
    <w:rsid w:val="00DA0E10"/>
    <w:rsid w:val="00DA25B2"/>
    <w:rsid w:val="00DA2796"/>
    <w:rsid w:val="00DA299D"/>
    <w:rsid w:val="00DA3622"/>
    <w:rsid w:val="00DA380D"/>
    <w:rsid w:val="00DA3F7F"/>
    <w:rsid w:val="00DA4029"/>
    <w:rsid w:val="00DA4FF7"/>
    <w:rsid w:val="00DA5284"/>
    <w:rsid w:val="00DA56FE"/>
    <w:rsid w:val="00DA5F01"/>
    <w:rsid w:val="00DA6536"/>
    <w:rsid w:val="00DA66D2"/>
    <w:rsid w:val="00DA6ACD"/>
    <w:rsid w:val="00DA6C0F"/>
    <w:rsid w:val="00DA7738"/>
    <w:rsid w:val="00DB09DA"/>
    <w:rsid w:val="00DB0B5C"/>
    <w:rsid w:val="00DB39FA"/>
    <w:rsid w:val="00DB4385"/>
    <w:rsid w:val="00DB4EC9"/>
    <w:rsid w:val="00DB591F"/>
    <w:rsid w:val="00DB59B8"/>
    <w:rsid w:val="00DB5A7B"/>
    <w:rsid w:val="00DB6F4E"/>
    <w:rsid w:val="00DB7326"/>
    <w:rsid w:val="00DB7717"/>
    <w:rsid w:val="00DC1D0D"/>
    <w:rsid w:val="00DC1D37"/>
    <w:rsid w:val="00DC27E1"/>
    <w:rsid w:val="00DC2846"/>
    <w:rsid w:val="00DC28EB"/>
    <w:rsid w:val="00DC2BA9"/>
    <w:rsid w:val="00DC2D9A"/>
    <w:rsid w:val="00DC2DE3"/>
    <w:rsid w:val="00DC303A"/>
    <w:rsid w:val="00DC360C"/>
    <w:rsid w:val="00DC4392"/>
    <w:rsid w:val="00DC4566"/>
    <w:rsid w:val="00DC4751"/>
    <w:rsid w:val="00DC4A6F"/>
    <w:rsid w:val="00DC4F85"/>
    <w:rsid w:val="00DC5035"/>
    <w:rsid w:val="00DC5591"/>
    <w:rsid w:val="00DC697D"/>
    <w:rsid w:val="00DC70A8"/>
    <w:rsid w:val="00DC76E5"/>
    <w:rsid w:val="00DC7906"/>
    <w:rsid w:val="00DC79A8"/>
    <w:rsid w:val="00DD08BA"/>
    <w:rsid w:val="00DD0A37"/>
    <w:rsid w:val="00DD2504"/>
    <w:rsid w:val="00DD30B8"/>
    <w:rsid w:val="00DD346F"/>
    <w:rsid w:val="00DD34DC"/>
    <w:rsid w:val="00DD38B8"/>
    <w:rsid w:val="00DD3D8C"/>
    <w:rsid w:val="00DD571C"/>
    <w:rsid w:val="00DD5E3E"/>
    <w:rsid w:val="00DD61CE"/>
    <w:rsid w:val="00DD6B32"/>
    <w:rsid w:val="00DD6BFC"/>
    <w:rsid w:val="00DE01AB"/>
    <w:rsid w:val="00DE1579"/>
    <w:rsid w:val="00DE372C"/>
    <w:rsid w:val="00DE49B2"/>
    <w:rsid w:val="00DE5156"/>
    <w:rsid w:val="00DE52C8"/>
    <w:rsid w:val="00DE5FB2"/>
    <w:rsid w:val="00DE66AE"/>
    <w:rsid w:val="00DE6974"/>
    <w:rsid w:val="00DE7967"/>
    <w:rsid w:val="00DE7A4A"/>
    <w:rsid w:val="00DF0233"/>
    <w:rsid w:val="00DF110E"/>
    <w:rsid w:val="00DF122D"/>
    <w:rsid w:val="00DF16B7"/>
    <w:rsid w:val="00DF209C"/>
    <w:rsid w:val="00DF249A"/>
    <w:rsid w:val="00DF265B"/>
    <w:rsid w:val="00DF3970"/>
    <w:rsid w:val="00DF5C2E"/>
    <w:rsid w:val="00DF656A"/>
    <w:rsid w:val="00DF69D9"/>
    <w:rsid w:val="00DF6D84"/>
    <w:rsid w:val="00DF79DC"/>
    <w:rsid w:val="00DF7D22"/>
    <w:rsid w:val="00E00B02"/>
    <w:rsid w:val="00E00D43"/>
    <w:rsid w:val="00E01004"/>
    <w:rsid w:val="00E010D1"/>
    <w:rsid w:val="00E04188"/>
    <w:rsid w:val="00E046E3"/>
    <w:rsid w:val="00E07140"/>
    <w:rsid w:val="00E07381"/>
    <w:rsid w:val="00E07E94"/>
    <w:rsid w:val="00E10163"/>
    <w:rsid w:val="00E10F39"/>
    <w:rsid w:val="00E127E6"/>
    <w:rsid w:val="00E13201"/>
    <w:rsid w:val="00E135D6"/>
    <w:rsid w:val="00E15162"/>
    <w:rsid w:val="00E15A6A"/>
    <w:rsid w:val="00E162D5"/>
    <w:rsid w:val="00E16357"/>
    <w:rsid w:val="00E165C5"/>
    <w:rsid w:val="00E16A15"/>
    <w:rsid w:val="00E1735B"/>
    <w:rsid w:val="00E173CC"/>
    <w:rsid w:val="00E17824"/>
    <w:rsid w:val="00E20165"/>
    <w:rsid w:val="00E203EC"/>
    <w:rsid w:val="00E20969"/>
    <w:rsid w:val="00E216B4"/>
    <w:rsid w:val="00E23A9B"/>
    <w:rsid w:val="00E24515"/>
    <w:rsid w:val="00E24852"/>
    <w:rsid w:val="00E24FA1"/>
    <w:rsid w:val="00E25116"/>
    <w:rsid w:val="00E25799"/>
    <w:rsid w:val="00E27961"/>
    <w:rsid w:val="00E27D0E"/>
    <w:rsid w:val="00E32372"/>
    <w:rsid w:val="00E33624"/>
    <w:rsid w:val="00E33CAF"/>
    <w:rsid w:val="00E33E83"/>
    <w:rsid w:val="00E345FD"/>
    <w:rsid w:val="00E34985"/>
    <w:rsid w:val="00E349E0"/>
    <w:rsid w:val="00E34A62"/>
    <w:rsid w:val="00E353F9"/>
    <w:rsid w:val="00E35708"/>
    <w:rsid w:val="00E36653"/>
    <w:rsid w:val="00E4222B"/>
    <w:rsid w:val="00E424B1"/>
    <w:rsid w:val="00E42525"/>
    <w:rsid w:val="00E444D9"/>
    <w:rsid w:val="00E4468C"/>
    <w:rsid w:val="00E44E6D"/>
    <w:rsid w:val="00E44F63"/>
    <w:rsid w:val="00E4527E"/>
    <w:rsid w:val="00E45ADA"/>
    <w:rsid w:val="00E45C14"/>
    <w:rsid w:val="00E468A3"/>
    <w:rsid w:val="00E46A16"/>
    <w:rsid w:val="00E47170"/>
    <w:rsid w:val="00E47274"/>
    <w:rsid w:val="00E47611"/>
    <w:rsid w:val="00E501E0"/>
    <w:rsid w:val="00E509AF"/>
    <w:rsid w:val="00E51C3F"/>
    <w:rsid w:val="00E5425B"/>
    <w:rsid w:val="00E542C8"/>
    <w:rsid w:val="00E54A3F"/>
    <w:rsid w:val="00E55C6B"/>
    <w:rsid w:val="00E56528"/>
    <w:rsid w:val="00E56902"/>
    <w:rsid w:val="00E569D3"/>
    <w:rsid w:val="00E57664"/>
    <w:rsid w:val="00E6106A"/>
    <w:rsid w:val="00E61FCA"/>
    <w:rsid w:val="00E625DD"/>
    <w:rsid w:val="00E626ED"/>
    <w:rsid w:val="00E62DEE"/>
    <w:rsid w:val="00E62DF5"/>
    <w:rsid w:val="00E630C3"/>
    <w:rsid w:val="00E63132"/>
    <w:rsid w:val="00E6328B"/>
    <w:rsid w:val="00E65E35"/>
    <w:rsid w:val="00E66211"/>
    <w:rsid w:val="00E670D3"/>
    <w:rsid w:val="00E6745E"/>
    <w:rsid w:val="00E713CA"/>
    <w:rsid w:val="00E71C3D"/>
    <w:rsid w:val="00E725BA"/>
    <w:rsid w:val="00E73480"/>
    <w:rsid w:val="00E748AB"/>
    <w:rsid w:val="00E74EA0"/>
    <w:rsid w:val="00E759AF"/>
    <w:rsid w:val="00E76550"/>
    <w:rsid w:val="00E76740"/>
    <w:rsid w:val="00E77053"/>
    <w:rsid w:val="00E77277"/>
    <w:rsid w:val="00E77280"/>
    <w:rsid w:val="00E776F2"/>
    <w:rsid w:val="00E77FC9"/>
    <w:rsid w:val="00E80094"/>
    <w:rsid w:val="00E800D9"/>
    <w:rsid w:val="00E8080A"/>
    <w:rsid w:val="00E81FB0"/>
    <w:rsid w:val="00E8213A"/>
    <w:rsid w:val="00E82751"/>
    <w:rsid w:val="00E8332B"/>
    <w:rsid w:val="00E83684"/>
    <w:rsid w:val="00E84C31"/>
    <w:rsid w:val="00E862F4"/>
    <w:rsid w:val="00E87027"/>
    <w:rsid w:val="00E875C1"/>
    <w:rsid w:val="00E875F3"/>
    <w:rsid w:val="00E87B89"/>
    <w:rsid w:val="00E87D61"/>
    <w:rsid w:val="00E901D9"/>
    <w:rsid w:val="00E90805"/>
    <w:rsid w:val="00E9175B"/>
    <w:rsid w:val="00E91F2D"/>
    <w:rsid w:val="00E92D1D"/>
    <w:rsid w:val="00E93247"/>
    <w:rsid w:val="00E9325A"/>
    <w:rsid w:val="00E93B09"/>
    <w:rsid w:val="00E941F8"/>
    <w:rsid w:val="00E941FF"/>
    <w:rsid w:val="00E945E7"/>
    <w:rsid w:val="00E94864"/>
    <w:rsid w:val="00E954E6"/>
    <w:rsid w:val="00E963BF"/>
    <w:rsid w:val="00E964C4"/>
    <w:rsid w:val="00EA0A67"/>
    <w:rsid w:val="00EA2B4E"/>
    <w:rsid w:val="00EA2CDB"/>
    <w:rsid w:val="00EA4BF2"/>
    <w:rsid w:val="00EA4C76"/>
    <w:rsid w:val="00EA529E"/>
    <w:rsid w:val="00EA604B"/>
    <w:rsid w:val="00EA7143"/>
    <w:rsid w:val="00EA72D3"/>
    <w:rsid w:val="00EA7D01"/>
    <w:rsid w:val="00EB0D57"/>
    <w:rsid w:val="00EB0EA7"/>
    <w:rsid w:val="00EB10A5"/>
    <w:rsid w:val="00EB2F1A"/>
    <w:rsid w:val="00EB3108"/>
    <w:rsid w:val="00EB3B54"/>
    <w:rsid w:val="00EB4D79"/>
    <w:rsid w:val="00EB4E70"/>
    <w:rsid w:val="00EB5092"/>
    <w:rsid w:val="00EB7490"/>
    <w:rsid w:val="00EB7AF5"/>
    <w:rsid w:val="00EC1607"/>
    <w:rsid w:val="00EC1F66"/>
    <w:rsid w:val="00EC2EA0"/>
    <w:rsid w:val="00EC3144"/>
    <w:rsid w:val="00EC3308"/>
    <w:rsid w:val="00EC3B0B"/>
    <w:rsid w:val="00EC49AF"/>
    <w:rsid w:val="00EC6291"/>
    <w:rsid w:val="00EC69F0"/>
    <w:rsid w:val="00ED00CF"/>
    <w:rsid w:val="00ED119E"/>
    <w:rsid w:val="00ED16C6"/>
    <w:rsid w:val="00ED1D90"/>
    <w:rsid w:val="00ED6816"/>
    <w:rsid w:val="00ED6F9C"/>
    <w:rsid w:val="00EE0936"/>
    <w:rsid w:val="00EE1374"/>
    <w:rsid w:val="00EE17BA"/>
    <w:rsid w:val="00EE1E2F"/>
    <w:rsid w:val="00EE27EB"/>
    <w:rsid w:val="00EE426F"/>
    <w:rsid w:val="00EE4277"/>
    <w:rsid w:val="00EE5581"/>
    <w:rsid w:val="00EE565C"/>
    <w:rsid w:val="00EE56AB"/>
    <w:rsid w:val="00EE5784"/>
    <w:rsid w:val="00EE597A"/>
    <w:rsid w:val="00EE617C"/>
    <w:rsid w:val="00EE736B"/>
    <w:rsid w:val="00EF062F"/>
    <w:rsid w:val="00EF1654"/>
    <w:rsid w:val="00EF199D"/>
    <w:rsid w:val="00EF2116"/>
    <w:rsid w:val="00EF2385"/>
    <w:rsid w:val="00EF3329"/>
    <w:rsid w:val="00EF3FFF"/>
    <w:rsid w:val="00EF5694"/>
    <w:rsid w:val="00EF5780"/>
    <w:rsid w:val="00EF5ABC"/>
    <w:rsid w:val="00EF5CDE"/>
    <w:rsid w:val="00EF6565"/>
    <w:rsid w:val="00EF6E55"/>
    <w:rsid w:val="00EF7008"/>
    <w:rsid w:val="00EF75D8"/>
    <w:rsid w:val="00F00AAA"/>
    <w:rsid w:val="00F01668"/>
    <w:rsid w:val="00F037DD"/>
    <w:rsid w:val="00F05CDB"/>
    <w:rsid w:val="00F06875"/>
    <w:rsid w:val="00F0732C"/>
    <w:rsid w:val="00F0748A"/>
    <w:rsid w:val="00F074CF"/>
    <w:rsid w:val="00F07680"/>
    <w:rsid w:val="00F118DB"/>
    <w:rsid w:val="00F134A3"/>
    <w:rsid w:val="00F1421F"/>
    <w:rsid w:val="00F14EEC"/>
    <w:rsid w:val="00F153C6"/>
    <w:rsid w:val="00F153E0"/>
    <w:rsid w:val="00F155E0"/>
    <w:rsid w:val="00F17385"/>
    <w:rsid w:val="00F21D84"/>
    <w:rsid w:val="00F22CF9"/>
    <w:rsid w:val="00F232BF"/>
    <w:rsid w:val="00F23E90"/>
    <w:rsid w:val="00F2408E"/>
    <w:rsid w:val="00F245B7"/>
    <w:rsid w:val="00F24712"/>
    <w:rsid w:val="00F24811"/>
    <w:rsid w:val="00F24D80"/>
    <w:rsid w:val="00F25A40"/>
    <w:rsid w:val="00F25A77"/>
    <w:rsid w:val="00F25F82"/>
    <w:rsid w:val="00F25FFB"/>
    <w:rsid w:val="00F26C2D"/>
    <w:rsid w:val="00F26C71"/>
    <w:rsid w:val="00F273A1"/>
    <w:rsid w:val="00F307FB"/>
    <w:rsid w:val="00F314DC"/>
    <w:rsid w:val="00F31684"/>
    <w:rsid w:val="00F317F7"/>
    <w:rsid w:val="00F31F2B"/>
    <w:rsid w:val="00F321FC"/>
    <w:rsid w:val="00F32490"/>
    <w:rsid w:val="00F326D8"/>
    <w:rsid w:val="00F34F91"/>
    <w:rsid w:val="00F34F99"/>
    <w:rsid w:val="00F357D3"/>
    <w:rsid w:val="00F3585F"/>
    <w:rsid w:val="00F35E7B"/>
    <w:rsid w:val="00F36125"/>
    <w:rsid w:val="00F36D45"/>
    <w:rsid w:val="00F402D1"/>
    <w:rsid w:val="00F40410"/>
    <w:rsid w:val="00F40604"/>
    <w:rsid w:val="00F407C2"/>
    <w:rsid w:val="00F41198"/>
    <w:rsid w:val="00F412B2"/>
    <w:rsid w:val="00F41561"/>
    <w:rsid w:val="00F42B7E"/>
    <w:rsid w:val="00F42F9A"/>
    <w:rsid w:val="00F43A6A"/>
    <w:rsid w:val="00F444B8"/>
    <w:rsid w:val="00F45929"/>
    <w:rsid w:val="00F45DBC"/>
    <w:rsid w:val="00F52B9A"/>
    <w:rsid w:val="00F534C7"/>
    <w:rsid w:val="00F53FDE"/>
    <w:rsid w:val="00F54652"/>
    <w:rsid w:val="00F547CC"/>
    <w:rsid w:val="00F56B8F"/>
    <w:rsid w:val="00F56BF8"/>
    <w:rsid w:val="00F57B94"/>
    <w:rsid w:val="00F604A3"/>
    <w:rsid w:val="00F6140B"/>
    <w:rsid w:val="00F6261F"/>
    <w:rsid w:val="00F6362C"/>
    <w:rsid w:val="00F63ABF"/>
    <w:rsid w:val="00F6419D"/>
    <w:rsid w:val="00F64203"/>
    <w:rsid w:val="00F65E84"/>
    <w:rsid w:val="00F6640C"/>
    <w:rsid w:val="00F66A4F"/>
    <w:rsid w:val="00F6740D"/>
    <w:rsid w:val="00F675D1"/>
    <w:rsid w:val="00F7005E"/>
    <w:rsid w:val="00F711CC"/>
    <w:rsid w:val="00F71EE0"/>
    <w:rsid w:val="00F7242C"/>
    <w:rsid w:val="00F72C6D"/>
    <w:rsid w:val="00F72D3C"/>
    <w:rsid w:val="00F733CA"/>
    <w:rsid w:val="00F74654"/>
    <w:rsid w:val="00F74D99"/>
    <w:rsid w:val="00F753D1"/>
    <w:rsid w:val="00F7568C"/>
    <w:rsid w:val="00F76FAD"/>
    <w:rsid w:val="00F823CC"/>
    <w:rsid w:val="00F824C3"/>
    <w:rsid w:val="00F82CBF"/>
    <w:rsid w:val="00F83504"/>
    <w:rsid w:val="00F8433E"/>
    <w:rsid w:val="00F84635"/>
    <w:rsid w:val="00F849B5"/>
    <w:rsid w:val="00F8505A"/>
    <w:rsid w:val="00F85999"/>
    <w:rsid w:val="00F85C17"/>
    <w:rsid w:val="00F85C2B"/>
    <w:rsid w:val="00F85D4D"/>
    <w:rsid w:val="00F85FD2"/>
    <w:rsid w:val="00F86727"/>
    <w:rsid w:val="00F8729E"/>
    <w:rsid w:val="00F87938"/>
    <w:rsid w:val="00F90F8F"/>
    <w:rsid w:val="00F9369A"/>
    <w:rsid w:val="00F9553E"/>
    <w:rsid w:val="00F960A9"/>
    <w:rsid w:val="00F962E0"/>
    <w:rsid w:val="00F96398"/>
    <w:rsid w:val="00F975E6"/>
    <w:rsid w:val="00F9794B"/>
    <w:rsid w:val="00FA01FF"/>
    <w:rsid w:val="00FA0C4A"/>
    <w:rsid w:val="00FA0C95"/>
    <w:rsid w:val="00FA2282"/>
    <w:rsid w:val="00FA325C"/>
    <w:rsid w:val="00FA35B2"/>
    <w:rsid w:val="00FA4236"/>
    <w:rsid w:val="00FA4647"/>
    <w:rsid w:val="00FA56CF"/>
    <w:rsid w:val="00FA5927"/>
    <w:rsid w:val="00FA5C91"/>
    <w:rsid w:val="00FA74DD"/>
    <w:rsid w:val="00FA7822"/>
    <w:rsid w:val="00FA7E89"/>
    <w:rsid w:val="00FB0880"/>
    <w:rsid w:val="00FB17EF"/>
    <w:rsid w:val="00FB1A4C"/>
    <w:rsid w:val="00FB1E66"/>
    <w:rsid w:val="00FB302E"/>
    <w:rsid w:val="00FB40B0"/>
    <w:rsid w:val="00FB4AF2"/>
    <w:rsid w:val="00FB6CBA"/>
    <w:rsid w:val="00FB6E11"/>
    <w:rsid w:val="00FB787D"/>
    <w:rsid w:val="00FB7B24"/>
    <w:rsid w:val="00FB7B55"/>
    <w:rsid w:val="00FB7CCC"/>
    <w:rsid w:val="00FC013F"/>
    <w:rsid w:val="00FC0238"/>
    <w:rsid w:val="00FC0687"/>
    <w:rsid w:val="00FC176E"/>
    <w:rsid w:val="00FC1819"/>
    <w:rsid w:val="00FC3B4E"/>
    <w:rsid w:val="00FC43F3"/>
    <w:rsid w:val="00FC4CAD"/>
    <w:rsid w:val="00FC5487"/>
    <w:rsid w:val="00FC6525"/>
    <w:rsid w:val="00FC7445"/>
    <w:rsid w:val="00FD0943"/>
    <w:rsid w:val="00FD0CF2"/>
    <w:rsid w:val="00FD1566"/>
    <w:rsid w:val="00FD22DC"/>
    <w:rsid w:val="00FD2818"/>
    <w:rsid w:val="00FD3D5E"/>
    <w:rsid w:val="00FD4274"/>
    <w:rsid w:val="00FD53E0"/>
    <w:rsid w:val="00FD55D4"/>
    <w:rsid w:val="00FD58D2"/>
    <w:rsid w:val="00FD7504"/>
    <w:rsid w:val="00FE028B"/>
    <w:rsid w:val="00FE0BBB"/>
    <w:rsid w:val="00FE24EB"/>
    <w:rsid w:val="00FE3DC9"/>
    <w:rsid w:val="00FE5A35"/>
    <w:rsid w:val="00FE658C"/>
    <w:rsid w:val="00FE65C0"/>
    <w:rsid w:val="00FE733C"/>
    <w:rsid w:val="00FE76F6"/>
    <w:rsid w:val="00FF0504"/>
    <w:rsid w:val="00FF1675"/>
    <w:rsid w:val="00FF1A1D"/>
    <w:rsid w:val="00FF223C"/>
    <w:rsid w:val="00FF2858"/>
    <w:rsid w:val="00FF2AB5"/>
    <w:rsid w:val="00FF30A6"/>
    <w:rsid w:val="00FF3514"/>
    <w:rsid w:val="00FF3BF7"/>
    <w:rsid w:val="00FF4A89"/>
    <w:rsid w:val="00FF4D4B"/>
    <w:rsid w:val="00FF4FE0"/>
    <w:rsid w:val="00FF5EE7"/>
    <w:rsid w:val="00FF5FB9"/>
    <w:rsid w:val="00FF61CC"/>
    <w:rsid w:val="00FF7B68"/>
    <w:rsid w:val="010FED8D"/>
    <w:rsid w:val="018C7585"/>
    <w:rsid w:val="01BAF97B"/>
    <w:rsid w:val="01C70F70"/>
    <w:rsid w:val="01CE5386"/>
    <w:rsid w:val="01DBDC40"/>
    <w:rsid w:val="01F1966D"/>
    <w:rsid w:val="0239A51F"/>
    <w:rsid w:val="02A0A3F2"/>
    <w:rsid w:val="02C59C27"/>
    <w:rsid w:val="02E8F459"/>
    <w:rsid w:val="03040B6D"/>
    <w:rsid w:val="0338B146"/>
    <w:rsid w:val="03AEAB0E"/>
    <w:rsid w:val="03B51D10"/>
    <w:rsid w:val="03EF6963"/>
    <w:rsid w:val="04069596"/>
    <w:rsid w:val="043281F0"/>
    <w:rsid w:val="0529FA26"/>
    <w:rsid w:val="05ADE22E"/>
    <w:rsid w:val="05E20428"/>
    <w:rsid w:val="05EFB58E"/>
    <w:rsid w:val="0600A8F4"/>
    <w:rsid w:val="065599C0"/>
    <w:rsid w:val="06DE931F"/>
    <w:rsid w:val="071643E7"/>
    <w:rsid w:val="071F182D"/>
    <w:rsid w:val="0730DC2D"/>
    <w:rsid w:val="078E6DC7"/>
    <w:rsid w:val="0795224C"/>
    <w:rsid w:val="0809E8E3"/>
    <w:rsid w:val="08773A2B"/>
    <w:rsid w:val="08EB2769"/>
    <w:rsid w:val="08F0496E"/>
    <w:rsid w:val="0921E333"/>
    <w:rsid w:val="09A2FE36"/>
    <w:rsid w:val="0A7E72E1"/>
    <w:rsid w:val="0B8787FE"/>
    <w:rsid w:val="0BCB0A79"/>
    <w:rsid w:val="0BF45647"/>
    <w:rsid w:val="0BF91502"/>
    <w:rsid w:val="0C74BA83"/>
    <w:rsid w:val="0D29A25A"/>
    <w:rsid w:val="0D2AAAA7"/>
    <w:rsid w:val="0D3DE40F"/>
    <w:rsid w:val="0D4BF967"/>
    <w:rsid w:val="0D5EA678"/>
    <w:rsid w:val="0D9AB071"/>
    <w:rsid w:val="0DB0D5A6"/>
    <w:rsid w:val="0DBDC211"/>
    <w:rsid w:val="0DDD7DCD"/>
    <w:rsid w:val="0E16F77B"/>
    <w:rsid w:val="0EDFE4BC"/>
    <w:rsid w:val="0EF2AE1E"/>
    <w:rsid w:val="0F0493C1"/>
    <w:rsid w:val="0F31C832"/>
    <w:rsid w:val="0F40BCCA"/>
    <w:rsid w:val="0F44D216"/>
    <w:rsid w:val="0F8340EB"/>
    <w:rsid w:val="0F9B7C1C"/>
    <w:rsid w:val="0FE56680"/>
    <w:rsid w:val="101518BF"/>
    <w:rsid w:val="1036647D"/>
    <w:rsid w:val="10727A2D"/>
    <w:rsid w:val="1100EE2C"/>
    <w:rsid w:val="1107E5E4"/>
    <w:rsid w:val="11153E48"/>
    <w:rsid w:val="11F89CC2"/>
    <w:rsid w:val="120C2FD2"/>
    <w:rsid w:val="12A5702A"/>
    <w:rsid w:val="137433DD"/>
    <w:rsid w:val="138BC7FD"/>
    <w:rsid w:val="1398DB61"/>
    <w:rsid w:val="13C4BE8E"/>
    <w:rsid w:val="13CA95C5"/>
    <w:rsid w:val="13CF9CA2"/>
    <w:rsid w:val="13FF3DC8"/>
    <w:rsid w:val="1426376E"/>
    <w:rsid w:val="14B576FF"/>
    <w:rsid w:val="151942F8"/>
    <w:rsid w:val="153FDA37"/>
    <w:rsid w:val="1556910E"/>
    <w:rsid w:val="156C9CA6"/>
    <w:rsid w:val="15895A4C"/>
    <w:rsid w:val="15BD7289"/>
    <w:rsid w:val="1667374F"/>
    <w:rsid w:val="16B436DF"/>
    <w:rsid w:val="174521CF"/>
    <w:rsid w:val="17663832"/>
    <w:rsid w:val="18FC9E7E"/>
    <w:rsid w:val="190FCAA0"/>
    <w:rsid w:val="199D0909"/>
    <w:rsid w:val="19C1D1B4"/>
    <w:rsid w:val="1A035C63"/>
    <w:rsid w:val="1A05A06D"/>
    <w:rsid w:val="1A431FD0"/>
    <w:rsid w:val="1A65CE76"/>
    <w:rsid w:val="1A8C7E08"/>
    <w:rsid w:val="1ABDE083"/>
    <w:rsid w:val="1ABF1C86"/>
    <w:rsid w:val="1B0C52E8"/>
    <w:rsid w:val="1B21AE49"/>
    <w:rsid w:val="1B9BBD29"/>
    <w:rsid w:val="1BAA57CE"/>
    <w:rsid w:val="1BB12837"/>
    <w:rsid w:val="1BD2B6E3"/>
    <w:rsid w:val="1BF16327"/>
    <w:rsid w:val="1C7CB425"/>
    <w:rsid w:val="1C8CFFCA"/>
    <w:rsid w:val="1CF1FC7C"/>
    <w:rsid w:val="1D246906"/>
    <w:rsid w:val="1EECD5EC"/>
    <w:rsid w:val="1FBC937A"/>
    <w:rsid w:val="201969FB"/>
    <w:rsid w:val="20224561"/>
    <w:rsid w:val="2110DB36"/>
    <w:rsid w:val="214A9DEF"/>
    <w:rsid w:val="216D1FAA"/>
    <w:rsid w:val="21BEC542"/>
    <w:rsid w:val="224F8087"/>
    <w:rsid w:val="2269953A"/>
    <w:rsid w:val="229FD515"/>
    <w:rsid w:val="22C4C0AF"/>
    <w:rsid w:val="22D5A400"/>
    <w:rsid w:val="22E863B7"/>
    <w:rsid w:val="22FBA290"/>
    <w:rsid w:val="23373B6E"/>
    <w:rsid w:val="24A6A20E"/>
    <w:rsid w:val="24E5854F"/>
    <w:rsid w:val="24F7B19C"/>
    <w:rsid w:val="25433E2D"/>
    <w:rsid w:val="25497123"/>
    <w:rsid w:val="257CE335"/>
    <w:rsid w:val="258CF67F"/>
    <w:rsid w:val="264CA17E"/>
    <w:rsid w:val="2650B687"/>
    <w:rsid w:val="26785903"/>
    <w:rsid w:val="269476E5"/>
    <w:rsid w:val="26B29AAF"/>
    <w:rsid w:val="273A63F5"/>
    <w:rsid w:val="277CFF9A"/>
    <w:rsid w:val="2792444A"/>
    <w:rsid w:val="279F62BA"/>
    <w:rsid w:val="28638B41"/>
    <w:rsid w:val="288B6305"/>
    <w:rsid w:val="289B574E"/>
    <w:rsid w:val="28AAD732"/>
    <w:rsid w:val="28D88C57"/>
    <w:rsid w:val="28EC0D69"/>
    <w:rsid w:val="29090E01"/>
    <w:rsid w:val="296A50BF"/>
    <w:rsid w:val="29A6FF0C"/>
    <w:rsid w:val="29C9DB63"/>
    <w:rsid w:val="2A43052A"/>
    <w:rsid w:val="2ABEDFC7"/>
    <w:rsid w:val="2B1B97AB"/>
    <w:rsid w:val="2B30DA1B"/>
    <w:rsid w:val="2BA20647"/>
    <w:rsid w:val="2BA2D19C"/>
    <w:rsid w:val="2C09A713"/>
    <w:rsid w:val="2C14EB15"/>
    <w:rsid w:val="2CB3D17F"/>
    <w:rsid w:val="2D0AECB1"/>
    <w:rsid w:val="2D127BEF"/>
    <w:rsid w:val="2D144014"/>
    <w:rsid w:val="2D3BBBE1"/>
    <w:rsid w:val="2D710D4E"/>
    <w:rsid w:val="2DD359D6"/>
    <w:rsid w:val="2DE2F8A5"/>
    <w:rsid w:val="2DEC4360"/>
    <w:rsid w:val="2E13806E"/>
    <w:rsid w:val="2E4D8E8A"/>
    <w:rsid w:val="2E5DC3F2"/>
    <w:rsid w:val="2EE0D637"/>
    <w:rsid w:val="2EFE2C10"/>
    <w:rsid w:val="2F001B2D"/>
    <w:rsid w:val="2F275926"/>
    <w:rsid w:val="2F52809A"/>
    <w:rsid w:val="2FAF8E2E"/>
    <w:rsid w:val="2FFDCB9F"/>
    <w:rsid w:val="30A6C7D2"/>
    <w:rsid w:val="30AFBC6B"/>
    <w:rsid w:val="31A07F48"/>
    <w:rsid w:val="32424EF4"/>
    <w:rsid w:val="327C91CC"/>
    <w:rsid w:val="329BBE17"/>
    <w:rsid w:val="32D64AAE"/>
    <w:rsid w:val="33298E22"/>
    <w:rsid w:val="332C3A25"/>
    <w:rsid w:val="33C17BC6"/>
    <w:rsid w:val="33CEFB86"/>
    <w:rsid w:val="33D74AC5"/>
    <w:rsid w:val="34235A66"/>
    <w:rsid w:val="3458B592"/>
    <w:rsid w:val="348A3385"/>
    <w:rsid w:val="3491C717"/>
    <w:rsid w:val="34B08C07"/>
    <w:rsid w:val="34E44F54"/>
    <w:rsid w:val="350C5612"/>
    <w:rsid w:val="350CD172"/>
    <w:rsid w:val="359F0F70"/>
    <w:rsid w:val="35CD7EB5"/>
    <w:rsid w:val="35DCCDAC"/>
    <w:rsid w:val="35EC0C97"/>
    <w:rsid w:val="362EAD33"/>
    <w:rsid w:val="363ECBEC"/>
    <w:rsid w:val="364560D6"/>
    <w:rsid w:val="36D4B6AF"/>
    <w:rsid w:val="371652CF"/>
    <w:rsid w:val="3726800A"/>
    <w:rsid w:val="3743940E"/>
    <w:rsid w:val="37495C6D"/>
    <w:rsid w:val="378C4BD7"/>
    <w:rsid w:val="3826F8D3"/>
    <w:rsid w:val="386FA2A9"/>
    <w:rsid w:val="3898A1ED"/>
    <w:rsid w:val="38B82A54"/>
    <w:rsid w:val="38C343E6"/>
    <w:rsid w:val="394C808A"/>
    <w:rsid w:val="396460CA"/>
    <w:rsid w:val="3977B995"/>
    <w:rsid w:val="39B0D1C3"/>
    <w:rsid w:val="3A3CB4E2"/>
    <w:rsid w:val="3A96F1BE"/>
    <w:rsid w:val="3AF63BDE"/>
    <w:rsid w:val="3B15CF78"/>
    <w:rsid w:val="3B61DFE5"/>
    <w:rsid w:val="3B7152FE"/>
    <w:rsid w:val="3BD2DC72"/>
    <w:rsid w:val="3C4D70B1"/>
    <w:rsid w:val="3C669B16"/>
    <w:rsid w:val="3CD6034B"/>
    <w:rsid w:val="3CE1A896"/>
    <w:rsid w:val="3CEF5FF4"/>
    <w:rsid w:val="3D0549E0"/>
    <w:rsid w:val="3D4790D8"/>
    <w:rsid w:val="3D828D0F"/>
    <w:rsid w:val="3D90A577"/>
    <w:rsid w:val="3EBDA64D"/>
    <w:rsid w:val="3EE5E27F"/>
    <w:rsid w:val="3F015527"/>
    <w:rsid w:val="3F346D4E"/>
    <w:rsid w:val="3FF74810"/>
    <w:rsid w:val="4080995B"/>
    <w:rsid w:val="4123E4E8"/>
    <w:rsid w:val="413A0C39"/>
    <w:rsid w:val="415B4F0E"/>
    <w:rsid w:val="417273C8"/>
    <w:rsid w:val="41B9D8F8"/>
    <w:rsid w:val="425D70D9"/>
    <w:rsid w:val="427F7681"/>
    <w:rsid w:val="428BDF2D"/>
    <w:rsid w:val="4324D18C"/>
    <w:rsid w:val="43AC4FB3"/>
    <w:rsid w:val="43F6405D"/>
    <w:rsid w:val="4431DEFF"/>
    <w:rsid w:val="4471ACFB"/>
    <w:rsid w:val="44E4746E"/>
    <w:rsid w:val="44FA6942"/>
    <w:rsid w:val="45256ED3"/>
    <w:rsid w:val="453D08DC"/>
    <w:rsid w:val="45E12E59"/>
    <w:rsid w:val="460D9FCC"/>
    <w:rsid w:val="46225A04"/>
    <w:rsid w:val="462E17D8"/>
    <w:rsid w:val="46456286"/>
    <w:rsid w:val="46A14C30"/>
    <w:rsid w:val="46BF1AB4"/>
    <w:rsid w:val="46D75C20"/>
    <w:rsid w:val="4737A4D0"/>
    <w:rsid w:val="473AC41F"/>
    <w:rsid w:val="474D1204"/>
    <w:rsid w:val="474E43E3"/>
    <w:rsid w:val="475450EA"/>
    <w:rsid w:val="4800B738"/>
    <w:rsid w:val="482FBB92"/>
    <w:rsid w:val="483450CA"/>
    <w:rsid w:val="4836B4D0"/>
    <w:rsid w:val="48B3CBAD"/>
    <w:rsid w:val="48EC0930"/>
    <w:rsid w:val="48F798AD"/>
    <w:rsid w:val="49B34B3B"/>
    <w:rsid w:val="49D8F36E"/>
    <w:rsid w:val="4A3BDCE1"/>
    <w:rsid w:val="4A6D9E93"/>
    <w:rsid w:val="4A9D06BC"/>
    <w:rsid w:val="4B1DA6F0"/>
    <w:rsid w:val="4B344BAF"/>
    <w:rsid w:val="4B605395"/>
    <w:rsid w:val="4BA00F60"/>
    <w:rsid w:val="4BD0BFF5"/>
    <w:rsid w:val="4CB63647"/>
    <w:rsid w:val="4CFF1060"/>
    <w:rsid w:val="4DAE810D"/>
    <w:rsid w:val="4E649E9C"/>
    <w:rsid w:val="4E842A5A"/>
    <w:rsid w:val="4EA71435"/>
    <w:rsid w:val="4EEB3C51"/>
    <w:rsid w:val="4EED7CA3"/>
    <w:rsid w:val="4F457C99"/>
    <w:rsid w:val="4FAD8FE5"/>
    <w:rsid w:val="4FDE49B3"/>
    <w:rsid w:val="4FEF8DA1"/>
    <w:rsid w:val="4FF38E92"/>
    <w:rsid w:val="50411C76"/>
    <w:rsid w:val="50A74E89"/>
    <w:rsid w:val="50D35FA3"/>
    <w:rsid w:val="50D87815"/>
    <w:rsid w:val="50F14F46"/>
    <w:rsid w:val="51643430"/>
    <w:rsid w:val="51A1BD46"/>
    <w:rsid w:val="51B8FCD4"/>
    <w:rsid w:val="522089F5"/>
    <w:rsid w:val="536637C5"/>
    <w:rsid w:val="5370410C"/>
    <w:rsid w:val="53F96AE9"/>
    <w:rsid w:val="541021F2"/>
    <w:rsid w:val="5417D6E5"/>
    <w:rsid w:val="542F13F5"/>
    <w:rsid w:val="54A3E62F"/>
    <w:rsid w:val="54EB5F4B"/>
    <w:rsid w:val="55F1C19E"/>
    <w:rsid w:val="569D2E56"/>
    <w:rsid w:val="56D92032"/>
    <w:rsid w:val="578447AB"/>
    <w:rsid w:val="57AA35B6"/>
    <w:rsid w:val="57C5FC6D"/>
    <w:rsid w:val="57F864F9"/>
    <w:rsid w:val="58015DBE"/>
    <w:rsid w:val="585F81AA"/>
    <w:rsid w:val="58766825"/>
    <w:rsid w:val="589A0C1D"/>
    <w:rsid w:val="58A9F6DC"/>
    <w:rsid w:val="58BE86A6"/>
    <w:rsid w:val="598AFE01"/>
    <w:rsid w:val="59BB0871"/>
    <w:rsid w:val="59FA63A3"/>
    <w:rsid w:val="5A1F69E9"/>
    <w:rsid w:val="5A64A34E"/>
    <w:rsid w:val="5ABF4751"/>
    <w:rsid w:val="5AC002FD"/>
    <w:rsid w:val="5AEFF371"/>
    <w:rsid w:val="5B2E76BE"/>
    <w:rsid w:val="5B68C062"/>
    <w:rsid w:val="5B89BF61"/>
    <w:rsid w:val="5B9B326B"/>
    <w:rsid w:val="5C513EF5"/>
    <w:rsid w:val="5D21285F"/>
    <w:rsid w:val="5DB0979C"/>
    <w:rsid w:val="5DC53EC8"/>
    <w:rsid w:val="5DC99193"/>
    <w:rsid w:val="5DF1FACD"/>
    <w:rsid w:val="5E1A8201"/>
    <w:rsid w:val="5E1B7C8C"/>
    <w:rsid w:val="5E7236D6"/>
    <w:rsid w:val="5EAED30C"/>
    <w:rsid w:val="5EEECF28"/>
    <w:rsid w:val="5F1B5F18"/>
    <w:rsid w:val="5F6EA03F"/>
    <w:rsid w:val="5F98E4F2"/>
    <w:rsid w:val="5FFC94F1"/>
    <w:rsid w:val="600C89E2"/>
    <w:rsid w:val="605721B3"/>
    <w:rsid w:val="60716E64"/>
    <w:rsid w:val="609879A3"/>
    <w:rsid w:val="60EC9D4B"/>
    <w:rsid w:val="617E3BE6"/>
    <w:rsid w:val="61841C67"/>
    <w:rsid w:val="621BFF2D"/>
    <w:rsid w:val="6226A22F"/>
    <w:rsid w:val="623B1F9F"/>
    <w:rsid w:val="6240EE63"/>
    <w:rsid w:val="62FEE86D"/>
    <w:rsid w:val="6306670F"/>
    <w:rsid w:val="6306B6CE"/>
    <w:rsid w:val="63AAA5E9"/>
    <w:rsid w:val="63FDD1B8"/>
    <w:rsid w:val="64210FDF"/>
    <w:rsid w:val="64318B89"/>
    <w:rsid w:val="643A06DA"/>
    <w:rsid w:val="6449E13B"/>
    <w:rsid w:val="64AB5825"/>
    <w:rsid w:val="64FD1585"/>
    <w:rsid w:val="6527662D"/>
    <w:rsid w:val="6557FA6C"/>
    <w:rsid w:val="6572CF87"/>
    <w:rsid w:val="657991F6"/>
    <w:rsid w:val="65FB4151"/>
    <w:rsid w:val="660F61BC"/>
    <w:rsid w:val="66373A0A"/>
    <w:rsid w:val="6638847F"/>
    <w:rsid w:val="663AC062"/>
    <w:rsid w:val="6756B1A8"/>
    <w:rsid w:val="677C4D53"/>
    <w:rsid w:val="67F01110"/>
    <w:rsid w:val="6824B67E"/>
    <w:rsid w:val="688052BF"/>
    <w:rsid w:val="68E980EA"/>
    <w:rsid w:val="68FAA992"/>
    <w:rsid w:val="691AEB83"/>
    <w:rsid w:val="697F920E"/>
    <w:rsid w:val="6980245C"/>
    <w:rsid w:val="6A0C1478"/>
    <w:rsid w:val="6A11A047"/>
    <w:rsid w:val="6A722CE8"/>
    <w:rsid w:val="6B09605B"/>
    <w:rsid w:val="6B7F1312"/>
    <w:rsid w:val="6BDC8917"/>
    <w:rsid w:val="6BEF5628"/>
    <w:rsid w:val="6C28741A"/>
    <w:rsid w:val="6C5DAB9E"/>
    <w:rsid w:val="6C73891B"/>
    <w:rsid w:val="6C805482"/>
    <w:rsid w:val="6CC5B931"/>
    <w:rsid w:val="6E16B2C5"/>
    <w:rsid w:val="6E41AC37"/>
    <w:rsid w:val="6E89773C"/>
    <w:rsid w:val="6EB459A2"/>
    <w:rsid w:val="6FBF989F"/>
    <w:rsid w:val="6FF13ABE"/>
    <w:rsid w:val="70025F47"/>
    <w:rsid w:val="708E2E1F"/>
    <w:rsid w:val="70A0323A"/>
    <w:rsid w:val="70D64C21"/>
    <w:rsid w:val="71861671"/>
    <w:rsid w:val="71B9E383"/>
    <w:rsid w:val="71C16C45"/>
    <w:rsid w:val="7216AC90"/>
    <w:rsid w:val="726FBD4F"/>
    <w:rsid w:val="7344EB8B"/>
    <w:rsid w:val="734AD520"/>
    <w:rsid w:val="736427DB"/>
    <w:rsid w:val="73A9246C"/>
    <w:rsid w:val="73CB6A95"/>
    <w:rsid w:val="74453FEF"/>
    <w:rsid w:val="747B0D12"/>
    <w:rsid w:val="74C52AE8"/>
    <w:rsid w:val="74C6E4D4"/>
    <w:rsid w:val="7544BFC4"/>
    <w:rsid w:val="75834982"/>
    <w:rsid w:val="759C838A"/>
    <w:rsid w:val="75A62B77"/>
    <w:rsid w:val="75FA81F6"/>
    <w:rsid w:val="764DC391"/>
    <w:rsid w:val="76885F5D"/>
    <w:rsid w:val="76F86882"/>
    <w:rsid w:val="772E7997"/>
    <w:rsid w:val="779D1915"/>
    <w:rsid w:val="77A981BA"/>
    <w:rsid w:val="78024E43"/>
    <w:rsid w:val="78304703"/>
    <w:rsid w:val="783C3417"/>
    <w:rsid w:val="7850CD86"/>
    <w:rsid w:val="78665231"/>
    <w:rsid w:val="78762B65"/>
    <w:rsid w:val="789D3AE3"/>
    <w:rsid w:val="78CE65F6"/>
    <w:rsid w:val="795A4F7B"/>
    <w:rsid w:val="7996FCED"/>
    <w:rsid w:val="7A91A963"/>
    <w:rsid w:val="7AB1C2CD"/>
    <w:rsid w:val="7B0105FD"/>
    <w:rsid w:val="7B9D9C42"/>
    <w:rsid w:val="7C090C29"/>
    <w:rsid w:val="7C3344D4"/>
    <w:rsid w:val="7D1ACC0D"/>
    <w:rsid w:val="7D8D2F3F"/>
    <w:rsid w:val="7DAF521E"/>
    <w:rsid w:val="7DDFAE11"/>
    <w:rsid w:val="7EBB348D"/>
    <w:rsid w:val="7EF56132"/>
    <w:rsid w:val="7F7F452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1C8FD926"/>
  <w15:chartTrackingRefBased/>
  <w15:docId w15:val="{58823803-27AC-421A-99C3-E25304E0D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84234"/>
    <w:pPr>
      <w:widowControl w:val="0"/>
      <w:autoSpaceDE w:val="0"/>
      <w:autoSpaceDN w:val="0"/>
      <w:adjustRightInd w:val="0"/>
    </w:pPr>
    <w:rPr>
      <w:rFonts w:ascii="Times" w:hAnsi="Times"/>
      <w:sz w:val="24"/>
      <w:szCs w:val="24"/>
    </w:rPr>
  </w:style>
  <w:style w:type="paragraph" w:styleId="Heading1">
    <w:name w:val="heading 1"/>
    <w:basedOn w:val="Normal"/>
    <w:next w:val="Normal"/>
    <w:link w:val="Heading1Char"/>
    <w:uiPriority w:val="9"/>
    <w:qFormat/>
    <w:rsid w:val="00FF2AB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outlineLvl w:val="0"/>
    </w:pPr>
    <w:rPr>
      <w:rFonts w:ascii="Times New Roman" w:hAnsi="Times New Roman"/>
      <w:b/>
      <w:bCs/>
    </w:rPr>
  </w:style>
  <w:style w:type="paragraph" w:styleId="Heading2">
    <w:name w:val="heading 2"/>
    <w:basedOn w:val="Normal"/>
    <w:next w:val="Normal"/>
    <w:link w:val="Heading2Char"/>
    <w:uiPriority w:val="9"/>
    <w:qFormat/>
    <w:rsid w:val="00C8423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1"/>
    </w:pPr>
    <w:rPr>
      <w:rFonts w:ascii="Times New Roman" w:hAnsi="Times New Roman"/>
      <w:b/>
    </w:rPr>
  </w:style>
  <w:style w:type="paragraph" w:styleId="Heading3">
    <w:name w:val="heading 3"/>
    <w:basedOn w:val="Heading1"/>
    <w:next w:val="Normal"/>
    <w:link w:val="Heading3Char"/>
    <w:uiPriority w:val="9"/>
    <w:qFormat/>
    <w:rsid w:val="00C84234"/>
    <w:pPr>
      <w:outlineLvl w:val="2"/>
    </w:pPr>
  </w:style>
  <w:style w:type="paragraph" w:styleId="Heading4">
    <w:name w:val="heading 4"/>
    <w:basedOn w:val="Normal"/>
    <w:next w:val="Normal"/>
    <w:link w:val="Heading4Char"/>
    <w:uiPriority w:val="9"/>
    <w:qFormat/>
    <w:rsid w:val="00C84234"/>
    <w:pPr>
      <w:widowControl/>
      <w:numPr>
        <w:numId w:val="6"/>
      </w:num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outlineLvl w:val="3"/>
    </w:pPr>
    <w:rPr>
      <w:rFonts w:ascii="Times New Roman" w:hAnsi="Times New Roman"/>
      <w:u w:val="single"/>
    </w:rPr>
  </w:style>
  <w:style w:type="paragraph" w:styleId="Heading5">
    <w:name w:val="heading 5"/>
    <w:basedOn w:val="Normal"/>
    <w:link w:val="Heading5Char"/>
    <w:uiPriority w:val="9"/>
    <w:qFormat/>
    <w:rsid w:val="00942168"/>
    <w:pPr>
      <w:widowControl/>
      <w:autoSpaceDE/>
      <w:autoSpaceDN/>
      <w:adjustRightInd/>
      <w:spacing w:before="100" w:beforeAutospacing="1" w:after="100" w:afterAutospacing="1"/>
      <w:outlineLvl w:val="4"/>
    </w:pPr>
    <w:rPr>
      <w:rFonts w:ascii="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93376F"/>
  </w:style>
  <w:style w:type="paragraph" w:customStyle="1" w:styleId="Level1">
    <w:name w:val="Level 1"/>
    <w:basedOn w:val="Normal"/>
    <w:rsid w:val="0093376F"/>
    <w:pPr>
      <w:ind w:left="548" w:hanging="548"/>
      <w:outlineLvl w:val="0"/>
    </w:pPr>
  </w:style>
  <w:style w:type="character" w:styleId="Hyperlink">
    <w:name w:val="Hyperlink"/>
    <w:rsid w:val="00072C95"/>
    <w:rPr>
      <w:color w:val="0000FF"/>
      <w:u w:val="single"/>
    </w:rPr>
  </w:style>
  <w:style w:type="table" w:styleId="TableGrid">
    <w:name w:val="Table Grid"/>
    <w:basedOn w:val="TableNormal"/>
    <w:uiPriority w:val="59"/>
    <w:rsid w:val="00AB42A8"/>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unhideWhenUsed/>
    <w:rsid w:val="008257F3"/>
    <w:rPr>
      <w:sz w:val="16"/>
      <w:szCs w:val="16"/>
    </w:rPr>
  </w:style>
  <w:style w:type="paragraph" w:styleId="CommentText">
    <w:name w:val="annotation text"/>
    <w:basedOn w:val="Normal"/>
    <w:link w:val="CommentTextChar"/>
    <w:uiPriority w:val="99"/>
    <w:unhideWhenUsed/>
    <w:rsid w:val="008257F3"/>
    <w:rPr>
      <w:rFonts w:ascii="Courier" w:hAnsi="Courier"/>
      <w:sz w:val="20"/>
      <w:szCs w:val="20"/>
    </w:rPr>
  </w:style>
  <w:style w:type="character" w:customStyle="1" w:styleId="CommentTextChar">
    <w:name w:val="Comment Text Char"/>
    <w:link w:val="CommentText"/>
    <w:uiPriority w:val="99"/>
    <w:rsid w:val="008257F3"/>
    <w:rPr>
      <w:rFonts w:ascii="Courier" w:hAnsi="Courier"/>
    </w:rPr>
  </w:style>
  <w:style w:type="paragraph" w:styleId="BalloonText">
    <w:name w:val="Balloon Text"/>
    <w:basedOn w:val="Normal"/>
    <w:link w:val="BalloonTextChar"/>
    <w:uiPriority w:val="99"/>
    <w:semiHidden/>
    <w:unhideWhenUsed/>
    <w:rsid w:val="008257F3"/>
    <w:rPr>
      <w:rFonts w:ascii="Tahoma" w:hAnsi="Tahoma" w:cs="Tahoma"/>
      <w:sz w:val="16"/>
      <w:szCs w:val="16"/>
    </w:rPr>
  </w:style>
  <w:style w:type="character" w:customStyle="1" w:styleId="BalloonTextChar">
    <w:name w:val="Balloon Text Char"/>
    <w:link w:val="BalloonText"/>
    <w:uiPriority w:val="99"/>
    <w:semiHidden/>
    <w:rsid w:val="008257F3"/>
    <w:rPr>
      <w:rFonts w:ascii="Tahoma" w:hAnsi="Tahoma" w:cs="Tahoma"/>
      <w:sz w:val="16"/>
      <w:szCs w:val="16"/>
    </w:rPr>
  </w:style>
  <w:style w:type="paragraph" w:styleId="NormalWeb">
    <w:name w:val="Normal (Web)"/>
    <w:basedOn w:val="Normal"/>
    <w:uiPriority w:val="99"/>
    <w:unhideWhenUsed/>
    <w:rsid w:val="00736D49"/>
    <w:pPr>
      <w:widowControl/>
      <w:autoSpaceDE/>
      <w:autoSpaceDN/>
      <w:adjustRightInd/>
      <w:spacing w:before="100" w:beforeAutospacing="1" w:after="100" w:afterAutospacing="1"/>
    </w:pPr>
    <w:rPr>
      <w:rFonts w:ascii="Times New Roman" w:hAnsi="Times New Roman"/>
    </w:rPr>
  </w:style>
  <w:style w:type="character" w:customStyle="1" w:styleId="Heading5Char">
    <w:name w:val="Heading 5 Char"/>
    <w:link w:val="Heading5"/>
    <w:uiPriority w:val="9"/>
    <w:rsid w:val="00942168"/>
    <w:rPr>
      <w:b/>
      <w:bCs/>
    </w:rPr>
  </w:style>
  <w:style w:type="paragraph" w:styleId="ListParagraph">
    <w:name w:val="List Paragraph"/>
    <w:basedOn w:val="Normal"/>
    <w:uiPriority w:val="34"/>
    <w:qFormat/>
    <w:rsid w:val="007000E7"/>
    <w:pPr>
      <w:ind w:left="720"/>
      <w:contextualSpacing/>
    </w:pPr>
  </w:style>
  <w:style w:type="character" w:styleId="FollowedHyperlink">
    <w:name w:val="FollowedHyperlink"/>
    <w:uiPriority w:val="99"/>
    <w:semiHidden/>
    <w:unhideWhenUsed/>
    <w:rsid w:val="00D758ED"/>
    <w:rPr>
      <w:color w:val="800080"/>
      <w:u w:val="single"/>
    </w:rPr>
  </w:style>
  <w:style w:type="paragraph" w:styleId="CommentSubject">
    <w:name w:val="annotation subject"/>
    <w:basedOn w:val="CommentText"/>
    <w:next w:val="CommentText"/>
    <w:link w:val="CommentSubjectChar"/>
    <w:uiPriority w:val="99"/>
    <w:semiHidden/>
    <w:unhideWhenUsed/>
    <w:rsid w:val="001D7DBE"/>
    <w:rPr>
      <w:rFonts w:ascii="Times" w:hAnsi="Times"/>
      <w:b/>
      <w:bCs/>
    </w:rPr>
  </w:style>
  <w:style w:type="character" w:customStyle="1" w:styleId="CommentSubjectChar">
    <w:name w:val="Comment Subject Char"/>
    <w:link w:val="CommentSubject"/>
    <w:uiPriority w:val="99"/>
    <w:semiHidden/>
    <w:rsid w:val="001D7DBE"/>
    <w:rPr>
      <w:rFonts w:ascii="Times" w:hAnsi="Times"/>
      <w:b/>
      <w:bCs/>
    </w:rPr>
  </w:style>
  <w:style w:type="paragraph" w:styleId="FootnoteText">
    <w:name w:val="footnote text"/>
    <w:basedOn w:val="Normal"/>
    <w:link w:val="FootnoteTextChar"/>
    <w:rsid w:val="006E304E"/>
    <w:pPr>
      <w:widowControl/>
      <w:autoSpaceDE/>
      <w:autoSpaceDN/>
      <w:adjustRightInd/>
      <w:spacing w:after="200" w:line="276" w:lineRule="auto"/>
    </w:pPr>
    <w:rPr>
      <w:rFonts w:ascii="Calibri" w:eastAsia="Calibri" w:hAnsi="Calibri"/>
      <w:sz w:val="20"/>
      <w:szCs w:val="20"/>
      <w:lang w:bidi="en-US"/>
    </w:rPr>
  </w:style>
  <w:style w:type="character" w:customStyle="1" w:styleId="FootnoteTextChar">
    <w:name w:val="Footnote Text Char"/>
    <w:link w:val="FootnoteText"/>
    <w:rsid w:val="006E304E"/>
    <w:rPr>
      <w:rFonts w:ascii="Calibri" w:eastAsia="Calibri" w:hAnsi="Calibri"/>
      <w:lang w:bidi="en-US"/>
    </w:rPr>
  </w:style>
  <w:style w:type="paragraph" w:styleId="Header">
    <w:name w:val="header"/>
    <w:basedOn w:val="Normal"/>
    <w:link w:val="HeaderChar"/>
    <w:uiPriority w:val="99"/>
    <w:unhideWhenUsed/>
    <w:rsid w:val="00645D33"/>
    <w:pPr>
      <w:tabs>
        <w:tab w:val="center" w:pos="4680"/>
        <w:tab w:val="right" w:pos="9360"/>
      </w:tabs>
    </w:pPr>
  </w:style>
  <w:style w:type="character" w:customStyle="1" w:styleId="HeaderChar">
    <w:name w:val="Header Char"/>
    <w:link w:val="Header"/>
    <w:uiPriority w:val="99"/>
    <w:rsid w:val="00645D33"/>
    <w:rPr>
      <w:rFonts w:ascii="Times" w:hAnsi="Times"/>
      <w:sz w:val="24"/>
      <w:szCs w:val="24"/>
    </w:rPr>
  </w:style>
  <w:style w:type="paragraph" w:styleId="Footer">
    <w:name w:val="footer"/>
    <w:basedOn w:val="Normal"/>
    <w:link w:val="FooterChar"/>
    <w:uiPriority w:val="99"/>
    <w:unhideWhenUsed/>
    <w:rsid w:val="00645D33"/>
    <w:pPr>
      <w:tabs>
        <w:tab w:val="center" w:pos="4680"/>
        <w:tab w:val="right" w:pos="9360"/>
      </w:tabs>
    </w:pPr>
  </w:style>
  <w:style w:type="character" w:customStyle="1" w:styleId="FooterChar">
    <w:name w:val="Footer Char"/>
    <w:link w:val="Footer"/>
    <w:uiPriority w:val="99"/>
    <w:rsid w:val="00645D33"/>
    <w:rPr>
      <w:rFonts w:ascii="Times" w:hAnsi="Times"/>
      <w:sz w:val="24"/>
      <w:szCs w:val="24"/>
    </w:rPr>
  </w:style>
  <w:style w:type="paragraph" w:styleId="Revision">
    <w:name w:val="Revision"/>
    <w:hidden/>
    <w:uiPriority w:val="99"/>
    <w:semiHidden/>
    <w:rsid w:val="00BD721F"/>
    <w:rPr>
      <w:rFonts w:ascii="Times" w:hAnsi="Times"/>
      <w:sz w:val="24"/>
      <w:szCs w:val="24"/>
    </w:rPr>
  </w:style>
  <w:style w:type="character" w:customStyle="1" w:styleId="street-address">
    <w:name w:val="street-address"/>
    <w:rsid w:val="00805EDC"/>
  </w:style>
  <w:style w:type="character" w:customStyle="1" w:styleId="locality">
    <w:name w:val="locality"/>
    <w:rsid w:val="00805EDC"/>
  </w:style>
  <w:style w:type="character" w:customStyle="1" w:styleId="region">
    <w:name w:val="region"/>
    <w:rsid w:val="00805EDC"/>
  </w:style>
  <w:style w:type="character" w:customStyle="1" w:styleId="postal-code">
    <w:name w:val="postal-code"/>
    <w:rsid w:val="00805EDC"/>
  </w:style>
  <w:style w:type="character" w:customStyle="1" w:styleId="tel">
    <w:name w:val="tel"/>
    <w:rsid w:val="00805EDC"/>
  </w:style>
  <w:style w:type="character" w:styleId="Strong">
    <w:name w:val="Strong"/>
    <w:uiPriority w:val="22"/>
    <w:qFormat/>
    <w:rsid w:val="00CE7238"/>
    <w:rPr>
      <w:b/>
      <w:bCs/>
    </w:rPr>
  </w:style>
  <w:style w:type="character" w:styleId="UnresolvedMention">
    <w:name w:val="Unresolved Mention"/>
    <w:uiPriority w:val="99"/>
    <w:semiHidden/>
    <w:unhideWhenUsed/>
    <w:rsid w:val="00352CE2"/>
    <w:rPr>
      <w:color w:val="605E5C"/>
      <w:shd w:val="clear" w:color="auto" w:fill="E1DFDD"/>
    </w:rPr>
  </w:style>
  <w:style w:type="character" w:customStyle="1" w:styleId="normaltextrun">
    <w:name w:val="normaltextrun"/>
    <w:basedOn w:val="DefaultParagraphFont"/>
    <w:rsid w:val="006050CC"/>
  </w:style>
  <w:style w:type="character" w:customStyle="1" w:styleId="Heading1Char">
    <w:name w:val="Heading 1 Char"/>
    <w:basedOn w:val="DefaultParagraphFont"/>
    <w:link w:val="Heading1"/>
    <w:uiPriority w:val="9"/>
    <w:rsid w:val="00FF2AB5"/>
    <w:rPr>
      <w:b/>
      <w:bCs/>
      <w:sz w:val="24"/>
      <w:szCs w:val="24"/>
    </w:rPr>
  </w:style>
  <w:style w:type="character" w:customStyle="1" w:styleId="Heading2Char">
    <w:name w:val="Heading 2 Char"/>
    <w:basedOn w:val="DefaultParagraphFont"/>
    <w:link w:val="Heading2"/>
    <w:uiPriority w:val="9"/>
    <w:rsid w:val="00C84234"/>
    <w:rPr>
      <w:b/>
      <w:sz w:val="24"/>
      <w:szCs w:val="24"/>
    </w:rPr>
  </w:style>
  <w:style w:type="character" w:customStyle="1" w:styleId="Heading3Char">
    <w:name w:val="Heading 3 Char"/>
    <w:basedOn w:val="DefaultParagraphFont"/>
    <w:link w:val="Heading3"/>
    <w:uiPriority w:val="9"/>
    <w:rsid w:val="00C84234"/>
    <w:rPr>
      <w:b/>
      <w:bCs/>
      <w:sz w:val="24"/>
      <w:szCs w:val="24"/>
    </w:rPr>
  </w:style>
  <w:style w:type="character" w:customStyle="1" w:styleId="Heading4Char">
    <w:name w:val="Heading 4 Char"/>
    <w:basedOn w:val="DefaultParagraphFont"/>
    <w:link w:val="Heading4"/>
    <w:uiPriority w:val="9"/>
    <w:rsid w:val="00C84234"/>
    <w:rPr>
      <w:sz w:val="24"/>
      <w:szCs w:val="24"/>
      <w:u w:val="single"/>
    </w:rPr>
  </w:style>
  <w:style w:type="character" w:styleId="Mention">
    <w:name w:val="Mention"/>
    <w:basedOn w:val="DefaultParagraphFont"/>
    <w:uiPriority w:val="99"/>
    <w:unhideWhenUsed/>
    <w:rPr>
      <w:color w:val="2B579A"/>
      <w:shd w:val="clear" w:color="auto" w:fill="E6E6E6"/>
    </w:rPr>
  </w:style>
  <w:style w:type="table" w:styleId="GridTableLight">
    <w:name w:val="Grid Table Light"/>
    <w:basedOn w:val="TableNormal"/>
    <w:uiPriority w:val="40"/>
    <w:rsid w:val="004D5C5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hyperlink" Target="http://www.opm.gov/policy-data-oversight/pay-leave/salaries-wages/2025/general-schedule/" TargetMode="Externa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www.bls.gov/oes/current/oes_nat.htm" TargetMode="External" /><Relationship Id="rId9" Type="http://schemas.openxmlformats.org/officeDocument/2006/relationships/hyperlink" Target="http://www.bls.gov/news.release/ecec.nr0.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241A8F7DF8544FBFE3C199206173A2" ma:contentTypeVersion="10" ma:contentTypeDescription="Create a new document." ma:contentTypeScope="" ma:versionID="1bcecdacb7af4524c91c6d46b008f266">
  <xsd:schema xmlns:xsd="http://www.w3.org/2001/XMLSchema" xmlns:xs="http://www.w3.org/2001/XMLSchema" xmlns:p="http://schemas.microsoft.com/office/2006/metadata/properties" xmlns:ns2="fb35ac8b-78f8-4f5e-a48a-e58f70b88777" targetNamespace="http://schemas.microsoft.com/office/2006/metadata/properties" ma:root="true" ma:fieldsID="898a2f4f9c1997ea32b9ced3d23c202c" ns2:_="">
    <xsd:import namespace="fb35ac8b-78f8-4f5e-a48a-e58f70b887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35ac8b-78f8-4f5e-a48a-e58f70b887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c5df3ad-b4e5-45d1-88c9-23db5f1fe61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b35ac8b-78f8-4f5e-a48a-e58f70b8877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EA5F6B1-9700-4A71-BF97-346887B41E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35ac8b-78f8-4f5e-a48a-e58f70b887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519B73-F8C1-452B-90BE-D7E1892FEA58}">
  <ds:schemaRefs>
    <ds:schemaRef ds:uri="http://schemas.microsoft.com/sharepoint/v3/contenttype/forms"/>
  </ds:schemaRefs>
</ds:datastoreItem>
</file>

<file path=customXml/itemProps3.xml><?xml version="1.0" encoding="utf-8"?>
<ds:datastoreItem xmlns:ds="http://schemas.openxmlformats.org/officeDocument/2006/customXml" ds:itemID="{8CEA8C9E-F574-4E93-88D5-93FBF51344CF}">
  <ds:schemaRefs>
    <ds:schemaRef ds:uri="http://schemas.openxmlformats.org/officeDocument/2006/bibliography"/>
  </ds:schemaRefs>
</ds:datastoreItem>
</file>

<file path=customXml/itemProps4.xml><?xml version="1.0" encoding="utf-8"?>
<ds:datastoreItem xmlns:ds="http://schemas.openxmlformats.org/officeDocument/2006/customXml" ds:itemID="{35B7759E-87D2-4C05-AA50-F36AC95931E7}">
  <ds:schemaRefs>
    <ds:schemaRef ds:uri="http://schemas.microsoft.com/office/2006/metadata/properties"/>
    <ds:schemaRef ds:uri="http://schemas.microsoft.com/office/infopath/2007/PartnerControls"/>
    <ds:schemaRef ds:uri="fb35ac8b-78f8-4f5e-a48a-e58f70b88777"/>
  </ds:schemaRefs>
</ds:datastoreItem>
</file>

<file path=docMetadata/LabelInfo.xml><?xml version="1.0" encoding="utf-8"?>
<clbl:labelList xmlns:clbl="http://schemas.microsoft.com/office/2020/mipLabelMetadata">
  <clbl:label id="{6dd02d64-b7f3-43f7-a145-cfd68d338edf}" enabled="1" method="Standard" siteId="{0693b5ba-4b18-4d7b-9341-f32f400a5494}" removed="0"/>
</clbl:labelList>
</file>

<file path=docProps/app.xml><?xml version="1.0" encoding="utf-8"?>
<Properties xmlns="http://schemas.openxmlformats.org/officeDocument/2006/extended-properties" xmlns:vt="http://schemas.openxmlformats.org/officeDocument/2006/docPropsVTypes">
  <Template>Normal</Template>
  <TotalTime>0</TotalTime>
  <Pages>19</Pages>
  <Words>8933</Words>
  <Characters>48584</Characters>
  <Application>Microsoft Office Word</Application>
  <DocSecurity>0</DocSecurity>
  <Lines>1388</Lines>
  <Paragraphs>871</Paragraphs>
  <ScaleCrop>false</ScaleCrop>
  <Company/>
  <LinksUpToDate>false</LinksUpToDate>
  <CharactersWithSpaces>56646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Cowan, Peter I</dc:creator>
  <cp:lastModifiedBy>King, Darrin A</cp:lastModifiedBy>
  <cp:revision>3</cp:revision>
  <dcterms:created xsi:type="dcterms:W3CDTF">2026-06-24T15:49:00Z</dcterms:created>
  <dcterms:modified xsi:type="dcterms:W3CDTF">2026-06-24T15:49:00Z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0x010100A8241A8F7DF8544FBFE3C199206173A2</vt:lpwstr>
  </property>
  <property fmtid="{D5CDD505-2E9C-101B-9397-08002B2CF9AE}" pid="3" name="MediaServiceImageTags">
    <vt:lpwstr/>
  </property>
</Properties>
</file>