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F044A8" w:rsidP="00E86973" w14:paraId="020E00A2"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r>
        <w:rPr>
          <w:rFonts w:ascii="Times New Roman" w:hAnsi="Times New Roman"/>
          <w:b/>
          <w:bCs/>
        </w:rPr>
        <w:t xml:space="preserve"> </w:t>
      </w:r>
    </w:p>
    <w:p w:rsidR="00690F56" w:rsidRPr="00A47DA7" w:rsidP="00E86973" w14:paraId="7E97B93F" w14:textId="1FA11777">
      <w:pPr>
        <w:widowControl/>
        <w:tabs>
          <w:tab w:val="left" w:pos="720"/>
        </w:tabs>
        <w:ind w:left="720" w:hanging="1440"/>
        <w:jc w:val="center"/>
        <w:rPr>
          <w:rFonts w:ascii="Times New Roman" w:hAnsi="Times New Roman"/>
          <w:b/>
          <w:bCs/>
        </w:rPr>
      </w:pPr>
      <w:bookmarkStart w:id="0" w:name="OLE_LINK32"/>
      <w:r>
        <w:rPr>
          <w:rFonts w:ascii="Times New Roman" w:hAnsi="Times New Roman"/>
          <w:b/>
          <w:bCs/>
        </w:rPr>
        <w:t>ELECTRONIC APPLICATIONS FOR THE ATTORNEY GENERAL’S HONORS PROGRAM AND THE SUMMER LAW INTERN PROGRAM</w:t>
      </w:r>
    </w:p>
    <w:bookmarkEnd w:id="0"/>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043F" w:rsidRPr="00D802D6" w:rsidP="00D802D6" w14:paraId="386CE7D5" w14:textId="2831EC81">
      <w:pPr>
        <w:pStyle w:val="paragraph"/>
        <w:textAlignment w:val="baseline"/>
        <w:rPr>
          <w:color w:val="000000"/>
        </w:rPr>
      </w:pPr>
      <w:r w:rsidRPr="00F044A8">
        <w:rPr>
          <w:color w:val="000000"/>
        </w:rPr>
        <w:t xml:space="preserve">Pursuant to </w:t>
      </w:r>
      <w:bookmarkStart w:id="1" w:name="OLE_LINK22"/>
      <w:r w:rsidRPr="00F044A8">
        <w:rPr>
          <w:color w:val="000000"/>
        </w:rPr>
        <w:t>28 C.F.R. § 0.15</w:t>
      </w:r>
      <w:bookmarkEnd w:id="1"/>
      <w:r w:rsidRPr="00F044A8">
        <w:rPr>
          <w:color w:val="000000"/>
        </w:rPr>
        <w:t xml:space="preserve">, the Deputy Attorney General of the United States Department of Justice has the responsibility for administering the Department’s recruitment programs for law graduates and law students. This includes hiring third-year law students and recent law school graduates (e.g., legal fellows, graduate law students and judicial law clerks) for full-time employment following graduation or completion of a qualifying post-law school activity through the Attorney General’s Honors Program and hiring compensated legal interns, primarily </w:t>
      </w:r>
      <w:r w:rsidR="000C5492">
        <w:rPr>
          <w:color w:val="000000"/>
        </w:rPr>
        <w:t xml:space="preserve">rising </w:t>
      </w:r>
      <w:r w:rsidRPr="00F044A8">
        <w:rPr>
          <w:color w:val="000000"/>
        </w:rPr>
        <w:t>second-year law students, for summer employment through the Summer Law Intern Program.  The Honors Program has been in existence since 1953 and is considered the Federal Government's premier legal recruitment program.</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8A06D7" w:rsidRPr="008A06D7" w:rsidP="008A06D7" w14:paraId="09582F44" w14:textId="3F6CD952">
      <w:pPr>
        <w:rPr>
          <w:rFonts w:ascii="Times New Roman" w:hAnsi="Times New Roman"/>
        </w:rPr>
      </w:pPr>
      <w:r w:rsidRPr="008A06D7">
        <w:rPr>
          <w:rFonts w:ascii="Times New Roman" w:hAnsi="Times New Roman"/>
        </w:rPr>
        <w:t xml:space="preserve">The Deputy Attorney General has delegated the responsibility for administering these programs to the Director, Office of Attorney Recruitment and Management (OARM), pursuant to 28 C.F.R. § 0.15(c) and 0.15(e). OARM, together with Department representatives who make the ultimate hiring </w:t>
      </w:r>
      <w:r w:rsidR="00082EF7">
        <w:rPr>
          <w:rFonts w:ascii="Times New Roman" w:hAnsi="Times New Roman"/>
        </w:rPr>
        <w:t>selections</w:t>
      </w:r>
      <w:r w:rsidRPr="008A06D7">
        <w:rPr>
          <w:rFonts w:ascii="Times New Roman" w:hAnsi="Times New Roman"/>
        </w:rPr>
        <w:t>, designed</w:t>
      </w:r>
      <w:r w:rsidR="002472F2">
        <w:rPr>
          <w:rFonts w:ascii="Times New Roman" w:hAnsi="Times New Roman"/>
        </w:rPr>
        <w:t>,</w:t>
      </w:r>
      <w:r w:rsidRPr="008A06D7">
        <w:rPr>
          <w:rFonts w:ascii="Times New Roman" w:hAnsi="Times New Roman"/>
        </w:rPr>
        <w:t xml:space="preserve"> developed</w:t>
      </w:r>
      <w:r w:rsidR="002472F2">
        <w:rPr>
          <w:rFonts w:ascii="Times New Roman" w:hAnsi="Times New Roman"/>
        </w:rPr>
        <w:t>, and uses</w:t>
      </w:r>
      <w:r w:rsidRPr="008A06D7">
        <w:rPr>
          <w:rFonts w:ascii="Times New Roman" w:hAnsi="Times New Roman"/>
        </w:rPr>
        <w:t xml:space="preserve"> electronic applications</w:t>
      </w:r>
      <w:r w:rsidR="002472F2">
        <w:rPr>
          <w:rFonts w:ascii="Times New Roman" w:hAnsi="Times New Roman"/>
        </w:rPr>
        <w:t xml:space="preserve"> </w:t>
      </w:r>
      <w:r w:rsidRPr="008A06D7">
        <w:rPr>
          <w:rFonts w:ascii="Times New Roman" w:hAnsi="Times New Roman"/>
        </w:rPr>
        <w:t>for both the Attorney General’s Honors Program (HP) and Summer Law Intern Program (SLIP) to collect the information considered essential to make informed hiring decisions about applicants</w:t>
      </w:r>
      <w:r w:rsidR="007F204F">
        <w:rPr>
          <w:rFonts w:ascii="Times New Roman" w:hAnsi="Times New Roman"/>
        </w:rPr>
        <w:t xml:space="preserve"> (e.g., eligibility, qualifications, and interests)</w:t>
      </w:r>
      <w:r w:rsidRPr="008A06D7">
        <w:rPr>
          <w:rFonts w:ascii="Times New Roman" w:hAnsi="Times New Roman"/>
        </w:rPr>
        <w:t>.</w:t>
      </w:r>
      <w:r>
        <w:rPr>
          <w:rFonts w:ascii="Times New Roman" w:hAnsi="Times New Roman"/>
        </w:rPr>
        <w:t xml:space="preserve"> </w:t>
      </w:r>
    </w:p>
    <w:p w:rsidR="00690F56" w:rsidRPr="00802A30" w:rsidP="0033578D" w14:paraId="6EBE63D5" w14:textId="1719F10A">
      <w:pPr>
        <w:widowControl/>
        <w:rPr>
          <w:rFonts w:ascii="Times New Roman" w:hAnsi="Times New Roman"/>
        </w:rPr>
      </w:pPr>
    </w:p>
    <w:p w:rsidR="00690F56" w:rsidRPr="00D53DEB" w:rsidP="00690F56" w14:paraId="1908DC84" w14:textId="468E2E1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bookmarkStart w:id="2" w:name="OLE_LINK45"/>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A7B85" w:rsidRPr="006A7B85" w:rsidP="006A7B85" w14:paraId="765B67B6" w14:textId="3D78F80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OARM centrally manages the HP/SLIP. As part of its management functions, OARM contracts with </w:t>
      </w:r>
      <w:r w:rsidRPr="006A7B85">
        <w:rPr>
          <w:rFonts w:ascii="Times New Roman" w:hAnsi="Times New Roman"/>
        </w:rPr>
        <w:t>Avue Digital Services (Avue)</w:t>
      </w:r>
      <w:r>
        <w:rPr>
          <w:rFonts w:ascii="Times New Roman" w:hAnsi="Times New Roman"/>
        </w:rPr>
        <w:t xml:space="preserve">, </w:t>
      </w:r>
      <w:r w:rsidRPr="006A7B85">
        <w:rPr>
          <w:rFonts w:ascii="Times New Roman" w:hAnsi="Times New Roman"/>
        </w:rPr>
        <w:t>a personnel management system provided by Avue Technologies</w:t>
      </w:r>
      <w:r>
        <w:rPr>
          <w:rFonts w:ascii="Times New Roman" w:hAnsi="Times New Roman"/>
        </w:rPr>
        <w:t xml:space="preserve"> Corporation, for </w:t>
      </w:r>
      <w:r w:rsidR="00093A8E">
        <w:rPr>
          <w:rFonts w:ascii="Times New Roman" w:hAnsi="Times New Roman"/>
        </w:rPr>
        <w:t xml:space="preserve">an </w:t>
      </w:r>
      <w:r w:rsidRPr="00093A8E" w:rsidR="00093A8E">
        <w:rPr>
          <w:rFonts w:ascii="Times New Roman" w:hAnsi="Times New Roman"/>
        </w:rPr>
        <w:t>online application and applicant management system tailored specifically for the HP</w:t>
      </w:r>
      <w:r w:rsidR="00093A8E">
        <w:rPr>
          <w:rFonts w:ascii="Times New Roman" w:hAnsi="Times New Roman"/>
        </w:rPr>
        <w:t xml:space="preserve"> </w:t>
      </w:r>
      <w:r w:rsidRPr="00093A8E" w:rsidR="00093A8E">
        <w:rPr>
          <w:rFonts w:ascii="Times New Roman" w:hAnsi="Times New Roman"/>
        </w:rPr>
        <w:t>and SLIP in a Software as a Service (SaaS) solution. Specifically, job applicants use the system to</w:t>
      </w:r>
      <w:r w:rsidR="00093A8E">
        <w:rPr>
          <w:rFonts w:ascii="Times New Roman" w:hAnsi="Times New Roman"/>
        </w:rPr>
        <w:t xml:space="preserve"> </w:t>
      </w:r>
      <w:r w:rsidRPr="00093A8E" w:rsidR="00093A8E">
        <w:rPr>
          <w:rFonts w:ascii="Times New Roman" w:hAnsi="Times New Roman"/>
        </w:rPr>
        <w:t>apply online and OARM personnel and authorized DOJ hiring organizations use the system as a</w:t>
      </w:r>
      <w:r w:rsidR="00093A8E">
        <w:rPr>
          <w:rFonts w:ascii="Times New Roman" w:hAnsi="Times New Roman"/>
        </w:rPr>
        <w:t xml:space="preserve"> </w:t>
      </w:r>
      <w:r w:rsidRPr="00093A8E" w:rsidR="00093A8E">
        <w:rPr>
          <w:rFonts w:ascii="Times New Roman" w:hAnsi="Times New Roman"/>
        </w:rPr>
        <w:t xml:space="preserve">managerial portal to oversee the hiring process. Position and </w:t>
      </w:r>
      <w:r w:rsidRPr="00093A8E" w:rsidR="00093A8E">
        <w:rPr>
          <w:rFonts w:ascii="Times New Roman" w:hAnsi="Times New Roman"/>
        </w:rPr>
        <w:t xml:space="preserve">applicant information </w:t>
      </w:r>
      <w:r w:rsidR="006572F6">
        <w:rPr>
          <w:rFonts w:ascii="Times New Roman" w:hAnsi="Times New Roman"/>
        </w:rPr>
        <w:t>is</w:t>
      </w:r>
      <w:r w:rsidRPr="00093A8E" w:rsidR="00093A8E">
        <w:rPr>
          <w:rFonts w:ascii="Times New Roman" w:hAnsi="Times New Roman"/>
        </w:rPr>
        <w:t xml:space="preserve"> shared, as is</w:t>
      </w:r>
      <w:r w:rsidR="00093A8E">
        <w:rPr>
          <w:rFonts w:ascii="Times New Roman" w:hAnsi="Times New Roman"/>
        </w:rPr>
        <w:t xml:space="preserve"> </w:t>
      </w:r>
      <w:r w:rsidRPr="00093A8E" w:rsidR="00093A8E">
        <w:rPr>
          <w:rFonts w:ascii="Times New Roman" w:hAnsi="Times New Roman"/>
        </w:rPr>
        <w:t>necessary and appropriate, with Component Human Resources (HR), managers, selecting officials,</w:t>
      </w:r>
      <w:r w:rsidR="00093A8E">
        <w:rPr>
          <w:rFonts w:ascii="Times New Roman" w:hAnsi="Times New Roman"/>
        </w:rPr>
        <w:t xml:space="preserve"> </w:t>
      </w:r>
      <w:r w:rsidRPr="00093A8E" w:rsidR="00093A8E">
        <w:rPr>
          <w:rFonts w:ascii="Times New Roman" w:hAnsi="Times New Roman"/>
        </w:rPr>
        <w:t>and hiring committees.</w:t>
      </w:r>
      <w:r w:rsidR="00093A8E">
        <w:rPr>
          <w:rFonts w:ascii="Times New Roman" w:hAnsi="Times New Roman"/>
        </w:rPr>
        <w:t xml:space="preserve"> The HP/SLIP application </w:t>
      </w:r>
    </w:p>
    <w:p w:rsidR="006A7B85" w:rsidRPr="006A7B85" w:rsidP="006A7B85" w14:paraId="0311C4FE" w14:textId="4B14109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7B85">
        <w:rPr>
          <w:rFonts w:ascii="Times New Roman" w:hAnsi="Times New Roman"/>
        </w:rPr>
        <w:t>allows job applicants to apply for employment</w:t>
      </w:r>
      <w:r w:rsidR="00AB34B7">
        <w:rPr>
          <w:rFonts w:ascii="Times New Roman" w:hAnsi="Times New Roman"/>
        </w:rPr>
        <w:t xml:space="preserve"> with hiring organizations (updated annually)</w:t>
      </w:r>
      <w:r w:rsidRPr="006A7B85">
        <w:rPr>
          <w:rFonts w:ascii="Times New Roman" w:hAnsi="Times New Roman"/>
        </w:rPr>
        <w:t xml:space="preserve"> during an annual recruitment cycle. In addition, Avue is a managerial portal where OARM can review applicant eligibility, track hiring by multiple components throughout the hiring cycle, conduct outreach to fill ad hoc vacancies, communicate with applicants, post real-time status updates, and generate aggregate application workflow data.</w:t>
      </w:r>
    </w:p>
    <w:p w:rsidR="006A7B85" w:rsidRPr="006A7B85" w:rsidP="006A7B85" w14:paraId="5BBEFD5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P="006A7B85" w14:paraId="711B75A7" w14:textId="56758B1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7B85">
        <w:rPr>
          <w:rFonts w:ascii="Times New Roman" w:hAnsi="Times New Roman"/>
        </w:rPr>
        <w:t xml:space="preserve">Applicants may create an account and submit applications during the annual open season </w:t>
      </w:r>
      <w:r w:rsidR="002764E8">
        <w:rPr>
          <w:rFonts w:ascii="Times New Roman" w:hAnsi="Times New Roman"/>
        </w:rPr>
        <w:t>(</w:t>
      </w:r>
      <w:r w:rsidRPr="006A7B85">
        <w:rPr>
          <w:rFonts w:ascii="Times New Roman" w:hAnsi="Times New Roman"/>
        </w:rPr>
        <w:t>typically July 31 through the Tuesday after Labor Day). DOJ employees in participating components can log into Avue with credentials that are created by Avue after OARM staff submit a</w:t>
      </w:r>
      <w:r w:rsidR="00093A8E">
        <w:rPr>
          <w:rFonts w:ascii="Times New Roman" w:hAnsi="Times New Roman"/>
        </w:rPr>
        <w:t xml:space="preserve"> </w:t>
      </w:r>
      <w:r w:rsidRPr="006A7B85">
        <w:rPr>
          <w:rFonts w:ascii="Times New Roman" w:hAnsi="Times New Roman"/>
        </w:rPr>
        <w:t>user management request.</w:t>
      </w:r>
    </w:p>
    <w:p w:rsidR="002A06AE" w:rsidP="006A7B85" w14:paraId="130D502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A06AE" w:rsidP="000C5492" w14:paraId="4D5E5AF9" w14:textId="4036D84A">
      <w:pPr>
        <w:widowControl/>
        <w:tabs>
          <w:tab w:val="left" w:pos="720"/>
        </w:tabs>
        <w:rPr>
          <w:rFonts w:ascii="Times New Roman" w:eastAsia="Calibri" w:hAnsi="Times New Roman"/>
        </w:rPr>
      </w:pPr>
      <w:bookmarkStart w:id="3" w:name="OLE_LINK40"/>
      <w:r>
        <w:rPr>
          <w:rFonts w:ascii="Times New Roman" w:eastAsia="Calibri" w:hAnsi="Times New Roman"/>
        </w:rPr>
        <w:t>Candidates enter information pertinent to legal employment on a series of electronic screens (the number of screens varies by Program; hiring organizations vary by year). The data is then certified and submitted into a database for OARM review and transmission to the components that consider the candidates for legal employment. The candidate is automatically notified by e-mail that his/her application has been received when he/she certifies and submits his/her electronic application, and provided other hiring status updates throughout the hiring cycle. All communications issued to candidates during the hiring cycle through this platform attach to the individual’s application.</w:t>
      </w:r>
    </w:p>
    <w:p w:rsidR="002A06AE" w:rsidP="002A06AE" w14:paraId="70716BE4" w14:textId="77777777">
      <w:pPr>
        <w:tabs>
          <w:tab w:val="left" w:pos="720"/>
        </w:tabs>
        <w:rPr>
          <w:rFonts w:ascii="Times New Roman" w:eastAsia="Calibri" w:hAnsi="Times New Roman"/>
        </w:rPr>
      </w:pPr>
    </w:p>
    <w:bookmarkEnd w:id="3"/>
    <w:p w:rsidR="00690F56" w:rsidRPr="006A4637" w:rsidP="00690F56" w14:paraId="1EFFB376" w14:textId="42C162D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eastAsia="Calibri" w:hAnsi="Times New Roman"/>
        </w:rPr>
        <w:t>As noted in paragraph 6, below, the HP/SLIP hiring process operates on an expedited hiring timeline</w:t>
      </w:r>
      <w:r w:rsidR="00505546">
        <w:rPr>
          <w:rFonts w:ascii="Times New Roman" w:eastAsia="Calibri" w:hAnsi="Times New Roman"/>
        </w:rPr>
        <w:t xml:space="preserve"> to remain co</w:t>
      </w:r>
      <w:r w:rsidR="00505546">
        <w:rPr>
          <w:rFonts w:ascii="Times New Roman" w:hAnsi="Times New Roman"/>
        </w:rPr>
        <w:t xml:space="preserve">mpetitive with private-sector employers, which mandates an </w:t>
      </w:r>
      <w:r w:rsidRPr="00505546" w:rsidR="00505546">
        <w:rPr>
          <w:rFonts w:ascii="Times New Roman" w:hAnsi="Times New Roman"/>
        </w:rPr>
        <w:t xml:space="preserve">application form that provides the concise information needed to evaluate the volume of applications </w:t>
      </w:r>
      <w:r w:rsidR="00505546">
        <w:rPr>
          <w:rFonts w:ascii="Times New Roman" w:hAnsi="Times New Roman"/>
        </w:rPr>
        <w:t xml:space="preserve">the Department </w:t>
      </w:r>
      <w:r w:rsidRPr="00505546" w:rsidR="00505546">
        <w:rPr>
          <w:rFonts w:ascii="Times New Roman" w:hAnsi="Times New Roman"/>
        </w:rPr>
        <w:t>receives each year in a timely manner.</w:t>
      </w:r>
    </w:p>
    <w:bookmarkEnd w:id="2"/>
    <w:p w:rsidR="007C54C2" w:rsidP="00690F56" w14:paraId="22AF54D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p>
    <w:p w:rsidR="00690F56" w:rsidRPr="00D53DEB" w:rsidP="00690F56" w14:paraId="529483DE" w14:textId="3BB4D07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F204F" w:rsidRPr="007F204F" w:rsidP="007F204F" w14:paraId="2CC368DA" w14:textId="597BC10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90A38">
        <w:rPr>
          <w:rFonts w:ascii="Times New Roman" w:hAnsi="Times New Roman"/>
        </w:rPr>
        <w:t>OARM is the only office within the Department that collects this data.</w:t>
      </w:r>
      <w:r>
        <w:rPr>
          <w:rFonts w:ascii="Times New Roman" w:hAnsi="Times New Roman"/>
        </w:rPr>
        <w:t xml:space="preserve"> </w:t>
      </w:r>
      <w:r w:rsidRPr="007F204F">
        <w:rPr>
          <w:rFonts w:ascii="Times New Roman" w:hAnsi="Times New Roman"/>
        </w:rPr>
        <w:t xml:space="preserve">There is no existing source for collecting the information requested on the application. For example, resumes </w:t>
      </w:r>
      <w:r w:rsidR="00082EF7">
        <w:rPr>
          <w:rFonts w:ascii="Times New Roman" w:hAnsi="Times New Roman"/>
        </w:rPr>
        <w:t xml:space="preserve">generally </w:t>
      </w:r>
      <w:r w:rsidRPr="007F204F">
        <w:rPr>
          <w:rFonts w:ascii="Times New Roman" w:hAnsi="Times New Roman"/>
        </w:rPr>
        <w:t>do not provide the information needed to determine if a candidate is eligible for the Programs</w:t>
      </w:r>
      <w:r>
        <w:rPr>
          <w:rFonts w:ascii="Times New Roman" w:hAnsi="Times New Roman"/>
        </w:rPr>
        <w:t xml:space="preserve"> nor do they </w:t>
      </w:r>
      <w:r w:rsidRPr="007F204F">
        <w:rPr>
          <w:rFonts w:ascii="Times New Roman" w:hAnsi="Times New Roman"/>
        </w:rPr>
        <w:t xml:space="preserve">follow a standard format that allows for swift review or data input of the </w:t>
      </w:r>
      <w:r w:rsidR="00124A96">
        <w:rPr>
          <w:rFonts w:ascii="Times New Roman" w:hAnsi="Times New Roman"/>
        </w:rPr>
        <w:t xml:space="preserve">requisite </w:t>
      </w:r>
      <w:r w:rsidRPr="007F204F">
        <w:rPr>
          <w:rFonts w:ascii="Times New Roman" w:hAnsi="Times New Roman"/>
        </w:rPr>
        <w:t xml:space="preserve">information </w:t>
      </w:r>
      <w:r w:rsidR="00124A96">
        <w:rPr>
          <w:rFonts w:ascii="Times New Roman" w:hAnsi="Times New Roman"/>
        </w:rPr>
        <w:t>for</w:t>
      </w:r>
      <w:r w:rsidRPr="007F204F">
        <w:rPr>
          <w:rFonts w:ascii="Times New Roman" w:hAnsi="Times New Roman"/>
        </w:rPr>
        <w:t xml:space="preserve"> the application. (The </w:t>
      </w:r>
      <w:r w:rsidR="00082EF7">
        <w:rPr>
          <w:rFonts w:ascii="Times New Roman" w:hAnsi="Times New Roman"/>
        </w:rPr>
        <w:t>collection</w:t>
      </w:r>
      <w:r w:rsidRPr="007F204F">
        <w:rPr>
          <w:rFonts w:ascii="Times New Roman" w:hAnsi="Times New Roman"/>
        </w:rPr>
        <w:t xml:space="preserve"> of certain data from the </w:t>
      </w:r>
      <w:r w:rsidRPr="007F204F" w:rsidR="00187019">
        <w:rPr>
          <w:rFonts w:ascii="Times New Roman" w:hAnsi="Times New Roman"/>
        </w:rPr>
        <w:t>applica</w:t>
      </w:r>
      <w:r w:rsidR="00187019">
        <w:rPr>
          <w:rFonts w:ascii="Times New Roman" w:hAnsi="Times New Roman"/>
        </w:rPr>
        <w:t>nt</w:t>
      </w:r>
      <w:r w:rsidRPr="007F204F" w:rsidR="00187019">
        <w:rPr>
          <w:rFonts w:ascii="Times New Roman" w:hAnsi="Times New Roman"/>
        </w:rPr>
        <w:t xml:space="preserve"> </w:t>
      </w:r>
      <w:r w:rsidRPr="007F204F">
        <w:rPr>
          <w:rFonts w:ascii="Times New Roman" w:hAnsi="Times New Roman"/>
        </w:rPr>
        <w:t xml:space="preserve">is critical to the successful operation of the Programs. </w:t>
      </w:r>
      <w:r w:rsidR="00124A96">
        <w:rPr>
          <w:rFonts w:ascii="Times New Roman" w:hAnsi="Times New Roman"/>
        </w:rPr>
        <w:t>Th</w:t>
      </w:r>
      <w:r w:rsidR="00082EF7">
        <w:rPr>
          <w:rFonts w:ascii="Times New Roman" w:hAnsi="Times New Roman"/>
        </w:rPr>
        <w:t xml:space="preserve">e collection of certain </w:t>
      </w:r>
      <w:r w:rsidRPr="007F204F">
        <w:rPr>
          <w:rFonts w:ascii="Times New Roman" w:hAnsi="Times New Roman"/>
        </w:rPr>
        <w:t xml:space="preserve">data </w:t>
      </w:r>
      <w:r w:rsidR="00C96DC3">
        <w:rPr>
          <w:rFonts w:ascii="Times New Roman" w:hAnsi="Times New Roman"/>
        </w:rPr>
        <w:t xml:space="preserve">triggers the </w:t>
      </w:r>
      <w:r w:rsidRPr="007F204F">
        <w:rPr>
          <w:rFonts w:ascii="Times New Roman" w:hAnsi="Times New Roman"/>
        </w:rPr>
        <w:t>generat</w:t>
      </w:r>
      <w:r w:rsidR="00124A96">
        <w:rPr>
          <w:rFonts w:ascii="Times New Roman" w:hAnsi="Times New Roman"/>
        </w:rPr>
        <w:t xml:space="preserve">ion of </w:t>
      </w:r>
      <w:r w:rsidRPr="007F204F">
        <w:rPr>
          <w:rFonts w:ascii="Times New Roman" w:hAnsi="Times New Roman"/>
        </w:rPr>
        <w:t>electronic status</w:t>
      </w:r>
      <w:r>
        <w:rPr>
          <w:rFonts w:ascii="Times New Roman" w:hAnsi="Times New Roman"/>
        </w:rPr>
        <w:t xml:space="preserve"> updates, selection</w:t>
      </w:r>
      <w:r w:rsidRPr="007F204F">
        <w:rPr>
          <w:rFonts w:ascii="Times New Roman" w:hAnsi="Times New Roman"/>
        </w:rPr>
        <w:t>/rejection notifications</w:t>
      </w:r>
      <w:r>
        <w:rPr>
          <w:rFonts w:ascii="Times New Roman" w:hAnsi="Times New Roman"/>
        </w:rPr>
        <w:t>, instructional</w:t>
      </w:r>
      <w:r w:rsidRPr="007F204F">
        <w:rPr>
          <w:rFonts w:ascii="Times New Roman" w:hAnsi="Times New Roman"/>
        </w:rPr>
        <w:t xml:space="preserve"> email messages for each applicant</w:t>
      </w:r>
      <w:r>
        <w:rPr>
          <w:rFonts w:ascii="Times New Roman" w:hAnsi="Times New Roman"/>
        </w:rPr>
        <w:t>,</w:t>
      </w:r>
      <w:r w:rsidRPr="007F204F">
        <w:rPr>
          <w:rFonts w:ascii="Times New Roman" w:hAnsi="Times New Roman"/>
        </w:rPr>
        <w:t xml:space="preserve"> and numerous statuses and statistical reports for the Department.)  </w:t>
      </w:r>
    </w:p>
    <w:p w:rsidR="007F204F" w:rsidRPr="007F204F" w:rsidP="007F204F" w14:paraId="5F9A3E9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F204F">
        <w:rPr>
          <w:rFonts w:ascii="Times New Roman" w:hAnsi="Times New Roman"/>
        </w:rPr>
        <w:tab/>
      </w:r>
    </w:p>
    <w:p w:rsidR="00C25E66" w:rsidP="007F204F" w14:paraId="1F4E2827" w14:textId="2AB8884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F204F">
        <w:rPr>
          <w:rFonts w:ascii="Times New Roman" w:hAnsi="Times New Roman"/>
        </w:rPr>
        <w:t>No standard forms currently in use lend themselves to collection of the information needed by  the Department of Justice</w:t>
      </w:r>
      <w:r w:rsidR="00124A96">
        <w:rPr>
          <w:rFonts w:ascii="Times New Roman" w:hAnsi="Times New Roman"/>
        </w:rPr>
        <w:t>’s</w:t>
      </w:r>
      <w:r w:rsidRPr="007F204F">
        <w:rPr>
          <w:rFonts w:ascii="Times New Roman" w:hAnsi="Times New Roman"/>
        </w:rPr>
        <w:t xml:space="preserve"> </w:t>
      </w:r>
      <w:r w:rsidR="00124A96">
        <w:rPr>
          <w:rFonts w:ascii="Times New Roman" w:hAnsi="Times New Roman"/>
        </w:rPr>
        <w:t>HP and SLIP</w:t>
      </w:r>
      <w:r w:rsidRPr="007F204F">
        <w:rPr>
          <w:rFonts w:ascii="Times New Roman" w:hAnsi="Times New Roman"/>
        </w:rPr>
        <w:t xml:space="preserve"> hiring programs (e.g., </w:t>
      </w:r>
      <w:r w:rsidR="00690A38">
        <w:rPr>
          <w:rFonts w:ascii="Times New Roman" w:hAnsi="Times New Roman"/>
        </w:rPr>
        <w:t>law school</w:t>
      </w:r>
      <w:r w:rsidR="00CE186B">
        <w:rPr>
          <w:rFonts w:ascii="Times New Roman" w:hAnsi="Times New Roman"/>
        </w:rPr>
        <w:t xml:space="preserve"> </w:t>
      </w:r>
      <w:r w:rsidRPr="007F204F">
        <w:rPr>
          <w:rFonts w:ascii="Times New Roman" w:hAnsi="Times New Roman"/>
        </w:rPr>
        <w:t>class rank</w:t>
      </w:r>
      <w:r>
        <w:rPr>
          <w:rFonts w:ascii="Times New Roman" w:hAnsi="Times New Roman"/>
        </w:rPr>
        <w:t xml:space="preserve"> and other academic achievement</w:t>
      </w:r>
      <w:r w:rsidRPr="007F204F">
        <w:rPr>
          <w:rFonts w:ascii="Times New Roman" w:hAnsi="Times New Roman"/>
        </w:rPr>
        <w:t>, participation in law review, participation in moot court</w:t>
      </w:r>
      <w:r w:rsidR="00690A38">
        <w:rPr>
          <w:rFonts w:ascii="Times New Roman" w:hAnsi="Times New Roman"/>
        </w:rPr>
        <w:t>/mock trial</w:t>
      </w:r>
      <w:r w:rsidRPr="007F204F">
        <w:rPr>
          <w:rFonts w:ascii="Times New Roman" w:hAnsi="Times New Roman"/>
        </w:rPr>
        <w:t xml:space="preserve"> or legal clinical programs, </w:t>
      </w:r>
      <w:r>
        <w:rPr>
          <w:rFonts w:ascii="Times New Roman" w:hAnsi="Times New Roman"/>
        </w:rPr>
        <w:t xml:space="preserve">relevant experience, written and oral communication skills, public service interest, </w:t>
      </w:r>
      <w:r w:rsidRPr="007F204F">
        <w:rPr>
          <w:rFonts w:ascii="Times New Roman" w:hAnsi="Times New Roman"/>
        </w:rPr>
        <w:t xml:space="preserve">past or future graduation dates, </w:t>
      </w:r>
      <w:r>
        <w:rPr>
          <w:rFonts w:ascii="Times New Roman" w:hAnsi="Times New Roman"/>
        </w:rPr>
        <w:t>extracurricular</w:t>
      </w:r>
      <w:r w:rsidRPr="007F204F">
        <w:rPr>
          <w:rFonts w:ascii="Times New Roman" w:hAnsi="Times New Roman"/>
        </w:rPr>
        <w:t xml:space="preserve"> activities and legal externships</w:t>
      </w:r>
      <w:r w:rsidR="00690A38">
        <w:rPr>
          <w:rFonts w:ascii="Times New Roman" w:hAnsi="Times New Roman"/>
        </w:rPr>
        <w:t>, judicial clerkships/legal fellowships</w:t>
      </w:r>
      <w:r w:rsidRPr="007F204F">
        <w:rPr>
          <w:rFonts w:ascii="Times New Roman" w:hAnsi="Times New Roman"/>
        </w:rPr>
        <w:t xml:space="preserve">). Absent collection of the relevant information needed by </w:t>
      </w:r>
      <w:r w:rsidRPr="007F204F">
        <w:rPr>
          <w:rFonts w:ascii="Times New Roman" w:hAnsi="Times New Roman"/>
        </w:rPr>
        <w:t xml:space="preserve">the Department, hiring officials would not be able to identify the best qualified candidates for the position.  </w:t>
      </w:r>
    </w:p>
    <w:p w:rsidR="007F204F" w:rsidRPr="00A973AA" w:rsidP="007F204F" w14:paraId="42E6826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E186B" w:rsidP="00690F56" w14:paraId="7723648B" w14:textId="6B7C213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E186B">
        <w:rPr>
          <w:rFonts w:ascii="Times New Roman" w:hAnsi="Times New Roman"/>
        </w:rPr>
        <w:t xml:space="preserve">Formal hiring via the Honors and Summer Law Intern Programs is conducted once per year. It is the only way the Department hires entry-level attorneys and compensated legal interns. Students hired under the SLIP may be "funneled" (hired directly after serving as a SLIP) into the Honors Program. Thus, this Program is equally vital to the Department. </w:t>
      </w:r>
      <w:r w:rsidR="00332543">
        <w:rPr>
          <w:rFonts w:ascii="Times New Roman" w:hAnsi="Times New Roman"/>
        </w:rPr>
        <w:t>Eliminating</w:t>
      </w:r>
      <w:r w:rsidRPr="00CE186B">
        <w:rPr>
          <w:rFonts w:ascii="Times New Roman" w:hAnsi="Times New Roman"/>
        </w:rPr>
        <w:t xml:space="preserve"> this once-a-year cycle would eliminate one entire year of entry-level attorney and law student hiring, seriously curtailing the effective operations of the Department's litigating divisions and participating U.S. Attorneys’ Offices. The Department depends on these programs to hire the high caliber entry-level attorneys required to conduct the Department's important legal work.</w:t>
      </w:r>
    </w:p>
    <w:p w:rsidR="00CE186B" w:rsidRPr="00B96E43" w:rsidP="00690F56" w14:paraId="1D78D16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05546" w:rsidP="00E85547" w14:paraId="5C8DECF2" w14:textId="762F649E">
      <w:pPr>
        <w:tabs>
          <w:tab w:val="left" w:pos="720"/>
        </w:tabs>
        <w:rPr>
          <w:rFonts w:ascii="Times New Roman" w:eastAsia="Calibri" w:hAnsi="Times New Roman"/>
        </w:rPr>
      </w:pPr>
      <w:r w:rsidRPr="00CE186B">
        <w:rPr>
          <w:rFonts w:ascii="Times New Roman" w:hAnsi="Times New Roman"/>
        </w:rPr>
        <w:t xml:space="preserve">These applications are vitally important to the Department. The Department employs many more entry-level attorneys than any other federal agency. Consequently, </w:t>
      </w:r>
      <w:r w:rsidR="00E2666E">
        <w:rPr>
          <w:rFonts w:ascii="Times New Roman" w:hAnsi="Times New Roman"/>
        </w:rPr>
        <w:t xml:space="preserve">timely and efficiently </w:t>
      </w:r>
      <w:r w:rsidRPr="00CE186B">
        <w:rPr>
          <w:rFonts w:ascii="Times New Roman" w:hAnsi="Times New Roman"/>
        </w:rPr>
        <w:t xml:space="preserve">recruiting and hiring the highest caliber legal staff is of the utmost importance. The Department's chief competitors for the nation's best legal talent are the country's finest private law firms and corporations. In order to be </w:t>
      </w:r>
      <w:bookmarkStart w:id="4" w:name="OLE_LINK27"/>
      <w:r w:rsidRPr="00CE186B">
        <w:rPr>
          <w:rFonts w:ascii="Times New Roman" w:hAnsi="Times New Roman"/>
        </w:rPr>
        <w:t xml:space="preserve">competitive with private-sector employers, we must operate within similar recruitment time </w:t>
      </w:r>
      <w:bookmarkEnd w:id="4"/>
      <w:r w:rsidRPr="00CE186B">
        <w:rPr>
          <w:rFonts w:ascii="Times New Roman" w:hAnsi="Times New Roman"/>
        </w:rPr>
        <w:t xml:space="preserve">frames. This dictates that the programs have an early </w:t>
      </w:r>
      <w:r>
        <w:rPr>
          <w:rFonts w:ascii="Times New Roman" w:hAnsi="Times New Roman"/>
        </w:rPr>
        <w:t xml:space="preserve">September </w:t>
      </w:r>
      <w:r w:rsidRPr="00CE186B">
        <w:rPr>
          <w:rFonts w:ascii="Times New Roman" w:hAnsi="Times New Roman"/>
        </w:rPr>
        <w:t xml:space="preserve">deadline date. To encourage the maximum number of applicants to the program, it is crucial that the Department has an </w:t>
      </w:r>
      <w:bookmarkStart w:id="5" w:name="OLE_LINK28"/>
      <w:r w:rsidRPr="00CE186B">
        <w:rPr>
          <w:rFonts w:ascii="Times New Roman" w:hAnsi="Times New Roman"/>
        </w:rPr>
        <w:t xml:space="preserve">application form that provides the concise information needed to evaluate the </w:t>
      </w:r>
      <w:r>
        <w:rPr>
          <w:rFonts w:ascii="Times New Roman" w:hAnsi="Times New Roman"/>
        </w:rPr>
        <w:t xml:space="preserve">volume </w:t>
      </w:r>
      <w:r w:rsidRPr="00CE186B">
        <w:rPr>
          <w:rFonts w:ascii="Times New Roman" w:hAnsi="Times New Roman"/>
        </w:rPr>
        <w:t>of applications it receives each year in a timely manner.</w:t>
      </w:r>
      <w:r w:rsidRPr="00505546">
        <w:rPr>
          <w:rFonts w:ascii="Times New Roman" w:eastAsia="Calibri" w:hAnsi="Times New Roman"/>
        </w:rPr>
        <w:t xml:space="preserve"> </w:t>
      </w:r>
      <w:bookmarkEnd w:id="5"/>
      <w:r w:rsidR="00E2666E">
        <w:rPr>
          <w:rFonts w:ascii="Times New Roman" w:eastAsia="Calibri" w:hAnsi="Times New Roman"/>
        </w:rPr>
        <w:t>Use of the online applications is consistent</w:t>
      </w:r>
      <w:r w:rsidR="00E85547">
        <w:rPr>
          <w:rFonts w:ascii="Times New Roman" w:eastAsia="Calibri" w:hAnsi="Times New Roman"/>
        </w:rPr>
        <w:t xml:space="preserve"> with</w:t>
      </w:r>
      <w:r w:rsidR="00187019">
        <w:rPr>
          <w:rFonts w:ascii="Times New Roman" w:eastAsia="Calibri" w:hAnsi="Times New Roman"/>
        </w:rPr>
        <w:t xml:space="preserve"> an Executive Order (</w:t>
      </w:r>
      <w:hyperlink r:id="rId8" w:history="1">
        <w:r w:rsidRPr="00187019" w:rsidR="00187019">
          <w:rPr>
            <w:rStyle w:val="Hyperlink"/>
            <w:rFonts w:ascii="Times New Roman" w:eastAsia="Calibri" w:hAnsi="Times New Roman"/>
          </w:rPr>
          <w:t>Reforming The Federal Hiring Process and Restoring Merit to Government Service</w:t>
        </w:r>
      </w:hyperlink>
      <w:r w:rsidR="00187019">
        <w:rPr>
          <w:rFonts w:ascii="Times New Roman" w:eastAsia="Calibri" w:hAnsi="Times New Roman"/>
        </w:rPr>
        <w:t>) d</w:t>
      </w:r>
      <w:r w:rsidR="00E85547">
        <w:rPr>
          <w:rFonts w:ascii="Times New Roman" w:eastAsia="Calibri" w:hAnsi="Times New Roman"/>
        </w:rPr>
        <w:t>ated</w:t>
      </w:r>
      <w:r w:rsidR="00E2666E">
        <w:rPr>
          <w:rFonts w:ascii="Times New Roman" w:eastAsia="Calibri" w:hAnsi="Times New Roman"/>
        </w:rPr>
        <w:t xml:space="preserve"> January 20, 2025. Specifically, it </w:t>
      </w:r>
      <w:r w:rsidRPr="00E2666E" w:rsidR="00E85547">
        <w:rPr>
          <w:rFonts w:ascii="Times New Roman" w:eastAsia="Calibri" w:hAnsi="Times New Roman"/>
        </w:rPr>
        <w:t>integrates</w:t>
      </w:r>
      <w:r w:rsidRPr="00E2666E" w:rsidR="00E2666E">
        <w:rPr>
          <w:rFonts w:ascii="Times New Roman" w:eastAsia="Calibri" w:hAnsi="Times New Roman"/>
        </w:rPr>
        <w:t xml:space="preserve"> modern technology to support the recruitment and selection process, including the use of data analytics, improve</w:t>
      </w:r>
      <w:r w:rsidR="00E2666E">
        <w:rPr>
          <w:rFonts w:ascii="Times New Roman" w:eastAsia="Calibri" w:hAnsi="Times New Roman"/>
        </w:rPr>
        <w:t>s</w:t>
      </w:r>
      <w:r w:rsidRPr="00E2666E" w:rsidR="00E2666E">
        <w:rPr>
          <w:rFonts w:ascii="Times New Roman" w:eastAsia="Calibri" w:hAnsi="Times New Roman"/>
        </w:rPr>
        <w:t xml:space="preserve"> communication with candidates to provide greater clarity regarding application status, timelines, and feedback, including regular updates on the progress of applications and explanations of hiring decisions where appropriate</w:t>
      </w:r>
      <w:r w:rsidR="00E85547">
        <w:rPr>
          <w:rFonts w:ascii="Times New Roman" w:eastAsia="Calibri" w:hAnsi="Times New Roman"/>
        </w:rPr>
        <w:t>,</w:t>
      </w:r>
      <w:r w:rsidRPr="00E2666E" w:rsidR="00E2666E">
        <w:rPr>
          <w:rFonts w:ascii="Times New Roman" w:eastAsia="Calibri" w:hAnsi="Times New Roman"/>
        </w:rPr>
        <w:t xml:space="preserve"> and</w:t>
      </w:r>
      <w:r w:rsidR="00E2666E">
        <w:rPr>
          <w:rFonts w:ascii="Times New Roman" w:eastAsia="Calibri" w:hAnsi="Times New Roman"/>
        </w:rPr>
        <w:t xml:space="preserve"> supports</w:t>
      </w:r>
      <w:r w:rsidR="00E85547">
        <w:rPr>
          <w:rFonts w:ascii="Times New Roman" w:eastAsia="Calibri" w:hAnsi="Times New Roman"/>
        </w:rPr>
        <w:t xml:space="preserve"> time to hire goals. </w:t>
      </w:r>
    </w:p>
    <w:p w:rsidR="00690F56" w:rsidP="00690F56" w14:paraId="7C4C2F67" w14:textId="4BC7DB2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E186B" w:rsidRPr="00A47DA7" w:rsidP="00690F56" w14:paraId="053B873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6A7B04FB">
      <w:pPr>
        <w:widowControl/>
        <w:autoSpaceDE/>
        <w:autoSpaceDN/>
        <w:adjustRightInd/>
        <w:rPr>
          <w:rFonts w:ascii="Times New Roman" w:hAnsi="Times New Roman"/>
        </w:rPr>
      </w:pPr>
      <w:r w:rsidRPr="00A2391E">
        <w:rPr>
          <w:rFonts w:ascii="Times New Roman" w:hAnsi="Times New Roman"/>
        </w:rPr>
        <w:t>The 60-Day Notice was published in the Federal Register on</w:t>
      </w:r>
      <w:r w:rsidR="00332543">
        <w:rPr>
          <w:rFonts w:ascii="Times New Roman" w:hAnsi="Times New Roman"/>
        </w:rPr>
        <w:t xml:space="preserve"> March 24, 2025 (90 FR 13498).</w:t>
      </w:r>
      <w:r w:rsidRPr="00A2391E">
        <w:rPr>
          <w:rFonts w:ascii="Times New Roman" w:hAnsi="Times New Roman"/>
        </w:rPr>
        <w:t xml:space="preserve"> The comment period ended on</w:t>
      </w:r>
      <w:r w:rsidR="000D5AEA">
        <w:rPr>
          <w:rFonts w:ascii="Times New Roman" w:hAnsi="Times New Roman"/>
        </w:rPr>
        <w:t xml:space="preserve"> May 22, 2025</w:t>
      </w:r>
      <w:r w:rsidR="002517E4">
        <w:rPr>
          <w:rFonts w:ascii="Times New Roman" w:hAnsi="Times New Roman"/>
        </w:rPr>
        <w:t>.</w:t>
      </w:r>
      <w:r w:rsidRPr="00A2391E">
        <w:rPr>
          <w:rFonts w:ascii="Times New Roman" w:hAnsi="Times New Roman"/>
        </w:rPr>
        <w:t xml:space="preserve"> No comments were received.</w:t>
      </w:r>
    </w:p>
    <w:p w:rsidR="00E15710" w:rsidP="0060114B" w14:paraId="02EAEB8A" w14:textId="77777777">
      <w:pPr>
        <w:widowControl/>
        <w:autoSpaceDE/>
        <w:autoSpaceDN/>
        <w:adjustRightInd/>
        <w:rPr>
          <w:rFonts w:ascii="Times New Roman" w:hAnsi="Times New Roman"/>
        </w:rPr>
      </w:pPr>
    </w:p>
    <w:p w:rsidR="00E15710" w:rsidRPr="00E15710" w:rsidP="00E15710" w14:paraId="19C06136" w14:textId="46F7254C">
      <w:pPr>
        <w:widowControl/>
        <w:autoSpaceDE/>
        <w:autoSpaceDN/>
        <w:adjustRightInd/>
        <w:rPr>
          <w:rFonts w:ascii="Times New Roman" w:hAnsi="Times New Roman"/>
        </w:rPr>
      </w:pPr>
      <w:r w:rsidRPr="00E15710">
        <w:rPr>
          <w:rFonts w:ascii="Times New Roman" w:hAnsi="Times New Roman"/>
        </w:rPr>
        <w:t>Besides the 30-day and 60-day Federal Register notices and the comment process, there have been no efforts to consult with persons outside the agency to obtain their views on the availability of data, frequency of collection, the clarity of instructions and record keeping, or reporting format, and on the data elements to be recorded, disclosed, or reported. No other agency runs a recruiting or hiring program comparable to the Department's program.</w:t>
      </w:r>
    </w:p>
    <w:p w:rsidR="00E15710" w:rsidRPr="00E15710" w:rsidP="00E15710" w14:paraId="045E2013" w14:textId="77777777">
      <w:pPr>
        <w:widowControl/>
        <w:autoSpaceDE/>
        <w:autoSpaceDN/>
        <w:adjustRightInd/>
        <w:rPr>
          <w:rFonts w:ascii="Times New Roman" w:hAnsi="Times New Roman"/>
        </w:rPr>
      </w:pPr>
      <w:r w:rsidRPr="00E15710">
        <w:rPr>
          <w:rFonts w:ascii="Times New Roman" w:hAnsi="Times New Roman"/>
        </w:rPr>
        <w:tab/>
      </w:r>
    </w:p>
    <w:p w:rsidR="00E15710" w:rsidP="00E15710" w14:paraId="6E1ABC85" w14:textId="28EA405C">
      <w:pPr>
        <w:widowControl/>
        <w:autoSpaceDE/>
        <w:autoSpaceDN/>
        <w:adjustRightInd/>
        <w:rPr>
          <w:rFonts w:ascii="Times New Roman" w:hAnsi="Times New Roman"/>
        </w:rPr>
      </w:pPr>
      <w:r w:rsidRPr="00E15710">
        <w:rPr>
          <w:rFonts w:ascii="Times New Roman" w:hAnsi="Times New Roman"/>
        </w:rPr>
        <w:t>Moreover, it must be again stressed that this application form is: (1) submitted voluntarily; (2) submitted only once a year by law students/recent law school graduates who will be in this applicant pool only once; and (3) the information sought only relates to the hiring criteria established as an internal matter by Department of Justice (DOJ) personnel. Full consultation has been made with DOJ legal personnel on the data to be recorded, disclosed, or reported.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AE5B04" w:rsidP="00D735B0" w14:paraId="7D01E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668D2" w:rsidP="00F668D2" w14:paraId="3A42F534" w14:textId="1C615B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Social security numbers are not collected. </w:t>
      </w:r>
      <w:r w:rsidRPr="00F668D2">
        <w:rPr>
          <w:rFonts w:ascii="Times New Roman" w:hAnsi="Times New Roman"/>
        </w:rPr>
        <w:t>Avue collects applicant data</w:t>
      </w:r>
      <w:r>
        <w:rPr>
          <w:rFonts w:ascii="Times New Roman" w:hAnsi="Times New Roman"/>
        </w:rPr>
        <w:t xml:space="preserve"> (</w:t>
      </w:r>
      <w:r w:rsidR="00771955">
        <w:rPr>
          <w:rFonts w:ascii="Times New Roman" w:hAnsi="Times New Roman"/>
        </w:rPr>
        <w:t xml:space="preserve">e.g., </w:t>
      </w:r>
      <w:r w:rsidRPr="00F668D2">
        <w:rPr>
          <w:rFonts w:ascii="Times New Roman" w:hAnsi="Times New Roman"/>
        </w:rPr>
        <w:t>names, addresses, telephone numbers, e-mail</w:t>
      </w:r>
      <w:r w:rsidR="0051004D">
        <w:rPr>
          <w:rFonts w:ascii="Times New Roman" w:hAnsi="Times New Roman"/>
        </w:rPr>
        <w:t xml:space="preserve"> </w:t>
      </w:r>
      <w:r w:rsidRPr="00F668D2">
        <w:rPr>
          <w:rFonts w:ascii="Times New Roman" w:hAnsi="Times New Roman"/>
        </w:rPr>
        <w:t>addresses, and other information</w:t>
      </w:r>
      <w:r w:rsidR="0051004D">
        <w:rPr>
          <w:rFonts w:ascii="Times New Roman" w:hAnsi="Times New Roman"/>
        </w:rPr>
        <w:t xml:space="preserve"> </w:t>
      </w:r>
      <w:r w:rsidRPr="00F668D2">
        <w:rPr>
          <w:rFonts w:ascii="Times New Roman" w:hAnsi="Times New Roman"/>
        </w:rPr>
        <w:t>related to employment, education, and other information relevant to the jobs for which the individual</w:t>
      </w:r>
      <w:r w:rsidR="0051004D">
        <w:rPr>
          <w:rFonts w:ascii="Times New Roman" w:hAnsi="Times New Roman"/>
        </w:rPr>
        <w:t xml:space="preserve"> </w:t>
      </w:r>
      <w:r w:rsidRPr="00F668D2">
        <w:rPr>
          <w:rFonts w:ascii="Times New Roman" w:hAnsi="Times New Roman"/>
        </w:rPr>
        <w:t>applies</w:t>
      </w:r>
      <w:r w:rsidR="00E85547">
        <w:rPr>
          <w:rFonts w:ascii="Times New Roman" w:hAnsi="Times New Roman"/>
        </w:rPr>
        <w:t>)</w:t>
      </w:r>
      <w:r w:rsidRPr="00F668D2">
        <w:rPr>
          <w:rFonts w:ascii="Times New Roman" w:hAnsi="Times New Roman"/>
        </w:rPr>
        <w:t>.</w:t>
      </w:r>
      <w:r w:rsidR="00B81BD0">
        <w:t xml:space="preserve"> </w:t>
      </w:r>
      <w:r w:rsidR="00B81BD0">
        <w:rPr>
          <w:rFonts w:ascii="Times New Roman" w:hAnsi="Times New Roman"/>
        </w:rPr>
        <w:t>Such P</w:t>
      </w:r>
      <w:r w:rsidRPr="00B81BD0" w:rsidR="00B81BD0">
        <w:rPr>
          <w:rFonts w:ascii="Times New Roman" w:hAnsi="Times New Roman"/>
        </w:rPr>
        <w:t>ersonally Identifiable Information (PII) is available only to users who have a need-to-know, and who have appropriate permissions (e.g., applicant information is shared with designated DOJ human resources staff, managers, selecting officials, and other agency employees or contractors involved in the selection process</w:t>
      </w:r>
      <w:r w:rsidR="00E85547">
        <w:rPr>
          <w:rFonts w:ascii="Times New Roman" w:hAnsi="Times New Roman"/>
        </w:rPr>
        <w:t>)</w:t>
      </w:r>
      <w:r w:rsidRPr="00B81BD0" w:rsidR="00B81BD0">
        <w:rPr>
          <w:rFonts w:ascii="Times New Roman" w:hAnsi="Times New Roman"/>
        </w:rPr>
        <w:t>.</w:t>
      </w:r>
    </w:p>
    <w:p w:rsidR="00B81BD0" w:rsidP="00F668D2" w14:paraId="65F329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668D2" w:rsidP="00F668D2" w14:paraId="79878150" w14:textId="3D12A72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4955">
        <w:rPr>
          <w:rFonts w:ascii="Times New Roman" w:hAnsi="Times New Roman"/>
        </w:rPr>
        <w:t>This information can be shared in accordance with routine uses as published in system of record notice JUSTICE/DAG-008, Summer Intern Program Records, 50 FR 42611 (as modified by JUSTICE/DAG-009, Summer Intern Program Records, 66 FR 8425; 71 FR 35342; 71 FR 63354; 72 FR 3410; and 82 FR 24147) and OPM/GOVT-1, General Personnel Records, 71 FR 35342, as modified by 77 FR 73694. Providing the information requested by DOJ on this application is voluntary; however, failure to provide it may result in a determination of ineligibility or disqualification from consideration.</w:t>
      </w:r>
      <w:r>
        <w:rPr>
          <w:rFonts w:ascii="Times New Roman" w:hAnsi="Times New Roman"/>
        </w:rPr>
        <w:t xml:space="preserve"> </w:t>
      </w:r>
      <w:r w:rsidRPr="00F668D2">
        <w:rPr>
          <w:rFonts w:ascii="Times New Roman" w:hAnsi="Times New Roman"/>
        </w:rPr>
        <w:t>The routine use of the information is to evaluate individuals for specific employment</w:t>
      </w:r>
      <w:r>
        <w:rPr>
          <w:rFonts w:ascii="Times New Roman" w:hAnsi="Times New Roman"/>
        </w:rPr>
        <w:t xml:space="preserve"> </w:t>
      </w:r>
      <w:r w:rsidRPr="00F668D2">
        <w:rPr>
          <w:rFonts w:ascii="Times New Roman" w:hAnsi="Times New Roman"/>
        </w:rPr>
        <w:t xml:space="preserve">opportunities as well as to facilitate the selection process. Any </w:t>
      </w:r>
      <w:r w:rsidRPr="00F668D2" w:rsidR="00C17E77">
        <w:rPr>
          <w:rFonts w:ascii="Times New Roman" w:hAnsi="Times New Roman"/>
        </w:rPr>
        <w:t xml:space="preserve">voluntarily provided </w:t>
      </w:r>
      <w:r w:rsidRPr="00F668D2">
        <w:rPr>
          <w:rFonts w:ascii="Times New Roman" w:hAnsi="Times New Roman"/>
        </w:rPr>
        <w:t>RSNO, ethnicity or disability</w:t>
      </w:r>
      <w:r>
        <w:rPr>
          <w:rFonts w:ascii="Times New Roman" w:hAnsi="Times New Roman"/>
        </w:rPr>
        <w:t xml:space="preserve"> </w:t>
      </w:r>
      <w:r w:rsidRPr="00F668D2">
        <w:rPr>
          <w:rFonts w:ascii="Times New Roman" w:hAnsi="Times New Roman"/>
        </w:rPr>
        <w:t>information is not linked to the</w:t>
      </w:r>
      <w:r>
        <w:rPr>
          <w:rFonts w:ascii="Times New Roman" w:hAnsi="Times New Roman"/>
        </w:rPr>
        <w:t xml:space="preserve"> </w:t>
      </w:r>
      <w:r w:rsidRPr="00F668D2">
        <w:rPr>
          <w:rFonts w:ascii="Times New Roman" w:hAnsi="Times New Roman"/>
        </w:rPr>
        <w:t xml:space="preserve">individual application and is only used </w:t>
      </w:r>
      <w:r w:rsidR="00A415F4">
        <w:rPr>
          <w:rFonts w:ascii="Times New Roman" w:hAnsi="Times New Roman"/>
        </w:rPr>
        <w:t xml:space="preserve">in </w:t>
      </w:r>
      <w:r w:rsidR="00C96DC3">
        <w:rPr>
          <w:rFonts w:ascii="Times New Roman" w:hAnsi="Times New Roman"/>
        </w:rPr>
        <w:t xml:space="preserve">aggregate form by </w:t>
      </w:r>
      <w:r w:rsidRPr="00F668D2">
        <w:rPr>
          <w:rFonts w:ascii="Times New Roman" w:hAnsi="Times New Roman"/>
        </w:rPr>
        <w:t xml:space="preserve">OARM for programmatic evaluation and </w:t>
      </w:r>
      <w:r w:rsidR="00C96DC3">
        <w:rPr>
          <w:rFonts w:ascii="Times New Roman" w:hAnsi="Times New Roman"/>
        </w:rPr>
        <w:t xml:space="preserve">provided </w:t>
      </w:r>
      <w:r w:rsidRPr="00F668D2">
        <w:rPr>
          <w:rFonts w:ascii="Times New Roman" w:hAnsi="Times New Roman"/>
        </w:rPr>
        <w:t>in the form of</w:t>
      </w:r>
      <w:r w:rsidR="00B81BD0">
        <w:rPr>
          <w:rFonts w:ascii="Times New Roman" w:hAnsi="Times New Roman"/>
        </w:rPr>
        <w:t xml:space="preserve"> </w:t>
      </w:r>
      <w:r w:rsidR="00C17E77">
        <w:rPr>
          <w:rFonts w:ascii="Times New Roman" w:hAnsi="Times New Roman"/>
        </w:rPr>
        <w:t xml:space="preserve">aggregate </w:t>
      </w:r>
      <w:r w:rsidRPr="00F668D2">
        <w:rPr>
          <w:rFonts w:ascii="Times New Roman" w:hAnsi="Times New Roman"/>
        </w:rPr>
        <w:t>summaries to participating components for evaluation.</w:t>
      </w:r>
    </w:p>
    <w:p w:rsidR="00F668D2" w:rsidP="00F668D2" w14:paraId="24A40E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w:t>
      </w:r>
      <w:r w:rsidRPr="00D53DEB">
        <w:rPr>
          <w:rFonts w:ascii="Times New Roman" w:hAnsi="Times New Roman"/>
          <w:b/>
          <w:bCs/>
        </w:rPr>
        <w:t xml:space="preserve">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AE5B04" w:rsidP="00690F56" w14:paraId="2E995E30" w14:textId="4AC4BB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E5B04" w:rsidRPr="00B40498" w:rsidP="00690F56" w14:paraId="2BFD8103" w14:textId="03D03E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40498">
        <w:rPr>
          <w:rFonts w:ascii="Times New Roman" w:hAnsi="Times New Roman"/>
        </w:rPr>
        <w:t>No questions of a sensitive nature are included.</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20285E" w:rsidRPr="0072054C" w:rsidP="0072054C" w14:paraId="19689805" w14:textId="77777777">
      <w:pPr>
        <w:pStyle w:val="ListParagraph"/>
        <w:rPr>
          <w:rFonts w:ascii="Times New Roman" w:hAnsi="Times New Roman"/>
        </w:rPr>
      </w:pPr>
    </w:p>
    <w:p w:rsidR="00B11155" w:rsidP="00B11155" w14:paraId="655DB144" w14:textId="739F16FA">
      <w:pPr>
        <w:widowControl/>
        <w:autoSpaceDE/>
        <w:autoSpaceDN/>
        <w:adjustRightInd/>
        <w:rPr>
          <w:rFonts w:ascii="Times New Roman" w:hAnsi="Times New Roman"/>
        </w:rPr>
      </w:pPr>
      <w:r>
        <w:rPr>
          <w:rFonts w:ascii="Times New Roman" w:eastAsia="Calibri" w:hAnsi="Times New Roman"/>
        </w:rPr>
        <w:t xml:space="preserve">Applications to the Department's Honors and Summer Law Intern Programs vary from year to year, but the Department attracts a significant number of high caliber applicants to the programs compared to the number of positions available. On average over the past three years, approximately </w:t>
      </w:r>
      <w:bookmarkStart w:id="6" w:name="OLE_LINK41"/>
      <w:r>
        <w:rPr>
          <w:rFonts w:ascii="Times New Roman" w:eastAsia="Calibri" w:hAnsi="Times New Roman"/>
        </w:rPr>
        <w:t xml:space="preserve">2428 candidates apply to the HP &amp; SLIP annually. It is estimated that the electronic application takes approximately one hour to complete and submit. It is further estimated that it takes an average of an additional 45 minutes to review the instructions, search existing data sources, gather and maintain the data needed, and complete and review the information collected. In addition, approximately 600 HP applicants will complete the </w:t>
      </w:r>
      <w:r>
        <w:rPr>
          <w:rFonts w:ascii="Times New Roman" w:eastAsia="Calibri" w:hAnsi="Times New Roman"/>
          <w:b/>
          <w:bCs/>
        </w:rPr>
        <w:t xml:space="preserve">Virtual Interview Scheduling form. </w:t>
      </w:r>
      <w:r>
        <w:rPr>
          <w:rFonts w:ascii="Times New Roman" w:eastAsia="Calibri" w:hAnsi="Times New Roman"/>
        </w:rPr>
        <w:t xml:space="preserve"> Each Interview Scheduling Form will take approximately 10 minutes to complete. Thus, the annual burden would be 4349 hours based on 2428 applicants (the average number of applications received in the last several years) x 1.75 response hours (estimated time to collect the appropriate information and complete the Program application) plus 100 hours (time for 600 HP candidates to complete the </w:t>
      </w:r>
      <w:r w:rsidR="007C54C2">
        <w:rPr>
          <w:rFonts w:ascii="Times New Roman" w:eastAsia="Calibri" w:hAnsi="Times New Roman"/>
        </w:rPr>
        <w:t>Virtual Interview Scheduling Form</w:t>
      </w:r>
      <w:r>
        <w:rPr>
          <w:rFonts w:ascii="Times New Roman" w:eastAsia="Calibri" w:hAnsi="Times New Roman"/>
        </w:rPr>
        <w:t>).</w:t>
      </w:r>
      <w:r>
        <w:rPr>
          <w:rFonts w:ascii="Times New Roman" w:hAnsi="Times New Roman"/>
        </w:rPr>
        <w:t xml:space="preserve"> </w:t>
      </w:r>
    </w:p>
    <w:bookmarkEnd w:id="6"/>
    <w:p w:rsidR="0020285E" w:rsidRPr="00D53DEB" w:rsidP="0072054C" w14:paraId="264AAA00" w14:textId="566679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P="006626FF" w14:paraId="49938EA8" w14:textId="77777777">
      <w:pPr>
        <w:ind w:left="720"/>
        <w:rPr>
          <w:rFonts w:ascii="Times New Roman" w:hAnsi="Times New Roman"/>
          <w:i/>
        </w:rPr>
      </w:pPr>
    </w:p>
    <w:p w:rsidR="00A624D0" w:rsidRPr="006626FF" w:rsidP="006626FF" w14:paraId="656B283F"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1295" w:type="dxa"/>
        <w:tblInd w:w="-973" w:type="dxa"/>
        <w:tblLook w:val="04A0"/>
      </w:tblPr>
      <w:tblGrid>
        <w:gridCol w:w="1910"/>
        <w:gridCol w:w="1440"/>
        <w:gridCol w:w="1219"/>
        <w:gridCol w:w="1205"/>
        <w:gridCol w:w="1135"/>
        <w:gridCol w:w="983"/>
        <w:gridCol w:w="1918"/>
        <w:gridCol w:w="1485"/>
      </w:tblGrid>
      <w:tr w14:paraId="4AA59B92" w14:textId="77777777" w:rsidTr="00BB6438">
        <w:tblPrEx>
          <w:tblW w:w="11295" w:type="dxa"/>
          <w:tblInd w:w="-973" w:type="dxa"/>
          <w:tblLook w:val="04A0"/>
        </w:tblPrEx>
        <w:tc>
          <w:tcPr>
            <w:tcW w:w="1910"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40"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205"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135"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83"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91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85"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BB6438">
        <w:tblPrEx>
          <w:tblW w:w="11295" w:type="dxa"/>
          <w:tblInd w:w="-973" w:type="dxa"/>
          <w:tblLook w:val="04A0"/>
        </w:tblPrEx>
        <w:tc>
          <w:tcPr>
            <w:tcW w:w="1910" w:type="dxa"/>
            <w:vAlign w:val="bottom"/>
          </w:tcPr>
          <w:p w:rsidR="003908B9" w:rsidRPr="008F47CB" w:rsidP="008C6A87" w14:paraId="4E4E0FA6" w14:textId="39792FF0">
            <w:pPr>
              <w:jc w:val="right"/>
              <w:rPr>
                <w:rFonts w:ascii="Times New Roman" w:hAnsi="Times New Roman"/>
                <w:sz w:val="22"/>
                <w:szCs w:val="22"/>
              </w:rPr>
            </w:pPr>
            <w:r>
              <w:rPr>
                <w:rFonts w:ascii="Times New Roman" w:hAnsi="Times New Roman"/>
                <w:sz w:val="22"/>
                <w:szCs w:val="22"/>
              </w:rPr>
              <w:t>Name of collection</w:t>
            </w:r>
            <w:r w:rsidR="0020285E">
              <w:rPr>
                <w:rFonts w:ascii="Times New Roman" w:hAnsi="Times New Roman"/>
                <w:sz w:val="22"/>
                <w:szCs w:val="22"/>
              </w:rPr>
              <w:t xml:space="preserve"> instrument: Electronic Applications for the Attorney General’s Honors Program and the Summer Law Intern Program (Individuals) </w:t>
            </w:r>
            <w:r>
              <w:rPr>
                <w:rFonts w:ascii="Times New Roman" w:hAnsi="Times New Roman"/>
                <w:sz w:val="22"/>
                <w:szCs w:val="22"/>
              </w:rPr>
              <w:t xml:space="preserve"> </w:t>
            </w:r>
          </w:p>
        </w:tc>
        <w:tc>
          <w:tcPr>
            <w:tcW w:w="1440" w:type="dxa"/>
            <w:vAlign w:val="bottom"/>
          </w:tcPr>
          <w:p w:rsidR="003908B9" w:rsidRPr="008F47CB" w:rsidP="008C6A87" w14:paraId="23BB2474" w14:textId="445408B2">
            <w:pPr>
              <w:jc w:val="right"/>
              <w:rPr>
                <w:rFonts w:ascii="Times New Roman" w:hAnsi="Times New Roman"/>
                <w:sz w:val="22"/>
                <w:szCs w:val="22"/>
              </w:rPr>
            </w:pPr>
            <w:r>
              <w:rPr>
                <w:rFonts w:ascii="Times New Roman" w:hAnsi="Times New Roman"/>
                <w:sz w:val="22"/>
                <w:szCs w:val="22"/>
              </w:rPr>
              <w:t>2428</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205" w:type="dxa"/>
            <w:vAlign w:val="bottom"/>
          </w:tcPr>
          <w:p w:rsidR="003908B9" w:rsidRPr="008F47CB" w:rsidP="008C6A87" w14:paraId="03D2549D" w14:textId="66DE80EF">
            <w:pPr>
              <w:jc w:val="right"/>
              <w:rPr>
                <w:rFonts w:ascii="Times New Roman" w:hAnsi="Times New Roman"/>
                <w:sz w:val="22"/>
                <w:szCs w:val="22"/>
              </w:rPr>
            </w:pPr>
            <w:r>
              <w:rPr>
                <w:rFonts w:ascii="Times New Roman" w:hAnsi="Times New Roman"/>
                <w:sz w:val="22"/>
                <w:szCs w:val="22"/>
              </w:rPr>
              <w:t>2428</w:t>
            </w:r>
          </w:p>
        </w:tc>
        <w:tc>
          <w:tcPr>
            <w:tcW w:w="1135" w:type="dxa"/>
            <w:vAlign w:val="bottom"/>
          </w:tcPr>
          <w:p w:rsidR="003908B9" w:rsidRPr="008F47CB" w:rsidP="008C6A87" w14:paraId="3704ADCE" w14:textId="01053CBA">
            <w:pPr>
              <w:jc w:val="right"/>
              <w:rPr>
                <w:rFonts w:ascii="Times New Roman" w:hAnsi="Times New Roman"/>
                <w:sz w:val="22"/>
                <w:szCs w:val="22"/>
              </w:rPr>
            </w:pPr>
            <w:r>
              <w:rPr>
                <w:rFonts w:ascii="Times New Roman" w:hAnsi="Times New Roman"/>
                <w:sz w:val="22"/>
                <w:szCs w:val="22"/>
              </w:rPr>
              <w:t>105 min</w:t>
            </w:r>
          </w:p>
        </w:tc>
        <w:tc>
          <w:tcPr>
            <w:tcW w:w="983" w:type="dxa"/>
            <w:vAlign w:val="bottom"/>
          </w:tcPr>
          <w:p w:rsidR="003908B9" w:rsidRPr="008F47CB" w:rsidP="008C6A87" w14:paraId="498C761A" w14:textId="38F65C7B">
            <w:pPr>
              <w:jc w:val="right"/>
              <w:rPr>
                <w:rFonts w:ascii="Times New Roman" w:hAnsi="Times New Roman"/>
                <w:sz w:val="22"/>
                <w:szCs w:val="22"/>
              </w:rPr>
            </w:pPr>
            <w:r>
              <w:rPr>
                <w:rFonts w:ascii="Times New Roman" w:hAnsi="Times New Roman"/>
                <w:sz w:val="22"/>
                <w:szCs w:val="22"/>
              </w:rPr>
              <w:t>4249</w:t>
            </w:r>
            <w:r w:rsidR="00C04C0E">
              <w:rPr>
                <w:rFonts w:ascii="Times New Roman" w:hAnsi="Times New Roman"/>
                <w:sz w:val="22"/>
                <w:szCs w:val="22"/>
              </w:rPr>
              <w:t>.</w:t>
            </w:r>
          </w:p>
        </w:tc>
        <w:tc>
          <w:tcPr>
            <w:tcW w:w="1918" w:type="dxa"/>
            <w:vAlign w:val="bottom"/>
          </w:tcPr>
          <w:p w:rsidR="003908B9" w:rsidRPr="008F47CB" w:rsidP="008C6A87" w14:paraId="2C9B9B1D" w14:textId="6FE47E75">
            <w:pPr>
              <w:jc w:val="right"/>
              <w:rPr>
                <w:rFonts w:ascii="Times New Roman" w:hAnsi="Times New Roman"/>
                <w:sz w:val="22"/>
                <w:szCs w:val="22"/>
              </w:rPr>
            </w:pPr>
          </w:p>
        </w:tc>
        <w:tc>
          <w:tcPr>
            <w:tcW w:w="1485" w:type="dxa"/>
            <w:vAlign w:val="bottom"/>
          </w:tcPr>
          <w:p w:rsidR="003908B9" w:rsidRPr="008F47CB" w:rsidP="008C6A87" w14:paraId="689A6EF1" w14:textId="7AAD9254">
            <w:pPr>
              <w:jc w:val="right"/>
              <w:rPr>
                <w:rFonts w:ascii="Times New Roman" w:hAnsi="Times New Roman"/>
                <w:sz w:val="22"/>
                <w:szCs w:val="22"/>
              </w:rPr>
            </w:pPr>
            <w:r>
              <w:rPr>
                <w:rFonts w:ascii="Times New Roman" w:hAnsi="Times New Roman"/>
                <w:sz w:val="22"/>
                <w:szCs w:val="22"/>
              </w:rPr>
              <w:t>N/A</w:t>
            </w:r>
          </w:p>
        </w:tc>
      </w:tr>
      <w:tr w14:paraId="28A27403" w14:textId="77777777" w:rsidTr="00BB6438">
        <w:tblPrEx>
          <w:tblW w:w="11295" w:type="dxa"/>
          <w:tblInd w:w="-973" w:type="dxa"/>
          <w:tblLook w:val="04A0"/>
        </w:tblPrEx>
        <w:tc>
          <w:tcPr>
            <w:tcW w:w="1910" w:type="dxa"/>
            <w:vAlign w:val="bottom"/>
          </w:tcPr>
          <w:p w:rsidR="003908B9" w:rsidRPr="008F47CB" w:rsidP="008C6A87" w14:paraId="779E4025" w14:textId="609515A6">
            <w:pPr>
              <w:jc w:val="right"/>
              <w:rPr>
                <w:rFonts w:ascii="Times New Roman" w:hAnsi="Times New Roman"/>
                <w:sz w:val="22"/>
                <w:szCs w:val="22"/>
              </w:rPr>
            </w:pPr>
            <w:r>
              <w:rPr>
                <w:rFonts w:ascii="Times New Roman" w:hAnsi="Times New Roman"/>
                <w:sz w:val="22"/>
                <w:szCs w:val="22"/>
              </w:rPr>
              <w:t>Virtual Interview Scheduling Form (Individuals)</w:t>
            </w:r>
          </w:p>
        </w:tc>
        <w:tc>
          <w:tcPr>
            <w:tcW w:w="1440" w:type="dxa"/>
            <w:vAlign w:val="bottom"/>
          </w:tcPr>
          <w:p w:rsidR="003908B9" w:rsidRPr="008F47CB" w:rsidP="008C6A87" w14:paraId="0D0FB099" w14:textId="40F74E43">
            <w:pPr>
              <w:jc w:val="right"/>
              <w:rPr>
                <w:rFonts w:ascii="Times New Roman" w:hAnsi="Times New Roman"/>
                <w:sz w:val="22"/>
                <w:szCs w:val="22"/>
              </w:rPr>
            </w:pPr>
            <w:r>
              <w:rPr>
                <w:rFonts w:ascii="Times New Roman" w:hAnsi="Times New Roman"/>
                <w:sz w:val="22"/>
                <w:szCs w:val="22"/>
              </w:rPr>
              <w:t>600</w:t>
            </w:r>
          </w:p>
        </w:tc>
        <w:tc>
          <w:tcPr>
            <w:tcW w:w="1219" w:type="dxa"/>
            <w:vAlign w:val="bottom"/>
          </w:tcPr>
          <w:p w:rsidR="003908B9" w:rsidRPr="008F47CB" w:rsidP="008C6A87" w14:paraId="2DF69973" w14:textId="675C7AFA">
            <w:pPr>
              <w:jc w:val="right"/>
              <w:rPr>
                <w:rFonts w:ascii="Times New Roman" w:hAnsi="Times New Roman"/>
                <w:sz w:val="22"/>
                <w:szCs w:val="22"/>
              </w:rPr>
            </w:pPr>
            <w:r>
              <w:rPr>
                <w:rFonts w:ascii="Times New Roman" w:hAnsi="Times New Roman"/>
                <w:sz w:val="22"/>
                <w:szCs w:val="22"/>
              </w:rPr>
              <w:t>1</w:t>
            </w:r>
          </w:p>
        </w:tc>
        <w:tc>
          <w:tcPr>
            <w:tcW w:w="1205" w:type="dxa"/>
            <w:vAlign w:val="bottom"/>
          </w:tcPr>
          <w:p w:rsidR="003908B9" w:rsidRPr="008F47CB" w:rsidP="008C6A87" w14:paraId="6869AFA2" w14:textId="6A823E00">
            <w:pPr>
              <w:jc w:val="right"/>
              <w:rPr>
                <w:rFonts w:ascii="Times New Roman" w:hAnsi="Times New Roman"/>
                <w:sz w:val="22"/>
                <w:szCs w:val="22"/>
              </w:rPr>
            </w:pPr>
            <w:r>
              <w:rPr>
                <w:rFonts w:ascii="Times New Roman" w:hAnsi="Times New Roman"/>
                <w:sz w:val="22"/>
                <w:szCs w:val="22"/>
              </w:rPr>
              <w:t>600</w:t>
            </w:r>
          </w:p>
        </w:tc>
        <w:tc>
          <w:tcPr>
            <w:tcW w:w="1135" w:type="dxa"/>
            <w:vAlign w:val="bottom"/>
          </w:tcPr>
          <w:p w:rsidR="003908B9" w:rsidRPr="008F47CB" w:rsidP="008C6A87" w14:paraId="3983D868" w14:textId="21916D41">
            <w:pPr>
              <w:jc w:val="right"/>
              <w:rPr>
                <w:rFonts w:ascii="Times New Roman" w:hAnsi="Times New Roman"/>
                <w:sz w:val="22"/>
                <w:szCs w:val="22"/>
              </w:rPr>
            </w:pPr>
            <w:r>
              <w:rPr>
                <w:rFonts w:ascii="Times New Roman" w:hAnsi="Times New Roman"/>
                <w:sz w:val="22"/>
                <w:szCs w:val="22"/>
              </w:rPr>
              <w:t>10 min</w:t>
            </w:r>
            <w:r w:rsidR="00C04C0E">
              <w:rPr>
                <w:rFonts w:ascii="Times New Roman" w:hAnsi="Times New Roman"/>
                <w:sz w:val="22"/>
                <w:szCs w:val="22"/>
              </w:rPr>
              <w:t>.</w:t>
            </w:r>
          </w:p>
        </w:tc>
        <w:tc>
          <w:tcPr>
            <w:tcW w:w="983" w:type="dxa"/>
            <w:vAlign w:val="bottom"/>
          </w:tcPr>
          <w:p w:rsidR="003908B9" w:rsidRPr="008F47CB" w:rsidP="008C6A87" w14:paraId="1211DF9B" w14:textId="5E46ABE8">
            <w:pPr>
              <w:jc w:val="right"/>
              <w:rPr>
                <w:rFonts w:ascii="Times New Roman" w:hAnsi="Times New Roman"/>
                <w:sz w:val="22"/>
                <w:szCs w:val="22"/>
              </w:rPr>
            </w:pPr>
            <w:r>
              <w:rPr>
                <w:rFonts w:ascii="Times New Roman" w:hAnsi="Times New Roman"/>
                <w:sz w:val="22"/>
                <w:szCs w:val="22"/>
              </w:rPr>
              <w:t xml:space="preserve">100 </w:t>
            </w:r>
          </w:p>
        </w:tc>
        <w:tc>
          <w:tcPr>
            <w:tcW w:w="1918" w:type="dxa"/>
            <w:vAlign w:val="bottom"/>
          </w:tcPr>
          <w:p w:rsidR="003908B9" w:rsidRPr="008F47CB" w:rsidP="008C6A87" w14:paraId="52BBFE45" w14:textId="77777777">
            <w:pPr>
              <w:jc w:val="right"/>
              <w:rPr>
                <w:rFonts w:ascii="Times New Roman" w:hAnsi="Times New Roman"/>
                <w:sz w:val="22"/>
                <w:szCs w:val="22"/>
              </w:rPr>
            </w:pPr>
          </w:p>
        </w:tc>
        <w:tc>
          <w:tcPr>
            <w:tcW w:w="1485" w:type="dxa"/>
            <w:vAlign w:val="bottom"/>
          </w:tcPr>
          <w:p w:rsidR="003908B9" w:rsidRPr="008F47CB" w:rsidP="008C6A87" w14:paraId="1116896A" w14:textId="722A4197">
            <w:pPr>
              <w:jc w:val="right"/>
              <w:rPr>
                <w:rFonts w:ascii="Times New Roman" w:hAnsi="Times New Roman"/>
                <w:sz w:val="22"/>
                <w:szCs w:val="22"/>
              </w:rPr>
            </w:pPr>
            <w:r>
              <w:rPr>
                <w:rFonts w:ascii="Times New Roman" w:hAnsi="Times New Roman"/>
                <w:sz w:val="22"/>
                <w:szCs w:val="22"/>
              </w:rPr>
              <w:t>N/A</w:t>
            </w:r>
          </w:p>
        </w:tc>
      </w:tr>
      <w:tr w14:paraId="578B68EB" w14:textId="77777777" w:rsidTr="00BB6438">
        <w:tblPrEx>
          <w:tblW w:w="11295" w:type="dxa"/>
          <w:tblInd w:w="-973" w:type="dxa"/>
          <w:tblLook w:val="04A0"/>
        </w:tblPrEx>
        <w:tc>
          <w:tcPr>
            <w:tcW w:w="1910"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40" w:type="dxa"/>
            <w:vAlign w:val="bottom"/>
          </w:tcPr>
          <w:p w:rsidR="00501A15" w:rsidRPr="008F47CB" w:rsidP="00501A15" w14:paraId="32AB6B8A" w14:textId="3EFFC58D">
            <w:pPr>
              <w:jc w:val="right"/>
              <w:rPr>
                <w:rFonts w:ascii="Times New Roman" w:hAnsi="Times New Roman"/>
                <w:b/>
                <w:i/>
                <w:sz w:val="22"/>
                <w:szCs w:val="22"/>
              </w:rPr>
            </w:pPr>
            <w:r>
              <w:rPr>
                <w:rFonts w:ascii="Times New Roman" w:hAnsi="Times New Roman"/>
                <w:b/>
                <w:i/>
                <w:sz w:val="22"/>
                <w:szCs w:val="22"/>
              </w:rPr>
              <w:t>3028</w:t>
            </w: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205" w:type="dxa"/>
            <w:vAlign w:val="bottom"/>
          </w:tcPr>
          <w:p w:rsidR="00501A15" w:rsidRPr="008F47CB" w:rsidP="00501A15" w14:paraId="1A7661D9" w14:textId="57D9B8CE">
            <w:pPr>
              <w:jc w:val="right"/>
              <w:rPr>
                <w:rFonts w:ascii="Times New Roman" w:hAnsi="Times New Roman"/>
                <w:b/>
                <w:i/>
                <w:sz w:val="22"/>
                <w:szCs w:val="22"/>
              </w:rPr>
            </w:pPr>
            <w:r>
              <w:rPr>
                <w:rFonts w:ascii="Times New Roman" w:hAnsi="Times New Roman"/>
                <w:b/>
                <w:i/>
                <w:sz w:val="22"/>
                <w:szCs w:val="22"/>
              </w:rPr>
              <w:t>3028</w:t>
            </w:r>
          </w:p>
        </w:tc>
        <w:tc>
          <w:tcPr>
            <w:tcW w:w="1135" w:type="dxa"/>
            <w:vAlign w:val="bottom"/>
          </w:tcPr>
          <w:p w:rsidR="00501A15" w:rsidRPr="008F47CB" w:rsidP="00501A15" w14:paraId="4A94906E" w14:textId="66CA6502">
            <w:pPr>
              <w:jc w:val="right"/>
              <w:rPr>
                <w:rFonts w:ascii="Times New Roman" w:hAnsi="Times New Roman"/>
                <w:b/>
                <w:i/>
                <w:sz w:val="22"/>
                <w:szCs w:val="22"/>
              </w:rPr>
            </w:pPr>
          </w:p>
        </w:tc>
        <w:tc>
          <w:tcPr>
            <w:tcW w:w="983" w:type="dxa"/>
            <w:vAlign w:val="bottom"/>
          </w:tcPr>
          <w:p w:rsidR="00501A15" w:rsidRPr="008F47CB" w:rsidP="00501A15" w14:paraId="4075BA8E" w14:textId="62D5A472">
            <w:pPr>
              <w:jc w:val="right"/>
              <w:rPr>
                <w:rFonts w:ascii="Times New Roman" w:hAnsi="Times New Roman"/>
                <w:b/>
                <w:i/>
                <w:sz w:val="22"/>
                <w:szCs w:val="22"/>
              </w:rPr>
            </w:pPr>
            <w:r>
              <w:rPr>
                <w:rFonts w:ascii="Times New Roman" w:hAnsi="Times New Roman"/>
                <w:b/>
                <w:i/>
                <w:sz w:val="22"/>
                <w:szCs w:val="22"/>
              </w:rPr>
              <w:t>4349</w:t>
            </w:r>
          </w:p>
        </w:tc>
        <w:tc>
          <w:tcPr>
            <w:tcW w:w="1918" w:type="dxa"/>
            <w:vAlign w:val="bottom"/>
          </w:tcPr>
          <w:p w:rsidR="00501A15" w:rsidRPr="008F47CB" w:rsidP="00501A15" w14:paraId="7F82B751" w14:textId="50FAEA02">
            <w:pPr>
              <w:jc w:val="right"/>
              <w:rPr>
                <w:rFonts w:ascii="Times New Roman" w:hAnsi="Times New Roman"/>
                <w:b/>
                <w:i/>
                <w:sz w:val="22"/>
                <w:szCs w:val="22"/>
              </w:rPr>
            </w:pPr>
          </w:p>
        </w:tc>
        <w:tc>
          <w:tcPr>
            <w:tcW w:w="1485" w:type="dxa"/>
            <w:vAlign w:val="bottom"/>
          </w:tcPr>
          <w:p w:rsidR="00501A15" w:rsidRPr="00403351" w:rsidP="00501A15" w14:paraId="54BFA78B" w14:textId="075E0383">
            <w:pPr>
              <w:jc w:val="right"/>
              <w:rPr>
                <w:rFonts w:ascii="Times New Roman" w:hAnsi="Times New Roman"/>
                <w:bCs/>
                <w:iCs/>
                <w:sz w:val="22"/>
                <w:szCs w:val="22"/>
              </w:rPr>
            </w:pPr>
            <w:r w:rsidRPr="00403351">
              <w:rPr>
                <w:rFonts w:ascii="Times New Roman" w:hAnsi="Times New Roman"/>
                <w:bCs/>
                <w:iCs/>
                <w:sz w:val="22"/>
                <w:szCs w:val="22"/>
              </w:rPr>
              <w:t>N/A</w:t>
            </w: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5242E" w14:paraId="6E4E03BB" w14:textId="53D971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w:t>
      </w:r>
      <w:r w:rsidR="00A22854">
        <w:rPr>
          <w:rFonts w:ascii="Times New Roman" w:hAnsi="Times New Roman"/>
        </w:rPr>
        <w:t xml:space="preserve"> no </w:t>
      </w:r>
      <w:r w:rsidR="00C205A3">
        <w:rPr>
          <w:rFonts w:ascii="Times New Roman" w:hAnsi="Times New Roman"/>
        </w:rPr>
        <w:t>start up</w:t>
      </w:r>
      <w:r w:rsidR="00C205A3">
        <w:rPr>
          <w:rFonts w:ascii="Times New Roman" w:hAnsi="Times New Roman"/>
        </w:rPr>
        <w:t xml:space="preserve"> </w:t>
      </w:r>
      <w:r w:rsidR="00A22854">
        <w:rPr>
          <w:rFonts w:ascii="Times New Roman" w:hAnsi="Times New Roman"/>
        </w:rPr>
        <w:t xml:space="preserve">costs </w:t>
      </w:r>
      <w:r w:rsidR="00C205A3">
        <w:rPr>
          <w:rFonts w:ascii="Times New Roman" w:hAnsi="Times New Roman"/>
        </w:rPr>
        <w:t>to this collection. There are no costs to respondents.</w:t>
      </w:r>
      <w:r w:rsidR="00A22854">
        <w:rPr>
          <w:rFonts w:ascii="Times New Roman" w:hAnsi="Times New Roman"/>
        </w:rPr>
        <w:t xml:space="preserve"> </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7" w:name="OLE_LINK38"/>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bookmarkEnd w:id="7"/>
    <w:p w:rsidR="0065242E" w:rsidP="0065242E" w14:paraId="1AE8FC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403351" w:rsidRPr="00403351" w:rsidP="00403351" w14:paraId="4968B0A4" w14:textId="09DBA0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0"/>
          <w:szCs w:val="20"/>
        </w:rPr>
      </w:pPr>
      <w:r>
        <w:rPr>
          <w:rFonts w:ascii="Times New Roman" w:hAnsi="Times New Roman"/>
        </w:rPr>
        <w:t>The annual IC cost burden for this</w:t>
      </w:r>
      <w:r>
        <w:rPr>
          <w:rFonts w:ascii="Times New Roman" w:hAnsi="Times New Roman"/>
        </w:rPr>
        <w:t xml:space="preserve"> collection is $39,885 paid to Avue Technologies Corporation via ANASEC, Inc. (Avue Operating System (AOS) and Recruitment, Retention and Staffing (RRS) modules. </w:t>
      </w:r>
    </w:p>
    <w:p w:rsidR="0065242E" w:rsidP="0065242E" w14:paraId="7BA5AD91" w14:textId="122D1B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1C7C9D" w:rsidP="001C7C9D" w14:paraId="3072AF0F" w14:textId="77777777">
      <w:pPr>
        <w:numPr>
          <w:ilvl w:val="12"/>
          <w:numId w:val="0"/>
        </w:numPr>
        <w:rPr>
          <w:rFonts w:ascii="Times New Roman" w:eastAsia="Calibri" w:hAnsi="Times New Roman"/>
        </w:rPr>
      </w:pPr>
    </w:p>
    <w:p w:rsidR="001C7C9D" w:rsidRPr="00890B24" w:rsidP="00890B24" w14:paraId="66735C2B" w14:textId="7A5D7B03">
      <w:pPr>
        <w:pStyle w:val="ListParagraph"/>
        <w:numPr>
          <w:ilvl w:val="0"/>
          <w:numId w:val="19"/>
        </w:numPr>
        <w:spacing w:line="216" w:lineRule="auto"/>
        <w:ind w:right="22"/>
        <w:contextualSpacing/>
        <w:rPr>
          <w:rFonts w:ascii="Times New Roman" w:hAnsi="Times New Roman"/>
        </w:rPr>
      </w:pPr>
      <w:r w:rsidRPr="00FD5309">
        <w:rPr>
          <w:rFonts w:ascii="Times New Roman" w:hAnsi="Times New Roman"/>
          <w:b/>
        </w:rPr>
        <w:t xml:space="preserve">Change 1:  </w:t>
      </w:r>
      <w:bookmarkStart w:id="8" w:name="OLE_LINK9"/>
      <w:bookmarkStart w:id="9" w:name="OLE_LINK43"/>
      <w:r w:rsidRPr="00FD5309">
        <w:rPr>
          <w:rFonts w:ascii="Times New Roman" w:hAnsi="Times New Roman"/>
          <w:bCs/>
        </w:rPr>
        <w:t>In compliance with the Executive Order issued January 20, 2025</w:t>
      </w:r>
      <w:r w:rsidR="00890B24">
        <w:rPr>
          <w:rFonts w:ascii="Times New Roman" w:hAnsi="Times New Roman"/>
          <w:bCs/>
        </w:rPr>
        <w:t>,</w:t>
      </w:r>
      <w:r w:rsidRPr="00FD5309">
        <w:rPr>
          <w:rFonts w:ascii="Times New Roman" w:hAnsi="Times New Roman"/>
          <w:bCs/>
        </w:rPr>
        <w:t xml:space="preserve"> (</w:t>
      </w:r>
      <w:hyperlink r:id="rId9" w:history="1">
        <w:r w:rsidRPr="00FD5309">
          <w:rPr>
            <w:rStyle w:val="Hyperlink"/>
            <w:rFonts w:ascii="Times New Roman" w:hAnsi="Times New Roman"/>
            <w:bCs/>
          </w:rPr>
          <w:t>https://www.whitehouse.gov/presidential-actions/2025/01/defending-women-from-gender-ideology-extremism-and-restoring-biological-truth-to-the-federal-government/</w:t>
        </w:r>
      </w:hyperlink>
      <w:r w:rsidRPr="00FD5309">
        <w:rPr>
          <w:rFonts w:ascii="Times New Roman" w:hAnsi="Times New Roman"/>
          <w:bCs/>
        </w:rPr>
        <w:t xml:space="preserve">), </w:t>
      </w:r>
      <w:r w:rsidR="004B65C4">
        <w:rPr>
          <w:rFonts w:ascii="Times New Roman" w:hAnsi="Times New Roman"/>
          <w:bCs/>
        </w:rPr>
        <w:t>a</w:t>
      </w:r>
      <w:r w:rsidRPr="00FD5309" w:rsidR="004B65C4">
        <w:rPr>
          <w:rFonts w:ascii="Times New Roman" w:hAnsi="Times New Roman"/>
          <w:bCs/>
        </w:rPr>
        <w:t xml:space="preserve"> </w:t>
      </w:r>
      <w:r w:rsidRPr="00FD5309">
        <w:rPr>
          <w:rFonts w:ascii="Times New Roman" w:hAnsi="Times New Roman"/>
          <w:bCs/>
        </w:rPr>
        <w:t>voluntary demographic question on the HP/SLIP application is revised to reflect “Sex” with the responses “Male,” “Female” or “Decline to Answer,” removing references to gender identity and sexual orientation.</w:t>
      </w:r>
      <w:r w:rsidR="00890B24">
        <w:rPr>
          <w:rFonts w:ascii="Times New Roman" w:hAnsi="Times New Roman"/>
          <w:bCs/>
        </w:rPr>
        <w:t xml:space="preserve"> </w:t>
      </w:r>
      <w:bookmarkEnd w:id="8"/>
      <w:r w:rsidRPr="00890B24">
        <w:rPr>
          <w:rFonts w:ascii="Times New Roman" w:hAnsi="Times New Roman"/>
        </w:rPr>
        <w:t xml:space="preserve">This change is limited to the format </w:t>
      </w:r>
      <w:r w:rsidR="009D6969">
        <w:rPr>
          <w:rFonts w:ascii="Times New Roman" w:hAnsi="Times New Roman"/>
        </w:rPr>
        <w:t xml:space="preserve">of </w:t>
      </w:r>
      <w:r w:rsidR="00065225">
        <w:rPr>
          <w:rFonts w:ascii="Times New Roman" w:hAnsi="Times New Roman"/>
        </w:rPr>
        <w:t xml:space="preserve"> </w:t>
      </w:r>
      <w:r w:rsidR="00BE75CA">
        <w:rPr>
          <w:rFonts w:ascii="Times New Roman" w:hAnsi="Times New Roman"/>
        </w:rPr>
        <w:t xml:space="preserve">the voluntary </w:t>
      </w:r>
      <w:r w:rsidRPr="00890B24">
        <w:rPr>
          <w:rFonts w:ascii="Times New Roman" w:hAnsi="Times New Roman"/>
        </w:rPr>
        <w:t xml:space="preserve">demographic information </w:t>
      </w:r>
      <w:r w:rsidR="00BE75CA">
        <w:rPr>
          <w:rFonts w:ascii="Times New Roman" w:hAnsi="Times New Roman"/>
        </w:rPr>
        <w:t xml:space="preserve">that may be </w:t>
      </w:r>
      <w:r w:rsidRPr="00890B24">
        <w:rPr>
          <w:rFonts w:ascii="Times New Roman" w:hAnsi="Times New Roman"/>
        </w:rPr>
        <w:t>provided by eligible applicants to the Attorney General’s Honors Program and the Summer Law Intern Program and will be effective with the 2025 hiring cycle. Responses are completely voluntary</w:t>
      </w:r>
      <w:r w:rsidR="00BE75CA">
        <w:rPr>
          <w:rFonts w:ascii="Times New Roman" w:hAnsi="Times New Roman"/>
        </w:rPr>
        <w:t xml:space="preserve">. </w:t>
      </w:r>
      <w:r w:rsidRPr="00890B24">
        <w:rPr>
          <w:rFonts w:ascii="Times New Roman" w:hAnsi="Times New Roman"/>
        </w:rPr>
        <w:t xml:space="preserve">There is no impact on the public burden or cost. </w:t>
      </w:r>
    </w:p>
    <w:p w:rsidR="00FD5309" w:rsidP="00FD5309" w14:paraId="368A00C7" w14:textId="77777777">
      <w:pPr>
        <w:widowControl/>
        <w:autoSpaceDE/>
        <w:autoSpaceDN/>
        <w:adjustRightInd/>
        <w:spacing w:after="4" w:line="216" w:lineRule="auto"/>
        <w:ind w:right="22"/>
        <w:contextualSpacing/>
        <w:jc w:val="both"/>
        <w:rPr>
          <w:rFonts w:ascii="Times New Roman" w:hAnsi="Times New Roman"/>
          <w:b/>
        </w:rPr>
      </w:pPr>
    </w:p>
    <w:p w:rsidR="00902880" w:rsidP="00FD5309" w14:paraId="7AB71757" w14:textId="77777777">
      <w:pPr>
        <w:pStyle w:val="ListParagraph"/>
        <w:widowControl/>
        <w:numPr>
          <w:ilvl w:val="0"/>
          <w:numId w:val="19"/>
        </w:numPr>
        <w:autoSpaceDE/>
        <w:autoSpaceDN/>
        <w:adjustRightInd/>
        <w:spacing w:after="4" w:line="216" w:lineRule="auto"/>
        <w:ind w:right="22"/>
        <w:contextualSpacing/>
        <w:jc w:val="both"/>
        <w:rPr>
          <w:rFonts w:ascii="Times New Roman" w:hAnsi="Times New Roman"/>
          <w:bCs/>
        </w:rPr>
      </w:pPr>
      <w:bookmarkStart w:id="10" w:name="OLE_LINK2"/>
      <w:r w:rsidRPr="00FD5309">
        <w:rPr>
          <w:rFonts w:ascii="Times New Roman" w:hAnsi="Times New Roman"/>
          <w:b/>
        </w:rPr>
        <w:t>Change</w:t>
      </w:r>
      <w:r>
        <w:rPr>
          <w:rFonts w:ascii="Times New Roman" w:hAnsi="Times New Roman"/>
          <w:b/>
        </w:rPr>
        <w:t>s</w:t>
      </w:r>
      <w:r w:rsidRPr="00FD5309">
        <w:rPr>
          <w:rFonts w:ascii="Times New Roman" w:hAnsi="Times New Roman"/>
          <w:b/>
        </w:rPr>
        <w:t xml:space="preserve"> 2</w:t>
      </w:r>
      <w:r>
        <w:rPr>
          <w:rFonts w:ascii="Times New Roman" w:hAnsi="Times New Roman"/>
          <w:b/>
        </w:rPr>
        <w:t xml:space="preserve"> and 3</w:t>
      </w:r>
      <w:r w:rsidRPr="00FD5309">
        <w:rPr>
          <w:rFonts w:ascii="Times New Roman" w:hAnsi="Times New Roman"/>
          <w:bCs/>
        </w:rPr>
        <w:t>: OARM, in coordination with hiring offices, periodically reviews questions relating to qualifications</w:t>
      </w:r>
      <w:r w:rsidR="005637DC">
        <w:rPr>
          <w:rFonts w:ascii="Times New Roman" w:hAnsi="Times New Roman"/>
          <w:bCs/>
        </w:rPr>
        <w:t xml:space="preserve"> and</w:t>
      </w:r>
      <w:r w:rsidR="0089643A">
        <w:rPr>
          <w:rFonts w:ascii="Times New Roman" w:hAnsi="Times New Roman"/>
          <w:bCs/>
        </w:rPr>
        <w:t xml:space="preserve"> experience</w:t>
      </w:r>
      <w:r w:rsidRPr="00FD5309">
        <w:rPr>
          <w:rFonts w:ascii="Times New Roman" w:hAnsi="Times New Roman"/>
          <w:bCs/>
        </w:rPr>
        <w:t xml:space="preserve"> </w:t>
      </w:r>
      <w:r w:rsidR="00D7089E">
        <w:rPr>
          <w:rFonts w:ascii="Times New Roman" w:hAnsi="Times New Roman"/>
          <w:bCs/>
        </w:rPr>
        <w:t xml:space="preserve">for relevance. </w:t>
      </w:r>
    </w:p>
    <w:p w:rsidR="00902880" w:rsidRPr="00902880" w:rsidP="00902880" w14:paraId="5D0762DC" w14:textId="77777777">
      <w:pPr>
        <w:pStyle w:val="ListParagraph"/>
        <w:rPr>
          <w:rFonts w:ascii="Times New Roman" w:hAnsi="Times New Roman"/>
          <w:bCs/>
        </w:rPr>
      </w:pPr>
    </w:p>
    <w:p w:rsidR="001C7C9D" w:rsidRPr="00FD5309" w:rsidP="00902880" w14:paraId="30CC3F19" w14:textId="7132FD72">
      <w:pPr>
        <w:pStyle w:val="ListParagraph"/>
        <w:widowControl/>
        <w:autoSpaceDE/>
        <w:autoSpaceDN/>
        <w:adjustRightInd/>
        <w:spacing w:after="4" w:line="216" w:lineRule="auto"/>
        <w:ind w:right="22"/>
        <w:contextualSpacing/>
        <w:jc w:val="both"/>
        <w:rPr>
          <w:rFonts w:ascii="Times New Roman" w:hAnsi="Times New Roman"/>
          <w:bCs/>
        </w:rPr>
      </w:pPr>
      <w:r>
        <w:rPr>
          <w:rFonts w:ascii="Times New Roman" w:hAnsi="Times New Roman"/>
          <w:bCs/>
        </w:rPr>
        <w:t xml:space="preserve">1) </w:t>
      </w:r>
      <w:r w:rsidRPr="00FD5309">
        <w:rPr>
          <w:rFonts w:ascii="Times New Roman" w:hAnsi="Times New Roman"/>
          <w:bCs/>
        </w:rPr>
        <w:t>For the 2025 hiring cycle, we will add two “Yes/No” questions to the questions presented to SLIP applicants, specifically:</w:t>
      </w:r>
    </w:p>
    <w:p w:rsidR="001C7C9D" w:rsidP="001C7C9D" w14:paraId="269D8178" w14:textId="77777777">
      <w:pPr>
        <w:spacing w:after="4" w:line="216" w:lineRule="auto"/>
        <w:ind w:right="22"/>
        <w:contextualSpacing/>
        <w:jc w:val="both"/>
        <w:rPr>
          <w:rFonts w:ascii="Times New Roman" w:hAnsi="Times New Roman"/>
          <w:bCs/>
        </w:rPr>
      </w:pPr>
    </w:p>
    <w:p w:rsidR="001C7C9D" w:rsidP="00902880" w14:paraId="037C94D7" w14:textId="77777777">
      <w:pPr>
        <w:pStyle w:val="ListParagraph"/>
        <w:widowControl/>
        <w:numPr>
          <w:ilvl w:val="1"/>
          <w:numId w:val="22"/>
        </w:numPr>
        <w:autoSpaceDE/>
        <w:autoSpaceDN/>
        <w:adjustRightInd/>
        <w:spacing w:after="4" w:line="216" w:lineRule="auto"/>
        <w:ind w:left="1980" w:right="22" w:hanging="540"/>
        <w:contextualSpacing/>
        <w:jc w:val="both"/>
        <w:rPr>
          <w:rFonts w:ascii="Times New Roman" w:hAnsi="Times New Roman"/>
          <w:bCs/>
        </w:rPr>
      </w:pPr>
      <w:r>
        <w:rPr>
          <w:rFonts w:ascii="Times New Roman" w:hAnsi="Times New Roman"/>
          <w:bCs/>
        </w:rPr>
        <w:t>Did you receive an award for oral advocacy in first year law school moot court?</w:t>
      </w:r>
    </w:p>
    <w:p w:rsidR="001C7C9D" w:rsidP="00D4391C" w14:paraId="1938DCA6" w14:textId="762B4BDC">
      <w:pPr>
        <w:pStyle w:val="ListParagraph"/>
        <w:widowControl/>
        <w:numPr>
          <w:ilvl w:val="1"/>
          <w:numId w:val="22"/>
        </w:numPr>
        <w:autoSpaceDE/>
        <w:autoSpaceDN/>
        <w:adjustRightInd/>
        <w:spacing w:line="216" w:lineRule="auto"/>
        <w:ind w:left="1980" w:right="22" w:hanging="540"/>
        <w:contextualSpacing/>
        <w:rPr>
          <w:rFonts w:ascii="Times New Roman" w:hAnsi="Times New Roman"/>
          <w:bCs/>
        </w:rPr>
      </w:pPr>
      <w:r>
        <w:rPr>
          <w:rFonts w:ascii="Times New Roman" w:hAnsi="Times New Roman"/>
          <w:bCs/>
        </w:rPr>
        <w:t>Did you receive Departmental honors or awards for an undergraduate/graduate thesis or dissertation?</w:t>
      </w:r>
    </w:p>
    <w:p w:rsidR="001C7C9D" w:rsidP="001C7C9D" w14:paraId="6CB40D04" w14:textId="197C3C99">
      <w:pPr>
        <w:pStyle w:val="ListParagraph"/>
        <w:widowControl/>
        <w:autoSpaceDE/>
        <w:autoSpaceDN/>
        <w:adjustRightInd/>
        <w:spacing w:line="216" w:lineRule="auto"/>
        <w:ind w:left="1800" w:right="22"/>
        <w:contextualSpacing/>
        <w:jc w:val="both"/>
        <w:rPr>
          <w:rFonts w:ascii="Times New Roman" w:hAnsi="Times New Roman"/>
          <w:bCs/>
        </w:rPr>
      </w:pPr>
    </w:p>
    <w:p w:rsidR="001C7C9D" w:rsidP="001C7C9D" w14:paraId="5F721CA7" w14:textId="7C9B3003">
      <w:pPr>
        <w:pStyle w:val="ListParagraph"/>
        <w:spacing w:after="4" w:line="216" w:lineRule="auto"/>
        <w:ind w:left="737" w:right="22"/>
        <w:contextualSpacing/>
        <w:jc w:val="both"/>
        <w:rPr>
          <w:rFonts w:ascii="Times New Roman" w:hAnsi="Times New Roman"/>
          <w:bCs/>
        </w:rPr>
      </w:pPr>
      <w:r>
        <w:rPr>
          <w:rFonts w:ascii="Times New Roman" w:hAnsi="Times New Roman"/>
          <w:bCs/>
        </w:rPr>
        <w:t>This change is limited to the questions presented to eligible applicants to the Summer Law Intern Program, who often have limited objective law school accomplishments at the time they apply. There is de minimis impact on the public burden and no impact on cost.</w:t>
      </w:r>
    </w:p>
    <w:p w:rsidR="00902880" w:rsidP="00902880" w14:paraId="6ADCAB64" w14:textId="77777777">
      <w:pPr>
        <w:spacing w:after="4" w:line="216" w:lineRule="auto"/>
        <w:ind w:right="22"/>
        <w:contextualSpacing/>
        <w:jc w:val="both"/>
        <w:rPr>
          <w:rFonts w:ascii="Times New Roman" w:hAnsi="Times New Roman"/>
          <w:bCs/>
        </w:rPr>
      </w:pPr>
    </w:p>
    <w:p w:rsidR="00CB79CE" w:rsidP="00D4391C" w14:paraId="22AE3FE1" w14:textId="37E5CBB4">
      <w:pPr>
        <w:spacing w:after="4" w:line="216" w:lineRule="auto"/>
        <w:ind w:left="1080" w:right="22" w:hanging="360"/>
        <w:contextualSpacing/>
        <w:jc w:val="both"/>
        <w:rPr>
          <w:rFonts w:ascii="Times New Roman" w:hAnsi="Times New Roman"/>
          <w:bCs/>
        </w:rPr>
      </w:pPr>
      <w:r>
        <w:rPr>
          <w:rFonts w:ascii="Times New Roman" w:hAnsi="Times New Roman"/>
          <w:bCs/>
        </w:rPr>
        <w:t xml:space="preserve">2) </w:t>
      </w:r>
      <w:r w:rsidRPr="00902880" w:rsidR="007752F7">
        <w:rPr>
          <w:rFonts w:ascii="Times New Roman" w:hAnsi="Times New Roman"/>
          <w:bCs/>
        </w:rPr>
        <w:t xml:space="preserve">In addition, </w:t>
      </w:r>
      <w:r>
        <w:rPr>
          <w:rFonts w:ascii="Times New Roman" w:hAnsi="Times New Roman"/>
          <w:bCs/>
        </w:rPr>
        <w:t>a hiring officials reviewed questions presented to</w:t>
      </w:r>
      <w:r>
        <w:rPr>
          <w:rFonts w:ascii="Times New Roman" w:hAnsi="Times New Roman"/>
          <w:bCs/>
        </w:rPr>
        <w:t xml:space="preserve"> all applicants</w:t>
      </w:r>
      <w:r>
        <w:rPr>
          <w:rFonts w:ascii="Times New Roman" w:hAnsi="Times New Roman"/>
          <w:bCs/>
        </w:rPr>
        <w:t>, requesting:</w:t>
      </w:r>
    </w:p>
    <w:p w:rsidR="00CB79CE" w:rsidP="00D4391C" w14:paraId="7C608771" w14:textId="77777777">
      <w:pPr>
        <w:spacing w:after="4" w:line="216" w:lineRule="auto"/>
        <w:ind w:left="1080" w:right="22" w:hanging="360"/>
        <w:contextualSpacing/>
        <w:jc w:val="both"/>
        <w:rPr>
          <w:rFonts w:ascii="Times New Roman" w:hAnsi="Times New Roman"/>
          <w:bCs/>
        </w:rPr>
      </w:pPr>
    </w:p>
    <w:p w:rsidR="0089643A" w:rsidRPr="00CB79CE" w:rsidP="00CB79CE" w14:paraId="0B86C871" w14:textId="4352856A">
      <w:pPr>
        <w:pStyle w:val="ListParagraph"/>
        <w:numPr>
          <w:ilvl w:val="0"/>
          <w:numId w:val="23"/>
        </w:numPr>
        <w:spacing w:after="4" w:line="216" w:lineRule="auto"/>
        <w:ind w:right="22"/>
        <w:contextualSpacing/>
        <w:jc w:val="both"/>
        <w:rPr>
          <w:rFonts w:ascii="Times New Roman" w:hAnsi="Times New Roman"/>
          <w:bCs/>
        </w:rPr>
      </w:pPr>
      <w:r w:rsidRPr="00CB79CE">
        <w:rPr>
          <w:rFonts w:ascii="Times New Roman" w:hAnsi="Times New Roman"/>
          <w:bCs/>
        </w:rPr>
        <w:t xml:space="preserve">a modification to </w:t>
      </w:r>
      <w:r w:rsidRPr="00CB79CE" w:rsidR="005C1702">
        <w:rPr>
          <w:rFonts w:ascii="Times New Roman" w:hAnsi="Times New Roman"/>
          <w:bCs/>
        </w:rPr>
        <w:t>an existing</w:t>
      </w:r>
      <w:r w:rsidRPr="00CB79CE" w:rsidR="00F323DC">
        <w:rPr>
          <w:rFonts w:ascii="Times New Roman" w:hAnsi="Times New Roman"/>
          <w:bCs/>
        </w:rPr>
        <w:t xml:space="preserve"> </w:t>
      </w:r>
      <w:r w:rsidRPr="00CB79CE" w:rsidR="00826EE8">
        <w:rPr>
          <w:rFonts w:ascii="Times New Roman" w:hAnsi="Times New Roman"/>
          <w:bCs/>
        </w:rPr>
        <w:t xml:space="preserve">“check the box” </w:t>
      </w:r>
      <w:r w:rsidRPr="00CB79CE" w:rsidR="00F323DC">
        <w:rPr>
          <w:rFonts w:ascii="Times New Roman" w:hAnsi="Times New Roman"/>
          <w:bCs/>
        </w:rPr>
        <w:t>question</w:t>
      </w:r>
      <w:r w:rsidRPr="00CB79CE" w:rsidR="00826EE8">
        <w:rPr>
          <w:rFonts w:ascii="Times New Roman" w:hAnsi="Times New Roman"/>
          <w:bCs/>
        </w:rPr>
        <w:t xml:space="preserve"> </w:t>
      </w:r>
      <w:bookmarkStart w:id="11" w:name="OLE_LINK44"/>
      <w:r w:rsidRPr="00CB79CE" w:rsidR="00826EE8">
        <w:rPr>
          <w:rFonts w:ascii="Times New Roman" w:hAnsi="Times New Roman"/>
          <w:bCs/>
        </w:rPr>
        <w:t xml:space="preserve">relating to whether </w:t>
      </w:r>
      <w:r w:rsidRPr="00CB79CE" w:rsidR="005637DC">
        <w:rPr>
          <w:rFonts w:ascii="Times New Roman" w:hAnsi="Times New Roman"/>
          <w:bCs/>
        </w:rPr>
        <w:t xml:space="preserve">any </w:t>
      </w:r>
      <w:r w:rsidRPr="00CB79CE" w:rsidR="00826EE8">
        <w:rPr>
          <w:rFonts w:ascii="Times New Roman" w:hAnsi="Times New Roman"/>
          <w:bCs/>
        </w:rPr>
        <w:t xml:space="preserve">applicant had </w:t>
      </w:r>
      <w:r w:rsidRPr="00CB79CE">
        <w:rPr>
          <w:rFonts w:ascii="Times New Roman" w:hAnsi="Times New Roman"/>
          <w:bCs/>
        </w:rPr>
        <w:t xml:space="preserve">a </w:t>
      </w:r>
      <w:r w:rsidRPr="00CB79CE" w:rsidR="00826EE8">
        <w:rPr>
          <w:rFonts w:ascii="Times New Roman" w:hAnsi="Times New Roman"/>
          <w:bCs/>
        </w:rPr>
        <w:t>specific type</w:t>
      </w:r>
      <w:r w:rsidRPr="00CB79CE">
        <w:rPr>
          <w:rFonts w:ascii="Times New Roman" w:hAnsi="Times New Roman"/>
          <w:bCs/>
        </w:rPr>
        <w:t xml:space="preserve"> of public service experience,</w:t>
      </w:r>
      <w:bookmarkEnd w:id="11"/>
      <w:r w:rsidRPr="00CB79CE">
        <w:rPr>
          <w:rFonts w:ascii="Times New Roman" w:hAnsi="Times New Roman"/>
          <w:bCs/>
        </w:rPr>
        <w:t xml:space="preserve"> viewing the existing language as overbroad/too vague</w:t>
      </w:r>
      <w:r w:rsidRPr="00CB79CE" w:rsidR="00826EE8">
        <w:rPr>
          <w:rFonts w:ascii="Times New Roman" w:hAnsi="Times New Roman"/>
          <w:bCs/>
        </w:rPr>
        <w:t xml:space="preserve">. </w:t>
      </w:r>
    </w:p>
    <w:p w:rsidR="00D4391C" w:rsidP="0089643A" w14:paraId="1C093768" w14:textId="77777777">
      <w:pPr>
        <w:pStyle w:val="ListParagraph"/>
        <w:spacing w:after="4" w:line="216" w:lineRule="auto"/>
        <w:ind w:left="1440" w:right="22"/>
        <w:contextualSpacing/>
        <w:jc w:val="both"/>
        <w:rPr>
          <w:rFonts w:ascii="Times New Roman" w:hAnsi="Times New Roman"/>
          <w:bCs/>
          <w:u w:val="single"/>
        </w:rPr>
      </w:pPr>
    </w:p>
    <w:p w:rsidR="00826EE8" w:rsidRPr="0089643A" w:rsidP="0089643A" w14:paraId="2F6B86EF" w14:textId="27239B4A">
      <w:pPr>
        <w:pStyle w:val="ListParagraph"/>
        <w:spacing w:after="4" w:line="216" w:lineRule="auto"/>
        <w:ind w:left="1440" w:right="22"/>
        <w:contextualSpacing/>
        <w:jc w:val="both"/>
        <w:rPr>
          <w:rFonts w:ascii="Times New Roman" w:hAnsi="Times New Roman"/>
          <w:bCs/>
        </w:rPr>
      </w:pPr>
      <w:r w:rsidRPr="0089643A">
        <w:rPr>
          <w:rFonts w:ascii="Times New Roman" w:hAnsi="Times New Roman"/>
          <w:bCs/>
          <w:u w:val="single"/>
        </w:rPr>
        <w:t>Old</w:t>
      </w:r>
      <w:r w:rsidRPr="0089643A">
        <w:rPr>
          <w:rFonts w:ascii="Times New Roman" w:hAnsi="Times New Roman"/>
          <w:bCs/>
        </w:rPr>
        <w:t>: Legislative experience</w:t>
      </w:r>
    </w:p>
    <w:p w:rsidR="00826EE8" w:rsidP="0089643A" w14:paraId="24B32C66" w14:textId="04208DD6">
      <w:pPr>
        <w:pStyle w:val="ListParagraph"/>
        <w:spacing w:after="4" w:line="216" w:lineRule="auto"/>
        <w:ind w:left="1440" w:right="22"/>
        <w:contextualSpacing/>
        <w:jc w:val="both"/>
        <w:rPr>
          <w:rFonts w:ascii="Times New Roman" w:hAnsi="Times New Roman"/>
          <w:bCs/>
        </w:rPr>
      </w:pPr>
      <w:r w:rsidRPr="0089643A">
        <w:rPr>
          <w:rFonts w:ascii="Times New Roman" w:hAnsi="Times New Roman"/>
          <w:bCs/>
          <w:u w:val="single"/>
        </w:rPr>
        <w:t>New</w:t>
      </w:r>
      <w:r>
        <w:rPr>
          <w:rFonts w:ascii="Times New Roman" w:hAnsi="Times New Roman"/>
          <w:bCs/>
        </w:rPr>
        <w:t xml:space="preserve">: </w:t>
      </w:r>
      <w:r w:rsidRPr="00826EE8">
        <w:rPr>
          <w:rFonts w:ascii="Times New Roman" w:hAnsi="Times New Roman"/>
          <w:bCs/>
        </w:rPr>
        <w:t>Full-time Federal/State Government employee (other than in the armed services) for at least one continuous year, including full-time work in a Congressional office or State legislature.</w:t>
      </w:r>
    </w:p>
    <w:p w:rsidR="001C7C9D" w:rsidRPr="001C7C9D" w:rsidP="001C7C9D" w14:paraId="20E5CE4A" w14:textId="77777777">
      <w:pPr>
        <w:widowControl/>
        <w:autoSpaceDE/>
        <w:autoSpaceDN/>
        <w:adjustRightInd/>
        <w:spacing w:line="216" w:lineRule="auto"/>
        <w:ind w:left="1457" w:right="22"/>
        <w:contextualSpacing/>
        <w:jc w:val="both"/>
        <w:rPr>
          <w:rFonts w:ascii="Times New Roman" w:hAnsi="Times New Roman"/>
          <w:bCs/>
        </w:rPr>
      </w:pPr>
    </w:p>
    <w:bookmarkEnd w:id="9"/>
    <w:p w:rsidR="009B599D" w:rsidP="009B599D" w14:paraId="1A079BF0" w14:textId="429937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b/>
          <w:bCs/>
        </w:rPr>
        <w:tab/>
      </w:r>
      <w:r>
        <w:rPr>
          <w:rFonts w:ascii="Times New Roman" w:hAnsi="Times New Roman"/>
          <w:b/>
          <w:bCs/>
        </w:rPr>
        <w:tab/>
        <w:t xml:space="preserve">   </w:t>
      </w:r>
      <w:r w:rsidR="00D4391C">
        <w:rPr>
          <w:rFonts w:ascii="Times New Roman" w:hAnsi="Times New Roman"/>
          <w:b/>
          <w:bCs/>
        </w:rPr>
        <w:t xml:space="preserve">      </w:t>
      </w:r>
      <w:r w:rsidR="00CB79CE">
        <w:rPr>
          <w:rFonts w:ascii="Times New Roman" w:hAnsi="Times New Roman"/>
          <w:b/>
          <w:bCs/>
        </w:rPr>
        <w:t xml:space="preserve">      </w:t>
      </w:r>
      <w:r>
        <w:rPr>
          <w:rFonts w:ascii="Times New Roman" w:hAnsi="Times New Roman"/>
        </w:rPr>
        <w:t>There is no impact on the public burden or cost to this change.</w:t>
      </w:r>
    </w:p>
    <w:p w:rsidR="00D4391C" w:rsidP="009B599D" w14:paraId="5C64F5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317AFB" w:rsidRPr="00CB79CE" w:rsidP="00CB79CE" w14:paraId="385B0937" w14:textId="758831C5">
      <w:pPr>
        <w:pStyle w:val="ListParagraph"/>
        <w:widowControl/>
        <w:numPr>
          <w:ilvl w:val="0"/>
          <w:numId w:val="23"/>
        </w:numPr>
        <w:tabs>
          <w:tab w:val="left" w:pos="-360"/>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12" w:name="OLE_LINK3"/>
      <w:r>
        <w:rPr>
          <w:rFonts w:ascii="Times New Roman" w:hAnsi="Times New Roman"/>
        </w:rPr>
        <w:t>a</w:t>
      </w:r>
      <w:r w:rsidRPr="00CB79CE">
        <w:rPr>
          <w:rFonts w:ascii="Times New Roman" w:hAnsi="Times New Roman"/>
        </w:rPr>
        <w:t xml:space="preserve"> </w:t>
      </w:r>
      <w:r w:rsidRPr="00CB79CE">
        <w:rPr>
          <w:rFonts w:ascii="Times New Roman" w:hAnsi="Times New Roman"/>
        </w:rPr>
        <w:t>new “check the box” question relating to experience.</w:t>
      </w:r>
    </w:p>
    <w:p w:rsidR="00D4391C" w:rsidRPr="00D4391C" w:rsidP="00D4391C" w14:paraId="2A919C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317AFB" w:rsidP="00317AFB" w14:paraId="55446869" w14:textId="42F1638E">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rFonts w:ascii="Times New Roman" w:hAnsi="Times New Roman"/>
        </w:rPr>
      </w:pPr>
      <w:r w:rsidRPr="00120D79">
        <w:rPr>
          <w:rFonts w:ascii="Times New Roman" w:hAnsi="Times New Roman"/>
          <w:u w:val="single"/>
        </w:rPr>
        <w:t>New</w:t>
      </w:r>
      <w:r>
        <w:rPr>
          <w:rFonts w:ascii="Times New Roman" w:hAnsi="Times New Roman"/>
        </w:rPr>
        <w:t xml:space="preserve">:  </w:t>
      </w:r>
      <w:r w:rsidRPr="00317AFB">
        <w:rPr>
          <w:rFonts w:ascii="Times New Roman" w:hAnsi="Times New Roman"/>
        </w:rPr>
        <w:t>Full or part-time employment, or sign</w:t>
      </w:r>
      <w:r>
        <w:rPr>
          <w:rFonts w:ascii="Times New Roman" w:hAnsi="Times New Roman"/>
        </w:rPr>
        <w:t>i</w:t>
      </w:r>
      <w:r w:rsidRPr="00317AFB">
        <w:rPr>
          <w:rFonts w:ascii="Times New Roman" w:hAnsi="Times New Roman"/>
        </w:rPr>
        <w:t xml:space="preserve">ficant volunteer work with a non-legal non-profit organization.  </w:t>
      </w:r>
    </w:p>
    <w:bookmarkEnd w:id="12"/>
    <w:p w:rsidR="00317AFB" w:rsidP="00317AFB" w14:paraId="0BFCD225"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rFonts w:ascii="Times New Roman" w:hAnsi="Times New Roman"/>
        </w:rPr>
      </w:pPr>
    </w:p>
    <w:p w:rsidR="00317AFB" w:rsidRPr="00120D79" w:rsidP="00120D79" w14:paraId="780A8D34" w14:textId="7C8E87A6">
      <w:pPr>
        <w:widowControl/>
        <w:tabs>
          <w:tab w:val="left" w:pos="-360"/>
          <w:tab w:val="left" w:pos="360"/>
          <w:tab w:val="left" w:pos="54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r>
      <w:r>
        <w:rPr>
          <w:rFonts w:ascii="Times New Roman" w:hAnsi="Times New Roman"/>
        </w:rPr>
        <w:tab/>
        <w:t xml:space="preserve">  </w:t>
      </w:r>
      <w:r w:rsidR="00CB79CE">
        <w:rPr>
          <w:rFonts w:ascii="Times New Roman" w:hAnsi="Times New Roman"/>
        </w:rPr>
        <w:tab/>
        <w:t xml:space="preserve">            </w:t>
      </w:r>
      <w:r>
        <w:rPr>
          <w:rFonts w:ascii="Times New Roman" w:hAnsi="Times New Roman"/>
        </w:rPr>
        <w:t>There is de minimis impact on the public burden and no cost to the change.</w:t>
      </w:r>
    </w:p>
    <w:p w:rsidR="009B599D" w:rsidP="009B599D" w14:paraId="69C60F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5E728D" w:rsidP="005E728D" w14:paraId="3DCCDD51" w14:textId="401EEB1C">
      <w:pPr>
        <w:widowControl/>
        <w:tabs>
          <w:tab w:val="left" w:pos="-360"/>
          <w:tab w:val="left" w:pos="360"/>
          <w:tab w:val="left" w:pos="54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630" w:hanging="630"/>
        <w:rPr>
          <w:rFonts w:ascii="Times New Roman" w:hAnsi="Times New Roman"/>
        </w:rPr>
      </w:pPr>
      <w:r>
        <w:rPr>
          <w:rFonts w:ascii="Times New Roman" w:hAnsi="Times New Roman"/>
          <w:b/>
          <w:bCs/>
        </w:rPr>
        <w:tab/>
        <w:t>c.  Change</w:t>
      </w:r>
      <w:r>
        <w:rPr>
          <w:rFonts w:ascii="Times New Roman" w:hAnsi="Times New Roman"/>
          <w:b/>
          <w:bCs/>
        </w:rPr>
        <w:t>s</w:t>
      </w:r>
      <w:r>
        <w:rPr>
          <w:rFonts w:ascii="Times New Roman" w:hAnsi="Times New Roman"/>
          <w:b/>
          <w:bCs/>
        </w:rPr>
        <w:t xml:space="preserve"> 4</w:t>
      </w:r>
      <w:r>
        <w:rPr>
          <w:rFonts w:ascii="Times New Roman" w:hAnsi="Times New Roman"/>
          <w:b/>
          <w:bCs/>
        </w:rPr>
        <w:t xml:space="preserve"> and 5</w:t>
      </w:r>
      <w:r>
        <w:rPr>
          <w:rFonts w:ascii="Times New Roman" w:hAnsi="Times New Roman"/>
          <w:b/>
          <w:bCs/>
        </w:rPr>
        <w:t xml:space="preserve">: </w:t>
      </w:r>
      <w:r>
        <w:rPr>
          <w:rFonts w:ascii="Times New Roman" w:hAnsi="Times New Roman"/>
        </w:rPr>
        <w:t xml:space="preserve">Questions related to residency were eliminated based on a </w:t>
      </w:r>
      <w:r w:rsidR="00A624D0">
        <w:rPr>
          <w:rFonts w:ascii="Times New Roman" w:hAnsi="Times New Roman"/>
        </w:rPr>
        <w:t xml:space="preserve">broader </w:t>
      </w:r>
      <w:r>
        <w:rPr>
          <w:rFonts w:ascii="Times New Roman" w:hAnsi="Times New Roman"/>
        </w:rPr>
        <w:t>DOJ policy change</w:t>
      </w:r>
      <w:r w:rsidR="00A624D0">
        <w:rPr>
          <w:rFonts w:ascii="Times New Roman" w:hAnsi="Times New Roman"/>
        </w:rPr>
        <w:t xml:space="preserve"> regarding residency</w:t>
      </w:r>
      <w:r>
        <w:rPr>
          <w:rFonts w:ascii="Times New Roman" w:hAnsi="Times New Roman"/>
        </w:rPr>
        <w:t>.</w:t>
      </w:r>
      <w:r>
        <w:rPr>
          <w:rFonts w:ascii="Times New Roman" w:hAnsi="Times New Roman"/>
        </w:rPr>
        <w:t xml:space="preserve"> A new “check the box” geographic areas of interest screen was added. By eliminating one screen and adding another, there is no resulting impact on the public burden. There is</w:t>
      </w:r>
      <w:r w:rsidR="00C03F14">
        <w:rPr>
          <w:rFonts w:ascii="Times New Roman" w:hAnsi="Times New Roman"/>
        </w:rPr>
        <w:t xml:space="preserve"> </w:t>
      </w:r>
      <w:r>
        <w:rPr>
          <w:rFonts w:ascii="Times New Roman" w:hAnsi="Times New Roman"/>
        </w:rPr>
        <w:t>no cost to th</w:t>
      </w:r>
      <w:r w:rsidR="00A624D0">
        <w:rPr>
          <w:rFonts w:ascii="Times New Roman" w:hAnsi="Times New Roman"/>
        </w:rPr>
        <w:t>ese</w:t>
      </w:r>
      <w:r>
        <w:rPr>
          <w:rFonts w:ascii="Times New Roman" w:hAnsi="Times New Roman"/>
        </w:rPr>
        <w:t xml:space="preserve"> change</w:t>
      </w:r>
      <w:r w:rsidR="00A624D0">
        <w:rPr>
          <w:rFonts w:ascii="Times New Roman" w:hAnsi="Times New Roman"/>
        </w:rPr>
        <w:t>s</w:t>
      </w:r>
      <w:r>
        <w:rPr>
          <w:rFonts w:ascii="Times New Roman" w:hAnsi="Times New Roman"/>
        </w:rPr>
        <w:t>.</w:t>
      </w:r>
    </w:p>
    <w:p w:rsidR="005E728D" w:rsidP="005E728D" w14:paraId="0D6853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B599D" w:rsidRPr="00F90148" w:rsidP="005E728D" w14:paraId="5D813C27" w14:textId="334D79A5">
      <w:pPr>
        <w:widowControl/>
        <w:tabs>
          <w:tab w:val="left" w:pos="-360"/>
          <w:tab w:val="left" w:pos="360"/>
          <w:tab w:val="left" w:pos="45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630" w:hanging="360"/>
        <w:rPr>
          <w:rFonts w:ascii="Times New Roman" w:hAnsi="Times New Roman"/>
        </w:rPr>
      </w:pPr>
      <w:r>
        <w:rPr>
          <w:rFonts w:ascii="Times New Roman" w:hAnsi="Times New Roman"/>
          <w:b/>
          <w:bCs/>
        </w:rPr>
        <w:tab/>
      </w:r>
      <w:r w:rsidR="00902880">
        <w:rPr>
          <w:rFonts w:ascii="Times New Roman" w:hAnsi="Times New Roman"/>
          <w:b/>
          <w:bCs/>
        </w:rPr>
        <w:t>d</w:t>
      </w:r>
      <w:r>
        <w:rPr>
          <w:rFonts w:ascii="Times New Roman" w:hAnsi="Times New Roman"/>
          <w:b/>
          <w:bCs/>
        </w:rPr>
        <w:t xml:space="preserve">.  </w:t>
      </w:r>
      <w:r w:rsidRPr="00F90148">
        <w:rPr>
          <w:rFonts w:ascii="Times New Roman" w:hAnsi="Times New Roman"/>
          <w:b/>
          <w:bCs/>
        </w:rPr>
        <w:t xml:space="preserve">Change </w:t>
      </w:r>
      <w:r w:rsidR="005E728D">
        <w:rPr>
          <w:rFonts w:ascii="Times New Roman" w:hAnsi="Times New Roman"/>
          <w:b/>
          <w:bCs/>
        </w:rPr>
        <w:t>6</w:t>
      </w:r>
      <w:r w:rsidRPr="00F90148">
        <w:rPr>
          <w:rFonts w:ascii="Times New Roman" w:hAnsi="Times New Roman"/>
          <w:b/>
          <w:bCs/>
        </w:rPr>
        <w:t xml:space="preserve">: </w:t>
      </w:r>
      <w:r w:rsidRPr="00F90148">
        <w:rPr>
          <w:rFonts w:ascii="Times New Roman" w:hAnsi="Times New Roman"/>
        </w:rPr>
        <w:t xml:space="preserve">Estimate of annualized cost to the federal government decreased from </w:t>
      </w:r>
      <w:r w:rsidRPr="00F90148" w:rsidR="00561AC4">
        <w:rPr>
          <w:rFonts w:ascii="Times New Roman" w:hAnsi="Times New Roman"/>
        </w:rPr>
        <w:t>$5</w:t>
      </w:r>
      <w:r w:rsidRPr="00F90148" w:rsidR="00403351">
        <w:rPr>
          <w:rFonts w:ascii="Times New Roman" w:hAnsi="Times New Roman"/>
        </w:rPr>
        <w:t>3,184</w:t>
      </w:r>
      <w:r w:rsidRPr="00F90148" w:rsidR="00561AC4">
        <w:rPr>
          <w:rFonts w:ascii="Times New Roman" w:hAnsi="Times New Roman"/>
        </w:rPr>
        <w:t xml:space="preserve"> to $39,885. The prior estimate</w:t>
      </w:r>
      <w:r w:rsidRPr="00F90148" w:rsidR="00C25563">
        <w:rPr>
          <w:rFonts w:ascii="Times New Roman" w:hAnsi="Times New Roman"/>
        </w:rPr>
        <w:t>, submitted in 2021,</w:t>
      </w:r>
      <w:r w:rsidRPr="00F90148" w:rsidR="00561AC4">
        <w:rPr>
          <w:rFonts w:ascii="Times New Roman" w:hAnsi="Times New Roman"/>
        </w:rPr>
        <w:t xml:space="preserve"> erroneous</w:t>
      </w:r>
      <w:r w:rsidRPr="00F90148" w:rsidR="00C25563">
        <w:rPr>
          <w:rFonts w:ascii="Times New Roman" w:hAnsi="Times New Roman"/>
        </w:rPr>
        <w:t xml:space="preserve">ly included </w:t>
      </w:r>
      <w:r w:rsidRPr="00F90148" w:rsidR="00561AC4">
        <w:rPr>
          <w:rFonts w:ascii="Times New Roman" w:hAnsi="Times New Roman"/>
        </w:rPr>
        <w:t xml:space="preserve">costs not related to respondents. </w:t>
      </w:r>
      <w:r w:rsidRPr="00F90148" w:rsidR="00C25563">
        <w:rPr>
          <w:rFonts w:ascii="Times New Roman" w:hAnsi="Times New Roman"/>
        </w:rPr>
        <w:t xml:space="preserve">Subsequent to submission of the </w:t>
      </w:r>
      <w:r w:rsidRPr="00F90148" w:rsidR="00561AC4">
        <w:rPr>
          <w:rFonts w:ascii="Times New Roman" w:hAnsi="Times New Roman"/>
        </w:rPr>
        <w:t>2021 collection</w:t>
      </w:r>
      <w:r w:rsidRPr="00F90148" w:rsidR="00C25563">
        <w:rPr>
          <w:rFonts w:ascii="Times New Roman" w:hAnsi="Times New Roman"/>
        </w:rPr>
        <w:t xml:space="preserve">, </w:t>
      </w:r>
      <w:r w:rsidRPr="00F90148" w:rsidR="00561AC4">
        <w:rPr>
          <w:rFonts w:ascii="Times New Roman" w:hAnsi="Times New Roman"/>
        </w:rPr>
        <w:t xml:space="preserve">the Department, in conjunction with ROCIS.gov staff, provided additional </w:t>
      </w:r>
      <w:r w:rsidRPr="00F90148" w:rsidR="00317AFB">
        <w:rPr>
          <w:rFonts w:ascii="Times New Roman" w:hAnsi="Times New Roman"/>
        </w:rPr>
        <w:t xml:space="preserve">Paperwork Reduction Act (PRA) </w:t>
      </w:r>
      <w:r w:rsidRPr="00F90148" w:rsidR="00561AC4">
        <w:rPr>
          <w:rFonts w:ascii="Times New Roman" w:hAnsi="Times New Roman"/>
        </w:rPr>
        <w:t>training</w:t>
      </w:r>
      <w:r w:rsidRPr="00F90148" w:rsidR="00C25563">
        <w:rPr>
          <w:rFonts w:ascii="Times New Roman" w:hAnsi="Times New Roman"/>
        </w:rPr>
        <w:t xml:space="preserve">, </w:t>
      </w:r>
      <w:r w:rsidRPr="00F90148" w:rsidR="00561AC4">
        <w:rPr>
          <w:rFonts w:ascii="Times New Roman" w:hAnsi="Times New Roman"/>
        </w:rPr>
        <w:t xml:space="preserve">advising that the estimated cost to the government did not include the cost of salaries of DOJ employees who used the information submitted by respondents. OARM </w:t>
      </w:r>
      <w:r w:rsidRPr="00F90148" w:rsidR="00C25563">
        <w:rPr>
          <w:rFonts w:ascii="Times New Roman" w:hAnsi="Times New Roman"/>
        </w:rPr>
        <w:t>re</w:t>
      </w:r>
      <w:r w:rsidRPr="00F90148" w:rsidR="00561AC4">
        <w:rPr>
          <w:rFonts w:ascii="Times New Roman" w:hAnsi="Times New Roman"/>
        </w:rPr>
        <w:t xml:space="preserve">confirmed this guidance with the ROCIS help desk on February 24, 2025. Following that confirmation, </w:t>
      </w:r>
      <w:r w:rsidRPr="00F90148" w:rsidR="00C25563">
        <w:rPr>
          <w:rFonts w:ascii="Times New Roman" w:hAnsi="Times New Roman"/>
        </w:rPr>
        <w:t>Paragraph 14, above, was amended.</w:t>
      </w:r>
    </w:p>
    <w:bookmarkEnd w:id="10"/>
    <w:p w:rsidR="0089643A" w:rsidRPr="0089643A" w:rsidP="005E728D" w14:paraId="3659A9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630" w:hanging="360"/>
        <w:rPr>
          <w:rFonts w:ascii="Times New Roman" w:hAnsi="Times New Roman"/>
        </w:rPr>
      </w:pPr>
    </w:p>
    <w:p w:rsidR="00690F56" w:rsidRPr="00D53DEB" w:rsidP="00690F56" w14:paraId="4E4F3DC5" w14:textId="07BA2B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6972" w:rsidP="00690F56" w14:paraId="76E9785C" w14:textId="09A58D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None.</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4A8" w:rsidRPr="00477731" w14:paraId="07B2CE2C" w14:textId="77777777">
    <w:pPr>
      <w:pStyle w:val="Header"/>
      <w:rPr>
        <w:rFonts w:ascii="Times New Roman" w:hAnsi="Times New Roman"/>
        <w:bCs/>
        <w:sz w:val="20"/>
        <w:szCs w:val="20"/>
      </w:rPr>
    </w:pPr>
    <w:bookmarkStart w:id="13" w:name="OLE_LINK11"/>
    <w:bookmarkStart w:id="14" w:name="OLE_LINK39"/>
    <w:r w:rsidRPr="00F044A8">
      <w:rPr>
        <w:rFonts w:ascii="Times New Roman" w:hAnsi="Times New Roman"/>
        <w:bCs/>
        <w:sz w:val="20"/>
        <w:szCs w:val="20"/>
      </w:rPr>
      <w:t>Electronic</w:t>
    </w:r>
    <w:r w:rsidRPr="00477731">
      <w:rPr>
        <w:rFonts w:ascii="Times New Roman" w:hAnsi="Times New Roman"/>
        <w:bCs/>
        <w:sz w:val="20"/>
        <w:szCs w:val="20"/>
      </w:rPr>
      <w:t xml:space="preserve"> Applications for the Attorney General’s Honors Program and the Summer Law Intern Program</w:t>
    </w:r>
  </w:p>
  <w:bookmarkEnd w:id="13"/>
  <w:p w:rsidR="00EC0B43" w:rsidRPr="00477731" w14:paraId="52F50703" w14:textId="64064EA8">
    <w:pPr>
      <w:pStyle w:val="Header"/>
      <w:rPr>
        <w:rFonts w:ascii="Times New Roman" w:hAnsi="Times New Roman"/>
        <w:sz w:val="20"/>
        <w:szCs w:val="20"/>
      </w:rPr>
    </w:pPr>
    <w:r w:rsidRPr="00477731">
      <w:rPr>
        <w:rFonts w:ascii="Times New Roman" w:hAnsi="Times New Roman"/>
        <w:sz w:val="20"/>
        <w:szCs w:val="20"/>
      </w:rPr>
      <w:t xml:space="preserve">OMB Control </w:t>
    </w:r>
    <w:r w:rsidRPr="00477731" w:rsidR="006E1A08">
      <w:rPr>
        <w:rFonts w:ascii="Times New Roman" w:hAnsi="Times New Roman"/>
        <w:sz w:val="20"/>
        <w:szCs w:val="20"/>
      </w:rPr>
      <w:t>Number</w:t>
    </w:r>
    <w:r w:rsidRPr="00477731" w:rsidR="006626FF">
      <w:rPr>
        <w:rFonts w:ascii="Times New Roman" w:hAnsi="Times New Roman"/>
        <w:sz w:val="20"/>
        <w:szCs w:val="20"/>
      </w:rPr>
      <w:t xml:space="preserve"> </w:t>
    </w:r>
    <w:r w:rsidRPr="00477731" w:rsidR="00F044A8">
      <w:rPr>
        <w:rFonts w:ascii="Times New Roman" w:hAnsi="Times New Roman"/>
        <w:sz w:val="20"/>
        <w:szCs w:val="20"/>
      </w:rPr>
      <w:t>1105-0030</w:t>
    </w:r>
  </w:p>
  <w:bookmarkEnd w:id="14"/>
  <w:p w:rsidR="00304132" w:rsidRPr="00477731" w14:paraId="29EBD65C" w14:textId="0BD93D98">
    <w:pPr>
      <w:pStyle w:val="Header"/>
      <w:rPr>
        <w:rFonts w:ascii="Times New Roman" w:hAnsi="Times New Roman"/>
        <w:sz w:val="20"/>
        <w:szCs w:val="20"/>
      </w:rPr>
    </w:pPr>
    <w:r w:rsidRPr="00477731">
      <w:rPr>
        <w:rFonts w:ascii="Times New Roman" w:hAnsi="Times New Roman"/>
        <w:sz w:val="20"/>
        <w:szCs w:val="20"/>
      </w:rPr>
      <w:t xml:space="preserve">OMB Expiration Date: </w:t>
    </w:r>
    <w:r w:rsidRPr="00477731" w:rsidR="006572F6">
      <w:rPr>
        <w:rFonts w:ascii="Times New Roman" w:hAnsi="Times New Roman"/>
        <w:sz w:val="20"/>
        <w:szCs w:val="20"/>
      </w:rPr>
      <w:t>09/30/</w:t>
    </w:r>
    <w:r w:rsidRPr="00477731" w:rsidR="00477731">
      <w:rPr>
        <w:rFonts w:ascii="Times New Roman" w:hAnsi="Times New Roman"/>
        <w:sz w:val="20"/>
        <w:szCs w:val="20"/>
      </w:rPr>
      <w:t>20</w:t>
    </w:r>
    <w:r w:rsidRPr="00477731" w:rsidR="006572F6">
      <w:rPr>
        <w:rFonts w:ascii="Times New Roman" w:hAnsi="Times New Roman"/>
        <w:sz w:val="20"/>
        <w:szCs w:val="20"/>
      </w:rPr>
      <w:t>27</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6971E2"/>
    <w:multiLevelType w:val="hybridMultilevel"/>
    <w:tmpl w:val="8954F87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465839"/>
    <w:multiLevelType w:val="hybridMultilevel"/>
    <w:tmpl w:val="938868C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7342D8F"/>
    <w:multiLevelType w:val="hybridMultilevel"/>
    <w:tmpl w:val="3D8CA948"/>
    <w:lvl w:ilvl="0">
      <w:start w:val="1"/>
      <w:numFmt w:val="lowerLetter"/>
      <w:lvlText w:val="%1."/>
      <w:lvlJc w:val="left"/>
      <w:pPr>
        <w:ind w:left="1097" w:hanging="360"/>
      </w:pPr>
      <w:rPr>
        <w:rFonts w:eastAsia="Times New Roman" w:hint="default"/>
        <w:b/>
      </w:rPr>
    </w:lvl>
    <w:lvl w:ilvl="1">
      <w:start w:val="1"/>
      <w:numFmt w:val="lowerLetter"/>
      <w:lvlText w:val="%2."/>
      <w:lvlJc w:val="left"/>
      <w:pPr>
        <w:ind w:left="1800" w:hanging="360"/>
      </w:pPr>
    </w:lvl>
    <w:lvl w:ilvl="2" w:tentative="1">
      <w:start w:val="1"/>
      <w:numFmt w:val="lowerRoman"/>
      <w:lvlText w:val="%3."/>
      <w:lvlJc w:val="right"/>
      <w:pPr>
        <w:ind w:left="2537" w:hanging="180"/>
      </w:pPr>
    </w:lvl>
    <w:lvl w:ilvl="3" w:tentative="1">
      <w:start w:val="1"/>
      <w:numFmt w:val="decimal"/>
      <w:lvlText w:val="%4."/>
      <w:lvlJc w:val="left"/>
      <w:pPr>
        <w:ind w:left="3257" w:hanging="360"/>
      </w:pPr>
    </w:lvl>
    <w:lvl w:ilvl="4" w:tentative="1">
      <w:start w:val="1"/>
      <w:numFmt w:val="lowerLetter"/>
      <w:lvlText w:val="%5."/>
      <w:lvlJc w:val="left"/>
      <w:pPr>
        <w:ind w:left="3977" w:hanging="360"/>
      </w:pPr>
    </w:lvl>
    <w:lvl w:ilvl="5" w:tentative="1">
      <w:start w:val="1"/>
      <w:numFmt w:val="lowerRoman"/>
      <w:lvlText w:val="%6."/>
      <w:lvlJc w:val="right"/>
      <w:pPr>
        <w:ind w:left="4697" w:hanging="180"/>
      </w:pPr>
    </w:lvl>
    <w:lvl w:ilvl="6" w:tentative="1">
      <w:start w:val="1"/>
      <w:numFmt w:val="decimal"/>
      <w:lvlText w:val="%7."/>
      <w:lvlJc w:val="left"/>
      <w:pPr>
        <w:ind w:left="5417" w:hanging="360"/>
      </w:pPr>
    </w:lvl>
    <w:lvl w:ilvl="7" w:tentative="1">
      <w:start w:val="1"/>
      <w:numFmt w:val="lowerLetter"/>
      <w:lvlText w:val="%8."/>
      <w:lvlJc w:val="left"/>
      <w:pPr>
        <w:ind w:left="6137" w:hanging="360"/>
      </w:pPr>
    </w:lvl>
    <w:lvl w:ilvl="8" w:tentative="1">
      <w:start w:val="1"/>
      <w:numFmt w:val="lowerRoman"/>
      <w:lvlText w:val="%9."/>
      <w:lvlJc w:val="right"/>
      <w:pPr>
        <w:ind w:left="6857" w:hanging="180"/>
      </w:pPr>
    </w:lvl>
  </w:abstractNum>
  <w:abstractNum w:abstractNumId="12">
    <w:nsid w:val="5C736A2E"/>
    <w:multiLevelType w:val="hybridMultilevel"/>
    <w:tmpl w:val="A53423B2"/>
    <w:lvl w:ilvl="0">
      <w:start w:val="1"/>
      <w:numFmt w:val="decimal"/>
      <w:lvlText w:val="%1."/>
      <w:lvlJc w:val="left"/>
      <w:pPr>
        <w:ind w:left="737" w:hanging="615"/>
      </w:pPr>
      <w:rPr>
        <w:rFonts w:eastAsia="Calibri"/>
        <w:b w:val="0"/>
      </w:rPr>
    </w:lvl>
    <w:lvl w:ilvl="1">
      <w:start w:val="1"/>
      <w:numFmt w:val="lowerLetter"/>
      <w:lvlText w:val="%2."/>
      <w:lvlJc w:val="left"/>
      <w:pPr>
        <w:ind w:left="1202" w:hanging="360"/>
      </w:pPr>
    </w:lvl>
    <w:lvl w:ilvl="2">
      <w:start w:val="1"/>
      <w:numFmt w:val="lowerRoman"/>
      <w:lvlText w:val="%3."/>
      <w:lvlJc w:val="right"/>
      <w:pPr>
        <w:ind w:left="1922" w:hanging="180"/>
      </w:pPr>
    </w:lvl>
    <w:lvl w:ilvl="3">
      <w:start w:val="1"/>
      <w:numFmt w:val="decimal"/>
      <w:lvlText w:val="%4."/>
      <w:lvlJc w:val="left"/>
      <w:pPr>
        <w:ind w:left="2642" w:hanging="360"/>
      </w:pPr>
    </w:lvl>
    <w:lvl w:ilvl="4">
      <w:start w:val="1"/>
      <w:numFmt w:val="lowerLetter"/>
      <w:lvlText w:val="%5."/>
      <w:lvlJc w:val="left"/>
      <w:pPr>
        <w:ind w:left="3362" w:hanging="360"/>
      </w:pPr>
    </w:lvl>
    <w:lvl w:ilvl="5">
      <w:start w:val="1"/>
      <w:numFmt w:val="lowerRoman"/>
      <w:lvlText w:val="%6."/>
      <w:lvlJc w:val="right"/>
      <w:pPr>
        <w:ind w:left="4082" w:hanging="180"/>
      </w:pPr>
    </w:lvl>
    <w:lvl w:ilvl="6">
      <w:start w:val="1"/>
      <w:numFmt w:val="decimal"/>
      <w:lvlText w:val="%7."/>
      <w:lvlJc w:val="left"/>
      <w:pPr>
        <w:ind w:left="4802" w:hanging="360"/>
      </w:pPr>
    </w:lvl>
    <w:lvl w:ilvl="7">
      <w:start w:val="1"/>
      <w:numFmt w:val="lowerLetter"/>
      <w:lvlText w:val="%8."/>
      <w:lvlJc w:val="left"/>
      <w:pPr>
        <w:ind w:left="5522" w:hanging="360"/>
      </w:pPr>
    </w:lvl>
    <w:lvl w:ilvl="8">
      <w:start w:val="1"/>
      <w:numFmt w:val="lowerRoman"/>
      <w:lvlText w:val="%9."/>
      <w:lvlJc w:val="right"/>
      <w:pPr>
        <w:ind w:left="6242" w:hanging="180"/>
      </w:p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93D1CDC"/>
    <w:multiLevelType w:val="hybridMultilevel"/>
    <w:tmpl w:val="9AB0EE6A"/>
    <w:lvl w:ilvl="0">
      <w:start w:val="1"/>
      <w:numFmt w:val="lowerLetter"/>
      <w:lvlText w:val="%1."/>
      <w:lvlJc w:val="left"/>
      <w:pPr>
        <w:ind w:left="720" w:hanging="360"/>
      </w:pPr>
      <w:rPr>
        <w:rFonts w:hint="default"/>
        <w:b/>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CAE29EB"/>
    <w:multiLevelType w:val="multilevel"/>
    <w:tmpl w:val="B276F092"/>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C61965"/>
    <w:multiLevelType w:val="hybridMultilevel"/>
    <w:tmpl w:val="CF4AC6F6"/>
    <w:lvl w:ilvl="0">
      <w:start w:val="1"/>
      <w:numFmt w:val="bullet"/>
      <w:lvlText w:val=""/>
      <w:lvlJc w:val="left"/>
      <w:pPr>
        <w:ind w:left="1496" w:hanging="360"/>
      </w:pPr>
      <w:rPr>
        <w:rFonts w:ascii="Symbol" w:hAnsi="Symbol" w:hint="default"/>
      </w:rPr>
    </w:lvl>
    <w:lvl w:ilvl="1" w:tentative="1">
      <w:start w:val="1"/>
      <w:numFmt w:val="bullet"/>
      <w:lvlText w:val="o"/>
      <w:lvlJc w:val="left"/>
      <w:pPr>
        <w:ind w:left="2216" w:hanging="360"/>
      </w:pPr>
      <w:rPr>
        <w:rFonts w:ascii="Courier New" w:hAnsi="Courier New" w:cs="Courier New" w:hint="default"/>
      </w:rPr>
    </w:lvl>
    <w:lvl w:ilvl="2" w:tentative="1">
      <w:start w:val="1"/>
      <w:numFmt w:val="bullet"/>
      <w:lvlText w:val=""/>
      <w:lvlJc w:val="left"/>
      <w:pPr>
        <w:ind w:left="2936" w:hanging="360"/>
      </w:pPr>
      <w:rPr>
        <w:rFonts w:ascii="Wingdings" w:hAnsi="Wingdings" w:hint="default"/>
      </w:rPr>
    </w:lvl>
    <w:lvl w:ilvl="3" w:tentative="1">
      <w:start w:val="1"/>
      <w:numFmt w:val="bullet"/>
      <w:lvlText w:val=""/>
      <w:lvlJc w:val="left"/>
      <w:pPr>
        <w:ind w:left="3656" w:hanging="360"/>
      </w:pPr>
      <w:rPr>
        <w:rFonts w:ascii="Symbol" w:hAnsi="Symbol" w:hint="default"/>
      </w:rPr>
    </w:lvl>
    <w:lvl w:ilvl="4" w:tentative="1">
      <w:start w:val="1"/>
      <w:numFmt w:val="bullet"/>
      <w:lvlText w:val="o"/>
      <w:lvlJc w:val="left"/>
      <w:pPr>
        <w:ind w:left="4376" w:hanging="360"/>
      </w:pPr>
      <w:rPr>
        <w:rFonts w:ascii="Courier New" w:hAnsi="Courier New" w:cs="Courier New" w:hint="default"/>
      </w:rPr>
    </w:lvl>
    <w:lvl w:ilvl="5" w:tentative="1">
      <w:start w:val="1"/>
      <w:numFmt w:val="bullet"/>
      <w:lvlText w:val=""/>
      <w:lvlJc w:val="left"/>
      <w:pPr>
        <w:ind w:left="5096" w:hanging="360"/>
      </w:pPr>
      <w:rPr>
        <w:rFonts w:ascii="Wingdings" w:hAnsi="Wingdings" w:hint="default"/>
      </w:rPr>
    </w:lvl>
    <w:lvl w:ilvl="6" w:tentative="1">
      <w:start w:val="1"/>
      <w:numFmt w:val="bullet"/>
      <w:lvlText w:val=""/>
      <w:lvlJc w:val="left"/>
      <w:pPr>
        <w:ind w:left="5816" w:hanging="360"/>
      </w:pPr>
      <w:rPr>
        <w:rFonts w:ascii="Symbol" w:hAnsi="Symbol" w:hint="default"/>
      </w:rPr>
    </w:lvl>
    <w:lvl w:ilvl="7" w:tentative="1">
      <w:start w:val="1"/>
      <w:numFmt w:val="bullet"/>
      <w:lvlText w:val="o"/>
      <w:lvlJc w:val="left"/>
      <w:pPr>
        <w:ind w:left="6536" w:hanging="360"/>
      </w:pPr>
      <w:rPr>
        <w:rFonts w:ascii="Courier New" w:hAnsi="Courier New" w:cs="Courier New" w:hint="default"/>
      </w:rPr>
    </w:lvl>
    <w:lvl w:ilvl="8" w:tentative="1">
      <w:start w:val="1"/>
      <w:numFmt w:val="bullet"/>
      <w:lvlText w:val=""/>
      <w:lvlJc w:val="left"/>
      <w:pPr>
        <w:ind w:left="7256" w:hanging="360"/>
      </w:pPr>
      <w:rPr>
        <w:rFonts w:ascii="Wingdings" w:hAnsi="Wingdings" w:hint="default"/>
      </w:rPr>
    </w:lvl>
  </w:abstractNum>
  <w:abstractNum w:abstractNumId="20">
    <w:nsid w:val="79B264DC"/>
    <w:multiLevelType w:val="hybridMultilevel"/>
    <w:tmpl w:val="A4329C10"/>
    <w:lvl w:ilvl="0">
      <w:start w:val="1"/>
      <w:numFmt w:val="lowerLetter"/>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4"/>
  </w:num>
  <w:num w:numId="4" w16cid:durableId="188491091">
    <w:abstractNumId w:val="13"/>
  </w:num>
  <w:num w:numId="5" w16cid:durableId="2103139837">
    <w:abstractNumId w:val="2"/>
  </w:num>
  <w:num w:numId="6" w16cid:durableId="1756973642">
    <w:abstractNumId w:val="5"/>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5"/>
  </w:num>
  <w:num w:numId="9" w16cid:durableId="312102842">
    <w:abstractNumId w:val="1"/>
  </w:num>
  <w:num w:numId="10" w16cid:durableId="1376466984">
    <w:abstractNumId w:val="14"/>
  </w:num>
  <w:num w:numId="11" w16cid:durableId="1904831391">
    <w:abstractNumId w:val="8"/>
  </w:num>
  <w:num w:numId="12" w16cid:durableId="1478107046">
    <w:abstractNumId w:val="10"/>
  </w:num>
  <w:num w:numId="13" w16cid:durableId="1542084800">
    <w:abstractNumId w:val="7"/>
  </w:num>
  <w:num w:numId="14" w16cid:durableId="136800702">
    <w:abstractNumId w:val="18"/>
  </w:num>
  <w:num w:numId="15" w16cid:durableId="1217090383">
    <w:abstractNumId w:val="9"/>
  </w:num>
  <w:num w:numId="16" w16cid:durableId="213293829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3866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817874">
    <w:abstractNumId w:val="11"/>
  </w:num>
  <w:num w:numId="19" w16cid:durableId="724528134">
    <w:abstractNumId w:val="6"/>
  </w:num>
  <w:num w:numId="20" w16cid:durableId="1450976409">
    <w:abstractNumId w:val="16"/>
  </w:num>
  <w:num w:numId="21" w16cid:durableId="790980555">
    <w:abstractNumId w:val="3"/>
  </w:num>
  <w:num w:numId="22" w16cid:durableId="346057083">
    <w:abstractNumId w:val="20"/>
  </w:num>
  <w:num w:numId="23" w16cid:durableId="16049993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1CDA"/>
    <w:rsid w:val="000133FD"/>
    <w:rsid w:val="00014158"/>
    <w:rsid w:val="00020F69"/>
    <w:rsid w:val="00022303"/>
    <w:rsid w:val="0003073D"/>
    <w:rsid w:val="0004107F"/>
    <w:rsid w:val="00042CBD"/>
    <w:rsid w:val="00052174"/>
    <w:rsid w:val="00061F6C"/>
    <w:rsid w:val="00064E28"/>
    <w:rsid w:val="00065225"/>
    <w:rsid w:val="000655CC"/>
    <w:rsid w:val="0007383F"/>
    <w:rsid w:val="00082EF7"/>
    <w:rsid w:val="00093A8E"/>
    <w:rsid w:val="00094A5E"/>
    <w:rsid w:val="00095C30"/>
    <w:rsid w:val="00097C15"/>
    <w:rsid w:val="000A13F3"/>
    <w:rsid w:val="000A7853"/>
    <w:rsid w:val="000B0391"/>
    <w:rsid w:val="000B4875"/>
    <w:rsid w:val="000B6FB6"/>
    <w:rsid w:val="000C257C"/>
    <w:rsid w:val="000C3A92"/>
    <w:rsid w:val="000C5492"/>
    <w:rsid w:val="000C74FB"/>
    <w:rsid w:val="000D084E"/>
    <w:rsid w:val="000D5AEA"/>
    <w:rsid w:val="000D7F95"/>
    <w:rsid w:val="000E1C64"/>
    <w:rsid w:val="000E2F8A"/>
    <w:rsid w:val="000F6836"/>
    <w:rsid w:val="001040D4"/>
    <w:rsid w:val="00106972"/>
    <w:rsid w:val="001078BB"/>
    <w:rsid w:val="00116CD5"/>
    <w:rsid w:val="00117CA5"/>
    <w:rsid w:val="00120D79"/>
    <w:rsid w:val="00124A96"/>
    <w:rsid w:val="00133C47"/>
    <w:rsid w:val="00133E3D"/>
    <w:rsid w:val="001376D3"/>
    <w:rsid w:val="0014556E"/>
    <w:rsid w:val="0014601E"/>
    <w:rsid w:val="00146F1C"/>
    <w:rsid w:val="0015322B"/>
    <w:rsid w:val="0015365E"/>
    <w:rsid w:val="00154F57"/>
    <w:rsid w:val="00157A90"/>
    <w:rsid w:val="00167AD4"/>
    <w:rsid w:val="00180E5A"/>
    <w:rsid w:val="00187019"/>
    <w:rsid w:val="00192711"/>
    <w:rsid w:val="001A47D9"/>
    <w:rsid w:val="001B4BB9"/>
    <w:rsid w:val="001C39F6"/>
    <w:rsid w:val="001C7C9D"/>
    <w:rsid w:val="001D0C4D"/>
    <w:rsid w:val="001D10ED"/>
    <w:rsid w:val="001D2D09"/>
    <w:rsid w:val="001D51CC"/>
    <w:rsid w:val="001D67BB"/>
    <w:rsid w:val="001E0E7F"/>
    <w:rsid w:val="001E2932"/>
    <w:rsid w:val="001E3596"/>
    <w:rsid w:val="001E5213"/>
    <w:rsid w:val="001F056F"/>
    <w:rsid w:val="001F2E8E"/>
    <w:rsid w:val="001F552E"/>
    <w:rsid w:val="0020285E"/>
    <w:rsid w:val="002036A1"/>
    <w:rsid w:val="00210A61"/>
    <w:rsid w:val="002134B4"/>
    <w:rsid w:val="002203C9"/>
    <w:rsid w:val="002268FC"/>
    <w:rsid w:val="00234341"/>
    <w:rsid w:val="00237691"/>
    <w:rsid w:val="00242CA0"/>
    <w:rsid w:val="00243432"/>
    <w:rsid w:val="0024438F"/>
    <w:rsid w:val="00247146"/>
    <w:rsid w:val="002472F2"/>
    <w:rsid w:val="002517E4"/>
    <w:rsid w:val="0025791B"/>
    <w:rsid w:val="00262716"/>
    <w:rsid w:val="00267D52"/>
    <w:rsid w:val="00273D58"/>
    <w:rsid w:val="002764E8"/>
    <w:rsid w:val="00277C1F"/>
    <w:rsid w:val="002866AD"/>
    <w:rsid w:val="00286BE3"/>
    <w:rsid w:val="00287ACB"/>
    <w:rsid w:val="00287B7D"/>
    <w:rsid w:val="0029135D"/>
    <w:rsid w:val="00292951"/>
    <w:rsid w:val="00293CD1"/>
    <w:rsid w:val="002A06AE"/>
    <w:rsid w:val="002A3962"/>
    <w:rsid w:val="002A5972"/>
    <w:rsid w:val="002A6FB5"/>
    <w:rsid w:val="002C5AE9"/>
    <w:rsid w:val="002E0346"/>
    <w:rsid w:val="002E238B"/>
    <w:rsid w:val="002E4200"/>
    <w:rsid w:val="002E6DF9"/>
    <w:rsid w:val="002E6F9C"/>
    <w:rsid w:val="002F3BB8"/>
    <w:rsid w:val="00304132"/>
    <w:rsid w:val="00304EAD"/>
    <w:rsid w:val="00312124"/>
    <w:rsid w:val="00313820"/>
    <w:rsid w:val="00313AC0"/>
    <w:rsid w:val="00317AFB"/>
    <w:rsid w:val="00322C1B"/>
    <w:rsid w:val="0032649A"/>
    <w:rsid w:val="00332543"/>
    <w:rsid w:val="00332F98"/>
    <w:rsid w:val="0033578D"/>
    <w:rsid w:val="003430A6"/>
    <w:rsid w:val="003448FC"/>
    <w:rsid w:val="003534B9"/>
    <w:rsid w:val="00354374"/>
    <w:rsid w:val="003548D8"/>
    <w:rsid w:val="00363CC2"/>
    <w:rsid w:val="00367F26"/>
    <w:rsid w:val="00370C9A"/>
    <w:rsid w:val="00371EEC"/>
    <w:rsid w:val="003876F3"/>
    <w:rsid w:val="00390426"/>
    <w:rsid w:val="003908B9"/>
    <w:rsid w:val="00394AEB"/>
    <w:rsid w:val="003A2E23"/>
    <w:rsid w:val="003A4476"/>
    <w:rsid w:val="003A6353"/>
    <w:rsid w:val="003B2F28"/>
    <w:rsid w:val="003B5882"/>
    <w:rsid w:val="003C13C6"/>
    <w:rsid w:val="003C6DA9"/>
    <w:rsid w:val="003D5958"/>
    <w:rsid w:val="003D6AC7"/>
    <w:rsid w:val="003E15A0"/>
    <w:rsid w:val="003E49A6"/>
    <w:rsid w:val="003E5E34"/>
    <w:rsid w:val="003E6021"/>
    <w:rsid w:val="003F4FD3"/>
    <w:rsid w:val="003F53FB"/>
    <w:rsid w:val="00400B4D"/>
    <w:rsid w:val="00401F18"/>
    <w:rsid w:val="00403351"/>
    <w:rsid w:val="00403B06"/>
    <w:rsid w:val="004056B7"/>
    <w:rsid w:val="00410AC8"/>
    <w:rsid w:val="00414664"/>
    <w:rsid w:val="004172C1"/>
    <w:rsid w:val="00423E3A"/>
    <w:rsid w:val="00431CF7"/>
    <w:rsid w:val="004328D9"/>
    <w:rsid w:val="00435E05"/>
    <w:rsid w:val="0043771F"/>
    <w:rsid w:val="00442410"/>
    <w:rsid w:val="00443460"/>
    <w:rsid w:val="0044773C"/>
    <w:rsid w:val="00461B8A"/>
    <w:rsid w:val="004672B5"/>
    <w:rsid w:val="004763CD"/>
    <w:rsid w:val="00477731"/>
    <w:rsid w:val="00483B13"/>
    <w:rsid w:val="004844D1"/>
    <w:rsid w:val="0048559D"/>
    <w:rsid w:val="0049001D"/>
    <w:rsid w:val="00494A93"/>
    <w:rsid w:val="00494D75"/>
    <w:rsid w:val="004A1763"/>
    <w:rsid w:val="004B1E83"/>
    <w:rsid w:val="004B65C4"/>
    <w:rsid w:val="004C20A9"/>
    <w:rsid w:val="004D1C78"/>
    <w:rsid w:val="004D441E"/>
    <w:rsid w:val="004D46D1"/>
    <w:rsid w:val="004E1D9E"/>
    <w:rsid w:val="004E5B39"/>
    <w:rsid w:val="004F5CBD"/>
    <w:rsid w:val="00501A15"/>
    <w:rsid w:val="00505546"/>
    <w:rsid w:val="0051004D"/>
    <w:rsid w:val="00515221"/>
    <w:rsid w:val="005164DC"/>
    <w:rsid w:val="005176F8"/>
    <w:rsid w:val="005203D5"/>
    <w:rsid w:val="00522B8D"/>
    <w:rsid w:val="0052585C"/>
    <w:rsid w:val="00530EBD"/>
    <w:rsid w:val="005413BB"/>
    <w:rsid w:val="005461C5"/>
    <w:rsid w:val="00561AC4"/>
    <w:rsid w:val="005622FE"/>
    <w:rsid w:val="005637DC"/>
    <w:rsid w:val="00567912"/>
    <w:rsid w:val="00570098"/>
    <w:rsid w:val="005805E7"/>
    <w:rsid w:val="005825A4"/>
    <w:rsid w:val="00583F5D"/>
    <w:rsid w:val="0058424C"/>
    <w:rsid w:val="00584F8D"/>
    <w:rsid w:val="00590BA9"/>
    <w:rsid w:val="005A0350"/>
    <w:rsid w:val="005A23DC"/>
    <w:rsid w:val="005A7D9E"/>
    <w:rsid w:val="005B2697"/>
    <w:rsid w:val="005B5990"/>
    <w:rsid w:val="005C1702"/>
    <w:rsid w:val="005C6147"/>
    <w:rsid w:val="005D5F8C"/>
    <w:rsid w:val="005E5148"/>
    <w:rsid w:val="005E728D"/>
    <w:rsid w:val="0060114B"/>
    <w:rsid w:val="00603D4A"/>
    <w:rsid w:val="00607AC5"/>
    <w:rsid w:val="00611DE2"/>
    <w:rsid w:val="00614A1C"/>
    <w:rsid w:val="006227B3"/>
    <w:rsid w:val="00627B1F"/>
    <w:rsid w:val="00627F63"/>
    <w:rsid w:val="00642220"/>
    <w:rsid w:val="00645FBC"/>
    <w:rsid w:val="0065148D"/>
    <w:rsid w:val="0065242E"/>
    <w:rsid w:val="00652ED1"/>
    <w:rsid w:val="006572F6"/>
    <w:rsid w:val="006626FF"/>
    <w:rsid w:val="006650A8"/>
    <w:rsid w:val="0067728E"/>
    <w:rsid w:val="0067772C"/>
    <w:rsid w:val="00683A96"/>
    <w:rsid w:val="00684BD2"/>
    <w:rsid w:val="00685435"/>
    <w:rsid w:val="00687746"/>
    <w:rsid w:val="00690A38"/>
    <w:rsid w:val="00690F56"/>
    <w:rsid w:val="00693402"/>
    <w:rsid w:val="006957B3"/>
    <w:rsid w:val="006A4637"/>
    <w:rsid w:val="006A7B85"/>
    <w:rsid w:val="006C2FC8"/>
    <w:rsid w:val="006C39F8"/>
    <w:rsid w:val="006E1A08"/>
    <w:rsid w:val="006E4433"/>
    <w:rsid w:val="006E54FE"/>
    <w:rsid w:val="006E604F"/>
    <w:rsid w:val="006E63C6"/>
    <w:rsid w:val="006F2132"/>
    <w:rsid w:val="006F30D9"/>
    <w:rsid w:val="006F66F9"/>
    <w:rsid w:val="006F6E13"/>
    <w:rsid w:val="007010C5"/>
    <w:rsid w:val="007011F1"/>
    <w:rsid w:val="007127A1"/>
    <w:rsid w:val="00713ACE"/>
    <w:rsid w:val="00715F82"/>
    <w:rsid w:val="0071749C"/>
    <w:rsid w:val="0072054C"/>
    <w:rsid w:val="00721E05"/>
    <w:rsid w:val="00740A99"/>
    <w:rsid w:val="007412B6"/>
    <w:rsid w:val="00741BF4"/>
    <w:rsid w:val="00753389"/>
    <w:rsid w:val="00755761"/>
    <w:rsid w:val="007636EC"/>
    <w:rsid w:val="00767D37"/>
    <w:rsid w:val="00771955"/>
    <w:rsid w:val="00774503"/>
    <w:rsid w:val="007752F7"/>
    <w:rsid w:val="007754A0"/>
    <w:rsid w:val="00777CD2"/>
    <w:rsid w:val="00780272"/>
    <w:rsid w:val="0078038F"/>
    <w:rsid w:val="0078153B"/>
    <w:rsid w:val="00785FE9"/>
    <w:rsid w:val="00786E04"/>
    <w:rsid w:val="0079298A"/>
    <w:rsid w:val="007A7F79"/>
    <w:rsid w:val="007C124D"/>
    <w:rsid w:val="007C54C2"/>
    <w:rsid w:val="007D46C2"/>
    <w:rsid w:val="007E3065"/>
    <w:rsid w:val="007F204F"/>
    <w:rsid w:val="007F3B38"/>
    <w:rsid w:val="007F3C02"/>
    <w:rsid w:val="007F783A"/>
    <w:rsid w:val="00802605"/>
    <w:rsid w:val="00802A30"/>
    <w:rsid w:val="008043E5"/>
    <w:rsid w:val="00804A1A"/>
    <w:rsid w:val="0081073D"/>
    <w:rsid w:val="00813CC0"/>
    <w:rsid w:val="00826EE8"/>
    <w:rsid w:val="008323ED"/>
    <w:rsid w:val="00832EBB"/>
    <w:rsid w:val="00835955"/>
    <w:rsid w:val="00841542"/>
    <w:rsid w:val="00846701"/>
    <w:rsid w:val="008523B0"/>
    <w:rsid w:val="008624D5"/>
    <w:rsid w:val="00871CA6"/>
    <w:rsid w:val="00882AB5"/>
    <w:rsid w:val="00882B1D"/>
    <w:rsid w:val="0088672C"/>
    <w:rsid w:val="00890B24"/>
    <w:rsid w:val="00895454"/>
    <w:rsid w:val="0089643A"/>
    <w:rsid w:val="008A06D7"/>
    <w:rsid w:val="008A1F0C"/>
    <w:rsid w:val="008A40D1"/>
    <w:rsid w:val="008B3128"/>
    <w:rsid w:val="008B541B"/>
    <w:rsid w:val="008C656B"/>
    <w:rsid w:val="008C6A87"/>
    <w:rsid w:val="008E7879"/>
    <w:rsid w:val="008F47CB"/>
    <w:rsid w:val="00901003"/>
    <w:rsid w:val="0090158E"/>
    <w:rsid w:val="00901EF6"/>
    <w:rsid w:val="00902880"/>
    <w:rsid w:val="0090413E"/>
    <w:rsid w:val="00923B37"/>
    <w:rsid w:val="009271B1"/>
    <w:rsid w:val="0093485F"/>
    <w:rsid w:val="009407FC"/>
    <w:rsid w:val="009441E2"/>
    <w:rsid w:val="00950ED2"/>
    <w:rsid w:val="00963680"/>
    <w:rsid w:val="00964D3F"/>
    <w:rsid w:val="009700D9"/>
    <w:rsid w:val="00983CA7"/>
    <w:rsid w:val="00985369"/>
    <w:rsid w:val="00985C15"/>
    <w:rsid w:val="00993672"/>
    <w:rsid w:val="00996A5D"/>
    <w:rsid w:val="009A6DCA"/>
    <w:rsid w:val="009B00FD"/>
    <w:rsid w:val="009B38D1"/>
    <w:rsid w:val="009B4116"/>
    <w:rsid w:val="009B599D"/>
    <w:rsid w:val="009B689F"/>
    <w:rsid w:val="009B6955"/>
    <w:rsid w:val="009C2A10"/>
    <w:rsid w:val="009C4627"/>
    <w:rsid w:val="009D0BBA"/>
    <w:rsid w:val="009D1EA2"/>
    <w:rsid w:val="009D6969"/>
    <w:rsid w:val="009E0141"/>
    <w:rsid w:val="009E234B"/>
    <w:rsid w:val="009F52F3"/>
    <w:rsid w:val="00A064C8"/>
    <w:rsid w:val="00A10441"/>
    <w:rsid w:val="00A15094"/>
    <w:rsid w:val="00A16A3E"/>
    <w:rsid w:val="00A217C3"/>
    <w:rsid w:val="00A217E1"/>
    <w:rsid w:val="00A21F98"/>
    <w:rsid w:val="00A22854"/>
    <w:rsid w:val="00A2391E"/>
    <w:rsid w:val="00A33AAC"/>
    <w:rsid w:val="00A415F4"/>
    <w:rsid w:val="00A41C21"/>
    <w:rsid w:val="00A47DA7"/>
    <w:rsid w:val="00A52DE7"/>
    <w:rsid w:val="00A55023"/>
    <w:rsid w:val="00A56B86"/>
    <w:rsid w:val="00A624D0"/>
    <w:rsid w:val="00A632EF"/>
    <w:rsid w:val="00A677E9"/>
    <w:rsid w:val="00A70609"/>
    <w:rsid w:val="00A740AB"/>
    <w:rsid w:val="00A834BF"/>
    <w:rsid w:val="00A90769"/>
    <w:rsid w:val="00A973AA"/>
    <w:rsid w:val="00AA177A"/>
    <w:rsid w:val="00AA418C"/>
    <w:rsid w:val="00AB1C35"/>
    <w:rsid w:val="00AB34B7"/>
    <w:rsid w:val="00AB4DC3"/>
    <w:rsid w:val="00AC775D"/>
    <w:rsid w:val="00AD022F"/>
    <w:rsid w:val="00AD113F"/>
    <w:rsid w:val="00AD75AC"/>
    <w:rsid w:val="00AE0D00"/>
    <w:rsid w:val="00AE51CA"/>
    <w:rsid w:val="00AE57C4"/>
    <w:rsid w:val="00AE5B04"/>
    <w:rsid w:val="00AF2C11"/>
    <w:rsid w:val="00AF3788"/>
    <w:rsid w:val="00AF38B7"/>
    <w:rsid w:val="00AF5262"/>
    <w:rsid w:val="00AF7928"/>
    <w:rsid w:val="00B067DC"/>
    <w:rsid w:val="00B11155"/>
    <w:rsid w:val="00B13844"/>
    <w:rsid w:val="00B26E3E"/>
    <w:rsid w:val="00B35DAD"/>
    <w:rsid w:val="00B40498"/>
    <w:rsid w:val="00B417B3"/>
    <w:rsid w:val="00B47443"/>
    <w:rsid w:val="00B5043F"/>
    <w:rsid w:val="00B5377A"/>
    <w:rsid w:val="00B6181C"/>
    <w:rsid w:val="00B64496"/>
    <w:rsid w:val="00B66231"/>
    <w:rsid w:val="00B674DE"/>
    <w:rsid w:val="00B67A3F"/>
    <w:rsid w:val="00B81BD0"/>
    <w:rsid w:val="00B93588"/>
    <w:rsid w:val="00B9439C"/>
    <w:rsid w:val="00B96E43"/>
    <w:rsid w:val="00BA1A79"/>
    <w:rsid w:val="00BA6A42"/>
    <w:rsid w:val="00BA6C9C"/>
    <w:rsid w:val="00BB2AA1"/>
    <w:rsid w:val="00BB3BEF"/>
    <w:rsid w:val="00BB6438"/>
    <w:rsid w:val="00BC5F22"/>
    <w:rsid w:val="00BD21CA"/>
    <w:rsid w:val="00BD34F2"/>
    <w:rsid w:val="00BE1F5E"/>
    <w:rsid w:val="00BE75CA"/>
    <w:rsid w:val="00BF0E96"/>
    <w:rsid w:val="00C0069F"/>
    <w:rsid w:val="00C02E4A"/>
    <w:rsid w:val="00C03F14"/>
    <w:rsid w:val="00C04C0E"/>
    <w:rsid w:val="00C05B4B"/>
    <w:rsid w:val="00C05B88"/>
    <w:rsid w:val="00C05EBE"/>
    <w:rsid w:val="00C07F7F"/>
    <w:rsid w:val="00C12530"/>
    <w:rsid w:val="00C12CE3"/>
    <w:rsid w:val="00C14429"/>
    <w:rsid w:val="00C16FA7"/>
    <w:rsid w:val="00C17E77"/>
    <w:rsid w:val="00C205A3"/>
    <w:rsid w:val="00C247D8"/>
    <w:rsid w:val="00C25486"/>
    <w:rsid w:val="00C25563"/>
    <w:rsid w:val="00C25E66"/>
    <w:rsid w:val="00C30DE8"/>
    <w:rsid w:val="00C338C5"/>
    <w:rsid w:val="00C33D1B"/>
    <w:rsid w:val="00C34009"/>
    <w:rsid w:val="00C4763A"/>
    <w:rsid w:val="00C63D1E"/>
    <w:rsid w:val="00C667F3"/>
    <w:rsid w:val="00C712D2"/>
    <w:rsid w:val="00C77B5C"/>
    <w:rsid w:val="00C824C6"/>
    <w:rsid w:val="00C8275F"/>
    <w:rsid w:val="00C87068"/>
    <w:rsid w:val="00C9162F"/>
    <w:rsid w:val="00C96DC3"/>
    <w:rsid w:val="00CA2F0A"/>
    <w:rsid w:val="00CA652C"/>
    <w:rsid w:val="00CB1ECE"/>
    <w:rsid w:val="00CB3579"/>
    <w:rsid w:val="00CB5C31"/>
    <w:rsid w:val="00CB79CE"/>
    <w:rsid w:val="00CC0731"/>
    <w:rsid w:val="00CC1B60"/>
    <w:rsid w:val="00CC62F2"/>
    <w:rsid w:val="00CC770C"/>
    <w:rsid w:val="00CD215D"/>
    <w:rsid w:val="00CD4F92"/>
    <w:rsid w:val="00CD6628"/>
    <w:rsid w:val="00CE186B"/>
    <w:rsid w:val="00D00B48"/>
    <w:rsid w:val="00D2331B"/>
    <w:rsid w:val="00D36BB6"/>
    <w:rsid w:val="00D4391C"/>
    <w:rsid w:val="00D43FAC"/>
    <w:rsid w:val="00D4451A"/>
    <w:rsid w:val="00D472BE"/>
    <w:rsid w:val="00D53DEB"/>
    <w:rsid w:val="00D57DE8"/>
    <w:rsid w:val="00D7089E"/>
    <w:rsid w:val="00D735B0"/>
    <w:rsid w:val="00D73AAD"/>
    <w:rsid w:val="00D75842"/>
    <w:rsid w:val="00D802D6"/>
    <w:rsid w:val="00D86A15"/>
    <w:rsid w:val="00D86FF7"/>
    <w:rsid w:val="00D956B2"/>
    <w:rsid w:val="00DA7DC9"/>
    <w:rsid w:val="00DB7B7C"/>
    <w:rsid w:val="00DD6DF0"/>
    <w:rsid w:val="00E0031C"/>
    <w:rsid w:val="00E0138A"/>
    <w:rsid w:val="00E06430"/>
    <w:rsid w:val="00E13DE5"/>
    <w:rsid w:val="00E15710"/>
    <w:rsid w:val="00E163CF"/>
    <w:rsid w:val="00E20D5B"/>
    <w:rsid w:val="00E22463"/>
    <w:rsid w:val="00E23871"/>
    <w:rsid w:val="00E2666E"/>
    <w:rsid w:val="00E322E9"/>
    <w:rsid w:val="00E400EA"/>
    <w:rsid w:val="00E46EE5"/>
    <w:rsid w:val="00E57F5E"/>
    <w:rsid w:val="00E60FB0"/>
    <w:rsid w:val="00E614A1"/>
    <w:rsid w:val="00E674A9"/>
    <w:rsid w:val="00E700AD"/>
    <w:rsid w:val="00E74ABD"/>
    <w:rsid w:val="00E763D7"/>
    <w:rsid w:val="00E81C88"/>
    <w:rsid w:val="00E829F2"/>
    <w:rsid w:val="00E83023"/>
    <w:rsid w:val="00E83271"/>
    <w:rsid w:val="00E833E4"/>
    <w:rsid w:val="00E85547"/>
    <w:rsid w:val="00E86973"/>
    <w:rsid w:val="00E909D5"/>
    <w:rsid w:val="00E92EED"/>
    <w:rsid w:val="00E93A0F"/>
    <w:rsid w:val="00E94955"/>
    <w:rsid w:val="00E96323"/>
    <w:rsid w:val="00EA3E66"/>
    <w:rsid w:val="00EA50C8"/>
    <w:rsid w:val="00EC0B43"/>
    <w:rsid w:val="00EC2ADC"/>
    <w:rsid w:val="00EC4383"/>
    <w:rsid w:val="00EC5D7E"/>
    <w:rsid w:val="00ED0D36"/>
    <w:rsid w:val="00ED49C1"/>
    <w:rsid w:val="00EE1312"/>
    <w:rsid w:val="00EE2223"/>
    <w:rsid w:val="00EF2707"/>
    <w:rsid w:val="00EF70DB"/>
    <w:rsid w:val="00F044A8"/>
    <w:rsid w:val="00F11AA8"/>
    <w:rsid w:val="00F12F81"/>
    <w:rsid w:val="00F24787"/>
    <w:rsid w:val="00F27223"/>
    <w:rsid w:val="00F323DC"/>
    <w:rsid w:val="00F3623C"/>
    <w:rsid w:val="00F41116"/>
    <w:rsid w:val="00F44D20"/>
    <w:rsid w:val="00F4518C"/>
    <w:rsid w:val="00F4529D"/>
    <w:rsid w:val="00F50CF7"/>
    <w:rsid w:val="00F53F09"/>
    <w:rsid w:val="00F56B20"/>
    <w:rsid w:val="00F6219B"/>
    <w:rsid w:val="00F64E0B"/>
    <w:rsid w:val="00F668D2"/>
    <w:rsid w:val="00F72D66"/>
    <w:rsid w:val="00F80BF5"/>
    <w:rsid w:val="00F8164B"/>
    <w:rsid w:val="00F90148"/>
    <w:rsid w:val="00F935EE"/>
    <w:rsid w:val="00F96885"/>
    <w:rsid w:val="00FA3D8C"/>
    <w:rsid w:val="00FA550C"/>
    <w:rsid w:val="00FB026D"/>
    <w:rsid w:val="00FB587F"/>
    <w:rsid w:val="00FD35DD"/>
    <w:rsid w:val="00FD5309"/>
    <w:rsid w:val="00FD5326"/>
    <w:rsid w:val="00FF0552"/>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customStyle="1" w:styleId="pf0">
    <w:name w:val="pf0"/>
    <w:basedOn w:val="Normal"/>
    <w:rsid w:val="00403351"/>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presidential-actions/2025/01/reforming-the-federal-hiring-process-and-restoring-merit-to-government-service/" TargetMode="External" /><Relationship Id="rId9" Type="http://schemas.openxmlformats.org/officeDocument/2006/relationships/hyperlink" Target="https://www.whitehouse.gov/presidential-actions/2025/01/defending-women-from-gender-ideology-extremism-and-restoring-biological-truth-to-the-federal-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SharedWithUsers xmlns="768bdf26-1ffa-46c3-9f11-5cd786606989">
      <UserInfo>
        <DisplayName>Martinez, Catalina (ATJ)</DisplayName>
        <AccountId>196</AccountId>
        <AccountType/>
      </UserInfo>
      <UserInfo>
        <DisplayName>Wu, Nina (ATJ)</DisplayName>
        <AccountId>197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7862ECAD-B3F3-405D-94D8-63DD258F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B1B89-1642-4A10-A8CA-0DD02FA54800}">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customXml/itemProps4.xml><?xml version="1.0" encoding="utf-8"?>
<ds:datastoreItem xmlns:ds="http://schemas.openxmlformats.org/officeDocument/2006/customXml" ds:itemID="{9A67B9A8-E27F-432C-9D9F-EBE5E9FB0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3706</Words>
  <Characters>21802</Characters>
  <Application>Microsoft Office Word</Application>
  <DocSecurity>0</DocSecurity>
  <Lines>363</Lines>
  <Paragraphs>163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Willis, Deana (OARM)</cp:lastModifiedBy>
  <cp:revision>3</cp:revision>
  <cp:lastPrinted>2025-02-28T13:27:00Z</cp:lastPrinted>
  <dcterms:created xsi:type="dcterms:W3CDTF">2025-05-27T13:09:00Z</dcterms:created>
  <dcterms:modified xsi:type="dcterms:W3CDTF">2025-05-27T13:11:00Z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